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003E" w14:textId="2A325567" w:rsidR="008501E5" w:rsidRDefault="002E1281" w:rsidP="00AC154A">
      <w:pPr>
        <w:snapToGrid w:val="0"/>
        <w:spacing w:after="0" w:line="240" w:lineRule="auto"/>
        <w:jc w:val="center"/>
        <w:rPr>
          <w:rFonts w:asciiTheme="minorHAnsi" w:hAnsiTheme="minorHAnsi" w:cstheme="minorHAnsi"/>
        </w:rPr>
      </w:pPr>
      <w:r w:rsidRPr="00A56CE1">
        <w:rPr>
          <w:noProof/>
          <w:lang w:val="ru-RU" w:eastAsia="ru-RU"/>
        </w:rPr>
        <w:drawing>
          <wp:inline distT="0" distB="0" distL="0" distR="0" wp14:anchorId="680314C0" wp14:editId="593FFCC4">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3C3602" w14:textId="77777777" w:rsidR="00307B52" w:rsidRPr="00BE06ED" w:rsidRDefault="00307B52" w:rsidP="00AC154A">
      <w:pPr>
        <w:snapToGrid w:val="0"/>
        <w:spacing w:after="0" w:line="240" w:lineRule="auto"/>
        <w:jc w:val="center"/>
        <w:rPr>
          <w:rFonts w:asciiTheme="minorHAnsi" w:hAnsiTheme="minorHAnsi" w:cstheme="minorHAnsi"/>
        </w:rPr>
      </w:pPr>
    </w:p>
    <w:p w14:paraId="3D8B3BD8" w14:textId="77777777" w:rsidR="00B20CD0" w:rsidRPr="002E1281" w:rsidRDefault="00B20CD0" w:rsidP="00B20CD0">
      <w:pPr>
        <w:pStyle w:val="P68B1DB1-Normal1"/>
        <w:spacing w:after="0" w:line="240" w:lineRule="auto"/>
        <w:jc w:val="center"/>
        <w:rPr>
          <w:szCs w:val="22"/>
          <w:lang w:val="en-GB"/>
        </w:rPr>
      </w:pPr>
      <w:r w:rsidRPr="002E1281">
        <w:rPr>
          <w:szCs w:val="22"/>
          <w:lang w:val="en-GB"/>
        </w:rPr>
        <w:t>PhosAgro Reports Operating and Financial Results for 9M 2024</w:t>
      </w:r>
    </w:p>
    <w:p w14:paraId="2183B3E6" w14:textId="77777777" w:rsidR="00B20CD0" w:rsidRPr="002E1281" w:rsidRDefault="00B20CD0" w:rsidP="00B20CD0">
      <w:pPr>
        <w:spacing w:after="0" w:line="240" w:lineRule="auto"/>
        <w:jc w:val="center"/>
        <w:rPr>
          <w:rFonts w:asciiTheme="minorHAnsi" w:hAnsiTheme="minorHAnsi" w:cstheme="minorHAnsi"/>
        </w:rPr>
      </w:pPr>
    </w:p>
    <w:p w14:paraId="54993DA5" w14:textId="00F4F1C7" w:rsidR="00B20CD0" w:rsidRPr="002E1281" w:rsidRDefault="00B20CD0" w:rsidP="00E550B7">
      <w:pPr>
        <w:pStyle w:val="P68B1DB1-Normal2"/>
        <w:spacing w:line="240" w:lineRule="auto"/>
        <w:jc w:val="both"/>
        <w:rPr>
          <w:b/>
          <w:szCs w:val="22"/>
          <w:lang w:val="en-GB"/>
        </w:rPr>
      </w:pPr>
      <w:r w:rsidRPr="002E1281">
        <w:rPr>
          <w:b/>
          <w:szCs w:val="22"/>
          <w:lang w:val="en-GB"/>
        </w:rPr>
        <w:t>Moscow</w:t>
      </w:r>
      <w:r w:rsidR="00E550B7" w:rsidRPr="002E1281">
        <w:rPr>
          <w:bCs/>
          <w:szCs w:val="22"/>
          <w:lang w:val="en-GB"/>
        </w:rPr>
        <w:t xml:space="preserve"> – </w:t>
      </w:r>
      <w:r w:rsidRPr="002E1281">
        <w:rPr>
          <w:szCs w:val="22"/>
          <w:lang w:val="en-GB"/>
        </w:rPr>
        <w:t xml:space="preserve">PhosAgro Group (“PhosAgro” or “the Company”) (Moscow Exchange, LSE: PHOR), one of the world’s leading vertically integrated phosphate-based fertilizer producers, today announces its operating results and its consolidated interim condensed financial results for the nine months ended 30 September 2024. </w:t>
      </w:r>
    </w:p>
    <w:p w14:paraId="15DEBA89" w14:textId="77777777" w:rsidR="00B20CD0" w:rsidRPr="009D6FA9" w:rsidRDefault="00B20CD0" w:rsidP="00E550B7">
      <w:pPr>
        <w:pStyle w:val="P68B1DB1-13"/>
        <w:spacing w:after="120" w:line="240" w:lineRule="auto"/>
        <w:jc w:val="both"/>
        <w:rPr>
          <w:rFonts w:asciiTheme="minorHAnsi" w:hAnsiTheme="minorHAnsi" w:cstheme="minorHAnsi"/>
          <w:szCs w:val="22"/>
          <w:lang w:val="en-US"/>
        </w:rPr>
      </w:pPr>
      <w:r w:rsidRPr="002E1281">
        <w:rPr>
          <w:rFonts w:asciiTheme="minorHAnsi" w:hAnsiTheme="minorHAnsi" w:cstheme="minorHAnsi"/>
          <w:szCs w:val="22"/>
          <w:lang w:val="en-GB"/>
        </w:rPr>
        <w:t>9M 2024 highlights</w:t>
      </w:r>
    </w:p>
    <w:p w14:paraId="1CA6DA36"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 xml:space="preserve">In 9M 2024, production of agrochemical products increased by 2.4% year-on-year to 8.8 million tonnes, driven mainly by a 4.0% increase in the production of phosphate-based fertilizers and feed phosphates, to 6.7 million tonnes. </w:t>
      </w:r>
    </w:p>
    <w:p w14:paraId="480E052F"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Total sales of agrochemical products rose 4.1% year-on-year in 9M 2024, exceeding 9 million tonnes. At the same time, sales of phosphate-based fertilizers and feed phosphates rose 5.9%.</w:t>
      </w:r>
    </w:p>
    <w:p w14:paraId="5CE9C56C" w14:textId="77777777"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 xml:space="preserve">Revenue in 9M 2024 amounted to RUB 371.0 billion, an increase of 12.8% year-on-year on the back of higher production and sales. </w:t>
      </w:r>
    </w:p>
    <w:p w14:paraId="7F8D7431" w14:textId="77777777" w:rsidR="006425C1"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The Company</w:t>
      </w:r>
      <w:r w:rsidR="006425C1" w:rsidRPr="002E1281">
        <w:rPr>
          <w:szCs w:val="22"/>
          <w:lang w:val="en-GB"/>
        </w:rPr>
        <w:t>’</w:t>
      </w:r>
      <w:r w:rsidRPr="002E1281">
        <w:rPr>
          <w:szCs w:val="22"/>
          <w:lang w:val="en-GB"/>
        </w:rPr>
        <w:t>s EBITDA in 9M 2024 amounted to RUB 123.5 billion, down 18.2% year-on-year</w:t>
      </w:r>
      <w:r w:rsidR="006425C1" w:rsidRPr="002E1281">
        <w:rPr>
          <w:szCs w:val="22"/>
          <w:lang w:val="en-GB"/>
        </w:rPr>
        <w:t>.</w:t>
      </w:r>
    </w:p>
    <w:p w14:paraId="4B27C2F8" w14:textId="326FA714" w:rsidR="00B20CD0" w:rsidRPr="002E1281" w:rsidRDefault="006425C1" w:rsidP="00E550B7">
      <w:pPr>
        <w:pStyle w:val="P68B1DB1-Normal2"/>
        <w:shd w:val="clear" w:color="auto" w:fill="FFFFFF"/>
        <w:spacing w:before="120" w:after="120" w:line="240" w:lineRule="auto"/>
        <w:jc w:val="both"/>
        <w:rPr>
          <w:szCs w:val="22"/>
          <w:lang w:val="en-GB"/>
        </w:rPr>
      </w:pPr>
      <w:r w:rsidRPr="002E1281">
        <w:rPr>
          <w:szCs w:val="22"/>
          <w:lang w:val="en-GB"/>
        </w:rPr>
        <w:t>F</w:t>
      </w:r>
      <w:r w:rsidR="00B20CD0" w:rsidRPr="002E1281">
        <w:rPr>
          <w:szCs w:val="22"/>
          <w:lang w:val="en-GB"/>
        </w:rPr>
        <w:t xml:space="preserve">ree cash flow for the period amounted to nearly RUB 36.0 billion. </w:t>
      </w:r>
    </w:p>
    <w:p w14:paraId="4F6F7324" w14:textId="6C0085D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 xml:space="preserve">Net debt amounted to RUB 272.7 billion as of 30 September 2024, and the net debt/EBITDA ratio as of the end of the reporting period was a comfortable 1.75x. </w:t>
      </w:r>
    </w:p>
    <w:p w14:paraId="01A11E20" w14:textId="6B1B6F3B" w:rsidR="00B20CD0" w:rsidRPr="002E1281" w:rsidRDefault="00B20CD0" w:rsidP="00E550B7">
      <w:pPr>
        <w:pStyle w:val="P68B1DB1-Normal1"/>
        <w:spacing w:line="240" w:lineRule="auto"/>
        <w:jc w:val="both"/>
        <w:rPr>
          <w:szCs w:val="22"/>
          <w:lang w:val="en-GB"/>
        </w:rPr>
      </w:pPr>
      <w:r w:rsidRPr="002E1281">
        <w:rPr>
          <w:szCs w:val="22"/>
          <w:lang w:val="en-GB"/>
        </w:rPr>
        <w:t>Financial and operating highlights</w:t>
      </w:r>
      <w:r w:rsidR="006425C1" w:rsidRPr="002E1281">
        <w:rPr>
          <w:szCs w:val="22"/>
          <w:lang w:val="en-GB"/>
        </w:rPr>
        <w:t>:</w:t>
      </w:r>
    </w:p>
    <w:tbl>
      <w:tblPr>
        <w:tblW w:w="9356" w:type="dxa"/>
        <w:tblLayout w:type="fixed"/>
        <w:tblLook w:val="04A0" w:firstRow="1" w:lastRow="0" w:firstColumn="1" w:lastColumn="0" w:noHBand="0" w:noVBand="1"/>
      </w:tblPr>
      <w:tblGrid>
        <w:gridCol w:w="4678"/>
        <w:gridCol w:w="1985"/>
        <w:gridCol w:w="1417"/>
        <w:gridCol w:w="1276"/>
      </w:tblGrid>
      <w:tr w:rsidR="00B20CD0" w:rsidRPr="002E1281" w14:paraId="22CD4C13" w14:textId="77777777" w:rsidTr="002A3F4B">
        <w:trPr>
          <w:trHeight w:val="330"/>
        </w:trPr>
        <w:tc>
          <w:tcPr>
            <w:tcW w:w="9356" w:type="dxa"/>
            <w:gridSpan w:val="4"/>
            <w:tcBorders>
              <w:top w:val="nil"/>
              <w:left w:val="nil"/>
              <w:right w:val="nil"/>
            </w:tcBorders>
            <w:shd w:val="clear" w:color="000000" w:fill="2B87A2"/>
            <w:vAlign w:val="center"/>
            <w:hideMark/>
          </w:tcPr>
          <w:p w14:paraId="1D0D5046" w14:textId="77777777" w:rsidR="00B20CD0" w:rsidRPr="002E1281" w:rsidRDefault="00B20CD0" w:rsidP="002A3F4B">
            <w:pPr>
              <w:pStyle w:val="P68B1DB1-Normal4"/>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Financial highlights</w:t>
            </w:r>
          </w:p>
        </w:tc>
      </w:tr>
      <w:tr w:rsidR="00B20CD0" w:rsidRPr="002E1281" w14:paraId="2AD4B4EF" w14:textId="77777777" w:rsidTr="002A3F4B">
        <w:trPr>
          <w:trHeight w:val="480"/>
        </w:trPr>
        <w:tc>
          <w:tcPr>
            <w:tcW w:w="4678" w:type="dxa"/>
            <w:tcBorders>
              <w:top w:val="nil"/>
              <w:left w:val="nil"/>
              <w:bottom w:val="single" w:sz="4" w:space="0" w:color="auto"/>
              <w:right w:val="nil"/>
            </w:tcBorders>
            <w:shd w:val="clear" w:color="auto" w:fill="auto"/>
            <w:vAlign w:val="center"/>
            <w:hideMark/>
          </w:tcPr>
          <w:p w14:paraId="38EC2E30" w14:textId="77777777" w:rsidR="00B20CD0" w:rsidRPr="002E1281" w:rsidRDefault="00B20CD0" w:rsidP="002A3F4B">
            <w:pPr>
              <w:pStyle w:val="P68B1DB1-Normal5"/>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(RUB mln)</w:t>
            </w:r>
          </w:p>
        </w:tc>
        <w:tc>
          <w:tcPr>
            <w:tcW w:w="1985" w:type="dxa"/>
            <w:tcBorders>
              <w:top w:val="nil"/>
              <w:left w:val="nil"/>
              <w:bottom w:val="single" w:sz="4" w:space="0" w:color="auto"/>
              <w:right w:val="nil"/>
            </w:tcBorders>
            <w:shd w:val="clear" w:color="auto" w:fill="auto"/>
            <w:vAlign w:val="center"/>
          </w:tcPr>
          <w:p w14:paraId="57B4A8E3" w14:textId="77777777" w:rsidR="00B20CD0" w:rsidRPr="002E1281" w:rsidRDefault="00B20CD0" w:rsidP="002A3F4B">
            <w:pPr>
              <w:pStyle w:val="P68B1DB1-Normal6"/>
              <w:spacing w:after="0" w:line="240" w:lineRule="auto"/>
              <w:jc w:val="center"/>
              <w:rPr>
                <w:rFonts w:eastAsia="Times New Roman"/>
                <w:sz w:val="22"/>
                <w:szCs w:val="22"/>
                <w:lang w:val="en-GB"/>
              </w:rPr>
            </w:pPr>
            <w:r w:rsidRPr="002E1281">
              <w:rPr>
                <w:sz w:val="22"/>
                <w:szCs w:val="22"/>
                <w:lang w:val="en-GB"/>
              </w:rPr>
              <w:t>9M 2024</w:t>
            </w:r>
          </w:p>
        </w:tc>
        <w:tc>
          <w:tcPr>
            <w:tcW w:w="1417" w:type="dxa"/>
            <w:tcBorders>
              <w:top w:val="nil"/>
              <w:left w:val="nil"/>
              <w:bottom w:val="single" w:sz="4" w:space="0" w:color="auto"/>
              <w:right w:val="nil"/>
            </w:tcBorders>
            <w:shd w:val="clear" w:color="auto" w:fill="auto"/>
            <w:vAlign w:val="center"/>
          </w:tcPr>
          <w:p w14:paraId="48BFEC99" w14:textId="77777777" w:rsidR="00B20CD0" w:rsidRPr="002E1281" w:rsidRDefault="00B20CD0" w:rsidP="002A3F4B">
            <w:pPr>
              <w:pStyle w:val="P68B1DB1-Normal6"/>
              <w:spacing w:after="0" w:line="240" w:lineRule="auto"/>
              <w:jc w:val="center"/>
              <w:rPr>
                <w:rFonts w:eastAsia="Times New Roman"/>
                <w:sz w:val="22"/>
                <w:szCs w:val="22"/>
                <w:lang w:val="en-GB"/>
              </w:rPr>
            </w:pPr>
            <w:r w:rsidRPr="002E1281">
              <w:rPr>
                <w:sz w:val="22"/>
                <w:szCs w:val="22"/>
                <w:lang w:val="en-GB"/>
              </w:rPr>
              <w:t>9M 2023</w:t>
            </w:r>
          </w:p>
        </w:tc>
        <w:tc>
          <w:tcPr>
            <w:tcW w:w="1276" w:type="dxa"/>
            <w:tcBorders>
              <w:top w:val="nil"/>
              <w:left w:val="nil"/>
              <w:bottom w:val="single" w:sz="4" w:space="0" w:color="auto"/>
              <w:right w:val="nil"/>
            </w:tcBorders>
            <w:shd w:val="clear" w:color="000000" w:fill="E3F1F7"/>
            <w:vAlign w:val="center"/>
          </w:tcPr>
          <w:p w14:paraId="05E48526" w14:textId="3D491887" w:rsidR="00B20CD0" w:rsidRPr="002E1281" w:rsidRDefault="00B20CD0" w:rsidP="002A3F4B">
            <w:pPr>
              <w:pStyle w:val="P68B1DB1-Normal6"/>
              <w:spacing w:after="0" w:line="240" w:lineRule="auto"/>
              <w:jc w:val="center"/>
              <w:rPr>
                <w:rFonts w:eastAsia="Times New Roman"/>
                <w:sz w:val="22"/>
                <w:szCs w:val="22"/>
                <w:lang w:val="en-GB"/>
              </w:rPr>
            </w:pPr>
            <w:r w:rsidRPr="002E1281">
              <w:rPr>
                <w:sz w:val="22"/>
                <w:szCs w:val="22"/>
                <w:lang w:val="en-GB"/>
              </w:rPr>
              <w:t>Change %</w:t>
            </w:r>
          </w:p>
        </w:tc>
      </w:tr>
      <w:tr w:rsidR="00B20CD0" w:rsidRPr="002E1281" w14:paraId="4FE4E158" w14:textId="77777777" w:rsidTr="002A3F4B">
        <w:trPr>
          <w:trHeight w:val="300"/>
        </w:trPr>
        <w:tc>
          <w:tcPr>
            <w:tcW w:w="4678" w:type="dxa"/>
            <w:tcBorders>
              <w:top w:val="single" w:sz="4" w:space="0" w:color="auto"/>
              <w:left w:val="nil"/>
              <w:bottom w:val="nil"/>
              <w:right w:val="nil"/>
            </w:tcBorders>
            <w:shd w:val="clear" w:color="auto" w:fill="auto"/>
            <w:vAlign w:val="center"/>
            <w:hideMark/>
          </w:tcPr>
          <w:p w14:paraId="3D2DFC28"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Revenue</w:t>
            </w:r>
          </w:p>
        </w:tc>
        <w:tc>
          <w:tcPr>
            <w:tcW w:w="1985" w:type="dxa"/>
            <w:tcBorders>
              <w:top w:val="single" w:sz="4" w:space="0" w:color="auto"/>
              <w:left w:val="nil"/>
              <w:bottom w:val="nil"/>
              <w:right w:val="nil"/>
            </w:tcBorders>
            <w:shd w:val="clear" w:color="auto" w:fill="auto"/>
            <w:vAlign w:val="center"/>
          </w:tcPr>
          <w:p w14:paraId="282F6160"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371,035</w:t>
            </w:r>
          </w:p>
        </w:tc>
        <w:tc>
          <w:tcPr>
            <w:tcW w:w="1417" w:type="dxa"/>
            <w:tcBorders>
              <w:top w:val="single" w:sz="4" w:space="0" w:color="auto"/>
              <w:left w:val="nil"/>
              <w:bottom w:val="nil"/>
              <w:right w:val="nil"/>
            </w:tcBorders>
            <w:shd w:val="clear" w:color="auto" w:fill="auto"/>
            <w:vAlign w:val="center"/>
          </w:tcPr>
          <w:p w14:paraId="3CB7675B"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328,885</w:t>
            </w:r>
          </w:p>
        </w:tc>
        <w:tc>
          <w:tcPr>
            <w:tcW w:w="1276" w:type="dxa"/>
            <w:tcBorders>
              <w:top w:val="single" w:sz="4" w:space="0" w:color="auto"/>
              <w:left w:val="nil"/>
              <w:bottom w:val="nil"/>
              <w:right w:val="nil"/>
            </w:tcBorders>
            <w:shd w:val="clear" w:color="000000" w:fill="E3F1F7"/>
            <w:vAlign w:val="center"/>
          </w:tcPr>
          <w:p w14:paraId="6304F2D6" w14:textId="77777777" w:rsidR="00B20CD0" w:rsidRPr="002E1281" w:rsidRDefault="00B20CD0" w:rsidP="002A3F4B">
            <w:pPr>
              <w:pStyle w:val="P68B1DB1-Normal9"/>
              <w:spacing w:after="0" w:line="240" w:lineRule="auto"/>
              <w:jc w:val="center"/>
              <w:rPr>
                <w:rFonts w:eastAsia="Times New Roman"/>
                <w:sz w:val="22"/>
                <w:szCs w:val="22"/>
                <w:lang w:val="en-GB"/>
              </w:rPr>
            </w:pPr>
            <w:r w:rsidRPr="002E1281">
              <w:rPr>
                <w:sz w:val="22"/>
                <w:szCs w:val="22"/>
                <w:lang w:val="en-GB"/>
              </w:rPr>
              <w:t>12.8%</w:t>
            </w:r>
          </w:p>
        </w:tc>
      </w:tr>
      <w:tr w:rsidR="00B20CD0" w:rsidRPr="002E1281" w14:paraId="480C2442" w14:textId="77777777" w:rsidTr="002A3F4B">
        <w:trPr>
          <w:trHeight w:val="300"/>
        </w:trPr>
        <w:tc>
          <w:tcPr>
            <w:tcW w:w="4678" w:type="dxa"/>
            <w:tcBorders>
              <w:top w:val="nil"/>
              <w:left w:val="nil"/>
              <w:bottom w:val="nil"/>
              <w:right w:val="nil"/>
            </w:tcBorders>
            <w:shd w:val="clear" w:color="auto" w:fill="auto"/>
            <w:vAlign w:val="center"/>
            <w:hideMark/>
          </w:tcPr>
          <w:p w14:paraId="1AA5D280"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EBITDA*</w:t>
            </w:r>
          </w:p>
        </w:tc>
        <w:tc>
          <w:tcPr>
            <w:tcW w:w="1985" w:type="dxa"/>
            <w:tcBorders>
              <w:top w:val="nil"/>
              <w:left w:val="nil"/>
              <w:bottom w:val="nil"/>
              <w:right w:val="nil"/>
            </w:tcBorders>
            <w:shd w:val="clear" w:color="auto" w:fill="auto"/>
            <w:vAlign w:val="center"/>
          </w:tcPr>
          <w:p w14:paraId="668930B2"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123,523</w:t>
            </w:r>
          </w:p>
        </w:tc>
        <w:tc>
          <w:tcPr>
            <w:tcW w:w="1417" w:type="dxa"/>
            <w:tcBorders>
              <w:top w:val="nil"/>
              <w:left w:val="nil"/>
              <w:bottom w:val="nil"/>
              <w:right w:val="nil"/>
            </w:tcBorders>
            <w:shd w:val="clear" w:color="auto" w:fill="auto"/>
            <w:vAlign w:val="center"/>
          </w:tcPr>
          <w:p w14:paraId="381DFF58"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151,098</w:t>
            </w:r>
          </w:p>
        </w:tc>
        <w:tc>
          <w:tcPr>
            <w:tcW w:w="1276" w:type="dxa"/>
            <w:tcBorders>
              <w:top w:val="nil"/>
              <w:left w:val="nil"/>
              <w:bottom w:val="nil"/>
              <w:right w:val="nil"/>
            </w:tcBorders>
            <w:shd w:val="clear" w:color="000000" w:fill="E3F1F7"/>
            <w:vAlign w:val="center"/>
          </w:tcPr>
          <w:p w14:paraId="71D9B546" w14:textId="77777777" w:rsidR="00B20CD0" w:rsidRPr="002E1281" w:rsidRDefault="00B20CD0" w:rsidP="002A3F4B">
            <w:pPr>
              <w:pStyle w:val="P68B1DB1-Normal9"/>
              <w:spacing w:after="0" w:line="240" w:lineRule="auto"/>
              <w:jc w:val="center"/>
              <w:rPr>
                <w:sz w:val="22"/>
                <w:szCs w:val="22"/>
                <w:lang w:val="en-GB"/>
              </w:rPr>
            </w:pPr>
            <w:r w:rsidRPr="002E1281">
              <w:rPr>
                <w:sz w:val="22"/>
                <w:szCs w:val="22"/>
                <w:lang w:val="en-GB"/>
              </w:rPr>
              <w:t>-18.2%</w:t>
            </w:r>
          </w:p>
        </w:tc>
      </w:tr>
      <w:tr w:rsidR="00B20CD0" w:rsidRPr="002E1281" w14:paraId="3CD1C149" w14:textId="77777777" w:rsidTr="002A3F4B">
        <w:trPr>
          <w:trHeight w:val="300"/>
        </w:trPr>
        <w:tc>
          <w:tcPr>
            <w:tcW w:w="4678" w:type="dxa"/>
            <w:tcBorders>
              <w:top w:val="nil"/>
              <w:left w:val="nil"/>
              <w:bottom w:val="nil"/>
              <w:right w:val="nil"/>
            </w:tcBorders>
            <w:shd w:val="clear" w:color="auto" w:fill="auto"/>
            <w:vAlign w:val="center"/>
          </w:tcPr>
          <w:p w14:paraId="14D7CC20"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Adj. EBITDA**</w:t>
            </w:r>
          </w:p>
        </w:tc>
        <w:tc>
          <w:tcPr>
            <w:tcW w:w="1985" w:type="dxa"/>
            <w:tcBorders>
              <w:top w:val="nil"/>
              <w:left w:val="nil"/>
              <w:bottom w:val="nil"/>
              <w:right w:val="nil"/>
            </w:tcBorders>
            <w:shd w:val="clear" w:color="auto" w:fill="auto"/>
            <w:vAlign w:val="center"/>
          </w:tcPr>
          <w:p w14:paraId="35BE9A6D"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122,412</w:t>
            </w:r>
          </w:p>
        </w:tc>
        <w:tc>
          <w:tcPr>
            <w:tcW w:w="1417" w:type="dxa"/>
            <w:tcBorders>
              <w:top w:val="nil"/>
              <w:left w:val="nil"/>
              <w:bottom w:val="nil"/>
              <w:right w:val="nil"/>
            </w:tcBorders>
            <w:shd w:val="clear" w:color="auto" w:fill="auto"/>
            <w:vAlign w:val="center"/>
          </w:tcPr>
          <w:p w14:paraId="6C372747"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131,274</w:t>
            </w:r>
          </w:p>
        </w:tc>
        <w:tc>
          <w:tcPr>
            <w:tcW w:w="1276" w:type="dxa"/>
            <w:tcBorders>
              <w:top w:val="nil"/>
              <w:left w:val="nil"/>
              <w:bottom w:val="nil"/>
              <w:right w:val="nil"/>
            </w:tcBorders>
            <w:shd w:val="clear" w:color="000000" w:fill="E3F1F7"/>
            <w:vAlign w:val="center"/>
          </w:tcPr>
          <w:p w14:paraId="1AEACD46" w14:textId="77777777" w:rsidR="00B20CD0" w:rsidRPr="002E1281" w:rsidRDefault="00B20CD0" w:rsidP="002A3F4B">
            <w:pPr>
              <w:pStyle w:val="P68B1DB1-Normal9"/>
              <w:spacing w:after="0" w:line="240" w:lineRule="auto"/>
              <w:jc w:val="center"/>
              <w:rPr>
                <w:sz w:val="22"/>
                <w:szCs w:val="22"/>
                <w:lang w:val="en-GB"/>
              </w:rPr>
            </w:pPr>
            <w:r w:rsidRPr="002E1281">
              <w:rPr>
                <w:sz w:val="22"/>
                <w:szCs w:val="22"/>
                <w:lang w:val="en-GB"/>
              </w:rPr>
              <w:t>-6.8%</w:t>
            </w:r>
          </w:p>
        </w:tc>
      </w:tr>
      <w:tr w:rsidR="00B20CD0" w:rsidRPr="002E1281" w14:paraId="448E2B98" w14:textId="77777777" w:rsidTr="002A3F4B">
        <w:trPr>
          <w:trHeight w:val="300"/>
        </w:trPr>
        <w:tc>
          <w:tcPr>
            <w:tcW w:w="4678" w:type="dxa"/>
            <w:tcBorders>
              <w:top w:val="nil"/>
              <w:left w:val="nil"/>
              <w:bottom w:val="nil"/>
              <w:right w:val="nil"/>
            </w:tcBorders>
            <w:shd w:val="clear" w:color="auto" w:fill="auto"/>
            <w:vAlign w:val="center"/>
          </w:tcPr>
          <w:p w14:paraId="55F0D29A" w14:textId="77777777" w:rsidR="00B20CD0" w:rsidRPr="002E1281" w:rsidRDefault="00B20CD0" w:rsidP="002A3F4B">
            <w:pPr>
              <w:pStyle w:val="P68B1DB1-Normal10"/>
              <w:spacing w:after="0" w:line="240" w:lineRule="auto"/>
              <w:jc w:val="right"/>
              <w:rPr>
                <w:rFonts w:asciiTheme="minorHAnsi" w:hAnsiTheme="minorHAnsi" w:cstheme="minorHAnsi"/>
                <w:sz w:val="22"/>
                <w:szCs w:val="22"/>
                <w:lang w:val="en-GB"/>
              </w:rPr>
            </w:pPr>
            <w:r w:rsidRPr="002E1281">
              <w:rPr>
                <w:rFonts w:asciiTheme="minorHAnsi" w:hAnsiTheme="minorHAnsi" w:cstheme="minorHAnsi"/>
                <w:sz w:val="22"/>
                <w:szCs w:val="22"/>
                <w:lang w:val="en-GB"/>
              </w:rPr>
              <w:t>EBITDA margin</w:t>
            </w:r>
          </w:p>
        </w:tc>
        <w:tc>
          <w:tcPr>
            <w:tcW w:w="1985" w:type="dxa"/>
            <w:tcBorders>
              <w:top w:val="nil"/>
              <w:left w:val="nil"/>
              <w:bottom w:val="nil"/>
              <w:right w:val="nil"/>
            </w:tcBorders>
            <w:shd w:val="clear" w:color="auto" w:fill="auto"/>
            <w:vAlign w:val="center"/>
          </w:tcPr>
          <w:p w14:paraId="12CC49EC" w14:textId="77777777" w:rsidR="00B20CD0" w:rsidRPr="002E1281" w:rsidRDefault="00B20CD0" w:rsidP="002A3F4B">
            <w:pPr>
              <w:pStyle w:val="P68B1DB1-Normal11"/>
              <w:spacing w:after="0" w:line="240" w:lineRule="auto"/>
              <w:jc w:val="center"/>
              <w:rPr>
                <w:sz w:val="22"/>
                <w:szCs w:val="22"/>
                <w:lang w:val="en-GB"/>
              </w:rPr>
            </w:pPr>
            <w:r w:rsidRPr="002E1281">
              <w:rPr>
                <w:sz w:val="22"/>
                <w:szCs w:val="22"/>
                <w:lang w:val="en-GB"/>
              </w:rPr>
              <w:t>33.3%</w:t>
            </w:r>
          </w:p>
        </w:tc>
        <w:tc>
          <w:tcPr>
            <w:tcW w:w="1417" w:type="dxa"/>
            <w:tcBorders>
              <w:top w:val="nil"/>
              <w:left w:val="nil"/>
              <w:bottom w:val="nil"/>
              <w:right w:val="nil"/>
            </w:tcBorders>
            <w:shd w:val="clear" w:color="auto" w:fill="auto"/>
            <w:vAlign w:val="center"/>
          </w:tcPr>
          <w:p w14:paraId="423C8C65" w14:textId="77777777" w:rsidR="00B20CD0" w:rsidRPr="002E1281" w:rsidRDefault="00B20CD0" w:rsidP="002A3F4B">
            <w:pPr>
              <w:pStyle w:val="P68B1DB1-Normal11"/>
              <w:spacing w:after="0" w:line="240" w:lineRule="auto"/>
              <w:jc w:val="center"/>
              <w:rPr>
                <w:sz w:val="22"/>
                <w:szCs w:val="22"/>
                <w:lang w:val="en-GB"/>
              </w:rPr>
            </w:pPr>
            <w:r w:rsidRPr="002E1281">
              <w:rPr>
                <w:sz w:val="22"/>
                <w:szCs w:val="22"/>
                <w:lang w:val="en-GB"/>
              </w:rPr>
              <w:t>45.9%</w:t>
            </w:r>
          </w:p>
        </w:tc>
        <w:tc>
          <w:tcPr>
            <w:tcW w:w="1276" w:type="dxa"/>
            <w:tcBorders>
              <w:top w:val="nil"/>
              <w:left w:val="nil"/>
              <w:bottom w:val="nil"/>
              <w:right w:val="nil"/>
            </w:tcBorders>
            <w:shd w:val="clear" w:color="000000" w:fill="E3F1F7"/>
            <w:vAlign w:val="center"/>
          </w:tcPr>
          <w:p w14:paraId="27E2D83C" w14:textId="77777777" w:rsidR="00B20CD0" w:rsidRPr="002E1281" w:rsidRDefault="00B20CD0" w:rsidP="002A3F4B">
            <w:pPr>
              <w:pStyle w:val="P68B1DB1-Normal9"/>
              <w:spacing w:after="0" w:line="240" w:lineRule="auto"/>
              <w:jc w:val="center"/>
              <w:rPr>
                <w:rFonts w:eastAsia="Times New Roman"/>
                <w:sz w:val="22"/>
                <w:szCs w:val="22"/>
                <w:lang w:val="en-GB"/>
              </w:rPr>
            </w:pPr>
            <w:r w:rsidRPr="002E1281">
              <w:rPr>
                <w:sz w:val="22"/>
                <w:szCs w:val="22"/>
                <w:lang w:val="en-GB"/>
              </w:rPr>
              <w:t> </w:t>
            </w:r>
          </w:p>
        </w:tc>
      </w:tr>
      <w:tr w:rsidR="00B20CD0" w:rsidRPr="002E1281" w14:paraId="533DACE8" w14:textId="77777777" w:rsidTr="002A3F4B">
        <w:trPr>
          <w:trHeight w:val="300"/>
        </w:trPr>
        <w:tc>
          <w:tcPr>
            <w:tcW w:w="4678" w:type="dxa"/>
            <w:tcBorders>
              <w:top w:val="nil"/>
              <w:left w:val="nil"/>
              <w:bottom w:val="nil"/>
              <w:right w:val="nil"/>
            </w:tcBorders>
            <w:shd w:val="clear" w:color="auto" w:fill="auto"/>
            <w:vAlign w:val="center"/>
            <w:hideMark/>
          </w:tcPr>
          <w:p w14:paraId="1D2B5018"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Net profit</w:t>
            </w:r>
          </w:p>
        </w:tc>
        <w:tc>
          <w:tcPr>
            <w:tcW w:w="1985" w:type="dxa"/>
            <w:tcBorders>
              <w:top w:val="nil"/>
              <w:left w:val="nil"/>
              <w:bottom w:val="nil"/>
              <w:right w:val="nil"/>
            </w:tcBorders>
            <w:shd w:val="clear" w:color="auto" w:fill="auto"/>
            <w:vAlign w:val="center"/>
          </w:tcPr>
          <w:p w14:paraId="21AC7573"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64,817</w:t>
            </w:r>
          </w:p>
        </w:tc>
        <w:tc>
          <w:tcPr>
            <w:tcW w:w="1417" w:type="dxa"/>
            <w:tcBorders>
              <w:top w:val="nil"/>
              <w:left w:val="nil"/>
              <w:bottom w:val="nil"/>
              <w:right w:val="nil"/>
            </w:tcBorders>
            <w:shd w:val="clear" w:color="auto" w:fill="auto"/>
            <w:vAlign w:val="center"/>
          </w:tcPr>
          <w:p w14:paraId="70227040"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56,775</w:t>
            </w:r>
          </w:p>
        </w:tc>
        <w:tc>
          <w:tcPr>
            <w:tcW w:w="1276" w:type="dxa"/>
            <w:tcBorders>
              <w:top w:val="nil"/>
              <w:left w:val="nil"/>
              <w:bottom w:val="nil"/>
              <w:right w:val="nil"/>
            </w:tcBorders>
            <w:shd w:val="clear" w:color="000000" w:fill="E3F1F7"/>
            <w:vAlign w:val="center"/>
          </w:tcPr>
          <w:p w14:paraId="74393F48" w14:textId="77777777" w:rsidR="00B20CD0" w:rsidRPr="002E1281" w:rsidRDefault="00B20CD0" w:rsidP="002A3F4B">
            <w:pPr>
              <w:pStyle w:val="P68B1DB1-Normal9"/>
              <w:spacing w:after="0" w:line="240" w:lineRule="auto"/>
              <w:jc w:val="center"/>
              <w:rPr>
                <w:rFonts w:eastAsia="Times New Roman"/>
                <w:sz w:val="22"/>
                <w:szCs w:val="22"/>
                <w:lang w:val="en-GB"/>
              </w:rPr>
            </w:pPr>
            <w:r w:rsidRPr="002E1281">
              <w:rPr>
                <w:sz w:val="22"/>
                <w:szCs w:val="22"/>
                <w:lang w:val="en-GB"/>
              </w:rPr>
              <w:t>14.2%</w:t>
            </w:r>
          </w:p>
        </w:tc>
      </w:tr>
      <w:tr w:rsidR="00B20CD0" w:rsidRPr="002E1281" w14:paraId="3FB03047" w14:textId="77777777" w:rsidTr="002A3F4B">
        <w:trPr>
          <w:trHeight w:val="300"/>
        </w:trPr>
        <w:tc>
          <w:tcPr>
            <w:tcW w:w="4678" w:type="dxa"/>
            <w:tcBorders>
              <w:top w:val="nil"/>
              <w:left w:val="nil"/>
              <w:bottom w:val="nil"/>
              <w:right w:val="nil"/>
            </w:tcBorders>
            <w:shd w:val="clear" w:color="auto" w:fill="auto"/>
            <w:vAlign w:val="center"/>
            <w:hideMark/>
          </w:tcPr>
          <w:p w14:paraId="001F34F3"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Adj. net profit***</w:t>
            </w:r>
          </w:p>
        </w:tc>
        <w:tc>
          <w:tcPr>
            <w:tcW w:w="1985" w:type="dxa"/>
            <w:tcBorders>
              <w:top w:val="nil"/>
              <w:left w:val="nil"/>
              <w:bottom w:val="nil"/>
              <w:right w:val="nil"/>
            </w:tcBorders>
            <w:shd w:val="clear" w:color="auto" w:fill="auto"/>
            <w:vAlign w:val="center"/>
          </w:tcPr>
          <w:p w14:paraId="483EFAA2"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72,986</w:t>
            </w:r>
          </w:p>
        </w:tc>
        <w:tc>
          <w:tcPr>
            <w:tcW w:w="1417" w:type="dxa"/>
            <w:tcBorders>
              <w:top w:val="nil"/>
              <w:left w:val="nil"/>
              <w:bottom w:val="nil"/>
              <w:right w:val="nil"/>
            </w:tcBorders>
            <w:shd w:val="clear" w:color="auto" w:fill="auto"/>
            <w:vAlign w:val="center"/>
          </w:tcPr>
          <w:p w14:paraId="33220713"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82,896</w:t>
            </w:r>
          </w:p>
        </w:tc>
        <w:tc>
          <w:tcPr>
            <w:tcW w:w="1276" w:type="dxa"/>
            <w:tcBorders>
              <w:top w:val="nil"/>
              <w:left w:val="nil"/>
              <w:bottom w:val="nil"/>
              <w:right w:val="nil"/>
            </w:tcBorders>
            <w:shd w:val="clear" w:color="000000" w:fill="E3F1F7"/>
            <w:vAlign w:val="center"/>
          </w:tcPr>
          <w:p w14:paraId="3B762D2F" w14:textId="77777777" w:rsidR="00B20CD0" w:rsidRPr="002E1281" w:rsidRDefault="00B20CD0" w:rsidP="002A3F4B">
            <w:pPr>
              <w:pStyle w:val="P68B1DB1-Normal9"/>
              <w:spacing w:after="0" w:line="240" w:lineRule="auto"/>
              <w:jc w:val="center"/>
              <w:rPr>
                <w:rFonts w:eastAsia="Times New Roman"/>
                <w:sz w:val="22"/>
                <w:szCs w:val="22"/>
                <w:lang w:val="en-GB"/>
              </w:rPr>
            </w:pPr>
            <w:r w:rsidRPr="002E1281">
              <w:rPr>
                <w:sz w:val="22"/>
                <w:szCs w:val="22"/>
                <w:lang w:val="en-GB"/>
              </w:rPr>
              <w:t>-12.0%</w:t>
            </w:r>
          </w:p>
        </w:tc>
      </w:tr>
      <w:tr w:rsidR="00B20CD0" w:rsidRPr="002E1281" w14:paraId="47558DBD" w14:textId="77777777" w:rsidTr="002A3F4B">
        <w:trPr>
          <w:trHeight w:val="315"/>
        </w:trPr>
        <w:tc>
          <w:tcPr>
            <w:tcW w:w="4678" w:type="dxa"/>
            <w:tcBorders>
              <w:top w:val="nil"/>
              <w:left w:val="nil"/>
              <w:bottom w:val="nil"/>
              <w:right w:val="nil"/>
            </w:tcBorders>
            <w:shd w:val="clear" w:color="auto" w:fill="auto"/>
            <w:vAlign w:val="center"/>
            <w:hideMark/>
          </w:tcPr>
          <w:p w14:paraId="6538E337"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Free cash flow</w:t>
            </w:r>
          </w:p>
        </w:tc>
        <w:tc>
          <w:tcPr>
            <w:tcW w:w="1985" w:type="dxa"/>
            <w:tcBorders>
              <w:top w:val="nil"/>
              <w:left w:val="nil"/>
              <w:bottom w:val="nil"/>
              <w:right w:val="nil"/>
            </w:tcBorders>
            <w:shd w:val="clear" w:color="auto" w:fill="auto"/>
            <w:vAlign w:val="center"/>
          </w:tcPr>
          <w:p w14:paraId="5271A380"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35,991</w:t>
            </w:r>
          </w:p>
        </w:tc>
        <w:tc>
          <w:tcPr>
            <w:tcW w:w="1417" w:type="dxa"/>
            <w:tcBorders>
              <w:top w:val="nil"/>
              <w:left w:val="nil"/>
              <w:bottom w:val="nil"/>
              <w:right w:val="nil"/>
            </w:tcBorders>
            <w:shd w:val="clear" w:color="auto" w:fill="auto"/>
            <w:vAlign w:val="center"/>
          </w:tcPr>
          <w:p w14:paraId="6C9A3C44" w14:textId="77777777" w:rsidR="00B20CD0" w:rsidRPr="002E1281" w:rsidRDefault="00B20CD0" w:rsidP="002A3F4B">
            <w:pPr>
              <w:pStyle w:val="P68B1DB1-Normal8"/>
              <w:spacing w:after="0" w:line="240" w:lineRule="auto"/>
              <w:jc w:val="center"/>
              <w:rPr>
                <w:sz w:val="22"/>
                <w:szCs w:val="22"/>
                <w:lang w:val="en-GB"/>
              </w:rPr>
            </w:pPr>
            <w:r w:rsidRPr="002E1281">
              <w:rPr>
                <w:sz w:val="22"/>
                <w:szCs w:val="22"/>
                <w:lang w:val="en-GB"/>
              </w:rPr>
              <w:t>80,977</w:t>
            </w:r>
          </w:p>
        </w:tc>
        <w:tc>
          <w:tcPr>
            <w:tcW w:w="1276" w:type="dxa"/>
            <w:tcBorders>
              <w:top w:val="nil"/>
              <w:left w:val="nil"/>
              <w:bottom w:val="nil"/>
              <w:right w:val="nil"/>
            </w:tcBorders>
            <w:shd w:val="clear" w:color="000000" w:fill="E3F1F7"/>
            <w:vAlign w:val="center"/>
          </w:tcPr>
          <w:p w14:paraId="7406E394" w14:textId="77777777" w:rsidR="00B20CD0" w:rsidRPr="002E1281" w:rsidRDefault="00B20CD0" w:rsidP="002A3F4B">
            <w:pPr>
              <w:pStyle w:val="P68B1DB1-Normal9"/>
              <w:spacing w:after="0" w:line="240" w:lineRule="auto"/>
              <w:jc w:val="center"/>
              <w:rPr>
                <w:rFonts w:eastAsia="Times New Roman"/>
                <w:sz w:val="22"/>
                <w:szCs w:val="22"/>
                <w:lang w:val="en-GB"/>
              </w:rPr>
            </w:pPr>
            <w:r w:rsidRPr="002E1281">
              <w:rPr>
                <w:sz w:val="22"/>
                <w:szCs w:val="22"/>
                <w:lang w:val="en-GB"/>
              </w:rPr>
              <w:t>-55.6%</w:t>
            </w:r>
          </w:p>
        </w:tc>
      </w:tr>
      <w:tr w:rsidR="00B20CD0" w:rsidRPr="002E1281" w14:paraId="402A80D7" w14:textId="77777777" w:rsidTr="002A3F4B">
        <w:trPr>
          <w:trHeight w:val="315"/>
        </w:trPr>
        <w:tc>
          <w:tcPr>
            <w:tcW w:w="4678" w:type="dxa"/>
            <w:tcBorders>
              <w:top w:val="single" w:sz="8" w:space="0" w:color="auto"/>
              <w:left w:val="nil"/>
              <w:bottom w:val="single" w:sz="8" w:space="0" w:color="auto"/>
              <w:right w:val="nil"/>
            </w:tcBorders>
            <w:shd w:val="clear" w:color="auto" w:fill="auto"/>
            <w:vAlign w:val="center"/>
            <w:hideMark/>
          </w:tcPr>
          <w:p w14:paraId="382B77EF" w14:textId="77777777" w:rsidR="00B20CD0" w:rsidRPr="002E1281" w:rsidRDefault="00B20CD0" w:rsidP="002A3F4B">
            <w:pPr>
              <w:pStyle w:val="P68B1DB1-Normal12"/>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 xml:space="preserve"> </w:t>
            </w:r>
          </w:p>
        </w:tc>
        <w:tc>
          <w:tcPr>
            <w:tcW w:w="1985" w:type="dxa"/>
            <w:tcBorders>
              <w:top w:val="single" w:sz="8" w:space="0" w:color="auto"/>
              <w:left w:val="nil"/>
              <w:bottom w:val="single" w:sz="8" w:space="0" w:color="auto"/>
              <w:right w:val="nil"/>
            </w:tcBorders>
            <w:shd w:val="clear" w:color="auto" w:fill="auto"/>
            <w:vAlign w:val="center"/>
          </w:tcPr>
          <w:p w14:paraId="76A4D15B" w14:textId="77777777" w:rsidR="00B20CD0" w:rsidRPr="002E1281" w:rsidRDefault="00B20CD0" w:rsidP="002A3F4B">
            <w:pPr>
              <w:pStyle w:val="P68B1DB1-Normal6"/>
              <w:spacing w:after="0" w:line="240" w:lineRule="auto"/>
              <w:jc w:val="center"/>
              <w:rPr>
                <w:rFonts w:eastAsia="Times New Roman"/>
                <w:sz w:val="22"/>
                <w:szCs w:val="22"/>
                <w:lang w:val="en-GB"/>
              </w:rPr>
            </w:pPr>
            <w:r w:rsidRPr="002E1281">
              <w:rPr>
                <w:sz w:val="22"/>
                <w:szCs w:val="22"/>
                <w:lang w:val="en-GB"/>
              </w:rPr>
              <w:t>30.09.2024</w:t>
            </w:r>
          </w:p>
        </w:tc>
        <w:tc>
          <w:tcPr>
            <w:tcW w:w="1417" w:type="dxa"/>
            <w:tcBorders>
              <w:top w:val="single" w:sz="8" w:space="0" w:color="auto"/>
              <w:left w:val="nil"/>
              <w:bottom w:val="single" w:sz="8" w:space="0" w:color="auto"/>
              <w:right w:val="nil"/>
            </w:tcBorders>
            <w:shd w:val="clear" w:color="auto" w:fill="auto"/>
            <w:vAlign w:val="center"/>
          </w:tcPr>
          <w:p w14:paraId="2C007F7A" w14:textId="77777777" w:rsidR="00B20CD0" w:rsidRPr="002E1281" w:rsidRDefault="00B20CD0" w:rsidP="002A3F4B">
            <w:pPr>
              <w:pStyle w:val="P68B1DB1-Normal6"/>
              <w:spacing w:after="0" w:line="240" w:lineRule="auto"/>
              <w:jc w:val="center"/>
              <w:rPr>
                <w:rFonts w:eastAsia="Times New Roman"/>
                <w:sz w:val="22"/>
                <w:szCs w:val="22"/>
                <w:lang w:val="en-GB"/>
              </w:rPr>
            </w:pPr>
            <w:r w:rsidRPr="002E1281">
              <w:rPr>
                <w:sz w:val="22"/>
                <w:szCs w:val="22"/>
                <w:lang w:val="en-GB"/>
              </w:rPr>
              <w:t>31.12.2023</w:t>
            </w:r>
          </w:p>
        </w:tc>
        <w:tc>
          <w:tcPr>
            <w:tcW w:w="1276" w:type="dxa"/>
            <w:tcBorders>
              <w:top w:val="single" w:sz="8" w:space="0" w:color="auto"/>
              <w:left w:val="nil"/>
              <w:bottom w:val="single" w:sz="8" w:space="0" w:color="auto"/>
              <w:right w:val="nil"/>
            </w:tcBorders>
            <w:shd w:val="clear" w:color="000000" w:fill="E3F1F7"/>
            <w:vAlign w:val="center"/>
            <w:hideMark/>
          </w:tcPr>
          <w:p w14:paraId="2A27490F" w14:textId="77777777" w:rsidR="00B20CD0" w:rsidRPr="002E1281" w:rsidRDefault="00B20CD0" w:rsidP="002A3F4B">
            <w:pPr>
              <w:pStyle w:val="P68B1DB1-Normal8"/>
              <w:spacing w:after="0" w:line="240" w:lineRule="auto"/>
              <w:rPr>
                <w:sz w:val="22"/>
                <w:szCs w:val="22"/>
                <w:lang w:val="en-GB"/>
              </w:rPr>
            </w:pPr>
            <w:r w:rsidRPr="002E1281">
              <w:rPr>
                <w:sz w:val="22"/>
                <w:szCs w:val="22"/>
                <w:lang w:val="en-GB"/>
              </w:rPr>
              <w:t> </w:t>
            </w:r>
          </w:p>
        </w:tc>
      </w:tr>
      <w:tr w:rsidR="00B20CD0" w:rsidRPr="002E1281" w14:paraId="4C610127" w14:textId="77777777" w:rsidTr="002A3F4B">
        <w:trPr>
          <w:trHeight w:val="300"/>
        </w:trPr>
        <w:tc>
          <w:tcPr>
            <w:tcW w:w="4678" w:type="dxa"/>
            <w:tcBorders>
              <w:top w:val="nil"/>
              <w:left w:val="nil"/>
              <w:bottom w:val="nil"/>
              <w:right w:val="nil"/>
            </w:tcBorders>
            <w:shd w:val="clear" w:color="auto" w:fill="auto"/>
            <w:vAlign w:val="center"/>
            <w:hideMark/>
          </w:tcPr>
          <w:p w14:paraId="399DA161"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Net debt</w:t>
            </w:r>
          </w:p>
        </w:tc>
        <w:tc>
          <w:tcPr>
            <w:tcW w:w="1985" w:type="dxa"/>
            <w:tcBorders>
              <w:top w:val="nil"/>
              <w:left w:val="nil"/>
              <w:bottom w:val="nil"/>
              <w:right w:val="nil"/>
            </w:tcBorders>
            <w:shd w:val="clear" w:color="auto" w:fill="auto"/>
            <w:vAlign w:val="center"/>
          </w:tcPr>
          <w:p w14:paraId="6F44E7F1" w14:textId="77777777" w:rsidR="00B20CD0" w:rsidRPr="002E1281" w:rsidRDefault="00B20CD0" w:rsidP="002A3F4B">
            <w:pPr>
              <w:pStyle w:val="P68B1DB1-Normal13"/>
              <w:spacing w:after="0" w:line="240" w:lineRule="auto"/>
              <w:jc w:val="center"/>
              <w:rPr>
                <w:rFonts w:eastAsia="Times New Roman"/>
                <w:sz w:val="22"/>
                <w:szCs w:val="22"/>
                <w:lang w:val="en-GB"/>
              </w:rPr>
            </w:pPr>
            <w:r w:rsidRPr="002E1281">
              <w:rPr>
                <w:sz w:val="22"/>
                <w:szCs w:val="22"/>
                <w:lang w:val="en-GB"/>
              </w:rPr>
              <w:t>272,686</w:t>
            </w:r>
          </w:p>
        </w:tc>
        <w:tc>
          <w:tcPr>
            <w:tcW w:w="1417" w:type="dxa"/>
            <w:tcBorders>
              <w:top w:val="nil"/>
              <w:left w:val="nil"/>
              <w:bottom w:val="nil"/>
              <w:right w:val="nil"/>
            </w:tcBorders>
            <w:shd w:val="clear" w:color="auto" w:fill="auto"/>
            <w:vAlign w:val="center"/>
          </w:tcPr>
          <w:p w14:paraId="4183035C" w14:textId="77777777" w:rsidR="00B20CD0" w:rsidRPr="002E1281" w:rsidRDefault="00B20CD0" w:rsidP="002A3F4B">
            <w:pPr>
              <w:pStyle w:val="P68B1DB1-Normal13"/>
              <w:spacing w:after="0" w:line="240" w:lineRule="auto"/>
              <w:jc w:val="center"/>
              <w:rPr>
                <w:rFonts w:eastAsia="Times New Roman"/>
                <w:sz w:val="22"/>
                <w:szCs w:val="22"/>
                <w:lang w:val="en-GB"/>
              </w:rPr>
            </w:pPr>
            <w:r w:rsidRPr="002E1281">
              <w:rPr>
                <w:sz w:val="22"/>
                <w:szCs w:val="22"/>
                <w:lang w:val="en-GB"/>
              </w:rPr>
              <w:t>223,207</w:t>
            </w:r>
          </w:p>
        </w:tc>
        <w:tc>
          <w:tcPr>
            <w:tcW w:w="1276" w:type="dxa"/>
            <w:tcBorders>
              <w:top w:val="nil"/>
              <w:left w:val="nil"/>
              <w:bottom w:val="nil"/>
              <w:right w:val="nil"/>
            </w:tcBorders>
            <w:shd w:val="clear" w:color="000000" w:fill="E3F1F7"/>
            <w:vAlign w:val="center"/>
            <w:hideMark/>
          </w:tcPr>
          <w:p w14:paraId="5A24AF2C" w14:textId="77777777" w:rsidR="00B20CD0" w:rsidRPr="002E1281" w:rsidRDefault="00B20CD0" w:rsidP="002A3F4B">
            <w:pPr>
              <w:pStyle w:val="P68B1DB1-Normal8"/>
              <w:spacing w:after="0" w:line="240" w:lineRule="auto"/>
              <w:rPr>
                <w:sz w:val="22"/>
                <w:szCs w:val="22"/>
                <w:lang w:val="en-GB"/>
              </w:rPr>
            </w:pPr>
            <w:r w:rsidRPr="002E1281">
              <w:rPr>
                <w:sz w:val="22"/>
                <w:szCs w:val="22"/>
                <w:lang w:val="en-GB"/>
              </w:rPr>
              <w:t> </w:t>
            </w:r>
          </w:p>
        </w:tc>
      </w:tr>
      <w:tr w:rsidR="00B20CD0" w:rsidRPr="002E1281" w14:paraId="518F91EE" w14:textId="77777777" w:rsidTr="002A3F4B">
        <w:trPr>
          <w:trHeight w:val="315"/>
        </w:trPr>
        <w:tc>
          <w:tcPr>
            <w:tcW w:w="4678" w:type="dxa"/>
            <w:tcBorders>
              <w:top w:val="nil"/>
              <w:left w:val="nil"/>
              <w:bottom w:val="single" w:sz="8" w:space="0" w:color="auto"/>
              <w:right w:val="nil"/>
            </w:tcBorders>
            <w:shd w:val="clear" w:color="auto" w:fill="auto"/>
            <w:vAlign w:val="center"/>
            <w:hideMark/>
          </w:tcPr>
          <w:p w14:paraId="40760AA9" w14:textId="77777777" w:rsidR="00B20CD0" w:rsidRPr="002E1281" w:rsidRDefault="00B20CD0" w:rsidP="002A3F4B">
            <w:pPr>
              <w:pStyle w:val="P68B1DB1-Normal7"/>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ND/LTM EBITDA</w:t>
            </w:r>
          </w:p>
        </w:tc>
        <w:tc>
          <w:tcPr>
            <w:tcW w:w="1985" w:type="dxa"/>
            <w:tcBorders>
              <w:top w:val="nil"/>
              <w:left w:val="nil"/>
              <w:bottom w:val="single" w:sz="8" w:space="0" w:color="auto"/>
              <w:right w:val="nil"/>
            </w:tcBorders>
            <w:shd w:val="clear" w:color="auto" w:fill="auto"/>
            <w:vAlign w:val="center"/>
          </w:tcPr>
          <w:p w14:paraId="0B83D8E7" w14:textId="77777777" w:rsidR="00B20CD0" w:rsidRPr="002E1281" w:rsidRDefault="00B20CD0" w:rsidP="002A3F4B">
            <w:pPr>
              <w:pStyle w:val="P68B1DB1-Normal13"/>
              <w:spacing w:after="0" w:line="240" w:lineRule="auto"/>
              <w:jc w:val="center"/>
              <w:rPr>
                <w:rFonts w:eastAsia="Times New Roman"/>
                <w:sz w:val="22"/>
                <w:szCs w:val="22"/>
                <w:lang w:val="en-GB"/>
              </w:rPr>
            </w:pPr>
            <w:r w:rsidRPr="002E1281">
              <w:rPr>
                <w:sz w:val="22"/>
                <w:szCs w:val="22"/>
                <w:lang w:val="en-GB"/>
              </w:rPr>
              <w:t>1.75x</w:t>
            </w:r>
          </w:p>
        </w:tc>
        <w:tc>
          <w:tcPr>
            <w:tcW w:w="1417" w:type="dxa"/>
            <w:tcBorders>
              <w:top w:val="nil"/>
              <w:left w:val="nil"/>
              <w:bottom w:val="single" w:sz="8" w:space="0" w:color="auto"/>
              <w:right w:val="nil"/>
            </w:tcBorders>
            <w:shd w:val="clear" w:color="auto" w:fill="auto"/>
            <w:vAlign w:val="center"/>
          </w:tcPr>
          <w:p w14:paraId="5C24D1C9" w14:textId="77777777" w:rsidR="00B20CD0" w:rsidRPr="002E1281" w:rsidRDefault="00B20CD0" w:rsidP="002A3F4B">
            <w:pPr>
              <w:pStyle w:val="P68B1DB1-Normal13"/>
              <w:spacing w:after="0" w:line="240" w:lineRule="auto"/>
              <w:jc w:val="center"/>
              <w:rPr>
                <w:rFonts w:eastAsia="Times New Roman"/>
                <w:sz w:val="22"/>
                <w:szCs w:val="22"/>
                <w:lang w:val="en-GB"/>
              </w:rPr>
            </w:pPr>
            <w:r w:rsidRPr="002E1281">
              <w:rPr>
                <w:sz w:val="22"/>
                <w:szCs w:val="22"/>
                <w:lang w:val="en-GB"/>
              </w:rPr>
              <w:t>1.22x</w:t>
            </w:r>
          </w:p>
        </w:tc>
        <w:tc>
          <w:tcPr>
            <w:tcW w:w="1276" w:type="dxa"/>
            <w:tcBorders>
              <w:top w:val="nil"/>
              <w:left w:val="nil"/>
              <w:bottom w:val="single" w:sz="8" w:space="0" w:color="auto"/>
              <w:right w:val="nil"/>
            </w:tcBorders>
            <w:shd w:val="clear" w:color="000000" w:fill="E3F1F7"/>
            <w:vAlign w:val="center"/>
            <w:hideMark/>
          </w:tcPr>
          <w:p w14:paraId="0B90EAE2" w14:textId="77777777" w:rsidR="00B20CD0" w:rsidRPr="002E1281" w:rsidRDefault="00B20CD0" w:rsidP="002A3F4B">
            <w:pPr>
              <w:pStyle w:val="P68B1DB1-Normal8"/>
              <w:spacing w:after="0" w:line="240" w:lineRule="auto"/>
              <w:rPr>
                <w:sz w:val="22"/>
                <w:szCs w:val="22"/>
                <w:lang w:val="en-GB"/>
              </w:rPr>
            </w:pPr>
            <w:r w:rsidRPr="002E1281">
              <w:rPr>
                <w:sz w:val="22"/>
                <w:szCs w:val="22"/>
                <w:lang w:val="en-GB"/>
              </w:rPr>
              <w:t> </w:t>
            </w:r>
          </w:p>
        </w:tc>
      </w:tr>
    </w:tbl>
    <w:p w14:paraId="0BDE2949" w14:textId="77777777" w:rsidR="00B20CD0" w:rsidRPr="002E1281" w:rsidRDefault="00B20CD0" w:rsidP="00B20CD0">
      <w:pPr>
        <w:pStyle w:val="P68B1DB1-Footer14"/>
        <w:rPr>
          <w:sz w:val="22"/>
          <w:szCs w:val="22"/>
          <w:lang w:val="en-GB"/>
        </w:rPr>
      </w:pPr>
      <w:r w:rsidRPr="002E1281">
        <w:rPr>
          <w:sz w:val="22"/>
          <w:szCs w:val="22"/>
          <w:lang w:val="en-GB"/>
        </w:rPr>
        <w:t>* EBITDA is calculated as operating profit adjusted for depreciation and amortization.</w:t>
      </w:r>
    </w:p>
    <w:p w14:paraId="64E2967B" w14:textId="77777777" w:rsidR="00B20CD0" w:rsidRPr="002E1281" w:rsidRDefault="00B20CD0" w:rsidP="00B20CD0">
      <w:pPr>
        <w:pStyle w:val="P68B1DB1-Footer14"/>
        <w:rPr>
          <w:sz w:val="22"/>
          <w:szCs w:val="22"/>
          <w:lang w:val="en-GB"/>
        </w:rPr>
      </w:pPr>
      <w:r w:rsidRPr="002E1281">
        <w:rPr>
          <w:sz w:val="22"/>
          <w:szCs w:val="22"/>
          <w:lang w:val="en-GB"/>
        </w:rPr>
        <w:t>** Adj. EBITDA is calculated as EBITDA adjusted for FX differences from operating activities.</w:t>
      </w:r>
    </w:p>
    <w:p w14:paraId="63B3D907" w14:textId="77777777" w:rsidR="00B20CD0" w:rsidRPr="002E1281" w:rsidRDefault="00B20CD0" w:rsidP="00B20CD0">
      <w:pPr>
        <w:pStyle w:val="P68B1DB1-Footer14"/>
        <w:tabs>
          <w:tab w:val="clear" w:pos="4513"/>
          <w:tab w:val="clear" w:pos="9026"/>
        </w:tabs>
        <w:snapToGrid w:val="0"/>
        <w:rPr>
          <w:sz w:val="22"/>
          <w:szCs w:val="22"/>
          <w:lang w:val="en-GB"/>
        </w:rPr>
      </w:pPr>
      <w:r w:rsidRPr="002E1281">
        <w:rPr>
          <w:sz w:val="22"/>
          <w:szCs w:val="22"/>
          <w:lang w:val="en-GB"/>
        </w:rPr>
        <w:t>*** Adj. net profit is net profit as reported minus FX gain or loss.</w:t>
      </w:r>
    </w:p>
    <w:p w14:paraId="0599D469" w14:textId="468429DA"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The Company</w:t>
      </w:r>
      <w:r w:rsidR="006425C1" w:rsidRPr="002E1281">
        <w:rPr>
          <w:szCs w:val="22"/>
          <w:lang w:val="en-GB"/>
        </w:rPr>
        <w:t>’</w:t>
      </w:r>
      <w:r w:rsidRPr="002E1281">
        <w:rPr>
          <w:szCs w:val="22"/>
          <w:lang w:val="en-GB"/>
        </w:rPr>
        <w:t>s revenue in 9M 2024 rose 12.8% year-on-year</w:t>
      </w:r>
      <w:r w:rsidR="00D903DE" w:rsidRPr="002E1281">
        <w:rPr>
          <w:szCs w:val="22"/>
          <w:lang w:val="en-GB"/>
        </w:rPr>
        <w:t>, driven chiefly</w:t>
      </w:r>
      <w:r w:rsidRPr="002E1281">
        <w:rPr>
          <w:szCs w:val="22"/>
          <w:lang w:val="en-GB"/>
        </w:rPr>
        <w:t xml:space="preserve"> </w:t>
      </w:r>
      <w:r w:rsidR="00D903DE" w:rsidRPr="002E1281">
        <w:rPr>
          <w:szCs w:val="22"/>
          <w:lang w:val="en-GB"/>
        </w:rPr>
        <w:t>by increased</w:t>
      </w:r>
      <w:r w:rsidRPr="002E1281">
        <w:rPr>
          <w:szCs w:val="22"/>
          <w:lang w:val="en-GB"/>
        </w:rPr>
        <w:t xml:space="preserve"> production and sales of phosphate-based fertilizers (</w:t>
      </w:r>
      <w:r w:rsidR="00D903DE" w:rsidRPr="002E1281">
        <w:rPr>
          <w:szCs w:val="22"/>
          <w:lang w:val="en-GB"/>
        </w:rPr>
        <w:t>mainly</w:t>
      </w:r>
      <w:r w:rsidRPr="002E1281">
        <w:rPr>
          <w:szCs w:val="22"/>
          <w:lang w:val="en-GB"/>
        </w:rPr>
        <w:t xml:space="preserve"> NPK) at a time when average prices in global markets had recovered from the beginning of the year.</w:t>
      </w:r>
      <w:r w:rsidRPr="002E1281">
        <w:rPr>
          <w:color w:val="FF0000"/>
          <w:szCs w:val="22"/>
          <w:lang w:val="en-GB"/>
        </w:rPr>
        <w:t xml:space="preserve"> </w:t>
      </w:r>
      <w:r w:rsidRPr="002E1281">
        <w:rPr>
          <w:szCs w:val="22"/>
          <w:lang w:val="en-GB"/>
        </w:rPr>
        <w:t xml:space="preserve"> </w:t>
      </w:r>
    </w:p>
    <w:p w14:paraId="79768513" w14:textId="17BBC611"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The Company</w:t>
      </w:r>
      <w:r w:rsidR="00D903DE" w:rsidRPr="002E1281">
        <w:rPr>
          <w:szCs w:val="22"/>
          <w:lang w:val="en-GB"/>
        </w:rPr>
        <w:t>’s</w:t>
      </w:r>
      <w:r w:rsidRPr="002E1281">
        <w:rPr>
          <w:szCs w:val="22"/>
          <w:lang w:val="en-GB"/>
        </w:rPr>
        <w:t xml:space="preserve"> EBITDA in the first nine months of the year amounted to RUB 123.5 billion</w:t>
      </w:r>
      <w:r w:rsidR="00955A18">
        <w:rPr>
          <w:szCs w:val="22"/>
          <w:lang w:val="en-GB"/>
        </w:rPr>
        <w:t xml:space="preserve"> thanks to increased sales volumes and higher prices as well as the positive effect of exchange rate differences. At the same time</w:t>
      </w:r>
      <w:r w:rsidRPr="002E1281">
        <w:rPr>
          <w:szCs w:val="22"/>
          <w:lang w:val="en-GB"/>
        </w:rPr>
        <w:t xml:space="preserve">, </w:t>
      </w:r>
      <w:r w:rsidR="00955A18">
        <w:rPr>
          <w:szCs w:val="22"/>
          <w:lang w:val="en-GB"/>
        </w:rPr>
        <w:t>EBITDA faced pressure from factors such as an increase in</w:t>
      </w:r>
      <w:r w:rsidR="00955A18" w:rsidRPr="002E1281">
        <w:rPr>
          <w:szCs w:val="22"/>
          <w:lang w:val="en-GB"/>
        </w:rPr>
        <w:t xml:space="preserve"> </w:t>
      </w:r>
      <w:r w:rsidRPr="002E1281">
        <w:rPr>
          <w:szCs w:val="22"/>
          <w:lang w:val="en-GB"/>
        </w:rPr>
        <w:t xml:space="preserve">production costs owing to the </w:t>
      </w:r>
      <w:r w:rsidRPr="002E1281">
        <w:rPr>
          <w:szCs w:val="22"/>
          <w:lang w:val="en-GB"/>
        </w:rPr>
        <w:lastRenderedPageBreak/>
        <w:t>payment of export duties introduced in 2023</w:t>
      </w:r>
      <w:r w:rsidR="00955A18">
        <w:rPr>
          <w:szCs w:val="22"/>
          <w:lang w:val="en-GB"/>
        </w:rPr>
        <w:t>, greater consumption of raw materials and higher personnel costs</w:t>
      </w:r>
      <w:r w:rsidRPr="002E1281">
        <w:rPr>
          <w:szCs w:val="22"/>
          <w:lang w:val="en-GB"/>
        </w:rPr>
        <w:t>.</w:t>
      </w:r>
      <w:r w:rsidRPr="002E1281">
        <w:rPr>
          <w:color w:val="FF0000"/>
          <w:szCs w:val="22"/>
          <w:lang w:val="en-GB"/>
        </w:rPr>
        <w:t xml:space="preserve"> </w:t>
      </w:r>
      <w:r w:rsidRPr="002E1281">
        <w:rPr>
          <w:szCs w:val="22"/>
          <w:lang w:val="en-GB"/>
        </w:rPr>
        <w:t xml:space="preserve"> </w:t>
      </w:r>
    </w:p>
    <w:p w14:paraId="52DC2E4D" w14:textId="1BA54AF1"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EBITDA margin in 9M 2024 was 33.3%, driven by the Company</w:t>
      </w:r>
      <w:r w:rsidR="00D903DE" w:rsidRPr="002E1281">
        <w:rPr>
          <w:szCs w:val="22"/>
          <w:lang w:val="en-GB"/>
        </w:rPr>
        <w:t>’</w:t>
      </w:r>
      <w:r w:rsidRPr="002E1281">
        <w:rPr>
          <w:szCs w:val="22"/>
          <w:lang w:val="en-GB"/>
        </w:rPr>
        <w:t xml:space="preserve">s highly efficient production assets, increased production of high-margin fertilizers and basic feedstocks as well as its flexible sales policy. </w:t>
      </w:r>
    </w:p>
    <w:p w14:paraId="63E91850" w14:textId="6759481F"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Free cash flow (FCF) in 9M 2024 amounted to nearly RUB 36.0 billion</w:t>
      </w:r>
      <w:r w:rsidR="00D903DE" w:rsidRPr="002E1281">
        <w:rPr>
          <w:szCs w:val="22"/>
          <w:lang w:val="en-GB"/>
        </w:rPr>
        <w:t>. The amount of f</w:t>
      </w:r>
      <w:r w:rsidRPr="002E1281">
        <w:rPr>
          <w:szCs w:val="22"/>
          <w:lang w:val="en-GB"/>
        </w:rPr>
        <w:t xml:space="preserve">ree cash flow </w:t>
      </w:r>
      <w:r w:rsidR="00D903DE" w:rsidRPr="002E1281">
        <w:rPr>
          <w:szCs w:val="22"/>
          <w:lang w:val="en-GB"/>
        </w:rPr>
        <w:t xml:space="preserve">in 2024 was </w:t>
      </w:r>
      <w:r w:rsidRPr="002E1281">
        <w:rPr>
          <w:szCs w:val="22"/>
          <w:lang w:val="en-GB"/>
        </w:rPr>
        <w:t>impacted by a planned increase in capital expenditures (</w:t>
      </w:r>
      <w:r w:rsidR="00D903DE" w:rsidRPr="002E1281">
        <w:rPr>
          <w:szCs w:val="22"/>
          <w:lang w:val="en-GB"/>
        </w:rPr>
        <w:t>associated with</w:t>
      </w:r>
      <w:r w:rsidRPr="002E1281">
        <w:rPr>
          <w:szCs w:val="22"/>
          <w:lang w:val="en-GB"/>
        </w:rPr>
        <w:t xml:space="preserve"> the implementation of major investment projects) and cash outflows of RUB 18.5 billion in the third quarter for working capital requirements, </w:t>
      </w:r>
      <w:r w:rsidR="00D903DE" w:rsidRPr="002E1281">
        <w:rPr>
          <w:szCs w:val="22"/>
          <w:lang w:val="en-GB"/>
        </w:rPr>
        <w:t xml:space="preserve">alongside </w:t>
      </w:r>
      <w:r w:rsidRPr="002E1281">
        <w:rPr>
          <w:szCs w:val="22"/>
          <w:lang w:val="en-GB"/>
        </w:rPr>
        <w:t xml:space="preserve">increased exports to Latin American countries and the stockpiling of inventories ahead of seasonal demand in </w:t>
      </w:r>
      <w:r w:rsidR="00D903DE" w:rsidRPr="002E1281">
        <w:rPr>
          <w:szCs w:val="22"/>
          <w:lang w:val="en-GB"/>
        </w:rPr>
        <w:t xml:space="preserve">the </w:t>
      </w:r>
      <w:r w:rsidRPr="002E1281">
        <w:rPr>
          <w:szCs w:val="22"/>
          <w:lang w:val="en-GB"/>
        </w:rPr>
        <w:t>Russian and European markets.</w:t>
      </w:r>
      <w:r w:rsidRPr="002E1281">
        <w:rPr>
          <w:color w:val="FF0000"/>
          <w:szCs w:val="22"/>
          <w:lang w:val="en-GB"/>
        </w:rPr>
        <w:t xml:space="preserve">  </w:t>
      </w:r>
    </w:p>
    <w:p w14:paraId="005694D3" w14:textId="3C5CBC10"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Thanks to its strong financial position, the Company was able to service all its debt obligations, including those denominated in foreign currency, on time and in full. As of the end of 9M 2024, the Company</w:t>
      </w:r>
      <w:r w:rsidR="00D903DE" w:rsidRPr="002E1281">
        <w:rPr>
          <w:szCs w:val="22"/>
          <w:lang w:val="en-GB"/>
        </w:rPr>
        <w:t>’s</w:t>
      </w:r>
      <w:r w:rsidRPr="002E1281">
        <w:rPr>
          <w:szCs w:val="22"/>
          <w:lang w:val="en-GB"/>
        </w:rPr>
        <w:t xml:space="preserve"> debt position remained at a comfortable level. As of 30 September 2024, net debt amounted to RUB 272.7 billion, and the net debt/EBITDA ratio was 1.75x. </w:t>
      </w:r>
    </w:p>
    <w:p w14:paraId="14981B60" w14:textId="0A5EC584"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The Company</w:t>
      </w:r>
      <w:r w:rsidR="00D903DE" w:rsidRPr="002E1281">
        <w:rPr>
          <w:szCs w:val="22"/>
          <w:lang w:val="en-GB"/>
        </w:rPr>
        <w:t>’</w:t>
      </w:r>
      <w:r w:rsidRPr="002E1281">
        <w:rPr>
          <w:szCs w:val="22"/>
          <w:lang w:val="en-GB"/>
        </w:rPr>
        <w:t xml:space="preserve">s debt position since the beginning of the year </w:t>
      </w:r>
      <w:r w:rsidR="00D903DE" w:rsidRPr="002E1281">
        <w:rPr>
          <w:szCs w:val="22"/>
          <w:lang w:val="en-GB"/>
        </w:rPr>
        <w:t>has been</w:t>
      </w:r>
      <w:r w:rsidRPr="002E1281">
        <w:rPr>
          <w:szCs w:val="22"/>
          <w:lang w:val="en-GB"/>
        </w:rPr>
        <w:t xml:space="preserve"> </w:t>
      </w:r>
      <w:r w:rsidR="00D903DE" w:rsidRPr="002E1281">
        <w:rPr>
          <w:szCs w:val="22"/>
          <w:lang w:val="en-GB"/>
        </w:rPr>
        <w:t>impacted</w:t>
      </w:r>
      <w:r w:rsidRPr="002E1281">
        <w:rPr>
          <w:szCs w:val="22"/>
          <w:lang w:val="en-GB"/>
        </w:rPr>
        <w:t xml:space="preserve"> by factors such as the issuance of RUB 35 billion in exchange-traded bonds in September (the Company used these funds to repay over RUB 20 billion in short-term debt in October 2024), as well as the depreciation of the rouble against the US dollar and Chinese yuan and the revaluation of debt denominated in foreign currencies into roubles at a new exchange rate.</w:t>
      </w:r>
    </w:p>
    <w:tbl>
      <w:tblPr>
        <w:tblW w:w="9356" w:type="dxa"/>
        <w:tblLook w:val="04A0" w:firstRow="1" w:lastRow="0" w:firstColumn="1" w:lastColumn="0" w:noHBand="0" w:noVBand="1"/>
      </w:tblPr>
      <w:tblGrid>
        <w:gridCol w:w="3969"/>
        <w:gridCol w:w="1418"/>
        <w:gridCol w:w="1843"/>
        <w:gridCol w:w="2126"/>
      </w:tblGrid>
      <w:tr w:rsidR="00B20CD0" w:rsidRPr="002E1281" w14:paraId="18744C80" w14:textId="77777777" w:rsidTr="002A3F4B">
        <w:trPr>
          <w:trHeight w:val="330"/>
        </w:trPr>
        <w:tc>
          <w:tcPr>
            <w:tcW w:w="9356" w:type="dxa"/>
            <w:gridSpan w:val="4"/>
            <w:tcBorders>
              <w:top w:val="nil"/>
              <w:left w:val="nil"/>
              <w:bottom w:val="single" w:sz="8" w:space="0" w:color="auto"/>
              <w:right w:val="nil"/>
            </w:tcBorders>
            <w:shd w:val="clear" w:color="000000" w:fill="2B87A2"/>
            <w:vAlign w:val="center"/>
            <w:hideMark/>
          </w:tcPr>
          <w:p w14:paraId="2A5EF89C" w14:textId="77777777" w:rsidR="00B20CD0" w:rsidRPr="002E1281" w:rsidRDefault="00B20CD0" w:rsidP="002A3F4B">
            <w:pPr>
              <w:pStyle w:val="P68B1DB1-Normal15"/>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Operating highlights</w:t>
            </w:r>
          </w:p>
        </w:tc>
      </w:tr>
      <w:tr w:rsidR="00B20CD0" w:rsidRPr="002E1281" w14:paraId="773F12F8" w14:textId="77777777" w:rsidTr="002A3F4B">
        <w:trPr>
          <w:trHeight w:val="345"/>
        </w:trPr>
        <w:tc>
          <w:tcPr>
            <w:tcW w:w="9356" w:type="dxa"/>
            <w:gridSpan w:val="4"/>
            <w:tcBorders>
              <w:top w:val="single" w:sz="8" w:space="0" w:color="auto"/>
              <w:left w:val="nil"/>
              <w:right w:val="nil"/>
            </w:tcBorders>
            <w:shd w:val="clear" w:color="000000" w:fill="2B87A2"/>
            <w:vAlign w:val="center"/>
            <w:hideMark/>
          </w:tcPr>
          <w:p w14:paraId="40A78FA9" w14:textId="77777777" w:rsidR="00B20CD0" w:rsidRPr="002E1281" w:rsidRDefault="00B20CD0" w:rsidP="002A3F4B">
            <w:pPr>
              <w:pStyle w:val="P68B1DB1-Normal16"/>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Production volumes by category</w:t>
            </w:r>
          </w:p>
        </w:tc>
      </w:tr>
      <w:tr w:rsidR="00B20CD0" w:rsidRPr="002E1281" w14:paraId="37D8EA51" w14:textId="77777777" w:rsidTr="002A3F4B">
        <w:trPr>
          <w:trHeight w:val="299"/>
        </w:trPr>
        <w:tc>
          <w:tcPr>
            <w:tcW w:w="3969" w:type="dxa"/>
            <w:tcBorders>
              <w:top w:val="nil"/>
              <w:left w:val="nil"/>
              <w:bottom w:val="single" w:sz="4" w:space="0" w:color="auto"/>
              <w:right w:val="nil"/>
            </w:tcBorders>
            <w:shd w:val="clear" w:color="auto" w:fill="auto"/>
            <w:vAlign w:val="center"/>
            <w:hideMark/>
          </w:tcPr>
          <w:p w14:paraId="49C7A65C" w14:textId="77777777" w:rsidR="00B20CD0" w:rsidRPr="002E1281" w:rsidRDefault="00B20CD0" w:rsidP="002A3F4B">
            <w:pPr>
              <w:pStyle w:val="P68B1DB1-Normal12"/>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kt</w:t>
            </w:r>
          </w:p>
        </w:tc>
        <w:tc>
          <w:tcPr>
            <w:tcW w:w="1418" w:type="dxa"/>
            <w:tcBorders>
              <w:top w:val="nil"/>
              <w:left w:val="nil"/>
              <w:bottom w:val="single" w:sz="4" w:space="0" w:color="auto"/>
              <w:right w:val="nil"/>
            </w:tcBorders>
            <w:shd w:val="clear" w:color="auto" w:fill="auto"/>
            <w:vAlign w:val="center"/>
            <w:hideMark/>
          </w:tcPr>
          <w:p w14:paraId="0B45F16A"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9M 2024</w:t>
            </w:r>
          </w:p>
        </w:tc>
        <w:tc>
          <w:tcPr>
            <w:tcW w:w="1843" w:type="dxa"/>
            <w:tcBorders>
              <w:top w:val="nil"/>
              <w:left w:val="nil"/>
              <w:bottom w:val="single" w:sz="4" w:space="0" w:color="auto"/>
              <w:right w:val="nil"/>
            </w:tcBorders>
            <w:shd w:val="clear" w:color="auto" w:fill="auto"/>
            <w:vAlign w:val="center"/>
            <w:hideMark/>
          </w:tcPr>
          <w:p w14:paraId="154B28C2"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9M 2023</w:t>
            </w:r>
          </w:p>
        </w:tc>
        <w:tc>
          <w:tcPr>
            <w:tcW w:w="2126" w:type="dxa"/>
            <w:tcBorders>
              <w:top w:val="nil"/>
              <w:left w:val="nil"/>
              <w:bottom w:val="single" w:sz="4" w:space="0" w:color="auto"/>
              <w:right w:val="nil"/>
            </w:tcBorders>
            <w:shd w:val="clear" w:color="000000" w:fill="E3F1F7"/>
            <w:vAlign w:val="center"/>
            <w:hideMark/>
          </w:tcPr>
          <w:p w14:paraId="7F674542" w14:textId="5C4AD13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Change %</w:t>
            </w:r>
          </w:p>
        </w:tc>
      </w:tr>
      <w:tr w:rsidR="00B20CD0" w:rsidRPr="002E1281" w14:paraId="39A009D8" w14:textId="77777777" w:rsidTr="002A3F4B">
        <w:trPr>
          <w:trHeight w:val="166"/>
        </w:trPr>
        <w:tc>
          <w:tcPr>
            <w:tcW w:w="9356" w:type="dxa"/>
            <w:gridSpan w:val="4"/>
            <w:tcBorders>
              <w:top w:val="single" w:sz="4" w:space="0" w:color="auto"/>
              <w:left w:val="nil"/>
              <w:bottom w:val="nil"/>
              <w:right w:val="nil"/>
            </w:tcBorders>
            <w:shd w:val="clear" w:color="auto" w:fill="auto"/>
            <w:vAlign w:val="center"/>
          </w:tcPr>
          <w:p w14:paraId="17A1EA23"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Mineral fertilizers and feed phosphates</w:t>
            </w:r>
          </w:p>
        </w:tc>
      </w:tr>
      <w:tr w:rsidR="00B20CD0" w:rsidRPr="002E1281" w14:paraId="53848A54" w14:textId="77777777" w:rsidTr="002A3F4B">
        <w:trPr>
          <w:trHeight w:val="480"/>
        </w:trPr>
        <w:tc>
          <w:tcPr>
            <w:tcW w:w="3969" w:type="dxa"/>
            <w:tcBorders>
              <w:top w:val="nil"/>
              <w:left w:val="nil"/>
              <w:right w:val="nil"/>
            </w:tcBorders>
            <w:shd w:val="clear" w:color="auto" w:fill="auto"/>
            <w:vAlign w:val="center"/>
            <w:hideMark/>
          </w:tcPr>
          <w:p w14:paraId="4BA68819"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Phosphate-based fertilizers and feed phosphates</w:t>
            </w:r>
          </w:p>
        </w:tc>
        <w:tc>
          <w:tcPr>
            <w:tcW w:w="1418" w:type="dxa"/>
            <w:tcBorders>
              <w:top w:val="nil"/>
              <w:left w:val="nil"/>
              <w:right w:val="nil"/>
            </w:tcBorders>
            <w:shd w:val="clear" w:color="auto" w:fill="auto"/>
            <w:vAlign w:val="center"/>
          </w:tcPr>
          <w:p w14:paraId="4EBFFEBF"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6,655.0</w:t>
            </w:r>
          </w:p>
        </w:tc>
        <w:tc>
          <w:tcPr>
            <w:tcW w:w="1843" w:type="dxa"/>
            <w:tcBorders>
              <w:top w:val="nil"/>
              <w:left w:val="nil"/>
              <w:right w:val="nil"/>
            </w:tcBorders>
            <w:shd w:val="clear" w:color="auto" w:fill="auto"/>
            <w:vAlign w:val="center"/>
          </w:tcPr>
          <w:p w14:paraId="369CD328"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6,396.3</w:t>
            </w:r>
          </w:p>
        </w:tc>
        <w:tc>
          <w:tcPr>
            <w:tcW w:w="2126" w:type="dxa"/>
            <w:tcBorders>
              <w:top w:val="nil"/>
              <w:left w:val="nil"/>
              <w:right w:val="nil"/>
            </w:tcBorders>
            <w:shd w:val="clear" w:color="000000" w:fill="E3F1F7"/>
            <w:vAlign w:val="center"/>
          </w:tcPr>
          <w:p w14:paraId="395D8358" w14:textId="77777777" w:rsidR="00B20CD0" w:rsidRPr="002E1281" w:rsidRDefault="00B20CD0" w:rsidP="002A3F4B">
            <w:pPr>
              <w:pStyle w:val="P68B1DB1-Normal20"/>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4.0%</w:t>
            </w:r>
          </w:p>
        </w:tc>
      </w:tr>
      <w:tr w:rsidR="00B20CD0" w:rsidRPr="002E1281" w14:paraId="191870C9" w14:textId="77777777" w:rsidTr="002A3F4B">
        <w:trPr>
          <w:trHeight w:val="300"/>
        </w:trPr>
        <w:tc>
          <w:tcPr>
            <w:tcW w:w="3969" w:type="dxa"/>
            <w:tcBorders>
              <w:top w:val="nil"/>
              <w:left w:val="nil"/>
              <w:bottom w:val="single" w:sz="4" w:space="0" w:color="auto"/>
              <w:right w:val="nil"/>
            </w:tcBorders>
            <w:shd w:val="clear" w:color="auto" w:fill="auto"/>
            <w:vAlign w:val="center"/>
            <w:hideMark/>
          </w:tcPr>
          <w:p w14:paraId="1EBB9DAC"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Nitrogen-based fertilizers</w:t>
            </w:r>
          </w:p>
        </w:tc>
        <w:tc>
          <w:tcPr>
            <w:tcW w:w="1418" w:type="dxa"/>
            <w:tcBorders>
              <w:top w:val="nil"/>
              <w:left w:val="nil"/>
              <w:bottom w:val="single" w:sz="4" w:space="0" w:color="auto"/>
              <w:right w:val="nil"/>
            </w:tcBorders>
            <w:shd w:val="clear" w:color="auto" w:fill="auto"/>
            <w:vAlign w:val="center"/>
          </w:tcPr>
          <w:p w14:paraId="1E9C8B34"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1,902.6</w:t>
            </w:r>
          </w:p>
        </w:tc>
        <w:tc>
          <w:tcPr>
            <w:tcW w:w="1843" w:type="dxa"/>
            <w:tcBorders>
              <w:top w:val="nil"/>
              <w:left w:val="nil"/>
              <w:bottom w:val="single" w:sz="4" w:space="0" w:color="auto"/>
              <w:right w:val="nil"/>
            </w:tcBorders>
            <w:shd w:val="clear" w:color="auto" w:fill="auto"/>
            <w:vAlign w:val="center"/>
          </w:tcPr>
          <w:p w14:paraId="76951ACF"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1,959.1</w:t>
            </w:r>
          </w:p>
        </w:tc>
        <w:tc>
          <w:tcPr>
            <w:tcW w:w="2126" w:type="dxa"/>
            <w:tcBorders>
              <w:top w:val="nil"/>
              <w:left w:val="nil"/>
              <w:bottom w:val="single" w:sz="4" w:space="0" w:color="auto"/>
              <w:right w:val="nil"/>
            </w:tcBorders>
            <w:shd w:val="clear" w:color="000000" w:fill="E3F1F7"/>
            <w:vAlign w:val="center"/>
          </w:tcPr>
          <w:p w14:paraId="51327DFF" w14:textId="77777777" w:rsidR="00B20CD0" w:rsidRPr="002E1281" w:rsidRDefault="00B20CD0" w:rsidP="002A3F4B">
            <w:pPr>
              <w:pStyle w:val="P68B1DB1-Normal20"/>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-2.9%</w:t>
            </w:r>
          </w:p>
        </w:tc>
      </w:tr>
      <w:tr w:rsidR="00B20CD0" w:rsidRPr="002E1281" w14:paraId="4ECFB1CD" w14:textId="77777777" w:rsidTr="002A3F4B">
        <w:trPr>
          <w:trHeight w:val="315"/>
        </w:trPr>
        <w:tc>
          <w:tcPr>
            <w:tcW w:w="3969" w:type="dxa"/>
            <w:tcBorders>
              <w:top w:val="single" w:sz="4" w:space="0" w:color="auto"/>
              <w:left w:val="nil"/>
              <w:bottom w:val="double" w:sz="4" w:space="0" w:color="auto"/>
              <w:right w:val="nil"/>
            </w:tcBorders>
            <w:shd w:val="clear" w:color="auto" w:fill="auto"/>
            <w:vAlign w:val="center"/>
          </w:tcPr>
          <w:p w14:paraId="59AB9DFE" w14:textId="77777777" w:rsidR="00B20CD0" w:rsidRPr="002E1281" w:rsidRDefault="00B20CD0" w:rsidP="002A3F4B">
            <w:pPr>
              <w:pStyle w:val="P68B1DB1-Normal21"/>
              <w:spacing w:after="0" w:line="240" w:lineRule="auto"/>
              <w:rPr>
                <w:szCs w:val="22"/>
                <w:lang w:val="en-GB"/>
              </w:rPr>
            </w:pPr>
            <w:r w:rsidRPr="002E1281">
              <w:rPr>
                <w:szCs w:val="22"/>
                <w:lang w:val="en-GB"/>
              </w:rPr>
              <w:t>TOTAL fertilizers</w:t>
            </w:r>
          </w:p>
        </w:tc>
        <w:tc>
          <w:tcPr>
            <w:tcW w:w="1418" w:type="dxa"/>
            <w:tcBorders>
              <w:top w:val="single" w:sz="4" w:space="0" w:color="auto"/>
              <w:left w:val="nil"/>
              <w:bottom w:val="double" w:sz="4" w:space="0" w:color="auto"/>
              <w:right w:val="nil"/>
            </w:tcBorders>
            <w:shd w:val="clear" w:color="auto" w:fill="auto"/>
            <w:vAlign w:val="center"/>
          </w:tcPr>
          <w:p w14:paraId="27D90459" w14:textId="77777777" w:rsidR="00B20CD0" w:rsidRPr="002E1281" w:rsidRDefault="00B20CD0" w:rsidP="002A3F4B">
            <w:pPr>
              <w:pStyle w:val="P68B1DB1-Normal22"/>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8,557.6</w:t>
            </w:r>
          </w:p>
        </w:tc>
        <w:tc>
          <w:tcPr>
            <w:tcW w:w="1843" w:type="dxa"/>
            <w:tcBorders>
              <w:top w:val="single" w:sz="4" w:space="0" w:color="auto"/>
              <w:left w:val="nil"/>
              <w:bottom w:val="double" w:sz="4" w:space="0" w:color="auto"/>
              <w:right w:val="nil"/>
            </w:tcBorders>
            <w:shd w:val="clear" w:color="auto" w:fill="auto"/>
            <w:vAlign w:val="center"/>
          </w:tcPr>
          <w:p w14:paraId="4B889376" w14:textId="77777777" w:rsidR="00B20CD0" w:rsidRPr="002E1281" w:rsidRDefault="00B20CD0" w:rsidP="002A3F4B">
            <w:pPr>
              <w:pStyle w:val="P68B1DB1-Normal22"/>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8,355.4</w:t>
            </w:r>
          </w:p>
        </w:tc>
        <w:tc>
          <w:tcPr>
            <w:tcW w:w="2126" w:type="dxa"/>
            <w:tcBorders>
              <w:top w:val="single" w:sz="4" w:space="0" w:color="auto"/>
              <w:left w:val="nil"/>
              <w:bottom w:val="double" w:sz="4" w:space="0" w:color="auto"/>
              <w:right w:val="nil"/>
            </w:tcBorders>
            <w:shd w:val="clear" w:color="000000" w:fill="E3F1F7"/>
            <w:vAlign w:val="center"/>
          </w:tcPr>
          <w:p w14:paraId="518DFA7F" w14:textId="77777777" w:rsidR="00B20CD0" w:rsidRPr="002E1281" w:rsidRDefault="00B20CD0" w:rsidP="002A3F4B">
            <w:pPr>
              <w:pStyle w:val="P68B1DB1-Normal23"/>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2.4%</w:t>
            </w:r>
          </w:p>
        </w:tc>
      </w:tr>
      <w:tr w:rsidR="00B20CD0" w:rsidRPr="002E1281" w14:paraId="3A546F56" w14:textId="77777777" w:rsidTr="002A3F4B">
        <w:trPr>
          <w:trHeight w:val="315"/>
        </w:trPr>
        <w:tc>
          <w:tcPr>
            <w:tcW w:w="9356" w:type="dxa"/>
            <w:gridSpan w:val="4"/>
            <w:tcBorders>
              <w:top w:val="double" w:sz="4" w:space="0" w:color="auto"/>
              <w:left w:val="nil"/>
              <w:right w:val="nil"/>
            </w:tcBorders>
            <w:shd w:val="clear" w:color="auto" w:fill="auto"/>
            <w:vAlign w:val="center"/>
          </w:tcPr>
          <w:p w14:paraId="10E4F33F" w14:textId="77777777" w:rsidR="00B20CD0" w:rsidRPr="002E1281" w:rsidRDefault="00B20CD0" w:rsidP="002A3F4B">
            <w:pPr>
              <w:pStyle w:val="P68B1DB1-Normal17"/>
              <w:spacing w:after="0" w:line="240" w:lineRule="auto"/>
              <w:jc w:val="center"/>
              <w:rPr>
                <w:i/>
                <w:sz w:val="22"/>
                <w:szCs w:val="22"/>
                <w:lang w:val="en-GB"/>
              </w:rPr>
            </w:pPr>
            <w:r w:rsidRPr="002E1281">
              <w:rPr>
                <w:sz w:val="22"/>
                <w:szCs w:val="22"/>
                <w:lang w:val="en-GB"/>
              </w:rPr>
              <w:t>Other products</w:t>
            </w:r>
          </w:p>
        </w:tc>
      </w:tr>
      <w:tr w:rsidR="00B20CD0" w:rsidRPr="002E1281" w14:paraId="6FBD8024" w14:textId="77777777" w:rsidTr="002A3F4B">
        <w:trPr>
          <w:trHeight w:val="315"/>
        </w:trPr>
        <w:tc>
          <w:tcPr>
            <w:tcW w:w="3969" w:type="dxa"/>
            <w:tcBorders>
              <w:left w:val="nil"/>
              <w:bottom w:val="single" w:sz="8" w:space="0" w:color="auto"/>
              <w:right w:val="nil"/>
            </w:tcBorders>
            <w:shd w:val="clear" w:color="auto" w:fill="auto"/>
            <w:vAlign w:val="center"/>
            <w:hideMark/>
          </w:tcPr>
          <w:p w14:paraId="543FF99A"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Other products</w:t>
            </w:r>
          </w:p>
        </w:tc>
        <w:tc>
          <w:tcPr>
            <w:tcW w:w="1418" w:type="dxa"/>
            <w:tcBorders>
              <w:left w:val="nil"/>
              <w:bottom w:val="single" w:sz="8" w:space="0" w:color="auto"/>
              <w:right w:val="nil"/>
            </w:tcBorders>
            <w:shd w:val="clear" w:color="auto" w:fill="auto"/>
            <w:vAlign w:val="center"/>
          </w:tcPr>
          <w:p w14:paraId="35576E19"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221.5</w:t>
            </w:r>
          </w:p>
        </w:tc>
        <w:tc>
          <w:tcPr>
            <w:tcW w:w="1843" w:type="dxa"/>
            <w:tcBorders>
              <w:left w:val="nil"/>
              <w:bottom w:val="single" w:sz="8" w:space="0" w:color="auto"/>
              <w:right w:val="nil"/>
            </w:tcBorders>
            <w:shd w:val="clear" w:color="auto" w:fill="auto"/>
            <w:vAlign w:val="center"/>
          </w:tcPr>
          <w:p w14:paraId="76279729" w14:textId="77777777" w:rsidR="00B20CD0" w:rsidRPr="002E1281" w:rsidRDefault="00B20CD0" w:rsidP="002A3F4B">
            <w:pPr>
              <w:pStyle w:val="P68B1DB1-Normal19"/>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218.0</w:t>
            </w:r>
          </w:p>
        </w:tc>
        <w:tc>
          <w:tcPr>
            <w:tcW w:w="2126" w:type="dxa"/>
            <w:tcBorders>
              <w:left w:val="nil"/>
              <w:bottom w:val="single" w:sz="8" w:space="0" w:color="auto"/>
              <w:right w:val="nil"/>
            </w:tcBorders>
            <w:shd w:val="clear" w:color="000000" w:fill="E3F1F7"/>
            <w:vAlign w:val="center"/>
          </w:tcPr>
          <w:p w14:paraId="67DEF72E" w14:textId="77777777" w:rsidR="00B20CD0" w:rsidRPr="002E1281" w:rsidRDefault="00B20CD0" w:rsidP="002A3F4B">
            <w:pPr>
              <w:pStyle w:val="P68B1DB1-Normal20"/>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1.6%</w:t>
            </w:r>
          </w:p>
        </w:tc>
      </w:tr>
      <w:tr w:rsidR="00B20CD0" w:rsidRPr="002E1281" w14:paraId="43060862" w14:textId="77777777" w:rsidTr="002A3F4B">
        <w:trPr>
          <w:trHeight w:val="315"/>
        </w:trPr>
        <w:tc>
          <w:tcPr>
            <w:tcW w:w="3969" w:type="dxa"/>
            <w:tcBorders>
              <w:top w:val="nil"/>
              <w:left w:val="nil"/>
              <w:bottom w:val="single" w:sz="8" w:space="0" w:color="auto"/>
              <w:right w:val="nil"/>
            </w:tcBorders>
            <w:shd w:val="clear" w:color="auto" w:fill="auto"/>
            <w:vAlign w:val="center"/>
            <w:hideMark/>
          </w:tcPr>
          <w:p w14:paraId="53E9DC83" w14:textId="77777777" w:rsidR="00B20CD0" w:rsidRPr="002E1281" w:rsidRDefault="00B20CD0" w:rsidP="002A3F4B">
            <w:pPr>
              <w:pStyle w:val="P68B1DB1-Normal24"/>
              <w:spacing w:after="0" w:line="240" w:lineRule="auto"/>
              <w:ind w:left="30"/>
              <w:rPr>
                <w:sz w:val="22"/>
                <w:szCs w:val="22"/>
                <w:lang w:val="en-GB"/>
              </w:rPr>
            </w:pPr>
            <w:r w:rsidRPr="002E1281">
              <w:rPr>
                <w:sz w:val="22"/>
                <w:szCs w:val="22"/>
                <w:lang w:val="en-GB"/>
              </w:rPr>
              <w:t>TOTAL agrochemicals</w:t>
            </w:r>
          </w:p>
        </w:tc>
        <w:tc>
          <w:tcPr>
            <w:tcW w:w="1418" w:type="dxa"/>
            <w:tcBorders>
              <w:top w:val="nil"/>
              <w:left w:val="nil"/>
              <w:bottom w:val="single" w:sz="8" w:space="0" w:color="auto"/>
              <w:right w:val="nil"/>
            </w:tcBorders>
            <w:shd w:val="clear" w:color="auto" w:fill="auto"/>
            <w:vAlign w:val="center"/>
          </w:tcPr>
          <w:p w14:paraId="4DBD7BF5" w14:textId="77777777" w:rsidR="00B20CD0" w:rsidRPr="002E1281" w:rsidRDefault="00B20CD0" w:rsidP="002A3F4B">
            <w:pPr>
              <w:pStyle w:val="P68B1DB1-Normal25"/>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8,779.1</w:t>
            </w:r>
          </w:p>
        </w:tc>
        <w:tc>
          <w:tcPr>
            <w:tcW w:w="1843" w:type="dxa"/>
            <w:tcBorders>
              <w:top w:val="nil"/>
              <w:left w:val="nil"/>
              <w:bottom w:val="single" w:sz="8" w:space="0" w:color="auto"/>
              <w:right w:val="nil"/>
            </w:tcBorders>
            <w:shd w:val="clear" w:color="auto" w:fill="auto"/>
            <w:vAlign w:val="center"/>
          </w:tcPr>
          <w:p w14:paraId="79495532" w14:textId="77777777" w:rsidR="00B20CD0" w:rsidRPr="002E1281" w:rsidRDefault="00B20CD0" w:rsidP="002A3F4B">
            <w:pPr>
              <w:pStyle w:val="P68B1DB1-Normal25"/>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8,573.4</w:t>
            </w:r>
          </w:p>
        </w:tc>
        <w:tc>
          <w:tcPr>
            <w:tcW w:w="2126" w:type="dxa"/>
            <w:tcBorders>
              <w:top w:val="nil"/>
              <w:left w:val="nil"/>
              <w:bottom w:val="single" w:sz="8" w:space="0" w:color="auto"/>
              <w:right w:val="nil"/>
            </w:tcBorders>
            <w:shd w:val="clear" w:color="000000" w:fill="E3F1F7"/>
            <w:vAlign w:val="center"/>
          </w:tcPr>
          <w:p w14:paraId="0D564E49" w14:textId="77777777" w:rsidR="00B20CD0" w:rsidRPr="002E1281" w:rsidRDefault="00B20CD0" w:rsidP="002A3F4B">
            <w:pPr>
              <w:pStyle w:val="P68B1DB1-Normal26"/>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2.4%</w:t>
            </w:r>
          </w:p>
        </w:tc>
      </w:tr>
      <w:tr w:rsidR="00B20CD0" w:rsidRPr="002E1281" w14:paraId="14278419" w14:textId="77777777" w:rsidTr="002A3F4B">
        <w:trPr>
          <w:trHeight w:val="345"/>
        </w:trPr>
        <w:tc>
          <w:tcPr>
            <w:tcW w:w="9356" w:type="dxa"/>
            <w:gridSpan w:val="4"/>
            <w:tcBorders>
              <w:top w:val="single" w:sz="8" w:space="0" w:color="auto"/>
              <w:left w:val="nil"/>
              <w:right w:val="nil"/>
            </w:tcBorders>
            <w:shd w:val="clear" w:color="000000" w:fill="2B87A2"/>
            <w:vAlign w:val="center"/>
            <w:hideMark/>
          </w:tcPr>
          <w:p w14:paraId="597C647A" w14:textId="77777777" w:rsidR="00B20CD0" w:rsidRPr="002E1281" w:rsidRDefault="00B20CD0" w:rsidP="002A3F4B">
            <w:pPr>
              <w:pStyle w:val="P68B1DB1-Normal16"/>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Sales volumes by category</w:t>
            </w:r>
          </w:p>
        </w:tc>
      </w:tr>
      <w:tr w:rsidR="00B20CD0" w:rsidRPr="002E1281" w14:paraId="53D5118F" w14:textId="77777777" w:rsidTr="002A3F4B">
        <w:trPr>
          <w:trHeight w:val="480"/>
        </w:trPr>
        <w:tc>
          <w:tcPr>
            <w:tcW w:w="3969" w:type="dxa"/>
            <w:tcBorders>
              <w:top w:val="nil"/>
              <w:left w:val="nil"/>
              <w:bottom w:val="single" w:sz="4" w:space="0" w:color="auto"/>
              <w:right w:val="nil"/>
            </w:tcBorders>
            <w:shd w:val="clear" w:color="auto" w:fill="auto"/>
            <w:vAlign w:val="center"/>
            <w:hideMark/>
          </w:tcPr>
          <w:p w14:paraId="4B037C83" w14:textId="77777777" w:rsidR="00B20CD0" w:rsidRPr="002E1281" w:rsidRDefault="00B20CD0" w:rsidP="002A3F4B">
            <w:pPr>
              <w:pStyle w:val="P68B1DB1-Normal12"/>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kt</w:t>
            </w:r>
          </w:p>
        </w:tc>
        <w:tc>
          <w:tcPr>
            <w:tcW w:w="1418" w:type="dxa"/>
            <w:tcBorders>
              <w:top w:val="nil"/>
              <w:left w:val="nil"/>
              <w:bottom w:val="single" w:sz="4" w:space="0" w:color="auto"/>
              <w:right w:val="nil"/>
            </w:tcBorders>
            <w:shd w:val="clear" w:color="auto" w:fill="auto"/>
            <w:vAlign w:val="center"/>
            <w:hideMark/>
          </w:tcPr>
          <w:p w14:paraId="5FCC87BA"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9M 2024</w:t>
            </w:r>
          </w:p>
        </w:tc>
        <w:tc>
          <w:tcPr>
            <w:tcW w:w="1843" w:type="dxa"/>
            <w:tcBorders>
              <w:top w:val="nil"/>
              <w:left w:val="nil"/>
              <w:bottom w:val="single" w:sz="4" w:space="0" w:color="auto"/>
              <w:right w:val="nil"/>
            </w:tcBorders>
            <w:shd w:val="clear" w:color="auto" w:fill="auto"/>
            <w:vAlign w:val="center"/>
            <w:hideMark/>
          </w:tcPr>
          <w:p w14:paraId="447FD81E"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9M 2023</w:t>
            </w:r>
          </w:p>
        </w:tc>
        <w:tc>
          <w:tcPr>
            <w:tcW w:w="2126" w:type="dxa"/>
            <w:tcBorders>
              <w:top w:val="nil"/>
              <w:left w:val="nil"/>
              <w:bottom w:val="single" w:sz="4" w:space="0" w:color="auto"/>
              <w:right w:val="nil"/>
            </w:tcBorders>
            <w:shd w:val="clear" w:color="000000" w:fill="E3F1F7"/>
            <w:vAlign w:val="center"/>
            <w:hideMark/>
          </w:tcPr>
          <w:p w14:paraId="7792BFCD" w14:textId="77777777" w:rsidR="00B20CD0" w:rsidRPr="002E1281" w:rsidRDefault="00B20CD0" w:rsidP="002A3F4B">
            <w:pPr>
              <w:pStyle w:val="P68B1DB1-Normal17"/>
              <w:spacing w:after="0" w:line="240" w:lineRule="auto"/>
              <w:jc w:val="center"/>
              <w:rPr>
                <w:sz w:val="22"/>
                <w:szCs w:val="22"/>
                <w:lang w:val="en-GB"/>
              </w:rPr>
            </w:pPr>
            <w:r w:rsidRPr="002E1281">
              <w:rPr>
                <w:sz w:val="22"/>
                <w:szCs w:val="22"/>
                <w:lang w:val="en-GB"/>
              </w:rPr>
              <w:t>Change %</w:t>
            </w:r>
          </w:p>
        </w:tc>
      </w:tr>
      <w:tr w:rsidR="00B20CD0" w:rsidRPr="002E1281" w14:paraId="08A257CD" w14:textId="77777777" w:rsidTr="002A3F4B">
        <w:trPr>
          <w:trHeight w:val="480"/>
        </w:trPr>
        <w:tc>
          <w:tcPr>
            <w:tcW w:w="3969" w:type="dxa"/>
            <w:tcBorders>
              <w:top w:val="single" w:sz="4" w:space="0" w:color="auto"/>
              <w:left w:val="nil"/>
              <w:right w:val="nil"/>
            </w:tcBorders>
            <w:shd w:val="clear" w:color="auto" w:fill="auto"/>
            <w:vAlign w:val="center"/>
            <w:hideMark/>
          </w:tcPr>
          <w:p w14:paraId="300F7EFB"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Phosphate-based fertilizers and feed phosphates</w:t>
            </w:r>
          </w:p>
        </w:tc>
        <w:tc>
          <w:tcPr>
            <w:tcW w:w="1418" w:type="dxa"/>
            <w:tcBorders>
              <w:top w:val="single" w:sz="4" w:space="0" w:color="auto"/>
              <w:left w:val="nil"/>
              <w:right w:val="nil"/>
            </w:tcBorders>
            <w:shd w:val="clear" w:color="auto" w:fill="auto"/>
            <w:vAlign w:val="center"/>
          </w:tcPr>
          <w:p w14:paraId="5D872977"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6,985.7</w:t>
            </w:r>
          </w:p>
        </w:tc>
        <w:tc>
          <w:tcPr>
            <w:tcW w:w="1843" w:type="dxa"/>
            <w:tcBorders>
              <w:top w:val="single" w:sz="4" w:space="0" w:color="auto"/>
              <w:left w:val="nil"/>
              <w:right w:val="nil"/>
            </w:tcBorders>
            <w:shd w:val="clear" w:color="auto" w:fill="auto"/>
            <w:vAlign w:val="center"/>
          </w:tcPr>
          <w:p w14:paraId="254EA29C"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6,594.8</w:t>
            </w:r>
          </w:p>
        </w:tc>
        <w:tc>
          <w:tcPr>
            <w:tcW w:w="2126" w:type="dxa"/>
            <w:tcBorders>
              <w:top w:val="single" w:sz="4" w:space="0" w:color="auto"/>
              <w:left w:val="nil"/>
              <w:right w:val="nil"/>
            </w:tcBorders>
            <w:shd w:val="clear" w:color="000000" w:fill="E3F1F7"/>
            <w:vAlign w:val="center"/>
          </w:tcPr>
          <w:p w14:paraId="54C0EF1F" w14:textId="77777777" w:rsidR="00B20CD0" w:rsidRPr="002E1281" w:rsidRDefault="00B20CD0" w:rsidP="002A3F4B">
            <w:pPr>
              <w:pStyle w:val="P68B1DB1-Normal28"/>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5.9%</w:t>
            </w:r>
          </w:p>
        </w:tc>
      </w:tr>
      <w:tr w:rsidR="00B20CD0" w:rsidRPr="002E1281" w14:paraId="75F4EBF6" w14:textId="77777777" w:rsidTr="002A3F4B">
        <w:trPr>
          <w:trHeight w:val="300"/>
        </w:trPr>
        <w:tc>
          <w:tcPr>
            <w:tcW w:w="3969" w:type="dxa"/>
            <w:tcBorders>
              <w:top w:val="nil"/>
              <w:left w:val="nil"/>
              <w:bottom w:val="single" w:sz="4" w:space="0" w:color="auto"/>
              <w:right w:val="nil"/>
            </w:tcBorders>
            <w:shd w:val="clear" w:color="auto" w:fill="auto"/>
            <w:vAlign w:val="center"/>
            <w:hideMark/>
          </w:tcPr>
          <w:p w14:paraId="570EF74A"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Nitrogen-based fertilizers</w:t>
            </w:r>
          </w:p>
        </w:tc>
        <w:tc>
          <w:tcPr>
            <w:tcW w:w="1418" w:type="dxa"/>
            <w:tcBorders>
              <w:top w:val="nil"/>
              <w:left w:val="nil"/>
              <w:bottom w:val="single" w:sz="4" w:space="0" w:color="auto"/>
              <w:right w:val="nil"/>
            </w:tcBorders>
            <w:shd w:val="clear" w:color="auto" w:fill="auto"/>
            <w:vAlign w:val="center"/>
          </w:tcPr>
          <w:p w14:paraId="7431A4FA"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1,878.1</w:t>
            </w:r>
          </w:p>
        </w:tc>
        <w:tc>
          <w:tcPr>
            <w:tcW w:w="1843" w:type="dxa"/>
            <w:tcBorders>
              <w:top w:val="nil"/>
              <w:left w:val="nil"/>
              <w:bottom w:val="single" w:sz="4" w:space="0" w:color="auto"/>
              <w:right w:val="nil"/>
            </w:tcBorders>
            <w:shd w:val="clear" w:color="auto" w:fill="auto"/>
            <w:vAlign w:val="center"/>
          </w:tcPr>
          <w:p w14:paraId="2F92F585"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1,908.6</w:t>
            </w:r>
          </w:p>
        </w:tc>
        <w:tc>
          <w:tcPr>
            <w:tcW w:w="2126" w:type="dxa"/>
            <w:tcBorders>
              <w:top w:val="nil"/>
              <w:left w:val="nil"/>
              <w:bottom w:val="single" w:sz="4" w:space="0" w:color="auto"/>
              <w:right w:val="nil"/>
            </w:tcBorders>
            <w:shd w:val="clear" w:color="000000" w:fill="E3F1F7"/>
            <w:vAlign w:val="center"/>
          </w:tcPr>
          <w:p w14:paraId="33E1BBF8" w14:textId="77777777" w:rsidR="00B20CD0" w:rsidRPr="002E1281" w:rsidRDefault="00B20CD0" w:rsidP="002A3F4B">
            <w:pPr>
              <w:pStyle w:val="P68B1DB1-Normal28"/>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-1.6%</w:t>
            </w:r>
          </w:p>
        </w:tc>
      </w:tr>
      <w:tr w:rsidR="00B20CD0" w:rsidRPr="002E1281" w14:paraId="7720622B" w14:textId="77777777" w:rsidTr="002A3F4B">
        <w:trPr>
          <w:trHeight w:val="315"/>
        </w:trPr>
        <w:tc>
          <w:tcPr>
            <w:tcW w:w="3969" w:type="dxa"/>
            <w:tcBorders>
              <w:top w:val="single" w:sz="4" w:space="0" w:color="auto"/>
              <w:left w:val="nil"/>
              <w:bottom w:val="double" w:sz="4" w:space="0" w:color="auto"/>
              <w:right w:val="nil"/>
            </w:tcBorders>
            <w:shd w:val="clear" w:color="auto" w:fill="auto"/>
            <w:vAlign w:val="center"/>
          </w:tcPr>
          <w:p w14:paraId="500D3886" w14:textId="77777777" w:rsidR="00B20CD0" w:rsidRPr="002E1281" w:rsidRDefault="00B20CD0" w:rsidP="002A3F4B">
            <w:pPr>
              <w:pStyle w:val="P68B1DB1-Normal21"/>
              <w:spacing w:after="0" w:line="240" w:lineRule="auto"/>
              <w:rPr>
                <w:szCs w:val="22"/>
                <w:lang w:val="en-GB"/>
              </w:rPr>
            </w:pPr>
            <w:r w:rsidRPr="002E1281">
              <w:rPr>
                <w:szCs w:val="22"/>
                <w:lang w:val="en-GB"/>
              </w:rPr>
              <w:t>TOTAL fertilizers</w:t>
            </w:r>
          </w:p>
        </w:tc>
        <w:tc>
          <w:tcPr>
            <w:tcW w:w="1418" w:type="dxa"/>
            <w:tcBorders>
              <w:top w:val="single" w:sz="4" w:space="0" w:color="auto"/>
              <w:left w:val="nil"/>
              <w:bottom w:val="double" w:sz="4" w:space="0" w:color="auto"/>
              <w:right w:val="nil"/>
            </w:tcBorders>
            <w:shd w:val="clear" w:color="auto" w:fill="auto"/>
            <w:vAlign w:val="center"/>
          </w:tcPr>
          <w:p w14:paraId="263E45C5" w14:textId="77777777" w:rsidR="00B20CD0" w:rsidRPr="002E1281" w:rsidRDefault="00B20CD0" w:rsidP="002A3F4B">
            <w:pPr>
              <w:pStyle w:val="P68B1DB1-Normal22"/>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8,863.8</w:t>
            </w:r>
          </w:p>
        </w:tc>
        <w:tc>
          <w:tcPr>
            <w:tcW w:w="1843" w:type="dxa"/>
            <w:tcBorders>
              <w:top w:val="single" w:sz="4" w:space="0" w:color="auto"/>
              <w:left w:val="nil"/>
              <w:bottom w:val="double" w:sz="4" w:space="0" w:color="auto"/>
              <w:right w:val="nil"/>
            </w:tcBorders>
            <w:shd w:val="clear" w:color="auto" w:fill="auto"/>
            <w:vAlign w:val="center"/>
          </w:tcPr>
          <w:p w14:paraId="3E076F48" w14:textId="77777777" w:rsidR="00B20CD0" w:rsidRPr="002E1281" w:rsidRDefault="00B20CD0" w:rsidP="002A3F4B">
            <w:pPr>
              <w:pStyle w:val="P68B1DB1-Normal22"/>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8,503.4</w:t>
            </w:r>
          </w:p>
        </w:tc>
        <w:tc>
          <w:tcPr>
            <w:tcW w:w="2126" w:type="dxa"/>
            <w:tcBorders>
              <w:top w:val="single" w:sz="4" w:space="0" w:color="auto"/>
              <w:left w:val="nil"/>
              <w:bottom w:val="double" w:sz="4" w:space="0" w:color="auto"/>
              <w:right w:val="nil"/>
            </w:tcBorders>
            <w:shd w:val="clear" w:color="000000" w:fill="E3F1F7"/>
            <w:vAlign w:val="center"/>
          </w:tcPr>
          <w:p w14:paraId="3E44F965" w14:textId="77777777" w:rsidR="00B20CD0" w:rsidRPr="002E1281" w:rsidRDefault="00B20CD0" w:rsidP="002A3F4B">
            <w:pPr>
              <w:pStyle w:val="P68B1DB1-Normal23"/>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4.2%</w:t>
            </w:r>
          </w:p>
        </w:tc>
      </w:tr>
      <w:tr w:rsidR="00B20CD0" w:rsidRPr="002E1281" w14:paraId="359DAC4B" w14:textId="77777777" w:rsidTr="002A3F4B">
        <w:trPr>
          <w:trHeight w:val="315"/>
        </w:trPr>
        <w:tc>
          <w:tcPr>
            <w:tcW w:w="3969" w:type="dxa"/>
            <w:tcBorders>
              <w:top w:val="double" w:sz="4" w:space="0" w:color="auto"/>
              <w:left w:val="nil"/>
              <w:bottom w:val="single" w:sz="8" w:space="0" w:color="auto"/>
              <w:right w:val="nil"/>
            </w:tcBorders>
            <w:shd w:val="clear" w:color="auto" w:fill="auto"/>
            <w:vAlign w:val="center"/>
            <w:hideMark/>
          </w:tcPr>
          <w:p w14:paraId="3062FA97" w14:textId="77777777" w:rsidR="00B20CD0" w:rsidRPr="002E1281" w:rsidRDefault="00B20CD0" w:rsidP="002A3F4B">
            <w:pPr>
              <w:pStyle w:val="P68B1DB1-Normal18"/>
              <w:spacing w:after="0" w:line="240" w:lineRule="auto"/>
              <w:rPr>
                <w:rFonts w:asciiTheme="minorHAnsi" w:hAnsiTheme="minorHAnsi" w:cstheme="minorHAnsi"/>
                <w:sz w:val="22"/>
                <w:szCs w:val="22"/>
                <w:lang w:val="en-GB"/>
              </w:rPr>
            </w:pPr>
            <w:r w:rsidRPr="002E1281">
              <w:rPr>
                <w:rFonts w:asciiTheme="minorHAnsi" w:hAnsiTheme="minorHAnsi" w:cstheme="minorHAnsi"/>
                <w:sz w:val="22"/>
                <w:szCs w:val="22"/>
                <w:lang w:val="en-GB"/>
              </w:rPr>
              <w:t>Other products</w:t>
            </w:r>
          </w:p>
        </w:tc>
        <w:tc>
          <w:tcPr>
            <w:tcW w:w="1418" w:type="dxa"/>
            <w:tcBorders>
              <w:top w:val="double" w:sz="4" w:space="0" w:color="auto"/>
              <w:left w:val="nil"/>
              <w:bottom w:val="single" w:sz="8" w:space="0" w:color="auto"/>
              <w:right w:val="nil"/>
            </w:tcBorders>
            <w:shd w:val="clear" w:color="auto" w:fill="auto"/>
            <w:vAlign w:val="center"/>
          </w:tcPr>
          <w:p w14:paraId="60344D24"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220.5</w:t>
            </w:r>
          </w:p>
        </w:tc>
        <w:tc>
          <w:tcPr>
            <w:tcW w:w="1843" w:type="dxa"/>
            <w:tcBorders>
              <w:top w:val="double" w:sz="4" w:space="0" w:color="auto"/>
              <w:left w:val="nil"/>
              <w:bottom w:val="single" w:sz="8" w:space="0" w:color="auto"/>
              <w:right w:val="nil"/>
            </w:tcBorders>
            <w:shd w:val="clear" w:color="auto" w:fill="auto"/>
            <w:vAlign w:val="center"/>
          </w:tcPr>
          <w:p w14:paraId="5180598F" w14:textId="77777777" w:rsidR="00B20CD0" w:rsidRPr="002E1281" w:rsidRDefault="00B20CD0" w:rsidP="002A3F4B">
            <w:pPr>
              <w:pStyle w:val="P68B1DB1-Normal27"/>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220.1</w:t>
            </w:r>
          </w:p>
        </w:tc>
        <w:tc>
          <w:tcPr>
            <w:tcW w:w="2126" w:type="dxa"/>
            <w:tcBorders>
              <w:top w:val="double" w:sz="4" w:space="0" w:color="auto"/>
              <w:left w:val="nil"/>
              <w:bottom w:val="single" w:sz="8" w:space="0" w:color="auto"/>
              <w:right w:val="nil"/>
            </w:tcBorders>
            <w:shd w:val="clear" w:color="000000" w:fill="E3F1F7"/>
            <w:vAlign w:val="center"/>
          </w:tcPr>
          <w:p w14:paraId="43F8A9FA" w14:textId="77777777" w:rsidR="00B20CD0" w:rsidRPr="002E1281" w:rsidRDefault="00B20CD0" w:rsidP="002A3F4B">
            <w:pPr>
              <w:pStyle w:val="P68B1DB1-Normal28"/>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0.2%</w:t>
            </w:r>
          </w:p>
        </w:tc>
      </w:tr>
      <w:tr w:rsidR="00B20CD0" w:rsidRPr="002E1281" w14:paraId="59B49328" w14:textId="77777777" w:rsidTr="002A3F4B">
        <w:trPr>
          <w:trHeight w:val="315"/>
        </w:trPr>
        <w:tc>
          <w:tcPr>
            <w:tcW w:w="3969" w:type="dxa"/>
            <w:tcBorders>
              <w:top w:val="single" w:sz="8" w:space="0" w:color="auto"/>
              <w:left w:val="nil"/>
              <w:bottom w:val="double" w:sz="4" w:space="0" w:color="auto"/>
              <w:right w:val="nil"/>
            </w:tcBorders>
            <w:shd w:val="clear" w:color="auto" w:fill="auto"/>
            <w:vAlign w:val="center"/>
            <w:hideMark/>
          </w:tcPr>
          <w:p w14:paraId="7CE7963B" w14:textId="77777777" w:rsidR="00B20CD0" w:rsidRPr="002E1281" w:rsidRDefault="00B20CD0" w:rsidP="002A3F4B">
            <w:pPr>
              <w:pStyle w:val="P68B1DB1-Normal24"/>
              <w:spacing w:after="0" w:line="240" w:lineRule="auto"/>
              <w:ind w:left="30"/>
              <w:rPr>
                <w:sz w:val="22"/>
                <w:szCs w:val="22"/>
                <w:lang w:val="en-GB"/>
              </w:rPr>
            </w:pPr>
            <w:r w:rsidRPr="002E1281">
              <w:rPr>
                <w:sz w:val="22"/>
                <w:szCs w:val="22"/>
                <w:lang w:val="en-GB"/>
              </w:rPr>
              <w:t>TOTAL agrochemicals</w:t>
            </w:r>
          </w:p>
        </w:tc>
        <w:tc>
          <w:tcPr>
            <w:tcW w:w="1418" w:type="dxa"/>
            <w:tcBorders>
              <w:top w:val="single" w:sz="8" w:space="0" w:color="auto"/>
              <w:left w:val="nil"/>
              <w:bottom w:val="double" w:sz="4" w:space="0" w:color="auto"/>
              <w:right w:val="nil"/>
            </w:tcBorders>
            <w:shd w:val="clear" w:color="auto" w:fill="auto"/>
            <w:vAlign w:val="center"/>
          </w:tcPr>
          <w:p w14:paraId="5B7B3F3B" w14:textId="77777777" w:rsidR="00B20CD0" w:rsidRPr="002E1281" w:rsidRDefault="00B20CD0" w:rsidP="002A3F4B">
            <w:pPr>
              <w:pStyle w:val="P68B1DB1-Normal25"/>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9,084.3</w:t>
            </w:r>
          </w:p>
        </w:tc>
        <w:tc>
          <w:tcPr>
            <w:tcW w:w="1843" w:type="dxa"/>
            <w:tcBorders>
              <w:top w:val="single" w:sz="8" w:space="0" w:color="auto"/>
              <w:left w:val="nil"/>
              <w:bottom w:val="double" w:sz="4" w:space="0" w:color="auto"/>
              <w:right w:val="nil"/>
            </w:tcBorders>
            <w:shd w:val="clear" w:color="auto" w:fill="auto"/>
            <w:vAlign w:val="center"/>
          </w:tcPr>
          <w:p w14:paraId="2235A68F" w14:textId="77777777" w:rsidR="00B20CD0" w:rsidRPr="002E1281" w:rsidRDefault="00B20CD0" w:rsidP="002A3F4B">
            <w:pPr>
              <w:pStyle w:val="P68B1DB1-Normal25"/>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8,723.5</w:t>
            </w:r>
          </w:p>
        </w:tc>
        <w:tc>
          <w:tcPr>
            <w:tcW w:w="2126" w:type="dxa"/>
            <w:tcBorders>
              <w:top w:val="single" w:sz="8" w:space="0" w:color="auto"/>
              <w:left w:val="nil"/>
              <w:bottom w:val="double" w:sz="4" w:space="0" w:color="auto"/>
              <w:right w:val="nil"/>
            </w:tcBorders>
            <w:shd w:val="clear" w:color="000000" w:fill="E3F1F7"/>
            <w:vAlign w:val="center"/>
          </w:tcPr>
          <w:p w14:paraId="7F43738B" w14:textId="77777777" w:rsidR="00B20CD0" w:rsidRPr="002E1281" w:rsidRDefault="00B20CD0" w:rsidP="002A3F4B">
            <w:pPr>
              <w:pStyle w:val="P68B1DB1-Normal26"/>
              <w:spacing w:after="0" w:line="240" w:lineRule="auto"/>
              <w:jc w:val="center"/>
              <w:rPr>
                <w:rFonts w:asciiTheme="minorHAnsi" w:hAnsiTheme="minorHAnsi" w:cstheme="minorHAnsi"/>
                <w:sz w:val="22"/>
                <w:szCs w:val="22"/>
                <w:lang w:val="en-GB"/>
              </w:rPr>
            </w:pPr>
            <w:r w:rsidRPr="002E1281">
              <w:rPr>
                <w:rFonts w:asciiTheme="minorHAnsi" w:hAnsiTheme="minorHAnsi" w:cstheme="minorHAnsi"/>
                <w:sz w:val="22"/>
                <w:szCs w:val="22"/>
                <w:lang w:val="en-GB"/>
              </w:rPr>
              <w:t>4.1%</w:t>
            </w:r>
          </w:p>
        </w:tc>
      </w:tr>
    </w:tbl>
    <w:p w14:paraId="7F7E4284" w14:textId="77777777" w:rsidR="00B20CD0" w:rsidRPr="002E1281" w:rsidRDefault="00B20CD0" w:rsidP="00B20CD0">
      <w:pPr>
        <w:pStyle w:val="MediumGrid1-Accent21"/>
        <w:snapToGrid w:val="0"/>
        <w:spacing w:after="0" w:line="240" w:lineRule="auto"/>
        <w:ind w:left="0"/>
        <w:contextualSpacing w:val="0"/>
        <w:jc w:val="both"/>
        <w:rPr>
          <w:rFonts w:asciiTheme="minorHAnsi" w:hAnsiTheme="minorHAnsi" w:cstheme="minorHAnsi"/>
        </w:rPr>
      </w:pPr>
    </w:p>
    <w:p w14:paraId="29CAABC1"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Thanks to its long-term programme to develop its production assets, the Company was able to increase its output of agrochemicals by 2.4% to 8.8 million tonnes in 9M 2024.</w:t>
      </w:r>
    </w:p>
    <w:p w14:paraId="5F2BD0DF" w14:textId="77777777"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Phosphate-based fertilizers accounted for the bulk of the production increase (output of DAP/MAP rose 2.1%; NPK, 17.2%; and MCP, 8.1%). This growth was attributed to two factors: increased processing of phosphate rock at the Group’s production sites and the fact that the Company’s Volkhov production plant reached its design capacity.</w:t>
      </w:r>
      <w:r w:rsidRPr="002E1281">
        <w:rPr>
          <w:color w:val="FF0000"/>
          <w:szCs w:val="22"/>
          <w:lang w:val="en-GB"/>
        </w:rPr>
        <w:t xml:space="preserve"> </w:t>
      </w:r>
    </w:p>
    <w:p w14:paraId="2EF8D8F9" w14:textId="6424C681"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lastRenderedPageBreak/>
        <w:t>The growth in the production of three-element fertilizers was due to a 13% year-on-year increase in sales of agrochemicals to the Company</w:t>
      </w:r>
      <w:r w:rsidR="0048132D" w:rsidRPr="002E1281">
        <w:rPr>
          <w:szCs w:val="22"/>
          <w:lang w:val="en-GB"/>
        </w:rPr>
        <w:t>’</w:t>
      </w:r>
      <w:r w:rsidRPr="002E1281">
        <w:rPr>
          <w:szCs w:val="22"/>
          <w:lang w:val="en-GB"/>
        </w:rPr>
        <w:t>s priority domestic</w:t>
      </w:r>
      <w:r w:rsidR="0048132D" w:rsidRPr="002E1281">
        <w:rPr>
          <w:szCs w:val="22"/>
          <w:lang w:val="en-GB"/>
        </w:rPr>
        <w:t xml:space="preserve"> market</w:t>
      </w:r>
      <w:r w:rsidRPr="002E1281">
        <w:rPr>
          <w:szCs w:val="22"/>
          <w:lang w:val="en-GB"/>
        </w:rPr>
        <w:t xml:space="preserve"> and was made possible thanks to the flexibility of the Company’s production facilities, which are able to switch between the production of two- and three-element fertilizers.</w:t>
      </w:r>
    </w:p>
    <w:p w14:paraId="1BA899C2" w14:textId="21CCA990" w:rsidR="00B20CD0" w:rsidRPr="002E1281" w:rsidRDefault="0048132D" w:rsidP="00E550B7">
      <w:pPr>
        <w:pStyle w:val="P68B1DB1-Normal2"/>
        <w:shd w:val="clear" w:color="auto" w:fill="FFFFFF"/>
        <w:spacing w:before="120" w:after="120" w:line="240" w:lineRule="auto"/>
        <w:jc w:val="both"/>
        <w:rPr>
          <w:color w:val="FF0000"/>
          <w:szCs w:val="22"/>
          <w:lang w:val="en-GB"/>
        </w:rPr>
      </w:pPr>
      <w:r w:rsidRPr="002E1281">
        <w:rPr>
          <w:szCs w:val="22"/>
          <w:lang w:val="en-GB"/>
        </w:rPr>
        <w:t>The h</w:t>
      </w:r>
      <w:r w:rsidR="00B20CD0" w:rsidRPr="002E1281">
        <w:rPr>
          <w:szCs w:val="22"/>
          <w:lang w:val="en-GB"/>
        </w:rPr>
        <w:t xml:space="preserve">igh production volumes were driven by, among other things, an increase in the </w:t>
      </w:r>
      <w:r w:rsidRPr="002E1281">
        <w:rPr>
          <w:szCs w:val="22"/>
          <w:lang w:val="en-GB"/>
        </w:rPr>
        <w:t>output</w:t>
      </w:r>
      <w:r w:rsidR="00B20CD0" w:rsidRPr="002E1281">
        <w:rPr>
          <w:szCs w:val="22"/>
          <w:lang w:val="en-GB"/>
        </w:rPr>
        <w:t xml:space="preserve"> of </w:t>
      </w:r>
      <w:r w:rsidRPr="002E1281">
        <w:rPr>
          <w:szCs w:val="22"/>
          <w:lang w:val="en-GB"/>
        </w:rPr>
        <w:t xml:space="preserve">two </w:t>
      </w:r>
      <w:r w:rsidR="00B20CD0" w:rsidRPr="002E1281">
        <w:rPr>
          <w:szCs w:val="22"/>
          <w:lang w:val="en-GB"/>
        </w:rPr>
        <w:t xml:space="preserve">basic feedstocks – phosphoric acid and sulphuric acid. </w:t>
      </w:r>
    </w:p>
    <w:p w14:paraId="2E1F5E07" w14:textId="2631BBF8" w:rsidR="00B20CD0" w:rsidRPr="002E1281" w:rsidRDefault="00B20CD0" w:rsidP="00E550B7">
      <w:pPr>
        <w:pStyle w:val="P68B1DB1-Normal2"/>
        <w:shd w:val="clear" w:color="auto" w:fill="FFFFFF"/>
        <w:spacing w:before="120" w:after="120" w:line="240" w:lineRule="auto"/>
        <w:jc w:val="both"/>
        <w:rPr>
          <w:color w:val="FF0000"/>
          <w:szCs w:val="22"/>
          <w:lang w:val="en-GB"/>
        </w:rPr>
      </w:pPr>
      <w:r w:rsidRPr="002E1281">
        <w:rPr>
          <w:szCs w:val="22"/>
          <w:lang w:val="en-GB"/>
        </w:rPr>
        <w:t>The over 4% uptick in</w:t>
      </w:r>
      <w:r w:rsidR="0048132D" w:rsidRPr="002E1281">
        <w:rPr>
          <w:szCs w:val="22"/>
          <w:lang w:val="en-GB"/>
        </w:rPr>
        <w:t xml:space="preserve"> </w:t>
      </w:r>
      <w:r w:rsidRPr="002E1281">
        <w:rPr>
          <w:szCs w:val="22"/>
          <w:lang w:val="en-GB"/>
        </w:rPr>
        <w:t>sales in 9M 2024 was driven by increased production, the excellent performance of Group</w:t>
      </w:r>
      <w:r w:rsidR="0048132D" w:rsidRPr="002E1281">
        <w:rPr>
          <w:szCs w:val="22"/>
          <w:lang w:val="en-GB"/>
        </w:rPr>
        <w:t>’</w:t>
      </w:r>
      <w:r w:rsidRPr="002E1281">
        <w:rPr>
          <w:szCs w:val="22"/>
          <w:lang w:val="en-GB"/>
        </w:rPr>
        <w:t xml:space="preserve">s </w:t>
      </w:r>
      <w:r w:rsidR="0048132D" w:rsidRPr="002E1281">
        <w:rPr>
          <w:szCs w:val="22"/>
          <w:lang w:val="en-GB"/>
        </w:rPr>
        <w:t>s</w:t>
      </w:r>
      <w:r w:rsidRPr="002E1281">
        <w:rPr>
          <w:szCs w:val="22"/>
          <w:lang w:val="en-GB"/>
        </w:rPr>
        <w:t>ales network in the Russian market and the strong positions enjoyed by the Company</w:t>
      </w:r>
      <w:r w:rsidR="0048132D" w:rsidRPr="002E1281">
        <w:rPr>
          <w:szCs w:val="22"/>
          <w:lang w:val="en-GB"/>
        </w:rPr>
        <w:t xml:space="preserve">’s </w:t>
      </w:r>
      <w:r w:rsidRPr="002E1281">
        <w:rPr>
          <w:szCs w:val="22"/>
          <w:lang w:val="en-GB"/>
        </w:rPr>
        <w:t xml:space="preserve">products in global markets. </w:t>
      </w:r>
    </w:p>
    <w:p w14:paraId="0466EF04"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Sales rose mainly due to a 5.9% year-on-year increase in sales of phosphate-based fertilizers. The markets that have shown the highest growth rates in terms of shipments in 2024 are Russia, Europe, Latin America and Africa.</w:t>
      </w:r>
    </w:p>
    <w:p w14:paraId="7BEC0FF7" w14:textId="77777777" w:rsidR="00B20CD0" w:rsidRPr="002E1281" w:rsidRDefault="00B20CD0" w:rsidP="00E550B7">
      <w:pPr>
        <w:pStyle w:val="P68B1DB1-13"/>
        <w:spacing w:after="120" w:line="240" w:lineRule="auto"/>
        <w:jc w:val="both"/>
        <w:rPr>
          <w:rFonts w:asciiTheme="minorHAnsi" w:hAnsiTheme="minorHAnsi" w:cstheme="minorHAnsi"/>
          <w:szCs w:val="22"/>
          <w:lang w:val="en-GB"/>
        </w:rPr>
      </w:pPr>
      <w:r w:rsidRPr="002E1281">
        <w:rPr>
          <w:rFonts w:asciiTheme="minorHAnsi" w:hAnsiTheme="minorHAnsi" w:cstheme="minorHAnsi"/>
          <w:szCs w:val="22"/>
          <w:lang w:val="en-GB"/>
        </w:rPr>
        <w:t>Fertilizer market in 3Q 2024</w:t>
      </w:r>
    </w:p>
    <w:p w14:paraId="2A2D7AAE"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 xml:space="preserve">The lack of large-scale fertilizer exports from China alongside growth in seasonal demand in key Latin American markets and, to a lesser extent, in South Asian countries were the main factors shaping the global fertilizer market in 3Q 2024. </w:t>
      </w:r>
    </w:p>
    <w:p w14:paraId="2DC83A1B" w14:textId="3E92EACE"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Production constraints owing to regular shutdowns for summer maintenance at key fertilizer producers had a positive impact on prices</w:t>
      </w:r>
      <w:r w:rsidR="0048132D" w:rsidRPr="002E1281">
        <w:rPr>
          <w:szCs w:val="22"/>
          <w:lang w:val="en-GB"/>
        </w:rPr>
        <w:t xml:space="preserve">, which </w:t>
      </w:r>
      <w:r w:rsidRPr="002E1281">
        <w:rPr>
          <w:szCs w:val="22"/>
          <w:lang w:val="en-GB"/>
        </w:rPr>
        <w:t xml:space="preserve">was partially offset by the weakening of prices in global markets for agricultural products and, </w:t>
      </w:r>
      <w:r w:rsidR="0048132D" w:rsidRPr="002E1281">
        <w:rPr>
          <w:szCs w:val="22"/>
          <w:lang w:val="en-GB"/>
        </w:rPr>
        <w:t>consequently</w:t>
      </w:r>
      <w:r w:rsidRPr="002E1281">
        <w:rPr>
          <w:szCs w:val="22"/>
          <w:lang w:val="en-GB"/>
        </w:rPr>
        <w:t>, a decrease in the affordability of fertilizers for agricultural producers.</w:t>
      </w:r>
    </w:p>
    <w:p w14:paraId="7569EFED" w14:textId="18665330"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Prices for phosphate-based fertilizers were supported by Latin American markets, where the third quarter has historically been a period of peak seasonal demand. Despite the low level of subsidies for phosphate-based and potash fertilizers in India, regional prices rose due to the lack of large-scale exports from China and a decrease in inventories</w:t>
      </w:r>
      <w:r w:rsidR="0048132D" w:rsidRPr="002E1281">
        <w:rPr>
          <w:szCs w:val="22"/>
          <w:lang w:val="en-GB"/>
        </w:rPr>
        <w:t>, reaching</w:t>
      </w:r>
      <w:r w:rsidRPr="002E1281">
        <w:rPr>
          <w:szCs w:val="22"/>
          <w:lang w:val="en-GB"/>
        </w:rPr>
        <w:t xml:space="preserve"> critical levels. The average price for MAP in 3Q 2024 was USD 592 per tonne (FOB Baltic), up from USD 532 per tonne (FOB Baltic) in 2Q 2024.</w:t>
      </w:r>
    </w:p>
    <w:p w14:paraId="7C265A4B" w14:textId="77777777"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Prices for nitrogen-based fertilizers also rose due to seasonal restrictions on exports from Russia, South-east Asia and North Africa amid stable demand from Central and South America as well as a number of large markets in Asia and Oceania. India also stepped up its urea imports. The average price for urea in 3Q 2024 was USD 307 per tonne (FOB Baltic), up from USD 278 per tonne (FOB Baltic) in 2Q 2024. The average export price for ammonium nitrate in 3Q 2024 was USD 237 per tonne (FOB Baltic), versus USD 205 per tonne (FOB Baltic) in 2Q 2024.</w:t>
      </w:r>
    </w:p>
    <w:p w14:paraId="6662F18B" w14:textId="77777777" w:rsidR="00B20CD0" w:rsidRPr="002E1281" w:rsidRDefault="00B20CD0" w:rsidP="00E550B7">
      <w:pPr>
        <w:pStyle w:val="P68B1DB1-13"/>
        <w:spacing w:after="120" w:line="240" w:lineRule="auto"/>
        <w:jc w:val="both"/>
        <w:rPr>
          <w:rFonts w:asciiTheme="minorHAnsi" w:hAnsiTheme="minorHAnsi" w:cstheme="minorHAnsi"/>
          <w:szCs w:val="22"/>
          <w:lang w:val="en-GB"/>
        </w:rPr>
      </w:pPr>
      <w:r w:rsidRPr="002E1281">
        <w:rPr>
          <w:rFonts w:asciiTheme="minorHAnsi" w:hAnsiTheme="minorHAnsi" w:cstheme="minorHAnsi"/>
          <w:szCs w:val="22"/>
          <w:lang w:val="en-GB"/>
        </w:rPr>
        <w:t>Outlook for 4Q 2024</w:t>
      </w:r>
    </w:p>
    <w:p w14:paraId="7CD95CE6" w14:textId="795B0C39"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 xml:space="preserve">Demand from India is projected to continue in the phosphate-based fertilizer segment due to the low level of carryover stocks. Exports from </w:t>
      </w:r>
      <w:r w:rsidR="0048132D" w:rsidRPr="002E1281">
        <w:rPr>
          <w:szCs w:val="22"/>
          <w:lang w:val="en-GB"/>
        </w:rPr>
        <w:t xml:space="preserve">US </w:t>
      </w:r>
      <w:r w:rsidRPr="002E1281">
        <w:rPr>
          <w:szCs w:val="22"/>
          <w:lang w:val="en-GB"/>
        </w:rPr>
        <w:t xml:space="preserve">producers of phosphate-based fertilizers are expected to contract, </w:t>
      </w:r>
      <w:r w:rsidR="0048132D" w:rsidRPr="002E1281">
        <w:rPr>
          <w:szCs w:val="22"/>
          <w:lang w:val="en-GB"/>
        </w:rPr>
        <w:t xml:space="preserve">due </w:t>
      </w:r>
      <w:r w:rsidRPr="002E1281">
        <w:rPr>
          <w:szCs w:val="22"/>
          <w:lang w:val="en-GB"/>
        </w:rPr>
        <w:t xml:space="preserve">in part to significant production cuts (the impact of hurricanes) and increased supplies to the domestic market. </w:t>
      </w:r>
    </w:p>
    <w:p w14:paraId="39CDE9FA" w14:textId="07B71385" w:rsidR="00B20CD0" w:rsidRPr="002E1281" w:rsidRDefault="00B20CD0" w:rsidP="00E550B7">
      <w:pPr>
        <w:pStyle w:val="P68B1DB1-Normal2"/>
        <w:shd w:val="clear" w:color="auto" w:fill="FFFFFF"/>
        <w:spacing w:before="120" w:after="120" w:line="240" w:lineRule="auto"/>
        <w:jc w:val="both"/>
        <w:rPr>
          <w:szCs w:val="22"/>
          <w:lang w:val="en-GB"/>
        </w:rPr>
      </w:pPr>
      <w:r w:rsidRPr="002E1281">
        <w:rPr>
          <w:szCs w:val="22"/>
          <w:lang w:val="en-GB"/>
        </w:rPr>
        <w:t xml:space="preserve">In the nitrogen-based fertilizer segment, the market is seeing </w:t>
      </w:r>
      <w:r w:rsidR="0048132D" w:rsidRPr="002E1281">
        <w:rPr>
          <w:szCs w:val="22"/>
          <w:lang w:val="en-GB"/>
        </w:rPr>
        <w:t>rising</w:t>
      </w:r>
      <w:r w:rsidRPr="002E1281">
        <w:rPr>
          <w:szCs w:val="22"/>
          <w:lang w:val="en-GB"/>
        </w:rPr>
        <w:t xml:space="preserve"> seasonal demand in India and Brazil, two of the largest markets for urea, which is expected to support urea prices. </w:t>
      </w:r>
    </w:p>
    <w:p w14:paraId="3234EF1F" w14:textId="77777777" w:rsidR="00B20CD0" w:rsidRPr="002E1281" w:rsidRDefault="00B20CD0" w:rsidP="00B20CD0">
      <w:pPr>
        <w:shd w:val="clear" w:color="auto" w:fill="FFFFFF"/>
        <w:spacing w:before="120" w:after="120" w:line="240" w:lineRule="auto"/>
        <w:ind w:firstLine="567"/>
        <w:jc w:val="both"/>
        <w:rPr>
          <w:rFonts w:asciiTheme="minorHAnsi" w:hAnsiTheme="minorHAnsi" w:cstheme="minorHAnsi"/>
        </w:rPr>
      </w:pPr>
    </w:p>
    <w:p w14:paraId="33C63F38" w14:textId="77777777" w:rsidR="00B20CD0" w:rsidRPr="002E1281" w:rsidRDefault="00B20CD0" w:rsidP="00B20CD0">
      <w:pPr>
        <w:spacing w:after="0" w:line="240" w:lineRule="auto"/>
        <w:rPr>
          <w:rFonts w:asciiTheme="minorHAnsi" w:hAnsiTheme="minorHAnsi" w:cstheme="minorHAnsi"/>
          <w:b/>
        </w:rPr>
      </w:pPr>
    </w:p>
    <w:p w14:paraId="577421B5" w14:textId="77777777" w:rsidR="00B20CD0" w:rsidRPr="002E1281" w:rsidRDefault="00B20CD0" w:rsidP="00B20CD0">
      <w:pPr>
        <w:pStyle w:val="P68B1DB1-Normal1"/>
        <w:spacing w:after="0" w:line="240" w:lineRule="auto"/>
        <w:rPr>
          <w:szCs w:val="22"/>
        </w:rPr>
      </w:pPr>
      <w:r w:rsidRPr="002E1281">
        <w:rPr>
          <w:szCs w:val="22"/>
        </w:rPr>
        <w:t>For further information, please contact:</w:t>
      </w:r>
    </w:p>
    <w:p w14:paraId="1D3DF8D8" w14:textId="77777777" w:rsidR="00B20CD0" w:rsidRPr="002E1281" w:rsidRDefault="00B20CD0" w:rsidP="00B20CD0">
      <w:pPr>
        <w:spacing w:after="0" w:line="240" w:lineRule="auto"/>
        <w:rPr>
          <w:rFonts w:asciiTheme="minorHAnsi" w:hAnsiTheme="minorHAnsi" w:cstheme="minorHAnsi"/>
        </w:rPr>
      </w:pPr>
    </w:p>
    <w:p w14:paraId="6D803302" w14:textId="77777777" w:rsidR="00B20CD0" w:rsidRPr="002E1281" w:rsidRDefault="00B20CD0" w:rsidP="00B20CD0">
      <w:pPr>
        <w:pStyle w:val="P68B1DB1-Normal2"/>
        <w:snapToGrid w:val="0"/>
        <w:spacing w:after="0" w:line="240" w:lineRule="auto"/>
        <w:rPr>
          <w:szCs w:val="22"/>
        </w:rPr>
      </w:pPr>
      <w:r w:rsidRPr="002E1281">
        <w:rPr>
          <w:szCs w:val="22"/>
        </w:rPr>
        <w:t>PJSC PhosAgro</w:t>
      </w:r>
    </w:p>
    <w:p w14:paraId="6A31CAEF" w14:textId="77777777" w:rsidR="00B20CD0" w:rsidRPr="002E1281" w:rsidRDefault="00B20CD0" w:rsidP="00B20CD0">
      <w:pPr>
        <w:pStyle w:val="P68B1DB1-Normal2"/>
        <w:snapToGrid w:val="0"/>
        <w:spacing w:after="0" w:line="240" w:lineRule="auto"/>
        <w:rPr>
          <w:szCs w:val="22"/>
        </w:rPr>
      </w:pPr>
      <w:r w:rsidRPr="002E1281">
        <w:rPr>
          <w:szCs w:val="22"/>
        </w:rPr>
        <w:t>Andrey Serov, Head of the Investor Relations Department</w:t>
      </w:r>
    </w:p>
    <w:p w14:paraId="134332BB" w14:textId="77777777" w:rsidR="00B20CD0" w:rsidRPr="002E1281" w:rsidRDefault="00B20CD0" w:rsidP="00B20CD0">
      <w:pPr>
        <w:pStyle w:val="P68B1DB1-Normal2"/>
        <w:snapToGrid w:val="0"/>
        <w:spacing w:after="0" w:line="240" w:lineRule="auto"/>
        <w:rPr>
          <w:szCs w:val="22"/>
        </w:rPr>
      </w:pPr>
      <w:r w:rsidRPr="002E1281">
        <w:rPr>
          <w:szCs w:val="22"/>
        </w:rPr>
        <w:t>+7 495 231 2747 ext. 2183</w:t>
      </w:r>
    </w:p>
    <w:p w14:paraId="13FDE5BC" w14:textId="77777777" w:rsidR="00B20CD0" w:rsidRPr="002E1281" w:rsidRDefault="00357547" w:rsidP="00B20CD0">
      <w:pPr>
        <w:spacing w:after="0" w:line="240" w:lineRule="auto"/>
        <w:rPr>
          <w:rFonts w:asciiTheme="minorHAnsi" w:hAnsiTheme="minorHAnsi" w:cstheme="minorHAnsi"/>
        </w:rPr>
      </w:pPr>
      <w:hyperlink r:id="rId23" w:history="1">
        <w:r w:rsidR="00B20CD0" w:rsidRPr="002E1281">
          <w:rPr>
            <w:rStyle w:val="a7"/>
            <w:rFonts w:asciiTheme="minorHAnsi" w:hAnsiTheme="minorHAnsi" w:cstheme="minorHAnsi"/>
          </w:rPr>
          <w:t>ir@phosagro.ru</w:t>
        </w:r>
      </w:hyperlink>
    </w:p>
    <w:p w14:paraId="0E6320D0" w14:textId="77777777" w:rsidR="00B20CD0" w:rsidRPr="002E1281" w:rsidRDefault="00B20CD0" w:rsidP="00B20CD0">
      <w:pPr>
        <w:spacing w:after="0" w:line="240" w:lineRule="auto"/>
        <w:rPr>
          <w:rFonts w:asciiTheme="minorHAnsi" w:hAnsiTheme="minorHAnsi" w:cstheme="minorHAnsi"/>
        </w:rPr>
      </w:pPr>
    </w:p>
    <w:p w14:paraId="0BEE71EE" w14:textId="77777777" w:rsidR="00B20CD0" w:rsidRPr="002E1281" w:rsidRDefault="00B20CD0" w:rsidP="00B20CD0">
      <w:pPr>
        <w:pStyle w:val="P68B1DB1-Normal2"/>
        <w:snapToGrid w:val="0"/>
        <w:spacing w:after="0" w:line="240" w:lineRule="auto"/>
        <w:rPr>
          <w:szCs w:val="22"/>
        </w:rPr>
      </w:pPr>
      <w:r w:rsidRPr="002E1281">
        <w:rPr>
          <w:szCs w:val="22"/>
        </w:rPr>
        <w:lastRenderedPageBreak/>
        <w:t xml:space="preserve">Timur Belov, Press Officer </w:t>
      </w:r>
    </w:p>
    <w:p w14:paraId="55956AF0" w14:textId="77777777" w:rsidR="00B20CD0" w:rsidRPr="009D6FA9" w:rsidRDefault="00B20CD0" w:rsidP="00B20CD0">
      <w:pPr>
        <w:pStyle w:val="P68B1DB1-Normal2"/>
        <w:snapToGrid w:val="0"/>
        <w:spacing w:after="0" w:line="240" w:lineRule="auto"/>
        <w:rPr>
          <w:szCs w:val="22"/>
          <w:lang w:val="en-US"/>
        </w:rPr>
      </w:pPr>
      <w:r w:rsidRPr="009D6FA9">
        <w:rPr>
          <w:szCs w:val="22"/>
          <w:lang w:val="en-US"/>
        </w:rPr>
        <w:t xml:space="preserve">+7 495 231 2747 </w:t>
      </w:r>
      <w:proofErr w:type="spellStart"/>
      <w:r w:rsidRPr="002E1281">
        <w:rPr>
          <w:szCs w:val="22"/>
        </w:rPr>
        <w:t>ext</w:t>
      </w:r>
      <w:proofErr w:type="spellEnd"/>
      <w:r w:rsidRPr="009D6FA9">
        <w:rPr>
          <w:szCs w:val="22"/>
          <w:lang w:val="en-US"/>
        </w:rPr>
        <w:t>. 2652</w:t>
      </w:r>
    </w:p>
    <w:p w14:paraId="60344ADC" w14:textId="77777777" w:rsidR="00B20CD0" w:rsidRPr="009D6FA9" w:rsidRDefault="00B20CD0" w:rsidP="00B20CD0">
      <w:pPr>
        <w:spacing w:after="0" w:line="240" w:lineRule="auto"/>
        <w:rPr>
          <w:rStyle w:val="a7"/>
          <w:rFonts w:asciiTheme="minorHAnsi" w:hAnsiTheme="minorHAnsi" w:cstheme="minorHAnsi"/>
          <w:lang w:val="en-US"/>
        </w:rPr>
      </w:pPr>
      <w:proofErr w:type="spellStart"/>
      <w:r w:rsidRPr="002E1281">
        <w:rPr>
          <w:rStyle w:val="a7"/>
          <w:rFonts w:asciiTheme="minorHAnsi" w:hAnsiTheme="minorHAnsi" w:cstheme="minorHAnsi"/>
        </w:rPr>
        <w:t>pr</w:t>
      </w:r>
      <w:proofErr w:type="spellEnd"/>
      <w:r w:rsidRPr="009D6FA9">
        <w:rPr>
          <w:rStyle w:val="a7"/>
          <w:rFonts w:asciiTheme="minorHAnsi" w:hAnsiTheme="minorHAnsi" w:cstheme="minorHAnsi"/>
          <w:lang w:val="en-US"/>
        </w:rPr>
        <w:t>@</w:t>
      </w:r>
      <w:proofErr w:type="spellStart"/>
      <w:r w:rsidRPr="002E1281">
        <w:rPr>
          <w:rStyle w:val="a7"/>
          <w:rFonts w:asciiTheme="minorHAnsi" w:hAnsiTheme="minorHAnsi" w:cstheme="minorHAnsi"/>
        </w:rPr>
        <w:t>phosagro</w:t>
      </w:r>
      <w:proofErr w:type="spellEnd"/>
      <w:r w:rsidRPr="009D6FA9">
        <w:rPr>
          <w:rStyle w:val="a7"/>
          <w:rFonts w:asciiTheme="minorHAnsi" w:hAnsiTheme="minorHAnsi" w:cstheme="minorHAnsi"/>
          <w:lang w:val="en-US"/>
        </w:rPr>
        <w:t>.</w:t>
      </w:r>
      <w:proofErr w:type="spellStart"/>
      <w:r w:rsidRPr="002E1281">
        <w:rPr>
          <w:rStyle w:val="a7"/>
          <w:rFonts w:asciiTheme="minorHAnsi" w:hAnsiTheme="minorHAnsi" w:cstheme="minorHAnsi"/>
        </w:rPr>
        <w:t>ru</w:t>
      </w:r>
      <w:proofErr w:type="spellEnd"/>
    </w:p>
    <w:p w14:paraId="1A24F867" w14:textId="77777777" w:rsidR="002E1281" w:rsidRDefault="002E1281" w:rsidP="002E1281">
      <w:pPr>
        <w:pStyle w:val="P68B1DB1-Normal29"/>
        <w:shd w:val="clear" w:color="auto" w:fill="FFFFFF"/>
        <w:spacing w:line="240" w:lineRule="auto"/>
        <w:jc w:val="both"/>
        <w:rPr>
          <w:lang w:val="en-US"/>
        </w:rPr>
      </w:pPr>
    </w:p>
    <w:p w14:paraId="175A4144" w14:textId="77777777" w:rsidR="002E1281" w:rsidRDefault="002E1281" w:rsidP="002E1281">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7C8689DE" w14:textId="77777777" w:rsidR="002E1281" w:rsidRDefault="002E1281" w:rsidP="002E1281">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PhosAgro (</w:t>
      </w:r>
      <w:hyperlink>
        <w:r w:rsidRPr="7C16E36C">
          <w:rPr>
            <w:rFonts w:asciiTheme="minorHAnsi" w:eastAsiaTheme="minorEastAsia" w:hAnsiTheme="minorHAnsi" w:cstheme="minorBidi"/>
            <w:i/>
            <w:iCs/>
          </w:rPr>
          <w:t>www.phosagro.ru</w:t>
        </w:r>
      </w:hyperlink>
      <w:r w:rsidRPr="7C16E36C">
        <w:rPr>
          <w:rFonts w:asciiTheme="minorHAnsi" w:eastAsiaTheme="minorEastAsia" w:hAnsiTheme="minorHAnsi" w:cstheme="minorBidi"/>
          <w:i/>
          <w:iCs/>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50640461" w14:textId="7AB054E7" w:rsidR="002E1281" w:rsidRDefault="002E1281" w:rsidP="002E1281">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 xml:space="preserve">PhosAgro Group is the largest producer of phosphate-based fertilizers in Europe (by total combined capacity for the production of DAP, MAP, NP, NPK and NPS fertilizers), </w:t>
      </w:r>
      <w:r w:rsidR="00357547" w:rsidRPr="00D625D6">
        <w:rPr>
          <w:rFonts w:asciiTheme="minorHAnsi" w:eastAsiaTheme="minorEastAsia" w:hAnsiTheme="minorHAnsi" w:cstheme="minorBidi"/>
          <w:i/>
          <w:iCs/>
        </w:rPr>
        <w:t>the largest producer of high-grade phosphate rock with P2O5 content of 39%</w:t>
      </w:r>
      <w:r w:rsidR="00357547" w:rsidRPr="00A54B5C">
        <w:rPr>
          <w:rFonts w:asciiTheme="minorHAnsi" w:eastAsiaTheme="minorEastAsia" w:hAnsiTheme="minorHAnsi" w:cstheme="minorBidi"/>
          <w:i/>
          <w:iCs/>
          <w:lang w:val="en-US"/>
        </w:rPr>
        <w:t>,</w:t>
      </w:r>
      <w:r w:rsidR="00357547">
        <w:rPr>
          <w:rFonts w:asciiTheme="minorHAnsi" w:eastAsiaTheme="minorEastAsia" w:hAnsiTheme="minorHAnsi" w:cstheme="minorBidi"/>
          <w:i/>
          <w:iCs/>
          <w:lang w:val="en-US"/>
        </w:rPr>
        <w:t xml:space="preserve"> </w:t>
      </w:r>
      <w:r w:rsidRPr="7C16E36C">
        <w:rPr>
          <w:rFonts w:asciiTheme="minorHAnsi" w:eastAsiaTheme="minorEastAsia" w:hAnsiTheme="minorHAnsi" w:cstheme="minorBidi"/>
          <w:i/>
          <w:iCs/>
        </w:rPr>
        <w:t>one of the leading producers of MAP and DAP fertilizers globally, one</w:t>
      </w:r>
      <w:bookmarkStart w:id="0" w:name="_GoBack"/>
      <w:bookmarkEnd w:id="0"/>
      <w:r w:rsidRPr="7C16E36C">
        <w:rPr>
          <w:rFonts w:asciiTheme="minorHAnsi" w:eastAsiaTheme="minorEastAsia" w:hAnsiTheme="minorHAnsi" w:cstheme="minorBidi"/>
          <w:i/>
          <w:iCs/>
        </w:rPr>
        <w:t xml:space="preserve"> of the leading producers of monocalcium feed phosphates (MCP) in Europe – and the only such producer in Russia – and Russia’s only producer of nepheline concentrate.</w:t>
      </w:r>
    </w:p>
    <w:p w14:paraId="2808EB76" w14:textId="77777777" w:rsidR="002E1281" w:rsidRDefault="002E1281" w:rsidP="002E1281">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793DC8C2" w14:textId="77777777" w:rsidR="002E1281" w:rsidRDefault="002E1281" w:rsidP="002E1281">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 xml:space="preserve">The Company’s shares are listed on the Moscow Exchange and its global depositary receipts (GDRs) are listed on the London Stock Exchange (MOEX and LSE ticker: PHOR). </w:t>
      </w:r>
    </w:p>
    <w:p w14:paraId="524BB1D6" w14:textId="77777777" w:rsidR="002E1281" w:rsidRPr="00FD0ECF" w:rsidRDefault="002E1281" w:rsidP="002E1281">
      <w:pPr>
        <w:spacing w:before="60" w:after="60"/>
        <w:jc w:val="both"/>
        <w:rPr>
          <w:rFonts w:asciiTheme="minorHAnsi" w:eastAsiaTheme="minorEastAsia" w:hAnsiTheme="minorHAnsi" w:cstheme="minorBidi"/>
          <w:i/>
          <w:iCs/>
        </w:rPr>
      </w:pPr>
      <w:r w:rsidRPr="7C16E36C">
        <w:rPr>
          <w:rFonts w:asciiTheme="minorHAnsi" w:eastAsiaTheme="minorEastAsia" w:hAnsiTheme="minorHAnsi" w:cstheme="minorBidi"/>
          <w:i/>
          <w:iCs/>
        </w:rPr>
        <w:t>More information about PhosAgro can be found on our website: www.phosagro.com.</w:t>
      </w:r>
    </w:p>
    <w:p w14:paraId="3C3FA944" w14:textId="18DB4269" w:rsidR="002E1281" w:rsidRPr="002E1281" w:rsidRDefault="002E1281" w:rsidP="002E1281">
      <w:pPr>
        <w:pStyle w:val="P68B1DB1-Normal29"/>
        <w:shd w:val="clear" w:color="auto" w:fill="FFFFFF"/>
        <w:spacing w:line="240" w:lineRule="auto"/>
        <w:jc w:val="both"/>
        <w:rPr>
          <w:lang w:val="en-GB"/>
        </w:rPr>
        <w:sectPr w:rsidR="002E1281" w:rsidRPr="002E1281" w:rsidSect="00BB62FA">
          <w:headerReference w:type="default" r:id="rId24"/>
          <w:headerReference w:type="first" r:id="rId25"/>
          <w:footnotePr>
            <w:numRestart w:val="eachPage"/>
          </w:footnotePr>
          <w:pgSz w:w="11907" w:h="16840" w:code="9"/>
          <w:pgMar w:top="1440" w:right="1077" w:bottom="1077" w:left="1440" w:header="567" w:footer="567" w:gutter="0"/>
          <w:pgNumType w:start="1"/>
          <w:cols w:space="708"/>
          <w:docGrid w:linePitch="360"/>
        </w:sectPr>
      </w:pPr>
    </w:p>
    <w:tbl>
      <w:tblPr>
        <w:tblW w:w="5000" w:type="pct"/>
        <w:tblLayout w:type="fixed"/>
        <w:tblCellMar>
          <w:left w:w="85" w:type="dxa"/>
          <w:right w:w="85" w:type="dxa"/>
        </w:tblCellMar>
        <w:tblLook w:val="0000" w:firstRow="0" w:lastRow="0" w:firstColumn="0" w:lastColumn="0" w:noHBand="0" w:noVBand="0"/>
      </w:tblPr>
      <w:tblGrid>
        <w:gridCol w:w="4292"/>
        <w:gridCol w:w="1123"/>
        <w:gridCol w:w="1124"/>
        <w:gridCol w:w="1123"/>
        <w:gridCol w:w="1693"/>
      </w:tblGrid>
      <w:tr w:rsidR="009D6FA9" w:rsidRPr="009D6FA9" w14:paraId="14CE7900" w14:textId="77777777" w:rsidTr="009D6FA9">
        <w:trPr>
          <w:cantSplit/>
          <w:trHeight w:val="20"/>
        </w:trPr>
        <w:tc>
          <w:tcPr>
            <w:tcW w:w="2294" w:type="pct"/>
            <w:tcBorders>
              <w:top w:val="nil"/>
              <w:left w:val="nil"/>
              <w:right w:val="nil"/>
            </w:tcBorders>
            <w:vAlign w:val="bottom"/>
          </w:tcPr>
          <w:p w14:paraId="57A165B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highlight w:val="yellow"/>
                <w:lang w:eastAsia="ru-RU"/>
              </w:rPr>
            </w:pPr>
          </w:p>
        </w:tc>
        <w:tc>
          <w:tcPr>
            <w:tcW w:w="1200" w:type="pct"/>
            <w:gridSpan w:val="2"/>
            <w:tcBorders>
              <w:top w:val="nil"/>
              <w:left w:val="nil"/>
              <w:bottom w:val="single" w:sz="4" w:space="0" w:color="auto"/>
              <w:right w:val="nil"/>
            </w:tcBorders>
            <w:vAlign w:val="bottom"/>
          </w:tcPr>
          <w:p w14:paraId="655C4F61"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Nine months ended</w:t>
            </w:r>
          </w:p>
          <w:p w14:paraId="215E1BA0"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30 September</w:t>
            </w:r>
          </w:p>
        </w:tc>
        <w:tc>
          <w:tcPr>
            <w:tcW w:w="1506" w:type="pct"/>
            <w:gridSpan w:val="2"/>
            <w:tcBorders>
              <w:top w:val="nil"/>
              <w:left w:val="nil"/>
              <w:bottom w:val="single" w:sz="4" w:space="0" w:color="auto"/>
              <w:right w:val="nil"/>
            </w:tcBorders>
            <w:vAlign w:val="bottom"/>
          </w:tcPr>
          <w:p w14:paraId="3256855E"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Three months ended</w:t>
            </w:r>
          </w:p>
          <w:p w14:paraId="3C47427D"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30 September</w:t>
            </w:r>
          </w:p>
        </w:tc>
      </w:tr>
      <w:tr w:rsidR="009D6FA9" w:rsidRPr="009D6FA9" w14:paraId="17E70F7F" w14:textId="77777777" w:rsidTr="009D6FA9">
        <w:trPr>
          <w:cantSplit/>
          <w:trHeight w:val="20"/>
        </w:trPr>
        <w:tc>
          <w:tcPr>
            <w:tcW w:w="2294" w:type="pct"/>
            <w:tcBorders>
              <w:left w:val="nil"/>
              <w:bottom w:val="single" w:sz="4" w:space="0" w:color="auto"/>
              <w:right w:val="nil"/>
            </w:tcBorders>
            <w:vAlign w:val="bottom"/>
          </w:tcPr>
          <w:p w14:paraId="5004A25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i/>
                <w:iCs/>
                <w:spacing w:val="-2"/>
                <w:sz w:val="18"/>
                <w:szCs w:val="18"/>
                <w:lang w:eastAsia="ru-RU"/>
              </w:rPr>
              <w:t xml:space="preserve">RUB </w:t>
            </w:r>
            <w:r w:rsidRPr="009D6FA9">
              <w:rPr>
                <w:rFonts w:ascii="Arial" w:eastAsia="Times New Roman" w:hAnsi="Arial" w:cs="Arial"/>
                <w:i/>
                <w:iCs/>
                <w:spacing w:val="-2"/>
                <w:sz w:val="18"/>
                <w:szCs w:val="18"/>
                <w:lang w:val="en-US" w:eastAsia="ru-RU"/>
              </w:rPr>
              <w:t>m</w:t>
            </w:r>
            <w:proofErr w:type="spellStart"/>
            <w:r w:rsidRPr="009D6FA9">
              <w:rPr>
                <w:rFonts w:ascii="Arial" w:eastAsia="Times New Roman" w:hAnsi="Arial" w:cs="Arial"/>
                <w:i/>
                <w:iCs/>
                <w:spacing w:val="-2"/>
                <w:sz w:val="18"/>
                <w:szCs w:val="18"/>
                <w:lang w:eastAsia="ru-RU"/>
              </w:rPr>
              <w:t>illion</w:t>
            </w:r>
            <w:proofErr w:type="spellEnd"/>
          </w:p>
        </w:tc>
        <w:tc>
          <w:tcPr>
            <w:tcW w:w="600" w:type="pct"/>
            <w:tcBorders>
              <w:top w:val="single" w:sz="4" w:space="0" w:color="auto"/>
              <w:left w:val="nil"/>
              <w:bottom w:val="single" w:sz="4" w:space="0" w:color="auto"/>
            </w:tcBorders>
            <w:vAlign w:val="bottom"/>
          </w:tcPr>
          <w:p w14:paraId="5C56FBA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202</w:t>
            </w:r>
            <w:r w:rsidRPr="009D6FA9">
              <w:rPr>
                <w:rFonts w:ascii="Arial" w:eastAsia="Times New Roman" w:hAnsi="Arial" w:cs="Arial"/>
                <w:b/>
                <w:bCs/>
                <w:spacing w:val="-2"/>
                <w:sz w:val="18"/>
                <w:szCs w:val="18"/>
                <w:lang w:val="ru-RU" w:eastAsia="ru-RU"/>
              </w:rPr>
              <w:t>4</w:t>
            </w:r>
          </w:p>
        </w:tc>
        <w:tc>
          <w:tcPr>
            <w:tcW w:w="601" w:type="pct"/>
            <w:tcBorders>
              <w:top w:val="single" w:sz="4" w:space="0" w:color="auto"/>
              <w:bottom w:val="single" w:sz="4" w:space="0" w:color="auto"/>
              <w:right w:val="nil"/>
            </w:tcBorders>
            <w:vAlign w:val="bottom"/>
          </w:tcPr>
          <w:p w14:paraId="1000255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202</w:t>
            </w:r>
            <w:r w:rsidRPr="009D6FA9">
              <w:rPr>
                <w:rFonts w:ascii="Arial" w:eastAsia="Times New Roman" w:hAnsi="Arial" w:cs="Arial"/>
                <w:b/>
                <w:bCs/>
                <w:spacing w:val="-2"/>
                <w:sz w:val="18"/>
                <w:szCs w:val="18"/>
                <w:lang w:val="ru-RU" w:eastAsia="ru-RU"/>
              </w:rPr>
              <w:t>3</w:t>
            </w:r>
          </w:p>
        </w:tc>
        <w:tc>
          <w:tcPr>
            <w:tcW w:w="600" w:type="pct"/>
            <w:tcBorders>
              <w:top w:val="nil"/>
              <w:left w:val="nil"/>
              <w:bottom w:val="single" w:sz="4" w:space="0" w:color="auto"/>
              <w:right w:val="nil"/>
            </w:tcBorders>
            <w:vAlign w:val="bottom"/>
          </w:tcPr>
          <w:p w14:paraId="70A5F40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9D6FA9">
              <w:rPr>
                <w:rFonts w:ascii="Arial" w:eastAsia="Times New Roman" w:hAnsi="Arial" w:cs="Arial"/>
                <w:b/>
                <w:bCs/>
                <w:spacing w:val="-2"/>
                <w:sz w:val="18"/>
                <w:szCs w:val="18"/>
                <w:lang w:eastAsia="ru-RU"/>
              </w:rPr>
              <w:t>202</w:t>
            </w:r>
            <w:r w:rsidRPr="009D6FA9">
              <w:rPr>
                <w:rFonts w:ascii="Arial" w:eastAsia="Times New Roman" w:hAnsi="Arial" w:cs="Arial"/>
                <w:b/>
                <w:bCs/>
                <w:spacing w:val="-2"/>
                <w:sz w:val="18"/>
                <w:szCs w:val="18"/>
                <w:lang w:val="ru-RU" w:eastAsia="ru-RU"/>
              </w:rPr>
              <w:t>4</w:t>
            </w:r>
          </w:p>
        </w:tc>
        <w:tc>
          <w:tcPr>
            <w:tcW w:w="906" w:type="pct"/>
            <w:tcBorders>
              <w:top w:val="nil"/>
              <w:left w:val="nil"/>
              <w:bottom w:val="single" w:sz="4" w:space="0" w:color="auto"/>
              <w:right w:val="nil"/>
            </w:tcBorders>
            <w:vAlign w:val="bottom"/>
          </w:tcPr>
          <w:p w14:paraId="299017A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9D6FA9">
              <w:rPr>
                <w:rFonts w:ascii="Arial" w:eastAsia="Times New Roman" w:hAnsi="Arial" w:cs="Arial"/>
                <w:b/>
                <w:bCs/>
                <w:spacing w:val="-2"/>
                <w:sz w:val="18"/>
                <w:szCs w:val="18"/>
                <w:lang w:eastAsia="ru-RU"/>
              </w:rPr>
              <w:t>202</w:t>
            </w:r>
            <w:r w:rsidRPr="009D6FA9">
              <w:rPr>
                <w:rFonts w:ascii="Arial" w:eastAsia="Times New Roman" w:hAnsi="Arial" w:cs="Arial"/>
                <w:b/>
                <w:bCs/>
                <w:spacing w:val="-2"/>
                <w:sz w:val="18"/>
                <w:szCs w:val="18"/>
                <w:lang w:val="ru-RU" w:eastAsia="ru-RU"/>
              </w:rPr>
              <w:t>3</w:t>
            </w:r>
          </w:p>
        </w:tc>
      </w:tr>
      <w:tr w:rsidR="009D6FA9" w:rsidRPr="009D6FA9" w14:paraId="0C2D8CF8" w14:textId="77777777" w:rsidTr="009D6FA9">
        <w:trPr>
          <w:cantSplit/>
          <w:trHeight w:val="20"/>
        </w:trPr>
        <w:tc>
          <w:tcPr>
            <w:tcW w:w="2294" w:type="pct"/>
            <w:tcBorders>
              <w:top w:val="single" w:sz="4" w:space="0" w:color="auto"/>
              <w:left w:val="nil"/>
              <w:right w:val="nil"/>
            </w:tcBorders>
            <w:vAlign w:val="bottom"/>
          </w:tcPr>
          <w:p w14:paraId="164A41B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4" w:space="0" w:color="auto"/>
              <w:left w:val="nil"/>
            </w:tcBorders>
            <w:vAlign w:val="bottom"/>
          </w:tcPr>
          <w:p w14:paraId="4AC3894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601" w:type="pct"/>
            <w:tcBorders>
              <w:top w:val="single" w:sz="4" w:space="0" w:color="auto"/>
              <w:right w:val="nil"/>
            </w:tcBorders>
            <w:vAlign w:val="bottom"/>
          </w:tcPr>
          <w:p w14:paraId="4A75B05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600" w:type="pct"/>
            <w:tcBorders>
              <w:top w:val="single" w:sz="4" w:space="0" w:color="auto"/>
              <w:left w:val="nil"/>
              <w:right w:val="nil"/>
            </w:tcBorders>
            <w:vAlign w:val="bottom"/>
          </w:tcPr>
          <w:p w14:paraId="1FFC0EF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906" w:type="pct"/>
            <w:tcBorders>
              <w:top w:val="single" w:sz="4" w:space="0" w:color="auto"/>
              <w:left w:val="nil"/>
              <w:right w:val="nil"/>
            </w:tcBorders>
            <w:vAlign w:val="bottom"/>
          </w:tcPr>
          <w:p w14:paraId="23D70D7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r>
      <w:tr w:rsidR="009D6FA9" w:rsidRPr="009D6FA9" w14:paraId="1F0DB94C" w14:textId="77777777" w:rsidTr="009D6FA9">
        <w:trPr>
          <w:cantSplit/>
          <w:trHeight w:val="20"/>
        </w:trPr>
        <w:tc>
          <w:tcPr>
            <w:tcW w:w="2294" w:type="pct"/>
            <w:tcBorders>
              <w:left w:val="nil"/>
              <w:bottom w:val="nil"/>
              <w:right w:val="nil"/>
            </w:tcBorders>
            <w:vAlign w:val="bottom"/>
          </w:tcPr>
          <w:p w14:paraId="4A85B2A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Revenues</w:t>
            </w:r>
          </w:p>
        </w:tc>
        <w:tc>
          <w:tcPr>
            <w:tcW w:w="600" w:type="pct"/>
            <w:tcBorders>
              <w:left w:val="nil"/>
              <w:bottom w:val="nil"/>
            </w:tcBorders>
            <w:vAlign w:val="bottom"/>
          </w:tcPr>
          <w:p w14:paraId="3F73FC91" w14:textId="77777777" w:rsidR="009D6FA9" w:rsidRPr="009D6FA9" w:rsidRDefault="009D6FA9" w:rsidP="009D6FA9">
            <w:pPr>
              <w:widowControl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18"/>
                <w:lang w:val="en-US" w:eastAsia="ru-RU"/>
              </w:rPr>
              <w:t>371,035</w:t>
            </w:r>
          </w:p>
        </w:tc>
        <w:tc>
          <w:tcPr>
            <w:tcW w:w="601" w:type="pct"/>
            <w:tcBorders>
              <w:bottom w:val="nil"/>
              <w:right w:val="nil"/>
            </w:tcBorders>
            <w:vAlign w:val="bottom"/>
          </w:tcPr>
          <w:p w14:paraId="5FAD18CC" w14:textId="77777777" w:rsidR="009D6FA9" w:rsidRPr="009D6FA9" w:rsidRDefault="009D6FA9" w:rsidP="009D6FA9">
            <w:pPr>
              <w:widowControl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18"/>
                <w:lang w:val="en-US" w:eastAsia="ru-RU"/>
              </w:rPr>
              <w:t>328,885</w:t>
            </w:r>
          </w:p>
        </w:tc>
        <w:tc>
          <w:tcPr>
            <w:tcW w:w="600" w:type="pct"/>
            <w:tcBorders>
              <w:left w:val="nil"/>
              <w:bottom w:val="nil"/>
              <w:right w:val="nil"/>
            </w:tcBorders>
            <w:vAlign w:val="bottom"/>
          </w:tcPr>
          <w:p w14:paraId="0E9D26F3"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8"/>
                <w:szCs w:val="18"/>
                <w:highlight w:val="yellow"/>
                <w:lang w:val="ru-RU" w:eastAsia="en-US"/>
              </w:rPr>
            </w:pPr>
            <w:r w:rsidRPr="009D6FA9">
              <w:rPr>
                <w:rFonts w:ascii="Arial" w:eastAsia="Times New Roman" w:hAnsi="Arial" w:cs="Arial"/>
                <w:spacing w:val="-2"/>
                <w:sz w:val="18"/>
                <w:szCs w:val="18"/>
                <w:lang w:val="en-US" w:eastAsia="ru-RU"/>
              </w:rPr>
              <w:t>129,472</w:t>
            </w:r>
          </w:p>
        </w:tc>
        <w:tc>
          <w:tcPr>
            <w:tcW w:w="906" w:type="pct"/>
            <w:tcBorders>
              <w:left w:val="nil"/>
              <w:bottom w:val="nil"/>
              <w:right w:val="nil"/>
            </w:tcBorders>
            <w:vAlign w:val="bottom"/>
          </w:tcPr>
          <w:p w14:paraId="3DEBEDC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spacing w:val="-2"/>
                <w:sz w:val="18"/>
                <w:szCs w:val="18"/>
                <w:lang w:val="en-US" w:eastAsia="ru-RU"/>
              </w:rPr>
              <w:t>116,133</w:t>
            </w:r>
          </w:p>
        </w:tc>
      </w:tr>
      <w:tr w:rsidR="009D6FA9" w:rsidRPr="009D6FA9" w14:paraId="5BDAF4B6" w14:textId="77777777" w:rsidTr="009D6FA9">
        <w:trPr>
          <w:cantSplit/>
          <w:trHeight w:val="20"/>
        </w:trPr>
        <w:tc>
          <w:tcPr>
            <w:tcW w:w="2294" w:type="pct"/>
            <w:tcBorders>
              <w:top w:val="nil"/>
              <w:left w:val="nil"/>
              <w:right w:val="nil"/>
            </w:tcBorders>
            <w:vAlign w:val="bottom"/>
          </w:tcPr>
          <w:p w14:paraId="6C8A4F7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Cost of Group products sold</w:t>
            </w:r>
          </w:p>
        </w:tc>
        <w:tc>
          <w:tcPr>
            <w:tcW w:w="600" w:type="pct"/>
            <w:tcBorders>
              <w:top w:val="nil"/>
              <w:left w:val="nil"/>
            </w:tcBorders>
            <w:vAlign w:val="bottom"/>
          </w:tcPr>
          <w:p w14:paraId="3D61254D" w14:textId="77777777" w:rsidR="009D6FA9" w:rsidRPr="009D6FA9" w:rsidRDefault="009D6FA9" w:rsidP="009D6FA9">
            <w:pPr>
              <w:widowControl w:val="0"/>
              <w:spacing w:after="0" w:line="240" w:lineRule="auto"/>
              <w:ind w:right="-57"/>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color w:val="000000"/>
                <w:spacing w:val="-2"/>
                <w:sz w:val="18"/>
                <w:szCs w:val="18"/>
                <w:lang w:val="en-US" w:eastAsia="en-US"/>
              </w:rPr>
              <w:t>(</w:t>
            </w:r>
            <w:r w:rsidRPr="009D6FA9">
              <w:rPr>
                <w:rFonts w:ascii="Arial" w:eastAsia="Times New Roman" w:hAnsi="Arial" w:cs="Arial"/>
                <w:spacing w:val="-2"/>
                <w:sz w:val="18"/>
                <w:szCs w:val="18"/>
                <w:lang w:val="en-US" w:eastAsia="ru-RU"/>
              </w:rPr>
              <w:t>218,561</w:t>
            </w:r>
            <w:r w:rsidRPr="009D6FA9">
              <w:rPr>
                <w:rFonts w:ascii="Arial" w:eastAsia="Times New Roman" w:hAnsi="Arial" w:cs="Arial"/>
                <w:color w:val="000000"/>
                <w:spacing w:val="-2"/>
                <w:sz w:val="18"/>
                <w:szCs w:val="18"/>
                <w:lang w:val="en-US" w:eastAsia="en-US"/>
              </w:rPr>
              <w:t>)</w:t>
            </w:r>
          </w:p>
        </w:tc>
        <w:tc>
          <w:tcPr>
            <w:tcW w:w="601" w:type="pct"/>
            <w:tcBorders>
              <w:top w:val="nil"/>
              <w:right w:val="nil"/>
            </w:tcBorders>
            <w:vAlign w:val="bottom"/>
          </w:tcPr>
          <w:p w14:paraId="52E0E106" w14:textId="77777777" w:rsidR="009D6FA9" w:rsidRPr="009D6FA9" w:rsidRDefault="009D6FA9" w:rsidP="009D6FA9">
            <w:pPr>
              <w:widowControl w:val="0"/>
              <w:spacing w:after="0" w:line="240" w:lineRule="auto"/>
              <w:ind w:right="-57"/>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color w:val="000000"/>
                <w:spacing w:val="-2"/>
                <w:sz w:val="18"/>
                <w:szCs w:val="18"/>
                <w:lang w:val="en-US" w:eastAsia="en-US"/>
              </w:rPr>
              <w:t>(171,699)</w:t>
            </w:r>
          </w:p>
        </w:tc>
        <w:tc>
          <w:tcPr>
            <w:tcW w:w="600" w:type="pct"/>
            <w:tcBorders>
              <w:top w:val="nil"/>
              <w:left w:val="nil"/>
              <w:right w:val="nil"/>
            </w:tcBorders>
            <w:vAlign w:val="bottom"/>
          </w:tcPr>
          <w:p w14:paraId="18258C28" w14:textId="77777777" w:rsidR="009D6FA9" w:rsidRPr="009D6FA9" w:rsidRDefault="009D6FA9" w:rsidP="009D6FA9">
            <w:pPr>
              <w:widowControl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w:t>
            </w:r>
            <w:r w:rsidRPr="009D6FA9">
              <w:rPr>
                <w:rFonts w:ascii="Arial" w:eastAsia="Times New Roman" w:hAnsi="Arial" w:cs="Arial"/>
                <w:spacing w:val="-2"/>
                <w:sz w:val="18"/>
                <w:szCs w:val="18"/>
                <w:lang w:val="en-US" w:eastAsia="ru-RU"/>
              </w:rPr>
              <w:t>72,268</w:t>
            </w:r>
            <w:r w:rsidRPr="009D6FA9">
              <w:rPr>
                <w:rFonts w:ascii="Arial" w:eastAsia="Times New Roman" w:hAnsi="Arial" w:cs="Arial"/>
                <w:color w:val="000000"/>
                <w:spacing w:val="-2"/>
                <w:sz w:val="18"/>
                <w:szCs w:val="18"/>
                <w:lang w:val="en-US" w:eastAsia="en-US"/>
              </w:rPr>
              <w:t>)</w:t>
            </w:r>
          </w:p>
        </w:tc>
        <w:tc>
          <w:tcPr>
            <w:tcW w:w="906" w:type="pct"/>
            <w:tcBorders>
              <w:top w:val="nil"/>
              <w:left w:val="nil"/>
              <w:right w:val="nil"/>
            </w:tcBorders>
            <w:vAlign w:val="bottom"/>
          </w:tcPr>
          <w:p w14:paraId="737EA05D"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eastAsia="ru-RU"/>
              </w:rPr>
            </w:pPr>
            <w:r w:rsidRPr="009D6FA9">
              <w:rPr>
                <w:rFonts w:ascii="Arial" w:eastAsia="Times New Roman" w:hAnsi="Arial" w:cs="Arial"/>
                <w:color w:val="000000"/>
                <w:spacing w:val="-2"/>
                <w:sz w:val="18"/>
                <w:szCs w:val="18"/>
                <w:lang w:val="en-US" w:eastAsia="en-US"/>
              </w:rPr>
              <w:t>(59,885)</w:t>
            </w:r>
          </w:p>
        </w:tc>
      </w:tr>
      <w:tr w:rsidR="009D6FA9" w:rsidRPr="009D6FA9" w14:paraId="4E641F0B" w14:textId="77777777" w:rsidTr="009D6FA9">
        <w:trPr>
          <w:cantSplit/>
          <w:trHeight w:val="20"/>
        </w:trPr>
        <w:tc>
          <w:tcPr>
            <w:tcW w:w="2294" w:type="pct"/>
            <w:tcBorders>
              <w:top w:val="nil"/>
              <w:left w:val="nil"/>
              <w:right w:val="nil"/>
            </w:tcBorders>
            <w:vAlign w:val="bottom"/>
          </w:tcPr>
          <w:p w14:paraId="79EADDB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Cost of products for resale</w:t>
            </w:r>
          </w:p>
        </w:tc>
        <w:tc>
          <w:tcPr>
            <w:tcW w:w="600" w:type="pct"/>
            <w:tcBorders>
              <w:top w:val="nil"/>
              <w:left w:val="nil"/>
            </w:tcBorders>
            <w:vAlign w:val="bottom"/>
          </w:tcPr>
          <w:p w14:paraId="0D3D93C7" w14:textId="77777777" w:rsidR="009D6FA9" w:rsidRPr="009D6FA9" w:rsidRDefault="009D6FA9" w:rsidP="009D6FA9">
            <w:pPr>
              <w:widowControl w:val="0"/>
              <w:spacing w:after="0" w:line="240" w:lineRule="auto"/>
              <w:ind w:right="-57"/>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color w:val="000000"/>
                <w:spacing w:val="-2"/>
                <w:sz w:val="18"/>
                <w:szCs w:val="18"/>
                <w:lang w:val="en-US" w:eastAsia="en-US"/>
              </w:rPr>
              <w:t>(8</w:t>
            </w:r>
            <w:r w:rsidRPr="009D6FA9">
              <w:rPr>
                <w:rFonts w:ascii="Arial" w:eastAsia="Times New Roman" w:hAnsi="Arial" w:cs="Arial"/>
                <w:spacing w:val="-2"/>
                <w:sz w:val="18"/>
                <w:szCs w:val="18"/>
                <w:lang w:val="en-US" w:eastAsia="ru-RU"/>
              </w:rPr>
              <w:t>,895</w:t>
            </w:r>
            <w:r w:rsidRPr="009D6FA9">
              <w:rPr>
                <w:rFonts w:ascii="Arial" w:eastAsia="Times New Roman" w:hAnsi="Arial" w:cs="Arial"/>
                <w:color w:val="000000"/>
                <w:spacing w:val="-2"/>
                <w:sz w:val="18"/>
                <w:szCs w:val="18"/>
                <w:lang w:val="en-US" w:eastAsia="en-US"/>
              </w:rPr>
              <w:t>)</w:t>
            </w:r>
          </w:p>
        </w:tc>
        <w:tc>
          <w:tcPr>
            <w:tcW w:w="601" w:type="pct"/>
            <w:tcBorders>
              <w:top w:val="nil"/>
              <w:right w:val="nil"/>
            </w:tcBorders>
            <w:vAlign w:val="bottom"/>
          </w:tcPr>
          <w:p w14:paraId="0E5AFCE2" w14:textId="77777777" w:rsidR="009D6FA9" w:rsidRPr="009D6FA9" w:rsidRDefault="009D6FA9" w:rsidP="009D6FA9">
            <w:pPr>
              <w:widowControl w:val="0"/>
              <w:spacing w:after="0" w:line="240" w:lineRule="auto"/>
              <w:ind w:right="-57"/>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color w:val="000000"/>
                <w:spacing w:val="-2"/>
                <w:sz w:val="18"/>
                <w:szCs w:val="18"/>
                <w:lang w:val="en-US" w:eastAsia="en-US"/>
              </w:rPr>
              <w:t>(12,964)</w:t>
            </w:r>
          </w:p>
        </w:tc>
        <w:tc>
          <w:tcPr>
            <w:tcW w:w="600" w:type="pct"/>
            <w:tcBorders>
              <w:top w:val="nil"/>
              <w:left w:val="nil"/>
              <w:right w:val="nil"/>
            </w:tcBorders>
            <w:vAlign w:val="bottom"/>
          </w:tcPr>
          <w:p w14:paraId="53A4176F" w14:textId="77777777" w:rsidR="009D6FA9" w:rsidRPr="009D6FA9" w:rsidRDefault="009D6FA9" w:rsidP="009D6FA9">
            <w:pPr>
              <w:widowControl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(4</w:t>
            </w:r>
            <w:r w:rsidRPr="009D6FA9">
              <w:rPr>
                <w:rFonts w:ascii="Arial" w:eastAsia="Times New Roman" w:hAnsi="Arial" w:cs="Arial"/>
                <w:spacing w:val="-2"/>
                <w:sz w:val="18"/>
                <w:szCs w:val="18"/>
                <w:lang w:val="en-US" w:eastAsia="ru-RU"/>
              </w:rPr>
              <w:t>,441</w:t>
            </w:r>
            <w:r w:rsidRPr="009D6FA9">
              <w:rPr>
                <w:rFonts w:ascii="Arial" w:eastAsia="Times New Roman" w:hAnsi="Arial" w:cs="Arial"/>
                <w:color w:val="000000"/>
                <w:spacing w:val="-2"/>
                <w:sz w:val="18"/>
                <w:szCs w:val="18"/>
                <w:lang w:val="en-US" w:eastAsia="en-US"/>
              </w:rPr>
              <w:t>)</w:t>
            </w:r>
          </w:p>
        </w:tc>
        <w:tc>
          <w:tcPr>
            <w:tcW w:w="906" w:type="pct"/>
            <w:tcBorders>
              <w:top w:val="nil"/>
              <w:left w:val="nil"/>
              <w:right w:val="nil"/>
            </w:tcBorders>
            <w:vAlign w:val="bottom"/>
          </w:tcPr>
          <w:p w14:paraId="5923D30A"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highlight w:val="yellow"/>
                <w:lang w:val="en-US" w:eastAsia="en-US"/>
              </w:rPr>
            </w:pPr>
            <w:r w:rsidRPr="009D6FA9">
              <w:rPr>
                <w:rFonts w:ascii="Arial" w:eastAsia="Times New Roman" w:hAnsi="Arial" w:cs="Arial"/>
                <w:color w:val="000000"/>
                <w:spacing w:val="-2"/>
                <w:sz w:val="18"/>
                <w:szCs w:val="18"/>
                <w:lang w:val="en-US" w:eastAsia="en-US"/>
              </w:rPr>
              <w:t>(2,356)</w:t>
            </w:r>
          </w:p>
        </w:tc>
      </w:tr>
      <w:tr w:rsidR="009D6FA9" w:rsidRPr="009D6FA9" w14:paraId="6965FE53" w14:textId="77777777" w:rsidTr="009D6FA9">
        <w:trPr>
          <w:cantSplit/>
          <w:trHeight w:val="20"/>
        </w:trPr>
        <w:tc>
          <w:tcPr>
            <w:tcW w:w="2294" w:type="pct"/>
            <w:tcBorders>
              <w:top w:val="nil"/>
              <w:left w:val="nil"/>
              <w:bottom w:val="single" w:sz="4" w:space="0" w:color="auto"/>
              <w:right w:val="nil"/>
            </w:tcBorders>
            <w:vAlign w:val="bottom"/>
          </w:tcPr>
          <w:p w14:paraId="7207BED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nil"/>
              <w:left w:val="nil"/>
              <w:bottom w:val="single" w:sz="4" w:space="0" w:color="auto"/>
            </w:tcBorders>
            <w:vAlign w:val="bottom"/>
          </w:tcPr>
          <w:p w14:paraId="4FDA98C4"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601" w:type="pct"/>
            <w:tcBorders>
              <w:top w:val="nil"/>
              <w:bottom w:val="single" w:sz="4" w:space="0" w:color="auto"/>
              <w:right w:val="nil"/>
            </w:tcBorders>
            <w:vAlign w:val="bottom"/>
          </w:tcPr>
          <w:p w14:paraId="10237EE8"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600" w:type="pct"/>
            <w:tcBorders>
              <w:top w:val="nil"/>
              <w:left w:val="nil"/>
              <w:bottom w:val="single" w:sz="4" w:space="0" w:color="auto"/>
              <w:right w:val="nil"/>
            </w:tcBorders>
            <w:vAlign w:val="bottom"/>
          </w:tcPr>
          <w:p w14:paraId="3CC84CBE"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906" w:type="pct"/>
            <w:tcBorders>
              <w:top w:val="nil"/>
              <w:left w:val="nil"/>
              <w:bottom w:val="single" w:sz="4" w:space="0" w:color="auto"/>
              <w:right w:val="nil"/>
            </w:tcBorders>
            <w:vAlign w:val="bottom"/>
          </w:tcPr>
          <w:p w14:paraId="6B34F34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r>
      <w:tr w:rsidR="009D6FA9" w:rsidRPr="009D6FA9" w14:paraId="6A322BA3" w14:textId="77777777" w:rsidTr="009D6FA9">
        <w:trPr>
          <w:cantSplit/>
          <w:trHeight w:val="20"/>
        </w:trPr>
        <w:tc>
          <w:tcPr>
            <w:tcW w:w="2294" w:type="pct"/>
            <w:tcBorders>
              <w:top w:val="single" w:sz="4" w:space="0" w:color="auto"/>
              <w:left w:val="nil"/>
              <w:right w:val="nil"/>
            </w:tcBorders>
            <w:vAlign w:val="bottom"/>
          </w:tcPr>
          <w:p w14:paraId="08DAA90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4" w:space="0" w:color="auto"/>
              <w:left w:val="nil"/>
            </w:tcBorders>
            <w:vAlign w:val="bottom"/>
          </w:tcPr>
          <w:p w14:paraId="6A1E48C8"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601" w:type="pct"/>
            <w:tcBorders>
              <w:top w:val="single" w:sz="4" w:space="0" w:color="auto"/>
              <w:right w:val="nil"/>
            </w:tcBorders>
            <w:vAlign w:val="bottom"/>
          </w:tcPr>
          <w:p w14:paraId="26DB1F49"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600" w:type="pct"/>
            <w:tcBorders>
              <w:top w:val="single" w:sz="4" w:space="0" w:color="auto"/>
              <w:left w:val="nil"/>
              <w:right w:val="nil"/>
            </w:tcBorders>
            <w:vAlign w:val="bottom"/>
          </w:tcPr>
          <w:p w14:paraId="3F4C0C4F" w14:textId="77777777" w:rsidR="009D6FA9" w:rsidRPr="009D6FA9" w:rsidRDefault="009D6FA9" w:rsidP="009D6FA9">
            <w:pPr>
              <w:widowControl w:val="0"/>
              <w:spacing w:after="0" w:line="240" w:lineRule="auto"/>
              <w:jc w:val="right"/>
              <w:rPr>
                <w:rFonts w:ascii="Arial" w:eastAsia="Times New Roman" w:hAnsi="Arial" w:cs="Arial"/>
                <w:color w:val="000000"/>
                <w:spacing w:val="-2"/>
                <w:sz w:val="10"/>
                <w:szCs w:val="10"/>
                <w:highlight w:val="yellow"/>
                <w:lang w:val="en-US" w:eastAsia="en-US"/>
              </w:rPr>
            </w:pPr>
          </w:p>
        </w:tc>
        <w:tc>
          <w:tcPr>
            <w:tcW w:w="906" w:type="pct"/>
            <w:tcBorders>
              <w:top w:val="single" w:sz="4" w:space="0" w:color="auto"/>
              <w:left w:val="nil"/>
              <w:right w:val="nil"/>
            </w:tcBorders>
            <w:vAlign w:val="bottom"/>
          </w:tcPr>
          <w:p w14:paraId="638115E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r>
      <w:tr w:rsidR="009D6FA9" w:rsidRPr="009D6FA9" w14:paraId="5C1E4BF1" w14:textId="77777777" w:rsidTr="009D6FA9">
        <w:trPr>
          <w:cantSplit/>
          <w:trHeight w:val="20"/>
        </w:trPr>
        <w:tc>
          <w:tcPr>
            <w:tcW w:w="2294" w:type="pct"/>
            <w:tcBorders>
              <w:left w:val="nil"/>
              <w:right w:val="nil"/>
            </w:tcBorders>
            <w:vAlign w:val="bottom"/>
          </w:tcPr>
          <w:p w14:paraId="21C0FB8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Gross profit</w:t>
            </w:r>
          </w:p>
        </w:tc>
        <w:tc>
          <w:tcPr>
            <w:tcW w:w="600" w:type="pct"/>
            <w:tcBorders>
              <w:left w:val="nil"/>
            </w:tcBorders>
            <w:vAlign w:val="bottom"/>
          </w:tcPr>
          <w:p w14:paraId="4B843A7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en-US" w:eastAsia="ru-RU"/>
              </w:rPr>
            </w:pPr>
            <w:r w:rsidRPr="009D6FA9">
              <w:rPr>
                <w:rFonts w:ascii="Arial" w:eastAsia="Times New Roman" w:hAnsi="Arial" w:cs="Arial"/>
                <w:b/>
                <w:spacing w:val="-2"/>
                <w:sz w:val="18"/>
                <w:szCs w:val="18"/>
                <w:lang w:val="en-US" w:eastAsia="ru-RU"/>
              </w:rPr>
              <w:t>143,579</w:t>
            </w:r>
          </w:p>
        </w:tc>
        <w:tc>
          <w:tcPr>
            <w:tcW w:w="601" w:type="pct"/>
            <w:tcBorders>
              <w:right w:val="nil"/>
            </w:tcBorders>
            <w:vAlign w:val="bottom"/>
          </w:tcPr>
          <w:p w14:paraId="2AC4941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en-US" w:eastAsia="ru-RU"/>
              </w:rPr>
            </w:pPr>
            <w:r w:rsidRPr="009D6FA9">
              <w:rPr>
                <w:rFonts w:ascii="Arial" w:eastAsia="Times New Roman" w:hAnsi="Arial" w:cs="Arial"/>
                <w:b/>
                <w:spacing w:val="-2"/>
                <w:sz w:val="18"/>
                <w:szCs w:val="18"/>
                <w:lang w:val="en-US" w:eastAsia="ru-RU"/>
              </w:rPr>
              <w:t>144,222</w:t>
            </w:r>
          </w:p>
        </w:tc>
        <w:tc>
          <w:tcPr>
            <w:tcW w:w="600" w:type="pct"/>
            <w:tcBorders>
              <w:left w:val="nil"/>
              <w:right w:val="nil"/>
            </w:tcBorders>
            <w:vAlign w:val="bottom"/>
          </w:tcPr>
          <w:p w14:paraId="5271350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ru-RU" w:eastAsia="ru-RU"/>
              </w:rPr>
            </w:pPr>
            <w:r w:rsidRPr="009D6FA9">
              <w:rPr>
                <w:rFonts w:ascii="Arial" w:eastAsia="Times New Roman" w:hAnsi="Arial" w:cs="Arial"/>
                <w:b/>
                <w:spacing w:val="-2"/>
                <w:sz w:val="18"/>
                <w:szCs w:val="18"/>
                <w:lang w:val="en-US" w:eastAsia="ru-RU"/>
              </w:rPr>
              <w:t>52,763</w:t>
            </w:r>
          </w:p>
        </w:tc>
        <w:tc>
          <w:tcPr>
            <w:tcW w:w="906" w:type="pct"/>
            <w:tcBorders>
              <w:left w:val="nil"/>
              <w:right w:val="nil"/>
            </w:tcBorders>
            <w:vAlign w:val="bottom"/>
          </w:tcPr>
          <w:p w14:paraId="5C0C3A1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en-US" w:eastAsia="ru-RU"/>
              </w:rPr>
            </w:pPr>
            <w:r w:rsidRPr="009D6FA9">
              <w:rPr>
                <w:rFonts w:ascii="Arial" w:eastAsia="Times New Roman" w:hAnsi="Arial" w:cs="Arial"/>
                <w:b/>
                <w:spacing w:val="-2"/>
                <w:sz w:val="18"/>
                <w:szCs w:val="18"/>
                <w:lang w:val="en-US" w:eastAsia="ru-RU"/>
              </w:rPr>
              <w:t>53,892</w:t>
            </w:r>
          </w:p>
        </w:tc>
      </w:tr>
      <w:tr w:rsidR="009D6FA9" w:rsidRPr="009D6FA9" w14:paraId="6CB4A283" w14:textId="77777777" w:rsidTr="009D6FA9">
        <w:trPr>
          <w:cantSplit/>
          <w:trHeight w:val="20"/>
        </w:trPr>
        <w:tc>
          <w:tcPr>
            <w:tcW w:w="2294" w:type="pct"/>
            <w:tcBorders>
              <w:left w:val="nil"/>
              <w:right w:val="nil"/>
            </w:tcBorders>
            <w:vAlign w:val="bottom"/>
          </w:tcPr>
          <w:p w14:paraId="11543B7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600" w:type="pct"/>
            <w:tcBorders>
              <w:left w:val="nil"/>
            </w:tcBorders>
            <w:vAlign w:val="bottom"/>
          </w:tcPr>
          <w:p w14:paraId="706B35F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601" w:type="pct"/>
            <w:tcBorders>
              <w:right w:val="nil"/>
            </w:tcBorders>
            <w:vAlign w:val="bottom"/>
          </w:tcPr>
          <w:p w14:paraId="5C01B95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600" w:type="pct"/>
            <w:tcBorders>
              <w:left w:val="nil"/>
              <w:right w:val="nil"/>
            </w:tcBorders>
            <w:vAlign w:val="bottom"/>
          </w:tcPr>
          <w:p w14:paraId="4930276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c>
          <w:tcPr>
            <w:tcW w:w="906" w:type="pct"/>
            <w:tcBorders>
              <w:left w:val="nil"/>
              <w:right w:val="nil"/>
            </w:tcBorders>
            <w:vAlign w:val="bottom"/>
          </w:tcPr>
          <w:p w14:paraId="5765853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eastAsia="ru-RU"/>
              </w:rPr>
            </w:pPr>
          </w:p>
        </w:tc>
      </w:tr>
      <w:tr w:rsidR="009D6FA9" w:rsidRPr="009D6FA9" w14:paraId="413BB36C" w14:textId="77777777" w:rsidTr="009D6FA9">
        <w:trPr>
          <w:cantSplit/>
          <w:trHeight w:val="20"/>
        </w:trPr>
        <w:tc>
          <w:tcPr>
            <w:tcW w:w="2294" w:type="pct"/>
            <w:tcBorders>
              <w:top w:val="nil"/>
              <w:left w:val="nil"/>
              <w:bottom w:val="nil"/>
              <w:right w:val="nil"/>
            </w:tcBorders>
            <w:vAlign w:val="bottom"/>
          </w:tcPr>
          <w:p w14:paraId="68CB6E6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Administrative and selling expenses</w:t>
            </w:r>
          </w:p>
        </w:tc>
        <w:tc>
          <w:tcPr>
            <w:tcW w:w="600" w:type="pct"/>
            <w:tcBorders>
              <w:top w:val="nil"/>
              <w:left w:val="nil"/>
              <w:bottom w:val="nil"/>
            </w:tcBorders>
            <w:vAlign w:val="bottom"/>
          </w:tcPr>
          <w:p w14:paraId="103693D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w:t>
            </w:r>
            <w:r w:rsidRPr="009D6FA9">
              <w:rPr>
                <w:rFonts w:ascii="Arial" w:eastAsia="Times New Roman" w:hAnsi="Arial" w:cs="Arial"/>
                <w:spacing w:val="-2"/>
                <w:sz w:val="18"/>
                <w:szCs w:val="18"/>
                <w:lang w:val="en-US" w:eastAsia="ru-RU"/>
              </w:rPr>
              <w:t>30,329</w:t>
            </w:r>
            <w:r w:rsidRPr="009D6FA9">
              <w:rPr>
                <w:rFonts w:ascii="Arial" w:eastAsia="Times New Roman" w:hAnsi="Arial" w:cs="Arial"/>
                <w:color w:val="000000"/>
                <w:spacing w:val="-2"/>
                <w:sz w:val="18"/>
                <w:szCs w:val="18"/>
                <w:lang w:val="en-US" w:eastAsia="en-US"/>
              </w:rPr>
              <w:t>)</w:t>
            </w:r>
          </w:p>
        </w:tc>
        <w:tc>
          <w:tcPr>
            <w:tcW w:w="601" w:type="pct"/>
            <w:tcBorders>
              <w:top w:val="nil"/>
              <w:bottom w:val="nil"/>
              <w:right w:val="nil"/>
            </w:tcBorders>
            <w:vAlign w:val="bottom"/>
          </w:tcPr>
          <w:p w14:paraId="18D22A4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(23,659)</w:t>
            </w:r>
          </w:p>
        </w:tc>
        <w:tc>
          <w:tcPr>
            <w:tcW w:w="600" w:type="pct"/>
            <w:tcBorders>
              <w:top w:val="nil"/>
              <w:left w:val="nil"/>
              <w:bottom w:val="nil"/>
              <w:right w:val="nil"/>
            </w:tcBorders>
            <w:vAlign w:val="bottom"/>
          </w:tcPr>
          <w:p w14:paraId="51AC7561"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w:t>
            </w:r>
            <w:r w:rsidRPr="009D6FA9">
              <w:rPr>
                <w:rFonts w:ascii="Arial" w:eastAsia="Times New Roman" w:hAnsi="Arial" w:cs="Arial"/>
                <w:spacing w:val="-2"/>
                <w:sz w:val="18"/>
                <w:szCs w:val="18"/>
                <w:lang w:val="en-US" w:eastAsia="ru-RU"/>
              </w:rPr>
              <w:t>10,357</w:t>
            </w:r>
            <w:r w:rsidRPr="009D6FA9">
              <w:rPr>
                <w:rFonts w:ascii="Arial" w:eastAsia="Times New Roman" w:hAnsi="Arial" w:cs="Arial"/>
                <w:color w:val="000000"/>
                <w:spacing w:val="-2"/>
                <w:sz w:val="18"/>
                <w:szCs w:val="18"/>
                <w:lang w:val="en-US" w:eastAsia="en-US"/>
              </w:rPr>
              <w:t>)</w:t>
            </w:r>
          </w:p>
        </w:tc>
        <w:tc>
          <w:tcPr>
            <w:tcW w:w="906" w:type="pct"/>
            <w:tcBorders>
              <w:top w:val="nil"/>
              <w:left w:val="nil"/>
              <w:bottom w:val="nil"/>
              <w:right w:val="nil"/>
            </w:tcBorders>
            <w:vAlign w:val="bottom"/>
          </w:tcPr>
          <w:p w14:paraId="601FDBAF"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ru-RU" w:eastAsia="ru-RU"/>
              </w:rPr>
            </w:pPr>
            <w:r w:rsidRPr="009D6FA9">
              <w:rPr>
                <w:rFonts w:ascii="Arial" w:eastAsia="Times New Roman" w:hAnsi="Arial" w:cs="Arial"/>
                <w:color w:val="000000"/>
                <w:spacing w:val="-2"/>
                <w:sz w:val="18"/>
                <w:szCs w:val="18"/>
                <w:lang w:val="en-US" w:eastAsia="en-US"/>
              </w:rPr>
              <w:t>(8,507)</w:t>
            </w:r>
          </w:p>
        </w:tc>
      </w:tr>
      <w:tr w:rsidR="009D6FA9" w:rsidRPr="009D6FA9" w14:paraId="35665F6E" w14:textId="77777777" w:rsidTr="009D6FA9">
        <w:trPr>
          <w:cantSplit/>
          <w:trHeight w:val="20"/>
        </w:trPr>
        <w:tc>
          <w:tcPr>
            <w:tcW w:w="2294" w:type="pct"/>
            <w:tcBorders>
              <w:top w:val="nil"/>
              <w:left w:val="nil"/>
              <w:bottom w:val="nil"/>
              <w:right w:val="nil"/>
            </w:tcBorders>
            <w:vAlign w:val="bottom"/>
          </w:tcPr>
          <w:p w14:paraId="2A5F10D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Taxes, other than income tax</w:t>
            </w:r>
          </w:p>
        </w:tc>
        <w:tc>
          <w:tcPr>
            <w:tcW w:w="600" w:type="pct"/>
            <w:tcBorders>
              <w:top w:val="nil"/>
              <w:left w:val="nil"/>
            </w:tcBorders>
            <w:vAlign w:val="bottom"/>
          </w:tcPr>
          <w:p w14:paraId="754355B2"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(11</w:t>
            </w:r>
            <w:r w:rsidRPr="009D6FA9">
              <w:rPr>
                <w:rFonts w:ascii="Arial" w:eastAsia="Times New Roman" w:hAnsi="Arial" w:cs="Arial"/>
                <w:spacing w:val="-2"/>
                <w:sz w:val="18"/>
                <w:szCs w:val="18"/>
                <w:lang w:val="en-US" w:eastAsia="ru-RU"/>
              </w:rPr>
              <w:t>,280</w:t>
            </w:r>
            <w:r w:rsidRPr="009D6FA9">
              <w:rPr>
                <w:rFonts w:ascii="Arial" w:eastAsia="Times New Roman" w:hAnsi="Arial" w:cs="Arial"/>
                <w:color w:val="000000"/>
                <w:spacing w:val="-2"/>
                <w:sz w:val="18"/>
                <w:szCs w:val="18"/>
                <w:lang w:val="en-US" w:eastAsia="en-US"/>
              </w:rPr>
              <w:t>)</w:t>
            </w:r>
          </w:p>
        </w:tc>
        <w:tc>
          <w:tcPr>
            <w:tcW w:w="601" w:type="pct"/>
            <w:tcBorders>
              <w:top w:val="nil"/>
              <w:right w:val="nil"/>
            </w:tcBorders>
            <w:vAlign w:val="bottom"/>
          </w:tcPr>
          <w:p w14:paraId="333B8600"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(9,219)</w:t>
            </w:r>
          </w:p>
        </w:tc>
        <w:tc>
          <w:tcPr>
            <w:tcW w:w="600" w:type="pct"/>
            <w:tcBorders>
              <w:top w:val="nil"/>
              <w:left w:val="nil"/>
              <w:right w:val="nil"/>
            </w:tcBorders>
            <w:vAlign w:val="bottom"/>
          </w:tcPr>
          <w:p w14:paraId="0D907D0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(3</w:t>
            </w:r>
            <w:r w:rsidRPr="009D6FA9">
              <w:rPr>
                <w:rFonts w:ascii="Arial" w:eastAsia="Times New Roman" w:hAnsi="Arial" w:cs="Arial"/>
                <w:spacing w:val="-2"/>
                <w:sz w:val="18"/>
                <w:szCs w:val="18"/>
                <w:lang w:val="en-US" w:eastAsia="ru-RU"/>
              </w:rPr>
              <w:t>,695</w:t>
            </w:r>
            <w:r w:rsidRPr="009D6FA9">
              <w:rPr>
                <w:rFonts w:ascii="Arial" w:eastAsia="Times New Roman" w:hAnsi="Arial" w:cs="Arial"/>
                <w:color w:val="000000"/>
                <w:spacing w:val="-2"/>
                <w:sz w:val="18"/>
                <w:szCs w:val="18"/>
                <w:lang w:val="en-US" w:eastAsia="en-US"/>
              </w:rPr>
              <w:t>)</w:t>
            </w:r>
          </w:p>
        </w:tc>
        <w:tc>
          <w:tcPr>
            <w:tcW w:w="906" w:type="pct"/>
            <w:tcBorders>
              <w:top w:val="nil"/>
              <w:left w:val="nil"/>
              <w:bottom w:val="nil"/>
              <w:right w:val="nil"/>
            </w:tcBorders>
            <w:vAlign w:val="bottom"/>
          </w:tcPr>
          <w:p w14:paraId="7B1A276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ru-RU" w:eastAsia="ru-RU"/>
              </w:rPr>
            </w:pPr>
            <w:r w:rsidRPr="009D6FA9">
              <w:rPr>
                <w:rFonts w:ascii="Arial" w:eastAsia="Times New Roman" w:hAnsi="Arial" w:cs="Arial"/>
                <w:color w:val="000000"/>
                <w:spacing w:val="-2"/>
                <w:sz w:val="18"/>
                <w:szCs w:val="18"/>
                <w:lang w:val="en-US" w:eastAsia="en-US"/>
              </w:rPr>
              <w:t>(3,209)</w:t>
            </w:r>
          </w:p>
        </w:tc>
      </w:tr>
      <w:tr w:rsidR="009D6FA9" w:rsidRPr="009D6FA9" w14:paraId="04470C5B" w14:textId="77777777" w:rsidTr="009D6FA9">
        <w:trPr>
          <w:cantSplit/>
          <w:trHeight w:val="20"/>
        </w:trPr>
        <w:tc>
          <w:tcPr>
            <w:tcW w:w="2294" w:type="pct"/>
            <w:tcBorders>
              <w:top w:val="nil"/>
              <w:left w:val="nil"/>
              <w:right w:val="nil"/>
            </w:tcBorders>
            <w:vAlign w:val="bottom"/>
          </w:tcPr>
          <w:p w14:paraId="3367BDA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Other expenses, net</w:t>
            </w:r>
          </w:p>
        </w:tc>
        <w:tc>
          <w:tcPr>
            <w:tcW w:w="600" w:type="pct"/>
            <w:tcBorders>
              <w:top w:val="nil"/>
              <w:left w:val="nil"/>
            </w:tcBorders>
            <w:vAlign w:val="bottom"/>
          </w:tcPr>
          <w:p w14:paraId="2FCE626A"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(7</w:t>
            </w:r>
            <w:r w:rsidRPr="009D6FA9">
              <w:rPr>
                <w:rFonts w:ascii="Arial" w:eastAsia="Times New Roman" w:hAnsi="Arial" w:cs="Arial"/>
                <w:spacing w:val="-2"/>
                <w:sz w:val="18"/>
                <w:szCs w:val="18"/>
                <w:lang w:val="en-US" w:eastAsia="ru-RU"/>
              </w:rPr>
              <w:t>,481</w:t>
            </w:r>
            <w:r w:rsidRPr="009D6FA9">
              <w:rPr>
                <w:rFonts w:ascii="Arial" w:eastAsia="Times New Roman" w:hAnsi="Arial" w:cs="Arial"/>
                <w:color w:val="000000"/>
                <w:spacing w:val="-2"/>
                <w:sz w:val="18"/>
                <w:szCs w:val="18"/>
                <w:lang w:val="en-US" w:eastAsia="en-US"/>
              </w:rPr>
              <w:t>)</w:t>
            </w:r>
          </w:p>
        </w:tc>
        <w:tc>
          <w:tcPr>
            <w:tcW w:w="601" w:type="pct"/>
            <w:tcBorders>
              <w:top w:val="nil"/>
              <w:right w:val="nil"/>
            </w:tcBorders>
            <w:vAlign w:val="bottom"/>
          </w:tcPr>
          <w:p w14:paraId="1BA23635"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(4,152)</w:t>
            </w:r>
          </w:p>
        </w:tc>
        <w:tc>
          <w:tcPr>
            <w:tcW w:w="600" w:type="pct"/>
            <w:tcBorders>
              <w:top w:val="nil"/>
              <w:left w:val="nil"/>
              <w:right w:val="nil"/>
            </w:tcBorders>
            <w:vAlign w:val="bottom"/>
          </w:tcPr>
          <w:p w14:paraId="39063D7C"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(2</w:t>
            </w:r>
            <w:r w:rsidRPr="009D6FA9">
              <w:rPr>
                <w:rFonts w:ascii="Arial" w:eastAsia="Times New Roman" w:hAnsi="Arial" w:cs="Arial"/>
                <w:spacing w:val="-2"/>
                <w:sz w:val="18"/>
                <w:szCs w:val="18"/>
                <w:lang w:val="en-US" w:eastAsia="ru-RU"/>
              </w:rPr>
              <w:t>,537</w:t>
            </w:r>
            <w:r w:rsidRPr="009D6FA9">
              <w:rPr>
                <w:rFonts w:ascii="Arial" w:eastAsia="Times New Roman" w:hAnsi="Arial" w:cs="Arial"/>
                <w:color w:val="000000"/>
                <w:spacing w:val="-2"/>
                <w:sz w:val="18"/>
                <w:szCs w:val="18"/>
                <w:lang w:val="en-US" w:eastAsia="en-US"/>
              </w:rPr>
              <w:t>)</w:t>
            </w:r>
          </w:p>
        </w:tc>
        <w:tc>
          <w:tcPr>
            <w:tcW w:w="906" w:type="pct"/>
            <w:tcBorders>
              <w:top w:val="nil"/>
              <w:left w:val="nil"/>
              <w:right w:val="nil"/>
            </w:tcBorders>
            <w:vAlign w:val="bottom"/>
          </w:tcPr>
          <w:p w14:paraId="3F719AA9"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ru-RU" w:eastAsia="ru-RU"/>
              </w:rPr>
            </w:pPr>
            <w:r w:rsidRPr="009D6FA9">
              <w:rPr>
                <w:rFonts w:ascii="Arial" w:eastAsia="Times New Roman" w:hAnsi="Arial" w:cs="Arial"/>
                <w:color w:val="000000"/>
                <w:spacing w:val="-2"/>
                <w:sz w:val="18"/>
                <w:szCs w:val="18"/>
                <w:lang w:val="en-US" w:eastAsia="en-US"/>
              </w:rPr>
              <w:t>(2,082)</w:t>
            </w:r>
          </w:p>
        </w:tc>
      </w:tr>
      <w:tr w:rsidR="009D6FA9" w:rsidRPr="009D6FA9" w14:paraId="7CFB08B4" w14:textId="77777777" w:rsidTr="009D6FA9">
        <w:trPr>
          <w:cantSplit/>
          <w:trHeight w:val="20"/>
        </w:trPr>
        <w:tc>
          <w:tcPr>
            <w:tcW w:w="2294" w:type="pct"/>
            <w:tcBorders>
              <w:top w:val="nil"/>
              <w:left w:val="nil"/>
              <w:right w:val="nil"/>
            </w:tcBorders>
            <w:vAlign w:val="bottom"/>
          </w:tcPr>
          <w:p w14:paraId="34B1B30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Foreign exchange </w:t>
            </w:r>
            <w:r w:rsidRPr="009D6FA9">
              <w:rPr>
                <w:rFonts w:ascii="Arial" w:eastAsia="Times New Roman" w:hAnsi="Arial" w:cs="Arial"/>
                <w:spacing w:val="-2"/>
                <w:sz w:val="18"/>
                <w:szCs w:val="18"/>
                <w:lang w:val="en-US" w:eastAsia="ru-RU"/>
              </w:rPr>
              <w:t>gain</w:t>
            </w:r>
            <w:r w:rsidRPr="009D6FA9">
              <w:rPr>
                <w:rFonts w:ascii="Arial" w:eastAsia="Times New Roman" w:hAnsi="Arial" w:cs="Arial"/>
                <w:spacing w:val="-2"/>
                <w:sz w:val="18"/>
                <w:szCs w:val="18"/>
                <w:lang w:eastAsia="ru-RU"/>
              </w:rPr>
              <w:t xml:space="preserve"> from operating activities, net</w:t>
            </w:r>
          </w:p>
        </w:tc>
        <w:tc>
          <w:tcPr>
            <w:tcW w:w="600" w:type="pct"/>
            <w:tcBorders>
              <w:top w:val="nil"/>
              <w:left w:val="nil"/>
            </w:tcBorders>
            <w:vAlign w:val="bottom"/>
          </w:tcPr>
          <w:p w14:paraId="4B4CC4A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1,111</w:t>
            </w:r>
          </w:p>
        </w:tc>
        <w:tc>
          <w:tcPr>
            <w:tcW w:w="601" w:type="pct"/>
            <w:tcBorders>
              <w:top w:val="nil"/>
              <w:right w:val="nil"/>
            </w:tcBorders>
            <w:vAlign w:val="bottom"/>
          </w:tcPr>
          <w:p w14:paraId="5B21F1B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color w:val="000000"/>
                <w:spacing w:val="-2"/>
                <w:sz w:val="18"/>
                <w:szCs w:val="18"/>
                <w:lang w:val="en-US" w:eastAsia="en-US"/>
              </w:rPr>
              <w:t>19,824</w:t>
            </w:r>
          </w:p>
        </w:tc>
        <w:tc>
          <w:tcPr>
            <w:tcW w:w="600" w:type="pct"/>
            <w:tcBorders>
              <w:top w:val="nil"/>
              <w:left w:val="nil"/>
              <w:right w:val="nil"/>
            </w:tcBorders>
            <w:vAlign w:val="bottom"/>
          </w:tcPr>
          <w:p w14:paraId="4042132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3,391</w:t>
            </w:r>
          </w:p>
        </w:tc>
        <w:tc>
          <w:tcPr>
            <w:tcW w:w="906" w:type="pct"/>
            <w:tcBorders>
              <w:top w:val="nil"/>
              <w:left w:val="nil"/>
              <w:right w:val="nil"/>
            </w:tcBorders>
            <w:vAlign w:val="bottom"/>
          </w:tcPr>
          <w:p w14:paraId="41E4AE2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6,122</w:t>
            </w:r>
          </w:p>
        </w:tc>
      </w:tr>
      <w:tr w:rsidR="009D6FA9" w:rsidRPr="009D6FA9" w14:paraId="7DA32115" w14:textId="77777777" w:rsidTr="009D6FA9">
        <w:trPr>
          <w:cantSplit/>
          <w:trHeight w:val="20"/>
        </w:trPr>
        <w:tc>
          <w:tcPr>
            <w:tcW w:w="2294" w:type="pct"/>
            <w:tcBorders>
              <w:top w:val="nil"/>
              <w:left w:val="nil"/>
              <w:bottom w:val="single" w:sz="4" w:space="0" w:color="auto"/>
              <w:right w:val="nil"/>
            </w:tcBorders>
            <w:vAlign w:val="bottom"/>
          </w:tcPr>
          <w:p w14:paraId="4589D41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nil"/>
              <w:left w:val="nil"/>
              <w:bottom w:val="single" w:sz="4" w:space="0" w:color="auto"/>
            </w:tcBorders>
            <w:vAlign w:val="bottom"/>
          </w:tcPr>
          <w:p w14:paraId="798C50C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601" w:type="pct"/>
            <w:tcBorders>
              <w:top w:val="nil"/>
              <w:bottom w:val="single" w:sz="4" w:space="0" w:color="auto"/>
              <w:right w:val="nil"/>
            </w:tcBorders>
            <w:vAlign w:val="bottom"/>
          </w:tcPr>
          <w:p w14:paraId="170368F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600" w:type="pct"/>
            <w:tcBorders>
              <w:top w:val="nil"/>
              <w:left w:val="nil"/>
              <w:bottom w:val="single" w:sz="4" w:space="0" w:color="auto"/>
              <w:right w:val="nil"/>
            </w:tcBorders>
            <w:vAlign w:val="bottom"/>
          </w:tcPr>
          <w:p w14:paraId="78DE85A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906" w:type="pct"/>
            <w:tcBorders>
              <w:top w:val="nil"/>
              <w:left w:val="nil"/>
              <w:bottom w:val="single" w:sz="4" w:space="0" w:color="auto"/>
              <w:right w:val="nil"/>
            </w:tcBorders>
            <w:vAlign w:val="bottom"/>
          </w:tcPr>
          <w:p w14:paraId="0BBA1AC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r>
      <w:tr w:rsidR="009D6FA9" w:rsidRPr="009D6FA9" w14:paraId="1D94F7A0" w14:textId="77777777" w:rsidTr="009D6FA9">
        <w:trPr>
          <w:cantSplit/>
          <w:trHeight w:val="20"/>
        </w:trPr>
        <w:tc>
          <w:tcPr>
            <w:tcW w:w="2294" w:type="pct"/>
            <w:tcBorders>
              <w:top w:val="single" w:sz="4" w:space="0" w:color="auto"/>
              <w:left w:val="nil"/>
              <w:right w:val="nil"/>
            </w:tcBorders>
            <w:vAlign w:val="bottom"/>
          </w:tcPr>
          <w:p w14:paraId="7639111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4" w:space="0" w:color="auto"/>
              <w:left w:val="nil"/>
            </w:tcBorders>
            <w:vAlign w:val="bottom"/>
          </w:tcPr>
          <w:p w14:paraId="6628DED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601" w:type="pct"/>
            <w:tcBorders>
              <w:top w:val="single" w:sz="4" w:space="0" w:color="auto"/>
              <w:right w:val="nil"/>
            </w:tcBorders>
            <w:vAlign w:val="bottom"/>
          </w:tcPr>
          <w:p w14:paraId="48F9C55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600" w:type="pct"/>
            <w:tcBorders>
              <w:top w:val="single" w:sz="4" w:space="0" w:color="auto"/>
              <w:left w:val="nil"/>
              <w:right w:val="nil"/>
            </w:tcBorders>
            <w:vAlign w:val="bottom"/>
          </w:tcPr>
          <w:p w14:paraId="3115197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c>
          <w:tcPr>
            <w:tcW w:w="906" w:type="pct"/>
            <w:tcBorders>
              <w:top w:val="single" w:sz="4" w:space="0" w:color="auto"/>
              <w:left w:val="nil"/>
              <w:right w:val="nil"/>
            </w:tcBorders>
            <w:vAlign w:val="bottom"/>
          </w:tcPr>
          <w:p w14:paraId="117DAE5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en-US" w:eastAsia="ru-RU"/>
              </w:rPr>
            </w:pPr>
          </w:p>
        </w:tc>
      </w:tr>
      <w:tr w:rsidR="009D6FA9" w:rsidRPr="009D6FA9" w14:paraId="79E2868F" w14:textId="77777777" w:rsidTr="009D6FA9">
        <w:trPr>
          <w:cantSplit/>
          <w:trHeight w:val="20"/>
        </w:trPr>
        <w:tc>
          <w:tcPr>
            <w:tcW w:w="2294" w:type="pct"/>
            <w:tcBorders>
              <w:left w:val="nil"/>
              <w:right w:val="nil"/>
            </w:tcBorders>
            <w:vAlign w:val="bottom"/>
          </w:tcPr>
          <w:p w14:paraId="76EC705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Operating profit</w:t>
            </w:r>
          </w:p>
        </w:tc>
        <w:tc>
          <w:tcPr>
            <w:tcW w:w="600" w:type="pct"/>
            <w:tcBorders>
              <w:left w:val="nil"/>
            </w:tcBorders>
            <w:vAlign w:val="bottom"/>
          </w:tcPr>
          <w:p w14:paraId="29E6FA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95,600</w:t>
            </w:r>
          </w:p>
        </w:tc>
        <w:tc>
          <w:tcPr>
            <w:tcW w:w="601" w:type="pct"/>
            <w:tcBorders>
              <w:right w:val="nil"/>
            </w:tcBorders>
            <w:vAlign w:val="bottom"/>
          </w:tcPr>
          <w:p w14:paraId="1D28BB5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127,016</w:t>
            </w:r>
          </w:p>
        </w:tc>
        <w:tc>
          <w:tcPr>
            <w:tcW w:w="600" w:type="pct"/>
            <w:tcBorders>
              <w:left w:val="nil"/>
              <w:right w:val="nil"/>
            </w:tcBorders>
            <w:vAlign w:val="bottom"/>
          </w:tcPr>
          <w:p w14:paraId="3EA8BB5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18"/>
                <w:lang w:val="en-US" w:eastAsia="ru-RU"/>
              </w:rPr>
              <w:t>39,565</w:t>
            </w:r>
          </w:p>
        </w:tc>
        <w:tc>
          <w:tcPr>
            <w:tcW w:w="906" w:type="pct"/>
            <w:tcBorders>
              <w:left w:val="nil"/>
              <w:right w:val="nil"/>
            </w:tcBorders>
            <w:vAlign w:val="bottom"/>
          </w:tcPr>
          <w:p w14:paraId="6A271F2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46,216</w:t>
            </w:r>
          </w:p>
        </w:tc>
      </w:tr>
      <w:tr w:rsidR="009D6FA9" w:rsidRPr="009D6FA9" w14:paraId="7DB8BA5D" w14:textId="77777777" w:rsidTr="009D6FA9">
        <w:trPr>
          <w:cantSplit/>
          <w:trHeight w:val="20"/>
        </w:trPr>
        <w:tc>
          <w:tcPr>
            <w:tcW w:w="2294" w:type="pct"/>
            <w:tcBorders>
              <w:left w:val="nil"/>
              <w:right w:val="nil"/>
            </w:tcBorders>
            <w:vAlign w:val="bottom"/>
          </w:tcPr>
          <w:p w14:paraId="02511E0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600" w:type="pct"/>
            <w:tcBorders>
              <w:left w:val="nil"/>
            </w:tcBorders>
            <w:vAlign w:val="bottom"/>
          </w:tcPr>
          <w:p w14:paraId="1245C9C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601" w:type="pct"/>
            <w:tcBorders>
              <w:right w:val="nil"/>
            </w:tcBorders>
            <w:vAlign w:val="bottom"/>
          </w:tcPr>
          <w:p w14:paraId="1A5A2C8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600" w:type="pct"/>
            <w:tcBorders>
              <w:left w:val="nil"/>
              <w:right w:val="nil"/>
            </w:tcBorders>
            <w:vAlign w:val="bottom"/>
          </w:tcPr>
          <w:p w14:paraId="106A5BE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906" w:type="pct"/>
            <w:tcBorders>
              <w:left w:val="nil"/>
              <w:right w:val="nil"/>
            </w:tcBorders>
            <w:vAlign w:val="bottom"/>
          </w:tcPr>
          <w:p w14:paraId="5B55981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7B8FD58E" w14:textId="77777777" w:rsidTr="009D6FA9">
        <w:trPr>
          <w:cantSplit/>
          <w:trHeight w:val="20"/>
        </w:trPr>
        <w:tc>
          <w:tcPr>
            <w:tcW w:w="2294" w:type="pct"/>
            <w:tcBorders>
              <w:top w:val="nil"/>
              <w:left w:val="nil"/>
              <w:bottom w:val="nil"/>
              <w:right w:val="nil"/>
            </w:tcBorders>
            <w:vAlign w:val="bottom"/>
          </w:tcPr>
          <w:p w14:paraId="32D2865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Finance income</w:t>
            </w:r>
          </w:p>
        </w:tc>
        <w:tc>
          <w:tcPr>
            <w:tcW w:w="600" w:type="pct"/>
            <w:tcBorders>
              <w:top w:val="nil"/>
              <w:left w:val="nil"/>
              <w:bottom w:val="nil"/>
            </w:tcBorders>
            <w:vAlign w:val="bottom"/>
          </w:tcPr>
          <w:p w14:paraId="0FCE430D"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5,032</w:t>
            </w:r>
          </w:p>
        </w:tc>
        <w:tc>
          <w:tcPr>
            <w:tcW w:w="601" w:type="pct"/>
            <w:tcBorders>
              <w:top w:val="nil"/>
              <w:bottom w:val="nil"/>
              <w:right w:val="nil"/>
            </w:tcBorders>
            <w:vAlign w:val="bottom"/>
          </w:tcPr>
          <w:p w14:paraId="76EF0331"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2,060</w:t>
            </w:r>
          </w:p>
        </w:tc>
        <w:tc>
          <w:tcPr>
            <w:tcW w:w="600" w:type="pct"/>
            <w:tcBorders>
              <w:top w:val="nil"/>
              <w:left w:val="nil"/>
              <w:bottom w:val="nil"/>
              <w:right w:val="nil"/>
            </w:tcBorders>
            <w:vAlign w:val="bottom"/>
          </w:tcPr>
          <w:p w14:paraId="4A5A54DA"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1,717</w:t>
            </w:r>
          </w:p>
        </w:tc>
        <w:tc>
          <w:tcPr>
            <w:tcW w:w="906" w:type="pct"/>
            <w:tcBorders>
              <w:top w:val="nil"/>
              <w:left w:val="nil"/>
              <w:bottom w:val="nil"/>
              <w:right w:val="nil"/>
            </w:tcBorders>
            <w:vAlign w:val="bottom"/>
          </w:tcPr>
          <w:p w14:paraId="06761853"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805</w:t>
            </w:r>
          </w:p>
        </w:tc>
      </w:tr>
      <w:tr w:rsidR="009D6FA9" w:rsidRPr="009D6FA9" w14:paraId="03746CC1" w14:textId="77777777" w:rsidTr="009D6FA9">
        <w:trPr>
          <w:cantSplit/>
          <w:trHeight w:val="20"/>
        </w:trPr>
        <w:tc>
          <w:tcPr>
            <w:tcW w:w="2294" w:type="pct"/>
            <w:tcBorders>
              <w:top w:val="nil"/>
              <w:left w:val="nil"/>
              <w:bottom w:val="nil"/>
              <w:right w:val="nil"/>
            </w:tcBorders>
            <w:vAlign w:val="bottom"/>
          </w:tcPr>
          <w:p w14:paraId="5800ABA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Finance costs</w:t>
            </w:r>
          </w:p>
        </w:tc>
        <w:tc>
          <w:tcPr>
            <w:tcW w:w="600" w:type="pct"/>
            <w:tcBorders>
              <w:top w:val="nil"/>
              <w:left w:val="nil"/>
              <w:bottom w:val="nil"/>
            </w:tcBorders>
            <w:vAlign w:val="bottom"/>
          </w:tcPr>
          <w:p w14:paraId="2A22CD31"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(9,726)</w:t>
            </w:r>
          </w:p>
        </w:tc>
        <w:tc>
          <w:tcPr>
            <w:tcW w:w="601" w:type="pct"/>
            <w:tcBorders>
              <w:top w:val="nil"/>
              <w:bottom w:val="nil"/>
              <w:right w:val="nil"/>
            </w:tcBorders>
            <w:vAlign w:val="bottom"/>
          </w:tcPr>
          <w:p w14:paraId="1426A925"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(5,737)</w:t>
            </w:r>
          </w:p>
        </w:tc>
        <w:tc>
          <w:tcPr>
            <w:tcW w:w="600" w:type="pct"/>
            <w:tcBorders>
              <w:top w:val="nil"/>
              <w:left w:val="nil"/>
              <w:bottom w:val="nil"/>
              <w:right w:val="nil"/>
            </w:tcBorders>
            <w:vAlign w:val="bottom"/>
          </w:tcPr>
          <w:p w14:paraId="2A33A9D7"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(3,491)</w:t>
            </w:r>
          </w:p>
        </w:tc>
        <w:tc>
          <w:tcPr>
            <w:tcW w:w="906" w:type="pct"/>
            <w:tcBorders>
              <w:top w:val="nil"/>
              <w:left w:val="nil"/>
              <w:bottom w:val="nil"/>
              <w:right w:val="nil"/>
            </w:tcBorders>
            <w:vAlign w:val="bottom"/>
          </w:tcPr>
          <w:p w14:paraId="1B0755D4"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(2,151)</w:t>
            </w:r>
          </w:p>
        </w:tc>
      </w:tr>
      <w:tr w:rsidR="009D6FA9" w:rsidRPr="009D6FA9" w14:paraId="51D5FFFB" w14:textId="77777777" w:rsidTr="009D6FA9">
        <w:trPr>
          <w:cantSplit/>
          <w:trHeight w:val="20"/>
        </w:trPr>
        <w:tc>
          <w:tcPr>
            <w:tcW w:w="2294" w:type="pct"/>
            <w:tcBorders>
              <w:top w:val="nil"/>
              <w:left w:val="nil"/>
              <w:bottom w:val="nil"/>
              <w:right w:val="nil"/>
            </w:tcBorders>
            <w:shd w:val="clear" w:color="auto" w:fill="FFFFFF"/>
            <w:vAlign w:val="bottom"/>
          </w:tcPr>
          <w:p w14:paraId="247CC736" w14:textId="77777777" w:rsidR="009D6FA9" w:rsidRPr="009D6FA9" w:rsidRDefault="009D6FA9" w:rsidP="009D6FA9">
            <w:pPr>
              <w:widowControl w:val="0"/>
              <w:autoSpaceDE w:val="0"/>
              <w:autoSpaceDN w:val="0"/>
              <w:adjustRightInd w:val="0"/>
              <w:spacing w:after="0" w:line="240" w:lineRule="auto"/>
              <w:ind w:right="-57"/>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Foreign exchange</w:t>
            </w:r>
            <w:r w:rsidRPr="009D6FA9">
              <w:rPr>
                <w:rFonts w:ascii="Arial" w:eastAsia="Times New Roman" w:hAnsi="Arial" w:cs="Arial"/>
                <w:spacing w:val="-2"/>
                <w:sz w:val="18"/>
                <w:szCs w:val="18"/>
                <w:lang w:val="en-US" w:eastAsia="ru-RU"/>
              </w:rPr>
              <w:t xml:space="preserve"> </w:t>
            </w:r>
            <w:r w:rsidRPr="009D6FA9">
              <w:rPr>
                <w:rFonts w:ascii="Arial" w:eastAsia="Times New Roman" w:hAnsi="Arial" w:cs="Arial"/>
                <w:spacing w:val="-2"/>
                <w:sz w:val="18"/>
                <w:szCs w:val="18"/>
                <w:lang w:eastAsia="ru-RU"/>
              </w:rPr>
              <w:t>loss from financing activities, net</w:t>
            </w:r>
          </w:p>
        </w:tc>
        <w:tc>
          <w:tcPr>
            <w:tcW w:w="600" w:type="pct"/>
            <w:tcBorders>
              <w:top w:val="nil"/>
              <w:left w:val="nil"/>
            </w:tcBorders>
            <w:vAlign w:val="bottom"/>
          </w:tcPr>
          <w:p w14:paraId="47D3EF2C"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 xml:space="preserve">  (9,280)</w:t>
            </w:r>
          </w:p>
        </w:tc>
        <w:tc>
          <w:tcPr>
            <w:tcW w:w="601" w:type="pct"/>
            <w:tcBorders>
              <w:top w:val="nil"/>
              <w:right w:val="nil"/>
            </w:tcBorders>
            <w:vAlign w:val="bottom"/>
          </w:tcPr>
          <w:p w14:paraId="288B466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(45,945)</w:t>
            </w:r>
          </w:p>
        </w:tc>
        <w:tc>
          <w:tcPr>
            <w:tcW w:w="600" w:type="pct"/>
            <w:tcBorders>
              <w:top w:val="nil"/>
              <w:left w:val="nil"/>
              <w:right w:val="nil"/>
            </w:tcBorders>
            <w:vAlign w:val="bottom"/>
          </w:tcPr>
          <w:p w14:paraId="0218819D"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 xml:space="preserve">  (24,394)</w:t>
            </w:r>
          </w:p>
        </w:tc>
        <w:tc>
          <w:tcPr>
            <w:tcW w:w="906" w:type="pct"/>
            <w:tcBorders>
              <w:top w:val="nil"/>
              <w:left w:val="nil"/>
              <w:right w:val="nil"/>
            </w:tcBorders>
            <w:vAlign w:val="bottom"/>
          </w:tcPr>
          <w:p w14:paraId="01310D40"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(17,968)</w:t>
            </w:r>
          </w:p>
        </w:tc>
      </w:tr>
      <w:tr w:rsidR="009D6FA9" w:rsidRPr="009D6FA9" w14:paraId="3DF42022" w14:textId="77777777" w:rsidTr="009D6FA9">
        <w:trPr>
          <w:cantSplit/>
          <w:trHeight w:val="20"/>
        </w:trPr>
        <w:tc>
          <w:tcPr>
            <w:tcW w:w="2294" w:type="pct"/>
            <w:tcBorders>
              <w:top w:val="nil"/>
              <w:left w:val="nil"/>
              <w:bottom w:val="single" w:sz="4" w:space="0" w:color="auto"/>
              <w:right w:val="nil"/>
            </w:tcBorders>
            <w:vAlign w:val="bottom"/>
          </w:tcPr>
          <w:p w14:paraId="19CA25B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nil"/>
              <w:left w:val="nil"/>
              <w:bottom w:val="single" w:sz="4" w:space="0" w:color="auto"/>
            </w:tcBorders>
            <w:vAlign w:val="bottom"/>
          </w:tcPr>
          <w:p w14:paraId="7D7F33B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top w:val="nil"/>
              <w:bottom w:val="single" w:sz="4" w:space="0" w:color="auto"/>
              <w:right w:val="nil"/>
            </w:tcBorders>
            <w:vAlign w:val="bottom"/>
          </w:tcPr>
          <w:p w14:paraId="13F00B5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top w:val="nil"/>
              <w:left w:val="nil"/>
              <w:bottom w:val="single" w:sz="4" w:space="0" w:color="auto"/>
              <w:right w:val="nil"/>
            </w:tcBorders>
            <w:vAlign w:val="bottom"/>
          </w:tcPr>
          <w:p w14:paraId="7AF0A97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top w:val="nil"/>
              <w:left w:val="nil"/>
              <w:bottom w:val="single" w:sz="4" w:space="0" w:color="auto"/>
              <w:right w:val="nil"/>
            </w:tcBorders>
            <w:vAlign w:val="bottom"/>
          </w:tcPr>
          <w:p w14:paraId="7DA1A99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2FB71F08" w14:textId="77777777" w:rsidTr="009D6FA9">
        <w:trPr>
          <w:cantSplit/>
          <w:trHeight w:val="20"/>
        </w:trPr>
        <w:tc>
          <w:tcPr>
            <w:tcW w:w="2294" w:type="pct"/>
            <w:tcBorders>
              <w:top w:val="single" w:sz="4" w:space="0" w:color="auto"/>
              <w:left w:val="nil"/>
              <w:bottom w:val="nil"/>
              <w:right w:val="nil"/>
            </w:tcBorders>
            <w:vAlign w:val="bottom"/>
          </w:tcPr>
          <w:p w14:paraId="5981923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4" w:space="0" w:color="auto"/>
              <w:left w:val="nil"/>
            </w:tcBorders>
            <w:vAlign w:val="bottom"/>
          </w:tcPr>
          <w:p w14:paraId="4D0D825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top w:val="single" w:sz="4" w:space="0" w:color="auto"/>
              <w:right w:val="nil"/>
            </w:tcBorders>
            <w:vAlign w:val="bottom"/>
          </w:tcPr>
          <w:p w14:paraId="1A4E5E8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top w:val="single" w:sz="4" w:space="0" w:color="auto"/>
              <w:left w:val="nil"/>
              <w:right w:val="nil"/>
            </w:tcBorders>
            <w:vAlign w:val="bottom"/>
          </w:tcPr>
          <w:p w14:paraId="4B8E5FB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top w:val="single" w:sz="4" w:space="0" w:color="auto"/>
              <w:left w:val="nil"/>
              <w:right w:val="nil"/>
            </w:tcBorders>
            <w:vAlign w:val="bottom"/>
          </w:tcPr>
          <w:p w14:paraId="2FFA485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579DB6EE" w14:textId="77777777" w:rsidTr="009D6FA9">
        <w:trPr>
          <w:cantSplit/>
          <w:trHeight w:val="20"/>
        </w:trPr>
        <w:tc>
          <w:tcPr>
            <w:tcW w:w="2294" w:type="pct"/>
            <w:tcBorders>
              <w:top w:val="nil"/>
              <w:left w:val="nil"/>
              <w:right w:val="nil"/>
            </w:tcBorders>
            <w:vAlign w:val="bottom"/>
          </w:tcPr>
          <w:p w14:paraId="1F2E4A6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Profit before tax</w:t>
            </w:r>
          </w:p>
        </w:tc>
        <w:tc>
          <w:tcPr>
            <w:tcW w:w="600" w:type="pct"/>
            <w:tcBorders>
              <w:left w:val="nil"/>
            </w:tcBorders>
            <w:vAlign w:val="bottom"/>
          </w:tcPr>
          <w:p w14:paraId="270ACE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81,626</w:t>
            </w:r>
          </w:p>
        </w:tc>
        <w:tc>
          <w:tcPr>
            <w:tcW w:w="601" w:type="pct"/>
            <w:tcBorders>
              <w:right w:val="nil"/>
            </w:tcBorders>
            <w:vAlign w:val="bottom"/>
          </w:tcPr>
          <w:p w14:paraId="64A4C3E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77,394</w:t>
            </w:r>
          </w:p>
        </w:tc>
        <w:tc>
          <w:tcPr>
            <w:tcW w:w="600" w:type="pct"/>
            <w:tcBorders>
              <w:left w:val="nil"/>
              <w:right w:val="nil"/>
            </w:tcBorders>
            <w:vAlign w:val="bottom"/>
          </w:tcPr>
          <w:p w14:paraId="1FFD876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18"/>
                <w:lang w:val="en-US" w:eastAsia="ru-RU"/>
              </w:rPr>
              <w:t>13,397</w:t>
            </w:r>
          </w:p>
        </w:tc>
        <w:tc>
          <w:tcPr>
            <w:tcW w:w="906" w:type="pct"/>
            <w:tcBorders>
              <w:left w:val="nil"/>
              <w:right w:val="nil"/>
            </w:tcBorders>
            <w:vAlign w:val="bottom"/>
          </w:tcPr>
          <w:p w14:paraId="5C417E7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26,902</w:t>
            </w:r>
          </w:p>
        </w:tc>
      </w:tr>
      <w:tr w:rsidR="009D6FA9" w:rsidRPr="009D6FA9" w14:paraId="46CE154A" w14:textId="77777777" w:rsidTr="009D6FA9">
        <w:trPr>
          <w:cantSplit/>
          <w:trHeight w:val="20"/>
        </w:trPr>
        <w:tc>
          <w:tcPr>
            <w:tcW w:w="2294" w:type="pct"/>
            <w:tcBorders>
              <w:top w:val="nil"/>
              <w:left w:val="nil"/>
              <w:right w:val="nil"/>
            </w:tcBorders>
            <w:vAlign w:val="bottom"/>
          </w:tcPr>
          <w:p w14:paraId="587FB38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nil"/>
              <w:left w:val="nil"/>
            </w:tcBorders>
            <w:vAlign w:val="bottom"/>
          </w:tcPr>
          <w:p w14:paraId="3893F72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601" w:type="pct"/>
            <w:tcBorders>
              <w:top w:val="nil"/>
              <w:right w:val="nil"/>
            </w:tcBorders>
            <w:vAlign w:val="bottom"/>
          </w:tcPr>
          <w:p w14:paraId="1F7E9DB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600" w:type="pct"/>
            <w:tcBorders>
              <w:top w:val="nil"/>
              <w:left w:val="nil"/>
              <w:right w:val="nil"/>
            </w:tcBorders>
            <w:vAlign w:val="bottom"/>
          </w:tcPr>
          <w:p w14:paraId="5776496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06" w:type="pct"/>
            <w:tcBorders>
              <w:top w:val="nil"/>
              <w:left w:val="nil"/>
              <w:right w:val="nil"/>
            </w:tcBorders>
            <w:vAlign w:val="bottom"/>
          </w:tcPr>
          <w:p w14:paraId="6FEBDEC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49D63966" w14:textId="77777777" w:rsidTr="009D6FA9">
        <w:trPr>
          <w:cantSplit/>
          <w:trHeight w:val="20"/>
        </w:trPr>
        <w:tc>
          <w:tcPr>
            <w:tcW w:w="2294" w:type="pct"/>
            <w:tcBorders>
              <w:top w:val="nil"/>
              <w:left w:val="nil"/>
              <w:right w:val="nil"/>
            </w:tcBorders>
            <w:vAlign w:val="bottom"/>
          </w:tcPr>
          <w:p w14:paraId="6B139D1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Income tax expense</w:t>
            </w:r>
          </w:p>
        </w:tc>
        <w:tc>
          <w:tcPr>
            <w:tcW w:w="600" w:type="pct"/>
            <w:tcBorders>
              <w:top w:val="nil"/>
              <w:left w:val="nil"/>
            </w:tcBorders>
            <w:vAlign w:val="bottom"/>
          </w:tcPr>
          <w:p w14:paraId="2A9D6BA9"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9D6FA9">
              <w:rPr>
                <w:rFonts w:ascii="Arial" w:eastAsia="Times New Roman" w:hAnsi="Arial" w:cs="Arial"/>
                <w:color w:val="000000"/>
                <w:spacing w:val="-2"/>
                <w:sz w:val="18"/>
                <w:szCs w:val="18"/>
                <w:lang w:val="en-US" w:eastAsia="en-US"/>
              </w:rPr>
              <w:t>(16</w:t>
            </w:r>
            <w:r w:rsidRPr="009D6FA9">
              <w:rPr>
                <w:rFonts w:ascii="Arial" w:eastAsia="Times New Roman" w:hAnsi="Arial" w:cs="Arial"/>
                <w:spacing w:val="-2"/>
                <w:sz w:val="18"/>
                <w:szCs w:val="18"/>
                <w:lang w:val="en-US" w:eastAsia="ru-RU"/>
              </w:rPr>
              <w:t>,809</w:t>
            </w:r>
            <w:r w:rsidRPr="009D6FA9">
              <w:rPr>
                <w:rFonts w:ascii="Arial" w:eastAsia="Times New Roman" w:hAnsi="Arial" w:cs="Arial"/>
                <w:color w:val="000000"/>
                <w:spacing w:val="-2"/>
                <w:sz w:val="18"/>
                <w:szCs w:val="18"/>
                <w:lang w:val="en-US" w:eastAsia="en-US"/>
              </w:rPr>
              <w:t>)</w:t>
            </w:r>
          </w:p>
        </w:tc>
        <w:tc>
          <w:tcPr>
            <w:tcW w:w="601" w:type="pct"/>
            <w:tcBorders>
              <w:top w:val="nil"/>
              <w:right w:val="nil"/>
            </w:tcBorders>
            <w:vAlign w:val="bottom"/>
          </w:tcPr>
          <w:p w14:paraId="7437FAC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(20,619)</w:t>
            </w:r>
          </w:p>
        </w:tc>
        <w:tc>
          <w:tcPr>
            <w:tcW w:w="600" w:type="pct"/>
            <w:tcBorders>
              <w:top w:val="nil"/>
              <w:left w:val="nil"/>
              <w:right w:val="nil"/>
            </w:tcBorders>
            <w:vAlign w:val="bottom"/>
          </w:tcPr>
          <w:p w14:paraId="229C699B"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lang w:val="en-US" w:eastAsia="ru-RU"/>
              </w:rPr>
            </w:pPr>
            <w:r w:rsidRPr="009D6FA9">
              <w:rPr>
                <w:rFonts w:ascii="Arial" w:eastAsia="Times New Roman" w:hAnsi="Arial" w:cs="Arial"/>
                <w:color w:val="000000"/>
                <w:spacing w:val="-2"/>
                <w:sz w:val="18"/>
                <w:szCs w:val="18"/>
                <w:lang w:val="en-US" w:eastAsia="en-US"/>
              </w:rPr>
              <w:t>(2</w:t>
            </w:r>
            <w:r w:rsidRPr="009D6FA9">
              <w:rPr>
                <w:rFonts w:ascii="Arial" w:eastAsia="Times New Roman" w:hAnsi="Arial" w:cs="Arial"/>
                <w:spacing w:val="-2"/>
                <w:sz w:val="18"/>
                <w:szCs w:val="18"/>
                <w:lang w:val="en-US" w:eastAsia="ru-RU"/>
              </w:rPr>
              <w:t>,049</w:t>
            </w:r>
            <w:r w:rsidRPr="009D6FA9">
              <w:rPr>
                <w:rFonts w:ascii="Arial" w:eastAsia="Times New Roman" w:hAnsi="Arial" w:cs="Arial"/>
                <w:color w:val="000000"/>
                <w:spacing w:val="-2"/>
                <w:sz w:val="18"/>
                <w:szCs w:val="18"/>
                <w:lang w:val="en-US" w:eastAsia="en-US"/>
              </w:rPr>
              <w:t>)</w:t>
            </w:r>
          </w:p>
        </w:tc>
        <w:tc>
          <w:tcPr>
            <w:tcW w:w="906" w:type="pct"/>
            <w:tcBorders>
              <w:top w:val="nil"/>
              <w:left w:val="nil"/>
              <w:right w:val="nil"/>
            </w:tcBorders>
            <w:vAlign w:val="bottom"/>
          </w:tcPr>
          <w:p w14:paraId="658C1388"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18"/>
                <w:lang w:val="en-US" w:eastAsia="ru-RU"/>
              </w:rPr>
              <w:t>(11,624)</w:t>
            </w:r>
          </w:p>
        </w:tc>
      </w:tr>
      <w:tr w:rsidR="009D6FA9" w:rsidRPr="009D6FA9" w14:paraId="4D7E26D0" w14:textId="77777777" w:rsidTr="009D6FA9">
        <w:trPr>
          <w:cantSplit/>
          <w:trHeight w:val="20"/>
        </w:trPr>
        <w:tc>
          <w:tcPr>
            <w:tcW w:w="2294" w:type="pct"/>
            <w:tcBorders>
              <w:top w:val="nil"/>
              <w:left w:val="nil"/>
              <w:bottom w:val="single" w:sz="4" w:space="0" w:color="auto"/>
              <w:right w:val="nil"/>
            </w:tcBorders>
            <w:vAlign w:val="bottom"/>
          </w:tcPr>
          <w:p w14:paraId="3A64D49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nil"/>
              <w:left w:val="nil"/>
              <w:bottom w:val="single" w:sz="4" w:space="0" w:color="auto"/>
            </w:tcBorders>
            <w:vAlign w:val="bottom"/>
          </w:tcPr>
          <w:p w14:paraId="3B26ED7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top w:val="nil"/>
              <w:bottom w:val="single" w:sz="4" w:space="0" w:color="auto"/>
              <w:right w:val="nil"/>
            </w:tcBorders>
            <w:vAlign w:val="bottom"/>
          </w:tcPr>
          <w:p w14:paraId="5F71922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top w:val="nil"/>
              <w:left w:val="nil"/>
              <w:bottom w:val="single" w:sz="4" w:space="0" w:color="auto"/>
              <w:right w:val="nil"/>
            </w:tcBorders>
            <w:vAlign w:val="bottom"/>
          </w:tcPr>
          <w:p w14:paraId="2300AF6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top w:val="nil"/>
              <w:left w:val="nil"/>
              <w:bottom w:val="single" w:sz="4" w:space="0" w:color="auto"/>
              <w:right w:val="nil"/>
            </w:tcBorders>
            <w:vAlign w:val="bottom"/>
          </w:tcPr>
          <w:p w14:paraId="6C56801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2F87E1F0" w14:textId="77777777" w:rsidTr="009D6FA9">
        <w:trPr>
          <w:cantSplit/>
          <w:trHeight w:val="20"/>
        </w:trPr>
        <w:tc>
          <w:tcPr>
            <w:tcW w:w="2294" w:type="pct"/>
            <w:tcBorders>
              <w:top w:val="single" w:sz="4" w:space="0" w:color="auto"/>
              <w:left w:val="nil"/>
              <w:right w:val="nil"/>
            </w:tcBorders>
            <w:vAlign w:val="bottom"/>
          </w:tcPr>
          <w:p w14:paraId="7BA3D5A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4" w:space="0" w:color="auto"/>
              <w:left w:val="nil"/>
            </w:tcBorders>
            <w:vAlign w:val="bottom"/>
          </w:tcPr>
          <w:p w14:paraId="05A1FC7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top w:val="single" w:sz="4" w:space="0" w:color="auto"/>
              <w:right w:val="nil"/>
            </w:tcBorders>
            <w:vAlign w:val="bottom"/>
          </w:tcPr>
          <w:p w14:paraId="325F3AB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top w:val="single" w:sz="4" w:space="0" w:color="auto"/>
              <w:left w:val="nil"/>
              <w:right w:val="nil"/>
            </w:tcBorders>
            <w:vAlign w:val="bottom"/>
          </w:tcPr>
          <w:p w14:paraId="0A5B93D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top w:val="single" w:sz="4" w:space="0" w:color="auto"/>
              <w:left w:val="nil"/>
              <w:right w:val="nil"/>
            </w:tcBorders>
            <w:vAlign w:val="bottom"/>
          </w:tcPr>
          <w:p w14:paraId="7644268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12889E59" w14:textId="77777777" w:rsidTr="009D6FA9">
        <w:trPr>
          <w:cantSplit/>
          <w:trHeight w:val="20"/>
        </w:trPr>
        <w:tc>
          <w:tcPr>
            <w:tcW w:w="2294" w:type="pct"/>
            <w:tcBorders>
              <w:left w:val="nil"/>
              <w:right w:val="nil"/>
            </w:tcBorders>
            <w:vAlign w:val="bottom"/>
          </w:tcPr>
          <w:p w14:paraId="0AF391A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Profit for the period</w:t>
            </w:r>
          </w:p>
        </w:tc>
        <w:tc>
          <w:tcPr>
            <w:tcW w:w="600" w:type="pct"/>
            <w:tcBorders>
              <w:left w:val="nil"/>
            </w:tcBorders>
            <w:vAlign w:val="bottom"/>
          </w:tcPr>
          <w:p w14:paraId="0657162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64,817</w:t>
            </w:r>
          </w:p>
        </w:tc>
        <w:tc>
          <w:tcPr>
            <w:tcW w:w="601" w:type="pct"/>
            <w:tcBorders>
              <w:right w:val="nil"/>
            </w:tcBorders>
            <w:vAlign w:val="bottom"/>
          </w:tcPr>
          <w:p w14:paraId="55F8837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56,775</w:t>
            </w:r>
          </w:p>
        </w:tc>
        <w:tc>
          <w:tcPr>
            <w:tcW w:w="600" w:type="pct"/>
            <w:tcBorders>
              <w:left w:val="nil"/>
              <w:right w:val="nil"/>
            </w:tcBorders>
            <w:vAlign w:val="bottom"/>
          </w:tcPr>
          <w:p w14:paraId="39D8752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18"/>
                <w:lang w:val="en-US" w:eastAsia="ru-RU"/>
              </w:rPr>
              <w:t>11,348</w:t>
            </w:r>
          </w:p>
        </w:tc>
        <w:tc>
          <w:tcPr>
            <w:tcW w:w="906" w:type="pct"/>
            <w:tcBorders>
              <w:left w:val="nil"/>
              <w:right w:val="nil"/>
            </w:tcBorders>
            <w:vAlign w:val="bottom"/>
          </w:tcPr>
          <w:p w14:paraId="401220F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15,278</w:t>
            </w:r>
          </w:p>
        </w:tc>
      </w:tr>
      <w:tr w:rsidR="009D6FA9" w:rsidRPr="009D6FA9" w14:paraId="5FCAD605" w14:textId="77777777" w:rsidTr="009D6FA9">
        <w:trPr>
          <w:cantSplit/>
          <w:trHeight w:val="20"/>
        </w:trPr>
        <w:tc>
          <w:tcPr>
            <w:tcW w:w="2294" w:type="pct"/>
            <w:tcBorders>
              <w:left w:val="nil"/>
              <w:bottom w:val="nil"/>
              <w:right w:val="nil"/>
            </w:tcBorders>
            <w:vAlign w:val="bottom"/>
          </w:tcPr>
          <w:p w14:paraId="1E2F694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left w:val="nil"/>
              <w:bottom w:val="nil"/>
            </w:tcBorders>
            <w:vAlign w:val="bottom"/>
          </w:tcPr>
          <w:p w14:paraId="0B222CE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601" w:type="pct"/>
            <w:tcBorders>
              <w:bottom w:val="nil"/>
              <w:right w:val="nil"/>
            </w:tcBorders>
            <w:vAlign w:val="bottom"/>
          </w:tcPr>
          <w:p w14:paraId="3921E10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600" w:type="pct"/>
            <w:tcBorders>
              <w:left w:val="nil"/>
              <w:bottom w:val="nil"/>
              <w:right w:val="nil"/>
            </w:tcBorders>
            <w:vAlign w:val="bottom"/>
          </w:tcPr>
          <w:p w14:paraId="63C1AE9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906" w:type="pct"/>
            <w:tcBorders>
              <w:left w:val="nil"/>
              <w:bottom w:val="nil"/>
              <w:right w:val="nil"/>
            </w:tcBorders>
            <w:vAlign w:val="bottom"/>
          </w:tcPr>
          <w:p w14:paraId="1853BEC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r>
      <w:tr w:rsidR="009D6FA9" w:rsidRPr="009D6FA9" w14:paraId="37DDD65D" w14:textId="77777777" w:rsidTr="009D6FA9">
        <w:trPr>
          <w:cantSplit/>
          <w:trHeight w:val="20"/>
        </w:trPr>
        <w:tc>
          <w:tcPr>
            <w:tcW w:w="2294" w:type="pct"/>
            <w:tcBorders>
              <w:top w:val="nil"/>
              <w:left w:val="nil"/>
              <w:bottom w:val="nil"/>
              <w:right w:val="nil"/>
            </w:tcBorders>
            <w:vAlign w:val="bottom"/>
          </w:tcPr>
          <w:p w14:paraId="0381761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Attributable to:</w:t>
            </w:r>
          </w:p>
        </w:tc>
        <w:tc>
          <w:tcPr>
            <w:tcW w:w="600" w:type="pct"/>
            <w:tcBorders>
              <w:top w:val="nil"/>
              <w:left w:val="nil"/>
            </w:tcBorders>
            <w:vAlign w:val="bottom"/>
          </w:tcPr>
          <w:p w14:paraId="261D576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p>
        </w:tc>
        <w:tc>
          <w:tcPr>
            <w:tcW w:w="601" w:type="pct"/>
            <w:tcBorders>
              <w:top w:val="nil"/>
              <w:right w:val="nil"/>
            </w:tcBorders>
            <w:vAlign w:val="bottom"/>
          </w:tcPr>
          <w:p w14:paraId="4EAE643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p>
        </w:tc>
        <w:tc>
          <w:tcPr>
            <w:tcW w:w="600" w:type="pct"/>
            <w:tcBorders>
              <w:top w:val="nil"/>
              <w:left w:val="nil"/>
              <w:right w:val="nil"/>
            </w:tcBorders>
            <w:vAlign w:val="bottom"/>
          </w:tcPr>
          <w:p w14:paraId="134706A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p>
        </w:tc>
        <w:tc>
          <w:tcPr>
            <w:tcW w:w="906" w:type="pct"/>
            <w:tcBorders>
              <w:top w:val="nil"/>
              <w:left w:val="nil"/>
              <w:bottom w:val="nil"/>
              <w:right w:val="nil"/>
            </w:tcBorders>
            <w:vAlign w:val="bottom"/>
          </w:tcPr>
          <w:p w14:paraId="26D7978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p>
        </w:tc>
      </w:tr>
      <w:tr w:rsidR="009D6FA9" w:rsidRPr="009D6FA9" w14:paraId="16B6CA4E" w14:textId="77777777" w:rsidTr="009D6FA9">
        <w:trPr>
          <w:cantSplit/>
          <w:trHeight w:val="20"/>
        </w:trPr>
        <w:tc>
          <w:tcPr>
            <w:tcW w:w="2294" w:type="pct"/>
            <w:tcBorders>
              <w:top w:val="nil"/>
              <w:left w:val="nil"/>
              <w:right w:val="nil"/>
            </w:tcBorders>
            <w:vAlign w:val="bottom"/>
          </w:tcPr>
          <w:p w14:paraId="547574F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Shareholders of the Company</w:t>
            </w:r>
          </w:p>
        </w:tc>
        <w:tc>
          <w:tcPr>
            <w:tcW w:w="600" w:type="pct"/>
            <w:tcBorders>
              <w:top w:val="nil"/>
              <w:left w:val="nil"/>
            </w:tcBorders>
            <w:vAlign w:val="bottom"/>
          </w:tcPr>
          <w:p w14:paraId="79202AB8"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64,814</w:t>
            </w:r>
          </w:p>
        </w:tc>
        <w:tc>
          <w:tcPr>
            <w:tcW w:w="601" w:type="pct"/>
            <w:tcBorders>
              <w:top w:val="nil"/>
              <w:right w:val="nil"/>
            </w:tcBorders>
            <w:vAlign w:val="bottom"/>
          </w:tcPr>
          <w:p w14:paraId="6213DF3C"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56,756</w:t>
            </w:r>
          </w:p>
        </w:tc>
        <w:tc>
          <w:tcPr>
            <w:tcW w:w="600" w:type="pct"/>
            <w:tcBorders>
              <w:top w:val="nil"/>
              <w:left w:val="nil"/>
              <w:right w:val="nil"/>
            </w:tcBorders>
            <w:vAlign w:val="bottom"/>
          </w:tcPr>
          <w:p w14:paraId="2F67ED85"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11,341</w:t>
            </w:r>
          </w:p>
        </w:tc>
        <w:tc>
          <w:tcPr>
            <w:tcW w:w="906" w:type="pct"/>
            <w:tcBorders>
              <w:top w:val="nil"/>
              <w:left w:val="nil"/>
              <w:right w:val="nil"/>
            </w:tcBorders>
            <w:vAlign w:val="bottom"/>
          </w:tcPr>
          <w:p w14:paraId="410FD04C"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15,262</w:t>
            </w:r>
          </w:p>
        </w:tc>
      </w:tr>
      <w:tr w:rsidR="009D6FA9" w:rsidRPr="009D6FA9" w14:paraId="7AE3FD6F" w14:textId="77777777" w:rsidTr="009D6FA9">
        <w:trPr>
          <w:cantSplit/>
          <w:trHeight w:val="20"/>
        </w:trPr>
        <w:tc>
          <w:tcPr>
            <w:tcW w:w="2294" w:type="pct"/>
            <w:tcBorders>
              <w:top w:val="nil"/>
              <w:left w:val="nil"/>
              <w:right w:val="nil"/>
            </w:tcBorders>
            <w:vAlign w:val="bottom"/>
          </w:tcPr>
          <w:p w14:paraId="7D7BCBE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Non-controlling interests*</w:t>
            </w:r>
          </w:p>
        </w:tc>
        <w:tc>
          <w:tcPr>
            <w:tcW w:w="600" w:type="pct"/>
            <w:tcBorders>
              <w:top w:val="nil"/>
              <w:left w:val="nil"/>
            </w:tcBorders>
            <w:vAlign w:val="bottom"/>
          </w:tcPr>
          <w:p w14:paraId="4784EE68"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3</w:t>
            </w:r>
          </w:p>
        </w:tc>
        <w:tc>
          <w:tcPr>
            <w:tcW w:w="601" w:type="pct"/>
            <w:tcBorders>
              <w:top w:val="nil"/>
              <w:right w:val="nil"/>
            </w:tcBorders>
            <w:vAlign w:val="bottom"/>
          </w:tcPr>
          <w:p w14:paraId="51BAD8F5"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19</w:t>
            </w:r>
          </w:p>
        </w:tc>
        <w:tc>
          <w:tcPr>
            <w:tcW w:w="600" w:type="pct"/>
            <w:tcBorders>
              <w:top w:val="nil"/>
              <w:left w:val="nil"/>
              <w:right w:val="nil"/>
            </w:tcBorders>
            <w:vAlign w:val="bottom"/>
          </w:tcPr>
          <w:p w14:paraId="08220C4B"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7</w:t>
            </w:r>
          </w:p>
        </w:tc>
        <w:tc>
          <w:tcPr>
            <w:tcW w:w="906" w:type="pct"/>
            <w:tcBorders>
              <w:top w:val="nil"/>
              <w:left w:val="nil"/>
              <w:right w:val="nil"/>
            </w:tcBorders>
            <w:vAlign w:val="bottom"/>
          </w:tcPr>
          <w:p w14:paraId="1D3E5232"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16</w:t>
            </w:r>
          </w:p>
        </w:tc>
      </w:tr>
      <w:tr w:rsidR="009D6FA9" w:rsidRPr="009D6FA9" w14:paraId="0028CA3C" w14:textId="77777777" w:rsidTr="009D6FA9">
        <w:trPr>
          <w:cantSplit/>
          <w:trHeight w:val="20"/>
        </w:trPr>
        <w:tc>
          <w:tcPr>
            <w:tcW w:w="2294" w:type="pct"/>
            <w:tcBorders>
              <w:left w:val="nil"/>
              <w:right w:val="nil"/>
            </w:tcBorders>
            <w:vAlign w:val="bottom"/>
          </w:tcPr>
          <w:p w14:paraId="177E912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left w:val="nil"/>
            </w:tcBorders>
            <w:vAlign w:val="bottom"/>
          </w:tcPr>
          <w:p w14:paraId="40928A6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601" w:type="pct"/>
            <w:tcBorders>
              <w:right w:val="nil"/>
            </w:tcBorders>
            <w:vAlign w:val="bottom"/>
          </w:tcPr>
          <w:p w14:paraId="50D4C06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600" w:type="pct"/>
            <w:tcBorders>
              <w:left w:val="nil"/>
              <w:right w:val="nil"/>
            </w:tcBorders>
            <w:vAlign w:val="bottom"/>
          </w:tcPr>
          <w:p w14:paraId="0CE501B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c>
          <w:tcPr>
            <w:tcW w:w="906" w:type="pct"/>
            <w:tcBorders>
              <w:left w:val="nil"/>
              <w:right w:val="nil"/>
            </w:tcBorders>
            <w:vAlign w:val="bottom"/>
          </w:tcPr>
          <w:p w14:paraId="4880617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0"/>
                <w:szCs w:val="10"/>
                <w:lang w:val="en-US" w:eastAsia="en-US"/>
              </w:rPr>
            </w:pPr>
          </w:p>
        </w:tc>
      </w:tr>
      <w:tr w:rsidR="009D6FA9" w:rsidRPr="009D6FA9" w14:paraId="6F3F6CBA" w14:textId="77777777" w:rsidTr="009D6FA9">
        <w:trPr>
          <w:cantSplit/>
          <w:trHeight w:val="20"/>
        </w:trPr>
        <w:tc>
          <w:tcPr>
            <w:tcW w:w="2294" w:type="pct"/>
            <w:tcBorders>
              <w:left w:val="nil"/>
              <w:right w:val="nil"/>
            </w:tcBorders>
            <w:vAlign w:val="bottom"/>
          </w:tcPr>
          <w:p w14:paraId="37E320C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Basic and diluted earnings per share (in RUB)</w:t>
            </w:r>
          </w:p>
        </w:tc>
        <w:tc>
          <w:tcPr>
            <w:tcW w:w="600" w:type="pct"/>
            <w:tcBorders>
              <w:left w:val="nil"/>
            </w:tcBorders>
            <w:vAlign w:val="bottom"/>
          </w:tcPr>
          <w:p w14:paraId="2515DF8B"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500</w:t>
            </w:r>
          </w:p>
        </w:tc>
        <w:tc>
          <w:tcPr>
            <w:tcW w:w="601" w:type="pct"/>
            <w:tcBorders>
              <w:right w:val="nil"/>
            </w:tcBorders>
            <w:vAlign w:val="bottom"/>
          </w:tcPr>
          <w:p w14:paraId="532D97A2"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438</w:t>
            </w:r>
          </w:p>
        </w:tc>
        <w:tc>
          <w:tcPr>
            <w:tcW w:w="600" w:type="pct"/>
            <w:tcBorders>
              <w:left w:val="nil"/>
              <w:right w:val="nil"/>
            </w:tcBorders>
            <w:vAlign w:val="bottom"/>
          </w:tcPr>
          <w:p w14:paraId="171F0E47"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87</w:t>
            </w:r>
          </w:p>
        </w:tc>
        <w:tc>
          <w:tcPr>
            <w:tcW w:w="906" w:type="pct"/>
            <w:tcBorders>
              <w:left w:val="nil"/>
              <w:right w:val="nil"/>
            </w:tcBorders>
            <w:shd w:val="clear" w:color="auto" w:fill="auto"/>
            <w:vAlign w:val="bottom"/>
          </w:tcPr>
          <w:p w14:paraId="1D7366E7"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118</w:t>
            </w:r>
          </w:p>
        </w:tc>
      </w:tr>
      <w:tr w:rsidR="009D6FA9" w:rsidRPr="009D6FA9" w14:paraId="1F9A3F60" w14:textId="77777777" w:rsidTr="009D6FA9">
        <w:trPr>
          <w:cantSplit/>
          <w:trHeight w:val="20"/>
        </w:trPr>
        <w:tc>
          <w:tcPr>
            <w:tcW w:w="2294" w:type="pct"/>
            <w:tcBorders>
              <w:left w:val="nil"/>
              <w:bottom w:val="single" w:sz="4" w:space="0" w:color="auto"/>
              <w:right w:val="nil"/>
            </w:tcBorders>
            <w:vAlign w:val="bottom"/>
          </w:tcPr>
          <w:p w14:paraId="6F3B205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left w:val="nil"/>
              <w:bottom w:val="single" w:sz="4" w:space="0" w:color="auto"/>
            </w:tcBorders>
            <w:vAlign w:val="bottom"/>
          </w:tcPr>
          <w:p w14:paraId="2C3FC4B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bottom w:val="single" w:sz="4" w:space="0" w:color="auto"/>
              <w:right w:val="nil"/>
            </w:tcBorders>
            <w:vAlign w:val="bottom"/>
          </w:tcPr>
          <w:p w14:paraId="256B72B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left w:val="nil"/>
              <w:bottom w:val="single" w:sz="4" w:space="0" w:color="auto"/>
              <w:right w:val="nil"/>
            </w:tcBorders>
            <w:vAlign w:val="bottom"/>
          </w:tcPr>
          <w:p w14:paraId="261C60B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left w:val="nil"/>
              <w:bottom w:val="single" w:sz="4" w:space="0" w:color="auto"/>
              <w:right w:val="nil"/>
            </w:tcBorders>
            <w:vAlign w:val="bottom"/>
          </w:tcPr>
          <w:p w14:paraId="29B854C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2AA5B333" w14:textId="77777777" w:rsidTr="009D6FA9">
        <w:trPr>
          <w:cantSplit/>
          <w:trHeight w:val="20"/>
        </w:trPr>
        <w:tc>
          <w:tcPr>
            <w:tcW w:w="2294" w:type="pct"/>
            <w:tcBorders>
              <w:top w:val="single" w:sz="4" w:space="0" w:color="auto"/>
              <w:left w:val="nil"/>
              <w:right w:val="nil"/>
            </w:tcBorders>
            <w:vAlign w:val="bottom"/>
          </w:tcPr>
          <w:p w14:paraId="7B7E05D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600" w:type="pct"/>
            <w:tcBorders>
              <w:top w:val="single" w:sz="4" w:space="0" w:color="auto"/>
              <w:left w:val="nil"/>
            </w:tcBorders>
            <w:vAlign w:val="bottom"/>
          </w:tcPr>
          <w:p w14:paraId="08E9DA5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601" w:type="pct"/>
            <w:tcBorders>
              <w:top w:val="single" w:sz="4" w:space="0" w:color="auto"/>
              <w:right w:val="nil"/>
            </w:tcBorders>
            <w:vAlign w:val="bottom"/>
          </w:tcPr>
          <w:p w14:paraId="0E6A9C1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600" w:type="pct"/>
            <w:tcBorders>
              <w:top w:val="single" w:sz="4" w:space="0" w:color="auto"/>
              <w:left w:val="nil"/>
              <w:right w:val="nil"/>
            </w:tcBorders>
            <w:vAlign w:val="bottom"/>
          </w:tcPr>
          <w:p w14:paraId="2AF2FFB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06" w:type="pct"/>
            <w:tcBorders>
              <w:top w:val="single" w:sz="4" w:space="0" w:color="auto"/>
              <w:left w:val="nil"/>
              <w:right w:val="nil"/>
            </w:tcBorders>
            <w:vAlign w:val="bottom"/>
          </w:tcPr>
          <w:p w14:paraId="4747DAE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9D6FA9" w:rsidRPr="009D6FA9" w14:paraId="5DA114A1" w14:textId="77777777" w:rsidTr="009D6FA9">
        <w:trPr>
          <w:cantSplit/>
          <w:trHeight w:val="20"/>
        </w:trPr>
        <w:tc>
          <w:tcPr>
            <w:tcW w:w="2294" w:type="pct"/>
            <w:tcBorders>
              <w:left w:val="nil"/>
              <w:right w:val="nil"/>
            </w:tcBorders>
            <w:vAlign w:val="bottom"/>
          </w:tcPr>
          <w:p w14:paraId="31D878D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Total comprehensive income for the period</w:t>
            </w:r>
          </w:p>
        </w:tc>
        <w:tc>
          <w:tcPr>
            <w:tcW w:w="600" w:type="pct"/>
            <w:tcBorders>
              <w:left w:val="nil"/>
            </w:tcBorders>
            <w:vAlign w:val="bottom"/>
          </w:tcPr>
          <w:p w14:paraId="3A7E95F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64,817</w:t>
            </w:r>
          </w:p>
        </w:tc>
        <w:tc>
          <w:tcPr>
            <w:tcW w:w="601" w:type="pct"/>
            <w:tcBorders>
              <w:right w:val="nil"/>
            </w:tcBorders>
            <w:vAlign w:val="bottom"/>
          </w:tcPr>
          <w:p w14:paraId="254AF49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18"/>
                <w:lang w:val="en-US" w:eastAsia="ru-RU"/>
              </w:rPr>
              <w:t>56,775</w:t>
            </w:r>
          </w:p>
        </w:tc>
        <w:tc>
          <w:tcPr>
            <w:tcW w:w="600" w:type="pct"/>
            <w:tcBorders>
              <w:left w:val="nil"/>
              <w:right w:val="nil"/>
            </w:tcBorders>
            <w:vAlign w:val="bottom"/>
          </w:tcPr>
          <w:p w14:paraId="479583D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9D6FA9">
              <w:rPr>
                <w:rFonts w:ascii="Arial" w:eastAsia="Times New Roman" w:hAnsi="Arial" w:cs="Arial"/>
                <w:b/>
                <w:spacing w:val="-2"/>
                <w:sz w:val="18"/>
                <w:szCs w:val="18"/>
                <w:lang w:val="en-US" w:eastAsia="ru-RU"/>
              </w:rPr>
              <w:t>11,348</w:t>
            </w:r>
          </w:p>
        </w:tc>
        <w:tc>
          <w:tcPr>
            <w:tcW w:w="906" w:type="pct"/>
            <w:tcBorders>
              <w:left w:val="nil"/>
              <w:right w:val="nil"/>
            </w:tcBorders>
            <w:vAlign w:val="bottom"/>
          </w:tcPr>
          <w:p w14:paraId="4DEECFA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9D6FA9">
              <w:rPr>
                <w:rFonts w:ascii="Arial" w:eastAsia="Times New Roman" w:hAnsi="Arial" w:cs="Arial"/>
                <w:b/>
                <w:spacing w:val="-2"/>
                <w:sz w:val="18"/>
                <w:szCs w:val="18"/>
                <w:lang w:val="en-US" w:eastAsia="ru-RU"/>
              </w:rPr>
              <w:t>15,278</w:t>
            </w:r>
          </w:p>
        </w:tc>
      </w:tr>
      <w:tr w:rsidR="009D6FA9" w:rsidRPr="009D6FA9" w14:paraId="361706EB" w14:textId="77777777" w:rsidTr="009D6FA9">
        <w:trPr>
          <w:cantSplit/>
          <w:trHeight w:val="20"/>
        </w:trPr>
        <w:tc>
          <w:tcPr>
            <w:tcW w:w="2294" w:type="pct"/>
            <w:tcBorders>
              <w:left w:val="nil"/>
              <w:bottom w:val="single" w:sz="12" w:space="0" w:color="auto"/>
              <w:right w:val="nil"/>
            </w:tcBorders>
            <w:vAlign w:val="bottom"/>
          </w:tcPr>
          <w:p w14:paraId="07A151F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600" w:type="pct"/>
            <w:tcBorders>
              <w:left w:val="nil"/>
              <w:bottom w:val="single" w:sz="12" w:space="0" w:color="auto"/>
            </w:tcBorders>
            <w:vAlign w:val="bottom"/>
          </w:tcPr>
          <w:p w14:paraId="5F2EE02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601" w:type="pct"/>
            <w:tcBorders>
              <w:bottom w:val="single" w:sz="12" w:space="0" w:color="auto"/>
              <w:right w:val="nil"/>
            </w:tcBorders>
            <w:vAlign w:val="bottom"/>
          </w:tcPr>
          <w:p w14:paraId="245B285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600" w:type="pct"/>
            <w:tcBorders>
              <w:left w:val="nil"/>
              <w:bottom w:val="single" w:sz="12" w:space="0" w:color="auto"/>
              <w:right w:val="nil"/>
            </w:tcBorders>
            <w:vAlign w:val="bottom"/>
          </w:tcPr>
          <w:p w14:paraId="582867F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c>
          <w:tcPr>
            <w:tcW w:w="906" w:type="pct"/>
            <w:tcBorders>
              <w:left w:val="nil"/>
              <w:bottom w:val="single" w:sz="12" w:space="0" w:color="auto"/>
              <w:right w:val="nil"/>
            </w:tcBorders>
            <w:vAlign w:val="bottom"/>
          </w:tcPr>
          <w:p w14:paraId="2128D24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0"/>
                <w:szCs w:val="10"/>
                <w:lang w:val="en-US" w:eastAsia="ru-RU"/>
              </w:rPr>
            </w:pPr>
          </w:p>
        </w:tc>
      </w:tr>
      <w:tr w:rsidR="009D6FA9" w:rsidRPr="009D6FA9" w14:paraId="30479F5D" w14:textId="77777777" w:rsidTr="009D6FA9">
        <w:trPr>
          <w:cantSplit/>
          <w:trHeight w:val="20"/>
        </w:trPr>
        <w:tc>
          <w:tcPr>
            <w:tcW w:w="2294" w:type="pct"/>
            <w:tcBorders>
              <w:top w:val="single" w:sz="12" w:space="0" w:color="auto"/>
              <w:left w:val="nil"/>
              <w:bottom w:val="nil"/>
              <w:right w:val="nil"/>
            </w:tcBorders>
            <w:vAlign w:val="bottom"/>
          </w:tcPr>
          <w:p w14:paraId="2C71302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top w:val="single" w:sz="12" w:space="0" w:color="auto"/>
              <w:left w:val="nil"/>
            </w:tcBorders>
            <w:vAlign w:val="bottom"/>
          </w:tcPr>
          <w:p w14:paraId="786AE83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601" w:type="pct"/>
            <w:tcBorders>
              <w:top w:val="single" w:sz="12" w:space="0" w:color="auto"/>
              <w:right w:val="nil"/>
            </w:tcBorders>
            <w:vAlign w:val="bottom"/>
          </w:tcPr>
          <w:p w14:paraId="385CAEE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600" w:type="pct"/>
            <w:tcBorders>
              <w:top w:val="single" w:sz="12" w:space="0" w:color="auto"/>
              <w:left w:val="nil"/>
              <w:right w:val="nil"/>
            </w:tcBorders>
            <w:vAlign w:val="bottom"/>
          </w:tcPr>
          <w:p w14:paraId="56AE8AB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906" w:type="pct"/>
            <w:tcBorders>
              <w:top w:val="single" w:sz="12" w:space="0" w:color="auto"/>
              <w:left w:val="nil"/>
              <w:right w:val="nil"/>
            </w:tcBorders>
            <w:vAlign w:val="bottom"/>
          </w:tcPr>
          <w:p w14:paraId="010B79A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123A17BD" w14:textId="77777777" w:rsidTr="009D6FA9">
        <w:trPr>
          <w:cantSplit/>
          <w:trHeight w:val="20"/>
        </w:trPr>
        <w:tc>
          <w:tcPr>
            <w:tcW w:w="2294" w:type="pct"/>
            <w:tcBorders>
              <w:top w:val="nil"/>
              <w:left w:val="nil"/>
              <w:bottom w:val="nil"/>
              <w:right w:val="nil"/>
            </w:tcBorders>
            <w:vAlign w:val="bottom"/>
          </w:tcPr>
          <w:p w14:paraId="46B9917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Attributable to:</w:t>
            </w:r>
          </w:p>
        </w:tc>
        <w:tc>
          <w:tcPr>
            <w:tcW w:w="600" w:type="pct"/>
            <w:tcBorders>
              <w:left w:val="nil"/>
            </w:tcBorders>
            <w:vAlign w:val="bottom"/>
          </w:tcPr>
          <w:p w14:paraId="6750359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601" w:type="pct"/>
            <w:tcBorders>
              <w:right w:val="nil"/>
            </w:tcBorders>
            <w:vAlign w:val="bottom"/>
          </w:tcPr>
          <w:p w14:paraId="0B24461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600" w:type="pct"/>
            <w:tcBorders>
              <w:left w:val="nil"/>
              <w:right w:val="nil"/>
            </w:tcBorders>
            <w:vAlign w:val="bottom"/>
          </w:tcPr>
          <w:p w14:paraId="09A0786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906" w:type="pct"/>
            <w:tcBorders>
              <w:left w:val="nil"/>
              <w:bottom w:val="nil"/>
              <w:right w:val="nil"/>
            </w:tcBorders>
            <w:vAlign w:val="bottom"/>
          </w:tcPr>
          <w:p w14:paraId="6C36ED4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9D6FA9" w:rsidRPr="009D6FA9" w14:paraId="09CFE184" w14:textId="77777777" w:rsidTr="009D6FA9">
        <w:trPr>
          <w:cantSplit/>
          <w:trHeight w:val="20"/>
        </w:trPr>
        <w:tc>
          <w:tcPr>
            <w:tcW w:w="2294" w:type="pct"/>
            <w:tcBorders>
              <w:top w:val="nil"/>
              <w:left w:val="nil"/>
              <w:right w:val="nil"/>
            </w:tcBorders>
            <w:vAlign w:val="bottom"/>
          </w:tcPr>
          <w:p w14:paraId="59AD57D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Shareholders of the Company</w:t>
            </w:r>
          </w:p>
        </w:tc>
        <w:tc>
          <w:tcPr>
            <w:tcW w:w="600" w:type="pct"/>
            <w:tcBorders>
              <w:top w:val="nil"/>
              <w:left w:val="nil"/>
            </w:tcBorders>
            <w:vAlign w:val="bottom"/>
          </w:tcPr>
          <w:p w14:paraId="7DAE5DE9"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64,814</w:t>
            </w:r>
          </w:p>
        </w:tc>
        <w:tc>
          <w:tcPr>
            <w:tcW w:w="601" w:type="pct"/>
            <w:tcBorders>
              <w:top w:val="nil"/>
              <w:right w:val="nil"/>
            </w:tcBorders>
            <w:vAlign w:val="bottom"/>
          </w:tcPr>
          <w:p w14:paraId="2555A025"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56,756</w:t>
            </w:r>
          </w:p>
        </w:tc>
        <w:tc>
          <w:tcPr>
            <w:tcW w:w="600" w:type="pct"/>
            <w:tcBorders>
              <w:top w:val="nil"/>
              <w:left w:val="nil"/>
              <w:right w:val="nil"/>
            </w:tcBorders>
            <w:vAlign w:val="bottom"/>
          </w:tcPr>
          <w:p w14:paraId="60ED5F84"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11,341</w:t>
            </w:r>
          </w:p>
        </w:tc>
        <w:tc>
          <w:tcPr>
            <w:tcW w:w="906" w:type="pct"/>
            <w:tcBorders>
              <w:top w:val="nil"/>
              <w:left w:val="nil"/>
              <w:right w:val="nil"/>
            </w:tcBorders>
            <w:vAlign w:val="bottom"/>
          </w:tcPr>
          <w:p w14:paraId="0D762E03"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15,262</w:t>
            </w:r>
          </w:p>
        </w:tc>
      </w:tr>
      <w:tr w:rsidR="009D6FA9" w:rsidRPr="009D6FA9" w14:paraId="2898994D" w14:textId="77777777" w:rsidTr="009D6FA9">
        <w:trPr>
          <w:cantSplit/>
          <w:trHeight w:val="20"/>
        </w:trPr>
        <w:tc>
          <w:tcPr>
            <w:tcW w:w="2294" w:type="pct"/>
            <w:tcBorders>
              <w:top w:val="nil"/>
              <w:left w:val="nil"/>
              <w:right w:val="nil"/>
            </w:tcBorders>
            <w:vAlign w:val="bottom"/>
          </w:tcPr>
          <w:p w14:paraId="070B2FD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Non-controlling interests*</w:t>
            </w:r>
          </w:p>
        </w:tc>
        <w:tc>
          <w:tcPr>
            <w:tcW w:w="600" w:type="pct"/>
            <w:tcBorders>
              <w:top w:val="nil"/>
              <w:left w:val="nil"/>
            </w:tcBorders>
            <w:vAlign w:val="bottom"/>
          </w:tcPr>
          <w:p w14:paraId="5CBD7FD0"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3</w:t>
            </w:r>
          </w:p>
        </w:tc>
        <w:tc>
          <w:tcPr>
            <w:tcW w:w="601" w:type="pct"/>
            <w:tcBorders>
              <w:top w:val="nil"/>
              <w:right w:val="nil"/>
            </w:tcBorders>
            <w:vAlign w:val="bottom"/>
          </w:tcPr>
          <w:p w14:paraId="6CDD3E6E"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19</w:t>
            </w:r>
          </w:p>
        </w:tc>
        <w:tc>
          <w:tcPr>
            <w:tcW w:w="600" w:type="pct"/>
            <w:tcBorders>
              <w:top w:val="nil"/>
              <w:left w:val="nil"/>
              <w:right w:val="nil"/>
            </w:tcBorders>
            <w:vAlign w:val="bottom"/>
          </w:tcPr>
          <w:p w14:paraId="7EB0E311"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7</w:t>
            </w:r>
          </w:p>
        </w:tc>
        <w:tc>
          <w:tcPr>
            <w:tcW w:w="906" w:type="pct"/>
            <w:tcBorders>
              <w:top w:val="nil"/>
              <w:left w:val="nil"/>
              <w:right w:val="nil"/>
            </w:tcBorders>
            <w:vAlign w:val="bottom"/>
          </w:tcPr>
          <w:p w14:paraId="6303EC99" w14:textId="77777777" w:rsidR="009D6FA9" w:rsidRPr="009D6FA9" w:rsidRDefault="009D6FA9" w:rsidP="009D6FA9">
            <w:pPr>
              <w:widowControl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16</w:t>
            </w:r>
          </w:p>
        </w:tc>
      </w:tr>
      <w:tr w:rsidR="009D6FA9" w:rsidRPr="009D6FA9" w14:paraId="578155B4" w14:textId="77777777" w:rsidTr="009D6FA9">
        <w:trPr>
          <w:cantSplit/>
          <w:trHeight w:val="20"/>
        </w:trPr>
        <w:tc>
          <w:tcPr>
            <w:tcW w:w="2294" w:type="pct"/>
            <w:tcBorders>
              <w:left w:val="nil"/>
              <w:bottom w:val="single" w:sz="4" w:space="0" w:color="auto"/>
              <w:right w:val="nil"/>
            </w:tcBorders>
            <w:vAlign w:val="bottom"/>
          </w:tcPr>
          <w:p w14:paraId="013DF22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600" w:type="pct"/>
            <w:tcBorders>
              <w:left w:val="nil"/>
              <w:bottom w:val="single" w:sz="4" w:space="0" w:color="auto"/>
            </w:tcBorders>
            <w:vAlign w:val="bottom"/>
          </w:tcPr>
          <w:p w14:paraId="6CE3A7E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1" w:type="pct"/>
            <w:tcBorders>
              <w:bottom w:val="single" w:sz="4" w:space="0" w:color="auto"/>
              <w:right w:val="nil"/>
            </w:tcBorders>
            <w:vAlign w:val="bottom"/>
          </w:tcPr>
          <w:p w14:paraId="74ADC11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600" w:type="pct"/>
            <w:tcBorders>
              <w:left w:val="nil"/>
              <w:bottom w:val="single" w:sz="4" w:space="0" w:color="auto"/>
              <w:right w:val="nil"/>
            </w:tcBorders>
            <w:vAlign w:val="bottom"/>
          </w:tcPr>
          <w:p w14:paraId="48D50CE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906" w:type="pct"/>
            <w:tcBorders>
              <w:left w:val="nil"/>
              <w:bottom w:val="single" w:sz="4" w:space="0" w:color="auto"/>
              <w:right w:val="nil"/>
            </w:tcBorders>
            <w:vAlign w:val="bottom"/>
          </w:tcPr>
          <w:p w14:paraId="305C143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bl>
    <w:p w14:paraId="4FC63422" w14:textId="77777777" w:rsidR="00F45535" w:rsidRDefault="00F45535" w:rsidP="00965003">
      <w:pPr>
        <w:widowControl w:val="0"/>
        <w:spacing w:before="120"/>
        <w:rPr>
          <w:rFonts w:ascii="Arial" w:hAnsi="Arial" w:cs="Arial"/>
          <w:i/>
          <w:iCs/>
          <w:sz w:val="16"/>
          <w:szCs w:val="16"/>
          <w:lang w:val="ru-RU"/>
        </w:rPr>
      </w:pPr>
    </w:p>
    <w:p w14:paraId="15AD31FD" w14:textId="72816D4E" w:rsidR="00965003" w:rsidRPr="009D6FA9" w:rsidRDefault="009D6FA9" w:rsidP="00965003">
      <w:pPr>
        <w:widowControl w:val="0"/>
        <w:spacing w:before="120"/>
        <w:rPr>
          <w:rFonts w:ascii="Arial" w:hAnsi="Arial" w:cs="Arial"/>
          <w:i/>
          <w:iCs/>
          <w:sz w:val="16"/>
          <w:szCs w:val="16"/>
          <w:lang w:val="en-US"/>
        </w:rPr>
        <w:sectPr w:rsidR="00965003" w:rsidRPr="009D6FA9" w:rsidSect="00CB6682">
          <w:headerReference w:type="default" r:id="rId26"/>
          <w:footnotePr>
            <w:numRestart w:val="eachPage"/>
          </w:footnotePr>
          <w:pgSz w:w="11907" w:h="16840" w:code="9"/>
          <w:pgMar w:top="1134" w:right="1021" w:bottom="1134" w:left="1531" w:header="567" w:footer="567" w:gutter="0"/>
          <w:pgNumType w:start="1"/>
          <w:cols w:space="708"/>
          <w:docGrid w:linePitch="360"/>
        </w:sectPr>
      </w:pPr>
      <w:r w:rsidRPr="00720E01">
        <w:rPr>
          <w:rFonts w:ascii="Arial" w:hAnsi="Arial" w:cs="Arial"/>
          <w:i/>
          <w:iCs/>
          <w:sz w:val="18"/>
          <w:szCs w:val="16"/>
        </w:rPr>
        <w:t>*Non-controlling interests are the minority shareholders of the subsidiaries of PJSC “PhosAgro”</w:t>
      </w:r>
    </w:p>
    <w:tbl>
      <w:tblPr>
        <w:tblW w:w="4925" w:type="pct"/>
        <w:tblLayout w:type="fixed"/>
        <w:tblCellMar>
          <w:left w:w="85" w:type="dxa"/>
          <w:right w:w="85" w:type="dxa"/>
        </w:tblCellMar>
        <w:tblLook w:val="0000" w:firstRow="0" w:lastRow="0" w:firstColumn="0" w:lastColumn="0" w:noHBand="0" w:noVBand="0"/>
      </w:tblPr>
      <w:tblGrid>
        <w:gridCol w:w="5389"/>
        <w:gridCol w:w="1520"/>
        <w:gridCol w:w="2306"/>
      </w:tblGrid>
      <w:tr w:rsidR="009D6FA9" w:rsidRPr="009D6FA9" w14:paraId="3EFC2D4D" w14:textId="77777777" w:rsidTr="009D6FA9">
        <w:trPr>
          <w:cantSplit/>
        </w:trPr>
        <w:tc>
          <w:tcPr>
            <w:tcW w:w="2923" w:type="pct"/>
            <w:tcBorders>
              <w:top w:val="nil"/>
              <w:left w:val="nil"/>
              <w:bottom w:val="single" w:sz="4" w:space="0" w:color="auto"/>
              <w:right w:val="nil"/>
            </w:tcBorders>
            <w:vAlign w:val="bottom"/>
          </w:tcPr>
          <w:p w14:paraId="189E267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i/>
                <w:iCs/>
                <w:spacing w:val="-2"/>
                <w:sz w:val="18"/>
                <w:szCs w:val="18"/>
                <w:lang w:eastAsia="ru-RU"/>
              </w:rPr>
              <w:lastRenderedPageBreak/>
              <w:t>RUB million</w:t>
            </w:r>
          </w:p>
        </w:tc>
        <w:tc>
          <w:tcPr>
            <w:tcW w:w="825" w:type="pct"/>
            <w:tcBorders>
              <w:top w:val="nil"/>
              <w:left w:val="nil"/>
              <w:bottom w:val="single" w:sz="4" w:space="0" w:color="auto"/>
              <w:right w:val="nil"/>
            </w:tcBorders>
            <w:vAlign w:val="bottom"/>
          </w:tcPr>
          <w:p w14:paraId="67065BD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9D6FA9">
              <w:rPr>
                <w:rFonts w:ascii="Arial" w:eastAsia="Times New Roman" w:hAnsi="Arial" w:cs="Arial"/>
                <w:b/>
                <w:bCs/>
                <w:spacing w:val="-2"/>
                <w:sz w:val="18"/>
                <w:szCs w:val="18"/>
                <w:lang w:eastAsia="ru-RU"/>
              </w:rPr>
              <w:t xml:space="preserve">30 September </w:t>
            </w:r>
            <w:r w:rsidRPr="009D6FA9">
              <w:rPr>
                <w:rFonts w:ascii="Arial" w:eastAsia="Times New Roman" w:hAnsi="Arial" w:cs="Arial"/>
                <w:b/>
                <w:bCs/>
                <w:spacing w:val="-2"/>
                <w:sz w:val="18"/>
                <w:szCs w:val="18"/>
                <w:lang w:eastAsia="ru-RU"/>
              </w:rPr>
              <w:br/>
              <w:t>20</w:t>
            </w:r>
            <w:r w:rsidRPr="009D6FA9">
              <w:rPr>
                <w:rFonts w:ascii="Arial" w:eastAsia="Times New Roman" w:hAnsi="Arial" w:cs="Arial"/>
                <w:b/>
                <w:bCs/>
                <w:spacing w:val="-2"/>
                <w:sz w:val="18"/>
                <w:szCs w:val="18"/>
                <w:lang w:val="ru-RU" w:eastAsia="ru-RU"/>
              </w:rPr>
              <w:t>2</w:t>
            </w:r>
            <w:r w:rsidRPr="009D6FA9">
              <w:rPr>
                <w:rFonts w:ascii="Arial" w:eastAsia="Times New Roman" w:hAnsi="Arial" w:cs="Arial"/>
                <w:b/>
                <w:bCs/>
                <w:spacing w:val="-2"/>
                <w:sz w:val="18"/>
                <w:szCs w:val="18"/>
                <w:lang w:val="en-US" w:eastAsia="ru-RU"/>
              </w:rPr>
              <w:t>4</w:t>
            </w:r>
          </w:p>
        </w:tc>
        <w:tc>
          <w:tcPr>
            <w:tcW w:w="1251" w:type="pct"/>
            <w:tcBorders>
              <w:top w:val="nil"/>
              <w:left w:val="nil"/>
              <w:bottom w:val="single" w:sz="4" w:space="0" w:color="auto"/>
              <w:right w:val="nil"/>
            </w:tcBorders>
            <w:vAlign w:val="bottom"/>
          </w:tcPr>
          <w:p w14:paraId="79FECC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9D6FA9">
              <w:rPr>
                <w:rFonts w:ascii="Arial" w:eastAsia="Times New Roman" w:hAnsi="Arial" w:cs="Arial"/>
                <w:b/>
                <w:bCs/>
                <w:spacing w:val="-2"/>
                <w:sz w:val="18"/>
                <w:szCs w:val="18"/>
                <w:lang w:eastAsia="ru-RU"/>
              </w:rPr>
              <w:t xml:space="preserve">31 December </w:t>
            </w:r>
            <w:r w:rsidRPr="009D6FA9">
              <w:rPr>
                <w:rFonts w:ascii="Arial" w:eastAsia="Times New Roman" w:hAnsi="Arial" w:cs="Arial"/>
                <w:b/>
                <w:bCs/>
                <w:spacing w:val="-2"/>
                <w:sz w:val="18"/>
                <w:szCs w:val="18"/>
                <w:lang w:eastAsia="ru-RU"/>
              </w:rPr>
              <w:br/>
              <w:t>20</w:t>
            </w:r>
            <w:r w:rsidRPr="009D6FA9">
              <w:rPr>
                <w:rFonts w:ascii="Arial" w:eastAsia="Times New Roman" w:hAnsi="Arial" w:cs="Arial"/>
                <w:b/>
                <w:bCs/>
                <w:spacing w:val="-2"/>
                <w:sz w:val="18"/>
                <w:szCs w:val="18"/>
                <w:lang w:val="ru-RU" w:eastAsia="ru-RU"/>
              </w:rPr>
              <w:t>23</w:t>
            </w:r>
          </w:p>
        </w:tc>
      </w:tr>
      <w:tr w:rsidR="009D6FA9" w:rsidRPr="009D6FA9" w14:paraId="07775943" w14:textId="77777777" w:rsidTr="009D6FA9">
        <w:trPr>
          <w:cantSplit/>
        </w:trPr>
        <w:tc>
          <w:tcPr>
            <w:tcW w:w="2923" w:type="pct"/>
            <w:tcBorders>
              <w:top w:val="single" w:sz="4" w:space="0" w:color="auto"/>
              <w:left w:val="nil"/>
              <w:right w:val="nil"/>
            </w:tcBorders>
            <w:vAlign w:val="bottom"/>
          </w:tcPr>
          <w:p w14:paraId="6B62B87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7EFC5E8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51" w:type="pct"/>
            <w:tcBorders>
              <w:top w:val="single" w:sz="4" w:space="0" w:color="auto"/>
              <w:left w:val="nil"/>
              <w:right w:val="nil"/>
            </w:tcBorders>
            <w:vAlign w:val="bottom"/>
          </w:tcPr>
          <w:p w14:paraId="32C33FE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3760387A" w14:textId="77777777" w:rsidTr="009D6FA9">
        <w:trPr>
          <w:cantSplit/>
        </w:trPr>
        <w:tc>
          <w:tcPr>
            <w:tcW w:w="2923" w:type="pct"/>
            <w:tcBorders>
              <w:left w:val="nil"/>
              <w:bottom w:val="nil"/>
              <w:right w:val="nil"/>
            </w:tcBorders>
            <w:vAlign w:val="bottom"/>
          </w:tcPr>
          <w:p w14:paraId="08A818B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i/>
                <w:spacing w:val="-2"/>
                <w:sz w:val="18"/>
                <w:szCs w:val="18"/>
                <w:lang w:eastAsia="ru-RU"/>
              </w:rPr>
            </w:pPr>
            <w:r w:rsidRPr="009D6FA9">
              <w:rPr>
                <w:rFonts w:ascii="Arial" w:eastAsia="Times New Roman" w:hAnsi="Arial" w:cs="Arial"/>
                <w:b/>
                <w:i/>
                <w:spacing w:val="-2"/>
                <w:sz w:val="18"/>
                <w:szCs w:val="18"/>
                <w:lang w:eastAsia="ru-RU"/>
              </w:rPr>
              <w:t>Assets</w:t>
            </w:r>
          </w:p>
        </w:tc>
        <w:tc>
          <w:tcPr>
            <w:tcW w:w="825" w:type="pct"/>
            <w:tcBorders>
              <w:left w:val="nil"/>
              <w:bottom w:val="nil"/>
              <w:right w:val="nil"/>
            </w:tcBorders>
            <w:vAlign w:val="bottom"/>
          </w:tcPr>
          <w:p w14:paraId="5E594D5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51" w:type="pct"/>
            <w:tcBorders>
              <w:left w:val="nil"/>
              <w:bottom w:val="nil"/>
              <w:right w:val="nil"/>
            </w:tcBorders>
            <w:vAlign w:val="bottom"/>
          </w:tcPr>
          <w:p w14:paraId="22F8A1B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9D6FA9" w:rsidRPr="009D6FA9" w14:paraId="3AA28293" w14:textId="77777777" w:rsidTr="009D6FA9">
        <w:trPr>
          <w:cantSplit/>
        </w:trPr>
        <w:tc>
          <w:tcPr>
            <w:tcW w:w="2923" w:type="pct"/>
            <w:tcBorders>
              <w:top w:val="nil"/>
              <w:left w:val="nil"/>
              <w:bottom w:val="nil"/>
              <w:right w:val="nil"/>
            </w:tcBorders>
            <w:vAlign w:val="bottom"/>
          </w:tcPr>
          <w:p w14:paraId="0163821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Property, plant and equipment</w:t>
            </w:r>
          </w:p>
        </w:tc>
        <w:tc>
          <w:tcPr>
            <w:tcW w:w="825" w:type="pct"/>
            <w:tcBorders>
              <w:top w:val="nil"/>
              <w:left w:val="nil"/>
              <w:bottom w:val="nil"/>
              <w:right w:val="nil"/>
            </w:tcBorders>
            <w:vAlign w:val="bottom"/>
          </w:tcPr>
          <w:p w14:paraId="78DE947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339,989</w:t>
            </w:r>
          </w:p>
        </w:tc>
        <w:tc>
          <w:tcPr>
            <w:tcW w:w="1251" w:type="pct"/>
            <w:tcBorders>
              <w:top w:val="nil"/>
              <w:left w:val="nil"/>
              <w:bottom w:val="nil"/>
              <w:right w:val="nil"/>
            </w:tcBorders>
            <w:vAlign w:val="bottom"/>
          </w:tcPr>
          <w:p w14:paraId="0DF2E75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308,663</w:t>
            </w:r>
          </w:p>
        </w:tc>
      </w:tr>
      <w:tr w:rsidR="009D6FA9" w:rsidRPr="009D6FA9" w14:paraId="1C8C17A1" w14:textId="77777777" w:rsidTr="009D6FA9">
        <w:trPr>
          <w:cantSplit/>
        </w:trPr>
        <w:tc>
          <w:tcPr>
            <w:tcW w:w="2923" w:type="pct"/>
            <w:tcBorders>
              <w:top w:val="nil"/>
              <w:left w:val="nil"/>
              <w:bottom w:val="nil"/>
              <w:right w:val="nil"/>
            </w:tcBorders>
            <w:vAlign w:val="bottom"/>
          </w:tcPr>
          <w:p w14:paraId="0778063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Non-current spare parts</w:t>
            </w:r>
          </w:p>
        </w:tc>
        <w:tc>
          <w:tcPr>
            <w:tcW w:w="825" w:type="pct"/>
            <w:tcBorders>
              <w:top w:val="nil"/>
              <w:left w:val="nil"/>
              <w:bottom w:val="nil"/>
              <w:right w:val="nil"/>
            </w:tcBorders>
            <w:vAlign w:val="bottom"/>
          </w:tcPr>
          <w:p w14:paraId="5D367B4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12,750</w:t>
            </w:r>
          </w:p>
        </w:tc>
        <w:tc>
          <w:tcPr>
            <w:tcW w:w="1251" w:type="pct"/>
            <w:tcBorders>
              <w:top w:val="nil"/>
              <w:left w:val="nil"/>
              <w:bottom w:val="nil"/>
              <w:right w:val="nil"/>
            </w:tcBorders>
            <w:vAlign w:val="bottom"/>
          </w:tcPr>
          <w:p w14:paraId="0E242AD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8,059</w:t>
            </w:r>
          </w:p>
        </w:tc>
      </w:tr>
      <w:tr w:rsidR="009D6FA9" w:rsidRPr="009D6FA9" w14:paraId="2FD9E03B" w14:textId="77777777" w:rsidTr="009D6FA9">
        <w:trPr>
          <w:cantSplit/>
        </w:trPr>
        <w:tc>
          <w:tcPr>
            <w:tcW w:w="2923" w:type="pct"/>
            <w:tcBorders>
              <w:top w:val="nil"/>
              <w:left w:val="nil"/>
              <w:bottom w:val="nil"/>
              <w:right w:val="nil"/>
            </w:tcBorders>
            <w:vAlign w:val="bottom"/>
          </w:tcPr>
          <w:p w14:paraId="457344B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en-US"/>
              </w:rPr>
            </w:pPr>
            <w:r w:rsidRPr="009D6FA9">
              <w:rPr>
                <w:rFonts w:ascii="Arial" w:eastAsia="Times New Roman" w:hAnsi="Arial" w:cs="Arial"/>
                <w:spacing w:val="-2"/>
                <w:sz w:val="18"/>
                <w:szCs w:val="20"/>
                <w:lang w:val="en-US" w:eastAsia="ru-RU"/>
              </w:rPr>
              <w:t>Advances issued for property, plant and equipment</w:t>
            </w:r>
          </w:p>
        </w:tc>
        <w:tc>
          <w:tcPr>
            <w:tcW w:w="825" w:type="pct"/>
            <w:tcBorders>
              <w:top w:val="nil"/>
              <w:left w:val="nil"/>
              <w:bottom w:val="nil"/>
              <w:right w:val="nil"/>
            </w:tcBorders>
            <w:vAlign w:val="bottom"/>
          </w:tcPr>
          <w:p w14:paraId="2FFDBC1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9D6FA9">
              <w:rPr>
                <w:rFonts w:ascii="Arial" w:eastAsia="Times New Roman" w:hAnsi="Arial" w:cs="Arial"/>
                <w:spacing w:val="-2"/>
                <w:sz w:val="18"/>
                <w:szCs w:val="20"/>
                <w:lang w:val="en-US" w:eastAsia="ru-RU"/>
              </w:rPr>
              <w:t>10,965</w:t>
            </w:r>
          </w:p>
        </w:tc>
        <w:tc>
          <w:tcPr>
            <w:tcW w:w="1251" w:type="pct"/>
            <w:tcBorders>
              <w:top w:val="nil"/>
              <w:left w:val="nil"/>
              <w:bottom w:val="nil"/>
              <w:right w:val="nil"/>
            </w:tcBorders>
            <w:vAlign w:val="bottom"/>
          </w:tcPr>
          <w:p w14:paraId="3425F94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10,337</w:t>
            </w:r>
          </w:p>
        </w:tc>
      </w:tr>
      <w:tr w:rsidR="009D6FA9" w:rsidRPr="009D6FA9" w14:paraId="522E4D4E" w14:textId="77777777" w:rsidTr="009D6FA9">
        <w:trPr>
          <w:cantSplit/>
        </w:trPr>
        <w:tc>
          <w:tcPr>
            <w:tcW w:w="2923" w:type="pct"/>
            <w:tcBorders>
              <w:top w:val="nil"/>
              <w:left w:val="nil"/>
              <w:bottom w:val="nil"/>
              <w:right w:val="nil"/>
            </w:tcBorders>
            <w:vAlign w:val="bottom"/>
          </w:tcPr>
          <w:p w14:paraId="547C086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Deferred tax assets</w:t>
            </w:r>
          </w:p>
        </w:tc>
        <w:tc>
          <w:tcPr>
            <w:tcW w:w="825" w:type="pct"/>
            <w:tcBorders>
              <w:top w:val="nil"/>
              <w:left w:val="nil"/>
              <w:bottom w:val="nil"/>
              <w:right w:val="nil"/>
            </w:tcBorders>
            <w:vAlign w:val="bottom"/>
          </w:tcPr>
          <w:p w14:paraId="30C3FBB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9,460</w:t>
            </w:r>
          </w:p>
        </w:tc>
        <w:tc>
          <w:tcPr>
            <w:tcW w:w="1251" w:type="pct"/>
            <w:tcBorders>
              <w:top w:val="nil"/>
              <w:left w:val="nil"/>
              <w:bottom w:val="nil"/>
              <w:right w:val="nil"/>
            </w:tcBorders>
            <w:vAlign w:val="bottom"/>
          </w:tcPr>
          <w:p w14:paraId="699D4A0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9,751</w:t>
            </w:r>
          </w:p>
        </w:tc>
      </w:tr>
      <w:tr w:rsidR="009D6FA9" w:rsidRPr="009D6FA9" w14:paraId="5A2613C1" w14:textId="77777777" w:rsidTr="009D6FA9">
        <w:trPr>
          <w:cantSplit/>
        </w:trPr>
        <w:tc>
          <w:tcPr>
            <w:tcW w:w="2923" w:type="pct"/>
            <w:tcBorders>
              <w:top w:val="nil"/>
              <w:left w:val="nil"/>
              <w:bottom w:val="nil"/>
              <w:right w:val="nil"/>
            </w:tcBorders>
            <w:vAlign w:val="bottom"/>
          </w:tcPr>
          <w:p w14:paraId="555883D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ru-RU" w:eastAsia="ru-RU"/>
              </w:rPr>
            </w:pPr>
            <w:proofErr w:type="spellStart"/>
            <w:r w:rsidRPr="009D6FA9">
              <w:rPr>
                <w:rFonts w:ascii="Arial" w:eastAsia="Times New Roman" w:hAnsi="Arial" w:cs="Arial"/>
                <w:spacing w:val="-2"/>
                <w:sz w:val="18"/>
                <w:szCs w:val="20"/>
                <w:lang w:val="ru-RU" w:eastAsia="ru-RU"/>
              </w:rPr>
              <w:t>Right-of-use</w:t>
            </w:r>
            <w:proofErr w:type="spellEnd"/>
            <w:r w:rsidRPr="009D6FA9">
              <w:rPr>
                <w:rFonts w:ascii="Arial" w:eastAsia="Times New Roman" w:hAnsi="Arial" w:cs="Arial"/>
                <w:spacing w:val="-2"/>
                <w:sz w:val="18"/>
                <w:szCs w:val="20"/>
                <w:lang w:val="ru-RU" w:eastAsia="ru-RU"/>
              </w:rPr>
              <w:t xml:space="preserve"> </w:t>
            </w:r>
            <w:proofErr w:type="spellStart"/>
            <w:r w:rsidRPr="009D6FA9">
              <w:rPr>
                <w:rFonts w:ascii="Arial" w:eastAsia="Times New Roman" w:hAnsi="Arial" w:cs="Arial"/>
                <w:spacing w:val="-2"/>
                <w:sz w:val="18"/>
                <w:szCs w:val="20"/>
                <w:lang w:val="ru-RU" w:eastAsia="ru-RU"/>
              </w:rPr>
              <w:t>assets</w:t>
            </w:r>
            <w:proofErr w:type="spellEnd"/>
          </w:p>
        </w:tc>
        <w:tc>
          <w:tcPr>
            <w:tcW w:w="825" w:type="pct"/>
            <w:tcBorders>
              <w:top w:val="nil"/>
              <w:left w:val="nil"/>
              <w:bottom w:val="nil"/>
              <w:right w:val="nil"/>
            </w:tcBorders>
            <w:vAlign w:val="bottom"/>
          </w:tcPr>
          <w:p w14:paraId="51387D3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5,728</w:t>
            </w:r>
          </w:p>
        </w:tc>
        <w:tc>
          <w:tcPr>
            <w:tcW w:w="1251" w:type="pct"/>
            <w:tcBorders>
              <w:top w:val="nil"/>
              <w:left w:val="nil"/>
              <w:bottom w:val="nil"/>
              <w:right w:val="nil"/>
            </w:tcBorders>
            <w:vAlign w:val="bottom"/>
          </w:tcPr>
          <w:p w14:paraId="7F28C54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7,240</w:t>
            </w:r>
          </w:p>
        </w:tc>
      </w:tr>
      <w:tr w:rsidR="009D6FA9" w:rsidRPr="009D6FA9" w14:paraId="3814C23A" w14:textId="77777777" w:rsidTr="009D6FA9">
        <w:trPr>
          <w:cantSplit/>
        </w:trPr>
        <w:tc>
          <w:tcPr>
            <w:tcW w:w="2923" w:type="pct"/>
            <w:tcBorders>
              <w:top w:val="nil"/>
              <w:left w:val="nil"/>
              <w:bottom w:val="nil"/>
              <w:right w:val="nil"/>
            </w:tcBorders>
            <w:vAlign w:val="bottom"/>
          </w:tcPr>
          <w:p w14:paraId="01D0CBD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Catalysts</w:t>
            </w:r>
          </w:p>
        </w:tc>
        <w:tc>
          <w:tcPr>
            <w:tcW w:w="825" w:type="pct"/>
            <w:tcBorders>
              <w:top w:val="nil"/>
              <w:left w:val="nil"/>
              <w:bottom w:val="nil"/>
              <w:right w:val="nil"/>
            </w:tcBorders>
            <w:vAlign w:val="bottom"/>
          </w:tcPr>
          <w:p w14:paraId="19BAE76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3,068</w:t>
            </w:r>
          </w:p>
        </w:tc>
        <w:tc>
          <w:tcPr>
            <w:tcW w:w="1251" w:type="pct"/>
            <w:tcBorders>
              <w:top w:val="nil"/>
              <w:left w:val="nil"/>
              <w:bottom w:val="nil"/>
              <w:right w:val="nil"/>
            </w:tcBorders>
            <w:vAlign w:val="bottom"/>
          </w:tcPr>
          <w:p w14:paraId="324C66E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2,667</w:t>
            </w:r>
          </w:p>
        </w:tc>
      </w:tr>
      <w:tr w:rsidR="009D6FA9" w:rsidRPr="009D6FA9" w14:paraId="40CF2B1B" w14:textId="77777777" w:rsidTr="009D6FA9">
        <w:trPr>
          <w:cantSplit/>
        </w:trPr>
        <w:tc>
          <w:tcPr>
            <w:tcW w:w="2923" w:type="pct"/>
            <w:tcBorders>
              <w:top w:val="nil"/>
              <w:left w:val="nil"/>
              <w:bottom w:val="nil"/>
              <w:right w:val="nil"/>
            </w:tcBorders>
            <w:vAlign w:val="bottom"/>
          </w:tcPr>
          <w:p w14:paraId="0F6BECC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Intangible assets</w:t>
            </w:r>
          </w:p>
        </w:tc>
        <w:tc>
          <w:tcPr>
            <w:tcW w:w="825" w:type="pct"/>
            <w:tcBorders>
              <w:top w:val="nil"/>
              <w:left w:val="nil"/>
              <w:bottom w:val="nil"/>
              <w:right w:val="nil"/>
            </w:tcBorders>
            <w:vAlign w:val="bottom"/>
          </w:tcPr>
          <w:p w14:paraId="338A3C0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2,505</w:t>
            </w:r>
          </w:p>
        </w:tc>
        <w:tc>
          <w:tcPr>
            <w:tcW w:w="1251" w:type="pct"/>
            <w:tcBorders>
              <w:top w:val="nil"/>
              <w:left w:val="nil"/>
              <w:bottom w:val="nil"/>
              <w:right w:val="nil"/>
            </w:tcBorders>
            <w:vAlign w:val="bottom"/>
          </w:tcPr>
          <w:p w14:paraId="592D7AD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2,773</w:t>
            </w:r>
          </w:p>
        </w:tc>
      </w:tr>
      <w:tr w:rsidR="009D6FA9" w:rsidRPr="009D6FA9" w14:paraId="0412E15E" w14:textId="77777777" w:rsidTr="009D6FA9">
        <w:trPr>
          <w:cantSplit/>
        </w:trPr>
        <w:tc>
          <w:tcPr>
            <w:tcW w:w="2923" w:type="pct"/>
            <w:tcBorders>
              <w:top w:val="nil"/>
              <w:left w:val="nil"/>
              <w:bottom w:val="nil"/>
              <w:right w:val="nil"/>
            </w:tcBorders>
            <w:vAlign w:val="bottom"/>
          </w:tcPr>
          <w:p w14:paraId="66B574D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Other non-current assets</w:t>
            </w:r>
          </w:p>
        </w:tc>
        <w:tc>
          <w:tcPr>
            <w:tcW w:w="825" w:type="pct"/>
            <w:tcBorders>
              <w:top w:val="nil"/>
              <w:left w:val="nil"/>
              <w:bottom w:val="nil"/>
              <w:right w:val="nil"/>
            </w:tcBorders>
            <w:vAlign w:val="bottom"/>
          </w:tcPr>
          <w:p w14:paraId="4F18FA4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1,182</w:t>
            </w:r>
          </w:p>
        </w:tc>
        <w:tc>
          <w:tcPr>
            <w:tcW w:w="1251" w:type="pct"/>
            <w:tcBorders>
              <w:top w:val="nil"/>
              <w:left w:val="nil"/>
              <w:bottom w:val="nil"/>
              <w:right w:val="nil"/>
            </w:tcBorders>
            <w:vAlign w:val="bottom"/>
          </w:tcPr>
          <w:p w14:paraId="0C46681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8,262</w:t>
            </w:r>
          </w:p>
        </w:tc>
      </w:tr>
      <w:tr w:rsidR="009D6FA9" w:rsidRPr="009D6FA9" w14:paraId="32FE014A" w14:textId="77777777" w:rsidTr="009D6FA9">
        <w:trPr>
          <w:cantSplit/>
        </w:trPr>
        <w:tc>
          <w:tcPr>
            <w:tcW w:w="2923" w:type="pct"/>
            <w:tcBorders>
              <w:top w:val="nil"/>
              <w:left w:val="nil"/>
              <w:bottom w:val="nil"/>
              <w:right w:val="nil"/>
            </w:tcBorders>
            <w:vAlign w:val="bottom"/>
          </w:tcPr>
          <w:p w14:paraId="635C856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Investments in associates and joint ventures</w:t>
            </w:r>
          </w:p>
        </w:tc>
        <w:tc>
          <w:tcPr>
            <w:tcW w:w="825" w:type="pct"/>
            <w:tcBorders>
              <w:top w:val="nil"/>
              <w:left w:val="nil"/>
              <w:bottom w:val="nil"/>
              <w:right w:val="nil"/>
            </w:tcBorders>
            <w:vAlign w:val="bottom"/>
          </w:tcPr>
          <w:p w14:paraId="55D7C23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716</w:t>
            </w:r>
          </w:p>
        </w:tc>
        <w:tc>
          <w:tcPr>
            <w:tcW w:w="1251" w:type="pct"/>
            <w:tcBorders>
              <w:top w:val="nil"/>
              <w:left w:val="nil"/>
              <w:bottom w:val="nil"/>
              <w:right w:val="nil"/>
            </w:tcBorders>
            <w:vAlign w:val="bottom"/>
          </w:tcPr>
          <w:p w14:paraId="5143D98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636</w:t>
            </w:r>
          </w:p>
        </w:tc>
      </w:tr>
      <w:tr w:rsidR="009D6FA9" w:rsidRPr="009D6FA9" w14:paraId="40730959" w14:textId="77777777" w:rsidTr="009D6FA9">
        <w:trPr>
          <w:cantSplit/>
        </w:trPr>
        <w:tc>
          <w:tcPr>
            <w:tcW w:w="2923" w:type="pct"/>
            <w:tcBorders>
              <w:top w:val="nil"/>
              <w:left w:val="nil"/>
              <w:bottom w:val="single" w:sz="4" w:space="0" w:color="auto"/>
              <w:right w:val="nil"/>
            </w:tcBorders>
            <w:vAlign w:val="bottom"/>
          </w:tcPr>
          <w:p w14:paraId="5584528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nil"/>
              <w:left w:val="nil"/>
              <w:bottom w:val="single" w:sz="4" w:space="0" w:color="auto"/>
              <w:right w:val="nil"/>
            </w:tcBorders>
            <w:vAlign w:val="bottom"/>
          </w:tcPr>
          <w:p w14:paraId="53B8A12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nil"/>
              <w:left w:val="nil"/>
              <w:bottom w:val="single" w:sz="4" w:space="0" w:color="auto"/>
              <w:right w:val="nil"/>
            </w:tcBorders>
            <w:vAlign w:val="bottom"/>
          </w:tcPr>
          <w:p w14:paraId="6D0A553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4E2515CD" w14:textId="77777777" w:rsidTr="009D6FA9">
        <w:trPr>
          <w:cantSplit/>
        </w:trPr>
        <w:tc>
          <w:tcPr>
            <w:tcW w:w="2923" w:type="pct"/>
            <w:tcBorders>
              <w:top w:val="single" w:sz="4" w:space="0" w:color="auto"/>
              <w:left w:val="nil"/>
              <w:right w:val="nil"/>
            </w:tcBorders>
            <w:vAlign w:val="bottom"/>
          </w:tcPr>
          <w:p w14:paraId="183A7F5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6178498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single" w:sz="4" w:space="0" w:color="auto"/>
              <w:left w:val="nil"/>
              <w:right w:val="nil"/>
            </w:tcBorders>
            <w:vAlign w:val="bottom"/>
          </w:tcPr>
          <w:p w14:paraId="5EAA810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692AB5B4" w14:textId="77777777" w:rsidTr="009D6FA9">
        <w:trPr>
          <w:cantSplit/>
        </w:trPr>
        <w:tc>
          <w:tcPr>
            <w:tcW w:w="2923" w:type="pct"/>
            <w:tcBorders>
              <w:left w:val="nil"/>
              <w:right w:val="nil"/>
            </w:tcBorders>
            <w:vAlign w:val="bottom"/>
          </w:tcPr>
          <w:p w14:paraId="7FC24A0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Non-current assets</w:t>
            </w:r>
          </w:p>
        </w:tc>
        <w:tc>
          <w:tcPr>
            <w:tcW w:w="825" w:type="pct"/>
            <w:tcBorders>
              <w:left w:val="nil"/>
              <w:right w:val="nil"/>
            </w:tcBorders>
            <w:vAlign w:val="bottom"/>
          </w:tcPr>
          <w:p w14:paraId="63383BA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386,363</w:t>
            </w:r>
          </w:p>
        </w:tc>
        <w:tc>
          <w:tcPr>
            <w:tcW w:w="1251" w:type="pct"/>
            <w:tcBorders>
              <w:left w:val="nil"/>
              <w:right w:val="nil"/>
            </w:tcBorders>
            <w:vAlign w:val="bottom"/>
          </w:tcPr>
          <w:p w14:paraId="7F54897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20"/>
                <w:lang w:val="en-US" w:eastAsia="ru-RU"/>
              </w:rPr>
              <w:t>358,388</w:t>
            </w:r>
          </w:p>
        </w:tc>
      </w:tr>
      <w:tr w:rsidR="009D6FA9" w:rsidRPr="009D6FA9" w14:paraId="21B06B15" w14:textId="77777777" w:rsidTr="009D6FA9">
        <w:trPr>
          <w:cantSplit/>
        </w:trPr>
        <w:tc>
          <w:tcPr>
            <w:tcW w:w="2923" w:type="pct"/>
            <w:tcBorders>
              <w:left w:val="nil"/>
              <w:bottom w:val="single" w:sz="4" w:space="0" w:color="auto"/>
              <w:right w:val="nil"/>
            </w:tcBorders>
            <w:vAlign w:val="bottom"/>
          </w:tcPr>
          <w:p w14:paraId="2689B70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4" w:space="0" w:color="auto"/>
              <w:right w:val="nil"/>
            </w:tcBorders>
            <w:vAlign w:val="bottom"/>
          </w:tcPr>
          <w:p w14:paraId="48EE6B7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left w:val="nil"/>
              <w:bottom w:val="single" w:sz="4" w:space="0" w:color="auto"/>
              <w:right w:val="nil"/>
            </w:tcBorders>
            <w:vAlign w:val="bottom"/>
          </w:tcPr>
          <w:p w14:paraId="7D9D96D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9D6FA9" w:rsidRPr="009D6FA9" w14:paraId="621B3172" w14:textId="77777777" w:rsidTr="009D6FA9">
        <w:trPr>
          <w:cantSplit/>
        </w:trPr>
        <w:tc>
          <w:tcPr>
            <w:tcW w:w="2923" w:type="pct"/>
            <w:tcBorders>
              <w:top w:val="single" w:sz="4" w:space="0" w:color="auto"/>
              <w:left w:val="nil"/>
              <w:right w:val="nil"/>
            </w:tcBorders>
            <w:vAlign w:val="bottom"/>
          </w:tcPr>
          <w:p w14:paraId="0808C84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0"/>
                <w:szCs w:val="10"/>
                <w:lang w:eastAsia="ru-RU"/>
              </w:rPr>
            </w:pPr>
            <w:r w:rsidRPr="009D6FA9">
              <w:rPr>
                <w:rFonts w:ascii="Arial" w:eastAsia="Times New Roman" w:hAnsi="Arial" w:cs="Arial"/>
                <w:i/>
                <w:iCs/>
                <w:spacing w:val="-2"/>
                <w:sz w:val="10"/>
                <w:szCs w:val="10"/>
                <w:lang w:eastAsia="ru-RU"/>
              </w:rPr>
              <w:t> </w:t>
            </w:r>
          </w:p>
        </w:tc>
        <w:tc>
          <w:tcPr>
            <w:tcW w:w="825" w:type="pct"/>
            <w:tcBorders>
              <w:top w:val="single" w:sz="4" w:space="0" w:color="auto"/>
              <w:left w:val="nil"/>
              <w:right w:val="nil"/>
            </w:tcBorders>
            <w:vAlign w:val="bottom"/>
          </w:tcPr>
          <w:p w14:paraId="0327617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251" w:type="pct"/>
            <w:tcBorders>
              <w:top w:val="single" w:sz="4" w:space="0" w:color="auto"/>
              <w:left w:val="nil"/>
              <w:right w:val="nil"/>
            </w:tcBorders>
            <w:vAlign w:val="bottom"/>
          </w:tcPr>
          <w:p w14:paraId="18D297E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7C700ED4" w14:textId="77777777" w:rsidTr="009D6FA9">
        <w:trPr>
          <w:cantSplit/>
        </w:trPr>
        <w:tc>
          <w:tcPr>
            <w:tcW w:w="2923" w:type="pct"/>
            <w:tcBorders>
              <w:top w:val="nil"/>
              <w:left w:val="nil"/>
              <w:bottom w:val="nil"/>
              <w:right w:val="nil"/>
            </w:tcBorders>
            <w:vAlign w:val="bottom"/>
          </w:tcPr>
          <w:p w14:paraId="4844C4C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Trade and other receivables</w:t>
            </w:r>
          </w:p>
        </w:tc>
        <w:tc>
          <w:tcPr>
            <w:tcW w:w="825" w:type="pct"/>
            <w:tcBorders>
              <w:top w:val="nil"/>
              <w:left w:val="nil"/>
              <w:bottom w:val="nil"/>
              <w:right w:val="nil"/>
            </w:tcBorders>
            <w:vAlign w:val="bottom"/>
          </w:tcPr>
          <w:p w14:paraId="27A2807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73,631</w:t>
            </w:r>
          </w:p>
        </w:tc>
        <w:tc>
          <w:tcPr>
            <w:tcW w:w="1251" w:type="pct"/>
            <w:tcBorders>
              <w:top w:val="nil"/>
              <w:left w:val="nil"/>
              <w:bottom w:val="nil"/>
              <w:right w:val="nil"/>
            </w:tcBorders>
            <w:vAlign w:val="bottom"/>
          </w:tcPr>
          <w:p w14:paraId="202667F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66,362</w:t>
            </w:r>
          </w:p>
        </w:tc>
      </w:tr>
      <w:tr w:rsidR="009D6FA9" w:rsidRPr="009D6FA9" w14:paraId="6E2A3072" w14:textId="77777777" w:rsidTr="009D6FA9">
        <w:trPr>
          <w:cantSplit/>
        </w:trPr>
        <w:tc>
          <w:tcPr>
            <w:tcW w:w="2923" w:type="pct"/>
            <w:tcBorders>
              <w:top w:val="nil"/>
              <w:left w:val="nil"/>
              <w:bottom w:val="nil"/>
              <w:right w:val="nil"/>
            </w:tcBorders>
            <w:vAlign w:val="bottom"/>
          </w:tcPr>
          <w:p w14:paraId="71F5C48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eastAsia="ru-RU"/>
              </w:rPr>
              <w:t>Cash and cash equivalents</w:t>
            </w:r>
          </w:p>
        </w:tc>
        <w:tc>
          <w:tcPr>
            <w:tcW w:w="825" w:type="pct"/>
            <w:tcBorders>
              <w:top w:val="nil"/>
              <w:left w:val="nil"/>
              <w:bottom w:val="nil"/>
              <w:right w:val="nil"/>
            </w:tcBorders>
            <w:vAlign w:val="bottom"/>
          </w:tcPr>
          <w:p w14:paraId="7426AF0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69,796</w:t>
            </w:r>
          </w:p>
        </w:tc>
        <w:tc>
          <w:tcPr>
            <w:tcW w:w="1251" w:type="pct"/>
            <w:tcBorders>
              <w:top w:val="nil"/>
              <w:left w:val="nil"/>
              <w:bottom w:val="nil"/>
              <w:right w:val="nil"/>
            </w:tcBorders>
            <w:vAlign w:val="bottom"/>
          </w:tcPr>
          <w:p w14:paraId="0B16363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29,163</w:t>
            </w:r>
          </w:p>
        </w:tc>
      </w:tr>
      <w:tr w:rsidR="009D6FA9" w:rsidRPr="009D6FA9" w14:paraId="3EB7EB5C" w14:textId="77777777" w:rsidTr="009D6FA9">
        <w:trPr>
          <w:cantSplit/>
        </w:trPr>
        <w:tc>
          <w:tcPr>
            <w:tcW w:w="2923" w:type="pct"/>
            <w:tcBorders>
              <w:left w:val="nil"/>
              <w:bottom w:val="nil"/>
              <w:right w:val="nil"/>
            </w:tcBorders>
            <w:vAlign w:val="bottom"/>
          </w:tcPr>
          <w:p w14:paraId="6391712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spacing w:val="-2"/>
                <w:sz w:val="18"/>
                <w:szCs w:val="18"/>
                <w:lang w:eastAsia="ru-RU"/>
              </w:rPr>
              <w:t>Inventories</w:t>
            </w:r>
          </w:p>
        </w:tc>
        <w:tc>
          <w:tcPr>
            <w:tcW w:w="825" w:type="pct"/>
            <w:tcBorders>
              <w:left w:val="nil"/>
              <w:bottom w:val="nil"/>
              <w:right w:val="nil"/>
            </w:tcBorders>
            <w:vAlign w:val="bottom"/>
          </w:tcPr>
          <w:p w14:paraId="208CEF8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46,750</w:t>
            </w:r>
          </w:p>
        </w:tc>
        <w:tc>
          <w:tcPr>
            <w:tcW w:w="1251" w:type="pct"/>
            <w:tcBorders>
              <w:left w:val="nil"/>
              <w:bottom w:val="nil"/>
              <w:right w:val="nil"/>
            </w:tcBorders>
            <w:vAlign w:val="bottom"/>
          </w:tcPr>
          <w:p w14:paraId="59CD941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48,468</w:t>
            </w:r>
          </w:p>
        </w:tc>
      </w:tr>
      <w:tr w:rsidR="009D6FA9" w:rsidRPr="009D6FA9" w14:paraId="492120A2" w14:textId="77777777" w:rsidTr="009D6FA9">
        <w:trPr>
          <w:cantSplit/>
        </w:trPr>
        <w:tc>
          <w:tcPr>
            <w:tcW w:w="2923" w:type="pct"/>
            <w:tcBorders>
              <w:top w:val="nil"/>
              <w:left w:val="nil"/>
              <w:bottom w:val="nil"/>
              <w:right w:val="nil"/>
            </w:tcBorders>
            <w:vAlign w:val="bottom"/>
          </w:tcPr>
          <w:p w14:paraId="30CD058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Other </w:t>
            </w:r>
            <w:r w:rsidRPr="009D6FA9">
              <w:rPr>
                <w:rFonts w:ascii="Arial" w:eastAsia="Times New Roman" w:hAnsi="Arial" w:cs="Arial"/>
                <w:spacing w:val="-2"/>
                <w:sz w:val="18"/>
                <w:szCs w:val="18"/>
                <w:lang w:val="en-US" w:eastAsia="ru-RU"/>
              </w:rPr>
              <w:t>short-term assets</w:t>
            </w:r>
            <w:r w:rsidRPr="009D6FA9">
              <w:rPr>
                <w:rFonts w:ascii="Arial" w:eastAsia="Times New Roman" w:hAnsi="Arial" w:cs="Arial"/>
                <w:spacing w:val="-2"/>
                <w:sz w:val="18"/>
                <w:szCs w:val="18"/>
                <w:lang w:eastAsia="ru-RU"/>
              </w:rPr>
              <w:t xml:space="preserve"> </w:t>
            </w:r>
          </w:p>
        </w:tc>
        <w:tc>
          <w:tcPr>
            <w:tcW w:w="825" w:type="pct"/>
            <w:tcBorders>
              <w:top w:val="nil"/>
              <w:left w:val="nil"/>
              <w:bottom w:val="nil"/>
              <w:right w:val="nil"/>
            </w:tcBorders>
            <w:vAlign w:val="bottom"/>
          </w:tcPr>
          <w:p w14:paraId="748DFDA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11,154</w:t>
            </w:r>
          </w:p>
        </w:tc>
        <w:tc>
          <w:tcPr>
            <w:tcW w:w="1251" w:type="pct"/>
            <w:tcBorders>
              <w:top w:val="nil"/>
              <w:left w:val="nil"/>
              <w:bottom w:val="nil"/>
              <w:right w:val="nil"/>
            </w:tcBorders>
            <w:vAlign w:val="bottom"/>
          </w:tcPr>
          <w:p w14:paraId="064967D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5,083</w:t>
            </w:r>
          </w:p>
        </w:tc>
      </w:tr>
      <w:tr w:rsidR="009D6FA9" w:rsidRPr="009D6FA9" w14:paraId="1B785C50" w14:textId="77777777" w:rsidTr="009D6FA9">
        <w:trPr>
          <w:cantSplit/>
        </w:trPr>
        <w:tc>
          <w:tcPr>
            <w:tcW w:w="2923" w:type="pct"/>
            <w:tcBorders>
              <w:top w:val="nil"/>
              <w:left w:val="nil"/>
              <w:bottom w:val="nil"/>
              <w:right w:val="nil"/>
            </w:tcBorders>
            <w:vAlign w:val="bottom"/>
          </w:tcPr>
          <w:p w14:paraId="16EDC0E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VAT and other taxes receivable</w:t>
            </w:r>
          </w:p>
        </w:tc>
        <w:tc>
          <w:tcPr>
            <w:tcW w:w="825" w:type="pct"/>
            <w:tcBorders>
              <w:top w:val="nil"/>
              <w:left w:val="nil"/>
              <w:bottom w:val="nil"/>
              <w:right w:val="nil"/>
            </w:tcBorders>
            <w:vAlign w:val="bottom"/>
          </w:tcPr>
          <w:p w14:paraId="61A5C28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9,104</w:t>
            </w:r>
          </w:p>
        </w:tc>
        <w:tc>
          <w:tcPr>
            <w:tcW w:w="1251" w:type="pct"/>
            <w:tcBorders>
              <w:top w:val="nil"/>
              <w:left w:val="nil"/>
              <w:bottom w:val="nil"/>
              <w:right w:val="nil"/>
            </w:tcBorders>
            <w:vAlign w:val="bottom"/>
          </w:tcPr>
          <w:p w14:paraId="2F2437A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10,119</w:t>
            </w:r>
          </w:p>
        </w:tc>
      </w:tr>
      <w:tr w:rsidR="009D6FA9" w:rsidRPr="009D6FA9" w14:paraId="2B8CE888" w14:textId="77777777" w:rsidTr="009D6FA9">
        <w:trPr>
          <w:cantSplit/>
        </w:trPr>
        <w:tc>
          <w:tcPr>
            <w:tcW w:w="2923" w:type="pct"/>
            <w:tcBorders>
              <w:top w:val="nil"/>
              <w:left w:val="nil"/>
              <w:bottom w:val="nil"/>
              <w:right w:val="nil"/>
            </w:tcBorders>
            <w:vAlign w:val="bottom"/>
          </w:tcPr>
          <w:p w14:paraId="737A1D9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Income tax receivable</w:t>
            </w:r>
          </w:p>
        </w:tc>
        <w:tc>
          <w:tcPr>
            <w:tcW w:w="825" w:type="pct"/>
            <w:tcBorders>
              <w:top w:val="nil"/>
              <w:left w:val="nil"/>
              <w:bottom w:val="nil"/>
              <w:right w:val="nil"/>
            </w:tcBorders>
            <w:vAlign w:val="bottom"/>
          </w:tcPr>
          <w:p w14:paraId="2C96A1B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1,035</w:t>
            </w:r>
          </w:p>
        </w:tc>
        <w:tc>
          <w:tcPr>
            <w:tcW w:w="1251" w:type="pct"/>
            <w:tcBorders>
              <w:top w:val="nil"/>
              <w:left w:val="nil"/>
              <w:bottom w:val="nil"/>
              <w:right w:val="nil"/>
            </w:tcBorders>
            <w:vAlign w:val="bottom"/>
          </w:tcPr>
          <w:p w14:paraId="29C5FD2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1,703</w:t>
            </w:r>
          </w:p>
        </w:tc>
      </w:tr>
      <w:tr w:rsidR="009D6FA9" w:rsidRPr="009D6FA9" w14:paraId="632362CA" w14:textId="77777777" w:rsidTr="009D6FA9">
        <w:trPr>
          <w:cantSplit/>
        </w:trPr>
        <w:tc>
          <w:tcPr>
            <w:tcW w:w="2923" w:type="pct"/>
            <w:tcBorders>
              <w:top w:val="nil"/>
              <w:left w:val="nil"/>
              <w:bottom w:val="nil"/>
              <w:right w:val="nil"/>
            </w:tcBorders>
            <w:vAlign w:val="bottom"/>
          </w:tcPr>
          <w:p w14:paraId="57C1617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Security payment for windfall tax</w:t>
            </w:r>
          </w:p>
        </w:tc>
        <w:tc>
          <w:tcPr>
            <w:tcW w:w="825" w:type="pct"/>
            <w:tcBorders>
              <w:top w:val="nil"/>
              <w:left w:val="nil"/>
              <w:bottom w:val="nil"/>
              <w:right w:val="nil"/>
            </w:tcBorders>
            <w:vAlign w:val="bottom"/>
          </w:tcPr>
          <w:p w14:paraId="7B9E8FA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w:t>
            </w:r>
          </w:p>
        </w:tc>
        <w:tc>
          <w:tcPr>
            <w:tcW w:w="1251" w:type="pct"/>
            <w:tcBorders>
              <w:top w:val="nil"/>
              <w:left w:val="nil"/>
              <w:bottom w:val="nil"/>
              <w:right w:val="nil"/>
            </w:tcBorders>
            <w:vAlign w:val="bottom"/>
          </w:tcPr>
          <w:p w14:paraId="0CF9B86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6,355</w:t>
            </w:r>
          </w:p>
        </w:tc>
      </w:tr>
      <w:tr w:rsidR="009D6FA9" w:rsidRPr="009D6FA9" w14:paraId="23B09AAD" w14:textId="77777777" w:rsidTr="009D6FA9">
        <w:trPr>
          <w:cantSplit/>
        </w:trPr>
        <w:tc>
          <w:tcPr>
            <w:tcW w:w="2923" w:type="pct"/>
            <w:tcBorders>
              <w:top w:val="nil"/>
              <w:left w:val="nil"/>
              <w:bottom w:val="single" w:sz="4" w:space="0" w:color="auto"/>
              <w:right w:val="nil"/>
            </w:tcBorders>
            <w:vAlign w:val="bottom"/>
          </w:tcPr>
          <w:p w14:paraId="5F91BB6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nil"/>
              <w:left w:val="nil"/>
              <w:bottom w:val="single" w:sz="4" w:space="0" w:color="auto"/>
              <w:right w:val="nil"/>
            </w:tcBorders>
            <w:vAlign w:val="bottom"/>
          </w:tcPr>
          <w:p w14:paraId="417F0E7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nil"/>
              <w:left w:val="nil"/>
              <w:bottom w:val="single" w:sz="4" w:space="0" w:color="auto"/>
              <w:right w:val="nil"/>
            </w:tcBorders>
            <w:vAlign w:val="bottom"/>
          </w:tcPr>
          <w:p w14:paraId="425A77B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758247C0" w14:textId="77777777" w:rsidTr="009D6FA9">
        <w:trPr>
          <w:cantSplit/>
        </w:trPr>
        <w:tc>
          <w:tcPr>
            <w:tcW w:w="2923" w:type="pct"/>
            <w:tcBorders>
              <w:top w:val="single" w:sz="4" w:space="0" w:color="auto"/>
              <w:left w:val="nil"/>
              <w:bottom w:val="nil"/>
              <w:right w:val="nil"/>
            </w:tcBorders>
            <w:vAlign w:val="bottom"/>
          </w:tcPr>
          <w:p w14:paraId="492AB2D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74953B9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single" w:sz="4" w:space="0" w:color="auto"/>
              <w:left w:val="nil"/>
              <w:right w:val="nil"/>
            </w:tcBorders>
            <w:vAlign w:val="bottom"/>
          </w:tcPr>
          <w:p w14:paraId="1C1BE73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139FDBC1" w14:textId="77777777" w:rsidTr="009D6FA9">
        <w:trPr>
          <w:cantSplit/>
        </w:trPr>
        <w:tc>
          <w:tcPr>
            <w:tcW w:w="2923" w:type="pct"/>
            <w:tcBorders>
              <w:top w:val="nil"/>
              <w:left w:val="nil"/>
              <w:right w:val="nil"/>
            </w:tcBorders>
            <w:vAlign w:val="bottom"/>
          </w:tcPr>
          <w:p w14:paraId="22078CF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Current assets</w:t>
            </w:r>
          </w:p>
        </w:tc>
        <w:tc>
          <w:tcPr>
            <w:tcW w:w="825" w:type="pct"/>
            <w:tcBorders>
              <w:left w:val="nil"/>
              <w:right w:val="nil"/>
            </w:tcBorders>
            <w:vAlign w:val="bottom"/>
          </w:tcPr>
          <w:p w14:paraId="394753F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211,470</w:t>
            </w:r>
          </w:p>
        </w:tc>
        <w:tc>
          <w:tcPr>
            <w:tcW w:w="1251" w:type="pct"/>
            <w:tcBorders>
              <w:left w:val="nil"/>
              <w:right w:val="nil"/>
            </w:tcBorders>
            <w:vAlign w:val="bottom"/>
          </w:tcPr>
          <w:p w14:paraId="006DE96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20"/>
                <w:lang w:val="en-US" w:eastAsia="ru-RU"/>
              </w:rPr>
              <w:t>167,253</w:t>
            </w:r>
          </w:p>
        </w:tc>
      </w:tr>
      <w:tr w:rsidR="009D6FA9" w:rsidRPr="009D6FA9" w14:paraId="44FD9E3B" w14:textId="77777777" w:rsidTr="009D6FA9">
        <w:trPr>
          <w:cantSplit/>
        </w:trPr>
        <w:tc>
          <w:tcPr>
            <w:tcW w:w="2923" w:type="pct"/>
            <w:tcBorders>
              <w:left w:val="nil"/>
              <w:bottom w:val="single" w:sz="4" w:space="0" w:color="auto"/>
              <w:right w:val="nil"/>
            </w:tcBorders>
            <w:vAlign w:val="bottom"/>
          </w:tcPr>
          <w:p w14:paraId="76BE2B9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4" w:space="0" w:color="auto"/>
              <w:right w:val="nil"/>
            </w:tcBorders>
            <w:vAlign w:val="bottom"/>
          </w:tcPr>
          <w:p w14:paraId="75EE4CF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left w:val="nil"/>
              <w:bottom w:val="single" w:sz="4" w:space="0" w:color="auto"/>
              <w:right w:val="nil"/>
            </w:tcBorders>
            <w:vAlign w:val="bottom"/>
          </w:tcPr>
          <w:p w14:paraId="520C82A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9D6FA9" w:rsidRPr="009D6FA9" w14:paraId="4FC62C9F" w14:textId="77777777" w:rsidTr="009D6FA9">
        <w:trPr>
          <w:cantSplit/>
        </w:trPr>
        <w:tc>
          <w:tcPr>
            <w:tcW w:w="2923" w:type="pct"/>
            <w:tcBorders>
              <w:top w:val="single" w:sz="4" w:space="0" w:color="auto"/>
              <w:left w:val="nil"/>
              <w:right w:val="nil"/>
            </w:tcBorders>
            <w:vAlign w:val="bottom"/>
          </w:tcPr>
          <w:p w14:paraId="50AC1B8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top w:val="single" w:sz="4" w:space="0" w:color="auto"/>
              <w:left w:val="nil"/>
              <w:right w:val="nil"/>
            </w:tcBorders>
            <w:vAlign w:val="bottom"/>
          </w:tcPr>
          <w:p w14:paraId="0309149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top w:val="single" w:sz="4" w:space="0" w:color="auto"/>
              <w:left w:val="nil"/>
              <w:right w:val="nil"/>
            </w:tcBorders>
            <w:vAlign w:val="bottom"/>
          </w:tcPr>
          <w:p w14:paraId="0E683BA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9D6FA9" w:rsidRPr="009D6FA9" w14:paraId="312ECBCE" w14:textId="77777777" w:rsidTr="009D6FA9">
        <w:trPr>
          <w:cantSplit/>
        </w:trPr>
        <w:tc>
          <w:tcPr>
            <w:tcW w:w="2923" w:type="pct"/>
            <w:tcBorders>
              <w:left w:val="nil"/>
              <w:right w:val="nil"/>
            </w:tcBorders>
            <w:vAlign w:val="bottom"/>
          </w:tcPr>
          <w:p w14:paraId="00AAB94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Total assets</w:t>
            </w:r>
          </w:p>
        </w:tc>
        <w:tc>
          <w:tcPr>
            <w:tcW w:w="825" w:type="pct"/>
            <w:tcBorders>
              <w:left w:val="nil"/>
              <w:right w:val="nil"/>
            </w:tcBorders>
            <w:vAlign w:val="bottom"/>
          </w:tcPr>
          <w:p w14:paraId="6E6CDBE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597,833</w:t>
            </w:r>
          </w:p>
        </w:tc>
        <w:tc>
          <w:tcPr>
            <w:tcW w:w="1251" w:type="pct"/>
            <w:tcBorders>
              <w:left w:val="nil"/>
              <w:right w:val="nil"/>
            </w:tcBorders>
            <w:vAlign w:val="bottom"/>
          </w:tcPr>
          <w:p w14:paraId="613E617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b/>
                <w:spacing w:val="-2"/>
                <w:sz w:val="18"/>
                <w:szCs w:val="20"/>
                <w:lang w:val="en-US" w:eastAsia="ru-RU"/>
              </w:rPr>
              <w:t>525,641</w:t>
            </w:r>
          </w:p>
        </w:tc>
      </w:tr>
      <w:tr w:rsidR="009D6FA9" w:rsidRPr="009D6FA9" w14:paraId="0B878A32" w14:textId="77777777" w:rsidTr="009D6FA9">
        <w:trPr>
          <w:cantSplit/>
        </w:trPr>
        <w:tc>
          <w:tcPr>
            <w:tcW w:w="2923" w:type="pct"/>
            <w:tcBorders>
              <w:left w:val="nil"/>
              <w:bottom w:val="single" w:sz="12" w:space="0" w:color="auto"/>
              <w:right w:val="nil"/>
            </w:tcBorders>
            <w:vAlign w:val="bottom"/>
          </w:tcPr>
          <w:p w14:paraId="6B4D7E0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12" w:space="0" w:color="auto"/>
              <w:right w:val="nil"/>
            </w:tcBorders>
            <w:vAlign w:val="bottom"/>
          </w:tcPr>
          <w:p w14:paraId="0F76657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251" w:type="pct"/>
            <w:tcBorders>
              <w:left w:val="nil"/>
              <w:bottom w:val="single" w:sz="12" w:space="0" w:color="auto"/>
              <w:right w:val="nil"/>
            </w:tcBorders>
            <w:vAlign w:val="bottom"/>
          </w:tcPr>
          <w:p w14:paraId="4C203B1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r>
      <w:tr w:rsidR="009D6FA9" w:rsidRPr="009D6FA9" w14:paraId="303A0D7C" w14:textId="77777777" w:rsidTr="009D6FA9">
        <w:trPr>
          <w:cantSplit/>
        </w:trPr>
        <w:tc>
          <w:tcPr>
            <w:tcW w:w="2923" w:type="pct"/>
            <w:tcBorders>
              <w:top w:val="single" w:sz="12" w:space="0" w:color="auto"/>
              <w:left w:val="nil"/>
              <w:right w:val="nil"/>
            </w:tcBorders>
            <w:vAlign w:val="bottom"/>
          </w:tcPr>
          <w:p w14:paraId="69CD536A" w14:textId="77777777" w:rsidR="009D6FA9" w:rsidRPr="009D6FA9" w:rsidDel="00CD105E"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top w:val="single" w:sz="12" w:space="0" w:color="auto"/>
              <w:left w:val="nil"/>
              <w:right w:val="nil"/>
            </w:tcBorders>
            <w:vAlign w:val="bottom"/>
          </w:tcPr>
          <w:p w14:paraId="4F540EF8" w14:textId="77777777" w:rsidR="009D6FA9" w:rsidRPr="009D6FA9" w:rsidDel="008324A4"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251" w:type="pct"/>
            <w:tcBorders>
              <w:top w:val="single" w:sz="12" w:space="0" w:color="auto"/>
              <w:left w:val="nil"/>
              <w:right w:val="nil"/>
            </w:tcBorders>
            <w:vAlign w:val="bottom"/>
          </w:tcPr>
          <w:p w14:paraId="66CF0D3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r>
      <w:tr w:rsidR="009D6FA9" w:rsidRPr="009D6FA9" w14:paraId="2C822654" w14:textId="77777777" w:rsidTr="009D6FA9">
        <w:trPr>
          <w:cantSplit/>
        </w:trPr>
        <w:tc>
          <w:tcPr>
            <w:tcW w:w="2923" w:type="pct"/>
            <w:tcBorders>
              <w:left w:val="nil"/>
              <w:bottom w:val="nil"/>
              <w:right w:val="nil"/>
            </w:tcBorders>
            <w:vAlign w:val="bottom"/>
          </w:tcPr>
          <w:p w14:paraId="3E240B1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i/>
                <w:spacing w:val="-2"/>
                <w:sz w:val="18"/>
                <w:szCs w:val="18"/>
                <w:lang w:eastAsia="ru-RU"/>
              </w:rPr>
              <w:t>Equity</w:t>
            </w:r>
          </w:p>
        </w:tc>
        <w:tc>
          <w:tcPr>
            <w:tcW w:w="825" w:type="pct"/>
            <w:tcBorders>
              <w:left w:val="nil"/>
              <w:bottom w:val="nil"/>
              <w:right w:val="nil"/>
            </w:tcBorders>
            <w:vAlign w:val="bottom"/>
          </w:tcPr>
          <w:p w14:paraId="19689F1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p>
        </w:tc>
        <w:tc>
          <w:tcPr>
            <w:tcW w:w="1251" w:type="pct"/>
            <w:tcBorders>
              <w:left w:val="nil"/>
              <w:bottom w:val="nil"/>
              <w:right w:val="nil"/>
            </w:tcBorders>
            <w:vAlign w:val="bottom"/>
          </w:tcPr>
          <w:p w14:paraId="5DAC0D2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p>
        </w:tc>
      </w:tr>
      <w:tr w:rsidR="009D6FA9" w:rsidRPr="009D6FA9" w14:paraId="5FC2DFF5" w14:textId="77777777" w:rsidTr="009D6FA9">
        <w:trPr>
          <w:cantSplit/>
        </w:trPr>
        <w:tc>
          <w:tcPr>
            <w:tcW w:w="2923" w:type="pct"/>
            <w:tcBorders>
              <w:top w:val="nil"/>
              <w:left w:val="nil"/>
              <w:bottom w:val="nil"/>
              <w:right w:val="nil"/>
            </w:tcBorders>
            <w:vAlign w:val="bottom"/>
          </w:tcPr>
          <w:p w14:paraId="18053A1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spacing w:val="-2"/>
                <w:sz w:val="18"/>
                <w:szCs w:val="18"/>
                <w:lang w:eastAsia="ru-RU"/>
              </w:rPr>
              <w:t>Share capital</w:t>
            </w:r>
          </w:p>
        </w:tc>
        <w:tc>
          <w:tcPr>
            <w:tcW w:w="825" w:type="pct"/>
            <w:tcBorders>
              <w:top w:val="nil"/>
              <w:left w:val="nil"/>
              <w:bottom w:val="nil"/>
              <w:right w:val="nil"/>
            </w:tcBorders>
            <w:vAlign w:val="bottom"/>
          </w:tcPr>
          <w:p w14:paraId="50331D8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372</w:t>
            </w:r>
          </w:p>
        </w:tc>
        <w:tc>
          <w:tcPr>
            <w:tcW w:w="1251" w:type="pct"/>
            <w:tcBorders>
              <w:top w:val="nil"/>
              <w:left w:val="nil"/>
              <w:bottom w:val="nil"/>
              <w:right w:val="nil"/>
            </w:tcBorders>
            <w:vAlign w:val="bottom"/>
          </w:tcPr>
          <w:p w14:paraId="5401AFD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r w:rsidRPr="009D6FA9">
              <w:rPr>
                <w:rFonts w:ascii="Arial" w:eastAsia="Times New Roman" w:hAnsi="Arial" w:cs="Arial"/>
                <w:spacing w:val="-2"/>
                <w:sz w:val="18"/>
                <w:szCs w:val="20"/>
                <w:lang w:val="en-US" w:eastAsia="ru-RU"/>
              </w:rPr>
              <w:t>372</w:t>
            </w:r>
          </w:p>
        </w:tc>
      </w:tr>
      <w:tr w:rsidR="009D6FA9" w:rsidRPr="009D6FA9" w14:paraId="3EEC4829" w14:textId="77777777" w:rsidTr="009D6FA9">
        <w:trPr>
          <w:cantSplit/>
        </w:trPr>
        <w:tc>
          <w:tcPr>
            <w:tcW w:w="2923" w:type="pct"/>
            <w:tcBorders>
              <w:top w:val="nil"/>
              <w:left w:val="nil"/>
              <w:bottom w:val="nil"/>
              <w:right w:val="nil"/>
            </w:tcBorders>
            <w:vAlign w:val="bottom"/>
          </w:tcPr>
          <w:p w14:paraId="52169D9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Share premium</w:t>
            </w:r>
          </w:p>
        </w:tc>
        <w:tc>
          <w:tcPr>
            <w:tcW w:w="825" w:type="pct"/>
            <w:tcBorders>
              <w:top w:val="nil"/>
              <w:left w:val="nil"/>
              <w:bottom w:val="nil"/>
              <w:right w:val="nil"/>
            </w:tcBorders>
            <w:vAlign w:val="bottom"/>
          </w:tcPr>
          <w:p w14:paraId="7A9EDF4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7,494</w:t>
            </w:r>
          </w:p>
        </w:tc>
        <w:tc>
          <w:tcPr>
            <w:tcW w:w="1251" w:type="pct"/>
            <w:tcBorders>
              <w:top w:val="nil"/>
              <w:left w:val="nil"/>
              <w:bottom w:val="nil"/>
              <w:right w:val="nil"/>
            </w:tcBorders>
            <w:vAlign w:val="bottom"/>
          </w:tcPr>
          <w:p w14:paraId="3BE7992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r w:rsidRPr="009D6FA9">
              <w:rPr>
                <w:rFonts w:ascii="Arial" w:eastAsia="Times New Roman" w:hAnsi="Arial" w:cs="Arial"/>
                <w:spacing w:val="-2"/>
                <w:sz w:val="18"/>
                <w:szCs w:val="20"/>
                <w:lang w:val="en-US" w:eastAsia="ru-RU"/>
              </w:rPr>
              <w:t>7,494</w:t>
            </w:r>
          </w:p>
        </w:tc>
      </w:tr>
      <w:tr w:rsidR="009D6FA9" w:rsidRPr="009D6FA9" w14:paraId="459F20C3" w14:textId="77777777" w:rsidTr="009D6FA9">
        <w:trPr>
          <w:cantSplit/>
        </w:trPr>
        <w:tc>
          <w:tcPr>
            <w:tcW w:w="2923" w:type="pct"/>
            <w:tcBorders>
              <w:top w:val="nil"/>
              <w:left w:val="nil"/>
              <w:bottom w:val="nil"/>
              <w:right w:val="nil"/>
            </w:tcBorders>
            <w:vAlign w:val="bottom"/>
          </w:tcPr>
          <w:p w14:paraId="09992D8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Retained earnings</w:t>
            </w:r>
          </w:p>
        </w:tc>
        <w:tc>
          <w:tcPr>
            <w:tcW w:w="825" w:type="pct"/>
            <w:tcBorders>
              <w:top w:val="nil"/>
              <w:left w:val="nil"/>
              <w:bottom w:val="nil"/>
              <w:right w:val="nil"/>
            </w:tcBorders>
            <w:vAlign w:val="bottom"/>
          </w:tcPr>
          <w:p w14:paraId="35F8668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ru-RU" w:eastAsia="ru-RU"/>
              </w:rPr>
            </w:pPr>
            <w:r w:rsidRPr="009D6FA9">
              <w:rPr>
                <w:rFonts w:ascii="Arial" w:eastAsia="Times New Roman" w:hAnsi="Arial" w:cs="Arial"/>
                <w:spacing w:val="-2"/>
                <w:sz w:val="18"/>
                <w:szCs w:val="20"/>
                <w:lang w:val="en-US" w:eastAsia="ru-RU"/>
              </w:rPr>
              <w:t>154,275</w:t>
            </w:r>
          </w:p>
        </w:tc>
        <w:tc>
          <w:tcPr>
            <w:tcW w:w="1251" w:type="pct"/>
            <w:tcBorders>
              <w:top w:val="nil"/>
              <w:left w:val="nil"/>
              <w:bottom w:val="nil"/>
              <w:right w:val="nil"/>
            </w:tcBorders>
            <w:vAlign w:val="bottom"/>
          </w:tcPr>
          <w:p w14:paraId="15825FB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144,658</w:t>
            </w:r>
          </w:p>
        </w:tc>
      </w:tr>
      <w:tr w:rsidR="009D6FA9" w:rsidRPr="009D6FA9" w14:paraId="1F1B8DBD" w14:textId="77777777" w:rsidTr="009D6FA9">
        <w:trPr>
          <w:cantSplit/>
        </w:trPr>
        <w:tc>
          <w:tcPr>
            <w:tcW w:w="2923" w:type="pct"/>
            <w:tcBorders>
              <w:top w:val="nil"/>
              <w:left w:val="nil"/>
              <w:bottom w:val="nil"/>
              <w:right w:val="nil"/>
            </w:tcBorders>
            <w:vAlign w:val="bottom"/>
          </w:tcPr>
          <w:p w14:paraId="04B8A98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val="en-US" w:eastAsia="en-US"/>
              </w:rPr>
              <w:t>Actuarial losses</w:t>
            </w:r>
          </w:p>
        </w:tc>
        <w:tc>
          <w:tcPr>
            <w:tcW w:w="825" w:type="pct"/>
            <w:tcBorders>
              <w:top w:val="nil"/>
              <w:left w:val="nil"/>
              <w:bottom w:val="nil"/>
              <w:right w:val="nil"/>
            </w:tcBorders>
            <w:vAlign w:val="bottom"/>
          </w:tcPr>
          <w:p w14:paraId="0F06D6D5"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(1,003)</w:t>
            </w:r>
          </w:p>
        </w:tc>
        <w:tc>
          <w:tcPr>
            <w:tcW w:w="1251" w:type="pct"/>
            <w:tcBorders>
              <w:top w:val="nil"/>
              <w:left w:val="nil"/>
              <w:bottom w:val="nil"/>
              <w:right w:val="nil"/>
            </w:tcBorders>
            <w:vAlign w:val="bottom"/>
          </w:tcPr>
          <w:p w14:paraId="146C7044"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(1,003)</w:t>
            </w:r>
          </w:p>
        </w:tc>
      </w:tr>
      <w:tr w:rsidR="009D6FA9" w:rsidRPr="009D6FA9" w14:paraId="6BE5DB86" w14:textId="77777777" w:rsidTr="009D6FA9">
        <w:trPr>
          <w:cantSplit/>
        </w:trPr>
        <w:tc>
          <w:tcPr>
            <w:tcW w:w="2923" w:type="pct"/>
            <w:tcBorders>
              <w:top w:val="nil"/>
              <w:left w:val="nil"/>
              <w:bottom w:val="single" w:sz="4" w:space="0" w:color="auto"/>
              <w:right w:val="nil"/>
            </w:tcBorders>
            <w:vAlign w:val="bottom"/>
          </w:tcPr>
          <w:p w14:paraId="7F19458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val="en-US" w:eastAsia="en-US"/>
              </w:rPr>
            </w:pPr>
            <w:r w:rsidRPr="009D6FA9">
              <w:rPr>
                <w:rFonts w:ascii="Arial" w:eastAsia="Times New Roman" w:hAnsi="Arial" w:cs="Arial"/>
                <w:spacing w:val="-2"/>
                <w:sz w:val="10"/>
                <w:szCs w:val="10"/>
                <w:lang w:val="en-US" w:eastAsia="en-US"/>
              </w:rPr>
              <w:t> </w:t>
            </w:r>
          </w:p>
        </w:tc>
        <w:tc>
          <w:tcPr>
            <w:tcW w:w="825" w:type="pct"/>
            <w:tcBorders>
              <w:top w:val="nil"/>
              <w:left w:val="nil"/>
              <w:bottom w:val="single" w:sz="4" w:space="0" w:color="auto"/>
              <w:right w:val="nil"/>
            </w:tcBorders>
            <w:vAlign w:val="bottom"/>
          </w:tcPr>
          <w:p w14:paraId="2BC21F2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top w:val="nil"/>
              <w:left w:val="nil"/>
              <w:bottom w:val="single" w:sz="4" w:space="0" w:color="auto"/>
              <w:right w:val="nil"/>
            </w:tcBorders>
            <w:vAlign w:val="bottom"/>
          </w:tcPr>
          <w:p w14:paraId="5131506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3800EC24" w14:textId="77777777" w:rsidTr="009D6FA9">
        <w:trPr>
          <w:cantSplit/>
        </w:trPr>
        <w:tc>
          <w:tcPr>
            <w:tcW w:w="2923" w:type="pct"/>
            <w:tcBorders>
              <w:top w:val="single" w:sz="4" w:space="0" w:color="auto"/>
              <w:left w:val="nil"/>
              <w:bottom w:val="nil"/>
              <w:right w:val="nil"/>
            </w:tcBorders>
            <w:vAlign w:val="bottom"/>
          </w:tcPr>
          <w:p w14:paraId="6C23A3A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val="en-US" w:eastAsia="en-US"/>
              </w:rPr>
            </w:pPr>
            <w:r w:rsidRPr="009D6FA9">
              <w:rPr>
                <w:rFonts w:ascii="Arial" w:eastAsia="Times New Roman" w:hAnsi="Arial" w:cs="Arial"/>
                <w:spacing w:val="-2"/>
                <w:sz w:val="10"/>
                <w:szCs w:val="10"/>
                <w:lang w:val="en-US" w:eastAsia="en-US"/>
              </w:rPr>
              <w:t> </w:t>
            </w:r>
          </w:p>
        </w:tc>
        <w:tc>
          <w:tcPr>
            <w:tcW w:w="825" w:type="pct"/>
            <w:tcBorders>
              <w:top w:val="single" w:sz="4" w:space="0" w:color="auto"/>
              <w:left w:val="nil"/>
              <w:right w:val="nil"/>
            </w:tcBorders>
            <w:vAlign w:val="bottom"/>
          </w:tcPr>
          <w:p w14:paraId="7298D5B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top w:val="single" w:sz="4" w:space="0" w:color="auto"/>
              <w:left w:val="nil"/>
              <w:right w:val="nil"/>
            </w:tcBorders>
            <w:vAlign w:val="bottom"/>
          </w:tcPr>
          <w:p w14:paraId="6C4BEE4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61F32EB4" w14:textId="77777777" w:rsidTr="009D6FA9">
        <w:trPr>
          <w:cantSplit/>
        </w:trPr>
        <w:tc>
          <w:tcPr>
            <w:tcW w:w="2923" w:type="pct"/>
            <w:tcBorders>
              <w:top w:val="nil"/>
              <w:left w:val="nil"/>
              <w:bottom w:val="nil"/>
              <w:right w:val="nil"/>
            </w:tcBorders>
            <w:vAlign w:val="bottom"/>
          </w:tcPr>
          <w:p w14:paraId="166FEC8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Equity attributable to shareholders of the Company</w:t>
            </w:r>
          </w:p>
        </w:tc>
        <w:tc>
          <w:tcPr>
            <w:tcW w:w="825" w:type="pct"/>
            <w:tcBorders>
              <w:left w:val="nil"/>
              <w:right w:val="nil"/>
            </w:tcBorders>
            <w:vAlign w:val="bottom"/>
          </w:tcPr>
          <w:p w14:paraId="3785A36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ru-RU" w:eastAsia="ru-RU"/>
              </w:rPr>
            </w:pPr>
            <w:r w:rsidRPr="009D6FA9">
              <w:rPr>
                <w:rFonts w:ascii="Arial" w:eastAsia="Times New Roman" w:hAnsi="Arial" w:cs="Arial"/>
                <w:b/>
                <w:spacing w:val="-2"/>
                <w:sz w:val="18"/>
                <w:szCs w:val="20"/>
                <w:lang w:val="en-US" w:eastAsia="ru-RU"/>
              </w:rPr>
              <w:t>161,138</w:t>
            </w:r>
          </w:p>
        </w:tc>
        <w:tc>
          <w:tcPr>
            <w:tcW w:w="1251" w:type="pct"/>
            <w:tcBorders>
              <w:left w:val="nil"/>
              <w:right w:val="nil"/>
            </w:tcBorders>
            <w:vAlign w:val="bottom"/>
          </w:tcPr>
          <w:p w14:paraId="1CD9934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eastAsia="ru-RU"/>
              </w:rPr>
            </w:pPr>
            <w:r w:rsidRPr="009D6FA9">
              <w:rPr>
                <w:rFonts w:ascii="Arial" w:eastAsia="Times New Roman" w:hAnsi="Arial" w:cs="Arial"/>
                <w:b/>
                <w:spacing w:val="-2"/>
                <w:sz w:val="18"/>
                <w:szCs w:val="20"/>
                <w:lang w:val="en-US" w:eastAsia="ru-RU"/>
              </w:rPr>
              <w:t>151,521</w:t>
            </w:r>
          </w:p>
        </w:tc>
      </w:tr>
      <w:tr w:rsidR="009D6FA9" w:rsidRPr="009D6FA9" w14:paraId="06470626" w14:textId="77777777" w:rsidTr="009D6FA9">
        <w:trPr>
          <w:cantSplit/>
        </w:trPr>
        <w:tc>
          <w:tcPr>
            <w:tcW w:w="2923" w:type="pct"/>
            <w:tcBorders>
              <w:top w:val="nil"/>
              <w:left w:val="nil"/>
              <w:right w:val="nil"/>
            </w:tcBorders>
            <w:vAlign w:val="bottom"/>
          </w:tcPr>
          <w:p w14:paraId="4953A68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Equity attributable to non-controlling interests</w:t>
            </w:r>
          </w:p>
        </w:tc>
        <w:tc>
          <w:tcPr>
            <w:tcW w:w="825" w:type="pct"/>
            <w:tcBorders>
              <w:left w:val="nil"/>
              <w:right w:val="nil"/>
            </w:tcBorders>
            <w:vAlign w:val="bottom"/>
          </w:tcPr>
          <w:p w14:paraId="0C4C967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ru-RU" w:eastAsia="ru-RU"/>
              </w:rPr>
            </w:pPr>
            <w:r w:rsidRPr="009D6FA9">
              <w:rPr>
                <w:rFonts w:ascii="Arial" w:eastAsia="Times New Roman" w:hAnsi="Arial" w:cs="Arial"/>
                <w:spacing w:val="-2"/>
                <w:sz w:val="18"/>
                <w:szCs w:val="20"/>
                <w:lang w:val="en-US" w:eastAsia="ru-RU"/>
              </w:rPr>
              <w:t>116</w:t>
            </w:r>
          </w:p>
        </w:tc>
        <w:tc>
          <w:tcPr>
            <w:tcW w:w="1251" w:type="pct"/>
            <w:tcBorders>
              <w:left w:val="nil"/>
              <w:right w:val="nil"/>
            </w:tcBorders>
            <w:vAlign w:val="bottom"/>
          </w:tcPr>
          <w:p w14:paraId="7134810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val="en-US" w:eastAsia="ru-RU"/>
              </w:rPr>
            </w:pPr>
            <w:r w:rsidRPr="009D6FA9">
              <w:rPr>
                <w:rFonts w:ascii="Arial" w:eastAsia="Times New Roman" w:hAnsi="Arial" w:cs="Arial"/>
                <w:spacing w:val="-2"/>
                <w:sz w:val="18"/>
                <w:szCs w:val="20"/>
                <w:lang w:val="en-US" w:eastAsia="ru-RU"/>
              </w:rPr>
              <w:t>84</w:t>
            </w:r>
          </w:p>
        </w:tc>
      </w:tr>
      <w:tr w:rsidR="009D6FA9" w:rsidRPr="009D6FA9" w14:paraId="38B03A5B" w14:textId="77777777" w:rsidTr="009D6FA9">
        <w:trPr>
          <w:cantSplit/>
        </w:trPr>
        <w:tc>
          <w:tcPr>
            <w:tcW w:w="2923" w:type="pct"/>
            <w:tcBorders>
              <w:top w:val="nil"/>
              <w:left w:val="nil"/>
              <w:bottom w:val="single" w:sz="4" w:space="0" w:color="auto"/>
              <w:right w:val="nil"/>
            </w:tcBorders>
            <w:vAlign w:val="bottom"/>
          </w:tcPr>
          <w:p w14:paraId="6DC3853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left w:val="nil"/>
              <w:bottom w:val="single" w:sz="4" w:space="0" w:color="auto"/>
              <w:right w:val="nil"/>
            </w:tcBorders>
            <w:vAlign w:val="bottom"/>
          </w:tcPr>
          <w:p w14:paraId="3721951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left w:val="nil"/>
              <w:bottom w:val="single" w:sz="4" w:space="0" w:color="auto"/>
              <w:right w:val="nil"/>
            </w:tcBorders>
            <w:vAlign w:val="bottom"/>
          </w:tcPr>
          <w:p w14:paraId="1E6235A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3DFB2BFD" w14:textId="77777777" w:rsidTr="009D6FA9">
        <w:trPr>
          <w:cantSplit/>
        </w:trPr>
        <w:tc>
          <w:tcPr>
            <w:tcW w:w="2923" w:type="pct"/>
            <w:tcBorders>
              <w:top w:val="single" w:sz="4" w:space="0" w:color="auto"/>
              <w:left w:val="nil"/>
              <w:right w:val="nil"/>
            </w:tcBorders>
            <w:vAlign w:val="bottom"/>
          </w:tcPr>
          <w:p w14:paraId="5BBB78D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4B53F19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top w:val="single" w:sz="4" w:space="0" w:color="auto"/>
              <w:left w:val="nil"/>
              <w:right w:val="nil"/>
            </w:tcBorders>
            <w:vAlign w:val="bottom"/>
          </w:tcPr>
          <w:p w14:paraId="6E689A7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3421AE94" w14:textId="77777777" w:rsidTr="009D6FA9">
        <w:trPr>
          <w:cantSplit/>
        </w:trPr>
        <w:tc>
          <w:tcPr>
            <w:tcW w:w="2923" w:type="pct"/>
            <w:tcBorders>
              <w:left w:val="nil"/>
              <w:right w:val="nil"/>
            </w:tcBorders>
            <w:vAlign w:val="bottom"/>
          </w:tcPr>
          <w:p w14:paraId="67D3518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spacing w:val="-2"/>
                <w:sz w:val="18"/>
                <w:szCs w:val="18"/>
                <w:lang w:eastAsia="ru-RU"/>
              </w:rPr>
              <w:t>Total equity</w:t>
            </w:r>
          </w:p>
        </w:tc>
        <w:tc>
          <w:tcPr>
            <w:tcW w:w="825" w:type="pct"/>
            <w:tcBorders>
              <w:left w:val="nil"/>
              <w:right w:val="nil"/>
            </w:tcBorders>
            <w:vAlign w:val="bottom"/>
          </w:tcPr>
          <w:p w14:paraId="44B1B2C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161,254</w:t>
            </w:r>
          </w:p>
        </w:tc>
        <w:tc>
          <w:tcPr>
            <w:tcW w:w="1251" w:type="pct"/>
            <w:tcBorders>
              <w:left w:val="nil"/>
              <w:right w:val="nil"/>
            </w:tcBorders>
            <w:vAlign w:val="bottom"/>
          </w:tcPr>
          <w:p w14:paraId="70241AB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b/>
                <w:spacing w:val="-2"/>
                <w:sz w:val="18"/>
                <w:szCs w:val="20"/>
                <w:lang w:val="en-US" w:eastAsia="ru-RU"/>
              </w:rPr>
              <w:t>151,605</w:t>
            </w:r>
          </w:p>
        </w:tc>
      </w:tr>
      <w:tr w:rsidR="009D6FA9" w:rsidRPr="009D6FA9" w14:paraId="405EAE73" w14:textId="77777777" w:rsidTr="009D6FA9">
        <w:trPr>
          <w:cantSplit/>
        </w:trPr>
        <w:tc>
          <w:tcPr>
            <w:tcW w:w="2923" w:type="pct"/>
            <w:tcBorders>
              <w:left w:val="nil"/>
              <w:bottom w:val="single" w:sz="4" w:space="0" w:color="auto"/>
              <w:right w:val="nil"/>
            </w:tcBorders>
            <w:vAlign w:val="bottom"/>
          </w:tcPr>
          <w:p w14:paraId="0B33445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4" w:space="0" w:color="auto"/>
              <w:right w:val="nil"/>
            </w:tcBorders>
            <w:vAlign w:val="bottom"/>
          </w:tcPr>
          <w:p w14:paraId="37F194B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left w:val="nil"/>
              <w:bottom w:val="single" w:sz="4" w:space="0" w:color="auto"/>
              <w:right w:val="nil"/>
            </w:tcBorders>
            <w:vAlign w:val="bottom"/>
          </w:tcPr>
          <w:p w14:paraId="49E3B9E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9D6FA9" w:rsidRPr="009D6FA9" w14:paraId="0AE65426" w14:textId="77777777" w:rsidTr="009D6FA9">
        <w:trPr>
          <w:cantSplit/>
        </w:trPr>
        <w:tc>
          <w:tcPr>
            <w:tcW w:w="2923" w:type="pct"/>
            <w:tcBorders>
              <w:top w:val="single" w:sz="4" w:space="0" w:color="auto"/>
              <w:left w:val="nil"/>
              <w:bottom w:val="nil"/>
              <w:right w:val="nil"/>
            </w:tcBorders>
            <w:vAlign w:val="bottom"/>
          </w:tcPr>
          <w:p w14:paraId="0B57571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top w:val="single" w:sz="4" w:space="0" w:color="auto"/>
              <w:left w:val="nil"/>
              <w:right w:val="nil"/>
            </w:tcBorders>
            <w:vAlign w:val="bottom"/>
          </w:tcPr>
          <w:p w14:paraId="1929DB3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top w:val="single" w:sz="4" w:space="0" w:color="auto"/>
              <w:left w:val="nil"/>
              <w:right w:val="nil"/>
            </w:tcBorders>
            <w:vAlign w:val="bottom"/>
          </w:tcPr>
          <w:p w14:paraId="75CB14B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1F4E256F" w14:textId="77777777" w:rsidTr="009D6FA9">
        <w:trPr>
          <w:cantSplit/>
        </w:trPr>
        <w:tc>
          <w:tcPr>
            <w:tcW w:w="2923" w:type="pct"/>
            <w:tcBorders>
              <w:top w:val="nil"/>
              <w:left w:val="nil"/>
              <w:bottom w:val="nil"/>
              <w:right w:val="nil"/>
            </w:tcBorders>
            <w:vAlign w:val="bottom"/>
          </w:tcPr>
          <w:p w14:paraId="4136FAF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i/>
                <w:spacing w:val="-2"/>
                <w:sz w:val="18"/>
                <w:szCs w:val="18"/>
                <w:lang w:eastAsia="ru-RU"/>
              </w:rPr>
              <w:t>Liabilities</w:t>
            </w:r>
          </w:p>
        </w:tc>
        <w:tc>
          <w:tcPr>
            <w:tcW w:w="825" w:type="pct"/>
            <w:tcBorders>
              <w:left w:val="nil"/>
              <w:bottom w:val="nil"/>
              <w:right w:val="nil"/>
            </w:tcBorders>
            <w:vAlign w:val="bottom"/>
          </w:tcPr>
          <w:p w14:paraId="31CD7C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251" w:type="pct"/>
            <w:tcBorders>
              <w:left w:val="nil"/>
              <w:bottom w:val="nil"/>
              <w:right w:val="nil"/>
            </w:tcBorders>
            <w:vAlign w:val="bottom"/>
          </w:tcPr>
          <w:p w14:paraId="3331F9E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9D6FA9" w:rsidRPr="009D6FA9" w14:paraId="2E3E3D2F" w14:textId="77777777" w:rsidTr="009D6FA9">
        <w:trPr>
          <w:cantSplit/>
        </w:trPr>
        <w:tc>
          <w:tcPr>
            <w:tcW w:w="2923" w:type="pct"/>
            <w:tcBorders>
              <w:top w:val="nil"/>
              <w:left w:val="nil"/>
              <w:bottom w:val="nil"/>
              <w:right w:val="nil"/>
            </w:tcBorders>
            <w:vAlign w:val="bottom"/>
          </w:tcPr>
          <w:p w14:paraId="13FEE47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Loans and borrowings</w:t>
            </w:r>
          </w:p>
        </w:tc>
        <w:tc>
          <w:tcPr>
            <w:tcW w:w="825" w:type="pct"/>
            <w:tcBorders>
              <w:top w:val="nil"/>
              <w:left w:val="nil"/>
              <w:bottom w:val="nil"/>
              <w:right w:val="nil"/>
            </w:tcBorders>
            <w:vAlign w:val="bottom"/>
          </w:tcPr>
          <w:p w14:paraId="0A82C98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184,897</w:t>
            </w:r>
          </w:p>
        </w:tc>
        <w:tc>
          <w:tcPr>
            <w:tcW w:w="1251" w:type="pct"/>
            <w:tcBorders>
              <w:top w:val="nil"/>
              <w:left w:val="nil"/>
              <w:bottom w:val="nil"/>
              <w:right w:val="nil"/>
            </w:tcBorders>
            <w:vAlign w:val="bottom"/>
          </w:tcPr>
          <w:p w14:paraId="567A55E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161,710</w:t>
            </w:r>
          </w:p>
        </w:tc>
      </w:tr>
      <w:tr w:rsidR="009D6FA9" w:rsidRPr="009D6FA9" w14:paraId="791E6B1C" w14:textId="77777777" w:rsidTr="009D6FA9">
        <w:trPr>
          <w:cantSplit/>
        </w:trPr>
        <w:tc>
          <w:tcPr>
            <w:tcW w:w="2923" w:type="pct"/>
            <w:tcBorders>
              <w:top w:val="nil"/>
              <w:left w:val="nil"/>
              <w:right w:val="nil"/>
            </w:tcBorders>
            <w:vAlign w:val="bottom"/>
          </w:tcPr>
          <w:p w14:paraId="24BE0BB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spacing w:val="-2"/>
                <w:sz w:val="18"/>
                <w:szCs w:val="18"/>
                <w:lang w:eastAsia="ru-RU"/>
              </w:rPr>
              <w:t>Deferred tax liabilities</w:t>
            </w:r>
          </w:p>
        </w:tc>
        <w:tc>
          <w:tcPr>
            <w:tcW w:w="825" w:type="pct"/>
            <w:tcBorders>
              <w:left w:val="nil"/>
              <w:right w:val="nil"/>
            </w:tcBorders>
            <w:vAlign w:val="bottom"/>
          </w:tcPr>
          <w:p w14:paraId="74EF3CC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13,988</w:t>
            </w:r>
          </w:p>
        </w:tc>
        <w:tc>
          <w:tcPr>
            <w:tcW w:w="1251" w:type="pct"/>
            <w:tcBorders>
              <w:left w:val="nil"/>
              <w:right w:val="nil"/>
            </w:tcBorders>
            <w:vAlign w:val="bottom"/>
          </w:tcPr>
          <w:p w14:paraId="18FB3B4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en-US" w:eastAsia="ru-RU"/>
              </w:rPr>
            </w:pPr>
            <w:r w:rsidRPr="009D6FA9">
              <w:rPr>
                <w:rFonts w:ascii="Arial" w:eastAsia="Times New Roman" w:hAnsi="Arial" w:cs="Arial"/>
                <w:spacing w:val="-2"/>
                <w:sz w:val="18"/>
                <w:szCs w:val="20"/>
                <w:lang w:val="en-US" w:eastAsia="ru-RU"/>
              </w:rPr>
              <w:t>13,603</w:t>
            </w:r>
          </w:p>
        </w:tc>
      </w:tr>
      <w:tr w:rsidR="009D6FA9" w:rsidRPr="009D6FA9" w14:paraId="58D4C988" w14:textId="77777777" w:rsidTr="009D6FA9">
        <w:trPr>
          <w:cantSplit/>
        </w:trPr>
        <w:tc>
          <w:tcPr>
            <w:tcW w:w="2923" w:type="pct"/>
            <w:tcBorders>
              <w:top w:val="nil"/>
              <w:left w:val="nil"/>
              <w:bottom w:val="nil"/>
              <w:right w:val="nil"/>
            </w:tcBorders>
            <w:vAlign w:val="bottom"/>
          </w:tcPr>
          <w:p w14:paraId="1EFFFA3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Lease liabilities</w:t>
            </w:r>
          </w:p>
        </w:tc>
        <w:tc>
          <w:tcPr>
            <w:tcW w:w="825" w:type="pct"/>
            <w:tcBorders>
              <w:top w:val="nil"/>
              <w:left w:val="nil"/>
              <w:right w:val="nil"/>
            </w:tcBorders>
            <w:vAlign w:val="bottom"/>
          </w:tcPr>
          <w:p w14:paraId="755E00C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2,536</w:t>
            </w:r>
          </w:p>
        </w:tc>
        <w:tc>
          <w:tcPr>
            <w:tcW w:w="1251" w:type="pct"/>
            <w:tcBorders>
              <w:top w:val="nil"/>
              <w:left w:val="nil"/>
              <w:right w:val="nil"/>
            </w:tcBorders>
            <w:vAlign w:val="bottom"/>
          </w:tcPr>
          <w:p w14:paraId="325097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2,818</w:t>
            </w:r>
          </w:p>
        </w:tc>
      </w:tr>
      <w:tr w:rsidR="009D6FA9" w:rsidRPr="009D6FA9" w14:paraId="21B07A0B" w14:textId="77777777" w:rsidTr="009D6FA9">
        <w:trPr>
          <w:cantSplit/>
        </w:trPr>
        <w:tc>
          <w:tcPr>
            <w:tcW w:w="2923" w:type="pct"/>
            <w:tcBorders>
              <w:top w:val="nil"/>
              <w:left w:val="nil"/>
              <w:bottom w:val="nil"/>
              <w:right w:val="nil"/>
            </w:tcBorders>
            <w:vAlign w:val="bottom"/>
          </w:tcPr>
          <w:p w14:paraId="7644576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Defined benefit obligations</w:t>
            </w:r>
          </w:p>
        </w:tc>
        <w:tc>
          <w:tcPr>
            <w:tcW w:w="825" w:type="pct"/>
            <w:tcBorders>
              <w:top w:val="nil"/>
              <w:left w:val="nil"/>
              <w:right w:val="nil"/>
            </w:tcBorders>
            <w:vAlign w:val="bottom"/>
          </w:tcPr>
          <w:p w14:paraId="59D851A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1,158</w:t>
            </w:r>
          </w:p>
        </w:tc>
        <w:tc>
          <w:tcPr>
            <w:tcW w:w="1251" w:type="pct"/>
            <w:tcBorders>
              <w:top w:val="nil"/>
              <w:left w:val="nil"/>
              <w:right w:val="nil"/>
            </w:tcBorders>
            <w:vAlign w:val="bottom"/>
          </w:tcPr>
          <w:p w14:paraId="5AC0635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r w:rsidRPr="009D6FA9">
              <w:rPr>
                <w:rFonts w:ascii="Arial" w:eastAsia="Times New Roman" w:hAnsi="Arial" w:cs="Arial"/>
                <w:spacing w:val="-2"/>
                <w:sz w:val="18"/>
                <w:szCs w:val="20"/>
                <w:lang w:val="en-US" w:eastAsia="ru-RU"/>
              </w:rPr>
              <w:t>1,129</w:t>
            </w:r>
          </w:p>
        </w:tc>
      </w:tr>
      <w:tr w:rsidR="009D6FA9" w:rsidRPr="009D6FA9" w14:paraId="7FE99742" w14:textId="77777777" w:rsidTr="009D6FA9">
        <w:trPr>
          <w:cantSplit/>
        </w:trPr>
        <w:tc>
          <w:tcPr>
            <w:tcW w:w="2923" w:type="pct"/>
            <w:tcBorders>
              <w:top w:val="nil"/>
              <w:left w:val="nil"/>
              <w:bottom w:val="single" w:sz="4" w:space="0" w:color="auto"/>
              <w:right w:val="nil"/>
            </w:tcBorders>
            <w:vAlign w:val="bottom"/>
          </w:tcPr>
          <w:p w14:paraId="0A46C5A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left w:val="nil"/>
              <w:bottom w:val="single" w:sz="4" w:space="0" w:color="auto"/>
              <w:right w:val="nil"/>
            </w:tcBorders>
            <w:vAlign w:val="bottom"/>
          </w:tcPr>
          <w:p w14:paraId="362EDFB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left w:val="nil"/>
              <w:bottom w:val="single" w:sz="4" w:space="0" w:color="auto"/>
              <w:right w:val="nil"/>
            </w:tcBorders>
            <w:vAlign w:val="bottom"/>
          </w:tcPr>
          <w:p w14:paraId="3F4973B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7854F8F3" w14:textId="77777777" w:rsidTr="009D6FA9">
        <w:trPr>
          <w:cantSplit/>
        </w:trPr>
        <w:tc>
          <w:tcPr>
            <w:tcW w:w="2923" w:type="pct"/>
            <w:tcBorders>
              <w:top w:val="single" w:sz="4" w:space="0" w:color="auto"/>
              <w:left w:val="nil"/>
              <w:right w:val="nil"/>
            </w:tcBorders>
            <w:vAlign w:val="bottom"/>
          </w:tcPr>
          <w:p w14:paraId="3F5CC65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7288335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single" w:sz="4" w:space="0" w:color="auto"/>
              <w:left w:val="nil"/>
              <w:right w:val="nil"/>
            </w:tcBorders>
            <w:vAlign w:val="bottom"/>
          </w:tcPr>
          <w:p w14:paraId="6E2764D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52C865F1" w14:textId="77777777" w:rsidTr="009D6FA9">
        <w:trPr>
          <w:cantSplit/>
        </w:trPr>
        <w:tc>
          <w:tcPr>
            <w:tcW w:w="2923" w:type="pct"/>
            <w:tcBorders>
              <w:left w:val="nil"/>
              <w:right w:val="nil"/>
            </w:tcBorders>
            <w:vAlign w:val="bottom"/>
          </w:tcPr>
          <w:p w14:paraId="6EDF88E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b/>
                <w:spacing w:val="-2"/>
                <w:sz w:val="18"/>
                <w:szCs w:val="18"/>
                <w:lang w:eastAsia="ru-RU"/>
              </w:rPr>
              <w:t>Non-current liabilities</w:t>
            </w:r>
          </w:p>
        </w:tc>
        <w:tc>
          <w:tcPr>
            <w:tcW w:w="825" w:type="pct"/>
            <w:tcBorders>
              <w:left w:val="nil"/>
              <w:right w:val="nil"/>
            </w:tcBorders>
            <w:vAlign w:val="bottom"/>
          </w:tcPr>
          <w:p w14:paraId="331640F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202,579</w:t>
            </w:r>
          </w:p>
        </w:tc>
        <w:tc>
          <w:tcPr>
            <w:tcW w:w="1251" w:type="pct"/>
            <w:tcBorders>
              <w:left w:val="nil"/>
              <w:right w:val="nil"/>
            </w:tcBorders>
            <w:vAlign w:val="bottom"/>
          </w:tcPr>
          <w:p w14:paraId="77C81B3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b/>
                <w:spacing w:val="-2"/>
                <w:sz w:val="18"/>
                <w:szCs w:val="20"/>
                <w:lang w:val="en-US" w:eastAsia="ru-RU"/>
              </w:rPr>
              <w:t>179,260</w:t>
            </w:r>
          </w:p>
        </w:tc>
      </w:tr>
      <w:tr w:rsidR="009D6FA9" w:rsidRPr="009D6FA9" w14:paraId="33B4017E" w14:textId="77777777" w:rsidTr="009D6FA9">
        <w:trPr>
          <w:cantSplit/>
        </w:trPr>
        <w:tc>
          <w:tcPr>
            <w:tcW w:w="2923" w:type="pct"/>
            <w:tcBorders>
              <w:left w:val="nil"/>
              <w:bottom w:val="single" w:sz="4" w:space="0" w:color="auto"/>
              <w:right w:val="nil"/>
            </w:tcBorders>
            <w:vAlign w:val="bottom"/>
          </w:tcPr>
          <w:p w14:paraId="6CFBB67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4" w:space="0" w:color="auto"/>
              <w:right w:val="nil"/>
            </w:tcBorders>
            <w:vAlign w:val="bottom"/>
          </w:tcPr>
          <w:p w14:paraId="450F5AF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c>
          <w:tcPr>
            <w:tcW w:w="1251" w:type="pct"/>
            <w:tcBorders>
              <w:left w:val="nil"/>
              <w:bottom w:val="single" w:sz="4" w:space="0" w:color="auto"/>
              <w:right w:val="nil"/>
            </w:tcBorders>
            <w:vAlign w:val="bottom"/>
          </w:tcPr>
          <w:p w14:paraId="79224B6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r w:rsidR="009D6FA9" w:rsidRPr="009D6FA9" w14:paraId="0E71481A" w14:textId="77777777" w:rsidTr="009D6FA9">
        <w:trPr>
          <w:cantSplit/>
        </w:trPr>
        <w:tc>
          <w:tcPr>
            <w:tcW w:w="2923" w:type="pct"/>
            <w:tcBorders>
              <w:top w:val="single" w:sz="4" w:space="0" w:color="auto"/>
              <w:left w:val="nil"/>
              <w:bottom w:val="nil"/>
              <w:right w:val="nil"/>
            </w:tcBorders>
            <w:vAlign w:val="bottom"/>
          </w:tcPr>
          <w:p w14:paraId="1BAA0C7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bottom w:val="nil"/>
              <w:right w:val="nil"/>
            </w:tcBorders>
            <w:vAlign w:val="bottom"/>
          </w:tcPr>
          <w:p w14:paraId="4821C6D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251" w:type="pct"/>
            <w:tcBorders>
              <w:top w:val="single" w:sz="4" w:space="0" w:color="auto"/>
              <w:left w:val="nil"/>
              <w:bottom w:val="nil"/>
              <w:right w:val="nil"/>
            </w:tcBorders>
            <w:vAlign w:val="bottom"/>
          </w:tcPr>
          <w:p w14:paraId="52D69DD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77312C51" w14:textId="77777777" w:rsidTr="009D6FA9">
        <w:trPr>
          <w:cantSplit/>
        </w:trPr>
        <w:tc>
          <w:tcPr>
            <w:tcW w:w="2923" w:type="pct"/>
            <w:tcBorders>
              <w:top w:val="nil"/>
              <w:left w:val="nil"/>
              <w:bottom w:val="nil"/>
              <w:right w:val="nil"/>
            </w:tcBorders>
            <w:vAlign w:val="bottom"/>
          </w:tcPr>
          <w:p w14:paraId="2AE7B38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Loans and borrowings</w:t>
            </w:r>
          </w:p>
        </w:tc>
        <w:tc>
          <w:tcPr>
            <w:tcW w:w="825" w:type="pct"/>
            <w:tcBorders>
              <w:top w:val="nil"/>
              <w:left w:val="nil"/>
              <w:bottom w:val="nil"/>
              <w:right w:val="nil"/>
            </w:tcBorders>
            <w:vAlign w:val="bottom"/>
          </w:tcPr>
          <w:p w14:paraId="101137B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154,068</w:t>
            </w:r>
          </w:p>
        </w:tc>
        <w:tc>
          <w:tcPr>
            <w:tcW w:w="1251" w:type="pct"/>
            <w:tcBorders>
              <w:top w:val="nil"/>
              <w:left w:val="nil"/>
              <w:bottom w:val="nil"/>
              <w:right w:val="nil"/>
            </w:tcBorders>
            <w:vAlign w:val="bottom"/>
          </w:tcPr>
          <w:p w14:paraId="7F944BE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86,429</w:t>
            </w:r>
          </w:p>
        </w:tc>
      </w:tr>
      <w:tr w:rsidR="009D6FA9" w:rsidRPr="009D6FA9" w14:paraId="3393FF04" w14:textId="77777777" w:rsidTr="009D6FA9">
        <w:trPr>
          <w:cantSplit/>
        </w:trPr>
        <w:tc>
          <w:tcPr>
            <w:tcW w:w="2923" w:type="pct"/>
            <w:tcBorders>
              <w:top w:val="nil"/>
              <w:left w:val="nil"/>
              <w:right w:val="nil"/>
            </w:tcBorders>
            <w:vAlign w:val="bottom"/>
          </w:tcPr>
          <w:p w14:paraId="347E173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Trade and other payables </w:t>
            </w:r>
          </w:p>
        </w:tc>
        <w:tc>
          <w:tcPr>
            <w:tcW w:w="825" w:type="pct"/>
            <w:tcBorders>
              <w:top w:val="nil"/>
              <w:left w:val="nil"/>
              <w:right w:val="nil"/>
            </w:tcBorders>
            <w:vAlign w:val="bottom"/>
          </w:tcPr>
          <w:p w14:paraId="2988CB6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39,764</w:t>
            </w:r>
          </w:p>
        </w:tc>
        <w:tc>
          <w:tcPr>
            <w:tcW w:w="1251" w:type="pct"/>
            <w:tcBorders>
              <w:top w:val="nil"/>
              <w:left w:val="nil"/>
              <w:right w:val="nil"/>
            </w:tcBorders>
            <w:vAlign w:val="bottom"/>
          </w:tcPr>
          <w:p w14:paraId="7FEFF4E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42,653</w:t>
            </w:r>
          </w:p>
        </w:tc>
      </w:tr>
      <w:tr w:rsidR="009D6FA9" w:rsidRPr="009D6FA9" w14:paraId="085CAEB7" w14:textId="77777777" w:rsidTr="009D6FA9">
        <w:trPr>
          <w:cantSplit/>
        </w:trPr>
        <w:tc>
          <w:tcPr>
            <w:tcW w:w="2923" w:type="pct"/>
            <w:tcBorders>
              <w:top w:val="nil"/>
              <w:left w:val="nil"/>
              <w:right w:val="nil"/>
            </w:tcBorders>
            <w:vAlign w:val="bottom"/>
          </w:tcPr>
          <w:p w14:paraId="4FAB0AE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Dividends payable</w:t>
            </w:r>
          </w:p>
        </w:tc>
        <w:tc>
          <w:tcPr>
            <w:tcW w:w="825" w:type="pct"/>
            <w:tcBorders>
              <w:top w:val="nil"/>
              <w:left w:val="nil"/>
              <w:right w:val="nil"/>
            </w:tcBorders>
            <w:vAlign w:val="bottom"/>
          </w:tcPr>
          <w:p w14:paraId="51C48D6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35,053</w:t>
            </w:r>
          </w:p>
        </w:tc>
        <w:tc>
          <w:tcPr>
            <w:tcW w:w="1251" w:type="pct"/>
            <w:tcBorders>
              <w:top w:val="nil"/>
              <w:left w:val="nil"/>
              <w:right w:val="nil"/>
            </w:tcBorders>
            <w:vAlign w:val="bottom"/>
          </w:tcPr>
          <w:p w14:paraId="7C70A45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54,919</w:t>
            </w:r>
          </w:p>
        </w:tc>
      </w:tr>
      <w:tr w:rsidR="009D6FA9" w:rsidRPr="009D6FA9" w14:paraId="3AF11731" w14:textId="77777777" w:rsidTr="009D6FA9">
        <w:trPr>
          <w:cantSplit/>
        </w:trPr>
        <w:tc>
          <w:tcPr>
            <w:tcW w:w="2923" w:type="pct"/>
            <w:tcBorders>
              <w:top w:val="nil"/>
              <w:left w:val="nil"/>
              <w:bottom w:val="nil"/>
              <w:right w:val="nil"/>
            </w:tcBorders>
            <w:vAlign w:val="bottom"/>
          </w:tcPr>
          <w:p w14:paraId="66A75C8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VAT and other taxes payable</w:t>
            </w:r>
          </w:p>
        </w:tc>
        <w:tc>
          <w:tcPr>
            <w:tcW w:w="825" w:type="pct"/>
            <w:tcBorders>
              <w:top w:val="nil"/>
              <w:left w:val="nil"/>
              <w:bottom w:val="nil"/>
              <w:right w:val="nil"/>
            </w:tcBorders>
            <w:vAlign w:val="bottom"/>
          </w:tcPr>
          <w:p w14:paraId="4CAC519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3,380</w:t>
            </w:r>
          </w:p>
        </w:tc>
        <w:tc>
          <w:tcPr>
            <w:tcW w:w="1251" w:type="pct"/>
            <w:tcBorders>
              <w:top w:val="nil"/>
              <w:left w:val="nil"/>
              <w:bottom w:val="nil"/>
              <w:right w:val="nil"/>
            </w:tcBorders>
            <w:vAlign w:val="bottom"/>
          </w:tcPr>
          <w:p w14:paraId="09C3E33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2,799</w:t>
            </w:r>
          </w:p>
        </w:tc>
      </w:tr>
      <w:tr w:rsidR="009D6FA9" w:rsidRPr="009D6FA9" w14:paraId="32B20F38" w14:textId="77777777" w:rsidTr="009D6FA9">
        <w:trPr>
          <w:cantSplit/>
        </w:trPr>
        <w:tc>
          <w:tcPr>
            <w:tcW w:w="2923" w:type="pct"/>
            <w:tcBorders>
              <w:top w:val="nil"/>
              <w:left w:val="nil"/>
              <w:bottom w:val="nil"/>
              <w:right w:val="nil"/>
            </w:tcBorders>
            <w:vAlign w:val="bottom"/>
          </w:tcPr>
          <w:p w14:paraId="4E13749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Lease liabilities</w:t>
            </w:r>
            <w:r w:rsidRPr="009D6FA9" w:rsidDel="00306420">
              <w:rPr>
                <w:rFonts w:ascii="Arial" w:eastAsia="Times New Roman" w:hAnsi="Arial" w:cs="Arial"/>
                <w:spacing w:val="-2"/>
                <w:sz w:val="18"/>
                <w:szCs w:val="18"/>
                <w:lang w:eastAsia="ru-RU"/>
              </w:rPr>
              <w:t xml:space="preserve"> </w:t>
            </w:r>
          </w:p>
        </w:tc>
        <w:tc>
          <w:tcPr>
            <w:tcW w:w="825" w:type="pct"/>
            <w:tcBorders>
              <w:top w:val="nil"/>
              <w:left w:val="nil"/>
              <w:right w:val="nil"/>
            </w:tcBorders>
            <w:vAlign w:val="bottom"/>
          </w:tcPr>
          <w:p w14:paraId="6E1446B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ru-RU" w:eastAsia="ru-RU"/>
              </w:rPr>
            </w:pPr>
            <w:r w:rsidRPr="009D6FA9">
              <w:rPr>
                <w:rFonts w:ascii="Arial" w:eastAsia="Times New Roman" w:hAnsi="Arial" w:cs="Arial"/>
                <w:spacing w:val="-2"/>
                <w:sz w:val="18"/>
                <w:szCs w:val="20"/>
                <w:lang w:val="en-US" w:eastAsia="ru-RU"/>
              </w:rPr>
              <w:t>981</w:t>
            </w:r>
          </w:p>
        </w:tc>
        <w:tc>
          <w:tcPr>
            <w:tcW w:w="1251" w:type="pct"/>
            <w:tcBorders>
              <w:top w:val="nil"/>
              <w:left w:val="nil"/>
              <w:right w:val="nil"/>
            </w:tcBorders>
            <w:vAlign w:val="bottom"/>
          </w:tcPr>
          <w:p w14:paraId="1AEA89B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1,413</w:t>
            </w:r>
          </w:p>
        </w:tc>
      </w:tr>
      <w:tr w:rsidR="009D6FA9" w:rsidRPr="009D6FA9" w14:paraId="3348A8F2" w14:textId="77777777" w:rsidTr="009D6FA9">
        <w:trPr>
          <w:cantSplit/>
        </w:trPr>
        <w:tc>
          <w:tcPr>
            <w:tcW w:w="2923" w:type="pct"/>
            <w:tcBorders>
              <w:top w:val="nil"/>
              <w:left w:val="nil"/>
              <w:bottom w:val="nil"/>
              <w:right w:val="nil"/>
            </w:tcBorders>
            <w:vAlign w:val="bottom"/>
          </w:tcPr>
          <w:p w14:paraId="73FE93B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Income tax payable</w:t>
            </w:r>
          </w:p>
        </w:tc>
        <w:tc>
          <w:tcPr>
            <w:tcW w:w="825" w:type="pct"/>
            <w:tcBorders>
              <w:top w:val="nil"/>
              <w:left w:val="nil"/>
              <w:right w:val="nil"/>
            </w:tcBorders>
            <w:vAlign w:val="bottom"/>
          </w:tcPr>
          <w:p w14:paraId="4495CED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9D6FA9">
              <w:rPr>
                <w:rFonts w:ascii="Arial" w:eastAsia="Times New Roman" w:hAnsi="Arial" w:cs="Arial"/>
                <w:spacing w:val="-2"/>
                <w:sz w:val="18"/>
                <w:szCs w:val="20"/>
                <w:lang w:val="en-US" w:eastAsia="ru-RU"/>
              </w:rPr>
              <w:t>754</w:t>
            </w:r>
          </w:p>
        </w:tc>
        <w:tc>
          <w:tcPr>
            <w:tcW w:w="1251" w:type="pct"/>
            <w:tcBorders>
              <w:top w:val="nil"/>
              <w:left w:val="nil"/>
              <w:right w:val="nil"/>
            </w:tcBorders>
            <w:vAlign w:val="bottom"/>
          </w:tcPr>
          <w:p w14:paraId="422C29B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208</w:t>
            </w:r>
          </w:p>
        </w:tc>
      </w:tr>
      <w:tr w:rsidR="009D6FA9" w:rsidRPr="009D6FA9" w14:paraId="409686B6" w14:textId="77777777" w:rsidTr="009D6FA9">
        <w:trPr>
          <w:cantSplit/>
        </w:trPr>
        <w:tc>
          <w:tcPr>
            <w:tcW w:w="2923" w:type="pct"/>
            <w:tcBorders>
              <w:top w:val="nil"/>
              <w:left w:val="nil"/>
              <w:bottom w:val="nil"/>
              <w:right w:val="nil"/>
            </w:tcBorders>
            <w:vAlign w:val="bottom"/>
          </w:tcPr>
          <w:p w14:paraId="05861B7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Windfall tax payable</w:t>
            </w:r>
          </w:p>
        </w:tc>
        <w:tc>
          <w:tcPr>
            <w:tcW w:w="825" w:type="pct"/>
            <w:tcBorders>
              <w:top w:val="nil"/>
              <w:left w:val="nil"/>
              <w:right w:val="nil"/>
            </w:tcBorders>
            <w:vAlign w:val="bottom"/>
          </w:tcPr>
          <w:p w14:paraId="2258036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w:t>
            </w:r>
          </w:p>
        </w:tc>
        <w:tc>
          <w:tcPr>
            <w:tcW w:w="1251" w:type="pct"/>
            <w:tcBorders>
              <w:top w:val="nil"/>
              <w:left w:val="nil"/>
              <w:right w:val="nil"/>
            </w:tcBorders>
            <w:vAlign w:val="bottom"/>
          </w:tcPr>
          <w:p w14:paraId="2586D49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20"/>
                <w:lang w:val="en-US" w:eastAsia="ru-RU"/>
              </w:rPr>
              <w:t>6,355</w:t>
            </w:r>
          </w:p>
        </w:tc>
      </w:tr>
      <w:tr w:rsidR="009D6FA9" w:rsidRPr="009D6FA9" w14:paraId="3F73EEC9" w14:textId="77777777" w:rsidTr="009D6FA9">
        <w:trPr>
          <w:cantSplit/>
        </w:trPr>
        <w:tc>
          <w:tcPr>
            <w:tcW w:w="2923" w:type="pct"/>
            <w:tcBorders>
              <w:top w:val="nil"/>
              <w:left w:val="nil"/>
              <w:bottom w:val="single" w:sz="4" w:space="0" w:color="auto"/>
              <w:right w:val="nil"/>
            </w:tcBorders>
            <w:vAlign w:val="bottom"/>
          </w:tcPr>
          <w:p w14:paraId="69BAD67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nil"/>
              <w:left w:val="nil"/>
              <w:bottom w:val="single" w:sz="4" w:space="0" w:color="auto"/>
              <w:right w:val="nil"/>
            </w:tcBorders>
            <w:vAlign w:val="bottom"/>
          </w:tcPr>
          <w:p w14:paraId="51B44AC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top w:val="nil"/>
              <w:left w:val="nil"/>
              <w:bottom w:val="single" w:sz="4" w:space="0" w:color="auto"/>
              <w:right w:val="nil"/>
            </w:tcBorders>
            <w:vAlign w:val="bottom"/>
          </w:tcPr>
          <w:p w14:paraId="0CA5608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0EC66B81" w14:textId="77777777" w:rsidTr="009D6FA9">
        <w:trPr>
          <w:cantSplit/>
        </w:trPr>
        <w:tc>
          <w:tcPr>
            <w:tcW w:w="2923" w:type="pct"/>
            <w:tcBorders>
              <w:top w:val="single" w:sz="4" w:space="0" w:color="auto"/>
              <w:left w:val="nil"/>
              <w:bottom w:val="nil"/>
              <w:right w:val="nil"/>
            </w:tcBorders>
            <w:vAlign w:val="bottom"/>
          </w:tcPr>
          <w:p w14:paraId="5D9C582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825" w:type="pct"/>
            <w:tcBorders>
              <w:top w:val="single" w:sz="4" w:space="0" w:color="auto"/>
              <w:left w:val="nil"/>
              <w:right w:val="nil"/>
            </w:tcBorders>
            <w:vAlign w:val="bottom"/>
          </w:tcPr>
          <w:p w14:paraId="504CAEB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c>
          <w:tcPr>
            <w:tcW w:w="1251" w:type="pct"/>
            <w:tcBorders>
              <w:top w:val="single" w:sz="4" w:space="0" w:color="auto"/>
              <w:left w:val="nil"/>
              <w:right w:val="nil"/>
            </w:tcBorders>
            <w:vAlign w:val="bottom"/>
          </w:tcPr>
          <w:p w14:paraId="28D8587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val="ru-RU" w:eastAsia="ru-RU"/>
              </w:rPr>
            </w:pPr>
          </w:p>
        </w:tc>
      </w:tr>
      <w:tr w:rsidR="009D6FA9" w:rsidRPr="009D6FA9" w14:paraId="152CE5D5" w14:textId="77777777" w:rsidTr="009D6FA9">
        <w:trPr>
          <w:cantSplit/>
        </w:trPr>
        <w:tc>
          <w:tcPr>
            <w:tcW w:w="2923" w:type="pct"/>
            <w:tcBorders>
              <w:top w:val="nil"/>
              <w:left w:val="nil"/>
              <w:right w:val="nil"/>
            </w:tcBorders>
            <w:vAlign w:val="bottom"/>
          </w:tcPr>
          <w:p w14:paraId="6D16F60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Current liabilities</w:t>
            </w:r>
          </w:p>
        </w:tc>
        <w:tc>
          <w:tcPr>
            <w:tcW w:w="825" w:type="pct"/>
            <w:tcBorders>
              <w:left w:val="nil"/>
              <w:right w:val="nil"/>
            </w:tcBorders>
            <w:vAlign w:val="bottom"/>
          </w:tcPr>
          <w:p w14:paraId="206D7DE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ru-RU" w:eastAsia="ru-RU"/>
              </w:rPr>
            </w:pPr>
            <w:r w:rsidRPr="009D6FA9">
              <w:rPr>
                <w:rFonts w:ascii="Arial" w:eastAsia="Times New Roman" w:hAnsi="Arial" w:cs="Arial"/>
                <w:b/>
                <w:spacing w:val="-2"/>
                <w:sz w:val="18"/>
                <w:szCs w:val="20"/>
                <w:lang w:val="en-US" w:eastAsia="ru-RU"/>
              </w:rPr>
              <w:t>234,000</w:t>
            </w:r>
          </w:p>
        </w:tc>
        <w:tc>
          <w:tcPr>
            <w:tcW w:w="1251" w:type="pct"/>
            <w:tcBorders>
              <w:left w:val="nil"/>
              <w:right w:val="nil"/>
            </w:tcBorders>
            <w:vAlign w:val="bottom"/>
          </w:tcPr>
          <w:p w14:paraId="2383DFC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en-US" w:eastAsia="ru-RU"/>
              </w:rPr>
            </w:pPr>
            <w:r w:rsidRPr="009D6FA9">
              <w:rPr>
                <w:rFonts w:ascii="Arial" w:eastAsia="Times New Roman" w:hAnsi="Arial" w:cs="Arial"/>
                <w:b/>
                <w:spacing w:val="-2"/>
                <w:sz w:val="18"/>
                <w:szCs w:val="20"/>
                <w:lang w:val="en-US" w:eastAsia="ru-RU"/>
              </w:rPr>
              <w:t>194,776</w:t>
            </w:r>
          </w:p>
        </w:tc>
      </w:tr>
      <w:tr w:rsidR="009D6FA9" w:rsidRPr="009D6FA9" w14:paraId="55544313" w14:textId="77777777" w:rsidTr="009D6FA9">
        <w:trPr>
          <w:cantSplit/>
        </w:trPr>
        <w:tc>
          <w:tcPr>
            <w:tcW w:w="2923" w:type="pct"/>
            <w:tcBorders>
              <w:left w:val="nil"/>
              <w:bottom w:val="single" w:sz="4" w:space="0" w:color="auto"/>
              <w:right w:val="nil"/>
            </w:tcBorders>
            <w:vAlign w:val="bottom"/>
          </w:tcPr>
          <w:p w14:paraId="7679DE9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4" w:space="0" w:color="auto"/>
              <w:right w:val="nil"/>
            </w:tcBorders>
            <w:vAlign w:val="bottom"/>
          </w:tcPr>
          <w:p w14:paraId="0181EB5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251" w:type="pct"/>
            <w:tcBorders>
              <w:left w:val="nil"/>
              <w:bottom w:val="single" w:sz="4" w:space="0" w:color="auto"/>
              <w:right w:val="nil"/>
            </w:tcBorders>
            <w:vAlign w:val="bottom"/>
          </w:tcPr>
          <w:p w14:paraId="702EFAB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r>
      <w:tr w:rsidR="009D6FA9" w:rsidRPr="009D6FA9" w14:paraId="57452754" w14:textId="77777777" w:rsidTr="009D6FA9">
        <w:trPr>
          <w:cantSplit/>
        </w:trPr>
        <w:tc>
          <w:tcPr>
            <w:tcW w:w="2923" w:type="pct"/>
            <w:tcBorders>
              <w:top w:val="single" w:sz="4" w:space="0" w:color="auto"/>
              <w:left w:val="nil"/>
              <w:right w:val="nil"/>
            </w:tcBorders>
            <w:vAlign w:val="bottom"/>
          </w:tcPr>
          <w:p w14:paraId="1C9E0F2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top w:val="single" w:sz="4" w:space="0" w:color="auto"/>
              <w:left w:val="nil"/>
              <w:right w:val="nil"/>
            </w:tcBorders>
            <w:vAlign w:val="bottom"/>
          </w:tcPr>
          <w:p w14:paraId="79AB412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251" w:type="pct"/>
            <w:tcBorders>
              <w:top w:val="single" w:sz="4" w:space="0" w:color="auto"/>
              <w:left w:val="nil"/>
              <w:right w:val="nil"/>
            </w:tcBorders>
            <w:vAlign w:val="bottom"/>
          </w:tcPr>
          <w:p w14:paraId="39F06AF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r>
      <w:tr w:rsidR="009D6FA9" w:rsidRPr="009D6FA9" w14:paraId="5E086BD0" w14:textId="77777777" w:rsidTr="009D6FA9">
        <w:trPr>
          <w:cantSplit/>
        </w:trPr>
        <w:tc>
          <w:tcPr>
            <w:tcW w:w="2923" w:type="pct"/>
            <w:tcBorders>
              <w:left w:val="nil"/>
              <w:right w:val="nil"/>
            </w:tcBorders>
            <w:vAlign w:val="bottom"/>
          </w:tcPr>
          <w:p w14:paraId="13029CE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Total equity and liabilities</w:t>
            </w:r>
          </w:p>
        </w:tc>
        <w:tc>
          <w:tcPr>
            <w:tcW w:w="825" w:type="pct"/>
            <w:tcBorders>
              <w:left w:val="nil"/>
              <w:right w:val="nil"/>
            </w:tcBorders>
            <w:vAlign w:val="bottom"/>
          </w:tcPr>
          <w:p w14:paraId="6B3E660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ru-RU" w:eastAsia="ru-RU"/>
              </w:rPr>
            </w:pPr>
            <w:r w:rsidRPr="009D6FA9">
              <w:rPr>
                <w:rFonts w:ascii="Arial" w:eastAsia="Times New Roman" w:hAnsi="Arial" w:cs="Arial"/>
                <w:b/>
                <w:spacing w:val="-2"/>
                <w:sz w:val="18"/>
                <w:szCs w:val="20"/>
                <w:lang w:val="en-US" w:eastAsia="ru-RU"/>
              </w:rPr>
              <w:t>597,833</w:t>
            </w:r>
          </w:p>
        </w:tc>
        <w:tc>
          <w:tcPr>
            <w:tcW w:w="1251" w:type="pct"/>
            <w:tcBorders>
              <w:left w:val="nil"/>
              <w:right w:val="nil"/>
            </w:tcBorders>
            <w:vAlign w:val="bottom"/>
          </w:tcPr>
          <w:p w14:paraId="53DCF0A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highlight w:val="yellow"/>
                <w:lang w:val="en-US" w:eastAsia="ru-RU"/>
              </w:rPr>
            </w:pPr>
            <w:r w:rsidRPr="009D6FA9">
              <w:rPr>
                <w:rFonts w:ascii="Arial" w:eastAsia="Times New Roman" w:hAnsi="Arial" w:cs="Arial"/>
                <w:b/>
                <w:spacing w:val="-2"/>
                <w:sz w:val="18"/>
                <w:szCs w:val="20"/>
                <w:lang w:val="en-US" w:eastAsia="ru-RU"/>
              </w:rPr>
              <w:t>525,641</w:t>
            </w:r>
          </w:p>
        </w:tc>
      </w:tr>
      <w:tr w:rsidR="009D6FA9" w:rsidRPr="009D6FA9" w14:paraId="30394100" w14:textId="77777777" w:rsidTr="009D6FA9">
        <w:trPr>
          <w:cantSplit/>
        </w:trPr>
        <w:tc>
          <w:tcPr>
            <w:tcW w:w="2923" w:type="pct"/>
            <w:tcBorders>
              <w:left w:val="nil"/>
              <w:bottom w:val="single" w:sz="12" w:space="0" w:color="auto"/>
              <w:right w:val="nil"/>
            </w:tcBorders>
            <w:vAlign w:val="bottom"/>
          </w:tcPr>
          <w:p w14:paraId="041CF92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825" w:type="pct"/>
            <w:tcBorders>
              <w:left w:val="nil"/>
              <w:bottom w:val="single" w:sz="12" w:space="0" w:color="auto"/>
              <w:right w:val="nil"/>
            </w:tcBorders>
            <w:vAlign w:val="bottom"/>
          </w:tcPr>
          <w:p w14:paraId="232D807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c>
          <w:tcPr>
            <w:tcW w:w="1251" w:type="pct"/>
            <w:tcBorders>
              <w:left w:val="nil"/>
              <w:bottom w:val="single" w:sz="12" w:space="0" w:color="auto"/>
              <w:right w:val="nil"/>
            </w:tcBorders>
            <w:vAlign w:val="bottom"/>
          </w:tcPr>
          <w:p w14:paraId="23A5F1C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highlight w:val="yellow"/>
                <w:lang w:val="ru-RU" w:eastAsia="ru-RU"/>
              </w:rPr>
            </w:pPr>
          </w:p>
        </w:tc>
      </w:tr>
    </w:tbl>
    <w:p w14:paraId="42089669" w14:textId="77777777" w:rsidR="00965003" w:rsidRDefault="00965003" w:rsidP="00965003">
      <w:pPr>
        <w:rPr>
          <w:rFonts w:ascii="Arial" w:eastAsia="Times New Roman" w:hAnsi="Arial" w:cs="Arial"/>
          <w:i/>
          <w:iCs/>
          <w:sz w:val="16"/>
          <w:szCs w:val="16"/>
          <w:lang w:val="en-US" w:eastAsia="en-US"/>
        </w:rPr>
      </w:pPr>
    </w:p>
    <w:p w14:paraId="5E7F1A47" w14:textId="77777777" w:rsidR="00965003" w:rsidRDefault="00965003" w:rsidP="00965003">
      <w:pPr>
        <w:rPr>
          <w:rFonts w:ascii="Arial" w:eastAsia="Times New Roman" w:hAnsi="Arial" w:cs="Arial"/>
          <w:i/>
          <w:iCs/>
          <w:sz w:val="16"/>
          <w:szCs w:val="16"/>
          <w:lang w:val="en-US" w:eastAsia="en-US"/>
        </w:rPr>
      </w:pPr>
    </w:p>
    <w:p w14:paraId="4D1FF15B" w14:textId="77777777" w:rsidR="00965003" w:rsidRDefault="00965003" w:rsidP="00965003">
      <w:pPr>
        <w:rPr>
          <w:rFonts w:ascii="Arial" w:eastAsia="Times New Roman" w:hAnsi="Arial" w:cs="Arial"/>
          <w:i/>
          <w:iCs/>
          <w:sz w:val="16"/>
          <w:szCs w:val="16"/>
          <w:lang w:val="en-US" w:eastAsia="en-US"/>
        </w:rPr>
      </w:pPr>
    </w:p>
    <w:p w14:paraId="5D7B088C" w14:textId="77777777" w:rsidR="00965003" w:rsidRPr="00965003" w:rsidRDefault="00965003" w:rsidP="00965003">
      <w:pPr>
        <w:rPr>
          <w:rFonts w:ascii="Arial" w:eastAsia="Times New Roman" w:hAnsi="Arial" w:cs="Arial"/>
          <w:sz w:val="16"/>
          <w:szCs w:val="16"/>
          <w:lang w:val="en-US" w:eastAsia="en-US"/>
        </w:rPr>
        <w:sectPr w:rsidR="00965003" w:rsidRPr="00965003" w:rsidSect="00CB6682">
          <w:headerReference w:type="default" r:id="rId27"/>
          <w:footnotePr>
            <w:numRestart w:val="eachPage"/>
          </w:footnotePr>
          <w:pgSz w:w="11907" w:h="16840" w:code="9"/>
          <w:pgMar w:top="1134" w:right="1021" w:bottom="1134" w:left="1531" w:header="567" w:footer="567" w:gutter="0"/>
          <w:pgNumType w:start="1"/>
          <w:cols w:space="708"/>
          <w:docGrid w:linePitch="360"/>
        </w:sectPr>
      </w:pPr>
    </w:p>
    <w:tbl>
      <w:tblPr>
        <w:tblW w:w="5000" w:type="pct"/>
        <w:tblLayout w:type="fixed"/>
        <w:tblCellMar>
          <w:left w:w="85" w:type="dxa"/>
          <w:right w:w="85" w:type="dxa"/>
        </w:tblCellMar>
        <w:tblLook w:val="0000" w:firstRow="0" w:lastRow="0" w:firstColumn="0" w:lastColumn="0" w:noHBand="0" w:noVBand="0"/>
      </w:tblPr>
      <w:tblGrid>
        <w:gridCol w:w="5725"/>
        <w:gridCol w:w="1394"/>
        <w:gridCol w:w="2236"/>
      </w:tblGrid>
      <w:tr w:rsidR="009D6FA9" w:rsidRPr="009D6FA9" w14:paraId="5B700820" w14:textId="77777777" w:rsidTr="009D6FA9">
        <w:trPr>
          <w:cantSplit/>
        </w:trPr>
        <w:tc>
          <w:tcPr>
            <w:tcW w:w="3060" w:type="pct"/>
            <w:vAlign w:val="bottom"/>
          </w:tcPr>
          <w:p w14:paraId="3551772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highlight w:val="yellow"/>
                <w:lang w:eastAsia="ru-RU"/>
              </w:rPr>
            </w:pPr>
          </w:p>
        </w:tc>
        <w:tc>
          <w:tcPr>
            <w:tcW w:w="1940" w:type="pct"/>
            <w:gridSpan w:val="2"/>
            <w:tcBorders>
              <w:bottom w:val="single" w:sz="4" w:space="0" w:color="auto"/>
            </w:tcBorders>
            <w:vAlign w:val="bottom"/>
          </w:tcPr>
          <w:p w14:paraId="2628F7E0"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Nine months ended</w:t>
            </w:r>
          </w:p>
          <w:p w14:paraId="0CBA2026" w14:textId="77777777" w:rsidR="009D6FA9" w:rsidRPr="009D6FA9" w:rsidRDefault="009D6FA9" w:rsidP="009D6FA9">
            <w:pPr>
              <w:widowControl w:val="0"/>
              <w:autoSpaceDE w:val="0"/>
              <w:autoSpaceDN w:val="0"/>
              <w:adjustRightInd w:val="0"/>
              <w:spacing w:after="0" w:line="240" w:lineRule="auto"/>
              <w:jc w:val="center"/>
              <w:rPr>
                <w:rFonts w:ascii="Arial" w:eastAsia="Times New Roman" w:hAnsi="Arial" w:cs="Arial"/>
                <w:b/>
                <w:bCs/>
                <w:spacing w:val="-2"/>
                <w:sz w:val="18"/>
                <w:szCs w:val="18"/>
                <w:lang w:eastAsia="ru-RU"/>
              </w:rPr>
            </w:pPr>
            <w:r w:rsidRPr="009D6FA9">
              <w:rPr>
                <w:rFonts w:ascii="Arial" w:eastAsia="Times New Roman" w:hAnsi="Arial" w:cs="Arial"/>
                <w:b/>
                <w:bCs/>
                <w:spacing w:val="-2"/>
                <w:sz w:val="18"/>
                <w:szCs w:val="18"/>
                <w:lang w:eastAsia="ru-RU"/>
              </w:rPr>
              <w:t>30 September</w:t>
            </w:r>
          </w:p>
        </w:tc>
      </w:tr>
      <w:tr w:rsidR="009D6FA9" w:rsidRPr="009D6FA9" w14:paraId="545610FF" w14:textId="77777777" w:rsidTr="009D6FA9">
        <w:trPr>
          <w:cantSplit/>
        </w:trPr>
        <w:tc>
          <w:tcPr>
            <w:tcW w:w="3060" w:type="pct"/>
            <w:tcBorders>
              <w:bottom w:val="single" w:sz="4" w:space="0" w:color="auto"/>
            </w:tcBorders>
            <w:vAlign w:val="bottom"/>
          </w:tcPr>
          <w:p w14:paraId="73F4A7E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eastAsia="ru-RU"/>
              </w:rPr>
            </w:pPr>
            <w:r w:rsidRPr="009D6FA9">
              <w:rPr>
                <w:rFonts w:ascii="Arial" w:eastAsia="Times New Roman" w:hAnsi="Arial" w:cs="Arial"/>
                <w:i/>
                <w:iCs/>
                <w:spacing w:val="-2"/>
                <w:sz w:val="18"/>
                <w:szCs w:val="18"/>
                <w:lang w:eastAsia="ru-RU"/>
              </w:rPr>
              <w:t>RUB million</w:t>
            </w:r>
          </w:p>
        </w:tc>
        <w:tc>
          <w:tcPr>
            <w:tcW w:w="745" w:type="pct"/>
            <w:tcBorders>
              <w:bottom w:val="single" w:sz="4" w:space="0" w:color="auto"/>
            </w:tcBorders>
            <w:vAlign w:val="bottom"/>
          </w:tcPr>
          <w:p w14:paraId="5B297DC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en-US" w:eastAsia="ru-RU"/>
              </w:rPr>
            </w:pPr>
            <w:r w:rsidRPr="009D6FA9">
              <w:rPr>
                <w:rFonts w:ascii="Arial" w:eastAsia="Times New Roman" w:hAnsi="Arial" w:cs="Arial"/>
                <w:b/>
                <w:bCs/>
                <w:spacing w:val="-2"/>
                <w:sz w:val="18"/>
                <w:szCs w:val="18"/>
                <w:lang w:eastAsia="ru-RU"/>
              </w:rPr>
              <w:t>20</w:t>
            </w:r>
            <w:r w:rsidRPr="009D6FA9">
              <w:rPr>
                <w:rFonts w:ascii="Arial" w:eastAsia="Times New Roman" w:hAnsi="Arial" w:cs="Arial"/>
                <w:b/>
                <w:bCs/>
                <w:spacing w:val="-2"/>
                <w:sz w:val="18"/>
                <w:szCs w:val="18"/>
                <w:lang w:val="ru-RU" w:eastAsia="ru-RU"/>
              </w:rPr>
              <w:t>2</w:t>
            </w:r>
            <w:r w:rsidRPr="009D6FA9">
              <w:rPr>
                <w:rFonts w:ascii="Arial" w:eastAsia="Times New Roman" w:hAnsi="Arial" w:cs="Arial"/>
                <w:b/>
                <w:bCs/>
                <w:spacing w:val="-2"/>
                <w:sz w:val="18"/>
                <w:szCs w:val="18"/>
                <w:lang w:val="en-US" w:eastAsia="ru-RU"/>
              </w:rPr>
              <w:t>4</w:t>
            </w:r>
          </w:p>
        </w:tc>
        <w:tc>
          <w:tcPr>
            <w:tcW w:w="1195" w:type="pct"/>
            <w:tcBorders>
              <w:bottom w:val="single" w:sz="4" w:space="0" w:color="auto"/>
            </w:tcBorders>
            <w:vAlign w:val="bottom"/>
          </w:tcPr>
          <w:p w14:paraId="61CB6E5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bCs/>
                <w:spacing w:val="-2"/>
                <w:sz w:val="18"/>
                <w:szCs w:val="18"/>
                <w:lang w:val="ru-RU" w:eastAsia="ru-RU"/>
              </w:rPr>
            </w:pPr>
            <w:r w:rsidRPr="009D6FA9">
              <w:rPr>
                <w:rFonts w:ascii="Arial" w:eastAsia="Times New Roman" w:hAnsi="Arial" w:cs="Arial"/>
                <w:b/>
                <w:bCs/>
                <w:spacing w:val="-2"/>
                <w:sz w:val="18"/>
                <w:szCs w:val="18"/>
                <w:lang w:eastAsia="ru-RU"/>
              </w:rPr>
              <w:t>20</w:t>
            </w:r>
            <w:r w:rsidRPr="009D6FA9">
              <w:rPr>
                <w:rFonts w:ascii="Arial" w:eastAsia="Times New Roman" w:hAnsi="Arial" w:cs="Arial"/>
                <w:b/>
                <w:bCs/>
                <w:spacing w:val="-2"/>
                <w:sz w:val="18"/>
                <w:szCs w:val="18"/>
                <w:lang w:val="ru-RU" w:eastAsia="ru-RU"/>
              </w:rPr>
              <w:t>23</w:t>
            </w:r>
          </w:p>
        </w:tc>
      </w:tr>
      <w:tr w:rsidR="009D6FA9" w:rsidRPr="009D6FA9" w14:paraId="6A07B086" w14:textId="77777777" w:rsidTr="009D6FA9">
        <w:trPr>
          <w:cantSplit/>
        </w:trPr>
        <w:tc>
          <w:tcPr>
            <w:tcW w:w="3060" w:type="pct"/>
            <w:tcBorders>
              <w:top w:val="single" w:sz="4" w:space="0" w:color="auto"/>
            </w:tcBorders>
            <w:vAlign w:val="bottom"/>
          </w:tcPr>
          <w:p w14:paraId="04D6E25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vAlign w:val="bottom"/>
          </w:tcPr>
          <w:p w14:paraId="682B35E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c>
          <w:tcPr>
            <w:tcW w:w="1195" w:type="pct"/>
            <w:tcBorders>
              <w:top w:val="single" w:sz="4" w:space="0" w:color="auto"/>
            </w:tcBorders>
            <w:vAlign w:val="bottom"/>
          </w:tcPr>
          <w:p w14:paraId="5CC0C30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highlight w:val="yellow"/>
                <w:lang w:eastAsia="ru-RU"/>
              </w:rPr>
            </w:pPr>
          </w:p>
        </w:tc>
      </w:tr>
      <w:tr w:rsidR="009D6FA9" w:rsidRPr="009D6FA9" w14:paraId="4B875822" w14:textId="77777777" w:rsidTr="009D6FA9">
        <w:trPr>
          <w:cantSplit/>
        </w:trPr>
        <w:tc>
          <w:tcPr>
            <w:tcW w:w="3060" w:type="pct"/>
            <w:vAlign w:val="bottom"/>
          </w:tcPr>
          <w:p w14:paraId="440BE69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i/>
                <w:spacing w:val="-2"/>
                <w:sz w:val="18"/>
                <w:szCs w:val="18"/>
                <w:lang w:eastAsia="ru-RU"/>
              </w:rPr>
            </w:pPr>
            <w:r w:rsidRPr="009D6FA9">
              <w:rPr>
                <w:rFonts w:ascii="Arial" w:eastAsia="Times New Roman" w:hAnsi="Arial" w:cs="Arial"/>
                <w:b/>
                <w:i/>
                <w:spacing w:val="-2"/>
                <w:sz w:val="18"/>
                <w:szCs w:val="18"/>
                <w:lang w:eastAsia="ru-RU"/>
              </w:rPr>
              <w:t>Cash flows from operating activities</w:t>
            </w:r>
          </w:p>
        </w:tc>
        <w:tc>
          <w:tcPr>
            <w:tcW w:w="745" w:type="pct"/>
            <w:vAlign w:val="bottom"/>
          </w:tcPr>
          <w:p w14:paraId="2A5E207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p>
        </w:tc>
        <w:tc>
          <w:tcPr>
            <w:tcW w:w="1195" w:type="pct"/>
            <w:vAlign w:val="bottom"/>
          </w:tcPr>
          <w:p w14:paraId="7811521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highlight w:val="yellow"/>
                <w:lang w:eastAsia="ru-RU"/>
              </w:rPr>
            </w:pPr>
          </w:p>
        </w:tc>
      </w:tr>
      <w:tr w:rsidR="009D6FA9" w:rsidRPr="009D6FA9" w14:paraId="2BDDEE34" w14:textId="77777777" w:rsidTr="009D6FA9">
        <w:trPr>
          <w:cantSplit/>
        </w:trPr>
        <w:tc>
          <w:tcPr>
            <w:tcW w:w="3060" w:type="pct"/>
            <w:vAlign w:val="bottom"/>
          </w:tcPr>
          <w:p w14:paraId="224CDC1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Operating profit</w:t>
            </w:r>
          </w:p>
        </w:tc>
        <w:tc>
          <w:tcPr>
            <w:tcW w:w="745" w:type="pct"/>
            <w:shd w:val="clear" w:color="auto" w:fill="auto"/>
            <w:vAlign w:val="bottom"/>
          </w:tcPr>
          <w:p w14:paraId="40F7D6E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9D6FA9">
              <w:rPr>
                <w:rFonts w:ascii="Arial" w:eastAsia="Times New Roman" w:hAnsi="Arial" w:cs="Arial"/>
                <w:spacing w:val="-2"/>
                <w:sz w:val="18"/>
                <w:szCs w:val="20"/>
                <w:lang w:val="en-US" w:eastAsia="ru-RU"/>
              </w:rPr>
              <w:t>95,600</w:t>
            </w:r>
          </w:p>
        </w:tc>
        <w:tc>
          <w:tcPr>
            <w:tcW w:w="1195" w:type="pct"/>
            <w:vAlign w:val="bottom"/>
          </w:tcPr>
          <w:p w14:paraId="7EFC308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18"/>
                <w:lang w:val="en-US" w:eastAsia="ru-RU"/>
              </w:rPr>
              <w:t>127,016</w:t>
            </w:r>
          </w:p>
        </w:tc>
      </w:tr>
      <w:tr w:rsidR="009D6FA9" w:rsidRPr="009D6FA9" w14:paraId="38CC3129" w14:textId="77777777" w:rsidTr="009D6FA9">
        <w:trPr>
          <w:cantSplit/>
        </w:trPr>
        <w:tc>
          <w:tcPr>
            <w:tcW w:w="3060" w:type="pct"/>
            <w:vAlign w:val="bottom"/>
          </w:tcPr>
          <w:p w14:paraId="7C0807D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i/>
                <w:iCs/>
                <w:spacing w:val="-2"/>
                <w:sz w:val="18"/>
                <w:szCs w:val="18"/>
                <w:lang w:val="ru-RU" w:eastAsia="ru-RU"/>
              </w:rPr>
            </w:pPr>
            <w:r w:rsidRPr="009D6FA9">
              <w:rPr>
                <w:rFonts w:ascii="Arial" w:eastAsia="Times New Roman" w:hAnsi="Arial" w:cs="Arial"/>
                <w:i/>
                <w:iCs/>
                <w:spacing w:val="-2"/>
                <w:sz w:val="18"/>
                <w:szCs w:val="18"/>
                <w:lang w:eastAsia="ru-RU"/>
              </w:rPr>
              <w:t>Adjustments for:</w:t>
            </w:r>
          </w:p>
        </w:tc>
        <w:tc>
          <w:tcPr>
            <w:tcW w:w="745" w:type="pct"/>
            <w:shd w:val="clear" w:color="auto" w:fill="auto"/>
            <w:vAlign w:val="bottom"/>
          </w:tcPr>
          <w:p w14:paraId="3F225C6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p>
        </w:tc>
        <w:tc>
          <w:tcPr>
            <w:tcW w:w="1195" w:type="pct"/>
            <w:vAlign w:val="bottom"/>
          </w:tcPr>
          <w:p w14:paraId="243FA5E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p>
        </w:tc>
      </w:tr>
      <w:tr w:rsidR="009D6FA9" w:rsidRPr="009D6FA9" w14:paraId="2CFD7C07" w14:textId="77777777" w:rsidTr="009D6FA9">
        <w:trPr>
          <w:cantSplit/>
        </w:trPr>
        <w:tc>
          <w:tcPr>
            <w:tcW w:w="3060" w:type="pct"/>
            <w:vAlign w:val="bottom"/>
          </w:tcPr>
          <w:p w14:paraId="0C86CC1D"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Depreciation and amortisation</w:t>
            </w:r>
          </w:p>
        </w:tc>
        <w:tc>
          <w:tcPr>
            <w:tcW w:w="745" w:type="pct"/>
            <w:shd w:val="clear" w:color="auto" w:fill="auto"/>
            <w:vAlign w:val="bottom"/>
          </w:tcPr>
          <w:p w14:paraId="04B860F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ru-RU" w:eastAsia="ru-RU"/>
              </w:rPr>
            </w:pPr>
            <w:r w:rsidRPr="009D6FA9">
              <w:rPr>
                <w:rFonts w:ascii="Arial" w:eastAsia="Times New Roman" w:hAnsi="Arial" w:cs="Arial"/>
                <w:spacing w:val="-2"/>
                <w:sz w:val="18"/>
                <w:szCs w:val="20"/>
                <w:lang w:val="en-US" w:eastAsia="ru-RU"/>
              </w:rPr>
              <w:t>27,923</w:t>
            </w:r>
          </w:p>
        </w:tc>
        <w:tc>
          <w:tcPr>
            <w:tcW w:w="1195" w:type="pct"/>
            <w:vAlign w:val="bottom"/>
          </w:tcPr>
          <w:p w14:paraId="306BA74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18"/>
                <w:lang w:val="en-US" w:eastAsia="ru-RU"/>
              </w:rPr>
              <w:t>24,082</w:t>
            </w:r>
          </w:p>
        </w:tc>
      </w:tr>
      <w:tr w:rsidR="009D6FA9" w:rsidRPr="009D6FA9" w14:paraId="72494DCB" w14:textId="77777777" w:rsidTr="009D6FA9">
        <w:trPr>
          <w:cantSplit/>
        </w:trPr>
        <w:tc>
          <w:tcPr>
            <w:tcW w:w="3060" w:type="pct"/>
            <w:vAlign w:val="bottom"/>
          </w:tcPr>
          <w:p w14:paraId="138BF09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val="en-US" w:eastAsia="ru-RU"/>
              </w:rPr>
              <w:t>(Gain)/l</w:t>
            </w:r>
            <w:proofErr w:type="spellStart"/>
            <w:r w:rsidRPr="009D6FA9">
              <w:rPr>
                <w:rFonts w:ascii="Arial" w:eastAsia="Times New Roman" w:hAnsi="Arial" w:cs="Arial"/>
                <w:spacing w:val="-2"/>
                <w:sz w:val="18"/>
                <w:szCs w:val="18"/>
                <w:lang w:eastAsia="ru-RU"/>
              </w:rPr>
              <w:t>oss</w:t>
            </w:r>
            <w:proofErr w:type="spellEnd"/>
            <w:r w:rsidRPr="009D6FA9">
              <w:rPr>
                <w:rFonts w:ascii="Arial" w:eastAsia="Times New Roman" w:hAnsi="Arial" w:cs="Arial"/>
                <w:spacing w:val="-2"/>
                <w:sz w:val="18"/>
                <w:szCs w:val="18"/>
                <w:lang w:eastAsia="ru-RU"/>
              </w:rPr>
              <w:t xml:space="preserve"> on disposal of property, plant and equipment and intangible assets</w:t>
            </w:r>
          </w:p>
        </w:tc>
        <w:tc>
          <w:tcPr>
            <w:tcW w:w="745" w:type="pct"/>
            <w:shd w:val="clear" w:color="auto" w:fill="auto"/>
            <w:vAlign w:val="bottom"/>
          </w:tcPr>
          <w:p w14:paraId="6B2C4871"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(165)</w:t>
            </w:r>
          </w:p>
        </w:tc>
        <w:tc>
          <w:tcPr>
            <w:tcW w:w="1195" w:type="pct"/>
            <w:vAlign w:val="bottom"/>
          </w:tcPr>
          <w:p w14:paraId="1CE402B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18"/>
                <w:lang w:val="en-US" w:eastAsia="ru-RU"/>
              </w:rPr>
              <w:t>186</w:t>
            </w:r>
          </w:p>
        </w:tc>
      </w:tr>
      <w:tr w:rsidR="009D6FA9" w:rsidRPr="009D6FA9" w14:paraId="3FAB8264" w14:textId="77777777" w:rsidTr="009D6FA9">
        <w:trPr>
          <w:cantSplit/>
        </w:trPr>
        <w:tc>
          <w:tcPr>
            <w:tcW w:w="3060" w:type="pct"/>
            <w:tcBorders>
              <w:bottom w:val="single" w:sz="4" w:space="0" w:color="auto"/>
            </w:tcBorders>
            <w:vAlign w:val="bottom"/>
          </w:tcPr>
          <w:p w14:paraId="013A55B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07AC3ED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bottom w:val="single" w:sz="4" w:space="0" w:color="auto"/>
            </w:tcBorders>
            <w:vAlign w:val="bottom"/>
          </w:tcPr>
          <w:p w14:paraId="75F47EA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41FF71D2" w14:textId="77777777" w:rsidTr="009D6FA9">
        <w:trPr>
          <w:cantSplit/>
        </w:trPr>
        <w:tc>
          <w:tcPr>
            <w:tcW w:w="3060" w:type="pct"/>
            <w:tcBorders>
              <w:top w:val="single" w:sz="4" w:space="0" w:color="auto"/>
            </w:tcBorders>
            <w:vAlign w:val="bottom"/>
          </w:tcPr>
          <w:p w14:paraId="31B6194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3C5A744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top w:val="single" w:sz="4" w:space="0" w:color="auto"/>
            </w:tcBorders>
            <w:vAlign w:val="bottom"/>
          </w:tcPr>
          <w:p w14:paraId="752C5D2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10170B0B" w14:textId="77777777" w:rsidTr="009D6FA9">
        <w:trPr>
          <w:cantSplit/>
        </w:trPr>
        <w:tc>
          <w:tcPr>
            <w:tcW w:w="3060" w:type="pct"/>
            <w:vAlign w:val="bottom"/>
          </w:tcPr>
          <w:p w14:paraId="7FBE637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Cash flows from operations</w:t>
            </w:r>
            <w:r w:rsidRPr="009D6FA9">
              <w:rPr>
                <w:rFonts w:ascii="Arial" w:eastAsia="Times New Roman" w:hAnsi="Arial" w:cs="Arial"/>
                <w:b/>
                <w:spacing w:val="-2"/>
                <w:sz w:val="18"/>
                <w:szCs w:val="18"/>
                <w:lang w:eastAsia="ru-RU"/>
              </w:rPr>
              <w:t xml:space="preserve"> before changes in working capital</w:t>
            </w:r>
          </w:p>
        </w:tc>
        <w:tc>
          <w:tcPr>
            <w:tcW w:w="745" w:type="pct"/>
            <w:shd w:val="clear" w:color="auto" w:fill="auto"/>
            <w:vAlign w:val="bottom"/>
          </w:tcPr>
          <w:p w14:paraId="491B987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123,358</w:t>
            </w:r>
          </w:p>
        </w:tc>
        <w:tc>
          <w:tcPr>
            <w:tcW w:w="1195" w:type="pct"/>
            <w:vAlign w:val="bottom"/>
          </w:tcPr>
          <w:p w14:paraId="42B40B0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20"/>
                <w:lang w:val="en-US" w:eastAsia="ru-RU"/>
              </w:rPr>
              <w:t>151,284</w:t>
            </w:r>
          </w:p>
        </w:tc>
      </w:tr>
      <w:tr w:rsidR="009D6FA9" w:rsidRPr="009D6FA9" w14:paraId="7E8B732D" w14:textId="77777777" w:rsidTr="009D6FA9">
        <w:trPr>
          <w:cantSplit/>
        </w:trPr>
        <w:tc>
          <w:tcPr>
            <w:tcW w:w="3060" w:type="pct"/>
            <w:vAlign w:val="bottom"/>
          </w:tcPr>
          <w:p w14:paraId="5F0F6B21" w14:textId="77777777" w:rsidR="009D6FA9" w:rsidRPr="009D6FA9" w:rsidRDefault="009D6FA9" w:rsidP="009D6FA9">
            <w:pPr>
              <w:widowControl w:val="0"/>
              <w:autoSpaceDE w:val="0"/>
              <w:autoSpaceDN w:val="0"/>
              <w:adjustRightInd w:val="0"/>
              <w:spacing w:after="0" w:line="240" w:lineRule="auto"/>
              <w:ind w:left="58"/>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Increase/(decrease) in trade and other </w:t>
            </w:r>
            <w:r w:rsidRPr="009D6FA9">
              <w:rPr>
                <w:rFonts w:ascii="Arial" w:eastAsia="Times New Roman" w:hAnsi="Arial" w:cs="Arial"/>
                <w:spacing w:val="-2"/>
                <w:sz w:val="18"/>
                <w:szCs w:val="20"/>
                <w:lang w:eastAsia="ru-RU"/>
              </w:rPr>
              <w:t>payables</w:t>
            </w:r>
            <w:r w:rsidRPr="009D6FA9">
              <w:rPr>
                <w:rFonts w:ascii="Arial" w:eastAsia="Times New Roman" w:hAnsi="Arial" w:cs="Arial"/>
                <w:spacing w:val="-2"/>
                <w:sz w:val="18"/>
                <w:szCs w:val="20"/>
                <w:vertAlign w:val="superscript"/>
                <w:lang w:val="en-US" w:eastAsia="en-US"/>
              </w:rPr>
              <w:t>1</w:t>
            </w:r>
          </w:p>
        </w:tc>
        <w:tc>
          <w:tcPr>
            <w:tcW w:w="745" w:type="pct"/>
            <w:shd w:val="clear" w:color="auto" w:fill="auto"/>
            <w:vAlign w:val="bottom"/>
          </w:tcPr>
          <w:p w14:paraId="6EF657A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888</w:t>
            </w:r>
          </w:p>
        </w:tc>
        <w:tc>
          <w:tcPr>
            <w:tcW w:w="1195" w:type="pct"/>
            <w:vAlign w:val="bottom"/>
          </w:tcPr>
          <w:p w14:paraId="7B8D8099"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(9,821)</w:t>
            </w:r>
          </w:p>
        </w:tc>
      </w:tr>
      <w:tr w:rsidR="009D6FA9" w:rsidRPr="009D6FA9" w14:paraId="7763ECA9" w14:textId="77777777" w:rsidTr="009D6FA9">
        <w:trPr>
          <w:cantSplit/>
        </w:trPr>
        <w:tc>
          <w:tcPr>
            <w:tcW w:w="3060" w:type="pct"/>
            <w:vAlign w:val="bottom"/>
          </w:tcPr>
          <w:p w14:paraId="46CE8074" w14:textId="77777777" w:rsidR="009D6FA9" w:rsidRPr="009D6FA9" w:rsidRDefault="009D6FA9" w:rsidP="009D6FA9">
            <w:pPr>
              <w:widowControl w:val="0"/>
              <w:autoSpaceDE w:val="0"/>
              <w:autoSpaceDN w:val="0"/>
              <w:adjustRightInd w:val="0"/>
              <w:spacing w:after="0" w:line="240" w:lineRule="auto"/>
              <w:ind w:left="58"/>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(Increase)/decrease in trade and other </w:t>
            </w:r>
            <w:r w:rsidRPr="009D6FA9">
              <w:rPr>
                <w:rFonts w:ascii="Arial" w:eastAsia="Times New Roman" w:hAnsi="Arial" w:cs="Arial"/>
                <w:spacing w:val="-2"/>
                <w:sz w:val="18"/>
                <w:szCs w:val="20"/>
                <w:lang w:eastAsia="ru-RU"/>
              </w:rPr>
              <w:t>receivables</w:t>
            </w:r>
            <w:r w:rsidRPr="009D6FA9">
              <w:rPr>
                <w:rFonts w:ascii="Arial" w:eastAsia="Times New Roman" w:hAnsi="Arial" w:cs="Arial"/>
                <w:spacing w:val="-2"/>
                <w:sz w:val="18"/>
                <w:szCs w:val="20"/>
                <w:vertAlign w:val="superscript"/>
                <w:lang w:val="en-US" w:eastAsia="en-US"/>
              </w:rPr>
              <w:t>1</w:t>
            </w:r>
          </w:p>
        </w:tc>
        <w:tc>
          <w:tcPr>
            <w:tcW w:w="745" w:type="pct"/>
            <w:shd w:val="clear" w:color="auto" w:fill="auto"/>
            <w:vAlign w:val="bottom"/>
          </w:tcPr>
          <w:p w14:paraId="011640E4"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 xml:space="preserve"> (9,207)</w:t>
            </w:r>
          </w:p>
        </w:tc>
        <w:tc>
          <w:tcPr>
            <w:tcW w:w="1195" w:type="pct"/>
            <w:vAlign w:val="bottom"/>
          </w:tcPr>
          <w:p w14:paraId="4DC41B9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16,783</w:t>
            </w:r>
          </w:p>
        </w:tc>
      </w:tr>
      <w:tr w:rsidR="009D6FA9" w:rsidRPr="009D6FA9" w14:paraId="30EDB02A" w14:textId="77777777" w:rsidTr="009D6FA9">
        <w:trPr>
          <w:cantSplit/>
        </w:trPr>
        <w:tc>
          <w:tcPr>
            <w:tcW w:w="3060" w:type="pct"/>
            <w:vAlign w:val="bottom"/>
          </w:tcPr>
          <w:p w14:paraId="4F7B1584" w14:textId="77777777" w:rsidR="009D6FA9" w:rsidRPr="009D6FA9" w:rsidRDefault="009D6FA9" w:rsidP="009D6FA9">
            <w:pPr>
              <w:widowControl w:val="0"/>
              <w:autoSpaceDE w:val="0"/>
              <w:autoSpaceDN w:val="0"/>
              <w:adjustRightInd w:val="0"/>
              <w:spacing w:after="0" w:line="240" w:lineRule="auto"/>
              <w:ind w:left="58"/>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Increase in inventories, </w:t>
            </w:r>
            <w:r w:rsidRPr="009D6FA9">
              <w:rPr>
                <w:rFonts w:ascii="Arial" w:eastAsia="Times New Roman" w:hAnsi="Arial" w:cs="Arial"/>
                <w:spacing w:val="-2"/>
                <w:sz w:val="18"/>
                <w:szCs w:val="18"/>
                <w:lang w:val="en-US" w:eastAsia="en-US"/>
              </w:rPr>
              <w:t>catalysts and non-current spare parts</w:t>
            </w:r>
          </w:p>
        </w:tc>
        <w:tc>
          <w:tcPr>
            <w:tcW w:w="745" w:type="pct"/>
            <w:shd w:val="clear" w:color="auto" w:fill="auto"/>
            <w:vAlign w:val="bottom"/>
          </w:tcPr>
          <w:p w14:paraId="3FDF2E1B"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(3,440)</w:t>
            </w:r>
          </w:p>
        </w:tc>
        <w:tc>
          <w:tcPr>
            <w:tcW w:w="1195" w:type="pct"/>
            <w:vAlign w:val="bottom"/>
          </w:tcPr>
          <w:p w14:paraId="6FF8A563"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(7,495)</w:t>
            </w:r>
          </w:p>
        </w:tc>
      </w:tr>
      <w:tr w:rsidR="009D6FA9" w:rsidRPr="009D6FA9" w14:paraId="3F5B8F68" w14:textId="77777777" w:rsidTr="009D6FA9">
        <w:trPr>
          <w:cantSplit/>
        </w:trPr>
        <w:tc>
          <w:tcPr>
            <w:tcW w:w="3060" w:type="pct"/>
            <w:tcBorders>
              <w:bottom w:val="single" w:sz="4" w:space="0" w:color="auto"/>
            </w:tcBorders>
            <w:vAlign w:val="bottom"/>
          </w:tcPr>
          <w:p w14:paraId="298C15F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4658893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bottom w:val="single" w:sz="4" w:space="0" w:color="auto"/>
            </w:tcBorders>
            <w:vAlign w:val="bottom"/>
          </w:tcPr>
          <w:p w14:paraId="4D93EF9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1940CFBF" w14:textId="77777777" w:rsidTr="009D6FA9">
        <w:trPr>
          <w:cantSplit/>
        </w:trPr>
        <w:tc>
          <w:tcPr>
            <w:tcW w:w="3060" w:type="pct"/>
            <w:tcBorders>
              <w:top w:val="single" w:sz="4" w:space="0" w:color="auto"/>
            </w:tcBorders>
            <w:vAlign w:val="bottom"/>
          </w:tcPr>
          <w:p w14:paraId="369965E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15CD91E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top w:val="single" w:sz="4" w:space="0" w:color="auto"/>
            </w:tcBorders>
            <w:vAlign w:val="bottom"/>
          </w:tcPr>
          <w:p w14:paraId="0A6329A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r>
      <w:tr w:rsidR="009D6FA9" w:rsidRPr="009D6FA9" w14:paraId="2E6E093B" w14:textId="77777777" w:rsidTr="009D6FA9">
        <w:trPr>
          <w:cantSplit/>
        </w:trPr>
        <w:tc>
          <w:tcPr>
            <w:tcW w:w="3060" w:type="pct"/>
            <w:vAlign w:val="bottom"/>
          </w:tcPr>
          <w:p w14:paraId="666E861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Cash flows from operations before income tax and interest paid</w:t>
            </w:r>
          </w:p>
        </w:tc>
        <w:tc>
          <w:tcPr>
            <w:tcW w:w="745" w:type="pct"/>
            <w:shd w:val="clear" w:color="auto" w:fill="auto"/>
            <w:vAlign w:val="bottom"/>
          </w:tcPr>
          <w:p w14:paraId="57260E1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111,599</w:t>
            </w:r>
          </w:p>
        </w:tc>
        <w:tc>
          <w:tcPr>
            <w:tcW w:w="1195" w:type="pct"/>
            <w:vAlign w:val="bottom"/>
          </w:tcPr>
          <w:p w14:paraId="69F6718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20"/>
                <w:lang w:val="en-US" w:eastAsia="ru-RU"/>
              </w:rPr>
              <w:t>150,751</w:t>
            </w:r>
          </w:p>
        </w:tc>
      </w:tr>
      <w:tr w:rsidR="009D6FA9" w:rsidRPr="009D6FA9" w14:paraId="18634F04" w14:textId="77777777" w:rsidTr="009D6FA9">
        <w:trPr>
          <w:cantSplit/>
        </w:trPr>
        <w:tc>
          <w:tcPr>
            <w:tcW w:w="3060" w:type="pct"/>
            <w:vAlign w:val="bottom"/>
          </w:tcPr>
          <w:p w14:paraId="4E64F75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Income tax paid</w:t>
            </w:r>
          </w:p>
        </w:tc>
        <w:tc>
          <w:tcPr>
            <w:tcW w:w="745" w:type="pct"/>
            <w:shd w:val="clear" w:color="auto" w:fill="auto"/>
            <w:vAlign w:val="bottom"/>
          </w:tcPr>
          <w:p w14:paraId="10FF624F"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(14,919)</w:t>
            </w:r>
          </w:p>
        </w:tc>
        <w:tc>
          <w:tcPr>
            <w:tcW w:w="1195" w:type="pct"/>
            <w:vAlign w:val="bottom"/>
          </w:tcPr>
          <w:p w14:paraId="306B1DCF"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(24,345)</w:t>
            </w:r>
          </w:p>
        </w:tc>
      </w:tr>
      <w:tr w:rsidR="009D6FA9" w:rsidRPr="009D6FA9" w14:paraId="3D2B5383" w14:textId="77777777" w:rsidTr="009D6FA9">
        <w:trPr>
          <w:cantSplit/>
        </w:trPr>
        <w:tc>
          <w:tcPr>
            <w:tcW w:w="3060" w:type="pct"/>
            <w:vAlign w:val="bottom"/>
          </w:tcPr>
          <w:p w14:paraId="34DB0480"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Finance costs paid</w:t>
            </w:r>
          </w:p>
        </w:tc>
        <w:tc>
          <w:tcPr>
            <w:tcW w:w="745" w:type="pct"/>
            <w:shd w:val="clear" w:color="auto" w:fill="auto"/>
            <w:vAlign w:val="bottom"/>
          </w:tcPr>
          <w:p w14:paraId="64137012"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(9,224)</w:t>
            </w:r>
          </w:p>
        </w:tc>
        <w:tc>
          <w:tcPr>
            <w:tcW w:w="1195" w:type="pct"/>
            <w:vAlign w:val="bottom"/>
          </w:tcPr>
          <w:p w14:paraId="58BF479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(5,254)</w:t>
            </w:r>
          </w:p>
        </w:tc>
      </w:tr>
      <w:tr w:rsidR="009D6FA9" w:rsidRPr="009D6FA9" w14:paraId="001C54E4" w14:textId="77777777" w:rsidTr="009D6FA9">
        <w:trPr>
          <w:cantSplit/>
        </w:trPr>
        <w:tc>
          <w:tcPr>
            <w:tcW w:w="3060" w:type="pct"/>
            <w:tcBorders>
              <w:bottom w:val="single" w:sz="4" w:space="0" w:color="auto"/>
            </w:tcBorders>
            <w:vAlign w:val="bottom"/>
          </w:tcPr>
          <w:p w14:paraId="422F9DA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3C9DD23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bottom w:val="single" w:sz="4" w:space="0" w:color="auto"/>
            </w:tcBorders>
            <w:vAlign w:val="bottom"/>
          </w:tcPr>
          <w:p w14:paraId="0D974AC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50E840F8" w14:textId="77777777" w:rsidTr="009D6FA9">
        <w:trPr>
          <w:cantSplit/>
        </w:trPr>
        <w:tc>
          <w:tcPr>
            <w:tcW w:w="3060" w:type="pct"/>
            <w:tcBorders>
              <w:top w:val="single" w:sz="4" w:space="0" w:color="auto"/>
            </w:tcBorders>
            <w:vAlign w:val="bottom"/>
          </w:tcPr>
          <w:p w14:paraId="59F162D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0C0D45B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ru-RU" w:eastAsia="ru-RU"/>
              </w:rPr>
            </w:pPr>
          </w:p>
        </w:tc>
        <w:tc>
          <w:tcPr>
            <w:tcW w:w="1195" w:type="pct"/>
            <w:tcBorders>
              <w:top w:val="single" w:sz="4" w:space="0" w:color="auto"/>
            </w:tcBorders>
            <w:vAlign w:val="bottom"/>
          </w:tcPr>
          <w:p w14:paraId="74392FB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6DC66FD8" w14:textId="77777777" w:rsidTr="009D6FA9">
        <w:trPr>
          <w:cantSplit/>
        </w:trPr>
        <w:tc>
          <w:tcPr>
            <w:tcW w:w="3060" w:type="pct"/>
            <w:vAlign w:val="bottom"/>
          </w:tcPr>
          <w:p w14:paraId="79113AA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spacing w:val="-2"/>
                <w:sz w:val="18"/>
                <w:szCs w:val="18"/>
                <w:lang w:eastAsia="ru-RU"/>
              </w:rPr>
              <w:t>Cash flows from operating activities</w:t>
            </w:r>
          </w:p>
        </w:tc>
        <w:tc>
          <w:tcPr>
            <w:tcW w:w="745" w:type="pct"/>
            <w:shd w:val="clear" w:color="auto" w:fill="auto"/>
            <w:vAlign w:val="bottom"/>
          </w:tcPr>
          <w:p w14:paraId="13C00C3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87,456</w:t>
            </w:r>
          </w:p>
        </w:tc>
        <w:tc>
          <w:tcPr>
            <w:tcW w:w="1195" w:type="pct"/>
            <w:vAlign w:val="bottom"/>
          </w:tcPr>
          <w:p w14:paraId="49A22DD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121,152</w:t>
            </w:r>
          </w:p>
        </w:tc>
      </w:tr>
      <w:tr w:rsidR="009D6FA9" w:rsidRPr="009D6FA9" w14:paraId="47562129" w14:textId="77777777" w:rsidTr="009D6FA9">
        <w:trPr>
          <w:cantSplit/>
        </w:trPr>
        <w:tc>
          <w:tcPr>
            <w:tcW w:w="3060" w:type="pct"/>
            <w:tcBorders>
              <w:bottom w:val="single" w:sz="4" w:space="0" w:color="auto"/>
            </w:tcBorders>
            <w:vAlign w:val="bottom"/>
          </w:tcPr>
          <w:p w14:paraId="70BD954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745" w:type="pct"/>
            <w:tcBorders>
              <w:bottom w:val="single" w:sz="4" w:space="0" w:color="auto"/>
            </w:tcBorders>
            <w:shd w:val="clear" w:color="auto" w:fill="auto"/>
            <w:vAlign w:val="bottom"/>
          </w:tcPr>
          <w:p w14:paraId="1006447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195" w:type="pct"/>
            <w:tcBorders>
              <w:bottom w:val="single" w:sz="4" w:space="0" w:color="auto"/>
            </w:tcBorders>
            <w:vAlign w:val="bottom"/>
          </w:tcPr>
          <w:p w14:paraId="5B7C36F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404DEA25" w14:textId="77777777" w:rsidTr="009D6FA9">
        <w:trPr>
          <w:cantSplit/>
        </w:trPr>
        <w:tc>
          <w:tcPr>
            <w:tcW w:w="3060" w:type="pct"/>
            <w:tcBorders>
              <w:top w:val="single" w:sz="4" w:space="0" w:color="auto"/>
            </w:tcBorders>
            <w:vAlign w:val="bottom"/>
          </w:tcPr>
          <w:p w14:paraId="4E4303E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2D85159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top w:val="single" w:sz="4" w:space="0" w:color="auto"/>
            </w:tcBorders>
            <w:vAlign w:val="bottom"/>
          </w:tcPr>
          <w:p w14:paraId="65992C8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5F1E6FC0" w14:textId="77777777" w:rsidTr="009D6FA9">
        <w:trPr>
          <w:cantSplit/>
        </w:trPr>
        <w:tc>
          <w:tcPr>
            <w:tcW w:w="3060" w:type="pct"/>
            <w:vAlign w:val="bottom"/>
          </w:tcPr>
          <w:p w14:paraId="081C62A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i/>
                <w:spacing w:val="-2"/>
                <w:sz w:val="18"/>
                <w:szCs w:val="18"/>
                <w:lang w:eastAsia="ru-RU"/>
              </w:rPr>
              <w:t>Cash flows from investing activities</w:t>
            </w:r>
          </w:p>
        </w:tc>
        <w:tc>
          <w:tcPr>
            <w:tcW w:w="745" w:type="pct"/>
            <w:shd w:val="clear" w:color="auto" w:fill="auto"/>
            <w:vAlign w:val="bottom"/>
          </w:tcPr>
          <w:p w14:paraId="6E0C272E"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195" w:type="pct"/>
            <w:vAlign w:val="bottom"/>
          </w:tcPr>
          <w:p w14:paraId="6348136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9D6FA9" w:rsidRPr="009D6FA9" w14:paraId="50F8832B" w14:textId="77777777" w:rsidTr="009D6FA9">
        <w:trPr>
          <w:cantSplit/>
        </w:trPr>
        <w:tc>
          <w:tcPr>
            <w:tcW w:w="3060" w:type="pct"/>
            <w:vAlign w:val="bottom"/>
          </w:tcPr>
          <w:p w14:paraId="2DB1FE3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val="en-US" w:eastAsia="ru-RU"/>
              </w:rPr>
              <w:t>Finance income</w:t>
            </w:r>
          </w:p>
        </w:tc>
        <w:tc>
          <w:tcPr>
            <w:tcW w:w="745" w:type="pct"/>
            <w:shd w:val="clear" w:color="auto" w:fill="auto"/>
            <w:vAlign w:val="bottom"/>
          </w:tcPr>
          <w:p w14:paraId="4CF09D7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3,722</w:t>
            </w:r>
          </w:p>
        </w:tc>
        <w:tc>
          <w:tcPr>
            <w:tcW w:w="1195" w:type="pct"/>
            <w:vAlign w:val="bottom"/>
          </w:tcPr>
          <w:p w14:paraId="45D67FF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1,174</w:t>
            </w:r>
          </w:p>
        </w:tc>
      </w:tr>
      <w:tr w:rsidR="009D6FA9" w:rsidRPr="009D6FA9" w14:paraId="58DD3E3E" w14:textId="77777777" w:rsidTr="009D6FA9">
        <w:trPr>
          <w:cantSplit/>
        </w:trPr>
        <w:tc>
          <w:tcPr>
            <w:tcW w:w="3060" w:type="pct"/>
            <w:vAlign w:val="bottom"/>
          </w:tcPr>
          <w:p w14:paraId="68CCF14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Acquisition of property, plant and equipment and intangible assets</w:t>
            </w:r>
          </w:p>
        </w:tc>
        <w:tc>
          <w:tcPr>
            <w:tcW w:w="745" w:type="pct"/>
            <w:shd w:val="clear" w:color="auto" w:fill="auto"/>
            <w:vAlign w:val="bottom"/>
          </w:tcPr>
          <w:p w14:paraId="70635FDF"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(54,673)</w:t>
            </w:r>
          </w:p>
        </w:tc>
        <w:tc>
          <w:tcPr>
            <w:tcW w:w="1195" w:type="pct"/>
            <w:vAlign w:val="bottom"/>
          </w:tcPr>
          <w:p w14:paraId="2F61E00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(40,158)</w:t>
            </w:r>
          </w:p>
        </w:tc>
      </w:tr>
      <w:tr w:rsidR="009D6FA9" w:rsidRPr="009D6FA9" w14:paraId="26FDA43D" w14:textId="77777777" w:rsidTr="009D6FA9">
        <w:trPr>
          <w:cantSplit/>
        </w:trPr>
        <w:tc>
          <w:tcPr>
            <w:tcW w:w="3060" w:type="pct"/>
            <w:vAlign w:val="bottom"/>
          </w:tcPr>
          <w:p w14:paraId="3AA9C37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Loans issued</w:t>
            </w:r>
          </w:p>
        </w:tc>
        <w:tc>
          <w:tcPr>
            <w:tcW w:w="745" w:type="pct"/>
            <w:shd w:val="clear" w:color="auto" w:fill="auto"/>
            <w:vAlign w:val="bottom"/>
          </w:tcPr>
          <w:p w14:paraId="62598A44"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(2,525)</w:t>
            </w:r>
          </w:p>
        </w:tc>
        <w:tc>
          <w:tcPr>
            <w:tcW w:w="1195" w:type="pct"/>
            <w:vAlign w:val="bottom"/>
          </w:tcPr>
          <w:p w14:paraId="201A2B5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w:t>
            </w:r>
          </w:p>
        </w:tc>
      </w:tr>
      <w:tr w:rsidR="009D6FA9" w:rsidRPr="009D6FA9" w14:paraId="49802F38" w14:textId="77777777" w:rsidTr="009D6FA9">
        <w:trPr>
          <w:cantSplit/>
        </w:trPr>
        <w:tc>
          <w:tcPr>
            <w:tcW w:w="3060" w:type="pct"/>
            <w:vAlign w:val="bottom"/>
          </w:tcPr>
          <w:p w14:paraId="6B9286C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 xml:space="preserve">Borrowing cost </w:t>
            </w:r>
            <w:proofErr w:type="spellStart"/>
            <w:r w:rsidRPr="009D6FA9">
              <w:rPr>
                <w:rFonts w:ascii="Arial" w:eastAsia="Times New Roman" w:hAnsi="Arial" w:cs="Arial"/>
                <w:spacing w:val="-2"/>
                <w:sz w:val="18"/>
                <w:szCs w:val="18"/>
                <w:lang w:val="en-US" w:eastAsia="ru-RU"/>
              </w:rPr>
              <w:t>capitalised</w:t>
            </w:r>
            <w:proofErr w:type="spellEnd"/>
            <w:r w:rsidRPr="009D6FA9">
              <w:rPr>
                <w:rFonts w:ascii="Arial" w:eastAsia="Times New Roman" w:hAnsi="Arial" w:cs="Arial"/>
                <w:spacing w:val="-2"/>
                <w:sz w:val="18"/>
                <w:szCs w:val="18"/>
                <w:lang w:val="en-US" w:eastAsia="ru-RU"/>
              </w:rPr>
              <w:t xml:space="preserve"> paid</w:t>
            </w:r>
          </w:p>
        </w:tc>
        <w:tc>
          <w:tcPr>
            <w:tcW w:w="745" w:type="pct"/>
            <w:shd w:val="clear" w:color="auto" w:fill="auto"/>
            <w:vAlign w:val="bottom"/>
          </w:tcPr>
          <w:p w14:paraId="52712346"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(2,848)</w:t>
            </w:r>
          </w:p>
        </w:tc>
        <w:tc>
          <w:tcPr>
            <w:tcW w:w="1195" w:type="pct"/>
            <w:vAlign w:val="bottom"/>
          </w:tcPr>
          <w:p w14:paraId="59631742"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(1,246)</w:t>
            </w:r>
          </w:p>
        </w:tc>
      </w:tr>
      <w:tr w:rsidR="009D6FA9" w:rsidRPr="009D6FA9" w14:paraId="79AAA698" w14:textId="77777777" w:rsidTr="009D6FA9">
        <w:trPr>
          <w:cantSplit/>
        </w:trPr>
        <w:tc>
          <w:tcPr>
            <w:tcW w:w="3060" w:type="pct"/>
            <w:vAlign w:val="bottom"/>
          </w:tcPr>
          <w:p w14:paraId="55A054EE"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Advances issued for right-of-use assets</w:t>
            </w:r>
          </w:p>
        </w:tc>
        <w:tc>
          <w:tcPr>
            <w:tcW w:w="745" w:type="pct"/>
            <w:shd w:val="clear" w:color="auto" w:fill="auto"/>
            <w:vAlign w:val="bottom"/>
          </w:tcPr>
          <w:p w14:paraId="7375AC4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(135)</w:t>
            </w:r>
          </w:p>
        </w:tc>
        <w:tc>
          <w:tcPr>
            <w:tcW w:w="1195" w:type="pct"/>
            <w:vAlign w:val="bottom"/>
          </w:tcPr>
          <w:p w14:paraId="046033AA"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(94)</w:t>
            </w:r>
          </w:p>
        </w:tc>
      </w:tr>
      <w:tr w:rsidR="009D6FA9" w:rsidRPr="009D6FA9" w14:paraId="20D54F95" w14:textId="77777777" w:rsidTr="009D6FA9">
        <w:trPr>
          <w:cantSplit/>
        </w:trPr>
        <w:tc>
          <w:tcPr>
            <w:tcW w:w="3060" w:type="pct"/>
            <w:vAlign w:val="bottom"/>
          </w:tcPr>
          <w:p w14:paraId="22C60B0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Other</w:t>
            </w:r>
          </w:p>
        </w:tc>
        <w:tc>
          <w:tcPr>
            <w:tcW w:w="745" w:type="pct"/>
            <w:shd w:val="clear" w:color="auto" w:fill="auto"/>
            <w:vAlign w:val="bottom"/>
          </w:tcPr>
          <w:p w14:paraId="18849BDF" w14:textId="77777777" w:rsidR="009D6FA9" w:rsidRPr="009D6FA9" w:rsidDel="00305D7D"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4,994</w:t>
            </w:r>
          </w:p>
        </w:tc>
        <w:tc>
          <w:tcPr>
            <w:tcW w:w="1195" w:type="pct"/>
            <w:vAlign w:val="bottom"/>
          </w:tcPr>
          <w:p w14:paraId="325C7A8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149</w:t>
            </w:r>
          </w:p>
        </w:tc>
      </w:tr>
      <w:tr w:rsidR="009D6FA9" w:rsidRPr="009D6FA9" w14:paraId="55DAE454" w14:textId="77777777" w:rsidTr="009D6FA9">
        <w:trPr>
          <w:cantSplit/>
        </w:trPr>
        <w:tc>
          <w:tcPr>
            <w:tcW w:w="3060" w:type="pct"/>
            <w:tcBorders>
              <w:bottom w:val="single" w:sz="4" w:space="0" w:color="auto"/>
            </w:tcBorders>
            <w:vAlign w:val="bottom"/>
          </w:tcPr>
          <w:p w14:paraId="325AC5F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15495EF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bottom w:val="single" w:sz="4" w:space="0" w:color="auto"/>
            </w:tcBorders>
            <w:vAlign w:val="bottom"/>
          </w:tcPr>
          <w:p w14:paraId="3ACC977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69A1E29F" w14:textId="77777777" w:rsidTr="009D6FA9">
        <w:trPr>
          <w:cantSplit/>
        </w:trPr>
        <w:tc>
          <w:tcPr>
            <w:tcW w:w="3060" w:type="pct"/>
            <w:tcBorders>
              <w:top w:val="single" w:sz="4" w:space="0" w:color="auto"/>
            </w:tcBorders>
            <w:vAlign w:val="bottom"/>
          </w:tcPr>
          <w:p w14:paraId="4976444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2CC5FD6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top w:val="single" w:sz="4" w:space="0" w:color="auto"/>
            </w:tcBorders>
            <w:vAlign w:val="bottom"/>
          </w:tcPr>
          <w:p w14:paraId="4298592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1C3368EF" w14:textId="77777777" w:rsidTr="009D6FA9">
        <w:trPr>
          <w:cantSplit/>
        </w:trPr>
        <w:tc>
          <w:tcPr>
            <w:tcW w:w="3060" w:type="pct"/>
            <w:vAlign w:val="bottom"/>
          </w:tcPr>
          <w:p w14:paraId="027FCE5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Cash flows used in investing activities</w:t>
            </w:r>
          </w:p>
        </w:tc>
        <w:tc>
          <w:tcPr>
            <w:tcW w:w="745" w:type="pct"/>
            <w:shd w:val="clear" w:color="auto" w:fill="auto"/>
            <w:vAlign w:val="bottom"/>
          </w:tcPr>
          <w:p w14:paraId="552C30F3"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20"/>
                <w:lang w:val="en-US" w:eastAsia="ru-RU"/>
              </w:rPr>
              <w:t>(51,465)</w:t>
            </w:r>
          </w:p>
        </w:tc>
        <w:tc>
          <w:tcPr>
            <w:tcW w:w="1195" w:type="pct"/>
            <w:vAlign w:val="bottom"/>
          </w:tcPr>
          <w:p w14:paraId="1B5EBADD"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(40,175)</w:t>
            </w:r>
          </w:p>
        </w:tc>
      </w:tr>
      <w:tr w:rsidR="009D6FA9" w:rsidRPr="009D6FA9" w14:paraId="67D960DB" w14:textId="77777777" w:rsidTr="009D6FA9">
        <w:trPr>
          <w:cantSplit/>
        </w:trPr>
        <w:tc>
          <w:tcPr>
            <w:tcW w:w="3060" w:type="pct"/>
            <w:tcBorders>
              <w:bottom w:val="single" w:sz="4" w:space="0" w:color="auto"/>
            </w:tcBorders>
            <w:vAlign w:val="bottom"/>
          </w:tcPr>
          <w:p w14:paraId="7B4D589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745" w:type="pct"/>
            <w:tcBorders>
              <w:bottom w:val="single" w:sz="4" w:space="0" w:color="auto"/>
            </w:tcBorders>
            <w:shd w:val="clear" w:color="auto" w:fill="auto"/>
            <w:vAlign w:val="bottom"/>
          </w:tcPr>
          <w:p w14:paraId="4A69248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195" w:type="pct"/>
            <w:tcBorders>
              <w:bottom w:val="single" w:sz="4" w:space="0" w:color="auto"/>
            </w:tcBorders>
            <w:vAlign w:val="bottom"/>
          </w:tcPr>
          <w:p w14:paraId="3EAC021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7D2D65E6" w14:textId="77777777" w:rsidTr="009D6FA9">
        <w:trPr>
          <w:cantSplit/>
        </w:trPr>
        <w:tc>
          <w:tcPr>
            <w:tcW w:w="3060" w:type="pct"/>
            <w:tcBorders>
              <w:top w:val="single" w:sz="4" w:space="0" w:color="auto"/>
            </w:tcBorders>
            <w:vAlign w:val="bottom"/>
          </w:tcPr>
          <w:p w14:paraId="1965A15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742A7FE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top w:val="single" w:sz="4" w:space="0" w:color="auto"/>
            </w:tcBorders>
            <w:vAlign w:val="bottom"/>
          </w:tcPr>
          <w:p w14:paraId="1D7A7028"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6F136065" w14:textId="77777777" w:rsidTr="009D6FA9">
        <w:trPr>
          <w:cantSplit/>
        </w:trPr>
        <w:tc>
          <w:tcPr>
            <w:tcW w:w="3060" w:type="pct"/>
            <w:vAlign w:val="bottom"/>
          </w:tcPr>
          <w:p w14:paraId="51AB31A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i/>
                <w:spacing w:val="-2"/>
                <w:sz w:val="18"/>
                <w:szCs w:val="18"/>
                <w:lang w:eastAsia="ru-RU"/>
              </w:rPr>
              <w:t>Cash flows from financing activities</w:t>
            </w:r>
          </w:p>
        </w:tc>
        <w:tc>
          <w:tcPr>
            <w:tcW w:w="745" w:type="pct"/>
            <w:shd w:val="clear" w:color="auto" w:fill="auto"/>
            <w:vAlign w:val="bottom"/>
          </w:tcPr>
          <w:p w14:paraId="47CDBFE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c>
          <w:tcPr>
            <w:tcW w:w="1195" w:type="pct"/>
            <w:vAlign w:val="bottom"/>
          </w:tcPr>
          <w:p w14:paraId="3B48B34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eastAsia="ru-RU"/>
              </w:rPr>
            </w:pPr>
          </w:p>
        </w:tc>
      </w:tr>
      <w:tr w:rsidR="009D6FA9" w:rsidRPr="009D6FA9" w14:paraId="11EC93C7" w14:textId="77777777" w:rsidTr="009D6FA9">
        <w:trPr>
          <w:cantSplit/>
        </w:trPr>
        <w:tc>
          <w:tcPr>
            <w:tcW w:w="3060" w:type="pct"/>
            <w:vAlign w:val="bottom"/>
          </w:tcPr>
          <w:p w14:paraId="5565F13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 xml:space="preserve">Proceeds from borrowings, net of transaction costs </w:t>
            </w:r>
          </w:p>
        </w:tc>
        <w:tc>
          <w:tcPr>
            <w:tcW w:w="745" w:type="pct"/>
            <w:shd w:val="clear" w:color="auto" w:fill="auto"/>
            <w:vAlign w:val="bottom"/>
          </w:tcPr>
          <w:p w14:paraId="2C04255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188,305</w:t>
            </w:r>
          </w:p>
        </w:tc>
        <w:tc>
          <w:tcPr>
            <w:tcW w:w="1195" w:type="pct"/>
            <w:vAlign w:val="bottom"/>
          </w:tcPr>
          <w:p w14:paraId="3619AC1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120,953</w:t>
            </w:r>
          </w:p>
        </w:tc>
      </w:tr>
      <w:tr w:rsidR="009D6FA9" w:rsidRPr="009D6FA9" w14:paraId="44F91C18" w14:textId="77777777" w:rsidTr="009D6FA9">
        <w:trPr>
          <w:cantSplit/>
        </w:trPr>
        <w:tc>
          <w:tcPr>
            <w:tcW w:w="3060" w:type="pct"/>
            <w:vAlign w:val="bottom"/>
          </w:tcPr>
          <w:p w14:paraId="3BEDF87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Repayment of borrowings</w:t>
            </w:r>
          </w:p>
        </w:tc>
        <w:tc>
          <w:tcPr>
            <w:tcW w:w="745" w:type="pct"/>
            <w:shd w:val="clear" w:color="auto" w:fill="auto"/>
            <w:vAlign w:val="bottom"/>
          </w:tcPr>
          <w:p w14:paraId="3E546B7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(108,455)</w:t>
            </w:r>
          </w:p>
        </w:tc>
        <w:tc>
          <w:tcPr>
            <w:tcW w:w="1195" w:type="pct"/>
            <w:vAlign w:val="bottom"/>
          </w:tcPr>
          <w:p w14:paraId="47ACA314"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(104,724)</w:t>
            </w:r>
          </w:p>
        </w:tc>
      </w:tr>
      <w:tr w:rsidR="009D6FA9" w:rsidRPr="009D6FA9" w14:paraId="2D078308" w14:textId="77777777" w:rsidTr="009D6FA9">
        <w:trPr>
          <w:cantSplit/>
        </w:trPr>
        <w:tc>
          <w:tcPr>
            <w:tcW w:w="3060" w:type="pct"/>
            <w:vAlign w:val="bottom"/>
          </w:tcPr>
          <w:p w14:paraId="23B798C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bookmarkStart w:id="1" w:name="_Hlk173487833"/>
            <w:r w:rsidRPr="009D6FA9">
              <w:rPr>
                <w:rFonts w:ascii="Arial" w:eastAsia="Times New Roman" w:hAnsi="Arial" w:cs="Arial"/>
                <w:spacing w:val="-2"/>
                <w:sz w:val="18"/>
                <w:szCs w:val="18"/>
                <w:lang w:eastAsia="ru-RU"/>
              </w:rPr>
              <w:t>Dividends paid to shareholders of the Company</w:t>
            </w:r>
          </w:p>
        </w:tc>
        <w:tc>
          <w:tcPr>
            <w:tcW w:w="745" w:type="pct"/>
            <w:shd w:val="clear" w:color="auto" w:fill="auto"/>
            <w:vAlign w:val="bottom"/>
          </w:tcPr>
          <w:p w14:paraId="5D92C492"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(77,700)</w:t>
            </w:r>
          </w:p>
        </w:tc>
        <w:tc>
          <w:tcPr>
            <w:tcW w:w="1195" w:type="pct"/>
            <w:vAlign w:val="bottom"/>
          </w:tcPr>
          <w:p w14:paraId="628BECC7"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(94,487)</w:t>
            </w:r>
          </w:p>
        </w:tc>
      </w:tr>
      <w:bookmarkEnd w:id="1"/>
      <w:tr w:rsidR="009D6FA9" w:rsidRPr="009D6FA9" w14:paraId="6E3427E4" w14:textId="77777777" w:rsidTr="009D6FA9">
        <w:trPr>
          <w:cantSplit/>
        </w:trPr>
        <w:tc>
          <w:tcPr>
            <w:tcW w:w="3060" w:type="pct"/>
            <w:vAlign w:val="bottom"/>
          </w:tcPr>
          <w:p w14:paraId="143AA39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eastAsia="ru-RU"/>
              </w:rPr>
              <w:t>Repayment</w:t>
            </w:r>
            <w:r w:rsidRPr="009D6FA9">
              <w:rPr>
                <w:rFonts w:ascii="Arial" w:eastAsia="Times New Roman" w:hAnsi="Arial" w:cs="Arial"/>
                <w:spacing w:val="-2"/>
                <w:sz w:val="18"/>
                <w:szCs w:val="20"/>
                <w:lang w:val="en-US" w:eastAsia="en-US"/>
              </w:rPr>
              <w:t xml:space="preserve"> of dividends previously refunded </w:t>
            </w:r>
            <w:r w:rsidRPr="009D6FA9">
              <w:rPr>
                <w:rFonts w:ascii="Arial" w:eastAsia="Times New Roman" w:hAnsi="Arial" w:cs="Arial"/>
                <w:spacing w:val="-2"/>
                <w:sz w:val="18"/>
                <w:szCs w:val="18"/>
                <w:lang w:eastAsia="ru-RU"/>
              </w:rPr>
              <w:t>to shareholders of the Company</w:t>
            </w:r>
          </w:p>
        </w:tc>
        <w:tc>
          <w:tcPr>
            <w:tcW w:w="745" w:type="pct"/>
            <w:shd w:val="clear" w:color="auto" w:fill="auto"/>
            <w:vAlign w:val="bottom"/>
          </w:tcPr>
          <w:p w14:paraId="0CB74D10"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(188)</w:t>
            </w:r>
          </w:p>
        </w:tc>
        <w:tc>
          <w:tcPr>
            <w:tcW w:w="1195" w:type="pct"/>
            <w:vAlign w:val="bottom"/>
          </w:tcPr>
          <w:p w14:paraId="6F1405EC"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(75)</w:t>
            </w:r>
          </w:p>
        </w:tc>
      </w:tr>
      <w:tr w:rsidR="009D6FA9" w:rsidRPr="009D6FA9" w14:paraId="01A43F90" w14:textId="77777777" w:rsidTr="009D6FA9">
        <w:trPr>
          <w:cantSplit/>
        </w:trPr>
        <w:tc>
          <w:tcPr>
            <w:tcW w:w="3060" w:type="pct"/>
            <w:vAlign w:val="bottom"/>
          </w:tcPr>
          <w:p w14:paraId="61EB4B17"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val="en-US" w:eastAsia="ru-RU"/>
              </w:rPr>
              <w:t>Refund of dividends paid</w:t>
            </w:r>
            <w:r w:rsidRPr="009D6FA9">
              <w:rPr>
                <w:rFonts w:ascii="Arial" w:eastAsia="Times New Roman" w:hAnsi="Arial" w:cs="Arial"/>
                <w:spacing w:val="-2"/>
                <w:sz w:val="18"/>
                <w:szCs w:val="18"/>
                <w:vertAlign w:val="superscript"/>
                <w:lang w:val="en-US" w:eastAsia="ru-RU"/>
              </w:rPr>
              <w:t>2</w:t>
            </w:r>
          </w:p>
        </w:tc>
        <w:tc>
          <w:tcPr>
            <w:tcW w:w="745" w:type="pct"/>
            <w:shd w:val="clear" w:color="auto" w:fill="auto"/>
            <w:vAlign w:val="bottom"/>
          </w:tcPr>
          <w:p w14:paraId="69F17CFD"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2,854</w:t>
            </w:r>
          </w:p>
        </w:tc>
        <w:tc>
          <w:tcPr>
            <w:tcW w:w="1195" w:type="pct"/>
            <w:vAlign w:val="bottom"/>
          </w:tcPr>
          <w:p w14:paraId="7054D60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color w:val="000000"/>
                <w:spacing w:val="-2"/>
                <w:sz w:val="18"/>
                <w:szCs w:val="18"/>
                <w:lang w:val="en-US" w:eastAsia="en-US"/>
              </w:rPr>
            </w:pPr>
            <w:r w:rsidRPr="009D6FA9">
              <w:rPr>
                <w:rFonts w:ascii="Arial" w:eastAsia="Times New Roman" w:hAnsi="Arial" w:cs="Arial"/>
                <w:color w:val="000000"/>
                <w:spacing w:val="-2"/>
                <w:sz w:val="18"/>
                <w:szCs w:val="18"/>
                <w:lang w:val="en-US" w:eastAsia="en-US"/>
              </w:rPr>
              <w:t>14,791</w:t>
            </w:r>
          </w:p>
        </w:tc>
      </w:tr>
      <w:tr w:rsidR="009D6FA9" w:rsidRPr="009D6FA9" w14:paraId="0AF08BE4" w14:textId="77777777" w:rsidTr="009D6FA9">
        <w:trPr>
          <w:cantSplit/>
        </w:trPr>
        <w:tc>
          <w:tcPr>
            <w:tcW w:w="3060" w:type="pct"/>
            <w:vAlign w:val="bottom"/>
          </w:tcPr>
          <w:p w14:paraId="15272998"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20"/>
                <w:lang w:eastAsia="ru-RU"/>
              </w:rPr>
              <w:t>Dividends paid</w:t>
            </w:r>
            <w:r w:rsidRPr="009D6FA9">
              <w:rPr>
                <w:rFonts w:ascii="Arial" w:eastAsia="Times New Roman" w:hAnsi="Arial" w:cs="Arial"/>
                <w:spacing w:val="-2"/>
                <w:sz w:val="18"/>
                <w:szCs w:val="18"/>
                <w:lang w:val="en-US" w:eastAsia="ru-RU"/>
              </w:rPr>
              <w:t xml:space="preserve"> to non-controlling interests</w:t>
            </w:r>
          </w:p>
        </w:tc>
        <w:tc>
          <w:tcPr>
            <w:tcW w:w="745" w:type="pct"/>
            <w:shd w:val="clear" w:color="auto" w:fill="auto"/>
            <w:vAlign w:val="bottom"/>
          </w:tcPr>
          <w:p w14:paraId="567BB4B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w:t>
            </w:r>
          </w:p>
        </w:tc>
        <w:tc>
          <w:tcPr>
            <w:tcW w:w="1195" w:type="pct"/>
            <w:vAlign w:val="bottom"/>
          </w:tcPr>
          <w:p w14:paraId="62D11A73"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(131)</w:t>
            </w:r>
          </w:p>
        </w:tc>
      </w:tr>
      <w:tr w:rsidR="009D6FA9" w:rsidRPr="009D6FA9" w14:paraId="0BCA6FF3" w14:textId="77777777" w:rsidTr="009D6FA9">
        <w:trPr>
          <w:cantSplit/>
        </w:trPr>
        <w:tc>
          <w:tcPr>
            <w:tcW w:w="3060" w:type="pct"/>
            <w:vAlign w:val="bottom"/>
          </w:tcPr>
          <w:p w14:paraId="493362B3"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Lease payments</w:t>
            </w:r>
          </w:p>
        </w:tc>
        <w:tc>
          <w:tcPr>
            <w:tcW w:w="745" w:type="pct"/>
            <w:shd w:val="clear" w:color="auto" w:fill="auto"/>
            <w:vAlign w:val="bottom"/>
          </w:tcPr>
          <w:p w14:paraId="620B2D3E"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(1,167)</w:t>
            </w:r>
          </w:p>
        </w:tc>
        <w:tc>
          <w:tcPr>
            <w:tcW w:w="1195" w:type="pct"/>
            <w:vAlign w:val="bottom"/>
          </w:tcPr>
          <w:p w14:paraId="61D38CB9"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spacing w:val="-2"/>
                <w:sz w:val="18"/>
                <w:szCs w:val="20"/>
                <w:lang w:val="en-US" w:eastAsia="ru-RU"/>
              </w:rPr>
            </w:pPr>
            <w:r w:rsidRPr="009D6FA9">
              <w:rPr>
                <w:rFonts w:ascii="Arial" w:eastAsia="Times New Roman" w:hAnsi="Arial" w:cs="Arial"/>
                <w:spacing w:val="-2"/>
                <w:sz w:val="18"/>
                <w:szCs w:val="20"/>
                <w:lang w:val="en-US" w:eastAsia="ru-RU"/>
              </w:rPr>
              <w:t>(1,032)</w:t>
            </w:r>
          </w:p>
        </w:tc>
      </w:tr>
      <w:tr w:rsidR="009D6FA9" w:rsidRPr="009D6FA9" w14:paraId="4A8B1FE2" w14:textId="77777777" w:rsidTr="009D6FA9">
        <w:trPr>
          <w:cantSplit/>
        </w:trPr>
        <w:tc>
          <w:tcPr>
            <w:tcW w:w="3060" w:type="pct"/>
            <w:tcBorders>
              <w:bottom w:val="single" w:sz="4" w:space="0" w:color="auto"/>
            </w:tcBorders>
            <w:vAlign w:val="bottom"/>
          </w:tcPr>
          <w:p w14:paraId="70356F7A"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765A8957"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bottom w:val="single" w:sz="4" w:space="0" w:color="auto"/>
            </w:tcBorders>
            <w:vAlign w:val="bottom"/>
          </w:tcPr>
          <w:p w14:paraId="0A53C3CC"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7EAB13C0" w14:textId="77777777" w:rsidTr="009D6FA9">
        <w:trPr>
          <w:cantSplit/>
        </w:trPr>
        <w:tc>
          <w:tcPr>
            <w:tcW w:w="3060" w:type="pct"/>
            <w:tcBorders>
              <w:top w:val="single" w:sz="4" w:space="0" w:color="auto"/>
            </w:tcBorders>
            <w:vAlign w:val="bottom"/>
          </w:tcPr>
          <w:p w14:paraId="5652F279"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21F9C37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top w:val="single" w:sz="4" w:space="0" w:color="auto"/>
            </w:tcBorders>
            <w:vAlign w:val="bottom"/>
          </w:tcPr>
          <w:p w14:paraId="05CC036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r>
      <w:tr w:rsidR="009D6FA9" w:rsidRPr="009D6FA9" w14:paraId="6F0402E8" w14:textId="77777777" w:rsidTr="009D6FA9">
        <w:trPr>
          <w:cantSplit/>
        </w:trPr>
        <w:tc>
          <w:tcPr>
            <w:tcW w:w="3060" w:type="pct"/>
            <w:vAlign w:val="bottom"/>
          </w:tcPr>
          <w:p w14:paraId="0421B9B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b/>
                <w:spacing w:val="-2"/>
                <w:sz w:val="18"/>
                <w:szCs w:val="18"/>
                <w:lang w:eastAsia="ru-RU"/>
              </w:rPr>
              <w:t>Cash flows from/(used in) financing activities</w:t>
            </w:r>
          </w:p>
        </w:tc>
        <w:tc>
          <w:tcPr>
            <w:tcW w:w="745" w:type="pct"/>
            <w:shd w:val="clear" w:color="auto" w:fill="auto"/>
            <w:vAlign w:val="bottom"/>
          </w:tcPr>
          <w:p w14:paraId="79C6ADBB"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20"/>
                <w:lang w:val="en-US" w:eastAsia="ru-RU"/>
              </w:rPr>
              <w:t>3,649</w:t>
            </w:r>
          </w:p>
        </w:tc>
        <w:tc>
          <w:tcPr>
            <w:tcW w:w="1195" w:type="pct"/>
            <w:vAlign w:val="bottom"/>
          </w:tcPr>
          <w:p w14:paraId="5603E8BA" w14:textId="77777777" w:rsidR="009D6FA9" w:rsidRPr="009D6FA9" w:rsidRDefault="009D6FA9" w:rsidP="009D6FA9">
            <w:pPr>
              <w:widowControl w:val="0"/>
              <w:autoSpaceDE w:val="0"/>
              <w:autoSpaceDN w:val="0"/>
              <w:adjustRightInd w:val="0"/>
              <w:spacing w:after="0" w:line="240" w:lineRule="auto"/>
              <w:ind w:right="-57"/>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(64,705)</w:t>
            </w:r>
          </w:p>
        </w:tc>
      </w:tr>
      <w:tr w:rsidR="009D6FA9" w:rsidRPr="009D6FA9" w14:paraId="620E39D2" w14:textId="77777777" w:rsidTr="009D6FA9">
        <w:trPr>
          <w:cantSplit/>
        </w:trPr>
        <w:tc>
          <w:tcPr>
            <w:tcW w:w="3060" w:type="pct"/>
            <w:tcBorders>
              <w:bottom w:val="single" w:sz="4" w:space="0" w:color="auto"/>
            </w:tcBorders>
            <w:vAlign w:val="bottom"/>
          </w:tcPr>
          <w:p w14:paraId="07F0683C"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745" w:type="pct"/>
            <w:tcBorders>
              <w:bottom w:val="single" w:sz="4" w:space="0" w:color="auto"/>
            </w:tcBorders>
            <w:shd w:val="clear" w:color="auto" w:fill="auto"/>
            <w:vAlign w:val="bottom"/>
          </w:tcPr>
          <w:p w14:paraId="79E24E7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195" w:type="pct"/>
            <w:tcBorders>
              <w:bottom w:val="single" w:sz="4" w:space="0" w:color="auto"/>
            </w:tcBorders>
            <w:vAlign w:val="bottom"/>
          </w:tcPr>
          <w:p w14:paraId="79E85B94"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27BA63E6" w14:textId="77777777" w:rsidTr="009D6FA9">
        <w:trPr>
          <w:cantSplit/>
        </w:trPr>
        <w:tc>
          <w:tcPr>
            <w:tcW w:w="3060" w:type="pct"/>
            <w:tcBorders>
              <w:top w:val="single" w:sz="4" w:space="0" w:color="auto"/>
            </w:tcBorders>
            <w:vAlign w:val="bottom"/>
          </w:tcPr>
          <w:p w14:paraId="56CD0D45"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745" w:type="pct"/>
            <w:tcBorders>
              <w:top w:val="single" w:sz="4" w:space="0" w:color="auto"/>
            </w:tcBorders>
            <w:shd w:val="clear" w:color="auto" w:fill="auto"/>
            <w:vAlign w:val="bottom"/>
          </w:tcPr>
          <w:p w14:paraId="243F6DD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195" w:type="pct"/>
            <w:tcBorders>
              <w:top w:val="single" w:sz="4" w:space="0" w:color="auto"/>
            </w:tcBorders>
            <w:vAlign w:val="bottom"/>
          </w:tcPr>
          <w:p w14:paraId="3064D7D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r>
      <w:tr w:rsidR="009D6FA9" w:rsidRPr="009D6FA9" w14:paraId="4908E6C6" w14:textId="77777777" w:rsidTr="009D6FA9">
        <w:trPr>
          <w:cantSplit/>
        </w:trPr>
        <w:tc>
          <w:tcPr>
            <w:tcW w:w="3060" w:type="pct"/>
            <w:vAlign w:val="bottom"/>
          </w:tcPr>
          <w:p w14:paraId="349738E2"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Net increase in cash and cash equivalents</w:t>
            </w:r>
          </w:p>
        </w:tc>
        <w:tc>
          <w:tcPr>
            <w:tcW w:w="745" w:type="pct"/>
            <w:shd w:val="clear" w:color="auto" w:fill="auto"/>
            <w:vAlign w:val="bottom"/>
          </w:tcPr>
          <w:p w14:paraId="227A55C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20"/>
                <w:lang w:val="en-US" w:eastAsia="ru-RU"/>
              </w:rPr>
              <w:t>39,640</w:t>
            </w:r>
          </w:p>
        </w:tc>
        <w:tc>
          <w:tcPr>
            <w:tcW w:w="1195" w:type="pct"/>
            <w:vAlign w:val="bottom"/>
          </w:tcPr>
          <w:p w14:paraId="4A3AB39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16,272</w:t>
            </w:r>
          </w:p>
        </w:tc>
      </w:tr>
      <w:tr w:rsidR="009D6FA9" w:rsidRPr="009D6FA9" w14:paraId="71E2235C" w14:textId="77777777" w:rsidTr="009D6FA9">
        <w:trPr>
          <w:cantSplit/>
        </w:trPr>
        <w:tc>
          <w:tcPr>
            <w:tcW w:w="3060" w:type="pct"/>
            <w:vAlign w:val="bottom"/>
          </w:tcPr>
          <w:p w14:paraId="758A0CDF"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eastAsia="ru-RU"/>
              </w:rPr>
            </w:pPr>
            <w:r w:rsidRPr="009D6FA9">
              <w:rPr>
                <w:rFonts w:ascii="Arial" w:eastAsia="Times New Roman" w:hAnsi="Arial" w:cs="Arial"/>
                <w:spacing w:val="-2"/>
                <w:sz w:val="18"/>
                <w:szCs w:val="18"/>
                <w:lang w:eastAsia="ru-RU"/>
              </w:rPr>
              <w:t>Cash and cash equivalents at 1 January</w:t>
            </w:r>
          </w:p>
        </w:tc>
        <w:tc>
          <w:tcPr>
            <w:tcW w:w="745" w:type="pct"/>
            <w:shd w:val="clear" w:color="auto" w:fill="auto"/>
            <w:vAlign w:val="bottom"/>
          </w:tcPr>
          <w:p w14:paraId="078375C3"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29,163</w:t>
            </w:r>
          </w:p>
        </w:tc>
        <w:tc>
          <w:tcPr>
            <w:tcW w:w="1195" w:type="pct"/>
            <w:vAlign w:val="bottom"/>
          </w:tcPr>
          <w:p w14:paraId="5949738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13,356</w:t>
            </w:r>
          </w:p>
        </w:tc>
      </w:tr>
      <w:tr w:rsidR="009D6FA9" w:rsidRPr="009D6FA9" w14:paraId="4B9FD1FA" w14:textId="77777777" w:rsidTr="009D6FA9">
        <w:trPr>
          <w:cantSplit/>
        </w:trPr>
        <w:tc>
          <w:tcPr>
            <w:tcW w:w="3060" w:type="pct"/>
            <w:vAlign w:val="bottom"/>
          </w:tcPr>
          <w:p w14:paraId="0B738366"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eastAsia="ru-RU"/>
              </w:rPr>
              <w:t>Effect of exchange rates fluctuations</w:t>
            </w:r>
          </w:p>
        </w:tc>
        <w:tc>
          <w:tcPr>
            <w:tcW w:w="745" w:type="pct"/>
            <w:shd w:val="clear" w:color="auto" w:fill="auto"/>
            <w:vAlign w:val="bottom"/>
          </w:tcPr>
          <w:p w14:paraId="2107F875"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993</w:t>
            </w:r>
          </w:p>
        </w:tc>
        <w:tc>
          <w:tcPr>
            <w:tcW w:w="1195" w:type="pct"/>
            <w:vAlign w:val="bottom"/>
          </w:tcPr>
          <w:p w14:paraId="49D3563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8"/>
                <w:szCs w:val="18"/>
                <w:lang w:val="en-US" w:eastAsia="ru-RU"/>
              </w:rPr>
            </w:pPr>
            <w:r w:rsidRPr="009D6FA9">
              <w:rPr>
                <w:rFonts w:ascii="Arial" w:eastAsia="Times New Roman" w:hAnsi="Arial" w:cs="Arial"/>
                <w:spacing w:val="-2"/>
                <w:sz w:val="18"/>
                <w:szCs w:val="18"/>
                <w:lang w:val="en-US" w:eastAsia="ru-RU"/>
              </w:rPr>
              <w:t>6,796</w:t>
            </w:r>
          </w:p>
        </w:tc>
      </w:tr>
      <w:tr w:rsidR="009D6FA9" w:rsidRPr="009D6FA9" w14:paraId="2787B065" w14:textId="77777777" w:rsidTr="009D6FA9">
        <w:trPr>
          <w:cantSplit/>
        </w:trPr>
        <w:tc>
          <w:tcPr>
            <w:tcW w:w="3060" w:type="pct"/>
            <w:tcBorders>
              <w:bottom w:val="single" w:sz="4" w:space="0" w:color="auto"/>
            </w:tcBorders>
            <w:vAlign w:val="bottom"/>
          </w:tcPr>
          <w:p w14:paraId="4D4734A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bottom w:val="single" w:sz="4" w:space="0" w:color="auto"/>
            </w:tcBorders>
            <w:shd w:val="clear" w:color="auto" w:fill="auto"/>
            <w:vAlign w:val="bottom"/>
          </w:tcPr>
          <w:p w14:paraId="385F18B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bottom w:val="single" w:sz="4" w:space="0" w:color="auto"/>
            </w:tcBorders>
            <w:vAlign w:val="bottom"/>
          </w:tcPr>
          <w:p w14:paraId="3342DF92"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9D6FA9" w:rsidRPr="009D6FA9" w14:paraId="6D7EEF25" w14:textId="77777777" w:rsidTr="009D6FA9">
        <w:trPr>
          <w:cantSplit/>
        </w:trPr>
        <w:tc>
          <w:tcPr>
            <w:tcW w:w="3060" w:type="pct"/>
            <w:tcBorders>
              <w:top w:val="single" w:sz="4" w:space="0" w:color="auto"/>
            </w:tcBorders>
            <w:vAlign w:val="bottom"/>
          </w:tcPr>
          <w:p w14:paraId="1B86C9B1"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spacing w:val="-2"/>
                <w:sz w:val="10"/>
                <w:szCs w:val="10"/>
                <w:lang w:eastAsia="ru-RU"/>
              </w:rPr>
            </w:pPr>
            <w:r w:rsidRPr="009D6FA9">
              <w:rPr>
                <w:rFonts w:ascii="Arial" w:eastAsia="Times New Roman" w:hAnsi="Arial" w:cs="Arial"/>
                <w:spacing w:val="-2"/>
                <w:sz w:val="10"/>
                <w:szCs w:val="10"/>
                <w:lang w:eastAsia="ru-RU"/>
              </w:rPr>
              <w:t> </w:t>
            </w:r>
          </w:p>
        </w:tc>
        <w:tc>
          <w:tcPr>
            <w:tcW w:w="745" w:type="pct"/>
            <w:tcBorders>
              <w:top w:val="single" w:sz="4" w:space="0" w:color="auto"/>
            </w:tcBorders>
            <w:shd w:val="clear" w:color="auto" w:fill="auto"/>
            <w:vAlign w:val="bottom"/>
          </w:tcPr>
          <w:p w14:paraId="62F6547F"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eastAsia="ru-RU"/>
              </w:rPr>
            </w:pPr>
          </w:p>
        </w:tc>
        <w:tc>
          <w:tcPr>
            <w:tcW w:w="1195" w:type="pct"/>
            <w:tcBorders>
              <w:top w:val="single" w:sz="4" w:space="0" w:color="auto"/>
            </w:tcBorders>
            <w:vAlign w:val="bottom"/>
          </w:tcPr>
          <w:p w14:paraId="1F146BF9"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spacing w:val="-2"/>
                <w:sz w:val="10"/>
                <w:szCs w:val="10"/>
                <w:lang w:val="en-US" w:eastAsia="ru-RU"/>
              </w:rPr>
            </w:pPr>
          </w:p>
        </w:tc>
      </w:tr>
      <w:tr w:rsidR="009D6FA9" w:rsidRPr="009D6FA9" w14:paraId="74567A4B" w14:textId="77777777" w:rsidTr="009D6FA9">
        <w:trPr>
          <w:cantSplit/>
        </w:trPr>
        <w:tc>
          <w:tcPr>
            <w:tcW w:w="3060" w:type="pct"/>
            <w:vAlign w:val="bottom"/>
          </w:tcPr>
          <w:p w14:paraId="39A9476B"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eastAsia="ru-RU"/>
              </w:rPr>
              <w:t>Cash and cash equivalents at 30 September</w:t>
            </w:r>
          </w:p>
        </w:tc>
        <w:tc>
          <w:tcPr>
            <w:tcW w:w="745" w:type="pct"/>
            <w:shd w:val="clear" w:color="auto" w:fill="auto"/>
            <w:vAlign w:val="bottom"/>
          </w:tcPr>
          <w:p w14:paraId="73895330"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val="ru-RU" w:eastAsia="ru-RU"/>
              </w:rPr>
            </w:pPr>
            <w:r w:rsidRPr="009D6FA9">
              <w:rPr>
                <w:rFonts w:ascii="Arial" w:eastAsia="Times New Roman" w:hAnsi="Arial" w:cs="Arial"/>
                <w:b/>
                <w:spacing w:val="-2"/>
                <w:sz w:val="18"/>
                <w:szCs w:val="20"/>
                <w:lang w:val="en-US" w:eastAsia="ru-RU"/>
              </w:rPr>
              <w:t>69,796</w:t>
            </w:r>
          </w:p>
        </w:tc>
        <w:tc>
          <w:tcPr>
            <w:tcW w:w="1195" w:type="pct"/>
            <w:vAlign w:val="bottom"/>
          </w:tcPr>
          <w:p w14:paraId="764947DA"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8"/>
                <w:szCs w:val="18"/>
                <w:lang w:eastAsia="ru-RU"/>
              </w:rPr>
            </w:pPr>
            <w:r w:rsidRPr="009D6FA9">
              <w:rPr>
                <w:rFonts w:ascii="Arial" w:eastAsia="Times New Roman" w:hAnsi="Arial" w:cs="Arial"/>
                <w:b/>
                <w:spacing w:val="-2"/>
                <w:sz w:val="18"/>
                <w:szCs w:val="18"/>
                <w:lang w:val="en-US" w:eastAsia="ru-RU"/>
              </w:rPr>
              <w:t>36,424</w:t>
            </w:r>
          </w:p>
        </w:tc>
      </w:tr>
      <w:tr w:rsidR="009D6FA9" w:rsidRPr="009D6FA9" w14:paraId="2E613824" w14:textId="77777777" w:rsidTr="009D6FA9">
        <w:trPr>
          <w:cantSplit/>
        </w:trPr>
        <w:tc>
          <w:tcPr>
            <w:tcW w:w="3060" w:type="pct"/>
            <w:tcBorders>
              <w:bottom w:val="single" w:sz="12" w:space="0" w:color="auto"/>
            </w:tcBorders>
            <w:vAlign w:val="bottom"/>
          </w:tcPr>
          <w:p w14:paraId="349E7214" w14:textId="77777777" w:rsidR="009D6FA9" w:rsidRPr="009D6FA9" w:rsidRDefault="009D6FA9" w:rsidP="009D6FA9">
            <w:pPr>
              <w:widowControl w:val="0"/>
              <w:autoSpaceDE w:val="0"/>
              <w:autoSpaceDN w:val="0"/>
              <w:adjustRightInd w:val="0"/>
              <w:spacing w:after="0" w:line="240" w:lineRule="auto"/>
              <w:rPr>
                <w:rFonts w:ascii="Arial" w:eastAsia="Times New Roman" w:hAnsi="Arial" w:cs="Arial"/>
                <w:b/>
                <w:spacing w:val="-2"/>
                <w:sz w:val="10"/>
                <w:szCs w:val="10"/>
                <w:lang w:eastAsia="ru-RU"/>
              </w:rPr>
            </w:pPr>
            <w:r w:rsidRPr="009D6FA9">
              <w:rPr>
                <w:rFonts w:ascii="Arial" w:eastAsia="Times New Roman" w:hAnsi="Arial" w:cs="Arial"/>
                <w:b/>
                <w:spacing w:val="-2"/>
                <w:sz w:val="10"/>
                <w:szCs w:val="10"/>
                <w:lang w:eastAsia="ru-RU"/>
              </w:rPr>
              <w:t> </w:t>
            </w:r>
          </w:p>
        </w:tc>
        <w:tc>
          <w:tcPr>
            <w:tcW w:w="745" w:type="pct"/>
            <w:tcBorders>
              <w:bottom w:val="single" w:sz="12" w:space="0" w:color="auto"/>
            </w:tcBorders>
            <w:shd w:val="clear" w:color="auto" w:fill="auto"/>
            <w:vAlign w:val="bottom"/>
          </w:tcPr>
          <w:p w14:paraId="2038CFE6"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eastAsia="ru-RU"/>
              </w:rPr>
            </w:pPr>
          </w:p>
        </w:tc>
        <w:tc>
          <w:tcPr>
            <w:tcW w:w="1195" w:type="pct"/>
            <w:tcBorders>
              <w:bottom w:val="single" w:sz="12" w:space="0" w:color="auto"/>
            </w:tcBorders>
            <w:vAlign w:val="bottom"/>
          </w:tcPr>
          <w:p w14:paraId="3E8C7B41" w14:textId="77777777" w:rsidR="009D6FA9" w:rsidRPr="009D6FA9" w:rsidRDefault="009D6FA9" w:rsidP="009D6FA9">
            <w:pPr>
              <w:widowControl w:val="0"/>
              <w:autoSpaceDE w:val="0"/>
              <w:autoSpaceDN w:val="0"/>
              <w:adjustRightInd w:val="0"/>
              <w:spacing w:after="0" w:line="240" w:lineRule="auto"/>
              <w:jc w:val="right"/>
              <w:rPr>
                <w:rFonts w:ascii="Arial" w:eastAsia="Times New Roman" w:hAnsi="Arial" w:cs="Arial"/>
                <w:b/>
                <w:spacing w:val="-2"/>
                <w:sz w:val="10"/>
                <w:szCs w:val="10"/>
                <w:lang w:val="ru-RU" w:eastAsia="ru-RU"/>
              </w:rPr>
            </w:pPr>
          </w:p>
        </w:tc>
      </w:tr>
    </w:tbl>
    <w:p w14:paraId="6F88982E" w14:textId="77777777" w:rsidR="00794CCA" w:rsidRPr="00AF4B6B" w:rsidRDefault="00794CCA" w:rsidP="00965003">
      <w:pPr>
        <w:pStyle w:val="a2"/>
        <w:widowControl w:val="0"/>
        <w:spacing w:before="120"/>
        <w:rPr>
          <w:rFonts w:cs="Arial"/>
          <w:i/>
          <w:spacing w:val="-2"/>
          <w:sz w:val="16"/>
          <w:szCs w:val="16"/>
          <w:vertAlign w:val="superscript"/>
          <w:lang w:val="ru-RU"/>
        </w:rPr>
      </w:pPr>
    </w:p>
    <w:p w14:paraId="7DE9A132" w14:textId="77777777" w:rsidR="009D6FA9" w:rsidRPr="00910F3B" w:rsidRDefault="009D6FA9" w:rsidP="009D6FA9">
      <w:pPr>
        <w:pStyle w:val="a2"/>
        <w:widowControl w:val="0"/>
        <w:spacing w:before="120"/>
        <w:rPr>
          <w:lang w:val="en-US"/>
        </w:rPr>
      </w:pPr>
      <w:bookmarkStart w:id="2" w:name="_Hlk135317038"/>
      <w:r w:rsidRPr="00910F3B">
        <w:rPr>
          <w:spacing w:val="-2"/>
          <w:sz w:val="18"/>
          <w:vertAlign w:val="superscript"/>
        </w:rPr>
        <w:t xml:space="preserve">1 </w:t>
      </w:r>
      <w:r w:rsidRPr="00910F3B">
        <w:rPr>
          <w:i/>
          <w:spacing w:val="-2"/>
          <w:sz w:val="18"/>
          <w:szCs w:val="18"/>
          <w:lang w:val="en-US" w:eastAsia="ru-RU"/>
        </w:rPr>
        <w:t>Changes in trade and other receivables and changes in trade and other payables include effect of foreign exchange differences from operating activities.</w:t>
      </w:r>
    </w:p>
    <w:p w14:paraId="053B8C85" w14:textId="3E6A5B24" w:rsidR="004356E2" w:rsidRPr="00357547" w:rsidRDefault="009D6FA9" w:rsidP="009D6FA9">
      <w:pPr>
        <w:pStyle w:val="a2"/>
        <w:widowControl w:val="0"/>
        <w:spacing w:before="200" w:after="200"/>
        <w:rPr>
          <w:spacing w:val="-2"/>
          <w:sz w:val="18"/>
          <w:szCs w:val="18"/>
          <w:lang w:val="en-US" w:eastAsia="ru-RU"/>
        </w:rPr>
      </w:pPr>
      <w:r w:rsidRPr="00910F3B">
        <w:rPr>
          <w:spacing w:val="-2"/>
          <w:sz w:val="18"/>
          <w:vertAlign w:val="superscript"/>
        </w:rPr>
        <w:t>2</w:t>
      </w:r>
      <w:r w:rsidRPr="00910F3B">
        <w:rPr>
          <w:spacing w:val="-2"/>
          <w:sz w:val="18"/>
          <w:szCs w:val="18"/>
          <w:lang w:eastAsia="ru-RU"/>
        </w:rPr>
        <w:t xml:space="preserve"> </w:t>
      </w:r>
      <w:r w:rsidRPr="00910F3B">
        <w:rPr>
          <w:i/>
          <w:spacing w:val="-2"/>
          <w:sz w:val="18"/>
          <w:szCs w:val="18"/>
          <w:lang w:val="en-US" w:eastAsia="ru-RU"/>
        </w:rPr>
        <w:t>The</w:t>
      </w:r>
      <w:r w:rsidRPr="00910F3B">
        <w:rPr>
          <w:spacing w:val="-2"/>
          <w:sz w:val="18"/>
          <w:szCs w:val="18"/>
          <w:lang w:val="en-US" w:eastAsia="ru-RU"/>
        </w:rPr>
        <w:t xml:space="preserve"> </w:t>
      </w:r>
      <w:r w:rsidRPr="00910F3B">
        <w:rPr>
          <w:i/>
          <w:spacing w:val="-2"/>
          <w:sz w:val="18"/>
          <w:szCs w:val="18"/>
          <w:lang w:val="en-US" w:eastAsia="ru-RU"/>
        </w:rPr>
        <w:t>Group</w:t>
      </w:r>
      <w:r w:rsidRPr="00910F3B">
        <w:rPr>
          <w:spacing w:val="-2"/>
          <w:sz w:val="18"/>
          <w:szCs w:val="18"/>
          <w:lang w:val="en-US" w:eastAsia="ru-RU"/>
        </w:rPr>
        <w:t xml:space="preserve"> </w:t>
      </w:r>
      <w:r w:rsidRPr="00910F3B">
        <w:rPr>
          <w:i/>
          <w:spacing w:val="-2"/>
          <w:sz w:val="18"/>
          <w:szCs w:val="18"/>
          <w:lang w:val="en-US" w:eastAsia="ru-RU"/>
        </w:rPr>
        <w:t>received cash refund from</w:t>
      </w:r>
      <w:r w:rsidRPr="00910F3B">
        <w:rPr>
          <w:spacing w:val="-2"/>
          <w:sz w:val="18"/>
          <w:szCs w:val="18"/>
          <w:lang w:val="en-US" w:eastAsia="ru-RU"/>
        </w:rPr>
        <w:t xml:space="preserve"> </w:t>
      </w:r>
      <w:r w:rsidRPr="00910F3B">
        <w:rPr>
          <w:i/>
          <w:spacing w:val="-2"/>
          <w:sz w:val="18"/>
          <w:szCs w:val="18"/>
          <w:lang w:val="en-US" w:eastAsia="ru-RU"/>
        </w:rPr>
        <w:t>depositories</w:t>
      </w:r>
      <w:r w:rsidRPr="00910F3B">
        <w:rPr>
          <w:spacing w:val="-2"/>
          <w:sz w:val="18"/>
          <w:szCs w:val="18"/>
          <w:lang w:val="en-US" w:eastAsia="ru-RU"/>
        </w:rPr>
        <w:t xml:space="preserve"> </w:t>
      </w:r>
      <w:r w:rsidRPr="00910F3B">
        <w:rPr>
          <w:i/>
          <w:spacing w:val="-2"/>
          <w:sz w:val="18"/>
          <w:szCs w:val="18"/>
          <w:lang w:val="en-US" w:eastAsia="ru-RU"/>
        </w:rPr>
        <w:t>paid</w:t>
      </w:r>
      <w:r w:rsidRPr="00910F3B">
        <w:rPr>
          <w:spacing w:val="-2"/>
          <w:sz w:val="18"/>
          <w:szCs w:val="18"/>
          <w:lang w:val="en-US" w:eastAsia="ru-RU"/>
        </w:rPr>
        <w:t xml:space="preserve"> </w:t>
      </w:r>
      <w:r w:rsidRPr="00910F3B">
        <w:rPr>
          <w:i/>
          <w:spacing w:val="-2"/>
          <w:sz w:val="18"/>
          <w:szCs w:val="18"/>
          <w:lang w:val="en-US" w:eastAsia="ru-RU"/>
        </w:rPr>
        <w:t>as</w:t>
      </w:r>
      <w:r w:rsidRPr="00910F3B">
        <w:rPr>
          <w:spacing w:val="-2"/>
          <w:sz w:val="18"/>
          <w:szCs w:val="18"/>
          <w:lang w:val="en-US" w:eastAsia="ru-RU"/>
        </w:rPr>
        <w:t xml:space="preserve"> </w:t>
      </w:r>
      <w:r w:rsidRPr="00910F3B">
        <w:rPr>
          <w:i/>
          <w:spacing w:val="-2"/>
          <w:sz w:val="18"/>
          <w:szCs w:val="18"/>
          <w:lang w:val="en-US" w:eastAsia="ru-RU"/>
        </w:rPr>
        <w:t>dividends</w:t>
      </w:r>
      <w:r w:rsidRPr="00910F3B">
        <w:rPr>
          <w:spacing w:val="-2"/>
          <w:sz w:val="18"/>
          <w:szCs w:val="18"/>
          <w:lang w:val="en-US" w:eastAsia="ru-RU"/>
        </w:rPr>
        <w:t xml:space="preserve"> </w:t>
      </w:r>
      <w:r w:rsidRPr="00910F3B">
        <w:rPr>
          <w:i/>
          <w:spacing w:val="-2"/>
          <w:sz w:val="18"/>
          <w:szCs w:val="18"/>
          <w:lang w:val="en-US" w:eastAsia="ru-RU"/>
        </w:rPr>
        <w:t>to</w:t>
      </w:r>
      <w:r w:rsidRPr="00910F3B">
        <w:rPr>
          <w:spacing w:val="-2"/>
          <w:sz w:val="18"/>
          <w:szCs w:val="18"/>
          <w:lang w:val="en-US" w:eastAsia="ru-RU"/>
        </w:rPr>
        <w:t xml:space="preserve"> </w:t>
      </w:r>
      <w:r w:rsidRPr="00910F3B">
        <w:rPr>
          <w:i/>
          <w:spacing w:val="-2"/>
          <w:sz w:val="18"/>
          <w:szCs w:val="18"/>
          <w:lang w:val="en-US" w:eastAsia="ru-RU"/>
        </w:rPr>
        <w:t>parties</w:t>
      </w:r>
      <w:r w:rsidRPr="00910F3B">
        <w:rPr>
          <w:spacing w:val="-2"/>
          <w:sz w:val="18"/>
          <w:szCs w:val="18"/>
          <w:lang w:val="en-US" w:eastAsia="ru-RU"/>
        </w:rPr>
        <w:t xml:space="preserve"> </w:t>
      </w:r>
      <w:r w:rsidRPr="00910F3B">
        <w:rPr>
          <w:i/>
          <w:spacing w:val="-2"/>
          <w:sz w:val="18"/>
          <w:szCs w:val="18"/>
          <w:lang w:val="en-US" w:eastAsia="ru-RU"/>
        </w:rPr>
        <w:t>who</w:t>
      </w:r>
      <w:r w:rsidRPr="00910F3B">
        <w:rPr>
          <w:spacing w:val="-2"/>
          <w:sz w:val="18"/>
          <w:szCs w:val="18"/>
          <w:lang w:val="en-US" w:eastAsia="ru-RU"/>
        </w:rPr>
        <w:t xml:space="preserve"> </w:t>
      </w:r>
      <w:r w:rsidRPr="00910F3B">
        <w:rPr>
          <w:i/>
          <w:spacing w:val="-2"/>
          <w:sz w:val="18"/>
          <w:szCs w:val="18"/>
          <w:lang w:val="en-US" w:eastAsia="ru-RU"/>
        </w:rPr>
        <w:t>were</w:t>
      </w:r>
      <w:r w:rsidRPr="00910F3B">
        <w:rPr>
          <w:spacing w:val="-2"/>
          <w:sz w:val="18"/>
          <w:szCs w:val="18"/>
          <w:lang w:val="en-US" w:eastAsia="ru-RU"/>
        </w:rPr>
        <w:t xml:space="preserve"> </w:t>
      </w:r>
      <w:r w:rsidRPr="00910F3B">
        <w:rPr>
          <w:i/>
          <w:spacing w:val="-2"/>
          <w:sz w:val="18"/>
          <w:szCs w:val="18"/>
          <w:lang w:val="en-US" w:eastAsia="ru-RU"/>
        </w:rPr>
        <w:t>entitled</w:t>
      </w:r>
      <w:r w:rsidRPr="00910F3B">
        <w:rPr>
          <w:spacing w:val="-2"/>
          <w:sz w:val="18"/>
          <w:szCs w:val="18"/>
          <w:lang w:val="en-US" w:eastAsia="ru-RU"/>
        </w:rPr>
        <w:t xml:space="preserve"> </w:t>
      </w:r>
      <w:r w:rsidRPr="00910F3B">
        <w:rPr>
          <w:i/>
          <w:spacing w:val="-2"/>
          <w:sz w:val="18"/>
          <w:szCs w:val="18"/>
          <w:lang w:val="en-US" w:eastAsia="ru-RU"/>
        </w:rPr>
        <w:t>to</w:t>
      </w:r>
      <w:r w:rsidRPr="00910F3B">
        <w:rPr>
          <w:spacing w:val="-2"/>
          <w:sz w:val="18"/>
          <w:szCs w:val="18"/>
          <w:lang w:val="en-US" w:eastAsia="ru-RU"/>
        </w:rPr>
        <w:t xml:space="preserve"> </w:t>
      </w:r>
      <w:r w:rsidRPr="00910F3B">
        <w:rPr>
          <w:i/>
          <w:spacing w:val="-2"/>
          <w:sz w:val="18"/>
          <w:szCs w:val="18"/>
          <w:lang w:val="en-US" w:eastAsia="ru-RU"/>
        </w:rPr>
        <w:t>receive</w:t>
      </w:r>
      <w:r w:rsidRPr="00910F3B">
        <w:rPr>
          <w:spacing w:val="-2"/>
          <w:sz w:val="18"/>
          <w:szCs w:val="18"/>
          <w:lang w:val="en-US" w:eastAsia="ru-RU"/>
        </w:rPr>
        <w:t xml:space="preserve"> </w:t>
      </w:r>
      <w:r w:rsidRPr="00910F3B">
        <w:rPr>
          <w:i/>
          <w:spacing w:val="-2"/>
          <w:sz w:val="18"/>
          <w:szCs w:val="18"/>
          <w:lang w:val="en-US" w:eastAsia="ru-RU"/>
        </w:rPr>
        <w:t>them,</w:t>
      </w:r>
      <w:r w:rsidRPr="00910F3B">
        <w:rPr>
          <w:spacing w:val="-2"/>
          <w:sz w:val="18"/>
          <w:szCs w:val="18"/>
          <w:lang w:val="en-US" w:eastAsia="ru-RU"/>
        </w:rPr>
        <w:t xml:space="preserve"> </w:t>
      </w:r>
      <w:r w:rsidRPr="00910F3B">
        <w:rPr>
          <w:i/>
          <w:spacing w:val="-2"/>
          <w:sz w:val="18"/>
          <w:szCs w:val="18"/>
          <w:lang w:val="en-US" w:eastAsia="ru-RU"/>
        </w:rPr>
        <w:t>but</w:t>
      </w:r>
      <w:r w:rsidRPr="00910F3B">
        <w:rPr>
          <w:spacing w:val="-2"/>
          <w:sz w:val="18"/>
          <w:szCs w:val="18"/>
          <w:lang w:val="en-US" w:eastAsia="ru-RU"/>
        </w:rPr>
        <w:t xml:space="preserve"> </w:t>
      </w:r>
      <w:r w:rsidRPr="00910F3B">
        <w:rPr>
          <w:i/>
          <w:spacing w:val="-2"/>
          <w:sz w:val="18"/>
          <w:szCs w:val="18"/>
          <w:lang w:val="en-US" w:eastAsia="ru-RU"/>
        </w:rPr>
        <w:t>didn’t receive dividends due to reasons beyond the depositories’</w:t>
      </w:r>
      <w:r w:rsidRPr="00910F3B">
        <w:rPr>
          <w:spacing w:val="-2"/>
          <w:sz w:val="18"/>
          <w:szCs w:val="18"/>
          <w:lang w:val="en-US" w:eastAsia="ru-RU"/>
        </w:rPr>
        <w:t xml:space="preserve"> </w:t>
      </w:r>
      <w:r w:rsidRPr="00910F3B">
        <w:rPr>
          <w:i/>
          <w:spacing w:val="-2"/>
          <w:sz w:val="18"/>
          <w:szCs w:val="18"/>
          <w:lang w:val="en-US" w:eastAsia="ru-RU"/>
        </w:rPr>
        <w:t>control.</w:t>
      </w:r>
      <w:r w:rsidRPr="00910F3B">
        <w:rPr>
          <w:spacing w:val="-2"/>
          <w:sz w:val="18"/>
          <w:szCs w:val="18"/>
          <w:lang w:val="en-US" w:eastAsia="ru-RU"/>
        </w:rPr>
        <w:t xml:space="preserve"> </w:t>
      </w:r>
      <w:bookmarkEnd w:id="2"/>
    </w:p>
    <w:sectPr w:rsidR="004356E2" w:rsidRPr="00357547" w:rsidSect="00CB6682">
      <w:headerReference w:type="default" r:id="rId28"/>
      <w:footnotePr>
        <w:numRestart w:val="eachPage"/>
      </w:footnotePr>
      <w:pgSz w:w="11907" w:h="16840" w:code="9"/>
      <w:pgMar w:top="1134" w:right="1021" w:bottom="1134" w:left="153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29CB" w14:textId="77777777" w:rsidR="003353F6" w:rsidRDefault="003353F6" w:rsidP="007A4AC9">
      <w:pPr>
        <w:spacing w:after="0" w:line="240" w:lineRule="auto"/>
      </w:pPr>
      <w:r>
        <w:separator/>
      </w:r>
    </w:p>
  </w:endnote>
  <w:endnote w:type="continuationSeparator" w:id="0">
    <w:p w14:paraId="0519FF39" w14:textId="77777777" w:rsidR="003353F6" w:rsidRDefault="003353F6" w:rsidP="007A4AC9">
      <w:pPr>
        <w:spacing w:after="0" w:line="240" w:lineRule="auto"/>
      </w:pPr>
      <w:r>
        <w:continuationSeparator/>
      </w:r>
    </w:p>
  </w:endnote>
  <w:endnote w:type="continuationNotice" w:id="1">
    <w:p w14:paraId="0CA2FA23" w14:textId="77777777" w:rsidR="003353F6" w:rsidRDefault="0033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45 Light">
    <w:altName w:val="Calibri"/>
    <w:charset w:val="00"/>
    <w:family w:val="auto"/>
    <w:pitch w:val="variable"/>
    <w:sig w:usb0="8000002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Foco">
    <w:panose1 w:val="020B0504050202020203"/>
    <w:charset w:val="CC"/>
    <w:family w:val="swiss"/>
    <w:pitch w:val="variable"/>
    <w:sig w:usb0="A00002AF" w:usb1="5000205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97244" w14:textId="77777777" w:rsidR="003353F6" w:rsidRDefault="003353F6" w:rsidP="007A4AC9">
      <w:pPr>
        <w:spacing w:after="0" w:line="240" w:lineRule="auto"/>
      </w:pPr>
      <w:r>
        <w:separator/>
      </w:r>
    </w:p>
  </w:footnote>
  <w:footnote w:type="continuationSeparator" w:id="0">
    <w:p w14:paraId="416EF39C" w14:textId="77777777" w:rsidR="003353F6" w:rsidRDefault="003353F6" w:rsidP="007A4AC9">
      <w:pPr>
        <w:spacing w:after="0" w:line="240" w:lineRule="auto"/>
      </w:pPr>
      <w:r>
        <w:continuationSeparator/>
      </w:r>
    </w:p>
  </w:footnote>
  <w:footnote w:type="continuationNotice" w:id="1">
    <w:p w14:paraId="6D721B62" w14:textId="77777777" w:rsidR="003353F6" w:rsidRDefault="00335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016E" w14:textId="77777777" w:rsidR="00411FD1" w:rsidRPr="00C246DE" w:rsidRDefault="00411FD1" w:rsidP="00C246DE">
    <w:pPr>
      <w:pStyle w:val="a8"/>
    </w:pPr>
    <w:r w:rsidRPr="00C246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13E7" w14:textId="77777777" w:rsidR="00411FD1" w:rsidRPr="000952CB" w:rsidRDefault="00411FD1" w:rsidP="002A2232">
    <w:pPr>
      <w:pStyle w:val="a8"/>
      <w:pBdr>
        <w:bottom w:val="single" w:sz="4" w:space="1" w:color="auto"/>
      </w:pBdr>
      <w:jc w:val="right"/>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52182" w14:textId="77777777" w:rsidR="009D6FA9" w:rsidRPr="00357547" w:rsidRDefault="009D6FA9" w:rsidP="009D6FA9">
    <w:pPr>
      <w:pBdr>
        <w:bottom w:val="single" w:sz="4" w:space="1" w:color="auto"/>
      </w:pBdr>
      <w:spacing w:after="0"/>
      <w:rPr>
        <w:rFonts w:ascii="Arial" w:hAnsi="Arial" w:cs="Arial"/>
        <w:b/>
        <w:bCs/>
        <w:i/>
        <w:sz w:val="20"/>
        <w:szCs w:val="20"/>
        <w:lang w:val="en-US"/>
      </w:rPr>
    </w:pPr>
    <w:r w:rsidRPr="009D6FA9">
      <w:rPr>
        <w:rFonts w:ascii="Arial" w:hAnsi="Arial" w:cs="Arial"/>
        <w:b/>
        <w:bCs/>
        <w:i/>
        <w:sz w:val="20"/>
        <w:szCs w:val="20"/>
        <w:lang w:val="en-US"/>
      </w:rPr>
      <w:t xml:space="preserve">PJSC “PhosAgro” </w:t>
    </w:r>
  </w:p>
  <w:p w14:paraId="40B8C11C" w14:textId="2744F985" w:rsidR="009D6FA9" w:rsidRPr="009D6FA9" w:rsidRDefault="009D6FA9" w:rsidP="00F45535">
    <w:pPr>
      <w:pBdr>
        <w:bottom w:val="single" w:sz="4" w:space="1" w:color="auto"/>
      </w:pBdr>
      <w:rPr>
        <w:rFonts w:ascii="Arial" w:hAnsi="Arial" w:cs="Arial"/>
        <w:i/>
        <w:sz w:val="20"/>
        <w:szCs w:val="20"/>
        <w:lang w:val="en-US"/>
      </w:rPr>
    </w:pPr>
    <w:r w:rsidRPr="009D6FA9">
      <w:rPr>
        <w:rFonts w:ascii="Arial" w:hAnsi="Arial" w:cs="Arial"/>
        <w:i/>
        <w:sz w:val="20"/>
        <w:szCs w:val="20"/>
        <w:lang w:val="en-US"/>
      </w:rPr>
      <w:t xml:space="preserve">Consolidated Interim Condensed Statement of Profit or Loss and Other Comprehensive Income for </w:t>
    </w:r>
    <w:proofErr w:type="spellStart"/>
    <w:r w:rsidRPr="009D6FA9">
      <w:rPr>
        <w:rFonts w:ascii="Arial" w:hAnsi="Arial" w:cs="Arial"/>
        <w:i/>
        <w:sz w:val="20"/>
        <w:szCs w:val="20"/>
        <w:lang w:val="en-US"/>
      </w:rPr>
      <w:t>for</w:t>
    </w:r>
    <w:proofErr w:type="spellEnd"/>
    <w:r w:rsidRPr="009D6FA9">
      <w:rPr>
        <w:rFonts w:ascii="Arial" w:hAnsi="Arial" w:cs="Arial"/>
        <w:i/>
        <w:sz w:val="20"/>
        <w:szCs w:val="20"/>
        <w:lang w:val="en-US"/>
      </w:rPr>
      <w:t xml:space="preserve"> the three and nine months ended 30 September 2024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A377" w14:textId="77777777" w:rsidR="009D6FA9" w:rsidRPr="00357547" w:rsidRDefault="009D6FA9" w:rsidP="001B5FA5">
    <w:pPr>
      <w:pStyle w:val="a8"/>
      <w:rPr>
        <w:rFonts w:ascii="Arial" w:hAnsi="Arial" w:cs="Arial"/>
        <w:b/>
        <w:lang w:val="en-US"/>
      </w:rPr>
    </w:pPr>
    <w:r w:rsidRPr="009D6FA9">
      <w:rPr>
        <w:rFonts w:ascii="Arial" w:hAnsi="Arial" w:cs="Arial"/>
        <w:b/>
      </w:rPr>
      <w:t xml:space="preserve">PJSC “PhosAgro” </w:t>
    </w:r>
  </w:p>
  <w:p w14:paraId="2AA5713C" w14:textId="0DF8FABB" w:rsidR="00411FD1" w:rsidRPr="009D6FA9" w:rsidRDefault="009D6FA9" w:rsidP="001B5FA5">
    <w:pPr>
      <w:pStyle w:val="a8"/>
      <w:rPr>
        <w:bCs/>
        <w:lang w:val="en-US"/>
      </w:rPr>
    </w:pPr>
    <w:proofErr w:type="spellStart"/>
    <w:r w:rsidRPr="009D6FA9">
      <w:rPr>
        <w:rFonts w:ascii="Arial" w:hAnsi="Arial" w:cs="Arial"/>
        <w:bCs/>
      </w:rPr>
      <w:t>Consolidated</w:t>
    </w:r>
    <w:proofErr w:type="spellEnd"/>
    <w:r w:rsidRPr="009D6FA9">
      <w:rPr>
        <w:rFonts w:ascii="Arial" w:hAnsi="Arial" w:cs="Arial"/>
        <w:bCs/>
      </w:rPr>
      <w:t xml:space="preserve"> </w:t>
    </w:r>
    <w:proofErr w:type="spellStart"/>
    <w:r w:rsidRPr="009D6FA9">
      <w:rPr>
        <w:rFonts w:ascii="Arial" w:hAnsi="Arial" w:cs="Arial"/>
        <w:bCs/>
      </w:rPr>
      <w:t>Interim</w:t>
    </w:r>
    <w:proofErr w:type="spellEnd"/>
    <w:r w:rsidRPr="009D6FA9">
      <w:rPr>
        <w:rFonts w:ascii="Arial" w:hAnsi="Arial" w:cs="Arial"/>
        <w:bCs/>
      </w:rPr>
      <w:t xml:space="preserve"> </w:t>
    </w:r>
    <w:proofErr w:type="spellStart"/>
    <w:r w:rsidRPr="009D6FA9">
      <w:rPr>
        <w:rFonts w:ascii="Arial" w:hAnsi="Arial" w:cs="Arial"/>
        <w:bCs/>
      </w:rPr>
      <w:t>Condensed</w:t>
    </w:r>
    <w:proofErr w:type="spellEnd"/>
    <w:r w:rsidRPr="009D6FA9">
      <w:rPr>
        <w:rFonts w:ascii="Arial" w:hAnsi="Arial" w:cs="Arial"/>
        <w:bCs/>
      </w:rPr>
      <w:t xml:space="preserve"> </w:t>
    </w:r>
    <w:proofErr w:type="spellStart"/>
    <w:r w:rsidRPr="009D6FA9">
      <w:rPr>
        <w:rFonts w:ascii="Arial" w:hAnsi="Arial" w:cs="Arial"/>
        <w:bCs/>
      </w:rPr>
      <w:t>Statement</w:t>
    </w:r>
    <w:proofErr w:type="spellEnd"/>
    <w:r w:rsidRPr="009D6FA9">
      <w:rPr>
        <w:rFonts w:ascii="Arial" w:hAnsi="Arial" w:cs="Arial"/>
        <w:bCs/>
      </w:rPr>
      <w:t xml:space="preserve"> </w:t>
    </w:r>
    <w:proofErr w:type="spellStart"/>
    <w:r w:rsidRPr="009D6FA9">
      <w:rPr>
        <w:rFonts w:ascii="Arial" w:hAnsi="Arial" w:cs="Arial"/>
        <w:bCs/>
      </w:rPr>
      <w:t>of</w:t>
    </w:r>
    <w:proofErr w:type="spellEnd"/>
    <w:r w:rsidRPr="009D6FA9">
      <w:rPr>
        <w:rFonts w:ascii="Arial" w:hAnsi="Arial" w:cs="Arial"/>
        <w:bCs/>
      </w:rPr>
      <w:t xml:space="preserve"> Financial </w:t>
    </w:r>
    <w:proofErr w:type="spellStart"/>
    <w:r w:rsidRPr="009D6FA9">
      <w:rPr>
        <w:rFonts w:ascii="Arial" w:hAnsi="Arial" w:cs="Arial"/>
        <w:bCs/>
      </w:rPr>
      <w:t>Position</w:t>
    </w:r>
    <w:proofErr w:type="spellEnd"/>
    <w:r w:rsidRPr="009D6FA9">
      <w:rPr>
        <w:rFonts w:ascii="Arial" w:hAnsi="Arial" w:cs="Arial"/>
        <w:bCs/>
      </w:rPr>
      <w:t xml:space="preserve"> </w:t>
    </w:r>
    <w:proofErr w:type="spellStart"/>
    <w:r w:rsidRPr="009D6FA9">
      <w:rPr>
        <w:rFonts w:ascii="Arial" w:hAnsi="Arial" w:cs="Arial"/>
        <w:bCs/>
      </w:rPr>
      <w:t>as</w:t>
    </w:r>
    <w:proofErr w:type="spellEnd"/>
    <w:r w:rsidRPr="009D6FA9">
      <w:rPr>
        <w:rFonts w:ascii="Arial" w:hAnsi="Arial" w:cs="Arial"/>
        <w:bCs/>
      </w:rPr>
      <w:t xml:space="preserve"> </w:t>
    </w:r>
    <w:proofErr w:type="spellStart"/>
    <w:r w:rsidRPr="009D6FA9">
      <w:rPr>
        <w:rFonts w:ascii="Arial" w:hAnsi="Arial" w:cs="Arial"/>
        <w:bCs/>
      </w:rPr>
      <w:t>at</w:t>
    </w:r>
    <w:proofErr w:type="spellEnd"/>
    <w:r w:rsidRPr="009D6FA9">
      <w:rPr>
        <w:rFonts w:ascii="Arial" w:hAnsi="Arial" w:cs="Arial"/>
        <w:bCs/>
      </w:rPr>
      <w:t xml:space="preserve"> 30 </w:t>
    </w:r>
    <w:proofErr w:type="spellStart"/>
    <w:r w:rsidRPr="009D6FA9">
      <w:rPr>
        <w:rFonts w:ascii="Arial" w:hAnsi="Arial" w:cs="Arial"/>
        <w:bCs/>
      </w:rPr>
      <w:t>September</w:t>
    </w:r>
    <w:proofErr w:type="spellEnd"/>
    <w:r w:rsidRPr="009D6FA9">
      <w:rPr>
        <w:rFonts w:ascii="Arial" w:hAnsi="Arial" w:cs="Arial"/>
        <w:bCs/>
      </w:rPr>
      <w:t xml:space="preserve"> 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0330" w14:textId="77777777" w:rsidR="009D6FA9" w:rsidRPr="00357547" w:rsidRDefault="009D6FA9" w:rsidP="009D6FA9">
    <w:pPr>
      <w:pStyle w:val="a8"/>
      <w:rPr>
        <w:rFonts w:ascii="Arial" w:hAnsi="Arial" w:cs="Arial"/>
        <w:b/>
        <w:lang w:val="en-US"/>
      </w:rPr>
    </w:pPr>
    <w:r w:rsidRPr="009D6FA9">
      <w:rPr>
        <w:rFonts w:ascii="Arial" w:hAnsi="Arial" w:cs="Arial"/>
        <w:b/>
      </w:rPr>
      <w:t xml:space="preserve">PJSC “PhosAgro” </w:t>
    </w:r>
  </w:p>
  <w:p w14:paraId="74B9F005" w14:textId="0AEF58E5" w:rsidR="00411FD1" w:rsidRPr="009D6FA9" w:rsidRDefault="009D6FA9" w:rsidP="009D6FA9">
    <w:pPr>
      <w:pStyle w:val="a8"/>
      <w:rPr>
        <w:bCs/>
      </w:rPr>
    </w:pPr>
    <w:proofErr w:type="spellStart"/>
    <w:r w:rsidRPr="009D6FA9">
      <w:rPr>
        <w:rFonts w:ascii="Arial" w:hAnsi="Arial" w:cs="Arial"/>
        <w:bCs/>
      </w:rPr>
      <w:t>Consolidated</w:t>
    </w:r>
    <w:proofErr w:type="spellEnd"/>
    <w:r w:rsidRPr="009D6FA9">
      <w:rPr>
        <w:rFonts w:ascii="Arial" w:hAnsi="Arial" w:cs="Arial"/>
        <w:bCs/>
      </w:rPr>
      <w:t xml:space="preserve"> </w:t>
    </w:r>
    <w:proofErr w:type="spellStart"/>
    <w:r w:rsidRPr="009D6FA9">
      <w:rPr>
        <w:rFonts w:ascii="Arial" w:hAnsi="Arial" w:cs="Arial"/>
        <w:bCs/>
      </w:rPr>
      <w:t>Interim</w:t>
    </w:r>
    <w:proofErr w:type="spellEnd"/>
    <w:r w:rsidRPr="009D6FA9">
      <w:rPr>
        <w:rFonts w:ascii="Arial" w:hAnsi="Arial" w:cs="Arial"/>
        <w:bCs/>
      </w:rPr>
      <w:t xml:space="preserve"> </w:t>
    </w:r>
    <w:proofErr w:type="spellStart"/>
    <w:r w:rsidRPr="009D6FA9">
      <w:rPr>
        <w:rFonts w:ascii="Arial" w:hAnsi="Arial" w:cs="Arial"/>
        <w:bCs/>
      </w:rPr>
      <w:t>Condensed</w:t>
    </w:r>
    <w:proofErr w:type="spellEnd"/>
    <w:r w:rsidRPr="009D6FA9">
      <w:rPr>
        <w:rFonts w:ascii="Arial" w:hAnsi="Arial" w:cs="Arial"/>
        <w:bCs/>
      </w:rPr>
      <w:t xml:space="preserve"> </w:t>
    </w:r>
    <w:proofErr w:type="spellStart"/>
    <w:r w:rsidRPr="009D6FA9">
      <w:rPr>
        <w:rFonts w:ascii="Arial" w:hAnsi="Arial" w:cs="Arial"/>
        <w:bCs/>
      </w:rPr>
      <w:t>Statement</w:t>
    </w:r>
    <w:proofErr w:type="spellEnd"/>
    <w:r w:rsidRPr="009D6FA9">
      <w:rPr>
        <w:rFonts w:ascii="Arial" w:hAnsi="Arial" w:cs="Arial"/>
        <w:bCs/>
      </w:rPr>
      <w:t xml:space="preserve"> </w:t>
    </w:r>
    <w:proofErr w:type="spellStart"/>
    <w:r w:rsidRPr="009D6FA9">
      <w:rPr>
        <w:rFonts w:ascii="Arial" w:hAnsi="Arial" w:cs="Arial"/>
        <w:bCs/>
      </w:rPr>
      <w:t>of</w:t>
    </w:r>
    <w:proofErr w:type="spellEnd"/>
    <w:r w:rsidRPr="009D6FA9">
      <w:rPr>
        <w:rFonts w:ascii="Arial" w:hAnsi="Arial" w:cs="Arial"/>
        <w:bCs/>
      </w:rPr>
      <w:t xml:space="preserve"> </w:t>
    </w:r>
    <w:proofErr w:type="spellStart"/>
    <w:r w:rsidRPr="009D6FA9">
      <w:rPr>
        <w:rFonts w:ascii="Arial" w:hAnsi="Arial" w:cs="Arial"/>
        <w:bCs/>
      </w:rPr>
      <w:t>Cash</w:t>
    </w:r>
    <w:proofErr w:type="spellEnd"/>
    <w:r w:rsidRPr="009D6FA9">
      <w:rPr>
        <w:rFonts w:ascii="Arial" w:hAnsi="Arial" w:cs="Arial"/>
        <w:bCs/>
      </w:rPr>
      <w:t xml:space="preserve"> </w:t>
    </w:r>
    <w:proofErr w:type="spellStart"/>
    <w:r w:rsidRPr="009D6FA9">
      <w:rPr>
        <w:rFonts w:ascii="Arial" w:hAnsi="Arial" w:cs="Arial"/>
        <w:bCs/>
      </w:rPr>
      <w:t>Flows</w:t>
    </w:r>
    <w:proofErr w:type="spellEnd"/>
    <w:r w:rsidRPr="009D6FA9">
      <w:rPr>
        <w:rFonts w:ascii="Arial" w:hAnsi="Arial" w:cs="Arial"/>
        <w:bCs/>
      </w:rPr>
      <w:t xml:space="preserve"> </w:t>
    </w:r>
    <w:proofErr w:type="spellStart"/>
    <w:r w:rsidRPr="009D6FA9">
      <w:rPr>
        <w:rFonts w:ascii="Arial" w:hAnsi="Arial" w:cs="Arial"/>
        <w:bCs/>
      </w:rPr>
      <w:t>for</w:t>
    </w:r>
    <w:proofErr w:type="spellEnd"/>
    <w:r w:rsidRPr="009D6FA9">
      <w:rPr>
        <w:rFonts w:ascii="Arial" w:hAnsi="Arial" w:cs="Arial"/>
        <w:bCs/>
      </w:rPr>
      <w:t xml:space="preserve"> </w:t>
    </w:r>
    <w:proofErr w:type="spellStart"/>
    <w:r w:rsidRPr="009D6FA9">
      <w:rPr>
        <w:rFonts w:ascii="Arial" w:hAnsi="Arial" w:cs="Arial"/>
        <w:bCs/>
      </w:rPr>
      <w:t>the</w:t>
    </w:r>
    <w:proofErr w:type="spellEnd"/>
    <w:r w:rsidRPr="009D6FA9">
      <w:rPr>
        <w:rFonts w:ascii="Arial" w:hAnsi="Arial" w:cs="Arial"/>
        <w:bCs/>
      </w:rPr>
      <w:t xml:space="preserve"> </w:t>
    </w:r>
    <w:proofErr w:type="spellStart"/>
    <w:r w:rsidRPr="009D6FA9">
      <w:rPr>
        <w:rFonts w:ascii="Arial" w:hAnsi="Arial" w:cs="Arial"/>
        <w:bCs/>
      </w:rPr>
      <w:t>nine</w:t>
    </w:r>
    <w:proofErr w:type="spellEnd"/>
    <w:r w:rsidRPr="009D6FA9">
      <w:rPr>
        <w:rFonts w:ascii="Arial" w:hAnsi="Arial" w:cs="Arial"/>
        <w:bCs/>
      </w:rPr>
      <w:t xml:space="preserve"> </w:t>
    </w:r>
    <w:proofErr w:type="spellStart"/>
    <w:r w:rsidRPr="009D6FA9">
      <w:rPr>
        <w:rFonts w:ascii="Arial" w:hAnsi="Arial" w:cs="Arial"/>
        <w:bCs/>
      </w:rPr>
      <w:t>months</w:t>
    </w:r>
    <w:proofErr w:type="spellEnd"/>
    <w:r w:rsidRPr="009D6FA9">
      <w:rPr>
        <w:rFonts w:ascii="Arial" w:hAnsi="Arial" w:cs="Arial"/>
        <w:bCs/>
      </w:rPr>
      <w:t xml:space="preserve"> </w:t>
    </w:r>
    <w:proofErr w:type="spellStart"/>
    <w:r w:rsidRPr="009D6FA9">
      <w:rPr>
        <w:rFonts w:ascii="Arial" w:hAnsi="Arial" w:cs="Arial"/>
        <w:bCs/>
      </w:rPr>
      <w:t>ended</w:t>
    </w:r>
    <w:proofErr w:type="spellEnd"/>
    <w:r w:rsidRPr="009D6FA9">
      <w:rPr>
        <w:rFonts w:ascii="Arial" w:hAnsi="Arial" w:cs="Arial"/>
        <w:bCs/>
      </w:rPr>
      <w:t xml:space="preserve"> 30 </w:t>
    </w:r>
    <w:proofErr w:type="spellStart"/>
    <w:r w:rsidRPr="009D6FA9">
      <w:rPr>
        <w:rFonts w:ascii="Arial" w:hAnsi="Arial" w:cs="Arial"/>
        <w:bCs/>
      </w:rPr>
      <w:t>September</w:t>
    </w:r>
    <w:proofErr w:type="spellEnd"/>
    <w:r w:rsidRPr="009D6FA9">
      <w:rPr>
        <w:rFonts w:ascii="Arial" w:hAnsi="Arial" w:cs="Arial"/>
        <w:bC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E71"/>
    <w:multiLevelType w:val="hybridMultilevel"/>
    <w:tmpl w:val="19A42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D6666"/>
    <w:multiLevelType w:val="hybridMultilevel"/>
    <w:tmpl w:val="6B02B2B0"/>
    <w:lvl w:ilvl="0" w:tplc="0CA8D552">
      <w:start w:val="1"/>
      <w:numFmt w:val="bullet"/>
      <w:pStyle w:val="a"/>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53B7"/>
    <w:multiLevelType w:val="hybridMultilevel"/>
    <w:tmpl w:val="D5E2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12FBD"/>
    <w:multiLevelType w:val="hybridMultilevel"/>
    <w:tmpl w:val="3AD42622"/>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A2930"/>
    <w:multiLevelType w:val="hybridMultilevel"/>
    <w:tmpl w:val="EFC0396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6307A"/>
    <w:multiLevelType w:val="hybridMultilevel"/>
    <w:tmpl w:val="0FA0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B620F"/>
    <w:multiLevelType w:val="hybridMultilevel"/>
    <w:tmpl w:val="D7EAAA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83013E9"/>
    <w:multiLevelType w:val="hybridMultilevel"/>
    <w:tmpl w:val="6B3C3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9D36C7"/>
    <w:multiLevelType w:val="hybridMultilevel"/>
    <w:tmpl w:val="AD4E2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F470E"/>
    <w:multiLevelType w:val="hybridMultilevel"/>
    <w:tmpl w:val="6D32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41DB6"/>
    <w:multiLevelType w:val="multilevel"/>
    <w:tmpl w:val="2ED63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76C78"/>
    <w:multiLevelType w:val="multilevel"/>
    <w:tmpl w:val="195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702D"/>
    <w:multiLevelType w:val="hybridMultilevel"/>
    <w:tmpl w:val="9042973E"/>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4" w15:restartNumberingAfterBreak="0">
    <w:nsid w:val="32A50EE2"/>
    <w:multiLevelType w:val="hybridMultilevel"/>
    <w:tmpl w:val="09E037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2E23483"/>
    <w:multiLevelType w:val="hybridMultilevel"/>
    <w:tmpl w:val="DA0C7A24"/>
    <w:lvl w:ilvl="0" w:tplc="3EF2261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64488"/>
    <w:multiLevelType w:val="hybridMultilevel"/>
    <w:tmpl w:val="7738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4933B3"/>
    <w:multiLevelType w:val="hybridMultilevel"/>
    <w:tmpl w:val="3458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432FE96"/>
    <w:lvl w:ilvl="0">
      <w:start w:val="1"/>
      <w:numFmt w:val="decimal"/>
      <w:lvlText w:val="%1"/>
      <w:lvlJc w:val="left"/>
      <w:pPr>
        <w:tabs>
          <w:tab w:val="num" w:pos="964"/>
        </w:tabs>
        <w:ind w:left="964" w:hanging="964"/>
      </w:pPr>
      <w:rPr>
        <w:rFonts w:ascii="Arial" w:hAnsi="Arial" w:cs="Arial" w:hint="default"/>
        <w:b/>
        <w:color w:val="00B6DA"/>
        <w:sz w:val="20"/>
      </w:rPr>
    </w:lvl>
    <w:lvl w:ilvl="1">
      <w:start w:val="2"/>
      <w:numFmt w:val="lowerLetter"/>
      <w:lvlText w:val="(%2)"/>
      <w:lvlJc w:val="left"/>
      <w:pPr>
        <w:tabs>
          <w:tab w:val="num" w:pos="3658"/>
        </w:tabs>
        <w:ind w:left="3658" w:hanging="964"/>
      </w:pPr>
      <w:rPr>
        <w:rFonts w:hint="default"/>
        <w:b/>
      </w:rPr>
    </w:lvl>
    <w:lvl w:ilvl="2">
      <w:start w:val="2"/>
      <w:numFmt w:val="lowerRoman"/>
      <w:lvlText w:val="(%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04512E"/>
    <w:multiLevelType w:val="hybridMultilevel"/>
    <w:tmpl w:val="D5CED666"/>
    <w:lvl w:ilvl="0" w:tplc="04090001">
      <w:start w:val="1"/>
      <w:numFmt w:val="bullet"/>
      <w:lvlText w:val=""/>
      <w:lvlJc w:val="left"/>
      <w:pPr>
        <w:ind w:left="2062" w:hanging="360"/>
      </w:pPr>
      <w:rPr>
        <w:rFonts w:ascii="Symbol" w:hAnsi="Symbol" w:hint="default"/>
      </w:rPr>
    </w:lvl>
    <w:lvl w:ilvl="1" w:tplc="B186F270">
      <w:start w:val="1"/>
      <w:numFmt w:val="bullet"/>
      <w:lvlText w:val=""/>
      <w:lvlJc w:val="left"/>
      <w:pPr>
        <w:ind w:left="6315" w:hanging="360"/>
      </w:pPr>
      <w:rPr>
        <w:rFonts w:ascii="Wingdings" w:hAnsi="Wingdings" w:hint="default"/>
        <w:lang w:val="ru-RU"/>
      </w:rPr>
    </w:lvl>
    <w:lvl w:ilvl="2" w:tplc="04090005">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442513DC"/>
    <w:multiLevelType w:val="hybridMultilevel"/>
    <w:tmpl w:val="AF2EEE16"/>
    <w:lvl w:ilvl="0" w:tplc="53D69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E2C3D"/>
    <w:multiLevelType w:val="hybridMultilevel"/>
    <w:tmpl w:val="C6262756"/>
    <w:lvl w:ilvl="0" w:tplc="F90AA62E">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64C14"/>
    <w:multiLevelType w:val="hybridMultilevel"/>
    <w:tmpl w:val="01BAA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DC2CE3"/>
    <w:multiLevelType w:val="hybridMultilevel"/>
    <w:tmpl w:val="52F2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B502E"/>
    <w:multiLevelType w:val="hybridMultilevel"/>
    <w:tmpl w:val="60064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BB0EE8"/>
    <w:multiLevelType w:val="hybridMultilevel"/>
    <w:tmpl w:val="2EB4FE38"/>
    <w:name w:val="Notes Pag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E71461"/>
    <w:multiLevelType w:val="hybridMultilevel"/>
    <w:tmpl w:val="DD14E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9B5182"/>
    <w:multiLevelType w:val="hybridMultilevel"/>
    <w:tmpl w:val="7162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B6F6F"/>
    <w:multiLevelType w:val="hybridMultilevel"/>
    <w:tmpl w:val="93AA4702"/>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DB27C1"/>
    <w:multiLevelType w:val="hybridMultilevel"/>
    <w:tmpl w:val="A1EEBAC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58003228"/>
    <w:multiLevelType w:val="hybridMultilevel"/>
    <w:tmpl w:val="E028E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4E4B09"/>
    <w:multiLevelType w:val="hybridMultilevel"/>
    <w:tmpl w:val="DF7E7C74"/>
    <w:lvl w:ilvl="0" w:tplc="A2CE2F3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437B0"/>
    <w:multiLevelType w:val="hybridMultilevel"/>
    <w:tmpl w:val="2EC8F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6AE7EB8"/>
    <w:multiLevelType w:val="hybridMultilevel"/>
    <w:tmpl w:val="46C69C30"/>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2A13B1"/>
    <w:multiLevelType w:val="hybridMultilevel"/>
    <w:tmpl w:val="612A0A3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030FF"/>
    <w:multiLevelType w:val="singleLevel"/>
    <w:tmpl w:val="06F64BC0"/>
    <w:lvl w:ilvl="0">
      <w:start w:val="1"/>
      <w:numFmt w:val="bullet"/>
      <w:pStyle w:val="2"/>
      <w:lvlText w:val="-"/>
      <w:lvlJc w:val="left"/>
      <w:pPr>
        <w:tabs>
          <w:tab w:val="num" w:pos="680"/>
        </w:tabs>
        <w:ind w:left="680" w:hanging="340"/>
      </w:pPr>
      <w:rPr>
        <w:rFonts w:ascii="Times New Roman" w:hAnsi="Times New Roman" w:hint="default"/>
      </w:rPr>
    </w:lvl>
  </w:abstractNum>
  <w:abstractNum w:abstractNumId="36"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E14D8"/>
    <w:multiLevelType w:val="hybridMultilevel"/>
    <w:tmpl w:val="CA1C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A6207A"/>
    <w:multiLevelType w:val="hybridMultilevel"/>
    <w:tmpl w:val="63DED0D6"/>
    <w:lvl w:ilvl="0" w:tplc="7EB6724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9E2255F"/>
    <w:multiLevelType w:val="hybridMultilevel"/>
    <w:tmpl w:val="50C4E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265984"/>
    <w:multiLevelType w:val="hybridMultilevel"/>
    <w:tmpl w:val="C756E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195590"/>
    <w:multiLevelType w:val="hybridMultilevel"/>
    <w:tmpl w:val="AE522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B00ACD"/>
    <w:multiLevelType w:val="hybridMultilevel"/>
    <w:tmpl w:val="751E7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0"/>
  </w:num>
  <w:num w:numId="3">
    <w:abstractNumId w:val="1"/>
  </w:num>
  <w:num w:numId="4">
    <w:abstractNumId w:val="35"/>
  </w:num>
  <w:num w:numId="5">
    <w:abstractNumId w:val="7"/>
  </w:num>
  <w:num w:numId="6">
    <w:abstractNumId w:val="29"/>
  </w:num>
  <w:num w:numId="7">
    <w:abstractNumId w:val="34"/>
  </w:num>
  <w:num w:numId="8">
    <w:abstractNumId w:val="33"/>
  </w:num>
  <w:num w:numId="9">
    <w:abstractNumId w:val="25"/>
  </w:num>
  <w:num w:numId="10">
    <w:abstractNumId w:val="5"/>
  </w:num>
  <w:num w:numId="11">
    <w:abstractNumId w:val="12"/>
  </w:num>
  <w:num w:numId="12">
    <w:abstractNumId w:val="23"/>
  </w:num>
  <w:num w:numId="13">
    <w:abstractNumId w:val="6"/>
  </w:num>
  <w:num w:numId="14">
    <w:abstractNumId w:val="28"/>
  </w:num>
  <w:num w:numId="15">
    <w:abstractNumId w:val="39"/>
  </w:num>
  <w:num w:numId="16">
    <w:abstractNumId w:val="27"/>
  </w:num>
  <w:num w:numId="17">
    <w:abstractNumId w:val="4"/>
  </w:num>
  <w:num w:numId="18">
    <w:abstractNumId w:val="38"/>
  </w:num>
  <w:num w:numId="19">
    <w:abstractNumId w:val="2"/>
  </w:num>
  <w:num w:numId="20">
    <w:abstractNumId w:val="11"/>
  </w:num>
  <w:num w:numId="21">
    <w:abstractNumId w:val="17"/>
  </w:num>
  <w:num w:numId="22">
    <w:abstractNumId w:val="42"/>
  </w:num>
  <w:num w:numId="23">
    <w:abstractNumId w:val="10"/>
  </w:num>
  <w:num w:numId="24">
    <w:abstractNumId w:val="13"/>
  </w:num>
  <w:num w:numId="25">
    <w:abstractNumId w:val="24"/>
  </w:num>
  <w:num w:numId="26">
    <w:abstractNumId w:val="19"/>
  </w:num>
  <w:num w:numId="27">
    <w:abstractNumId w:val="32"/>
  </w:num>
  <w:num w:numId="28">
    <w:abstractNumId w:val="14"/>
  </w:num>
  <w:num w:numId="29">
    <w:abstractNumId w:val="26"/>
  </w:num>
  <w:num w:numId="30">
    <w:abstractNumId w:val="18"/>
  </w:num>
  <w:num w:numId="31">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21"/>
  </w:num>
  <w:num w:numId="35">
    <w:abstractNumId w:val="36"/>
  </w:num>
  <w:num w:numId="36">
    <w:abstractNumId w:val="37"/>
  </w:num>
  <w:num w:numId="37">
    <w:abstractNumId w:val="16"/>
  </w:num>
  <w:num w:numId="38">
    <w:abstractNumId w:val="31"/>
  </w:num>
  <w:num w:numId="39">
    <w:abstractNumId w:val="22"/>
  </w:num>
  <w:num w:numId="40">
    <w:abstractNumId w:val="0"/>
  </w:num>
  <w:num w:numId="41">
    <w:abstractNumId w:val="41"/>
  </w:num>
  <w:num w:numId="42">
    <w:abstractNumId w:val="9"/>
  </w:num>
  <w:num w:numId="43">
    <w:abstractNumId w:val="4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8"/>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CA" w:vendorID="64" w:dllVersion="0" w:nlCheck="1" w:checkStyle="0"/>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19"/>
    <w:rsid w:val="00000846"/>
    <w:rsid w:val="00001942"/>
    <w:rsid w:val="00001D05"/>
    <w:rsid w:val="00001F89"/>
    <w:rsid w:val="00001FEF"/>
    <w:rsid w:val="000025A6"/>
    <w:rsid w:val="0000299F"/>
    <w:rsid w:val="00002C0A"/>
    <w:rsid w:val="000031C7"/>
    <w:rsid w:val="000033D9"/>
    <w:rsid w:val="000035F7"/>
    <w:rsid w:val="00003D5B"/>
    <w:rsid w:val="0000407F"/>
    <w:rsid w:val="00004266"/>
    <w:rsid w:val="000046B4"/>
    <w:rsid w:val="000048AD"/>
    <w:rsid w:val="0000491F"/>
    <w:rsid w:val="00004C4C"/>
    <w:rsid w:val="00005462"/>
    <w:rsid w:val="00005B13"/>
    <w:rsid w:val="00005D00"/>
    <w:rsid w:val="00006652"/>
    <w:rsid w:val="00006824"/>
    <w:rsid w:val="00006D33"/>
    <w:rsid w:val="00006D98"/>
    <w:rsid w:val="00006F31"/>
    <w:rsid w:val="00006F86"/>
    <w:rsid w:val="00007003"/>
    <w:rsid w:val="0000738F"/>
    <w:rsid w:val="00007463"/>
    <w:rsid w:val="00007884"/>
    <w:rsid w:val="00007BB2"/>
    <w:rsid w:val="00007E0D"/>
    <w:rsid w:val="00010035"/>
    <w:rsid w:val="000101AC"/>
    <w:rsid w:val="00010425"/>
    <w:rsid w:val="000106E8"/>
    <w:rsid w:val="000107EB"/>
    <w:rsid w:val="00010804"/>
    <w:rsid w:val="000108FF"/>
    <w:rsid w:val="00010BC6"/>
    <w:rsid w:val="00010F28"/>
    <w:rsid w:val="0001128E"/>
    <w:rsid w:val="000114E0"/>
    <w:rsid w:val="0001156D"/>
    <w:rsid w:val="00011F77"/>
    <w:rsid w:val="000123E0"/>
    <w:rsid w:val="00012440"/>
    <w:rsid w:val="0001275C"/>
    <w:rsid w:val="00012E68"/>
    <w:rsid w:val="000130A8"/>
    <w:rsid w:val="000132A9"/>
    <w:rsid w:val="0001334B"/>
    <w:rsid w:val="000134CC"/>
    <w:rsid w:val="000135DB"/>
    <w:rsid w:val="00013732"/>
    <w:rsid w:val="00013D96"/>
    <w:rsid w:val="0001420A"/>
    <w:rsid w:val="00014243"/>
    <w:rsid w:val="000142FF"/>
    <w:rsid w:val="0001436B"/>
    <w:rsid w:val="0001480F"/>
    <w:rsid w:val="00014981"/>
    <w:rsid w:val="00014A4E"/>
    <w:rsid w:val="00014C0F"/>
    <w:rsid w:val="00014D65"/>
    <w:rsid w:val="0001554C"/>
    <w:rsid w:val="00015C30"/>
    <w:rsid w:val="00016C4F"/>
    <w:rsid w:val="00016C96"/>
    <w:rsid w:val="00016CAD"/>
    <w:rsid w:val="0001705B"/>
    <w:rsid w:val="000170E9"/>
    <w:rsid w:val="00017120"/>
    <w:rsid w:val="0001712B"/>
    <w:rsid w:val="000173AA"/>
    <w:rsid w:val="00017A6E"/>
    <w:rsid w:val="00017E02"/>
    <w:rsid w:val="00020333"/>
    <w:rsid w:val="00020546"/>
    <w:rsid w:val="00020B66"/>
    <w:rsid w:val="00020ED1"/>
    <w:rsid w:val="00021061"/>
    <w:rsid w:val="00021212"/>
    <w:rsid w:val="00021942"/>
    <w:rsid w:val="00021A9B"/>
    <w:rsid w:val="00021AC5"/>
    <w:rsid w:val="00021C2A"/>
    <w:rsid w:val="00021E96"/>
    <w:rsid w:val="00022080"/>
    <w:rsid w:val="000220F2"/>
    <w:rsid w:val="00022477"/>
    <w:rsid w:val="000224D8"/>
    <w:rsid w:val="00022D04"/>
    <w:rsid w:val="00022D6A"/>
    <w:rsid w:val="00022F61"/>
    <w:rsid w:val="00023093"/>
    <w:rsid w:val="000231A0"/>
    <w:rsid w:val="0002321D"/>
    <w:rsid w:val="000232B9"/>
    <w:rsid w:val="000232F4"/>
    <w:rsid w:val="0002338F"/>
    <w:rsid w:val="0002346E"/>
    <w:rsid w:val="000236F2"/>
    <w:rsid w:val="000239FF"/>
    <w:rsid w:val="00023A0F"/>
    <w:rsid w:val="00023B66"/>
    <w:rsid w:val="00023B75"/>
    <w:rsid w:val="00023ECF"/>
    <w:rsid w:val="00023F60"/>
    <w:rsid w:val="00023FDA"/>
    <w:rsid w:val="00024108"/>
    <w:rsid w:val="000242C3"/>
    <w:rsid w:val="000248C5"/>
    <w:rsid w:val="000249B8"/>
    <w:rsid w:val="00024A85"/>
    <w:rsid w:val="00024C4B"/>
    <w:rsid w:val="00024D3E"/>
    <w:rsid w:val="00024FB8"/>
    <w:rsid w:val="000250CE"/>
    <w:rsid w:val="00025263"/>
    <w:rsid w:val="0002560F"/>
    <w:rsid w:val="00025690"/>
    <w:rsid w:val="000258B0"/>
    <w:rsid w:val="00025943"/>
    <w:rsid w:val="000259CA"/>
    <w:rsid w:val="000261CA"/>
    <w:rsid w:val="00026287"/>
    <w:rsid w:val="000262EE"/>
    <w:rsid w:val="00026959"/>
    <w:rsid w:val="000269E4"/>
    <w:rsid w:val="00026E51"/>
    <w:rsid w:val="00026F3C"/>
    <w:rsid w:val="00027756"/>
    <w:rsid w:val="00027E2E"/>
    <w:rsid w:val="0003041A"/>
    <w:rsid w:val="0003052F"/>
    <w:rsid w:val="00030573"/>
    <w:rsid w:val="0003074B"/>
    <w:rsid w:val="00030886"/>
    <w:rsid w:val="00030B27"/>
    <w:rsid w:val="00030B96"/>
    <w:rsid w:val="00030DA3"/>
    <w:rsid w:val="000311C5"/>
    <w:rsid w:val="00031A2D"/>
    <w:rsid w:val="00032631"/>
    <w:rsid w:val="00032727"/>
    <w:rsid w:val="000329C6"/>
    <w:rsid w:val="00033280"/>
    <w:rsid w:val="00033391"/>
    <w:rsid w:val="0003371A"/>
    <w:rsid w:val="000337A4"/>
    <w:rsid w:val="0003392F"/>
    <w:rsid w:val="00033A0F"/>
    <w:rsid w:val="00033F9B"/>
    <w:rsid w:val="0003427B"/>
    <w:rsid w:val="000343CF"/>
    <w:rsid w:val="00034562"/>
    <w:rsid w:val="00034FCB"/>
    <w:rsid w:val="00035212"/>
    <w:rsid w:val="00035718"/>
    <w:rsid w:val="00035BF6"/>
    <w:rsid w:val="00035C51"/>
    <w:rsid w:val="00035C84"/>
    <w:rsid w:val="00035E04"/>
    <w:rsid w:val="00035F83"/>
    <w:rsid w:val="00035F87"/>
    <w:rsid w:val="00036C39"/>
    <w:rsid w:val="00036F02"/>
    <w:rsid w:val="0003703C"/>
    <w:rsid w:val="00037484"/>
    <w:rsid w:val="000374D0"/>
    <w:rsid w:val="00040005"/>
    <w:rsid w:val="00040021"/>
    <w:rsid w:val="000404CE"/>
    <w:rsid w:val="00040827"/>
    <w:rsid w:val="00040C09"/>
    <w:rsid w:val="00040EE1"/>
    <w:rsid w:val="000410F8"/>
    <w:rsid w:val="000412D2"/>
    <w:rsid w:val="000412DF"/>
    <w:rsid w:val="00041301"/>
    <w:rsid w:val="00041324"/>
    <w:rsid w:val="000415CE"/>
    <w:rsid w:val="000415D0"/>
    <w:rsid w:val="00041844"/>
    <w:rsid w:val="00041CAC"/>
    <w:rsid w:val="00041D7A"/>
    <w:rsid w:val="00041E62"/>
    <w:rsid w:val="0004219A"/>
    <w:rsid w:val="00042204"/>
    <w:rsid w:val="000423DF"/>
    <w:rsid w:val="00042534"/>
    <w:rsid w:val="000429C9"/>
    <w:rsid w:val="00042CA7"/>
    <w:rsid w:val="00042DDD"/>
    <w:rsid w:val="00042E0D"/>
    <w:rsid w:val="00043345"/>
    <w:rsid w:val="00043CE0"/>
    <w:rsid w:val="00043FE1"/>
    <w:rsid w:val="000443E6"/>
    <w:rsid w:val="0004442E"/>
    <w:rsid w:val="000444A1"/>
    <w:rsid w:val="0004458B"/>
    <w:rsid w:val="000446D1"/>
    <w:rsid w:val="00044913"/>
    <w:rsid w:val="000449C8"/>
    <w:rsid w:val="00044AF3"/>
    <w:rsid w:val="00044BE5"/>
    <w:rsid w:val="00044C8C"/>
    <w:rsid w:val="000450D4"/>
    <w:rsid w:val="00045760"/>
    <w:rsid w:val="00045801"/>
    <w:rsid w:val="00045C9A"/>
    <w:rsid w:val="0004605B"/>
    <w:rsid w:val="00046422"/>
    <w:rsid w:val="0004646C"/>
    <w:rsid w:val="0004698A"/>
    <w:rsid w:val="00046D5C"/>
    <w:rsid w:val="00046E7E"/>
    <w:rsid w:val="0004708C"/>
    <w:rsid w:val="000470E4"/>
    <w:rsid w:val="00047494"/>
    <w:rsid w:val="00047E4D"/>
    <w:rsid w:val="00047FC5"/>
    <w:rsid w:val="000501BE"/>
    <w:rsid w:val="00050A1A"/>
    <w:rsid w:val="00050D20"/>
    <w:rsid w:val="000510AB"/>
    <w:rsid w:val="00051A5E"/>
    <w:rsid w:val="00051DB4"/>
    <w:rsid w:val="00052003"/>
    <w:rsid w:val="000522DA"/>
    <w:rsid w:val="000528AF"/>
    <w:rsid w:val="00052937"/>
    <w:rsid w:val="00052D1C"/>
    <w:rsid w:val="00052D95"/>
    <w:rsid w:val="00052F12"/>
    <w:rsid w:val="00052F52"/>
    <w:rsid w:val="000531C6"/>
    <w:rsid w:val="0005398F"/>
    <w:rsid w:val="00053E20"/>
    <w:rsid w:val="00054513"/>
    <w:rsid w:val="00054CED"/>
    <w:rsid w:val="00054F58"/>
    <w:rsid w:val="00055166"/>
    <w:rsid w:val="00055363"/>
    <w:rsid w:val="000557EF"/>
    <w:rsid w:val="000559BB"/>
    <w:rsid w:val="0005636B"/>
    <w:rsid w:val="00056378"/>
    <w:rsid w:val="000569F1"/>
    <w:rsid w:val="00056BA0"/>
    <w:rsid w:val="00057349"/>
    <w:rsid w:val="0005789D"/>
    <w:rsid w:val="00057B66"/>
    <w:rsid w:val="00057CEF"/>
    <w:rsid w:val="00057ECD"/>
    <w:rsid w:val="000602D1"/>
    <w:rsid w:val="00060358"/>
    <w:rsid w:val="00060854"/>
    <w:rsid w:val="0006094E"/>
    <w:rsid w:val="00060C44"/>
    <w:rsid w:val="00060C87"/>
    <w:rsid w:val="00060DC8"/>
    <w:rsid w:val="00061291"/>
    <w:rsid w:val="000613E2"/>
    <w:rsid w:val="00061AC0"/>
    <w:rsid w:val="00062401"/>
    <w:rsid w:val="0006240E"/>
    <w:rsid w:val="000624D3"/>
    <w:rsid w:val="00062945"/>
    <w:rsid w:val="00062AF6"/>
    <w:rsid w:val="00062BE4"/>
    <w:rsid w:val="00063916"/>
    <w:rsid w:val="00063D93"/>
    <w:rsid w:val="0006400E"/>
    <w:rsid w:val="00064198"/>
    <w:rsid w:val="000643A8"/>
    <w:rsid w:val="00064722"/>
    <w:rsid w:val="00064E70"/>
    <w:rsid w:val="000652DF"/>
    <w:rsid w:val="0006576B"/>
    <w:rsid w:val="00065ABF"/>
    <w:rsid w:val="00065C19"/>
    <w:rsid w:val="000660E9"/>
    <w:rsid w:val="00066584"/>
    <w:rsid w:val="00066B38"/>
    <w:rsid w:val="00066C19"/>
    <w:rsid w:val="00066EEA"/>
    <w:rsid w:val="000676B6"/>
    <w:rsid w:val="00067777"/>
    <w:rsid w:val="00067CC2"/>
    <w:rsid w:val="00067EF0"/>
    <w:rsid w:val="00070072"/>
    <w:rsid w:val="00070081"/>
    <w:rsid w:val="000702E2"/>
    <w:rsid w:val="0007041E"/>
    <w:rsid w:val="00070452"/>
    <w:rsid w:val="00070877"/>
    <w:rsid w:val="000709E0"/>
    <w:rsid w:val="00070A0D"/>
    <w:rsid w:val="00070E48"/>
    <w:rsid w:val="00070FAB"/>
    <w:rsid w:val="0007168D"/>
    <w:rsid w:val="00071814"/>
    <w:rsid w:val="00071C59"/>
    <w:rsid w:val="00072F33"/>
    <w:rsid w:val="00073DD1"/>
    <w:rsid w:val="00073FBC"/>
    <w:rsid w:val="000740BF"/>
    <w:rsid w:val="00074418"/>
    <w:rsid w:val="0007497C"/>
    <w:rsid w:val="00074A6F"/>
    <w:rsid w:val="00075105"/>
    <w:rsid w:val="00075185"/>
    <w:rsid w:val="000756A5"/>
    <w:rsid w:val="00075DAD"/>
    <w:rsid w:val="000760DD"/>
    <w:rsid w:val="00076435"/>
    <w:rsid w:val="0007666B"/>
    <w:rsid w:val="000769C3"/>
    <w:rsid w:val="00076BF4"/>
    <w:rsid w:val="00076D71"/>
    <w:rsid w:val="0007775A"/>
    <w:rsid w:val="0008008A"/>
    <w:rsid w:val="0008041E"/>
    <w:rsid w:val="000806D8"/>
    <w:rsid w:val="00080DF3"/>
    <w:rsid w:val="00081066"/>
    <w:rsid w:val="000811F7"/>
    <w:rsid w:val="00081FB9"/>
    <w:rsid w:val="00082152"/>
    <w:rsid w:val="00082166"/>
    <w:rsid w:val="0008228A"/>
    <w:rsid w:val="00082346"/>
    <w:rsid w:val="000827F9"/>
    <w:rsid w:val="00082BC4"/>
    <w:rsid w:val="00082BD3"/>
    <w:rsid w:val="00082C2A"/>
    <w:rsid w:val="00083EA5"/>
    <w:rsid w:val="000843CD"/>
    <w:rsid w:val="00084505"/>
    <w:rsid w:val="000848F5"/>
    <w:rsid w:val="00084D74"/>
    <w:rsid w:val="0008559A"/>
    <w:rsid w:val="00085A43"/>
    <w:rsid w:val="00085CA8"/>
    <w:rsid w:val="000863D0"/>
    <w:rsid w:val="00086590"/>
    <w:rsid w:val="00086607"/>
    <w:rsid w:val="0008699D"/>
    <w:rsid w:val="000869F5"/>
    <w:rsid w:val="00086B83"/>
    <w:rsid w:val="00086C1A"/>
    <w:rsid w:val="00086FB9"/>
    <w:rsid w:val="0008706C"/>
    <w:rsid w:val="000876FE"/>
    <w:rsid w:val="000877C6"/>
    <w:rsid w:val="000879CC"/>
    <w:rsid w:val="00087F9A"/>
    <w:rsid w:val="000900C8"/>
    <w:rsid w:val="000900E7"/>
    <w:rsid w:val="000906FF"/>
    <w:rsid w:val="00090AE0"/>
    <w:rsid w:val="00090D00"/>
    <w:rsid w:val="00090DFB"/>
    <w:rsid w:val="00091304"/>
    <w:rsid w:val="000914D1"/>
    <w:rsid w:val="00091897"/>
    <w:rsid w:val="000919B5"/>
    <w:rsid w:val="00091AE6"/>
    <w:rsid w:val="000920F1"/>
    <w:rsid w:val="00092216"/>
    <w:rsid w:val="0009269F"/>
    <w:rsid w:val="000926FE"/>
    <w:rsid w:val="000928B1"/>
    <w:rsid w:val="0009358C"/>
    <w:rsid w:val="00093C3D"/>
    <w:rsid w:val="00093CFF"/>
    <w:rsid w:val="00094140"/>
    <w:rsid w:val="000941F2"/>
    <w:rsid w:val="0009444D"/>
    <w:rsid w:val="0009496D"/>
    <w:rsid w:val="00094E43"/>
    <w:rsid w:val="000952CB"/>
    <w:rsid w:val="00095556"/>
    <w:rsid w:val="000958A6"/>
    <w:rsid w:val="00095B0D"/>
    <w:rsid w:val="000961FF"/>
    <w:rsid w:val="000964AB"/>
    <w:rsid w:val="000966C0"/>
    <w:rsid w:val="00096DAA"/>
    <w:rsid w:val="000972E0"/>
    <w:rsid w:val="0009771E"/>
    <w:rsid w:val="0009775E"/>
    <w:rsid w:val="000A016B"/>
    <w:rsid w:val="000A02C5"/>
    <w:rsid w:val="000A0A6D"/>
    <w:rsid w:val="000A0C72"/>
    <w:rsid w:val="000A0CE6"/>
    <w:rsid w:val="000A0E4F"/>
    <w:rsid w:val="000A0E74"/>
    <w:rsid w:val="000A0F56"/>
    <w:rsid w:val="000A117D"/>
    <w:rsid w:val="000A1495"/>
    <w:rsid w:val="000A1948"/>
    <w:rsid w:val="000A1D03"/>
    <w:rsid w:val="000A1F67"/>
    <w:rsid w:val="000A230B"/>
    <w:rsid w:val="000A23E6"/>
    <w:rsid w:val="000A24DA"/>
    <w:rsid w:val="000A2542"/>
    <w:rsid w:val="000A2698"/>
    <w:rsid w:val="000A2CD3"/>
    <w:rsid w:val="000A3239"/>
    <w:rsid w:val="000A32FD"/>
    <w:rsid w:val="000A3463"/>
    <w:rsid w:val="000A34BC"/>
    <w:rsid w:val="000A34E4"/>
    <w:rsid w:val="000A3824"/>
    <w:rsid w:val="000A3966"/>
    <w:rsid w:val="000A3BDB"/>
    <w:rsid w:val="000A3E72"/>
    <w:rsid w:val="000A3F38"/>
    <w:rsid w:val="000A3FAA"/>
    <w:rsid w:val="000A3FB6"/>
    <w:rsid w:val="000A4488"/>
    <w:rsid w:val="000A45F6"/>
    <w:rsid w:val="000A47A3"/>
    <w:rsid w:val="000A482D"/>
    <w:rsid w:val="000A4AED"/>
    <w:rsid w:val="000A4B0A"/>
    <w:rsid w:val="000A4BB9"/>
    <w:rsid w:val="000A5791"/>
    <w:rsid w:val="000A584B"/>
    <w:rsid w:val="000A59C8"/>
    <w:rsid w:val="000A6173"/>
    <w:rsid w:val="000A6234"/>
    <w:rsid w:val="000A652C"/>
    <w:rsid w:val="000A6D10"/>
    <w:rsid w:val="000A7582"/>
    <w:rsid w:val="000A777A"/>
    <w:rsid w:val="000A782A"/>
    <w:rsid w:val="000A79EC"/>
    <w:rsid w:val="000B0154"/>
    <w:rsid w:val="000B0392"/>
    <w:rsid w:val="000B0492"/>
    <w:rsid w:val="000B0C25"/>
    <w:rsid w:val="000B1134"/>
    <w:rsid w:val="000B130A"/>
    <w:rsid w:val="000B16AB"/>
    <w:rsid w:val="000B1816"/>
    <w:rsid w:val="000B1ABB"/>
    <w:rsid w:val="000B1CBB"/>
    <w:rsid w:val="000B22BE"/>
    <w:rsid w:val="000B248A"/>
    <w:rsid w:val="000B30BF"/>
    <w:rsid w:val="000B3343"/>
    <w:rsid w:val="000B3544"/>
    <w:rsid w:val="000B35CA"/>
    <w:rsid w:val="000B3C60"/>
    <w:rsid w:val="000B3F6D"/>
    <w:rsid w:val="000B4909"/>
    <w:rsid w:val="000B4AB5"/>
    <w:rsid w:val="000B512C"/>
    <w:rsid w:val="000B5493"/>
    <w:rsid w:val="000B5603"/>
    <w:rsid w:val="000B5ABC"/>
    <w:rsid w:val="000B60F7"/>
    <w:rsid w:val="000B627F"/>
    <w:rsid w:val="000B6306"/>
    <w:rsid w:val="000B73A9"/>
    <w:rsid w:val="000B7721"/>
    <w:rsid w:val="000B79AB"/>
    <w:rsid w:val="000B7B56"/>
    <w:rsid w:val="000B7FAA"/>
    <w:rsid w:val="000C0068"/>
    <w:rsid w:val="000C06DA"/>
    <w:rsid w:val="000C1845"/>
    <w:rsid w:val="000C1A51"/>
    <w:rsid w:val="000C1A99"/>
    <w:rsid w:val="000C1F2F"/>
    <w:rsid w:val="000C2336"/>
    <w:rsid w:val="000C259E"/>
    <w:rsid w:val="000C28CF"/>
    <w:rsid w:val="000C2B71"/>
    <w:rsid w:val="000C2CA7"/>
    <w:rsid w:val="000C3250"/>
    <w:rsid w:val="000C330B"/>
    <w:rsid w:val="000C386C"/>
    <w:rsid w:val="000C3955"/>
    <w:rsid w:val="000C3AE4"/>
    <w:rsid w:val="000C3B03"/>
    <w:rsid w:val="000C3F7B"/>
    <w:rsid w:val="000C4325"/>
    <w:rsid w:val="000C436F"/>
    <w:rsid w:val="000C45B1"/>
    <w:rsid w:val="000C4795"/>
    <w:rsid w:val="000C49C7"/>
    <w:rsid w:val="000C4AC5"/>
    <w:rsid w:val="000C4CC9"/>
    <w:rsid w:val="000C4D8E"/>
    <w:rsid w:val="000C4DA3"/>
    <w:rsid w:val="000C61D1"/>
    <w:rsid w:val="000C656F"/>
    <w:rsid w:val="000C6633"/>
    <w:rsid w:val="000C66F0"/>
    <w:rsid w:val="000C6940"/>
    <w:rsid w:val="000C6F3A"/>
    <w:rsid w:val="000C6F8D"/>
    <w:rsid w:val="000C6FB8"/>
    <w:rsid w:val="000C7092"/>
    <w:rsid w:val="000C72D9"/>
    <w:rsid w:val="000C7631"/>
    <w:rsid w:val="000C7E0E"/>
    <w:rsid w:val="000C7E2A"/>
    <w:rsid w:val="000C7EE7"/>
    <w:rsid w:val="000D0989"/>
    <w:rsid w:val="000D12D3"/>
    <w:rsid w:val="000D12E6"/>
    <w:rsid w:val="000D160C"/>
    <w:rsid w:val="000D1A45"/>
    <w:rsid w:val="000D1AE6"/>
    <w:rsid w:val="000D1AF0"/>
    <w:rsid w:val="000D2B17"/>
    <w:rsid w:val="000D300E"/>
    <w:rsid w:val="000D3406"/>
    <w:rsid w:val="000D3522"/>
    <w:rsid w:val="000D3B36"/>
    <w:rsid w:val="000D3DCD"/>
    <w:rsid w:val="000D3FFC"/>
    <w:rsid w:val="000D415A"/>
    <w:rsid w:val="000D4206"/>
    <w:rsid w:val="000D424B"/>
    <w:rsid w:val="000D4483"/>
    <w:rsid w:val="000D4517"/>
    <w:rsid w:val="000D4827"/>
    <w:rsid w:val="000D4C21"/>
    <w:rsid w:val="000D4E2C"/>
    <w:rsid w:val="000D5015"/>
    <w:rsid w:val="000D51C4"/>
    <w:rsid w:val="000D5456"/>
    <w:rsid w:val="000D54B4"/>
    <w:rsid w:val="000D55B1"/>
    <w:rsid w:val="000D5A52"/>
    <w:rsid w:val="000D5AE2"/>
    <w:rsid w:val="000D5C0E"/>
    <w:rsid w:val="000D5E27"/>
    <w:rsid w:val="000D5E28"/>
    <w:rsid w:val="000D5E4B"/>
    <w:rsid w:val="000D6102"/>
    <w:rsid w:val="000D6232"/>
    <w:rsid w:val="000D6886"/>
    <w:rsid w:val="000D72DF"/>
    <w:rsid w:val="000D73AF"/>
    <w:rsid w:val="000D73EF"/>
    <w:rsid w:val="000D7467"/>
    <w:rsid w:val="000D7767"/>
    <w:rsid w:val="000D77C6"/>
    <w:rsid w:val="000D7808"/>
    <w:rsid w:val="000D78F2"/>
    <w:rsid w:val="000D79F2"/>
    <w:rsid w:val="000D7D46"/>
    <w:rsid w:val="000D7DF5"/>
    <w:rsid w:val="000E0465"/>
    <w:rsid w:val="000E0C3F"/>
    <w:rsid w:val="000E11FC"/>
    <w:rsid w:val="000E1570"/>
    <w:rsid w:val="000E17B2"/>
    <w:rsid w:val="000E192A"/>
    <w:rsid w:val="000E19A9"/>
    <w:rsid w:val="000E19F7"/>
    <w:rsid w:val="000E1F78"/>
    <w:rsid w:val="000E2366"/>
    <w:rsid w:val="000E2732"/>
    <w:rsid w:val="000E28C8"/>
    <w:rsid w:val="000E29AA"/>
    <w:rsid w:val="000E2E33"/>
    <w:rsid w:val="000E30DF"/>
    <w:rsid w:val="000E350E"/>
    <w:rsid w:val="000E3797"/>
    <w:rsid w:val="000E3DCA"/>
    <w:rsid w:val="000E40D1"/>
    <w:rsid w:val="000E437E"/>
    <w:rsid w:val="000E4A7E"/>
    <w:rsid w:val="000E4EE1"/>
    <w:rsid w:val="000E4FCE"/>
    <w:rsid w:val="000E52C6"/>
    <w:rsid w:val="000E5DF1"/>
    <w:rsid w:val="000E5EAF"/>
    <w:rsid w:val="000E67D8"/>
    <w:rsid w:val="000E6CE3"/>
    <w:rsid w:val="000E6E6C"/>
    <w:rsid w:val="000E7310"/>
    <w:rsid w:val="000E742D"/>
    <w:rsid w:val="000E75A6"/>
    <w:rsid w:val="000E7612"/>
    <w:rsid w:val="000E766E"/>
    <w:rsid w:val="000E7707"/>
    <w:rsid w:val="000F0068"/>
    <w:rsid w:val="000F0527"/>
    <w:rsid w:val="000F077C"/>
    <w:rsid w:val="000F0B47"/>
    <w:rsid w:val="000F0D56"/>
    <w:rsid w:val="000F18AB"/>
    <w:rsid w:val="000F1926"/>
    <w:rsid w:val="000F1A3C"/>
    <w:rsid w:val="000F1E21"/>
    <w:rsid w:val="000F1EF8"/>
    <w:rsid w:val="000F231B"/>
    <w:rsid w:val="000F2668"/>
    <w:rsid w:val="000F28D8"/>
    <w:rsid w:val="000F29AE"/>
    <w:rsid w:val="000F2E19"/>
    <w:rsid w:val="000F2EDC"/>
    <w:rsid w:val="000F2EE9"/>
    <w:rsid w:val="000F2FDE"/>
    <w:rsid w:val="000F3119"/>
    <w:rsid w:val="000F33B8"/>
    <w:rsid w:val="000F340E"/>
    <w:rsid w:val="000F34F2"/>
    <w:rsid w:val="000F3546"/>
    <w:rsid w:val="000F363D"/>
    <w:rsid w:val="000F393A"/>
    <w:rsid w:val="000F429C"/>
    <w:rsid w:val="000F4415"/>
    <w:rsid w:val="000F4524"/>
    <w:rsid w:val="000F5178"/>
    <w:rsid w:val="000F51A9"/>
    <w:rsid w:val="000F546C"/>
    <w:rsid w:val="000F6ACE"/>
    <w:rsid w:val="000F6B8B"/>
    <w:rsid w:val="000F6F9B"/>
    <w:rsid w:val="000F7291"/>
    <w:rsid w:val="000F74DB"/>
    <w:rsid w:val="000F7F80"/>
    <w:rsid w:val="000F7FD7"/>
    <w:rsid w:val="0010036F"/>
    <w:rsid w:val="00100531"/>
    <w:rsid w:val="00100F20"/>
    <w:rsid w:val="00100F7C"/>
    <w:rsid w:val="00101755"/>
    <w:rsid w:val="00101AB6"/>
    <w:rsid w:val="001021C5"/>
    <w:rsid w:val="00102554"/>
    <w:rsid w:val="001025FB"/>
    <w:rsid w:val="001026B0"/>
    <w:rsid w:val="001027CB"/>
    <w:rsid w:val="001029B2"/>
    <w:rsid w:val="00102ACF"/>
    <w:rsid w:val="00102FA9"/>
    <w:rsid w:val="001030D8"/>
    <w:rsid w:val="00103334"/>
    <w:rsid w:val="001036B1"/>
    <w:rsid w:val="00103A7F"/>
    <w:rsid w:val="00103EBA"/>
    <w:rsid w:val="00103F77"/>
    <w:rsid w:val="001040C0"/>
    <w:rsid w:val="00104653"/>
    <w:rsid w:val="00104658"/>
    <w:rsid w:val="001049CF"/>
    <w:rsid w:val="00104BE7"/>
    <w:rsid w:val="00104D71"/>
    <w:rsid w:val="00104E50"/>
    <w:rsid w:val="00104EA8"/>
    <w:rsid w:val="00105060"/>
    <w:rsid w:val="001051D9"/>
    <w:rsid w:val="001056BF"/>
    <w:rsid w:val="00105EC4"/>
    <w:rsid w:val="00106132"/>
    <w:rsid w:val="001065F1"/>
    <w:rsid w:val="0010679C"/>
    <w:rsid w:val="00106CB5"/>
    <w:rsid w:val="00106D6D"/>
    <w:rsid w:val="00106E8B"/>
    <w:rsid w:val="00106EA7"/>
    <w:rsid w:val="0010709D"/>
    <w:rsid w:val="0010712E"/>
    <w:rsid w:val="001077A2"/>
    <w:rsid w:val="00107F7B"/>
    <w:rsid w:val="001103E2"/>
    <w:rsid w:val="00110739"/>
    <w:rsid w:val="00110853"/>
    <w:rsid w:val="00110A3D"/>
    <w:rsid w:val="00111229"/>
    <w:rsid w:val="001112CE"/>
    <w:rsid w:val="00111460"/>
    <w:rsid w:val="00111BB7"/>
    <w:rsid w:val="00111FCA"/>
    <w:rsid w:val="0011218C"/>
    <w:rsid w:val="0011266F"/>
    <w:rsid w:val="0011269C"/>
    <w:rsid w:val="00112802"/>
    <w:rsid w:val="00112933"/>
    <w:rsid w:val="00114150"/>
    <w:rsid w:val="00114219"/>
    <w:rsid w:val="0011450C"/>
    <w:rsid w:val="001148AD"/>
    <w:rsid w:val="001148D4"/>
    <w:rsid w:val="00114A03"/>
    <w:rsid w:val="00114BE3"/>
    <w:rsid w:val="001151C8"/>
    <w:rsid w:val="0011531B"/>
    <w:rsid w:val="00115826"/>
    <w:rsid w:val="00115982"/>
    <w:rsid w:val="00115EF5"/>
    <w:rsid w:val="0011667B"/>
    <w:rsid w:val="00116886"/>
    <w:rsid w:val="00116EAD"/>
    <w:rsid w:val="00117259"/>
    <w:rsid w:val="00117776"/>
    <w:rsid w:val="001179FE"/>
    <w:rsid w:val="00117A2C"/>
    <w:rsid w:val="00117C3A"/>
    <w:rsid w:val="00120389"/>
    <w:rsid w:val="00120526"/>
    <w:rsid w:val="00120F11"/>
    <w:rsid w:val="00121791"/>
    <w:rsid w:val="00121EAB"/>
    <w:rsid w:val="00122012"/>
    <w:rsid w:val="00122123"/>
    <w:rsid w:val="001223AE"/>
    <w:rsid w:val="001223BC"/>
    <w:rsid w:val="00122463"/>
    <w:rsid w:val="00122D56"/>
    <w:rsid w:val="0012306E"/>
    <w:rsid w:val="001230C3"/>
    <w:rsid w:val="001231F0"/>
    <w:rsid w:val="0012366D"/>
    <w:rsid w:val="001239B6"/>
    <w:rsid w:val="00123A34"/>
    <w:rsid w:val="00123C6F"/>
    <w:rsid w:val="001246FF"/>
    <w:rsid w:val="0012479B"/>
    <w:rsid w:val="00124B0F"/>
    <w:rsid w:val="00124D9B"/>
    <w:rsid w:val="00124DD4"/>
    <w:rsid w:val="00125006"/>
    <w:rsid w:val="00125103"/>
    <w:rsid w:val="001254EF"/>
    <w:rsid w:val="00125532"/>
    <w:rsid w:val="00125AFD"/>
    <w:rsid w:val="00125B21"/>
    <w:rsid w:val="00125F97"/>
    <w:rsid w:val="00126A85"/>
    <w:rsid w:val="00126EBD"/>
    <w:rsid w:val="00127114"/>
    <w:rsid w:val="00127C0D"/>
    <w:rsid w:val="00127F3E"/>
    <w:rsid w:val="001301B8"/>
    <w:rsid w:val="00130CA8"/>
    <w:rsid w:val="00130EF0"/>
    <w:rsid w:val="001313C8"/>
    <w:rsid w:val="001318A0"/>
    <w:rsid w:val="00131D72"/>
    <w:rsid w:val="00131EF2"/>
    <w:rsid w:val="001321C9"/>
    <w:rsid w:val="00132615"/>
    <w:rsid w:val="00132EA2"/>
    <w:rsid w:val="001331A7"/>
    <w:rsid w:val="001333D3"/>
    <w:rsid w:val="00133663"/>
    <w:rsid w:val="001336BF"/>
    <w:rsid w:val="0013374B"/>
    <w:rsid w:val="001338C5"/>
    <w:rsid w:val="001339B0"/>
    <w:rsid w:val="0013467D"/>
    <w:rsid w:val="00134815"/>
    <w:rsid w:val="00135406"/>
    <w:rsid w:val="00135BE7"/>
    <w:rsid w:val="00135F0A"/>
    <w:rsid w:val="0013622D"/>
    <w:rsid w:val="001364CD"/>
    <w:rsid w:val="001364F2"/>
    <w:rsid w:val="0013650F"/>
    <w:rsid w:val="00136647"/>
    <w:rsid w:val="001367E8"/>
    <w:rsid w:val="00136C14"/>
    <w:rsid w:val="00136D11"/>
    <w:rsid w:val="00136E0B"/>
    <w:rsid w:val="001370E7"/>
    <w:rsid w:val="001371A5"/>
    <w:rsid w:val="00137346"/>
    <w:rsid w:val="001373D5"/>
    <w:rsid w:val="0013752D"/>
    <w:rsid w:val="0013790B"/>
    <w:rsid w:val="0013798C"/>
    <w:rsid w:val="00137F4C"/>
    <w:rsid w:val="00141286"/>
    <w:rsid w:val="0014158F"/>
    <w:rsid w:val="001417E1"/>
    <w:rsid w:val="0014187C"/>
    <w:rsid w:val="00141ABD"/>
    <w:rsid w:val="001420A1"/>
    <w:rsid w:val="001427FE"/>
    <w:rsid w:val="0014323F"/>
    <w:rsid w:val="00143431"/>
    <w:rsid w:val="001436CD"/>
    <w:rsid w:val="00143CBC"/>
    <w:rsid w:val="0014422E"/>
    <w:rsid w:val="00144547"/>
    <w:rsid w:val="0014469B"/>
    <w:rsid w:val="001447F5"/>
    <w:rsid w:val="00144D0A"/>
    <w:rsid w:val="0014531B"/>
    <w:rsid w:val="001457AB"/>
    <w:rsid w:val="00145842"/>
    <w:rsid w:val="001459DF"/>
    <w:rsid w:val="00145F0B"/>
    <w:rsid w:val="00146066"/>
    <w:rsid w:val="0014634D"/>
    <w:rsid w:val="0014657D"/>
    <w:rsid w:val="00146591"/>
    <w:rsid w:val="00147619"/>
    <w:rsid w:val="00147E7E"/>
    <w:rsid w:val="00147FB8"/>
    <w:rsid w:val="001502B3"/>
    <w:rsid w:val="0015032F"/>
    <w:rsid w:val="00150723"/>
    <w:rsid w:val="0015158B"/>
    <w:rsid w:val="0015170A"/>
    <w:rsid w:val="001518CC"/>
    <w:rsid w:val="00151C16"/>
    <w:rsid w:val="00151D00"/>
    <w:rsid w:val="00151D2E"/>
    <w:rsid w:val="00151EBF"/>
    <w:rsid w:val="0015282E"/>
    <w:rsid w:val="0015304B"/>
    <w:rsid w:val="00153380"/>
    <w:rsid w:val="001533A3"/>
    <w:rsid w:val="00153879"/>
    <w:rsid w:val="0015390B"/>
    <w:rsid w:val="001540D4"/>
    <w:rsid w:val="001543B0"/>
    <w:rsid w:val="00154A7E"/>
    <w:rsid w:val="00154B68"/>
    <w:rsid w:val="00154C6E"/>
    <w:rsid w:val="00155238"/>
    <w:rsid w:val="00155565"/>
    <w:rsid w:val="00155A29"/>
    <w:rsid w:val="00155D00"/>
    <w:rsid w:val="00155F74"/>
    <w:rsid w:val="001566CA"/>
    <w:rsid w:val="00156833"/>
    <w:rsid w:val="00156966"/>
    <w:rsid w:val="00156984"/>
    <w:rsid w:val="00156B59"/>
    <w:rsid w:val="00157084"/>
    <w:rsid w:val="001572EB"/>
    <w:rsid w:val="00157546"/>
    <w:rsid w:val="00157FE1"/>
    <w:rsid w:val="00160051"/>
    <w:rsid w:val="001600E7"/>
    <w:rsid w:val="00160569"/>
    <w:rsid w:val="0016065C"/>
    <w:rsid w:val="0016065D"/>
    <w:rsid w:val="001606C8"/>
    <w:rsid w:val="0016077F"/>
    <w:rsid w:val="00160DCF"/>
    <w:rsid w:val="00161144"/>
    <w:rsid w:val="0016115B"/>
    <w:rsid w:val="001611AE"/>
    <w:rsid w:val="001611EB"/>
    <w:rsid w:val="00161601"/>
    <w:rsid w:val="001617AA"/>
    <w:rsid w:val="001618AB"/>
    <w:rsid w:val="0016195A"/>
    <w:rsid w:val="00161BA9"/>
    <w:rsid w:val="00161EA7"/>
    <w:rsid w:val="00161ED9"/>
    <w:rsid w:val="00162393"/>
    <w:rsid w:val="0016270E"/>
    <w:rsid w:val="00162804"/>
    <w:rsid w:val="00163591"/>
    <w:rsid w:val="00163604"/>
    <w:rsid w:val="001636EC"/>
    <w:rsid w:val="001647C5"/>
    <w:rsid w:val="001648CA"/>
    <w:rsid w:val="0016492F"/>
    <w:rsid w:val="00164AEC"/>
    <w:rsid w:val="00164D8B"/>
    <w:rsid w:val="001650C3"/>
    <w:rsid w:val="0016524D"/>
    <w:rsid w:val="00165A30"/>
    <w:rsid w:val="00165F17"/>
    <w:rsid w:val="00165FF5"/>
    <w:rsid w:val="00166357"/>
    <w:rsid w:val="00166853"/>
    <w:rsid w:val="00166A57"/>
    <w:rsid w:val="00166F1A"/>
    <w:rsid w:val="00167028"/>
    <w:rsid w:val="00167462"/>
    <w:rsid w:val="00167558"/>
    <w:rsid w:val="001675FF"/>
    <w:rsid w:val="001678B9"/>
    <w:rsid w:val="001678BA"/>
    <w:rsid w:val="00167EB6"/>
    <w:rsid w:val="00167FC4"/>
    <w:rsid w:val="0017004A"/>
    <w:rsid w:val="0017059E"/>
    <w:rsid w:val="001709A2"/>
    <w:rsid w:val="00170B59"/>
    <w:rsid w:val="00170D40"/>
    <w:rsid w:val="00170F2C"/>
    <w:rsid w:val="00171370"/>
    <w:rsid w:val="001713FD"/>
    <w:rsid w:val="001717AF"/>
    <w:rsid w:val="00171EC6"/>
    <w:rsid w:val="001722FB"/>
    <w:rsid w:val="00172ABF"/>
    <w:rsid w:val="00173571"/>
    <w:rsid w:val="0017366D"/>
    <w:rsid w:val="0017373E"/>
    <w:rsid w:val="001740D4"/>
    <w:rsid w:val="0017433E"/>
    <w:rsid w:val="0017461E"/>
    <w:rsid w:val="0017469C"/>
    <w:rsid w:val="001747D3"/>
    <w:rsid w:val="0017487C"/>
    <w:rsid w:val="00174AEE"/>
    <w:rsid w:val="00174C04"/>
    <w:rsid w:val="00174D79"/>
    <w:rsid w:val="00174D9A"/>
    <w:rsid w:val="00174E50"/>
    <w:rsid w:val="0017506B"/>
    <w:rsid w:val="0017519D"/>
    <w:rsid w:val="001756CC"/>
    <w:rsid w:val="00175AAA"/>
    <w:rsid w:val="00175AC8"/>
    <w:rsid w:val="00175DA2"/>
    <w:rsid w:val="0017630E"/>
    <w:rsid w:val="001764FB"/>
    <w:rsid w:val="0017670F"/>
    <w:rsid w:val="00176C03"/>
    <w:rsid w:val="00176C89"/>
    <w:rsid w:val="00176E36"/>
    <w:rsid w:val="001772B1"/>
    <w:rsid w:val="0017750E"/>
    <w:rsid w:val="00177D53"/>
    <w:rsid w:val="00177E82"/>
    <w:rsid w:val="00180722"/>
    <w:rsid w:val="00180737"/>
    <w:rsid w:val="00180980"/>
    <w:rsid w:val="00180B11"/>
    <w:rsid w:val="00180D1C"/>
    <w:rsid w:val="0018133F"/>
    <w:rsid w:val="00181D42"/>
    <w:rsid w:val="00181FA3"/>
    <w:rsid w:val="00181FAC"/>
    <w:rsid w:val="001821E2"/>
    <w:rsid w:val="0018249E"/>
    <w:rsid w:val="0018290E"/>
    <w:rsid w:val="00182BD6"/>
    <w:rsid w:val="00183250"/>
    <w:rsid w:val="00183789"/>
    <w:rsid w:val="00183C8E"/>
    <w:rsid w:val="00183F3E"/>
    <w:rsid w:val="00184342"/>
    <w:rsid w:val="00184462"/>
    <w:rsid w:val="0018466A"/>
    <w:rsid w:val="001851D3"/>
    <w:rsid w:val="0018526A"/>
    <w:rsid w:val="00185366"/>
    <w:rsid w:val="0018544B"/>
    <w:rsid w:val="00185AC5"/>
    <w:rsid w:val="00185AF6"/>
    <w:rsid w:val="0018641F"/>
    <w:rsid w:val="0018654F"/>
    <w:rsid w:val="001865A2"/>
    <w:rsid w:val="0018662F"/>
    <w:rsid w:val="00186E4A"/>
    <w:rsid w:val="00186E6F"/>
    <w:rsid w:val="001870B5"/>
    <w:rsid w:val="00187153"/>
    <w:rsid w:val="00187366"/>
    <w:rsid w:val="0018747D"/>
    <w:rsid w:val="00187483"/>
    <w:rsid w:val="0018754A"/>
    <w:rsid w:val="00187568"/>
    <w:rsid w:val="001875CD"/>
    <w:rsid w:val="0018760B"/>
    <w:rsid w:val="0018794F"/>
    <w:rsid w:val="00187CE9"/>
    <w:rsid w:val="00187E09"/>
    <w:rsid w:val="00187E3C"/>
    <w:rsid w:val="00187E70"/>
    <w:rsid w:val="00190C6D"/>
    <w:rsid w:val="0019106F"/>
    <w:rsid w:val="001913B2"/>
    <w:rsid w:val="00191433"/>
    <w:rsid w:val="0019147D"/>
    <w:rsid w:val="00191733"/>
    <w:rsid w:val="00191F69"/>
    <w:rsid w:val="00191F6B"/>
    <w:rsid w:val="0019202D"/>
    <w:rsid w:val="00192074"/>
    <w:rsid w:val="0019220E"/>
    <w:rsid w:val="00192BD5"/>
    <w:rsid w:val="00192D8D"/>
    <w:rsid w:val="00193305"/>
    <w:rsid w:val="00193343"/>
    <w:rsid w:val="00193678"/>
    <w:rsid w:val="001937B8"/>
    <w:rsid w:val="00193905"/>
    <w:rsid w:val="001939FB"/>
    <w:rsid w:val="00193A35"/>
    <w:rsid w:val="00193B3A"/>
    <w:rsid w:val="00193F55"/>
    <w:rsid w:val="00194384"/>
    <w:rsid w:val="001943EE"/>
    <w:rsid w:val="00194716"/>
    <w:rsid w:val="00194957"/>
    <w:rsid w:val="00194A52"/>
    <w:rsid w:val="00194D62"/>
    <w:rsid w:val="0019531B"/>
    <w:rsid w:val="00195EF4"/>
    <w:rsid w:val="00196056"/>
    <w:rsid w:val="0019623E"/>
    <w:rsid w:val="001962E3"/>
    <w:rsid w:val="001963AE"/>
    <w:rsid w:val="0019642C"/>
    <w:rsid w:val="001966E2"/>
    <w:rsid w:val="00196718"/>
    <w:rsid w:val="00196B56"/>
    <w:rsid w:val="00196E87"/>
    <w:rsid w:val="00197138"/>
    <w:rsid w:val="0019739B"/>
    <w:rsid w:val="00197F62"/>
    <w:rsid w:val="001A0200"/>
    <w:rsid w:val="001A0241"/>
    <w:rsid w:val="001A03BB"/>
    <w:rsid w:val="001A099D"/>
    <w:rsid w:val="001A0DF8"/>
    <w:rsid w:val="001A0F7E"/>
    <w:rsid w:val="001A0FB3"/>
    <w:rsid w:val="001A1265"/>
    <w:rsid w:val="001A149D"/>
    <w:rsid w:val="001A160E"/>
    <w:rsid w:val="001A1D38"/>
    <w:rsid w:val="001A1D57"/>
    <w:rsid w:val="001A2219"/>
    <w:rsid w:val="001A25A6"/>
    <w:rsid w:val="001A2B0B"/>
    <w:rsid w:val="001A2C34"/>
    <w:rsid w:val="001A2D8C"/>
    <w:rsid w:val="001A2F90"/>
    <w:rsid w:val="001A3416"/>
    <w:rsid w:val="001A3485"/>
    <w:rsid w:val="001A3D44"/>
    <w:rsid w:val="001A3D77"/>
    <w:rsid w:val="001A4947"/>
    <w:rsid w:val="001A4C47"/>
    <w:rsid w:val="001A4DC4"/>
    <w:rsid w:val="001A5464"/>
    <w:rsid w:val="001A5937"/>
    <w:rsid w:val="001A59DF"/>
    <w:rsid w:val="001A5D12"/>
    <w:rsid w:val="001A66B2"/>
    <w:rsid w:val="001A692E"/>
    <w:rsid w:val="001A6D87"/>
    <w:rsid w:val="001A71B0"/>
    <w:rsid w:val="001A7479"/>
    <w:rsid w:val="001A787D"/>
    <w:rsid w:val="001A7F4B"/>
    <w:rsid w:val="001B04A9"/>
    <w:rsid w:val="001B050D"/>
    <w:rsid w:val="001B05D4"/>
    <w:rsid w:val="001B0623"/>
    <w:rsid w:val="001B0645"/>
    <w:rsid w:val="001B0BD8"/>
    <w:rsid w:val="001B0DA1"/>
    <w:rsid w:val="001B0DD5"/>
    <w:rsid w:val="001B14F5"/>
    <w:rsid w:val="001B158C"/>
    <w:rsid w:val="001B177E"/>
    <w:rsid w:val="001B1ADF"/>
    <w:rsid w:val="001B1D09"/>
    <w:rsid w:val="001B204B"/>
    <w:rsid w:val="001B2475"/>
    <w:rsid w:val="001B2695"/>
    <w:rsid w:val="001B2AA1"/>
    <w:rsid w:val="001B2B8A"/>
    <w:rsid w:val="001B2D85"/>
    <w:rsid w:val="001B3046"/>
    <w:rsid w:val="001B3AF0"/>
    <w:rsid w:val="001B3DBA"/>
    <w:rsid w:val="001B3E08"/>
    <w:rsid w:val="001B3FF6"/>
    <w:rsid w:val="001B406F"/>
    <w:rsid w:val="001B49C1"/>
    <w:rsid w:val="001B4BA5"/>
    <w:rsid w:val="001B4F7A"/>
    <w:rsid w:val="001B56DA"/>
    <w:rsid w:val="001B5C66"/>
    <w:rsid w:val="001B5D7C"/>
    <w:rsid w:val="001B5E6E"/>
    <w:rsid w:val="001B5FA5"/>
    <w:rsid w:val="001B60EB"/>
    <w:rsid w:val="001B628D"/>
    <w:rsid w:val="001B62A0"/>
    <w:rsid w:val="001B6513"/>
    <w:rsid w:val="001B6645"/>
    <w:rsid w:val="001B68BC"/>
    <w:rsid w:val="001B78FC"/>
    <w:rsid w:val="001B7BFA"/>
    <w:rsid w:val="001B7C37"/>
    <w:rsid w:val="001B7E50"/>
    <w:rsid w:val="001C00B6"/>
    <w:rsid w:val="001C02A8"/>
    <w:rsid w:val="001C02D7"/>
    <w:rsid w:val="001C055F"/>
    <w:rsid w:val="001C0760"/>
    <w:rsid w:val="001C0800"/>
    <w:rsid w:val="001C09EB"/>
    <w:rsid w:val="001C0BE7"/>
    <w:rsid w:val="001C0CDB"/>
    <w:rsid w:val="001C0D96"/>
    <w:rsid w:val="001C0E56"/>
    <w:rsid w:val="001C11D3"/>
    <w:rsid w:val="001C13CE"/>
    <w:rsid w:val="001C1526"/>
    <w:rsid w:val="001C1828"/>
    <w:rsid w:val="001C1AD0"/>
    <w:rsid w:val="001C1E37"/>
    <w:rsid w:val="001C1F71"/>
    <w:rsid w:val="001C2052"/>
    <w:rsid w:val="001C2081"/>
    <w:rsid w:val="001C2261"/>
    <w:rsid w:val="001C279E"/>
    <w:rsid w:val="001C2E09"/>
    <w:rsid w:val="001C307E"/>
    <w:rsid w:val="001C3775"/>
    <w:rsid w:val="001C3A5B"/>
    <w:rsid w:val="001C3DC8"/>
    <w:rsid w:val="001C3F64"/>
    <w:rsid w:val="001C428F"/>
    <w:rsid w:val="001C4290"/>
    <w:rsid w:val="001C4391"/>
    <w:rsid w:val="001C4A76"/>
    <w:rsid w:val="001C4D2F"/>
    <w:rsid w:val="001C5597"/>
    <w:rsid w:val="001C568A"/>
    <w:rsid w:val="001C59EC"/>
    <w:rsid w:val="001C5EF6"/>
    <w:rsid w:val="001C6063"/>
    <w:rsid w:val="001C6597"/>
    <w:rsid w:val="001C65E4"/>
    <w:rsid w:val="001C6612"/>
    <w:rsid w:val="001C67F2"/>
    <w:rsid w:val="001C6A0D"/>
    <w:rsid w:val="001C6B25"/>
    <w:rsid w:val="001C6E91"/>
    <w:rsid w:val="001C6E9D"/>
    <w:rsid w:val="001C6EA1"/>
    <w:rsid w:val="001C7061"/>
    <w:rsid w:val="001C7C72"/>
    <w:rsid w:val="001D01D3"/>
    <w:rsid w:val="001D062F"/>
    <w:rsid w:val="001D06C8"/>
    <w:rsid w:val="001D0723"/>
    <w:rsid w:val="001D0751"/>
    <w:rsid w:val="001D081C"/>
    <w:rsid w:val="001D0B9E"/>
    <w:rsid w:val="001D0CA7"/>
    <w:rsid w:val="001D0DB6"/>
    <w:rsid w:val="001D0F21"/>
    <w:rsid w:val="001D1387"/>
    <w:rsid w:val="001D1702"/>
    <w:rsid w:val="001D1762"/>
    <w:rsid w:val="001D1D9E"/>
    <w:rsid w:val="001D1E82"/>
    <w:rsid w:val="001D235E"/>
    <w:rsid w:val="001D23F3"/>
    <w:rsid w:val="001D27EB"/>
    <w:rsid w:val="001D286A"/>
    <w:rsid w:val="001D291E"/>
    <w:rsid w:val="001D2BD1"/>
    <w:rsid w:val="001D2BEA"/>
    <w:rsid w:val="001D2C61"/>
    <w:rsid w:val="001D2D7B"/>
    <w:rsid w:val="001D37E0"/>
    <w:rsid w:val="001D3908"/>
    <w:rsid w:val="001D39A0"/>
    <w:rsid w:val="001D4158"/>
    <w:rsid w:val="001D43FA"/>
    <w:rsid w:val="001D4569"/>
    <w:rsid w:val="001D48A8"/>
    <w:rsid w:val="001D4995"/>
    <w:rsid w:val="001D4B8E"/>
    <w:rsid w:val="001D5080"/>
    <w:rsid w:val="001D5C32"/>
    <w:rsid w:val="001D5FC1"/>
    <w:rsid w:val="001D603B"/>
    <w:rsid w:val="001D61E2"/>
    <w:rsid w:val="001D636C"/>
    <w:rsid w:val="001D6926"/>
    <w:rsid w:val="001D6B4D"/>
    <w:rsid w:val="001D6C94"/>
    <w:rsid w:val="001D6CB4"/>
    <w:rsid w:val="001D70D1"/>
    <w:rsid w:val="001D713A"/>
    <w:rsid w:val="001D7493"/>
    <w:rsid w:val="001D7596"/>
    <w:rsid w:val="001D769F"/>
    <w:rsid w:val="001D7786"/>
    <w:rsid w:val="001D7850"/>
    <w:rsid w:val="001D7D50"/>
    <w:rsid w:val="001D7F48"/>
    <w:rsid w:val="001E0408"/>
    <w:rsid w:val="001E0894"/>
    <w:rsid w:val="001E0BEB"/>
    <w:rsid w:val="001E0F14"/>
    <w:rsid w:val="001E0F43"/>
    <w:rsid w:val="001E132A"/>
    <w:rsid w:val="001E13EF"/>
    <w:rsid w:val="001E1435"/>
    <w:rsid w:val="001E1A11"/>
    <w:rsid w:val="001E1BF9"/>
    <w:rsid w:val="001E2007"/>
    <w:rsid w:val="001E2381"/>
    <w:rsid w:val="001E263A"/>
    <w:rsid w:val="001E282D"/>
    <w:rsid w:val="001E298F"/>
    <w:rsid w:val="001E2A16"/>
    <w:rsid w:val="001E2E7A"/>
    <w:rsid w:val="001E37F6"/>
    <w:rsid w:val="001E3AB1"/>
    <w:rsid w:val="001E3AE1"/>
    <w:rsid w:val="001E4123"/>
    <w:rsid w:val="001E44F9"/>
    <w:rsid w:val="001E4891"/>
    <w:rsid w:val="001E4C5A"/>
    <w:rsid w:val="001E4DE0"/>
    <w:rsid w:val="001E5222"/>
    <w:rsid w:val="001E57E2"/>
    <w:rsid w:val="001E5955"/>
    <w:rsid w:val="001E5A45"/>
    <w:rsid w:val="001E5F8B"/>
    <w:rsid w:val="001E611E"/>
    <w:rsid w:val="001E6935"/>
    <w:rsid w:val="001E6B68"/>
    <w:rsid w:val="001E6C51"/>
    <w:rsid w:val="001E6D13"/>
    <w:rsid w:val="001E6D33"/>
    <w:rsid w:val="001E741E"/>
    <w:rsid w:val="001E78D4"/>
    <w:rsid w:val="001F03E1"/>
    <w:rsid w:val="001F0496"/>
    <w:rsid w:val="001F07A3"/>
    <w:rsid w:val="001F087A"/>
    <w:rsid w:val="001F0D40"/>
    <w:rsid w:val="001F1EE0"/>
    <w:rsid w:val="001F2619"/>
    <w:rsid w:val="001F2644"/>
    <w:rsid w:val="001F2772"/>
    <w:rsid w:val="001F2BA4"/>
    <w:rsid w:val="001F2EE5"/>
    <w:rsid w:val="001F2F6A"/>
    <w:rsid w:val="001F33F8"/>
    <w:rsid w:val="001F34B6"/>
    <w:rsid w:val="001F375D"/>
    <w:rsid w:val="001F3B31"/>
    <w:rsid w:val="001F3B3C"/>
    <w:rsid w:val="001F3F6C"/>
    <w:rsid w:val="001F415C"/>
    <w:rsid w:val="001F4545"/>
    <w:rsid w:val="001F4588"/>
    <w:rsid w:val="001F4B24"/>
    <w:rsid w:val="001F4C72"/>
    <w:rsid w:val="001F5134"/>
    <w:rsid w:val="001F5329"/>
    <w:rsid w:val="001F54E4"/>
    <w:rsid w:val="001F569F"/>
    <w:rsid w:val="001F5BAF"/>
    <w:rsid w:val="001F5DC2"/>
    <w:rsid w:val="001F65D1"/>
    <w:rsid w:val="001F6718"/>
    <w:rsid w:val="001F6D15"/>
    <w:rsid w:val="001F7053"/>
    <w:rsid w:val="001F708F"/>
    <w:rsid w:val="001F7755"/>
    <w:rsid w:val="001F7F37"/>
    <w:rsid w:val="00200140"/>
    <w:rsid w:val="002004F1"/>
    <w:rsid w:val="002006A3"/>
    <w:rsid w:val="0020091F"/>
    <w:rsid w:val="00200BE4"/>
    <w:rsid w:val="00200FF0"/>
    <w:rsid w:val="00201004"/>
    <w:rsid w:val="00201269"/>
    <w:rsid w:val="002012D1"/>
    <w:rsid w:val="0020152D"/>
    <w:rsid w:val="00201C6F"/>
    <w:rsid w:val="00201C9A"/>
    <w:rsid w:val="00201EB9"/>
    <w:rsid w:val="00201F57"/>
    <w:rsid w:val="00201F59"/>
    <w:rsid w:val="00202184"/>
    <w:rsid w:val="002021CC"/>
    <w:rsid w:val="00202623"/>
    <w:rsid w:val="002028DE"/>
    <w:rsid w:val="00202937"/>
    <w:rsid w:val="00202B62"/>
    <w:rsid w:val="00202E83"/>
    <w:rsid w:val="0020318E"/>
    <w:rsid w:val="00203237"/>
    <w:rsid w:val="002032B4"/>
    <w:rsid w:val="002033E5"/>
    <w:rsid w:val="00203A57"/>
    <w:rsid w:val="00203AA4"/>
    <w:rsid w:val="00204884"/>
    <w:rsid w:val="00204A60"/>
    <w:rsid w:val="00204CCF"/>
    <w:rsid w:val="00204D19"/>
    <w:rsid w:val="00204E49"/>
    <w:rsid w:val="00205012"/>
    <w:rsid w:val="002053AA"/>
    <w:rsid w:val="002054C5"/>
    <w:rsid w:val="0020557C"/>
    <w:rsid w:val="0020601D"/>
    <w:rsid w:val="002060A5"/>
    <w:rsid w:val="00206122"/>
    <w:rsid w:val="002062F7"/>
    <w:rsid w:val="00206561"/>
    <w:rsid w:val="00206576"/>
    <w:rsid w:val="00206C8D"/>
    <w:rsid w:val="002072F6"/>
    <w:rsid w:val="00207BB4"/>
    <w:rsid w:val="00207BD7"/>
    <w:rsid w:val="00207D96"/>
    <w:rsid w:val="00210342"/>
    <w:rsid w:val="002105E0"/>
    <w:rsid w:val="0021073C"/>
    <w:rsid w:val="00210EA6"/>
    <w:rsid w:val="00211186"/>
    <w:rsid w:val="00211458"/>
    <w:rsid w:val="0021175C"/>
    <w:rsid w:val="0021177D"/>
    <w:rsid w:val="00211837"/>
    <w:rsid w:val="00211E2F"/>
    <w:rsid w:val="00211F89"/>
    <w:rsid w:val="002122C1"/>
    <w:rsid w:val="00212746"/>
    <w:rsid w:val="00212905"/>
    <w:rsid w:val="002139FA"/>
    <w:rsid w:val="00213A5C"/>
    <w:rsid w:val="00214562"/>
    <w:rsid w:val="00214D9E"/>
    <w:rsid w:val="0021541C"/>
    <w:rsid w:val="00215A52"/>
    <w:rsid w:val="00215C5A"/>
    <w:rsid w:val="00216611"/>
    <w:rsid w:val="00216B79"/>
    <w:rsid w:val="00216C0E"/>
    <w:rsid w:val="00216F7D"/>
    <w:rsid w:val="00216FAA"/>
    <w:rsid w:val="002171DD"/>
    <w:rsid w:val="002171E4"/>
    <w:rsid w:val="00217C4A"/>
    <w:rsid w:val="00220080"/>
    <w:rsid w:val="0022031C"/>
    <w:rsid w:val="00220332"/>
    <w:rsid w:val="002206CC"/>
    <w:rsid w:val="00220989"/>
    <w:rsid w:val="002209DE"/>
    <w:rsid w:val="00220F27"/>
    <w:rsid w:val="00220FFD"/>
    <w:rsid w:val="00220FFF"/>
    <w:rsid w:val="0022197B"/>
    <w:rsid w:val="00221A7F"/>
    <w:rsid w:val="00221B58"/>
    <w:rsid w:val="00221C0A"/>
    <w:rsid w:val="0022236A"/>
    <w:rsid w:val="0022268C"/>
    <w:rsid w:val="0022276D"/>
    <w:rsid w:val="00222803"/>
    <w:rsid w:val="00222844"/>
    <w:rsid w:val="00222888"/>
    <w:rsid w:val="002228E7"/>
    <w:rsid w:val="0022363B"/>
    <w:rsid w:val="00223BA8"/>
    <w:rsid w:val="00223FAA"/>
    <w:rsid w:val="0022403C"/>
    <w:rsid w:val="0022456C"/>
    <w:rsid w:val="00224699"/>
    <w:rsid w:val="002248C9"/>
    <w:rsid w:val="00224BD2"/>
    <w:rsid w:val="00224C64"/>
    <w:rsid w:val="00224E95"/>
    <w:rsid w:val="00225A1B"/>
    <w:rsid w:val="00225AEA"/>
    <w:rsid w:val="00225DDE"/>
    <w:rsid w:val="00225E4B"/>
    <w:rsid w:val="00225EEC"/>
    <w:rsid w:val="0022602D"/>
    <w:rsid w:val="002261BB"/>
    <w:rsid w:val="00226289"/>
    <w:rsid w:val="0022646D"/>
    <w:rsid w:val="002269B8"/>
    <w:rsid w:val="002270D6"/>
    <w:rsid w:val="0022795D"/>
    <w:rsid w:val="0023013C"/>
    <w:rsid w:val="00230DB1"/>
    <w:rsid w:val="00231A36"/>
    <w:rsid w:val="00232ADB"/>
    <w:rsid w:val="00232B00"/>
    <w:rsid w:val="0023301B"/>
    <w:rsid w:val="0023308B"/>
    <w:rsid w:val="002330F8"/>
    <w:rsid w:val="002331A7"/>
    <w:rsid w:val="0023322F"/>
    <w:rsid w:val="002332F0"/>
    <w:rsid w:val="00233420"/>
    <w:rsid w:val="00233466"/>
    <w:rsid w:val="002334FE"/>
    <w:rsid w:val="00233DD0"/>
    <w:rsid w:val="00233E85"/>
    <w:rsid w:val="00233F9D"/>
    <w:rsid w:val="002341E4"/>
    <w:rsid w:val="002342ED"/>
    <w:rsid w:val="00234466"/>
    <w:rsid w:val="00234A78"/>
    <w:rsid w:val="00234C23"/>
    <w:rsid w:val="00234CF7"/>
    <w:rsid w:val="00234F2C"/>
    <w:rsid w:val="0023503C"/>
    <w:rsid w:val="002351DF"/>
    <w:rsid w:val="0023523F"/>
    <w:rsid w:val="0023532E"/>
    <w:rsid w:val="002354F8"/>
    <w:rsid w:val="002357B3"/>
    <w:rsid w:val="0023600E"/>
    <w:rsid w:val="0023652E"/>
    <w:rsid w:val="0023670B"/>
    <w:rsid w:val="00236B33"/>
    <w:rsid w:val="00236DFC"/>
    <w:rsid w:val="002372BA"/>
    <w:rsid w:val="00237787"/>
    <w:rsid w:val="00240281"/>
    <w:rsid w:val="00240321"/>
    <w:rsid w:val="002407C6"/>
    <w:rsid w:val="0024107C"/>
    <w:rsid w:val="002411C6"/>
    <w:rsid w:val="00241821"/>
    <w:rsid w:val="00241BF9"/>
    <w:rsid w:val="00241D43"/>
    <w:rsid w:val="00242726"/>
    <w:rsid w:val="00242AC1"/>
    <w:rsid w:val="00242E73"/>
    <w:rsid w:val="00243003"/>
    <w:rsid w:val="00243328"/>
    <w:rsid w:val="0024359C"/>
    <w:rsid w:val="00243920"/>
    <w:rsid w:val="00243945"/>
    <w:rsid w:val="002439EE"/>
    <w:rsid w:val="00243B15"/>
    <w:rsid w:val="00243E04"/>
    <w:rsid w:val="00243E63"/>
    <w:rsid w:val="002445B4"/>
    <w:rsid w:val="0024482D"/>
    <w:rsid w:val="00244853"/>
    <w:rsid w:val="002449BD"/>
    <w:rsid w:val="00244B76"/>
    <w:rsid w:val="00244D2A"/>
    <w:rsid w:val="00244E19"/>
    <w:rsid w:val="0024549C"/>
    <w:rsid w:val="0024549E"/>
    <w:rsid w:val="00245C5B"/>
    <w:rsid w:val="002463B8"/>
    <w:rsid w:val="00246540"/>
    <w:rsid w:val="002469E6"/>
    <w:rsid w:val="00246A60"/>
    <w:rsid w:val="00247027"/>
    <w:rsid w:val="00247A54"/>
    <w:rsid w:val="00247FDB"/>
    <w:rsid w:val="002503BC"/>
    <w:rsid w:val="0025058A"/>
    <w:rsid w:val="00250796"/>
    <w:rsid w:val="00250937"/>
    <w:rsid w:val="00250B2E"/>
    <w:rsid w:val="002511E6"/>
    <w:rsid w:val="00251383"/>
    <w:rsid w:val="002514EB"/>
    <w:rsid w:val="002516C4"/>
    <w:rsid w:val="00251A93"/>
    <w:rsid w:val="00252D11"/>
    <w:rsid w:val="00252FC8"/>
    <w:rsid w:val="0025308E"/>
    <w:rsid w:val="002530DF"/>
    <w:rsid w:val="002532B5"/>
    <w:rsid w:val="00253FAE"/>
    <w:rsid w:val="00254642"/>
    <w:rsid w:val="00254A04"/>
    <w:rsid w:val="002551AA"/>
    <w:rsid w:val="002555FB"/>
    <w:rsid w:val="002558F7"/>
    <w:rsid w:val="0025595F"/>
    <w:rsid w:val="00255AF0"/>
    <w:rsid w:val="00255C08"/>
    <w:rsid w:val="00255F9B"/>
    <w:rsid w:val="00255FE1"/>
    <w:rsid w:val="00256340"/>
    <w:rsid w:val="0025685E"/>
    <w:rsid w:val="002568A0"/>
    <w:rsid w:val="00256950"/>
    <w:rsid w:val="002569B4"/>
    <w:rsid w:val="00257E08"/>
    <w:rsid w:val="00260232"/>
    <w:rsid w:val="002602C6"/>
    <w:rsid w:val="00260674"/>
    <w:rsid w:val="002607A9"/>
    <w:rsid w:val="0026082A"/>
    <w:rsid w:val="002608D9"/>
    <w:rsid w:val="00260B31"/>
    <w:rsid w:val="002611F3"/>
    <w:rsid w:val="002614EE"/>
    <w:rsid w:val="002615BE"/>
    <w:rsid w:val="002617C2"/>
    <w:rsid w:val="00261B69"/>
    <w:rsid w:val="00261CAA"/>
    <w:rsid w:val="0026215A"/>
    <w:rsid w:val="002625B0"/>
    <w:rsid w:val="00262F47"/>
    <w:rsid w:val="00263149"/>
    <w:rsid w:val="00263192"/>
    <w:rsid w:val="00263361"/>
    <w:rsid w:val="002635E7"/>
    <w:rsid w:val="00263AFE"/>
    <w:rsid w:val="002647B5"/>
    <w:rsid w:val="0026499C"/>
    <w:rsid w:val="00265704"/>
    <w:rsid w:val="0026592A"/>
    <w:rsid w:val="00265C76"/>
    <w:rsid w:val="00265D21"/>
    <w:rsid w:val="00265DC7"/>
    <w:rsid w:val="002666AE"/>
    <w:rsid w:val="00266855"/>
    <w:rsid w:val="00266B83"/>
    <w:rsid w:val="00266D08"/>
    <w:rsid w:val="00266DFF"/>
    <w:rsid w:val="00267996"/>
    <w:rsid w:val="00267EF9"/>
    <w:rsid w:val="0027023E"/>
    <w:rsid w:val="00270426"/>
    <w:rsid w:val="00270C8D"/>
    <w:rsid w:val="00270DE3"/>
    <w:rsid w:val="00270E19"/>
    <w:rsid w:val="00270ECE"/>
    <w:rsid w:val="00270FB9"/>
    <w:rsid w:val="002710A2"/>
    <w:rsid w:val="002710A6"/>
    <w:rsid w:val="0027127B"/>
    <w:rsid w:val="00271B30"/>
    <w:rsid w:val="00271D03"/>
    <w:rsid w:val="00271F67"/>
    <w:rsid w:val="00272272"/>
    <w:rsid w:val="002722E4"/>
    <w:rsid w:val="002723F9"/>
    <w:rsid w:val="002725E4"/>
    <w:rsid w:val="00272D16"/>
    <w:rsid w:val="002735A7"/>
    <w:rsid w:val="00273AAB"/>
    <w:rsid w:val="0027405B"/>
    <w:rsid w:val="0027439A"/>
    <w:rsid w:val="002746B4"/>
    <w:rsid w:val="00274C8E"/>
    <w:rsid w:val="00274F02"/>
    <w:rsid w:val="00275AFB"/>
    <w:rsid w:val="00275E2C"/>
    <w:rsid w:val="00276250"/>
    <w:rsid w:val="00277586"/>
    <w:rsid w:val="002775FE"/>
    <w:rsid w:val="0027778C"/>
    <w:rsid w:val="00277871"/>
    <w:rsid w:val="002779C9"/>
    <w:rsid w:val="00277A8B"/>
    <w:rsid w:val="00277AD1"/>
    <w:rsid w:val="00277B43"/>
    <w:rsid w:val="00277B9D"/>
    <w:rsid w:val="00277ECC"/>
    <w:rsid w:val="00280091"/>
    <w:rsid w:val="002800BA"/>
    <w:rsid w:val="002803F0"/>
    <w:rsid w:val="00280444"/>
    <w:rsid w:val="0028054D"/>
    <w:rsid w:val="002806EE"/>
    <w:rsid w:val="0028072A"/>
    <w:rsid w:val="002809A2"/>
    <w:rsid w:val="00280A40"/>
    <w:rsid w:val="00280BFF"/>
    <w:rsid w:val="00281761"/>
    <w:rsid w:val="00281911"/>
    <w:rsid w:val="00281BDE"/>
    <w:rsid w:val="002823A2"/>
    <w:rsid w:val="002823F3"/>
    <w:rsid w:val="002824CB"/>
    <w:rsid w:val="00282695"/>
    <w:rsid w:val="00282FC1"/>
    <w:rsid w:val="002830ED"/>
    <w:rsid w:val="002831CF"/>
    <w:rsid w:val="0028326E"/>
    <w:rsid w:val="00283400"/>
    <w:rsid w:val="002834A8"/>
    <w:rsid w:val="002834AA"/>
    <w:rsid w:val="00283615"/>
    <w:rsid w:val="002837AF"/>
    <w:rsid w:val="002840DC"/>
    <w:rsid w:val="0028467C"/>
    <w:rsid w:val="002848F8"/>
    <w:rsid w:val="00284C79"/>
    <w:rsid w:val="00284E81"/>
    <w:rsid w:val="00284FDD"/>
    <w:rsid w:val="0028511A"/>
    <w:rsid w:val="002852B7"/>
    <w:rsid w:val="00285406"/>
    <w:rsid w:val="0028560B"/>
    <w:rsid w:val="00285AE5"/>
    <w:rsid w:val="00285B4A"/>
    <w:rsid w:val="00285BFC"/>
    <w:rsid w:val="002861F1"/>
    <w:rsid w:val="0028643D"/>
    <w:rsid w:val="00286497"/>
    <w:rsid w:val="00286613"/>
    <w:rsid w:val="00286B4C"/>
    <w:rsid w:val="00286E10"/>
    <w:rsid w:val="00287445"/>
    <w:rsid w:val="002874F2"/>
    <w:rsid w:val="00287AD8"/>
    <w:rsid w:val="00287C41"/>
    <w:rsid w:val="002901E1"/>
    <w:rsid w:val="00290279"/>
    <w:rsid w:val="00290307"/>
    <w:rsid w:val="00290AA0"/>
    <w:rsid w:val="00290F8E"/>
    <w:rsid w:val="0029166C"/>
    <w:rsid w:val="00291BDB"/>
    <w:rsid w:val="00291DCE"/>
    <w:rsid w:val="00291E20"/>
    <w:rsid w:val="00291F7A"/>
    <w:rsid w:val="0029224A"/>
    <w:rsid w:val="00292335"/>
    <w:rsid w:val="00292530"/>
    <w:rsid w:val="002926BC"/>
    <w:rsid w:val="00292901"/>
    <w:rsid w:val="00292BAD"/>
    <w:rsid w:val="00292CB2"/>
    <w:rsid w:val="00292E13"/>
    <w:rsid w:val="00292EFE"/>
    <w:rsid w:val="00292F78"/>
    <w:rsid w:val="00293157"/>
    <w:rsid w:val="00293299"/>
    <w:rsid w:val="002934BE"/>
    <w:rsid w:val="00293B0A"/>
    <w:rsid w:val="00293BF7"/>
    <w:rsid w:val="00293C6B"/>
    <w:rsid w:val="0029406B"/>
    <w:rsid w:val="0029414C"/>
    <w:rsid w:val="00294AFC"/>
    <w:rsid w:val="00294C0D"/>
    <w:rsid w:val="00294E33"/>
    <w:rsid w:val="00294FB0"/>
    <w:rsid w:val="002957D4"/>
    <w:rsid w:val="002965B3"/>
    <w:rsid w:val="002966CF"/>
    <w:rsid w:val="00296825"/>
    <w:rsid w:val="00296896"/>
    <w:rsid w:val="002969C1"/>
    <w:rsid w:val="00296A19"/>
    <w:rsid w:val="002974BF"/>
    <w:rsid w:val="00297607"/>
    <w:rsid w:val="00297A8E"/>
    <w:rsid w:val="00297EA5"/>
    <w:rsid w:val="002A03EB"/>
    <w:rsid w:val="002A1226"/>
    <w:rsid w:val="002A12E1"/>
    <w:rsid w:val="002A1394"/>
    <w:rsid w:val="002A13C1"/>
    <w:rsid w:val="002A1B5C"/>
    <w:rsid w:val="002A20F4"/>
    <w:rsid w:val="002A2232"/>
    <w:rsid w:val="002A229B"/>
    <w:rsid w:val="002A2378"/>
    <w:rsid w:val="002A2813"/>
    <w:rsid w:val="002A2A93"/>
    <w:rsid w:val="002A2BC2"/>
    <w:rsid w:val="002A2D79"/>
    <w:rsid w:val="002A3003"/>
    <w:rsid w:val="002A3517"/>
    <w:rsid w:val="002A3569"/>
    <w:rsid w:val="002A3581"/>
    <w:rsid w:val="002A392C"/>
    <w:rsid w:val="002A3F69"/>
    <w:rsid w:val="002A43CB"/>
    <w:rsid w:val="002A4568"/>
    <w:rsid w:val="002A4602"/>
    <w:rsid w:val="002A4BA2"/>
    <w:rsid w:val="002A4FB7"/>
    <w:rsid w:val="002A5065"/>
    <w:rsid w:val="002A54DA"/>
    <w:rsid w:val="002A5593"/>
    <w:rsid w:val="002A5C8A"/>
    <w:rsid w:val="002A5EF9"/>
    <w:rsid w:val="002A5FB9"/>
    <w:rsid w:val="002A6006"/>
    <w:rsid w:val="002A6054"/>
    <w:rsid w:val="002A6283"/>
    <w:rsid w:val="002A635D"/>
    <w:rsid w:val="002A63F2"/>
    <w:rsid w:val="002A68E1"/>
    <w:rsid w:val="002A6EE0"/>
    <w:rsid w:val="002A7210"/>
    <w:rsid w:val="002A7246"/>
    <w:rsid w:val="002A7836"/>
    <w:rsid w:val="002A7FC0"/>
    <w:rsid w:val="002B0546"/>
    <w:rsid w:val="002B0B41"/>
    <w:rsid w:val="002B0CF8"/>
    <w:rsid w:val="002B0D14"/>
    <w:rsid w:val="002B13FF"/>
    <w:rsid w:val="002B146E"/>
    <w:rsid w:val="002B18A7"/>
    <w:rsid w:val="002B1CCC"/>
    <w:rsid w:val="002B249C"/>
    <w:rsid w:val="002B2632"/>
    <w:rsid w:val="002B2C77"/>
    <w:rsid w:val="002B2E22"/>
    <w:rsid w:val="002B2F4E"/>
    <w:rsid w:val="002B3243"/>
    <w:rsid w:val="002B3316"/>
    <w:rsid w:val="002B3812"/>
    <w:rsid w:val="002B3E92"/>
    <w:rsid w:val="002B3EA5"/>
    <w:rsid w:val="002B4242"/>
    <w:rsid w:val="002B42FB"/>
    <w:rsid w:val="002B4A91"/>
    <w:rsid w:val="002B5143"/>
    <w:rsid w:val="002B52AC"/>
    <w:rsid w:val="002B55E1"/>
    <w:rsid w:val="002B5767"/>
    <w:rsid w:val="002B57E0"/>
    <w:rsid w:val="002B582A"/>
    <w:rsid w:val="002B5F51"/>
    <w:rsid w:val="002B6168"/>
    <w:rsid w:val="002B673F"/>
    <w:rsid w:val="002B68DB"/>
    <w:rsid w:val="002B6945"/>
    <w:rsid w:val="002B6BF3"/>
    <w:rsid w:val="002B6BFF"/>
    <w:rsid w:val="002B7022"/>
    <w:rsid w:val="002B7848"/>
    <w:rsid w:val="002B7892"/>
    <w:rsid w:val="002B79EF"/>
    <w:rsid w:val="002B7AA6"/>
    <w:rsid w:val="002B7C09"/>
    <w:rsid w:val="002B7E1F"/>
    <w:rsid w:val="002C00D6"/>
    <w:rsid w:val="002C07E6"/>
    <w:rsid w:val="002C0AA4"/>
    <w:rsid w:val="002C0B7B"/>
    <w:rsid w:val="002C0C8E"/>
    <w:rsid w:val="002C151A"/>
    <w:rsid w:val="002C163E"/>
    <w:rsid w:val="002C1DA7"/>
    <w:rsid w:val="002C214E"/>
    <w:rsid w:val="002C24AE"/>
    <w:rsid w:val="002C2921"/>
    <w:rsid w:val="002C2988"/>
    <w:rsid w:val="002C2A34"/>
    <w:rsid w:val="002C2F53"/>
    <w:rsid w:val="002C3723"/>
    <w:rsid w:val="002C37EB"/>
    <w:rsid w:val="002C3945"/>
    <w:rsid w:val="002C3AAA"/>
    <w:rsid w:val="002C3CFC"/>
    <w:rsid w:val="002C3DC0"/>
    <w:rsid w:val="002C3F4A"/>
    <w:rsid w:val="002C404F"/>
    <w:rsid w:val="002C43DD"/>
    <w:rsid w:val="002C47A4"/>
    <w:rsid w:val="002C4A34"/>
    <w:rsid w:val="002C4A49"/>
    <w:rsid w:val="002C4B09"/>
    <w:rsid w:val="002C4DD7"/>
    <w:rsid w:val="002C5036"/>
    <w:rsid w:val="002C533D"/>
    <w:rsid w:val="002C5BF9"/>
    <w:rsid w:val="002C5ED9"/>
    <w:rsid w:val="002C5F76"/>
    <w:rsid w:val="002C5FFD"/>
    <w:rsid w:val="002C6024"/>
    <w:rsid w:val="002C6557"/>
    <w:rsid w:val="002C6BCA"/>
    <w:rsid w:val="002C7236"/>
    <w:rsid w:val="002C72F8"/>
    <w:rsid w:val="002C737F"/>
    <w:rsid w:val="002C750B"/>
    <w:rsid w:val="002C763C"/>
    <w:rsid w:val="002C7989"/>
    <w:rsid w:val="002C7ABD"/>
    <w:rsid w:val="002D0650"/>
    <w:rsid w:val="002D08A6"/>
    <w:rsid w:val="002D1202"/>
    <w:rsid w:val="002D1D41"/>
    <w:rsid w:val="002D1D7C"/>
    <w:rsid w:val="002D2021"/>
    <w:rsid w:val="002D20C1"/>
    <w:rsid w:val="002D229B"/>
    <w:rsid w:val="002D2EE8"/>
    <w:rsid w:val="002D3125"/>
    <w:rsid w:val="002D3276"/>
    <w:rsid w:val="002D3DC2"/>
    <w:rsid w:val="002D405E"/>
    <w:rsid w:val="002D4196"/>
    <w:rsid w:val="002D4299"/>
    <w:rsid w:val="002D4853"/>
    <w:rsid w:val="002D53E2"/>
    <w:rsid w:val="002D580E"/>
    <w:rsid w:val="002D5A09"/>
    <w:rsid w:val="002D6332"/>
    <w:rsid w:val="002D6A7C"/>
    <w:rsid w:val="002D6B4E"/>
    <w:rsid w:val="002D6CD9"/>
    <w:rsid w:val="002D6D99"/>
    <w:rsid w:val="002D7018"/>
    <w:rsid w:val="002D71C1"/>
    <w:rsid w:val="002D76ED"/>
    <w:rsid w:val="002D7AE9"/>
    <w:rsid w:val="002D7B1D"/>
    <w:rsid w:val="002E015D"/>
    <w:rsid w:val="002E077C"/>
    <w:rsid w:val="002E090C"/>
    <w:rsid w:val="002E097E"/>
    <w:rsid w:val="002E0DC3"/>
    <w:rsid w:val="002E115E"/>
    <w:rsid w:val="002E1281"/>
    <w:rsid w:val="002E13DD"/>
    <w:rsid w:val="002E1A6F"/>
    <w:rsid w:val="002E2213"/>
    <w:rsid w:val="002E23C8"/>
    <w:rsid w:val="002E24F1"/>
    <w:rsid w:val="002E2663"/>
    <w:rsid w:val="002E28D4"/>
    <w:rsid w:val="002E2906"/>
    <w:rsid w:val="002E2C2C"/>
    <w:rsid w:val="002E2EEE"/>
    <w:rsid w:val="002E32CD"/>
    <w:rsid w:val="002E3319"/>
    <w:rsid w:val="002E350E"/>
    <w:rsid w:val="002E383B"/>
    <w:rsid w:val="002E395A"/>
    <w:rsid w:val="002E3C43"/>
    <w:rsid w:val="002E40C3"/>
    <w:rsid w:val="002E4460"/>
    <w:rsid w:val="002E4A3B"/>
    <w:rsid w:val="002E4C4C"/>
    <w:rsid w:val="002E4EA3"/>
    <w:rsid w:val="002E55F3"/>
    <w:rsid w:val="002E5710"/>
    <w:rsid w:val="002E5A8D"/>
    <w:rsid w:val="002E5F40"/>
    <w:rsid w:val="002E6675"/>
    <w:rsid w:val="002E6A95"/>
    <w:rsid w:val="002E6D84"/>
    <w:rsid w:val="002E6F45"/>
    <w:rsid w:val="002E71B9"/>
    <w:rsid w:val="002E78FC"/>
    <w:rsid w:val="002E7C55"/>
    <w:rsid w:val="002E7C9B"/>
    <w:rsid w:val="002E7CBA"/>
    <w:rsid w:val="002F02C3"/>
    <w:rsid w:val="002F04B8"/>
    <w:rsid w:val="002F08C0"/>
    <w:rsid w:val="002F08CD"/>
    <w:rsid w:val="002F09CE"/>
    <w:rsid w:val="002F1189"/>
    <w:rsid w:val="002F14A5"/>
    <w:rsid w:val="002F17E3"/>
    <w:rsid w:val="002F1BD1"/>
    <w:rsid w:val="002F1D66"/>
    <w:rsid w:val="002F1FAA"/>
    <w:rsid w:val="002F264F"/>
    <w:rsid w:val="002F2870"/>
    <w:rsid w:val="002F2A10"/>
    <w:rsid w:val="002F2E83"/>
    <w:rsid w:val="002F320C"/>
    <w:rsid w:val="002F3414"/>
    <w:rsid w:val="002F425F"/>
    <w:rsid w:val="002F43C4"/>
    <w:rsid w:val="002F4EE6"/>
    <w:rsid w:val="002F53DD"/>
    <w:rsid w:val="002F57D9"/>
    <w:rsid w:val="002F5C1B"/>
    <w:rsid w:val="002F6307"/>
    <w:rsid w:val="002F6605"/>
    <w:rsid w:val="002F680B"/>
    <w:rsid w:val="002F6C56"/>
    <w:rsid w:val="002F6D22"/>
    <w:rsid w:val="002F6DBC"/>
    <w:rsid w:val="002F6EE0"/>
    <w:rsid w:val="002F727B"/>
    <w:rsid w:val="002F752A"/>
    <w:rsid w:val="002F79C9"/>
    <w:rsid w:val="002F7CF0"/>
    <w:rsid w:val="002F7D08"/>
    <w:rsid w:val="002F7EB4"/>
    <w:rsid w:val="003006D9"/>
    <w:rsid w:val="00300D53"/>
    <w:rsid w:val="00300DD2"/>
    <w:rsid w:val="00301347"/>
    <w:rsid w:val="003016D5"/>
    <w:rsid w:val="0030170F"/>
    <w:rsid w:val="0030172C"/>
    <w:rsid w:val="00301B28"/>
    <w:rsid w:val="00301BC9"/>
    <w:rsid w:val="00302028"/>
    <w:rsid w:val="003021BA"/>
    <w:rsid w:val="00302489"/>
    <w:rsid w:val="0030280D"/>
    <w:rsid w:val="00302F5B"/>
    <w:rsid w:val="00303199"/>
    <w:rsid w:val="00303487"/>
    <w:rsid w:val="0030352D"/>
    <w:rsid w:val="0030371B"/>
    <w:rsid w:val="00303744"/>
    <w:rsid w:val="003037B5"/>
    <w:rsid w:val="00303853"/>
    <w:rsid w:val="00303949"/>
    <w:rsid w:val="003039C0"/>
    <w:rsid w:val="00303D33"/>
    <w:rsid w:val="00303E78"/>
    <w:rsid w:val="003043DF"/>
    <w:rsid w:val="00304917"/>
    <w:rsid w:val="00304A73"/>
    <w:rsid w:val="00304B83"/>
    <w:rsid w:val="00304B9E"/>
    <w:rsid w:val="003050CC"/>
    <w:rsid w:val="0030512E"/>
    <w:rsid w:val="0030548A"/>
    <w:rsid w:val="00305702"/>
    <w:rsid w:val="00305A49"/>
    <w:rsid w:val="00305ED6"/>
    <w:rsid w:val="0030692A"/>
    <w:rsid w:val="00306AF8"/>
    <w:rsid w:val="00306EC8"/>
    <w:rsid w:val="0030750C"/>
    <w:rsid w:val="003078C0"/>
    <w:rsid w:val="00307ADE"/>
    <w:rsid w:val="00307B52"/>
    <w:rsid w:val="00307BB0"/>
    <w:rsid w:val="0031038D"/>
    <w:rsid w:val="00310906"/>
    <w:rsid w:val="00310AF6"/>
    <w:rsid w:val="00311062"/>
    <w:rsid w:val="00311110"/>
    <w:rsid w:val="00311138"/>
    <w:rsid w:val="00311395"/>
    <w:rsid w:val="00311467"/>
    <w:rsid w:val="0031175E"/>
    <w:rsid w:val="00312243"/>
    <w:rsid w:val="003125E1"/>
    <w:rsid w:val="0031285B"/>
    <w:rsid w:val="003128C7"/>
    <w:rsid w:val="003129DE"/>
    <w:rsid w:val="00312C4E"/>
    <w:rsid w:val="00312DAB"/>
    <w:rsid w:val="00313173"/>
    <w:rsid w:val="003133FF"/>
    <w:rsid w:val="003134D3"/>
    <w:rsid w:val="00313784"/>
    <w:rsid w:val="00313A63"/>
    <w:rsid w:val="00313FA7"/>
    <w:rsid w:val="0031436C"/>
    <w:rsid w:val="00314470"/>
    <w:rsid w:val="0031484A"/>
    <w:rsid w:val="003152E7"/>
    <w:rsid w:val="00315ADC"/>
    <w:rsid w:val="00315F6C"/>
    <w:rsid w:val="00316091"/>
    <w:rsid w:val="003163AE"/>
    <w:rsid w:val="0031679D"/>
    <w:rsid w:val="00316D84"/>
    <w:rsid w:val="0031710C"/>
    <w:rsid w:val="0031766D"/>
    <w:rsid w:val="00317898"/>
    <w:rsid w:val="00317F5B"/>
    <w:rsid w:val="00320252"/>
    <w:rsid w:val="0032050B"/>
    <w:rsid w:val="00320686"/>
    <w:rsid w:val="003206BF"/>
    <w:rsid w:val="00320755"/>
    <w:rsid w:val="00320835"/>
    <w:rsid w:val="00320844"/>
    <w:rsid w:val="00320A33"/>
    <w:rsid w:val="003211A7"/>
    <w:rsid w:val="00321453"/>
    <w:rsid w:val="003215A3"/>
    <w:rsid w:val="00321F03"/>
    <w:rsid w:val="00322409"/>
    <w:rsid w:val="00322797"/>
    <w:rsid w:val="00323654"/>
    <w:rsid w:val="00323822"/>
    <w:rsid w:val="0032388F"/>
    <w:rsid w:val="00323E68"/>
    <w:rsid w:val="00324588"/>
    <w:rsid w:val="003247AE"/>
    <w:rsid w:val="00324905"/>
    <w:rsid w:val="00324915"/>
    <w:rsid w:val="00324EE2"/>
    <w:rsid w:val="00324F7B"/>
    <w:rsid w:val="00325225"/>
    <w:rsid w:val="00325616"/>
    <w:rsid w:val="0032577E"/>
    <w:rsid w:val="00325823"/>
    <w:rsid w:val="00325BC0"/>
    <w:rsid w:val="00325D5E"/>
    <w:rsid w:val="00325F1D"/>
    <w:rsid w:val="00325FC2"/>
    <w:rsid w:val="0032639E"/>
    <w:rsid w:val="00326784"/>
    <w:rsid w:val="00326C6D"/>
    <w:rsid w:val="00326CBA"/>
    <w:rsid w:val="00326CFA"/>
    <w:rsid w:val="00327B65"/>
    <w:rsid w:val="00327FA1"/>
    <w:rsid w:val="003300BB"/>
    <w:rsid w:val="003300EB"/>
    <w:rsid w:val="003302D0"/>
    <w:rsid w:val="00330C05"/>
    <w:rsid w:val="00330ED2"/>
    <w:rsid w:val="00331E2E"/>
    <w:rsid w:val="00331F11"/>
    <w:rsid w:val="00331FE5"/>
    <w:rsid w:val="00332211"/>
    <w:rsid w:val="00332572"/>
    <w:rsid w:val="0033288A"/>
    <w:rsid w:val="00333258"/>
    <w:rsid w:val="003332AE"/>
    <w:rsid w:val="003334DA"/>
    <w:rsid w:val="003334F1"/>
    <w:rsid w:val="00333786"/>
    <w:rsid w:val="00333AFD"/>
    <w:rsid w:val="00333B50"/>
    <w:rsid w:val="00333B55"/>
    <w:rsid w:val="003342D8"/>
    <w:rsid w:val="00334687"/>
    <w:rsid w:val="0033482C"/>
    <w:rsid w:val="00334A38"/>
    <w:rsid w:val="00334F09"/>
    <w:rsid w:val="00335164"/>
    <w:rsid w:val="00335192"/>
    <w:rsid w:val="003353F6"/>
    <w:rsid w:val="0033543F"/>
    <w:rsid w:val="003356E1"/>
    <w:rsid w:val="00335736"/>
    <w:rsid w:val="003359AC"/>
    <w:rsid w:val="00335EE2"/>
    <w:rsid w:val="00335F49"/>
    <w:rsid w:val="00336093"/>
    <w:rsid w:val="00336730"/>
    <w:rsid w:val="00336808"/>
    <w:rsid w:val="00336A1D"/>
    <w:rsid w:val="00336B18"/>
    <w:rsid w:val="00336F17"/>
    <w:rsid w:val="00336F9A"/>
    <w:rsid w:val="0033711B"/>
    <w:rsid w:val="00337457"/>
    <w:rsid w:val="003374DE"/>
    <w:rsid w:val="00337A39"/>
    <w:rsid w:val="00337B60"/>
    <w:rsid w:val="00340479"/>
    <w:rsid w:val="0034066D"/>
    <w:rsid w:val="00340749"/>
    <w:rsid w:val="00340BF5"/>
    <w:rsid w:val="00341944"/>
    <w:rsid w:val="00341DBF"/>
    <w:rsid w:val="00341EA7"/>
    <w:rsid w:val="0034259D"/>
    <w:rsid w:val="00342871"/>
    <w:rsid w:val="00342EF8"/>
    <w:rsid w:val="00342F24"/>
    <w:rsid w:val="0034352D"/>
    <w:rsid w:val="003435ED"/>
    <w:rsid w:val="0034396A"/>
    <w:rsid w:val="00343AE9"/>
    <w:rsid w:val="00344497"/>
    <w:rsid w:val="00344A8D"/>
    <w:rsid w:val="00344BD1"/>
    <w:rsid w:val="00344FC5"/>
    <w:rsid w:val="00345291"/>
    <w:rsid w:val="003456B7"/>
    <w:rsid w:val="003457BB"/>
    <w:rsid w:val="003459CC"/>
    <w:rsid w:val="00345C09"/>
    <w:rsid w:val="00345FA0"/>
    <w:rsid w:val="00346762"/>
    <w:rsid w:val="0034682C"/>
    <w:rsid w:val="0034692E"/>
    <w:rsid w:val="00346F88"/>
    <w:rsid w:val="0034713B"/>
    <w:rsid w:val="0034734F"/>
    <w:rsid w:val="00347587"/>
    <w:rsid w:val="003477FA"/>
    <w:rsid w:val="00347894"/>
    <w:rsid w:val="00347A0E"/>
    <w:rsid w:val="003505ED"/>
    <w:rsid w:val="00350B77"/>
    <w:rsid w:val="00350DCC"/>
    <w:rsid w:val="00350FA3"/>
    <w:rsid w:val="00351343"/>
    <w:rsid w:val="003514B2"/>
    <w:rsid w:val="00351574"/>
    <w:rsid w:val="00351994"/>
    <w:rsid w:val="00351DE1"/>
    <w:rsid w:val="0035219C"/>
    <w:rsid w:val="003521D4"/>
    <w:rsid w:val="00352A2D"/>
    <w:rsid w:val="00352ED5"/>
    <w:rsid w:val="003538AD"/>
    <w:rsid w:val="00353A8D"/>
    <w:rsid w:val="00353C76"/>
    <w:rsid w:val="00353DD8"/>
    <w:rsid w:val="003540A5"/>
    <w:rsid w:val="00354134"/>
    <w:rsid w:val="00354356"/>
    <w:rsid w:val="0035455E"/>
    <w:rsid w:val="00354666"/>
    <w:rsid w:val="003547CD"/>
    <w:rsid w:val="00354936"/>
    <w:rsid w:val="00354C4D"/>
    <w:rsid w:val="00354E09"/>
    <w:rsid w:val="003555CD"/>
    <w:rsid w:val="003557EE"/>
    <w:rsid w:val="00355AFE"/>
    <w:rsid w:val="00355BD4"/>
    <w:rsid w:val="00355DD2"/>
    <w:rsid w:val="00356024"/>
    <w:rsid w:val="00356465"/>
    <w:rsid w:val="003564CD"/>
    <w:rsid w:val="00356870"/>
    <w:rsid w:val="00357547"/>
    <w:rsid w:val="003607D1"/>
    <w:rsid w:val="00361428"/>
    <w:rsid w:val="0036193D"/>
    <w:rsid w:val="00362471"/>
    <w:rsid w:val="003625A8"/>
    <w:rsid w:val="00362996"/>
    <w:rsid w:val="00362C42"/>
    <w:rsid w:val="00362E92"/>
    <w:rsid w:val="00362ECD"/>
    <w:rsid w:val="00362F1D"/>
    <w:rsid w:val="00363377"/>
    <w:rsid w:val="003639CC"/>
    <w:rsid w:val="00363B31"/>
    <w:rsid w:val="0036441B"/>
    <w:rsid w:val="003648B4"/>
    <w:rsid w:val="00364C11"/>
    <w:rsid w:val="00365105"/>
    <w:rsid w:val="00365246"/>
    <w:rsid w:val="0036534E"/>
    <w:rsid w:val="0036554E"/>
    <w:rsid w:val="00365591"/>
    <w:rsid w:val="00365D4E"/>
    <w:rsid w:val="00365EF0"/>
    <w:rsid w:val="003663E1"/>
    <w:rsid w:val="0036666E"/>
    <w:rsid w:val="00366788"/>
    <w:rsid w:val="003668CF"/>
    <w:rsid w:val="0036692D"/>
    <w:rsid w:val="0036694B"/>
    <w:rsid w:val="003673EC"/>
    <w:rsid w:val="003675B4"/>
    <w:rsid w:val="0036779A"/>
    <w:rsid w:val="00367A42"/>
    <w:rsid w:val="00367C03"/>
    <w:rsid w:val="00367D01"/>
    <w:rsid w:val="00367F52"/>
    <w:rsid w:val="00367F8C"/>
    <w:rsid w:val="0037025D"/>
    <w:rsid w:val="00370996"/>
    <w:rsid w:val="00370D1C"/>
    <w:rsid w:val="00370ECF"/>
    <w:rsid w:val="00370F57"/>
    <w:rsid w:val="00371453"/>
    <w:rsid w:val="00371A08"/>
    <w:rsid w:val="00371A92"/>
    <w:rsid w:val="00371F90"/>
    <w:rsid w:val="00371FCF"/>
    <w:rsid w:val="003726B2"/>
    <w:rsid w:val="003726CA"/>
    <w:rsid w:val="003726CE"/>
    <w:rsid w:val="003726EE"/>
    <w:rsid w:val="003727DD"/>
    <w:rsid w:val="00372EA4"/>
    <w:rsid w:val="0037375D"/>
    <w:rsid w:val="00373CAB"/>
    <w:rsid w:val="00373D3E"/>
    <w:rsid w:val="003742FE"/>
    <w:rsid w:val="003745D8"/>
    <w:rsid w:val="00374B5A"/>
    <w:rsid w:val="00375028"/>
    <w:rsid w:val="00375144"/>
    <w:rsid w:val="00375380"/>
    <w:rsid w:val="00375469"/>
    <w:rsid w:val="0037577B"/>
    <w:rsid w:val="0037580F"/>
    <w:rsid w:val="0037592F"/>
    <w:rsid w:val="00375B41"/>
    <w:rsid w:val="00375F06"/>
    <w:rsid w:val="00376800"/>
    <w:rsid w:val="00376F1C"/>
    <w:rsid w:val="003772B3"/>
    <w:rsid w:val="003774F8"/>
    <w:rsid w:val="003779BC"/>
    <w:rsid w:val="00377A56"/>
    <w:rsid w:val="00380501"/>
    <w:rsid w:val="00380C55"/>
    <w:rsid w:val="00380F61"/>
    <w:rsid w:val="00380F64"/>
    <w:rsid w:val="0038114C"/>
    <w:rsid w:val="00381484"/>
    <w:rsid w:val="00381A32"/>
    <w:rsid w:val="00381AC6"/>
    <w:rsid w:val="00381BE0"/>
    <w:rsid w:val="0038220B"/>
    <w:rsid w:val="00382338"/>
    <w:rsid w:val="00382540"/>
    <w:rsid w:val="00382608"/>
    <w:rsid w:val="00382C6E"/>
    <w:rsid w:val="00382D69"/>
    <w:rsid w:val="00382F08"/>
    <w:rsid w:val="003836C9"/>
    <w:rsid w:val="00383A9B"/>
    <w:rsid w:val="00383B40"/>
    <w:rsid w:val="00383C2A"/>
    <w:rsid w:val="0038440D"/>
    <w:rsid w:val="0038451B"/>
    <w:rsid w:val="0038487C"/>
    <w:rsid w:val="003849C5"/>
    <w:rsid w:val="00384D05"/>
    <w:rsid w:val="00384DDA"/>
    <w:rsid w:val="00384F2D"/>
    <w:rsid w:val="0038524E"/>
    <w:rsid w:val="00385413"/>
    <w:rsid w:val="00385B14"/>
    <w:rsid w:val="00385B7C"/>
    <w:rsid w:val="00385BED"/>
    <w:rsid w:val="00385C0F"/>
    <w:rsid w:val="00385C11"/>
    <w:rsid w:val="003861DF"/>
    <w:rsid w:val="003863F7"/>
    <w:rsid w:val="003866AA"/>
    <w:rsid w:val="00386A27"/>
    <w:rsid w:val="00386AAB"/>
    <w:rsid w:val="00386C6D"/>
    <w:rsid w:val="00386F1A"/>
    <w:rsid w:val="00386FDD"/>
    <w:rsid w:val="00387120"/>
    <w:rsid w:val="003874C1"/>
    <w:rsid w:val="00387664"/>
    <w:rsid w:val="0038776E"/>
    <w:rsid w:val="00390330"/>
    <w:rsid w:val="0039063D"/>
    <w:rsid w:val="003910BB"/>
    <w:rsid w:val="0039127D"/>
    <w:rsid w:val="003913A9"/>
    <w:rsid w:val="0039181C"/>
    <w:rsid w:val="00391BE3"/>
    <w:rsid w:val="00391C63"/>
    <w:rsid w:val="00391ECC"/>
    <w:rsid w:val="00392667"/>
    <w:rsid w:val="00392728"/>
    <w:rsid w:val="00392FA0"/>
    <w:rsid w:val="00393398"/>
    <w:rsid w:val="00393516"/>
    <w:rsid w:val="003935A6"/>
    <w:rsid w:val="00393C0A"/>
    <w:rsid w:val="00393FF7"/>
    <w:rsid w:val="003940F5"/>
    <w:rsid w:val="00394480"/>
    <w:rsid w:val="00394FD8"/>
    <w:rsid w:val="00395252"/>
    <w:rsid w:val="0039535F"/>
    <w:rsid w:val="00395F02"/>
    <w:rsid w:val="0039603B"/>
    <w:rsid w:val="0039639C"/>
    <w:rsid w:val="00396479"/>
    <w:rsid w:val="0039686D"/>
    <w:rsid w:val="003968E7"/>
    <w:rsid w:val="00396979"/>
    <w:rsid w:val="00396FEF"/>
    <w:rsid w:val="0039710F"/>
    <w:rsid w:val="003971B8"/>
    <w:rsid w:val="0039739F"/>
    <w:rsid w:val="003974C7"/>
    <w:rsid w:val="003975B5"/>
    <w:rsid w:val="003977E1"/>
    <w:rsid w:val="00397811"/>
    <w:rsid w:val="00397C7D"/>
    <w:rsid w:val="003A0226"/>
    <w:rsid w:val="003A046F"/>
    <w:rsid w:val="003A05FA"/>
    <w:rsid w:val="003A07C4"/>
    <w:rsid w:val="003A07C7"/>
    <w:rsid w:val="003A0BB0"/>
    <w:rsid w:val="003A1303"/>
    <w:rsid w:val="003A16AE"/>
    <w:rsid w:val="003A1B9E"/>
    <w:rsid w:val="003A1BE6"/>
    <w:rsid w:val="003A1D64"/>
    <w:rsid w:val="003A201E"/>
    <w:rsid w:val="003A2200"/>
    <w:rsid w:val="003A22C4"/>
    <w:rsid w:val="003A23AD"/>
    <w:rsid w:val="003A2C9A"/>
    <w:rsid w:val="003A2D0C"/>
    <w:rsid w:val="003A2DC0"/>
    <w:rsid w:val="003A2FCC"/>
    <w:rsid w:val="003A3405"/>
    <w:rsid w:val="003A3717"/>
    <w:rsid w:val="003A39D5"/>
    <w:rsid w:val="003A3D36"/>
    <w:rsid w:val="003A3D6C"/>
    <w:rsid w:val="003A3E38"/>
    <w:rsid w:val="003A4027"/>
    <w:rsid w:val="003A4488"/>
    <w:rsid w:val="003A491D"/>
    <w:rsid w:val="003A4B74"/>
    <w:rsid w:val="003A4BDF"/>
    <w:rsid w:val="003A5234"/>
    <w:rsid w:val="003A533B"/>
    <w:rsid w:val="003A5397"/>
    <w:rsid w:val="003A540D"/>
    <w:rsid w:val="003A589A"/>
    <w:rsid w:val="003A598D"/>
    <w:rsid w:val="003A5D5E"/>
    <w:rsid w:val="003A633D"/>
    <w:rsid w:val="003A662D"/>
    <w:rsid w:val="003A669C"/>
    <w:rsid w:val="003A6AF5"/>
    <w:rsid w:val="003A6BD7"/>
    <w:rsid w:val="003A70F9"/>
    <w:rsid w:val="003A7146"/>
    <w:rsid w:val="003A71F6"/>
    <w:rsid w:val="003A729F"/>
    <w:rsid w:val="003A7541"/>
    <w:rsid w:val="003A79FC"/>
    <w:rsid w:val="003A7CA4"/>
    <w:rsid w:val="003B0536"/>
    <w:rsid w:val="003B1037"/>
    <w:rsid w:val="003B109E"/>
    <w:rsid w:val="003B178B"/>
    <w:rsid w:val="003B1B96"/>
    <w:rsid w:val="003B2450"/>
    <w:rsid w:val="003B2930"/>
    <w:rsid w:val="003B2A9A"/>
    <w:rsid w:val="003B2DA2"/>
    <w:rsid w:val="003B2EBF"/>
    <w:rsid w:val="003B2F6B"/>
    <w:rsid w:val="003B3357"/>
    <w:rsid w:val="003B374A"/>
    <w:rsid w:val="003B3943"/>
    <w:rsid w:val="003B3DCE"/>
    <w:rsid w:val="003B4059"/>
    <w:rsid w:val="003B4279"/>
    <w:rsid w:val="003B4A4B"/>
    <w:rsid w:val="003B4AFC"/>
    <w:rsid w:val="003B4B65"/>
    <w:rsid w:val="003B4EC5"/>
    <w:rsid w:val="003B511A"/>
    <w:rsid w:val="003B5141"/>
    <w:rsid w:val="003B5652"/>
    <w:rsid w:val="003B56C4"/>
    <w:rsid w:val="003B5EEF"/>
    <w:rsid w:val="003B5F6C"/>
    <w:rsid w:val="003B60AB"/>
    <w:rsid w:val="003B6170"/>
    <w:rsid w:val="003B634F"/>
    <w:rsid w:val="003B6493"/>
    <w:rsid w:val="003B6785"/>
    <w:rsid w:val="003B6902"/>
    <w:rsid w:val="003B7733"/>
    <w:rsid w:val="003B78B9"/>
    <w:rsid w:val="003B7A00"/>
    <w:rsid w:val="003B7AEC"/>
    <w:rsid w:val="003B7B6B"/>
    <w:rsid w:val="003B7C21"/>
    <w:rsid w:val="003C0245"/>
    <w:rsid w:val="003C079C"/>
    <w:rsid w:val="003C0D8B"/>
    <w:rsid w:val="003C0DE8"/>
    <w:rsid w:val="003C1A92"/>
    <w:rsid w:val="003C1D08"/>
    <w:rsid w:val="003C2705"/>
    <w:rsid w:val="003C2855"/>
    <w:rsid w:val="003C2A42"/>
    <w:rsid w:val="003C2B60"/>
    <w:rsid w:val="003C2DCB"/>
    <w:rsid w:val="003C2FEC"/>
    <w:rsid w:val="003C3187"/>
    <w:rsid w:val="003C326F"/>
    <w:rsid w:val="003C34B6"/>
    <w:rsid w:val="003C386D"/>
    <w:rsid w:val="003C3D35"/>
    <w:rsid w:val="003C4263"/>
    <w:rsid w:val="003C45C3"/>
    <w:rsid w:val="003C48C4"/>
    <w:rsid w:val="003C4A52"/>
    <w:rsid w:val="003C4FD4"/>
    <w:rsid w:val="003C5267"/>
    <w:rsid w:val="003C535A"/>
    <w:rsid w:val="003C5385"/>
    <w:rsid w:val="003C571C"/>
    <w:rsid w:val="003C5769"/>
    <w:rsid w:val="003C6136"/>
    <w:rsid w:val="003C68DC"/>
    <w:rsid w:val="003C6982"/>
    <w:rsid w:val="003C6A49"/>
    <w:rsid w:val="003C6C72"/>
    <w:rsid w:val="003C7516"/>
    <w:rsid w:val="003C765F"/>
    <w:rsid w:val="003C785C"/>
    <w:rsid w:val="003C7C24"/>
    <w:rsid w:val="003D0137"/>
    <w:rsid w:val="003D0383"/>
    <w:rsid w:val="003D09BF"/>
    <w:rsid w:val="003D0D69"/>
    <w:rsid w:val="003D0ECC"/>
    <w:rsid w:val="003D17E1"/>
    <w:rsid w:val="003D19F2"/>
    <w:rsid w:val="003D1A47"/>
    <w:rsid w:val="003D1B14"/>
    <w:rsid w:val="003D1B74"/>
    <w:rsid w:val="003D1D65"/>
    <w:rsid w:val="003D1E9A"/>
    <w:rsid w:val="003D1F86"/>
    <w:rsid w:val="003D2629"/>
    <w:rsid w:val="003D26A9"/>
    <w:rsid w:val="003D2700"/>
    <w:rsid w:val="003D2813"/>
    <w:rsid w:val="003D3472"/>
    <w:rsid w:val="003D372C"/>
    <w:rsid w:val="003D3828"/>
    <w:rsid w:val="003D38D2"/>
    <w:rsid w:val="003D399C"/>
    <w:rsid w:val="003D3D4F"/>
    <w:rsid w:val="003D4056"/>
    <w:rsid w:val="003D41E6"/>
    <w:rsid w:val="003D4227"/>
    <w:rsid w:val="003D42C1"/>
    <w:rsid w:val="003D4414"/>
    <w:rsid w:val="003D4A62"/>
    <w:rsid w:val="003D4B7F"/>
    <w:rsid w:val="003D4C3A"/>
    <w:rsid w:val="003D5054"/>
    <w:rsid w:val="003D5095"/>
    <w:rsid w:val="003D56BE"/>
    <w:rsid w:val="003D5842"/>
    <w:rsid w:val="003D593D"/>
    <w:rsid w:val="003D5A07"/>
    <w:rsid w:val="003D6298"/>
    <w:rsid w:val="003D6302"/>
    <w:rsid w:val="003D6372"/>
    <w:rsid w:val="003D6A90"/>
    <w:rsid w:val="003D6F97"/>
    <w:rsid w:val="003D711B"/>
    <w:rsid w:val="003D7247"/>
    <w:rsid w:val="003D74B7"/>
    <w:rsid w:val="003D7F67"/>
    <w:rsid w:val="003E0412"/>
    <w:rsid w:val="003E0560"/>
    <w:rsid w:val="003E09D2"/>
    <w:rsid w:val="003E0A99"/>
    <w:rsid w:val="003E0B11"/>
    <w:rsid w:val="003E0EF6"/>
    <w:rsid w:val="003E0F17"/>
    <w:rsid w:val="003E0F36"/>
    <w:rsid w:val="003E12D1"/>
    <w:rsid w:val="003E14DC"/>
    <w:rsid w:val="003E1612"/>
    <w:rsid w:val="003E1981"/>
    <w:rsid w:val="003E1A2A"/>
    <w:rsid w:val="003E1ADA"/>
    <w:rsid w:val="003E1ED7"/>
    <w:rsid w:val="003E22EA"/>
    <w:rsid w:val="003E2435"/>
    <w:rsid w:val="003E2809"/>
    <w:rsid w:val="003E2B6A"/>
    <w:rsid w:val="003E358A"/>
    <w:rsid w:val="003E3652"/>
    <w:rsid w:val="003E3B1C"/>
    <w:rsid w:val="003E3E57"/>
    <w:rsid w:val="003E3FB5"/>
    <w:rsid w:val="003E4007"/>
    <w:rsid w:val="003E4F3B"/>
    <w:rsid w:val="003E50F4"/>
    <w:rsid w:val="003E51F1"/>
    <w:rsid w:val="003E5A75"/>
    <w:rsid w:val="003E5EC6"/>
    <w:rsid w:val="003E656B"/>
    <w:rsid w:val="003E66E1"/>
    <w:rsid w:val="003E697E"/>
    <w:rsid w:val="003E6B51"/>
    <w:rsid w:val="003E72D7"/>
    <w:rsid w:val="003E7747"/>
    <w:rsid w:val="003E7880"/>
    <w:rsid w:val="003E78F4"/>
    <w:rsid w:val="003E7B22"/>
    <w:rsid w:val="003E7BA0"/>
    <w:rsid w:val="003E7C96"/>
    <w:rsid w:val="003E7ECA"/>
    <w:rsid w:val="003F044F"/>
    <w:rsid w:val="003F0496"/>
    <w:rsid w:val="003F0531"/>
    <w:rsid w:val="003F1126"/>
    <w:rsid w:val="003F1419"/>
    <w:rsid w:val="003F1572"/>
    <w:rsid w:val="003F1971"/>
    <w:rsid w:val="003F1B46"/>
    <w:rsid w:val="003F1E52"/>
    <w:rsid w:val="003F2620"/>
    <w:rsid w:val="003F2D57"/>
    <w:rsid w:val="003F2E25"/>
    <w:rsid w:val="003F319D"/>
    <w:rsid w:val="003F32D8"/>
    <w:rsid w:val="003F3357"/>
    <w:rsid w:val="003F351E"/>
    <w:rsid w:val="003F3677"/>
    <w:rsid w:val="003F419D"/>
    <w:rsid w:val="003F4230"/>
    <w:rsid w:val="003F4682"/>
    <w:rsid w:val="003F5098"/>
    <w:rsid w:val="003F54B5"/>
    <w:rsid w:val="003F5C7E"/>
    <w:rsid w:val="003F5E88"/>
    <w:rsid w:val="003F604F"/>
    <w:rsid w:val="003F65B5"/>
    <w:rsid w:val="003F6BC4"/>
    <w:rsid w:val="003F6FBC"/>
    <w:rsid w:val="003F76B6"/>
    <w:rsid w:val="003F77C7"/>
    <w:rsid w:val="003F7B7A"/>
    <w:rsid w:val="00400327"/>
    <w:rsid w:val="00400453"/>
    <w:rsid w:val="004006A8"/>
    <w:rsid w:val="00400ED1"/>
    <w:rsid w:val="004010F2"/>
    <w:rsid w:val="00401222"/>
    <w:rsid w:val="00401228"/>
    <w:rsid w:val="00401297"/>
    <w:rsid w:val="00401354"/>
    <w:rsid w:val="004016B8"/>
    <w:rsid w:val="0040199E"/>
    <w:rsid w:val="00401A3E"/>
    <w:rsid w:val="00402114"/>
    <w:rsid w:val="004024E9"/>
    <w:rsid w:val="004031B7"/>
    <w:rsid w:val="0040391B"/>
    <w:rsid w:val="00403C3D"/>
    <w:rsid w:val="00403C55"/>
    <w:rsid w:val="00403DB7"/>
    <w:rsid w:val="00403E0C"/>
    <w:rsid w:val="004046C9"/>
    <w:rsid w:val="00405050"/>
    <w:rsid w:val="0040512F"/>
    <w:rsid w:val="00405BDF"/>
    <w:rsid w:val="00405E59"/>
    <w:rsid w:val="00405EDE"/>
    <w:rsid w:val="004060A9"/>
    <w:rsid w:val="0040650D"/>
    <w:rsid w:val="00406751"/>
    <w:rsid w:val="004069FA"/>
    <w:rsid w:val="00406CEB"/>
    <w:rsid w:val="00406D66"/>
    <w:rsid w:val="00406D78"/>
    <w:rsid w:val="004073E6"/>
    <w:rsid w:val="004076A3"/>
    <w:rsid w:val="004078D9"/>
    <w:rsid w:val="00407A80"/>
    <w:rsid w:val="00407AE1"/>
    <w:rsid w:val="00407AF9"/>
    <w:rsid w:val="00407CC4"/>
    <w:rsid w:val="00407D2F"/>
    <w:rsid w:val="00407D6C"/>
    <w:rsid w:val="00407E21"/>
    <w:rsid w:val="0041013E"/>
    <w:rsid w:val="004102A5"/>
    <w:rsid w:val="00411250"/>
    <w:rsid w:val="00411932"/>
    <w:rsid w:val="00411A33"/>
    <w:rsid w:val="00411BFC"/>
    <w:rsid w:val="00411DCB"/>
    <w:rsid w:val="00411E77"/>
    <w:rsid w:val="00411F48"/>
    <w:rsid w:val="00411FD1"/>
    <w:rsid w:val="0041201A"/>
    <w:rsid w:val="00412801"/>
    <w:rsid w:val="00412832"/>
    <w:rsid w:val="0041297C"/>
    <w:rsid w:val="00412DAD"/>
    <w:rsid w:val="00412F74"/>
    <w:rsid w:val="004131AB"/>
    <w:rsid w:val="00413248"/>
    <w:rsid w:val="004133EB"/>
    <w:rsid w:val="00413897"/>
    <w:rsid w:val="0041412F"/>
    <w:rsid w:val="004144A4"/>
    <w:rsid w:val="004144DA"/>
    <w:rsid w:val="00414C3A"/>
    <w:rsid w:val="00414C4C"/>
    <w:rsid w:val="0041502A"/>
    <w:rsid w:val="00415184"/>
    <w:rsid w:val="00416721"/>
    <w:rsid w:val="00416BCA"/>
    <w:rsid w:val="00416EA3"/>
    <w:rsid w:val="004171EA"/>
    <w:rsid w:val="004172A0"/>
    <w:rsid w:val="00417591"/>
    <w:rsid w:val="00417774"/>
    <w:rsid w:val="00420B10"/>
    <w:rsid w:val="00420E79"/>
    <w:rsid w:val="00421554"/>
    <w:rsid w:val="00421CFB"/>
    <w:rsid w:val="00422039"/>
    <w:rsid w:val="00422167"/>
    <w:rsid w:val="00422177"/>
    <w:rsid w:val="004222C9"/>
    <w:rsid w:val="0042267F"/>
    <w:rsid w:val="00422897"/>
    <w:rsid w:val="0042292C"/>
    <w:rsid w:val="004229DF"/>
    <w:rsid w:val="00422A36"/>
    <w:rsid w:val="00422CAB"/>
    <w:rsid w:val="00423178"/>
    <w:rsid w:val="0042323A"/>
    <w:rsid w:val="00423243"/>
    <w:rsid w:val="0042338C"/>
    <w:rsid w:val="00423746"/>
    <w:rsid w:val="00423912"/>
    <w:rsid w:val="00423DC2"/>
    <w:rsid w:val="00424062"/>
    <w:rsid w:val="00424CEE"/>
    <w:rsid w:val="00424D39"/>
    <w:rsid w:val="00424EC5"/>
    <w:rsid w:val="00424FB7"/>
    <w:rsid w:val="00424FC4"/>
    <w:rsid w:val="00425072"/>
    <w:rsid w:val="00425425"/>
    <w:rsid w:val="004255B5"/>
    <w:rsid w:val="00426049"/>
    <w:rsid w:val="0042623B"/>
    <w:rsid w:val="00426681"/>
    <w:rsid w:val="004266D9"/>
    <w:rsid w:val="00426963"/>
    <w:rsid w:val="00426C78"/>
    <w:rsid w:val="00426CEF"/>
    <w:rsid w:val="004271D9"/>
    <w:rsid w:val="00427286"/>
    <w:rsid w:val="0042731A"/>
    <w:rsid w:val="004274B2"/>
    <w:rsid w:val="0042763E"/>
    <w:rsid w:val="0042769E"/>
    <w:rsid w:val="004277CC"/>
    <w:rsid w:val="00427AF8"/>
    <w:rsid w:val="00427F0F"/>
    <w:rsid w:val="00427F66"/>
    <w:rsid w:val="00430156"/>
    <w:rsid w:val="004304F8"/>
    <w:rsid w:val="00430A53"/>
    <w:rsid w:val="00430E0E"/>
    <w:rsid w:val="00430E35"/>
    <w:rsid w:val="00430EC4"/>
    <w:rsid w:val="00431078"/>
    <w:rsid w:val="0043116D"/>
    <w:rsid w:val="0043117F"/>
    <w:rsid w:val="00431327"/>
    <w:rsid w:val="0043140F"/>
    <w:rsid w:val="0043183B"/>
    <w:rsid w:val="00431854"/>
    <w:rsid w:val="004318FE"/>
    <w:rsid w:val="00431F20"/>
    <w:rsid w:val="00431F58"/>
    <w:rsid w:val="00431F9E"/>
    <w:rsid w:val="00431FAA"/>
    <w:rsid w:val="00431FC4"/>
    <w:rsid w:val="0043203E"/>
    <w:rsid w:val="00432113"/>
    <w:rsid w:val="00432588"/>
    <w:rsid w:val="00432FBE"/>
    <w:rsid w:val="00433B05"/>
    <w:rsid w:val="00433BB2"/>
    <w:rsid w:val="00433CF2"/>
    <w:rsid w:val="00433D78"/>
    <w:rsid w:val="00433E0E"/>
    <w:rsid w:val="00433F5B"/>
    <w:rsid w:val="0043407D"/>
    <w:rsid w:val="0043418F"/>
    <w:rsid w:val="00434432"/>
    <w:rsid w:val="004346A0"/>
    <w:rsid w:val="00434767"/>
    <w:rsid w:val="00434AA2"/>
    <w:rsid w:val="00434D29"/>
    <w:rsid w:val="004356E2"/>
    <w:rsid w:val="00435C2D"/>
    <w:rsid w:val="00436E08"/>
    <w:rsid w:val="004374A6"/>
    <w:rsid w:val="00437503"/>
    <w:rsid w:val="0043769A"/>
    <w:rsid w:val="00440838"/>
    <w:rsid w:val="00440852"/>
    <w:rsid w:val="004409BE"/>
    <w:rsid w:val="00440D33"/>
    <w:rsid w:val="00440E58"/>
    <w:rsid w:val="00441066"/>
    <w:rsid w:val="0044129C"/>
    <w:rsid w:val="004412DE"/>
    <w:rsid w:val="00441639"/>
    <w:rsid w:val="00441875"/>
    <w:rsid w:val="00441CDD"/>
    <w:rsid w:val="00441D64"/>
    <w:rsid w:val="00441FC1"/>
    <w:rsid w:val="00442194"/>
    <w:rsid w:val="004422E4"/>
    <w:rsid w:val="004425E9"/>
    <w:rsid w:val="004428B1"/>
    <w:rsid w:val="00442B17"/>
    <w:rsid w:val="00442D46"/>
    <w:rsid w:val="0044309B"/>
    <w:rsid w:val="0044326A"/>
    <w:rsid w:val="00443301"/>
    <w:rsid w:val="00443547"/>
    <w:rsid w:val="004438E6"/>
    <w:rsid w:val="00443993"/>
    <w:rsid w:val="00444391"/>
    <w:rsid w:val="00444477"/>
    <w:rsid w:val="004448CB"/>
    <w:rsid w:val="00444ACC"/>
    <w:rsid w:val="00444BCD"/>
    <w:rsid w:val="00445560"/>
    <w:rsid w:val="004458D8"/>
    <w:rsid w:val="00445AC7"/>
    <w:rsid w:val="00445ACE"/>
    <w:rsid w:val="00445CBB"/>
    <w:rsid w:val="00445FB3"/>
    <w:rsid w:val="00446183"/>
    <w:rsid w:val="00446355"/>
    <w:rsid w:val="004465F9"/>
    <w:rsid w:val="00446FA2"/>
    <w:rsid w:val="00447155"/>
    <w:rsid w:val="00447609"/>
    <w:rsid w:val="004477C2"/>
    <w:rsid w:val="00447BB2"/>
    <w:rsid w:val="00447E23"/>
    <w:rsid w:val="00450591"/>
    <w:rsid w:val="00450850"/>
    <w:rsid w:val="00450989"/>
    <w:rsid w:val="0045099C"/>
    <w:rsid w:val="00450CC1"/>
    <w:rsid w:val="00450D92"/>
    <w:rsid w:val="00450DB2"/>
    <w:rsid w:val="00450F2D"/>
    <w:rsid w:val="00450FD9"/>
    <w:rsid w:val="0045105F"/>
    <w:rsid w:val="00451143"/>
    <w:rsid w:val="00451496"/>
    <w:rsid w:val="004514D9"/>
    <w:rsid w:val="004515D2"/>
    <w:rsid w:val="00451C27"/>
    <w:rsid w:val="00451C97"/>
    <w:rsid w:val="00452041"/>
    <w:rsid w:val="004529C5"/>
    <w:rsid w:val="00452C1C"/>
    <w:rsid w:val="00452CF2"/>
    <w:rsid w:val="00452D19"/>
    <w:rsid w:val="00452F3A"/>
    <w:rsid w:val="00452F6D"/>
    <w:rsid w:val="00452FCD"/>
    <w:rsid w:val="004530E9"/>
    <w:rsid w:val="004532F1"/>
    <w:rsid w:val="00453761"/>
    <w:rsid w:val="0045391F"/>
    <w:rsid w:val="00453CAB"/>
    <w:rsid w:val="00453EC1"/>
    <w:rsid w:val="00453EFD"/>
    <w:rsid w:val="00455387"/>
    <w:rsid w:val="00455BA8"/>
    <w:rsid w:val="00455DE8"/>
    <w:rsid w:val="00456384"/>
    <w:rsid w:val="004565C0"/>
    <w:rsid w:val="00456A15"/>
    <w:rsid w:val="0045705B"/>
    <w:rsid w:val="004570FF"/>
    <w:rsid w:val="00457BB7"/>
    <w:rsid w:val="0046016D"/>
    <w:rsid w:val="00460877"/>
    <w:rsid w:val="00460A9F"/>
    <w:rsid w:val="00460BA1"/>
    <w:rsid w:val="00460D0F"/>
    <w:rsid w:val="00460F04"/>
    <w:rsid w:val="004614D9"/>
    <w:rsid w:val="004616A7"/>
    <w:rsid w:val="00461B3D"/>
    <w:rsid w:val="0046209B"/>
    <w:rsid w:val="004620AD"/>
    <w:rsid w:val="00462356"/>
    <w:rsid w:val="0046280A"/>
    <w:rsid w:val="004629FB"/>
    <w:rsid w:val="00462FB2"/>
    <w:rsid w:val="0046317E"/>
    <w:rsid w:val="0046329A"/>
    <w:rsid w:val="00463963"/>
    <w:rsid w:val="00463ADB"/>
    <w:rsid w:val="00463AFA"/>
    <w:rsid w:val="00463F80"/>
    <w:rsid w:val="00464205"/>
    <w:rsid w:val="004642C8"/>
    <w:rsid w:val="00464855"/>
    <w:rsid w:val="00464863"/>
    <w:rsid w:val="00464EC3"/>
    <w:rsid w:val="0046524D"/>
    <w:rsid w:val="0046576A"/>
    <w:rsid w:val="004659FE"/>
    <w:rsid w:val="00465BE7"/>
    <w:rsid w:val="00466537"/>
    <w:rsid w:val="00466BC0"/>
    <w:rsid w:val="00466C04"/>
    <w:rsid w:val="004670A0"/>
    <w:rsid w:val="004670CF"/>
    <w:rsid w:val="00467443"/>
    <w:rsid w:val="004675C6"/>
    <w:rsid w:val="00467605"/>
    <w:rsid w:val="0046776B"/>
    <w:rsid w:val="0046780D"/>
    <w:rsid w:val="004701B6"/>
    <w:rsid w:val="0047032E"/>
    <w:rsid w:val="00470A8C"/>
    <w:rsid w:val="0047134C"/>
    <w:rsid w:val="004715D5"/>
    <w:rsid w:val="00471809"/>
    <w:rsid w:val="00471AF7"/>
    <w:rsid w:val="004720A5"/>
    <w:rsid w:val="004724EB"/>
    <w:rsid w:val="004724EC"/>
    <w:rsid w:val="0047255F"/>
    <w:rsid w:val="00472951"/>
    <w:rsid w:val="00472BBA"/>
    <w:rsid w:val="00472C98"/>
    <w:rsid w:val="00472CD2"/>
    <w:rsid w:val="00472D50"/>
    <w:rsid w:val="00472DEA"/>
    <w:rsid w:val="00472FB3"/>
    <w:rsid w:val="00472FEB"/>
    <w:rsid w:val="004731C2"/>
    <w:rsid w:val="004737C7"/>
    <w:rsid w:val="00473D3F"/>
    <w:rsid w:val="0047461A"/>
    <w:rsid w:val="00475D80"/>
    <w:rsid w:val="0047605A"/>
    <w:rsid w:val="0047618E"/>
    <w:rsid w:val="004762AD"/>
    <w:rsid w:val="00476692"/>
    <w:rsid w:val="00476822"/>
    <w:rsid w:val="00476C0F"/>
    <w:rsid w:val="00477769"/>
    <w:rsid w:val="00477E41"/>
    <w:rsid w:val="004806F5"/>
    <w:rsid w:val="00480C8E"/>
    <w:rsid w:val="00481062"/>
    <w:rsid w:val="0048132D"/>
    <w:rsid w:val="004813D2"/>
    <w:rsid w:val="0048154F"/>
    <w:rsid w:val="00481872"/>
    <w:rsid w:val="004820A3"/>
    <w:rsid w:val="004823DD"/>
    <w:rsid w:val="004828E0"/>
    <w:rsid w:val="00482B47"/>
    <w:rsid w:val="00482D22"/>
    <w:rsid w:val="00482FD8"/>
    <w:rsid w:val="00483015"/>
    <w:rsid w:val="004831EE"/>
    <w:rsid w:val="00483407"/>
    <w:rsid w:val="0048350D"/>
    <w:rsid w:val="0048380E"/>
    <w:rsid w:val="004839F1"/>
    <w:rsid w:val="00483AC8"/>
    <w:rsid w:val="00483C7B"/>
    <w:rsid w:val="00483DE4"/>
    <w:rsid w:val="00484887"/>
    <w:rsid w:val="0048489F"/>
    <w:rsid w:val="00484B18"/>
    <w:rsid w:val="00484C19"/>
    <w:rsid w:val="00484E98"/>
    <w:rsid w:val="00485025"/>
    <w:rsid w:val="004853B4"/>
    <w:rsid w:val="0048576F"/>
    <w:rsid w:val="00485AAB"/>
    <w:rsid w:val="00485D60"/>
    <w:rsid w:val="00486309"/>
    <w:rsid w:val="0048701B"/>
    <w:rsid w:val="00487050"/>
    <w:rsid w:val="004872FA"/>
    <w:rsid w:val="00487BA1"/>
    <w:rsid w:val="00487C84"/>
    <w:rsid w:val="00487FCB"/>
    <w:rsid w:val="00490079"/>
    <w:rsid w:val="00490081"/>
    <w:rsid w:val="0049011E"/>
    <w:rsid w:val="004901B0"/>
    <w:rsid w:val="00490342"/>
    <w:rsid w:val="00490668"/>
    <w:rsid w:val="00490B4D"/>
    <w:rsid w:val="00490C03"/>
    <w:rsid w:val="00490CB7"/>
    <w:rsid w:val="0049147D"/>
    <w:rsid w:val="00491610"/>
    <w:rsid w:val="004919D3"/>
    <w:rsid w:val="004919E3"/>
    <w:rsid w:val="00491A5C"/>
    <w:rsid w:val="00491AC7"/>
    <w:rsid w:val="00491AFE"/>
    <w:rsid w:val="00491BD6"/>
    <w:rsid w:val="004923E6"/>
    <w:rsid w:val="00492956"/>
    <w:rsid w:val="00492CF4"/>
    <w:rsid w:val="00492EF0"/>
    <w:rsid w:val="00493231"/>
    <w:rsid w:val="0049348E"/>
    <w:rsid w:val="004939A2"/>
    <w:rsid w:val="00494167"/>
    <w:rsid w:val="00494F4B"/>
    <w:rsid w:val="0049524C"/>
    <w:rsid w:val="00495533"/>
    <w:rsid w:val="00495683"/>
    <w:rsid w:val="00495713"/>
    <w:rsid w:val="004960F5"/>
    <w:rsid w:val="004961B1"/>
    <w:rsid w:val="00496257"/>
    <w:rsid w:val="004967B1"/>
    <w:rsid w:val="00496BEE"/>
    <w:rsid w:val="00496C57"/>
    <w:rsid w:val="004971D4"/>
    <w:rsid w:val="0049730A"/>
    <w:rsid w:val="00497778"/>
    <w:rsid w:val="00497800"/>
    <w:rsid w:val="00497B89"/>
    <w:rsid w:val="00497D81"/>
    <w:rsid w:val="004A0154"/>
    <w:rsid w:val="004A058D"/>
    <w:rsid w:val="004A06A3"/>
    <w:rsid w:val="004A0761"/>
    <w:rsid w:val="004A077A"/>
    <w:rsid w:val="004A093D"/>
    <w:rsid w:val="004A0D98"/>
    <w:rsid w:val="004A16E7"/>
    <w:rsid w:val="004A1EB6"/>
    <w:rsid w:val="004A20CB"/>
    <w:rsid w:val="004A2503"/>
    <w:rsid w:val="004A28FA"/>
    <w:rsid w:val="004A2930"/>
    <w:rsid w:val="004A2B48"/>
    <w:rsid w:val="004A2E1E"/>
    <w:rsid w:val="004A2F6C"/>
    <w:rsid w:val="004A316D"/>
    <w:rsid w:val="004A3190"/>
    <w:rsid w:val="004A34DF"/>
    <w:rsid w:val="004A3AEB"/>
    <w:rsid w:val="004A3DF0"/>
    <w:rsid w:val="004A4104"/>
    <w:rsid w:val="004A418F"/>
    <w:rsid w:val="004A4653"/>
    <w:rsid w:val="004A478E"/>
    <w:rsid w:val="004A4D93"/>
    <w:rsid w:val="004A525F"/>
    <w:rsid w:val="004A5529"/>
    <w:rsid w:val="004A560C"/>
    <w:rsid w:val="004A5786"/>
    <w:rsid w:val="004A5E60"/>
    <w:rsid w:val="004A6219"/>
    <w:rsid w:val="004A6266"/>
    <w:rsid w:val="004A642F"/>
    <w:rsid w:val="004A65CB"/>
    <w:rsid w:val="004A6676"/>
    <w:rsid w:val="004A6BFE"/>
    <w:rsid w:val="004A6C40"/>
    <w:rsid w:val="004A6D33"/>
    <w:rsid w:val="004A6DFC"/>
    <w:rsid w:val="004A6E88"/>
    <w:rsid w:val="004A6F38"/>
    <w:rsid w:val="004A7439"/>
    <w:rsid w:val="004A761F"/>
    <w:rsid w:val="004A7944"/>
    <w:rsid w:val="004A79C0"/>
    <w:rsid w:val="004B0321"/>
    <w:rsid w:val="004B036F"/>
    <w:rsid w:val="004B04D8"/>
    <w:rsid w:val="004B1231"/>
    <w:rsid w:val="004B132F"/>
    <w:rsid w:val="004B13B5"/>
    <w:rsid w:val="004B15DF"/>
    <w:rsid w:val="004B16B9"/>
    <w:rsid w:val="004B17E1"/>
    <w:rsid w:val="004B1C09"/>
    <w:rsid w:val="004B1DC7"/>
    <w:rsid w:val="004B219B"/>
    <w:rsid w:val="004B21C6"/>
    <w:rsid w:val="004B2400"/>
    <w:rsid w:val="004B251A"/>
    <w:rsid w:val="004B268D"/>
    <w:rsid w:val="004B2756"/>
    <w:rsid w:val="004B2939"/>
    <w:rsid w:val="004B2C6A"/>
    <w:rsid w:val="004B2C7C"/>
    <w:rsid w:val="004B2C7D"/>
    <w:rsid w:val="004B2CE2"/>
    <w:rsid w:val="004B3176"/>
    <w:rsid w:val="004B34E4"/>
    <w:rsid w:val="004B3B52"/>
    <w:rsid w:val="004B3D71"/>
    <w:rsid w:val="004B4165"/>
    <w:rsid w:val="004B4330"/>
    <w:rsid w:val="004B4464"/>
    <w:rsid w:val="004B4497"/>
    <w:rsid w:val="004B45D6"/>
    <w:rsid w:val="004B4A82"/>
    <w:rsid w:val="004B4FAB"/>
    <w:rsid w:val="004B4FBB"/>
    <w:rsid w:val="004B527E"/>
    <w:rsid w:val="004B52A6"/>
    <w:rsid w:val="004B5951"/>
    <w:rsid w:val="004B5A9C"/>
    <w:rsid w:val="004B5AA2"/>
    <w:rsid w:val="004B5B61"/>
    <w:rsid w:val="004B5B84"/>
    <w:rsid w:val="004B5BF6"/>
    <w:rsid w:val="004B5C7D"/>
    <w:rsid w:val="004B5CAA"/>
    <w:rsid w:val="004B5E54"/>
    <w:rsid w:val="004B6AD9"/>
    <w:rsid w:val="004B6F8C"/>
    <w:rsid w:val="004B7021"/>
    <w:rsid w:val="004B7129"/>
    <w:rsid w:val="004B7409"/>
    <w:rsid w:val="004B7684"/>
    <w:rsid w:val="004B7815"/>
    <w:rsid w:val="004B7928"/>
    <w:rsid w:val="004B7D24"/>
    <w:rsid w:val="004B7E13"/>
    <w:rsid w:val="004B7E4B"/>
    <w:rsid w:val="004C00F2"/>
    <w:rsid w:val="004C03A5"/>
    <w:rsid w:val="004C057D"/>
    <w:rsid w:val="004C091C"/>
    <w:rsid w:val="004C0E66"/>
    <w:rsid w:val="004C1008"/>
    <w:rsid w:val="004C11EB"/>
    <w:rsid w:val="004C12A3"/>
    <w:rsid w:val="004C1AD9"/>
    <w:rsid w:val="004C2175"/>
    <w:rsid w:val="004C235A"/>
    <w:rsid w:val="004C26E4"/>
    <w:rsid w:val="004C2AD6"/>
    <w:rsid w:val="004C3560"/>
    <w:rsid w:val="004C396C"/>
    <w:rsid w:val="004C3E6E"/>
    <w:rsid w:val="004C4056"/>
    <w:rsid w:val="004C427B"/>
    <w:rsid w:val="004C4933"/>
    <w:rsid w:val="004C4982"/>
    <w:rsid w:val="004C4A13"/>
    <w:rsid w:val="004C4C8F"/>
    <w:rsid w:val="004C4D82"/>
    <w:rsid w:val="004C524A"/>
    <w:rsid w:val="004C54C2"/>
    <w:rsid w:val="004C5837"/>
    <w:rsid w:val="004C59F4"/>
    <w:rsid w:val="004C5AF8"/>
    <w:rsid w:val="004C5B6A"/>
    <w:rsid w:val="004C5B7B"/>
    <w:rsid w:val="004C6A9A"/>
    <w:rsid w:val="004C6C0C"/>
    <w:rsid w:val="004C6CB8"/>
    <w:rsid w:val="004C6D3C"/>
    <w:rsid w:val="004C719B"/>
    <w:rsid w:val="004C75A3"/>
    <w:rsid w:val="004C75B5"/>
    <w:rsid w:val="004C763F"/>
    <w:rsid w:val="004C7C2D"/>
    <w:rsid w:val="004C7C69"/>
    <w:rsid w:val="004D0374"/>
    <w:rsid w:val="004D0509"/>
    <w:rsid w:val="004D0635"/>
    <w:rsid w:val="004D0796"/>
    <w:rsid w:val="004D1105"/>
    <w:rsid w:val="004D16F5"/>
    <w:rsid w:val="004D2197"/>
    <w:rsid w:val="004D28BA"/>
    <w:rsid w:val="004D3334"/>
    <w:rsid w:val="004D382D"/>
    <w:rsid w:val="004D40ED"/>
    <w:rsid w:val="004D4307"/>
    <w:rsid w:val="004D4497"/>
    <w:rsid w:val="004D465C"/>
    <w:rsid w:val="004D4D82"/>
    <w:rsid w:val="004D5078"/>
    <w:rsid w:val="004D5104"/>
    <w:rsid w:val="004D5336"/>
    <w:rsid w:val="004D54CB"/>
    <w:rsid w:val="004D556F"/>
    <w:rsid w:val="004D562E"/>
    <w:rsid w:val="004D5C25"/>
    <w:rsid w:val="004D5F91"/>
    <w:rsid w:val="004D607D"/>
    <w:rsid w:val="004D6693"/>
    <w:rsid w:val="004D694C"/>
    <w:rsid w:val="004D6DA2"/>
    <w:rsid w:val="004D700C"/>
    <w:rsid w:val="004D719D"/>
    <w:rsid w:val="004D74A3"/>
    <w:rsid w:val="004D756A"/>
    <w:rsid w:val="004D777E"/>
    <w:rsid w:val="004D7CC7"/>
    <w:rsid w:val="004E036F"/>
    <w:rsid w:val="004E03A4"/>
    <w:rsid w:val="004E09D9"/>
    <w:rsid w:val="004E0C8F"/>
    <w:rsid w:val="004E0CC3"/>
    <w:rsid w:val="004E1072"/>
    <w:rsid w:val="004E15BE"/>
    <w:rsid w:val="004E15FD"/>
    <w:rsid w:val="004E1BB8"/>
    <w:rsid w:val="004E21FB"/>
    <w:rsid w:val="004E24A5"/>
    <w:rsid w:val="004E28D9"/>
    <w:rsid w:val="004E2B1E"/>
    <w:rsid w:val="004E322D"/>
    <w:rsid w:val="004E34C0"/>
    <w:rsid w:val="004E3A06"/>
    <w:rsid w:val="004E3B42"/>
    <w:rsid w:val="004E3F8C"/>
    <w:rsid w:val="004E4794"/>
    <w:rsid w:val="004E47AB"/>
    <w:rsid w:val="004E495E"/>
    <w:rsid w:val="004E4DB7"/>
    <w:rsid w:val="004E4E2A"/>
    <w:rsid w:val="004E51EF"/>
    <w:rsid w:val="004E57C6"/>
    <w:rsid w:val="004E581F"/>
    <w:rsid w:val="004E58C5"/>
    <w:rsid w:val="004E5B8D"/>
    <w:rsid w:val="004E5EB5"/>
    <w:rsid w:val="004E6C43"/>
    <w:rsid w:val="004E7038"/>
    <w:rsid w:val="004E74D7"/>
    <w:rsid w:val="004E7546"/>
    <w:rsid w:val="004E7807"/>
    <w:rsid w:val="004E78C3"/>
    <w:rsid w:val="004E79C7"/>
    <w:rsid w:val="004E7AF2"/>
    <w:rsid w:val="004E7B7A"/>
    <w:rsid w:val="004E7D60"/>
    <w:rsid w:val="004E7EB4"/>
    <w:rsid w:val="004F0116"/>
    <w:rsid w:val="004F09D4"/>
    <w:rsid w:val="004F1018"/>
    <w:rsid w:val="004F12C6"/>
    <w:rsid w:val="004F155E"/>
    <w:rsid w:val="004F177C"/>
    <w:rsid w:val="004F1862"/>
    <w:rsid w:val="004F1CE7"/>
    <w:rsid w:val="004F2178"/>
    <w:rsid w:val="004F2BDB"/>
    <w:rsid w:val="004F2BEE"/>
    <w:rsid w:val="004F313A"/>
    <w:rsid w:val="004F3569"/>
    <w:rsid w:val="004F4109"/>
    <w:rsid w:val="004F4365"/>
    <w:rsid w:val="004F4369"/>
    <w:rsid w:val="004F440C"/>
    <w:rsid w:val="004F475A"/>
    <w:rsid w:val="004F47BB"/>
    <w:rsid w:val="004F47F6"/>
    <w:rsid w:val="004F4888"/>
    <w:rsid w:val="004F4BDE"/>
    <w:rsid w:val="004F4E68"/>
    <w:rsid w:val="004F5061"/>
    <w:rsid w:val="004F5340"/>
    <w:rsid w:val="004F5372"/>
    <w:rsid w:val="004F5682"/>
    <w:rsid w:val="004F56AA"/>
    <w:rsid w:val="004F5758"/>
    <w:rsid w:val="004F5A51"/>
    <w:rsid w:val="004F5ABE"/>
    <w:rsid w:val="004F5AF9"/>
    <w:rsid w:val="004F5D05"/>
    <w:rsid w:val="004F5E35"/>
    <w:rsid w:val="004F5E6B"/>
    <w:rsid w:val="004F5EEB"/>
    <w:rsid w:val="004F601D"/>
    <w:rsid w:val="004F663F"/>
    <w:rsid w:val="005002B3"/>
    <w:rsid w:val="00500997"/>
    <w:rsid w:val="00500E0F"/>
    <w:rsid w:val="00501468"/>
    <w:rsid w:val="00501A30"/>
    <w:rsid w:val="00501B08"/>
    <w:rsid w:val="00501C69"/>
    <w:rsid w:val="00501DD5"/>
    <w:rsid w:val="00501DDD"/>
    <w:rsid w:val="005020F3"/>
    <w:rsid w:val="005027B4"/>
    <w:rsid w:val="0050295F"/>
    <w:rsid w:val="00502C52"/>
    <w:rsid w:val="00502F33"/>
    <w:rsid w:val="005032F1"/>
    <w:rsid w:val="00503471"/>
    <w:rsid w:val="005036E7"/>
    <w:rsid w:val="00503C5B"/>
    <w:rsid w:val="00504186"/>
    <w:rsid w:val="005049AA"/>
    <w:rsid w:val="00504A70"/>
    <w:rsid w:val="00504C1D"/>
    <w:rsid w:val="00504CAE"/>
    <w:rsid w:val="00504FFF"/>
    <w:rsid w:val="00505334"/>
    <w:rsid w:val="0050557B"/>
    <w:rsid w:val="00505593"/>
    <w:rsid w:val="00506587"/>
    <w:rsid w:val="005067DC"/>
    <w:rsid w:val="005069E9"/>
    <w:rsid w:val="00507053"/>
    <w:rsid w:val="005070DF"/>
    <w:rsid w:val="005070F2"/>
    <w:rsid w:val="00507177"/>
    <w:rsid w:val="005077A6"/>
    <w:rsid w:val="00507D5A"/>
    <w:rsid w:val="00507D99"/>
    <w:rsid w:val="00507FBB"/>
    <w:rsid w:val="0051024C"/>
    <w:rsid w:val="0051047C"/>
    <w:rsid w:val="0051153E"/>
    <w:rsid w:val="00511904"/>
    <w:rsid w:val="00511C79"/>
    <w:rsid w:val="00511E0F"/>
    <w:rsid w:val="00511E78"/>
    <w:rsid w:val="00512026"/>
    <w:rsid w:val="005122C3"/>
    <w:rsid w:val="00512605"/>
    <w:rsid w:val="00512623"/>
    <w:rsid w:val="00512865"/>
    <w:rsid w:val="00512957"/>
    <w:rsid w:val="00512BBC"/>
    <w:rsid w:val="00512CB2"/>
    <w:rsid w:val="00512CC0"/>
    <w:rsid w:val="00512D38"/>
    <w:rsid w:val="00512F49"/>
    <w:rsid w:val="00513491"/>
    <w:rsid w:val="005136C3"/>
    <w:rsid w:val="0051371F"/>
    <w:rsid w:val="005137F2"/>
    <w:rsid w:val="0051383A"/>
    <w:rsid w:val="0051383B"/>
    <w:rsid w:val="00513925"/>
    <w:rsid w:val="00513E5F"/>
    <w:rsid w:val="005141E9"/>
    <w:rsid w:val="00514283"/>
    <w:rsid w:val="00514482"/>
    <w:rsid w:val="0051490C"/>
    <w:rsid w:val="00514E91"/>
    <w:rsid w:val="00514FD5"/>
    <w:rsid w:val="005158AE"/>
    <w:rsid w:val="00515FB4"/>
    <w:rsid w:val="0051648F"/>
    <w:rsid w:val="005174AF"/>
    <w:rsid w:val="00517522"/>
    <w:rsid w:val="00517815"/>
    <w:rsid w:val="005179ED"/>
    <w:rsid w:val="00517EA8"/>
    <w:rsid w:val="00517FD4"/>
    <w:rsid w:val="0052003E"/>
    <w:rsid w:val="005201BD"/>
    <w:rsid w:val="005202E6"/>
    <w:rsid w:val="005203BB"/>
    <w:rsid w:val="00520706"/>
    <w:rsid w:val="005209E8"/>
    <w:rsid w:val="00520BE8"/>
    <w:rsid w:val="00520DAB"/>
    <w:rsid w:val="00520DEA"/>
    <w:rsid w:val="005210EE"/>
    <w:rsid w:val="005216B9"/>
    <w:rsid w:val="0052179C"/>
    <w:rsid w:val="00521922"/>
    <w:rsid w:val="00521C21"/>
    <w:rsid w:val="00521F73"/>
    <w:rsid w:val="00522140"/>
    <w:rsid w:val="00522246"/>
    <w:rsid w:val="00522284"/>
    <w:rsid w:val="00522332"/>
    <w:rsid w:val="005223E4"/>
    <w:rsid w:val="00522558"/>
    <w:rsid w:val="00522A7E"/>
    <w:rsid w:val="00522A99"/>
    <w:rsid w:val="00522AEE"/>
    <w:rsid w:val="005232F4"/>
    <w:rsid w:val="00523397"/>
    <w:rsid w:val="0052373B"/>
    <w:rsid w:val="00523749"/>
    <w:rsid w:val="005237B3"/>
    <w:rsid w:val="00523A13"/>
    <w:rsid w:val="00523B1B"/>
    <w:rsid w:val="00524B68"/>
    <w:rsid w:val="00524D52"/>
    <w:rsid w:val="00525A54"/>
    <w:rsid w:val="00525AE2"/>
    <w:rsid w:val="00525B64"/>
    <w:rsid w:val="00525CE5"/>
    <w:rsid w:val="00526159"/>
    <w:rsid w:val="0052632A"/>
    <w:rsid w:val="00526412"/>
    <w:rsid w:val="00526A51"/>
    <w:rsid w:val="00527018"/>
    <w:rsid w:val="005271E8"/>
    <w:rsid w:val="0052727D"/>
    <w:rsid w:val="005274B1"/>
    <w:rsid w:val="00527ED2"/>
    <w:rsid w:val="00527EE4"/>
    <w:rsid w:val="005302C1"/>
    <w:rsid w:val="0053033A"/>
    <w:rsid w:val="0053037B"/>
    <w:rsid w:val="0053098D"/>
    <w:rsid w:val="00531672"/>
    <w:rsid w:val="005318F7"/>
    <w:rsid w:val="00531940"/>
    <w:rsid w:val="00531A9C"/>
    <w:rsid w:val="00531D69"/>
    <w:rsid w:val="00532142"/>
    <w:rsid w:val="0053226A"/>
    <w:rsid w:val="005325FB"/>
    <w:rsid w:val="0053273A"/>
    <w:rsid w:val="00532A2E"/>
    <w:rsid w:val="00532F87"/>
    <w:rsid w:val="005336D9"/>
    <w:rsid w:val="00533BF5"/>
    <w:rsid w:val="00534015"/>
    <w:rsid w:val="0053420F"/>
    <w:rsid w:val="00534987"/>
    <w:rsid w:val="0053539A"/>
    <w:rsid w:val="0053596B"/>
    <w:rsid w:val="00535F1D"/>
    <w:rsid w:val="00535F73"/>
    <w:rsid w:val="00535F89"/>
    <w:rsid w:val="00536436"/>
    <w:rsid w:val="00536437"/>
    <w:rsid w:val="005367B9"/>
    <w:rsid w:val="0053685D"/>
    <w:rsid w:val="00536A1D"/>
    <w:rsid w:val="00536C2F"/>
    <w:rsid w:val="005370F4"/>
    <w:rsid w:val="00537221"/>
    <w:rsid w:val="00537237"/>
    <w:rsid w:val="00537404"/>
    <w:rsid w:val="00537B6E"/>
    <w:rsid w:val="005401C2"/>
    <w:rsid w:val="00540369"/>
    <w:rsid w:val="0054041A"/>
    <w:rsid w:val="00540520"/>
    <w:rsid w:val="00540E19"/>
    <w:rsid w:val="00540FEB"/>
    <w:rsid w:val="00541277"/>
    <w:rsid w:val="00541BF3"/>
    <w:rsid w:val="00541DB0"/>
    <w:rsid w:val="00542364"/>
    <w:rsid w:val="00542633"/>
    <w:rsid w:val="00542B73"/>
    <w:rsid w:val="00543891"/>
    <w:rsid w:val="00543922"/>
    <w:rsid w:val="00543C59"/>
    <w:rsid w:val="00543D7D"/>
    <w:rsid w:val="005441B8"/>
    <w:rsid w:val="00544831"/>
    <w:rsid w:val="00544D3A"/>
    <w:rsid w:val="00545B56"/>
    <w:rsid w:val="00545B8F"/>
    <w:rsid w:val="00545F9C"/>
    <w:rsid w:val="00545FA4"/>
    <w:rsid w:val="0054603E"/>
    <w:rsid w:val="005465C3"/>
    <w:rsid w:val="005465FB"/>
    <w:rsid w:val="00546657"/>
    <w:rsid w:val="00546A7D"/>
    <w:rsid w:val="005477E4"/>
    <w:rsid w:val="00547818"/>
    <w:rsid w:val="00550446"/>
    <w:rsid w:val="005504A2"/>
    <w:rsid w:val="00550C5E"/>
    <w:rsid w:val="00551190"/>
    <w:rsid w:val="005517AD"/>
    <w:rsid w:val="0055200E"/>
    <w:rsid w:val="005529DD"/>
    <w:rsid w:val="00552DD7"/>
    <w:rsid w:val="00553057"/>
    <w:rsid w:val="00553430"/>
    <w:rsid w:val="0055399F"/>
    <w:rsid w:val="00553D60"/>
    <w:rsid w:val="00554139"/>
    <w:rsid w:val="00554991"/>
    <w:rsid w:val="00555103"/>
    <w:rsid w:val="0055517E"/>
    <w:rsid w:val="00555568"/>
    <w:rsid w:val="005556D2"/>
    <w:rsid w:val="0055579D"/>
    <w:rsid w:val="00555902"/>
    <w:rsid w:val="00555937"/>
    <w:rsid w:val="00555F83"/>
    <w:rsid w:val="0055603C"/>
    <w:rsid w:val="005566EA"/>
    <w:rsid w:val="005569B4"/>
    <w:rsid w:val="00556E7A"/>
    <w:rsid w:val="0055708A"/>
    <w:rsid w:val="0055714F"/>
    <w:rsid w:val="00557235"/>
    <w:rsid w:val="005573A1"/>
    <w:rsid w:val="005577D0"/>
    <w:rsid w:val="00557A5D"/>
    <w:rsid w:val="0056077A"/>
    <w:rsid w:val="00560821"/>
    <w:rsid w:val="00560A0B"/>
    <w:rsid w:val="00561074"/>
    <w:rsid w:val="00561514"/>
    <w:rsid w:val="00561B12"/>
    <w:rsid w:val="00561BBC"/>
    <w:rsid w:val="00561C0F"/>
    <w:rsid w:val="00561C83"/>
    <w:rsid w:val="00561EEB"/>
    <w:rsid w:val="00561FED"/>
    <w:rsid w:val="005625D7"/>
    <w:rsid w:val="0056264D"/>
    <w:rsid w:val="0056271E"/>
    <w:rsid w:val="00562B1C"/>
    <w:rsid w:val="00562B9B"/>
    <w:rsid w:val="00562D2A"/>
    <w:rsid w:val="005633BF"/>
    <w:rsid w:val="00563B40"/>
    <w:rsid w:val="005640D0"/>
    <w:rsid w:val="0056503A"/>
    <w:rsid w:val="005653FC"/>
    <w:rsid w:val="0056545C"/>
    <w:rsid w:val="00565513"/>
    <w:rsid w:val="0056566A"/>
    <w:rsid w:val="0056566B"/>
    <w:rsid w:val="00565A51"/>
    <w:rsid w:val="00566035"/>
    <w:rsid w:val="00566183"/>
    <w:rsid w:val="00566254"/>
    <w:rsid w:val="00566521"/>
    <w:rsid w:val="00566528"/>
    <w:rsid w:val="005665BA"/>
    <w:rsid w:val="005665D8"/>
    <w:rsid w:val="005674A9"/>
    <w:rsid w:val="00567747"/>
    <w:rsid w:val="00567B51"/>
    <w:rsid w:val="00567F1E"/>
    <w:rsid w:val="00570240"/>
    <w:rsid w:val="00570326"/>
    <w:rsid w:val="0057034F"/>
    <w:rsid w:val="0057037C"/>
    <w:rsid w:val="00570397"/>
    <w:rsid w:val="00570541"/>
    <w:rsid w:val="00570CDD"/>
    <w:rsid w:val="00570F73"/>
    <w:rsid w:val="005710CB"/>
    <w:rsid w:val="00571928"/>
    <w:rsid w:val="00571A9B"/>
    <w:rsid w:val="00571B35"/>
    <w:rsid w:val="00572402"/>
    <w:rsid w:val="00572999"/>
    <w:rsid w:val="00572A9F"/>
    <w:rsid w:val="00572CEA"/>
    <w:rsid w:val="00573154"/>
    <w:rsid w:val="00573448"/>
    <w:rsid w:val="0057344B"/>
    <w:rsid w:val="00573469"/>
    <w:rsid w:val="00573DAF"/>
    <w:rsid w:val="00573FC4"/>
    <w:rsid w:val="00573FFA"/>
    <w:rsid w:val="0057430C"/>
    <w:rsid w:val="005743BC"/>
    <w:rsid w:val="00574472"/>
    <w:rsid w:val="005744C8"/>
    <w:rsid w:val="005745A2"/>
    <w:rsid w:val="005745EE"/>
    <w:rsid w:val="005749E5"/>
    <w:rsid w:val="00574F2E"/>
    <w:rsid w:val="00574F7C"/>
    <w:rsid w:val="005752FF"/>
    <w:rsid w:val="005758F2"/>
    <w:rsid w:val="0057590A"/>
    <w:rsid w:val="00575932"/>
    <w:rsid w:val="00575D89"/>
    <w:rsid w:val="0057716E"/>
    <w:rsid w:val="005773CF"/>
    <w:rsid w:val="005775FF"/>
    <w:rsid w:val="0057763B"/>
    <w:rsid w:val="005776B4"/>
    <w:rsid w:val="0057774C"/>
    <w:rsid w:val="00577910"/>
    <w:rsid w:val="005779FA"/>
    <w:rsid w:val="00577A7B"/>
    <w:rsid w:val="00577FBB"/>
    <w:rsid w:val="00580395"/>
    <w:rsid w:val="00580530"/>
    <w:rsid w:val="00580863"/>
    <w:rsid w:val="00580F6E"/>
    <w:rsid w:val="0058103F"/>
    <w:rsid w:val="00581077"/>
    <w:rsid w:val="005810F7"/>
    <w:rsid w:val="00581587"/>
    <w:rsid w:val="00581A9E"/>
    <w:rsid w:val="00581E9F"/>
    <w:rsid w:val="0058222B"/>
    <w:rsid w:val="00582BA1"/>
    <w:rsid w:val="00582BDD"/>
    <w:rsid w:val="00583805"/>
    <w:rsid w:val="00583DFF"/>
    <w:rsid w:val="005849B0"/>
    <w:rsid w:val="00584C4D"/>
    <w:rsid w:val="00584EB8"/>
    <w:rsid w:val="00585124"/>
    <w:rsid w:val="00585515"/>
    <w:rsid w:val="0058599B"/>
    <w:rsid w:val="00585F5E"/>
    <w:rsid w:val="005868EA"/>
    <w:rsid w:val="00586918"/>
    <w:rsid w:val="00586976"/>
    <w:rsid w:val="00586CC4"/>
    <w:rsid w:val="00586E6B"/>
    <w:rsid w:val="005871D4"/>
    <w:rsid w:val="005874CB"/>
    <w:rsid w:val="00587C37"/>
    <w:rsid w:val="0059086D"/>
    <w:rsid w:val="00590F99"/>
    <w:rsid w:val="0059147B"/>
    <w:rsid w:val="00591B03"/>
    <w:rsid w:val="00591C33"/>
    <w:rsid w:val="00591FAC"/>
    <w:rsid w:val="0059202D"/>
    <w:rsid w:val="005923D4"/>
    <w:rsid w:val="00592911"/>
    <w:rsid w:val="00592E79"/>
    <w:rsid w:val="00592FF5"/>
    <w:rsid w:val="00593029"/>
    <w:rsid w:val="005935B3"/>
    <w:rsid w:val="0059373F"/>
    <w:rsid w:val="00593AF3"/>
    <w:rsid w:val="00593E91"/>
    <w:rsid w:val="00593F10"/>
    <w:rsid w:val="00594138"/>
    <w:rsid w:val="0059428D"/>
    <w:rsid w:val="005942CD"/>
    <w:rsid w:val="00594373"/>
    <w:rsid w:val="005946DB"/>
    <w:rsid w:val="005947A6"/>
    <w:rsid w:val="00594C93"/>
    <w:rsid w:val="00594EC0"/>
    <w:rsid w:val="00595335"/>
    <w:rsid w:val="00595BDA"/>
    <w:rsid w:val="00595D7E"/>
    <w:rsid w:val="00595F1F"/>
    <w:rsid w:val="005962DC"/>
    <w:rsid w:val="0059649C"/>
    <w:rsid w:val="005964E7"/>
    <w:rsid w:val="00596AA5"/>
    <w:rsid w:val="00596EE7"/>
    <w:rsid w:val="00596EF8"/>
    <w:rsid w:val="005970E8"/>
    <w:rsid w:val="00597548"/>
    <w:rsid w:val="00597C0A"/>
    <w:rsid w:val="005A07B1"/>
    <w:rsid w:val="005A09AB"/>
    <w:rsid w:val="005A0BAD"/>
    <w:rsid w:val="005A0FEB"/>
    <w:rsid w:val="005A1406"/>
    <w:rsid w:val="005A1859"/>
    <w:rsid w:val="005A1C98"/>
    <w:rsid w:val="005A21C3"/>
    <w:rsid w:val="005A21C8"/>
    <w:rsid w:val="005A2A47"/>
    <w:rsid w:val="005A2AF5"/>
    <w:rsid w:val="005A2BB0"/>
    <w:rsid w:val="005A2C3A"/>
    <w:rsid w:val="005A2EEF"/>
    <w:rsid w:val="005A32C8"/>
    <w:rsid w:val="005A32FC"/>
    <w:rsid w:val="005A34A8"/>
    <w:rsid w:val="005A368C"/>
    <w:rsid w:val="005A3ED5"/>
    <w:rsid w:val="005A4365"/>
    <w:rsid w:val="005A43C5"/>
    <w:rsid w:val="005A4493"/>
    <w:rsid w:val="005A4769"/>
    <w:rsid w:val="005A4886"/>
    <w:rsid w:val="005A48C0"/>
    <w:rsid w:val="005A4D1A"/>
    <w:rsid w:val="005A5E17"/>
    <w:rsid w:val="005A60B6"/>
    <w:rsid w:val="005A634F"/>
    <w:rsid w:val="005A6433"/>
    <w:rsid w:val="005A64B3"/>
    <w:rsid w:val="005A686F"/>
    <w:rsid w:val="005A721A"/>
    <w:rsid w:val="005A723F"/>
    <w:rsid w:val="005A72CD"/>
    <w:rsid w:val="005A74DF"/>
    <w:rsid w:val="005A75C0"/>
    <w:rsid w:val="005A7645"/>
    <w:rsid w:val="005A7CC3"/>
    <w:rsid w:val="005B04BE"/>
    <w:rsid w:val="005B0ED8"/>
    <w:rsid w:val="005B14BA"/>
    <w:rsid w:val="005B17C1"/>
    <w:rsid w:val="005B190E"/>
    <w:rsid w:val="005B19AC"/>
    <w:rsid w:val="005B1C30"/>
    <w:rsid w:val="005B2539"/>
    <w:rsid w:val="005B2583"/>
    <w:rsid w:val="005B2697"/>
    <w:rsid w:val="005B2A53"/>
    <w:rsid w:val="005B2AC0"/>
    <w:rsid w:val="005B2BA0"/>
    <w:rsid w:val="005B2C1A"/>
    <w:rsid w:val="005B2D5F"/>
    <w:rsid w:val="005B37E8"/>
    <w:rsid w:val="005B3C8D"/>
    <w:rsid w:val="005B3D2C"/>
    <w:rsid w:val="005B3D56"/>
    <w:rsid w:val="005B3FAF"/>
    <w:rsid w:val="005B4217"/>
    <w:rsid w:val="005B43C8"/>
    <w:rsid w:val="005B4639"/>
    <w:rsid w:val="005B4753"/>
    <w:rsid w:val="005B4C38"/>
    <w:rsid w:val="005B4CC5"/>
    <w:rsid w:val="005B5047"/>
    <w:rsid w:val="005B5443"/>
    <w:rsid w:val="005B5D0A"/>
    <w:rsid w:val="005B6150"/>
    <w:rsid w:val="005B6580"/>
    <w:rsid w:val="005B6AAC"/>
    <w:rsid w:val="005B6AE9"/>
    <w:rsid w:val="005B6B61"/>
    <w:rsid w:val="005B6C0C"/>
    <w:rsid w:val="005B6E63"/>
    <w:rsid w:val="005B7140"/>
    <w:rsid w:val="005B7367"/>
    <w:rsid w:val="005B7BD7"/>
    <w:rsid w:val="005C0927"/>
    <w:rsid w:val="005C09D6"/>
    <w:rsid w:val="005C0B0E"/>
    <w:rsid w:val="005C1158"/>
    <w:rsid w:val="005C172E"/>
    <w:rsid w:val="005C17EF"/>
    <w:rsid w:val="005C1C78"/>
    <w:rsid w:val="005C1EE5"/>
    <w:rsid w:val="005C2187"/>
    <w:rsid w:val="005C256E"/>
    <w:rsid w:val="005C25B1"/>
    <w:rsid w:val="005C25E5"/>
    <w:rsid w:val="005C2E30"/>
    <w:rsid w:val="005C32FA"/>
    <w:rsid w:val="005C3480"/>
    <w:rsid w:val="005C369A"/>
    <w:rsid w:val="005C377C"/>
    <w:rsid w:val="005C3A56"/>
    <w:rsid w:val="005C3C6B"/>
    <w:rsid w:val="005C3C8A"/>
    <w:rsid w:val="005C3CFD"/>
    <w:rsid w:val="005C3E15"/>
    <w:rsid w:val="005C3F9C"/>
    <w:rsid w:val="005C5227"/>
    <w:rsid w:val="005C524C"/>
    <w:rsid w:val="005C53DC"/>
    <w:rsid w:val="005C5608"/>
    <w:rsid w:val="005C573C"/>
    <w:rsid w:val="005C580A"/>
    <w:rsid w:val="005C5D12"/>
    <w:rsid w:val="005C6756"/>
    <w:rsid w:val="005C6797"/>
    <w:rsid w:val="005C684B"/>
    <w:rsid w:val="005C6A50"/>
    <w:rsid w:val="005C6A89"/>
    <w:rsid w:val="005C6CD5"/>
    <w:rsid w:val="005C717F"/>
    <w:rsid w:val="005C75A4"/>
    <w:rsid w:val="005C75F3"/>
    <w:rsid w:val="005D0043"/>
    <w:rsid w:val="005D023F"/>
    <w:rsid w:val="005D04A3"/>
    <w:rsid w:val="005D0516"/>
    <w:rsid w:val="005D0744"/>
    <w:rsid w:val="005D0969"/>
    <w:rsid w:val="005D0A12"/>
    <w:rsid w:val="005D10AE"/>
    <w:rsid w:val="005D11A9"/>
    <w:rsid w:val="005D11FE"/>
    <w:rsid w:val="005D12C0"/>
    <w:rsid w:val="005D198D"/>
    <w:rsid w:val="005D1A5D"/>
    <w:rsid w:val="005D1A9B"/>
    <w:rsid w:val="005D1AF0"/>
    <w:rsid w:val="005D1C33"/>
    <w:rsid w:val="005D1C57"/>
    <w:rsid w:val="005D1D99"/>
    <w:rsid w:val="005D24E7"/>
    <w:rsid w:val="005D24F9"/>
    <w:rsid w:val="005D25EF"/>
    <w:rsid w:val="005D2F97"/>
    <w:rsid w:val="005D2FCA"/>
    <w:rsid w:val="005D31C0"/>
    <w:rsid w:val="005D3BF1"/>
    <w:rsid w:val="005D3D5A"/>
    <w:rsid w:val="005D3FEE"/>
    <w:rsid w:val="005D40BD"/>
    <w:rsid w:val="005D4448"/>
    <w:rsid w:val="005D450F"/>
    <w:rsid w:val="005D45FD"/>
    <w:rsid w:val="005D46E8"/>
    <w:rsid w:val="005D4786"/>
    <w:rsid w:val="005D49E1"/>
    <w:rsid w:val="005D4B1C"/>
    <w:rsid w:val="005D4C22"/>
    <w:rsid w:val="005D4F60"/>
    <w:rsid w:val="005D50DE"/>
    <w:rsid w:val="005D57D4"/>
    <w:rsid w:val="005D5970"/>
    <w:rsid w:val="005D5DEA"/>
    <w:rsid w:val="005D6409"/>
    <w:rsid w:val="005D666E"/>
    <w:rsid w:val="005D6743"/>
    <w:rsid w:val="005D6D71"/>
    <w:rsid w:val="005D7710"/>
    <w:rsid w:val="005D7776"/>
    <w:rsid w:val="005D7DB3"/>
    <w:rsid w:val="005E018E"/>
    <w:rsid w:val="005E1432"/>
    <w:rsid w:val="005E14C2"/>
    <w:rsid w:val="005E1E0B"/>
    <w:rsid w:val="005E2047"/>
    <w:rsid w:val="005E2601"/>
    <w:rsid w:val="005E2D94"/>
    <w:rsid w:val="005E3316"/>
    <w:rsid w:val="005E3B74"/>
    <w:rsid w:val="005E4144"/>
    <w:rsid w:val="005E42BF"/>
    <w:rsid w:val="005E436C"/>
    <w:rsid w:val="005E4488"/>
    <w:rsid w:val="005E49E2"/>
    <w:rsid w:val="005E4A59"/>
    <w:rsid w:val="005E4C05"/>
    <w:rsid w:val="005E4C29"/>
    <w:rsid w:val="005E4C2B"/>
    <w:rsid w:val="005E4EAB"/>
    <w:rsid w:val="005E5135"/>
    <w:rsid w:val="005E5180"/>
    <w:rsid w:val="005E536A"/>
    <w:rsid w:val="005E547E"/>
    <w:rsid w:val="005E5A4D"/>
    <w:rsid w:val="005E5E57"/>
    <w:rsid w:val="005E5EBC"/>
    <w:rsid w:val="005E681B"/>
    <w:rsid w:val="005E68CD"/>
    <w:rsid w:val="005E6C23"/>
    <w:rsid w:val="005E6C56"/>
    <w:rsid w:val="005E6CB5"/>
    <w:rsid w:val="005E70E4"/>
    <w:rsid w:val="005E7256"/>
    <w:rsid w:val="005E7360"/>
    <w:rsid w:val="005E7362"/>
    <w:rsid w:val="005E7CC9"/>
    <w:rsid w:val="005E7E3E"/>
    <w:rsid w:val="005F00E9"/>
    <w:rsid w:val="005F04CF"/>
    <w:rsid w:val="005F0614"/>
    <w:rsid w:val="005F081C"/>
    <w:rsid w:val="005F0AF5"/>
    <w:rsid w:val="005F0FA5"/>
    <w:rsid w:val="005F1019"/>
    <w:rsid w:val="005F120E"/>
    <w:rsid w:val="005F1A5E"/>
    <w:rsid w:val="005F1F61"/>
    <w:rsid w:val="005F2650"/>
    <w:rsid w:val="005F291C"/>
    <w:rsid w:val="005F2BAA"/>
    <w:rsid w:val="005F2D63"/>
    <w:rsid w:val="005F2DB0"/>
    <w:rsid w:val="005F3079"/>
    <w:rsid w:val="005F3270"/>
    <w:rsid w:val="005F33B1"/>
    <w:rsid w:val="005F38B4"/>
    <w:rsid w:val="005F3E5C"/>
    <w:rsid w:val="005F41EF"/>
    <w:rsid w:val="005F449F"/>
    <w:rsid w:val="005F44B1"/>
    <w:rsid w:val="005F4820"/>
    <w:rsid w:val="005F48CA"/>
    <w:rsid w:val="005F52BC"/>
    <w:rsid w:val="005F548F"/>
    <w:rsid w:val="005F5A11"/>
    <w:rsid w:val="005F5DF4"/>
    <w:rsid w:val="005F5DF7"/>
    <w:rsid w:val="005F62AB"/>
    <w:rsid w:val="005F6EA9"/>
    <w:rsid w:val="005F7148"/>
    <w:rsid w:val="005F728E"/>
    <w:rsid w:val="005F7758"/>
    <w:rsid w:val="00600082"/>
    <w:rsid w:val="00600210"/>
    <w:rsid w:val="00600249"/>
    <w:rsid w:val="006008F1"/>
    <w:rsid w:val="0060092C"/>
    <w:rsid w:val="006009E9"/>
    <w:rsid w:val="00600A06"/>
    <w:rsid w:val="00600DB5"/>
    <w:rsid w:val="00601084"/>
    <w:rsid w:val="006012B7"/>
    <w:rsid w:val="006013A1"/>
    <w:rsid w:val="0060167B"/>
    <w:rsid w:val="006018D0"/>
    <w:rsid w:val="00601BDB"/>
    <w:rsid w:val="0060207D"/>
    <w:rsid w:val="0060244E"/>
    <w:rsid w:val="00602B82"/>
    <w:rsid w:val="00602B8B"/>
    <w:rsid w:val="00602DE5"/>
    <w:rsid w:val="00602EE7"/>
    <w:rsid w:val="006033C0"/>
    <w:rsid w:val="006033E7"/>
    <w:rsid w:val="0060340D"/>
    <w:rsid w:val="006039DD"/>
    <w:rsid w:val="00603B87"/>
    <w:rsid w:val="00603D6C"/>
    <w:rsid w:val="00603F50"/>
    <w:rsid w:val="00603F9D"/>
    <w:rsid w:val="00604127"/>
    <w:rsid w:val="0060428B"/>
    <w:rsid w:val="006044CB"/>
    <w:rsid w:val="00604604"/>
    <w:rsid w:val="00604E44"/>
    <w:rsid w:val="00605077"/>
    <w:rsid w:val="00605293"/>
    <w:rsid w:val="00605633"/>
    <w:rsid w:val="00605B5B"/>
    <w:rsid w:val="00605F19"/>
    <w:rsid w:val="00605FF1"/>
    <w:rsid w:val="00606A83"/>
    <w:rsid w:val="00607298"/>
    <w:rsid w:val="00607372"/>
    <w:rsid w:val="00607554"/>
    <w:rsid w:val="0060759B"/>
    <w:rsid w:val="00607768"/>
    <w:rsid w:val="00607A27"/>
    <w:rsid w:val="00607ADF"/>
    <w:rsid w:val="00607C76"/>
    <w:rsid w:val="00607D09"/>
    <w:rsid w:val="00610556"/>
    <w:rsid w:val="006106BF"/>
    <w:rsid w:val="00610795"/>
    <w:rsid w:val="00610935"/>
    <w:rsid w:val="00610948"/>
    <w:rsid w:val="00611012"/>
    <w:rsid w:val="00611079"/>
    <w:rsid w:val="00611331"/>
    <w:rsid w:val="0061139C"/>
    <w:rsid w:val="00611415"/>
    <w:rsid w:val="00611581"/>
    <w:rsid w:val="00611763"/>
    <w:rsid w:val="006118D5"/>
    <w:rsid w:val="0061191C"/>
    <w:rsid w:val="00611F79"/>
    <w:rsid w:val="00612163"/>
    <w:rsid w:val="0061239C"/>
    <w:rsid w:val="00612B2F"/>
    <w:rsid w:val="00612CE9"/>
    <w:rsid w:val="006131EB"/>
    <w:rsid w:val="0061384C"/>
    <w:rsid w:val="00613EE9"/>
    <w:rsid w:val="006145BD"/>
    <w:rsid w:val="006150D5"/>
    <w:rsid w:val="006154C0"/>
    <w:rsid w:val="0061573F"/>
    <w:rsid w:val="00615B01"/>
    <w:rsid w:val="006163DB"/>
    <w:rsid w:val="00616BA8"/>
    <w:rsid w:val="00616EBD"/>
    <w:rsid w:val="0061720D"/>
    <w:rsid w:val="0061733C"/>
    <w:rsid w:val="006173CD"/>
    <w:rsid w:val="0061759B"/>
    <w:rsid w:val="00617996"/>
    <w:rsid w:val="00617BC3"/>
    <w:rsid w:val="00617CB0"/>
    <w:rsid w:val="00617D91"/>
    <w:rsid w:val="00620014"/>
    <w:rsid w:val="0062065D"/>
    <w:rsid w:val="006213D1"/>
    <w:rsid w:val="00621A77"/>
    <w:rsid w:val="00621AE7"/>
    <w:rsid w:val="00621CB1"/>
    <w:rsid w:val="00622190"/>
    <w:rsid w:val="00622228"/>
    <w:rsid w:val="00622465"/>
    <w:rsid w:val="0062289D"/>
    <w:rsid w:val="006229D0"/>
    <w:rsid w:val="00622CA6"/>
    <w:rsid w:val="00623445"/>
    <w:rsid w:val="0062387C"/>
    <w:rsid w:val="00623A26"/>
    <w:rsid w:val="00623F31"/>
    <w:rsid w:val="006247F7"/>
    <w:rsid w:val="00624969"/>
    <w:rsid w:val="00624A6E"/>
    <w:rsid w:val="00624B23"/>
    <w:rsid w:val="00625289"/>
    <w:rsid w:val="0062539A"/>
    <w:rsid w:val="006256C6"/>
    <w:rsid w:val="0062584B"/>
    <w:rsid w:val="00625BAD"/>
    <w:rsid w:val="00625C7C"/>
    <w:rsid w:val="00626061"/>
    <w:rsid w:val="00626577"/>
    <w:rsid w:val="006265A5"/>
    <w:rsid w:val="006269C7"/>
    <w:rsid w:val="00626B54"/>
    <w:rsid w:val="00626CD1"/>
    <w:rsid w:val="00626FB5"/>
    <w:rsid w:val="00627067"/>
    <w:rsid w:val="00627570"/>
    <w:rsid w:val="0062768A"/>
    <w:rsid w:val="00627D57"/>
    <w:rsid w:val="006306A2"/>
    <w:rsid w:val="00630818"/>
    <w:rsid w:val="00630BAF"/>
    <w:rsid w:val="00630BC9"/>
    <w:rsid w:val="00630C94"/>
    <w:rsid w:val="00630D99"/>
    <w:rsid w:val="006310F2"/>
    <w:rsid w:val="006310FE"/>
    <w:rsid w:val="0063176E"/>
    <w:rsid w:val="00631A42"/>
    <w:rsid w:val="00631B7B"/>
    <w:rsid w:val="00632087"/>
    <w:rsid w:val="00632137"/>
    <w:rsid w:val="006328BD"/>
    <w:rsid w:val="00632B64"/>
    <w:rsid w:val="00632CF7"/>
    <w:rsid w:val="00632F8E"/>
    <w:rsid w:val="006333D7"/>
    <w:rsid w:val="006334EC"/>
    <w:rsid w:val="00633919"/>
    <w:rsid w:val="0063396C"/>
    <w:rsid w:val="00634539"/>
    <w:rsid w:val="006349F2"/>
    <w:rsid w:val="00634C8E"/>
    <w:rsid w:val="00634D2C"/>
    <w:rsid w:val="00634F3D"/>
    <w:rsid w:val="00635232"/>
    <w:rsid w:val="00635464"/>
    <w:rsid w:val="00635ABB"/>
    <w:rsid w:val="00635F06"/>
    <w:rsid w:val="0063611B"/>
    <w:rsid w:val="0063645C"/>
    <w:rsid w:val="006365AB"/>
    <w:rsid w:val="00636665"/>
    <w:rsid w:val="0063667F"/>
    <w:rsid w:val="00636A4A"/>
    <w:rsid w:val="00636AC7"/>
    <w:rsid w:val="00636F38"/>
    <w:rsid w:val="006372CD"/>
    <w:rsid w:val="006373B2"/>
    <w:rsid w:val="00637521"/>
    <w:rsid w:val="00637B7D"/>
    <w:rsid w:val="00637E57"/>
    <w:rsid w:val="0064057F"/>
    <w:rsid w:val="00640AC8"/>
    <w:rsid w:val="00640C02"/>
    <w:rsid w:val="00640E45"/>
    <w:rsid w:val="00640FA6"/>
    <w:rsid w:val="00640FEE"/>
    <w:rsid w:val="006410DE"/>
    <w:rsid w:val="0064131B"/>
    <w:rsid w:val="00641486"/>
    <w:rsid w:val="00641546"/>
    <w:rsid w:val="006417A3"/>
    <w:rsid w:val="006423D6"/>
    <w:rsid w:val="006425C1"/>
    <w:rsid w:val="00642EFE"/>
    <w:rsid w:val="0064320E"/>
    <w:rsid w:val="00643BFB"/>
    <w:rsid w:val="00644683"/>
    <w:rsid w:val="00644B98"/>
    <w:rsid w:val="00644BF3"/>
    <w:rsid w:val="006450FB"/>
    <w:rsid w:val="006452EB"/>
    <w:rsid w:val="006453F1"/>
    <w:rsid w:val="00645695"/>
    <w:rsid w:val="006459C0"/>
    <w:rsid w:val="00645E73"/>
    <w:rsid w:val="00645EF6"/>
    <w:rsid w:val="00645F85"/>
    <w:rsid w:val="006461CF"/>
    <w:rsid w:val="006463E3"/>
    <w:rsid w:val="006464E2"/>
    <w:rsid w:val="0064662A"/>
    <w:rsid w:val="00646800"/>
    <w:rsid w:val="00646C1B"/>
    <w:rsid w:val="00647970"/>
    <w:rsid w:val="0064798D"/>
    <w:rsid w:val="00647B31"/>
    <w:rsid w:val="00647FA7"/>
    <w:rsid w:val="00647FE6"/>
    <w:rsid w:val="00650B00"/>
    <w:rsid w:val="00650E5B"/>
    <w:rsid w:val="0065127E"/>
    <w:rsid w:val="0065163F"/>
    <w:rsid w:val="006517D2"/>
    <w:rsid w:val="006518CC"/>
    <w:rsid w:val="00651F10"/>
    <w:rsid w:val="006522ED"/>
    <w:rsid w:val="00653290"/>
    <w:rsid w:val="006535C7"/>
    <w:rsid w:val="006537AC"/>
    <w:rsid w:val="00653870"/>
    <w:rsid w:val="006545E6"/>
    <w:rsid w:val="00654692"/>
    <w:rsid w:val="00654702"/>
    <w:rsid w:val="00654762"/>
    <w:rsid w:val="00654C03"/>
    <w:rsid w:val="0065509C"/>
    <w:rsid w:val="00655520"/>
    <w:rsid w:val="006556EC"/>
    <w:rsid w:val="00655A14"/>
    <w:rsid w:val="00655AD8"/>
    <w:rsid w:val="00655EBD"/>
    <w:rsid w:val="0065603F"/>
    <w:rsid w:val="0065637A"/>
    <w:rsid w:val="006565C5"/>
    <w:rsid w:val="00656AD8"/>
    <w:rsid w:val="00656D05"/>
    <w:rsid w:val="00656D27"/>
    <w:rsid w:val="0065739D"/>
    <w:rsid w:val="0065748A"/>
    <w:rsid w:val="0065748C"/>
    <w:rsid w:val="00657912"/>
    <w:rsid w:val="00657BA1"/>
    <w:rsid w:val="00660356"/>
    <w:rsid w:val="006604B6"/>
    <w:rsid w:val="00660766"/>
    <w:rsid w:val="006607EE"/>
    <w:rsid w:val="0066091F"/>
    <w:rsid w:val="00660A03"/>
    <w:rsid w:val="00660C60"/>
    <w:rsid w:val="0066116D"/>
    <w:rsid w:val="00661975"/>
    <w:rsid w:val="00661F57"/>
    <w:rsid w:val="00661F95"/>
    <w:rsid w:val="0066211B"/>
    <w:rsid w:val="0066255D"/>
    <w:rsid w:val="00662575"/>
    <w:rsid w:val="00662A07"/>
    <w:rsid w:val="00662A2C"/>
    <w:rsid w:val="00662DCE"/>
    <w:rsid w:val="00662FA5"/>
    <w:rsid w:val="006632C8"/>
    <w:rsid w:val="006635B6"/>
    <w:rsid w:val="006639B9"/>
    <w:rsid w:val="00663C35"/>
    <w:rsid w:val="00663CF5"/>
    <w:rsid w:val="00664011"/>
    <w:rsid w:val="00664079"/>
    <w:rsid w:val="0066427B"/>
    <w:rsid w:val="0066475D"/>
    <w:rsid w:val="006648B4"/>
    <w:rsid w:val="00664C02"/>
    <w:rsid w:val="00664E1E"/>
    <w:rsid w:val="00664E7B"/>
    <w:rsid w:val="0066511B"/>
    <w:rsid w:val="0066517A"/>
    <w:rsid w:val="00665341"/>
    <w:rsid w:val="006653FA"/>
    <w:rsid w:val="006654B5"/>
    <w:rsid w:val="00665591"/>
    <w:rsid w:val="00665936"/>
    <w:rsid w:val="00665DA9"/>
    <w:rsid w:val="00666426"/>
    <w:rsid w:val="0066669C"/>
    <w:rsid w:val="00666813"/>
    <w:rsid w:val="00666996"/>
    <w:rsid w:val="00666A2E"/>
    <w:rsid w:val="00666F88"/>
    <w:rsid w:val="00667220"/>
    <w:rsid w:val="00667354"/>
    <w:rsid w:val="00667522"/>
    <w:rsid w:val="006675BD"/>
    <w:rsid w:val="0066781E"/>
    <w:rsid w:val="00667D74"/>
    <w:rsid w:val="006701A4"/>
    <w:rsid w:val="006704F9"/>
    <w:rsid w:val="00670634"/>
    <w:rsid w:val="00670BDC"/>
    <w:rsid w:val="00670DFD"/>
    <w:rsid w:val="006710FD"/>
    <w:rsid w:val="0067121C"/>
    <w:rsid w:val="006713E5"/>
    <w:rsid w:val="006716D5"/>
    <w:rsid w:val="00671957"/>
    <w:rsid w:val="00671A72"/>
    <w:rsid w:val="00671ACF"/>
    <w:rsid w:val="00671F9B"/>
    <w:rsid w:val="006723B7"/>
    <w:rsid w:val="00672691"/>
    <w:rsid w:val="006728C0"/>
    <w:rsid w:val="00672D40"/>
    <w:rsid w:val="00672FE1"/>
    <w:rsid w:val="00673156"/>
    <w:rsid w:val="00673237"/>
    <w:rsid w:val="0067336F"/>
    <w:rsid w:val="00673BCD"/>
    <w:rsid w:val="00674402"/>
    <w:rsid w:val="00674560"/>
    <w:rsid w:val="00674F62"/>
    <w:rsid w:val="00675190"/>
    <w:rsid w:val="00675210"/>
    <w:rsid w:val="00675876"/>
    <w:rsid w:val="00675973"/>
    <w:rsid w:val="00675F98"/>
    <w:rsid w:val="0067643D"/>
    <w:rsid w:val="006766DB"/>
    <w:rsid w:val="006767DF"/>
    <w:rsid w:val="00677262"/>
    <w:rsid w:val="006774E6"/>
    <w:rsid w:val="00677994"/>
    <w:rsid w:val="006779D0"/>
    <w:rsid w:val="00677B75"/>
    <w:rsid w:val="00677D54"/>
    <w:rsid w:val="00677DAD"/>
    <w:rsid w:val="00680133"/>
    <w:rsid w:val="0068013C"/>
    <w:rsid w:val="00680143"/>
    <w:rsid w:val="0068041A"/>
    <w:rsid w:val="0068074A"/>
    <w:rsid w:val="00680882"/>
    <w:rsid w:val="0068120C"/>
    <w:rsid w:val="00681351"/>
    <w:rsid w:val="006815DC"/>
    <w:rsid w:val="00681902"/>
    <w:rsid w:val="00681C76"/>
    <w:rsid w:val="006825C4"/>
    <w:rsid w:val="006829E4"/>
    <w:rsid w:val="00682A22"/>
    <w:rsid w:val="00682BBF"/>
    <w:rsid w:val="00683621"/>
    <w:rsid w:val="006837A6"/>
    <w:rsid w:val="0068386E"/>
    <w:rsid w:val="00683B67"/>
    <w:rsid w:val="00684214"/>
    <w:rsid w:val="0068443B"/>
    <w:rsid w:val="0068489F"/>
    <w:rsid w:val="006848B0"/>
    <w:rsid w:val="00685073"/>
    <w:rsid w:val="0068568E"/>
    <w:rsid w:val="0068597B"/>
    <w:rsid w:val="00685A46"/>
    <w:rsid w:val="00685D6E"/>
    <w:rsid w:val="006860B0"/>
    <w:rsid w:val="006863C7"/>
    <w:rsid w:val="00686468"/>
    <w:rsid w:val="006866A4"/>
    <w:rsid w:val="00686D22"/>
    <w:rsid w:val="00686EAD"/>
    <w:rsid w:val="00686F80"/>
    <w:rsid w:val="00686FD8"/>
    <w:rsid w:val="00686FE7"/>
    <w:rsid w:val="006872E0"/>
    <w:rsid w:val="00687500"/>
    <w:rsid w:val="0068769B"/>
    <w:rsid w:val="00687720"/>
    <w:rsid w:val="0068772C"/>
    <w:rsid w:val="00687E0E"/>
    <w:rsid w:val="00687F62"/>
    <w:rsid w:val="006903B9"/>
    <w:rsid w:val="006905E7"/>
    <w:rsid w:val="0069082E"/>
    <w:rsid w:val="00690C56"/>
    <w:rsid w:val="006913FB"/>
    <w:rsid w:val="00691473"/>
    <w:rsid w:val="0069156D"/>
    <w:rsid w:val="006917D2"/>
    <w:rsid w:val="0069197C"/>
    <w:rsid w:val="00691C88"/>
    <w:rsid w:val="006925BA"/>
    <w:rsid w:val="006928F0"/>
    <w:rsid w:val="00692AD2"/>
    <w:rsid w:val="00692BE1"/>
    <w:rsid w:val="00693138"/>
    <w:rsid w:val="006932D8"/>
    <w:rsid w:val="00693548"/>
    <w:rsid w:val="00693734"/>
    <w:rsid w:val="00693D24"/>
    <w:rsid w:val="00693F00"/>
    <w:rsid w:val="006940B4"/>
    <w:rsid w:val="00694546"/>
    <w:rsid w:val="006951C5"/>
    <w:rsid w:val="006954D6"/>
    <w:rsid w:val="0069571E"/>
    <w:rsid w:val="00695914"/>
    <w:rsid w:val="00695E03"/>
    <w:rsid w:val="00695E57"/>
    <w:rsid w:val="00696122"/>
    <w:rsid w:val="00696127"/>
    <w:rsid w:val="006963C6"/>
    <w:rsid w:val="0069678D"/>
    <w:rsid w:val="00696988"/>
    <w:rsid w:val="00696B36"/>
    <w:rsid w:val="00696C1D"/>
    <w:rsid w:val="006975BB"/>
    <w:rsid w:val="006977B9"/>
    <w:rsid w:val="00697974"/>
    <w:rsid w:val="00697AF2"/>
    <w:rsid w:val="00697DFE"/>
    <w:rsid w:val="006A0146"/>
    <w:rsid w:val="006A0377"/>
    <w:rsid w:val="006A0A76"/>
    <w:rsid w:val="006A0C2E"/>
    <w:rsid w:val="006A15A8"/>
    <w:rsid w:val="006A183C"/>
    <w:rsid w:val="006A188F"/>
    <w:rsid w:val="006A1941"/>
    <w:rsid w:val="006A1B70"/>
    <w:rsid w:val="006A1C33"/>
    <w:rsid w:val="006A1ECD"/>
    <w:rsid w:val="006A1F29"/>
    <w:rsid w:val="006A202F"/>
    <w:rsid w:val="006A276A"/>
    <w:rsid w:val="006A2AE7"/>
    <w:rsid w:val="006A31CF"/>
    <w:rsid w:val="006A3A04"/>
    <w:rsid w:val="006A3A17"/>
    <w:rsid w:val="006A3B4C"/>
    <w:rsid w:val="006A3E51"/>
    <w:rsid w:val="006A3FEF"/>
    <w:rsid w:val="006A40DC"/>
    <w:rsid w:val="006A4782"/>
    <w:rsid w:val="006A48A6"/>
    <w:rsid w:val="006A4A02"/>
    <w:rsid w:val="006A4F30"/>
    <w:rsid w:val="006A5606"/>
    <w:rsid w:val="006A5643"/>
    <w:rsid w:val="006A5914"/>
    <w:rsid w:val="006A5CC2"/>
    <w:rsid w:val="006A6397"/>
    <w:rsid w:val="006A66CB"/>
    <w:rsid w:val="006A67A0"/>
    <w:rsid w:val="006A6FC8"/>
    <w:rsid w:val="006A75DB"/>
    <w:rsid w:val="006A76AF"/>
    <w:rsid w:val="006A790C"/>
    <w:rsid w:val="006A7976"/>
    <w:rsid w:val="006A79D7"/>
    <w:rsid w:val="006A7B4C"/>
    <w:rsid w:val="006A7C66"/>
    <w:rsid w:val="006A7EE1"/>
    <w:rsid w:val="006A7F43"/>
    <w:rsid w:val="006B026A"/>
    <w:rsid w:val="006B0A96"/>
    <w:rsid w:val="006B0D03"/>
    <w:rsid w:val="006B0FDA"/>
    <w:rsid w:val="006B13BC"/>
    <w:rsid w:val="006B1730"/>
    <w:rsid w:val="006B18FA"/>
    <w:rsid w:val="006B190A"/>
    <w:rsid w:val="006B1AC7"/>
    <w:rsid w:val="006B1B9A"/>
    <w:rsid w:val="006B1CAC"/>
    <w:rsid w:val="006B2714"/>
    <w:rsid w:val="006B2732"/>
    <w:rsid w:val="006B28A6"/>
    <w:rsid w:val="006B2AA6"/>
    <w:rsid w:val="006B2B64"/>
    <w:rsid w:val="006B2E1B"/>
    <w:rsid w:val="006B2E9B"/>
    <w:rsid w:val="006B3168"/>
    <w:rsid w:val="006B349C"/>
    <w:rsid w:val="006B3675"/>
    <w:rsid w:val="006B37E0"/>
    <w:rsid w:val="006B3C6A"/>
    <w:rsid w:val="006B3F70"/>
    <w:rsid w:val="006B41ED"/>
    <w:rsid w:val="006B4322"/>
    <w:rsid w:val="006B4E67"/>
    <w:rsid w:val="006B4FA6"/>
    <w:rsid w:val="006B5063"/>
    <w:rsid w:val="006B5325"/>
    <w:rsid w:val="006B57A3"/>
    <w:rsid w:val="006B5CD2"/>
    <w:rsid w:val="006B603A"/>
    <w:rsid w:val="006B613C"/>
    <w:rsid w:val="006B622A"/>
    <w:rsid w:val="006B6449"/>
    <w:rsid w:val="006B6682"/>
    <w:rsid w:val="006B66A5"/>
    <w:rsid w:val="006B7172"/>
    <w:rsid w:val="006B7436"/>
    <w:rsid w:val="006B75CB"/>
    <w:rsid w:val="006B7B24"/>
    <w:rsid w:val="006B7B45"/>
    <w:rsid w:val="006B7CA3"/>
    <w:rsid w:val="006B7E7D"/>
    <w:rsid w:val="006B7F92"/>
    <w:rsid w:val="006C0359"/>
    <w:rsid w:val="006C038E"/>
    <w:rsid w:val="006C058D"/>
    <w:rsid w:val="006C089E"/>
    <w:rsid w:val="006C08FD"/>
    <w:rsid w:val="006C0ADD"/>
    <w:rsid w:val="006C0D0D"/>
    <w:rsid w:val="006C1DF9"/>
    <w:rsid w:val="006C2044"/>
    <w:rsid w:val="006C2378"/>
    <w:rsid w:val="006C255F"/>
    <w:rsid w:val="006C25FA"/>
    <w:rsid w:val="006C2600"/>
    <w:rsid w:val="006C281F"/>
    <w:rsid w:val="006C28B5"/>
    <w:rsid w:val="006C2B8F"/>
    <w:rsid w:val="006C2BDD"/>
    <w:rsid w:val="006C306A"/>
    <w:rsid w:val="006C333C"/>
    <w:rsid w:val="006C3BAD"/>
    <w:rsid w:val="006C3CF2"/>
    <w:rsid w:val="006C3F99"/>
    <w:rsid w:val="006C4209"/>
    <w:rsid w:val="006C4405"/>
    <w:rsid w:val="006C450A"/>
    <w:rsid w:val="006C45F3"/>
    <w:rsid w:val="006C460D"/>
    <w:rsid w:val="006C4633"/>
    <w:rsid w:val="006C4A89"/>
    <w:rsid w:val="006C5EF4"/>
    <w:rsid w:val="006C6464"/>
    <w:rsid w:val="006C667D"/>
    <w:rsid w:val="006C6C47"/>
    <w:rsid w:val="006C6EC0"/>
    <w:rsid w:val="006C7472"/>
    <w:rsid w:val="006C755D"/>
    <w:rsid w:val="006C7934"/>
    <w:rsid w:val="006C7B1F"/>
    <w:rsid w:val="006C7C3D"/>
    <w:rsid w:val="006C7D1E"/>
    <w:rsid w:val="006D01E1"/>
    <w:rsid w:val="006D03EB"/>
    <w:rsid w:val="006D05C5"/>
    <w:rsid w:val="006D0C27"/>
    <w:rsid w:val="006D115A"/>
    <w:rsid w:val="006D1173"/>
    <w:rsid w:val="006D14D2"/>
    <w:rsid w:val="006D1DB1"/>
    <w:rsid w:val="006D2030"/>
    <w:rsid w:val="006D218A"/>
    <w:rsid w:val="006D21AA"/>
    <w:rsid w:val="006D2B4F"/>
    <w:rsid w:val="006D2CE6"/>
    <w:rsid w:val="006D2DBA"/>
    <w:rsid w:val="006D2F0D"/>
    <w:rsid w:val="006D2FFD"/>
    <w:rsid w:val="006D394A"/>
    <w:rsid w:val="006D3995"/>
    <w:rsid w:val="006D3E11"/>
    <w:rsid w:val="006D3F08"/>
    <w:rsid w:val="006D42D1"/>
    <w:rsid w:val="006D4B79"/>
    <w:rsid w:val="006D4C89"/>
    <w:rsid w:val="006D505F"/>
    <w:rsid w:val="006D53AB"/>
    <w:rsid w:val="006D571C"/>
    <w:rsid w:val="006D5885"/>
    <w:rsid w:val="006D63DA"/>
    <w:rsid w:val="006D73BE"/>
    <w:rsid w:val="006D76F0"/>
    <w:rsid w:val="006D7889"/>
    <w:rsid w:val="006E00BC"/>
    <w:rsid w:val="006E01B5"/>
    <w:rsid w:val="006E0307"/>
    <w:rsid w:val="006E0598"/>
    <w:rsid w:val="006E05A4"/>
    <w:rsid w:val="006E06F6"/>
    <w:rsid w:val="006E0756"/>
    <w:rsid w:val="006E0A83"/>
    <w:rsid w:val="006E0E68"/>
    <w:rsid w:val="006E1760"/>
    <w:rsid w:val="006E1CE9"/>
    <w:rsid w:val="006E22F2"/>
    <w:rsid w:val="006E24FD"/>
    <w:rsid w:val="006E259A"/>
    <w:rsid w:val="006E25A4"/>
    <w:rsid w:val="006E28B6"/>
    <w:rsid w:val="006E2A99"/>
    <w:rsid w:val="006E2DB2"/>
    <w:rsid w:val="006E310E"/>
    <w:rsid w:val="006E33E4"/>
    <w:rsid w:val="006E3670"/>
    <w:rsid w:val="006E3869"/>
    <w:rsid w:val="006E3B9F"/>
    <w:rsid w:val="006E4189"/>
    <w:rsid w:val="006E42C6"/>
    <w:rsid w:val="006E4D3A"/>
    <w:rsid w:val="006E50E2"/>
    <w:rsid w:val="006E52D7"/>
    <w:rsid w:val="006E533D"/>
    <w:rsid w:val="006E5470"/>
    <w:rsid w:val="006E5F34"/>
    <w:rsid w:val="006E6878"/>
    <w:rsid w:val="006E6B06"/>
    <w:rsid w:val="006E6B1C"/>
    <w:rsid w:val="006E6B7A"/>
    <w:rsid w:val="006E6F65"/>
    <w:rsid w:val="006E7212"/>
    <w:rsid w:val="006E7666"/>
    <w:rsid w:val="006E767F"/>
    <w:rsid w:val="006E7A27"/>
    <w:rsid w:val="006E7B00"/>
    <w:rsid w:val="006E7DC0"/>
    <w:rsid w:val="006F0709"/>
    <w:rsid w:val="006F0CA1"/>
    <w:rsid w:val="006F14E5"/>
    <w:rsid w:val="006F157C"/>
    <w:rsid w:val="006F1AC2"/>
    <w:rsid w:val="006F1BBB"/>
    <w:rsid w:val="006F1C1F"/>
    <w:rsid w:val="006F1D4A"/>
    <w:rsid w:val="006F2563"/>
    <w:rsid w:val="006F2635"/>
    <w:rsid w:val="006F26AA"/>
    <w:rsid w:val="006F29FE"/>
    <w:rsid w:val="006F3368"/>
    <w:rsid w:val="006F33DB"/>
    <w:rsid w:val="006F367C"/>
    <w:rsid w:val="006F3789"/>
    <w:rsid w:val="006F37FA"/>
    <w:rsid w:val="006F3EC2"/>
    <w:rsid w:val="006F3F39"/>
    <w:rsid w:val="006F4157"/>
    <w:rsid w:val="006F4E84"/>
    <w:rsid w:val="006F4EE5"/>
    <w:rsid w:val="006F5739"/>
    <w:rsid w:val="006F5C27"/>
    <w:rsid w:val="006F622F"/>
    <w:rsid w:val="006F6420"/>
    <w:rsid w:val="006F65A0"/>
    <w:rsid w:val="006F6796"/>
    <w:rsid w:val="006F70CF"/>
    <w:rsid w:val="006F7260"/>
    <w:rsid w:val="006F7A55"/>
    <w:rsid w:val="007000ED"/>
    <w:rsid w:val="007003E9"/>
    <w:rsid w:val="007006FC"/>
    <w:rsid w:val="00700765"/>
    <w:rsid w:val="00700CDD"/>
    <w:rsid w:val="00700F2A"/>
    <w:rsid w:val="00701083"/>
    <w:rsid w:val="00701213"/>
    <w:rsid w:val="007019D4"/>
    <w:rsid w:val="00701BB8"/>
    <w:rsid w:val="00701F06"/>
    <w:rsid w:val="00702239"/>
    <w:rsid w:val="00702A86"/>
    <w:rsid w:val="00702B9E"/>
    <w:rsid w:val="00703188"/>
    <w:rsid w:val="007031BB"/>
    <w:rsid w:val="007032FE"/>
    <w:rsid w:val="00703470"/>
    <w:rsid w:val="00703471"/>
    <w:rsid w:val="00703E3F"/>
    <w:rsid w:val="0070426B"/>
    <w:rsid w:val="007046A4"/>
    <w:rsid w:val="0070485A"/>
    <w:rsid w:val="00704D0E"/>
    <w:rsid w:val="00704E80"/>
    <w:rsid w:val="00704FFE"/>
    <w:rsid w:val="00705282"/>
    <w:rsid w:val="007052DB"/>
    <w:rsid w:val="007053BA"/>
    <w:rsid w:val="007059E2"/>
    <w:rsid w:val="00705A60"/>
    <w:rsid w:val="00705B4C"/>
    <w:rsid w:val="00705B56"/>
    <w:rsid w:val="00705B88"/>
    <w:rsid w:val="00705F16"/>
    <w:rsid w:val="00705F7B"/>
    <w:rsid w:val="00705FA6"/>
    <w:rsid w:val="007061AB"/>
    <w:rsid w:val="00706493"/>
    <w:rsid w:val="00706738"/>
    <w:rsid w:val="0070699A"/>
    <w:rsid w:val="00706D7C"/>
    <w:rsid w:val="00707213"/>
    <w:rsid w:val="00707240"/>
    <w:rsid w:val="007074B0"/>
    <w:rsid w:val="007074CB"/>
    <w:rsid w:val="00707627"/>
    <w:rsid w:val="00707BCA"/>
    <w:rsid w:val="00707E0B"/>
    <w:rsid w:val="007100A0"/>
    <w:rsid w:val="0071022D"/>
    <w:rsid w:val="007105E0"/>
    <w:rsid w:val="00710B5A"/>
    <w:rsid w:val="00710BCD"/>
    <w:rsid w:val="00710DF3"/>
    <w:rsid w:val="00710E4F"/>
    <w:rsid w:val="00711115"/>
    <w:rsid w:val="0071122C"/>
    <w:rsid w:val="007113C0"/>
    <w:rsid w:val="007115E8"/>
    <w:rsid w:val="00711AF9"/>
    <w:rsid w:val="00711D63"/>
    <w:rsid w:val="00711DE1"/>
    <w:rsid w:val="00711FB4"/>
    <w:rsid w:val="007125CC"/>
    <w:rsid w:val="007128E0"/>
    <w:rsid w:val="00712B04"/>
    <w:rsid w:val="00712B8A"/>
    <w:rsid w:val="00712D58"/>
    <w:rsid w:val="00712EB4"/>
    <w:rsid w:val="00713323"/>
    <w:rsid w:val="007137E2"/>
    <w:rsid w:val="00713A28"/>
    <w:rsid w:val="00713CF1"/>
    <w:rsid w:val="0071444C"/>
    <w:rsid w:val="00714497"/>
    <w:rsid w:val="00714A63"/>
    <w:rsid w:val="00714A69"/>
    <w:rsid w:val="00714C72"/>
    <w:rsid w:val="00714EB8"/>
    <w:rsid w:val="00715741"/>
    <w:rsid w:val="0071585B"/>
    <w:rsid w:val="00715988"/>
    <w:rsid w:val="00715CF4"/>
    <w:rsid w:val="00715F74"/>
    <w:rsid w:val="00716048"/>
    <w:rsid w:val="007163E0"/>
    <w:rsid w:val="00716921"/>
    <w:rsid w:val="0071711E"/>
    <w:rsid w:val="00717252"/>
    <w:rsid w:val="007172DB"/>
    <w:rsid w:val="007177CE"/>
    <w:rsid w:val="007179A1"/>
    <w:rsid w:val="00717CC8"/>
    <w:rsid w:val="00717E57"/>
    <w:rsid w:val="00720034"/>
    <w:rsid w:val="0072012E"/>
    <w:rsid w:val="00720268"/>
    <w:rsid w:val="0072032D"/>
    <w:rsid w:val="007209E0"/>
    <w:rsid w:val="0072113A"/>
    <w:rsid w:val="00721178"/>
    <w:rsid w:val="00721334"/>
    <w:rsid w:val="0072179E"/>
    <w:rsid w:val="00721C03"/>
    <w:rsid w:val="00721CBA"/>
    <w:rsid w:val="00721D58"/>
    <w:rsid w:val="00721DB5"/>
    <w:rsid w:val="00721DE5"/>
    <w:rsid w:val="0072244F"/>
    <w:rsid w:val="007228B2"/>
    <w:rsid w:val="007229A6"/>
    <w:rsid w:val="00722BFB"/>
    <w:rsid w:val="00722EA2"/>
    <w:rsid w:val="0072306A"/>
    <w:rsid w:val="007231C2"/>
    <w:rsid w:val="0072382E"/>
    <w:rsid w:val="00723C25"/>
    <w:rsid w:val="007241B3"/>
    <w:rsid w:val="007242A9"/>
    <w:rsid w:val="00724828"/>
    <w:rsid w:val="00724867"/>
    <w:rsid w:val="00724B77"/>
    <w:rsid w:val="00724C23"/>
    <w:rsid w:val="00724EB2"/>
    <w:rsid w:val="007257FA"/>
    <w:rsid w:val="00725851"/>
    <w:rsid w:val="00725853"/>
    <w:rsid w:val="00725967"/>
    <w:rsid w:val="00725C7C"/>
    <w:rsid w:val="00725EE3"/>
    <w:rsid w:val="0072601F"/>
    <w:rsid w:val="00726DA3"/>
    <w:rsid w:val="00726E9E"/>
    <w:rsid w:val="007273BD"/>
    <w:rsid w:val="0072744F"/>
    <w:rsid w:val="007276B4"/>
    <w:rsid w:val="00727AC3"/>
    <w:rsid w:val="00727E39"/>
    <w:rsid w:val="007300DF"/>
    <w:rsid w:val="007305FC"/>
    <w:rsid w:val="00730657"/>
    <w:rsid w:val="00730CF3"/>
    <w:rsid w:val="00731388"/>
    <w:rsid w:val="0073157C"/>
    <w:rsid w:val="0073172D"/>
    <w:rsid w:val="0073195A"/>
    <w:rsid w:val="00731B32"/>
    <w:rsid w:val="00732043"/>
    <w:rsid w:val="0073251B"/>
    <w:rsid w:val="00732619"/>
    <w:rsid w:val="00732DDE"/>
    <w:rsid w:val="00732F42"/>
    <w:rsid w:val="0073339C"/>
    <w:rsid w:val="0073375A"/>
    <w:rsid w:val="00733A1D"/>
    <w:rsid w:val="00733DA4"/>
    <w:rsid w:val="00734570"/>
    <w:rsid w:val="007346C3"/>
    <w:rsid w:val="0073497A"/>
    <w:rsid w:val="00734B11"/>
    <w:rsid w:val="00734E8B"/>
    <w:rsid w:val="007351EE"/>
    <w:rsid w:val="00735652"/>
    <w:rsid w:val="00735AED"/>
    <w:rsid w:val="00735BCC"/>
    <w:rsid w:val="00735C54"/>
    <w:rsid w:val="00735F46"/>
    <w:rsid w:val="00735FB0"/>
    <w:rsid w:val="007362E7"/>
    <w:rsid w:val="00736821"/>
    <w:rsid w:val="00736828"/>
    <w:rsid w:val="00736FBE"/>
    <w:rsid w:val="007374E2"/>
    <w:rsid w:val="00737659"/>
    <w:rsid w:val="00737716"/>
    <w:rsid w:val="007379BA"/>
    <w:rsid w:val="00740292"/>
    <w:rsid w:val="0074032D"/>
    <w:rsid w:val="00740D5A"/>
    <w:rsid w:val="007414F6"/>
    <w:rsid w:val="007415F9"/>
    <w:rsid w:val="0074162F"/>
    <w:rsid w:val="00741818"/>
    <w:rsid w:val="00741B03"/>
    <w:rsid w:val="00741B15"/>
    <w:rsid w:val="0074227E"/>
    <w:rsid w:val="0074250E"/>
    <w:rsid w:val="00742764"/>
    <w:rsid w:val="00742A3E"/>
    <w:rsid w:val="0074321D"/>
    <w:rsid w:val="007436D9"/>
    <w:rsid w:val="00743817"/>
    <w:rsid w:val="00743CD3"/>
    <w:rsid w:val="00743E25"/>
    <w:rsid w:val="007442E5"/>
    <w:rsid w:val="0074436A"/>
    <w:rsid w:val="007448C8"/>
    <w:rsid w:val="00744BC4"/>
    <w:rsid w:val="00744EDC"/>
    <w:rsid w:val="00744F3B"/>
    <w:rsid w:val="0074502E"/>
    <w:rsid w:val="00745056"/>
    <w:rsid w:val="007451AD"/>
    <w:rsid w:val="00745C9C"/>
    <w:rsid w:val="00745E64"/>
    <w:rsid w:val="0074651E"/>
    <w:rsid w:val="007467E2"/>
    <w:rsid w:val="00746A60"/>
    <w:rsid w:val="007471F4"/>
    <w:rsid w:val="007471FE"/>
    <w:rsid w:val="007473F4"/>
    <w:rsid w:val="00747504"/>
    <w:rsid w:val="007476AF"/>
    <w:rsid w:val="00747924"/>
    <w:rsid w:val="00747AC8"/>
    <w:rsid w:val="00747C64"/>
    <w:rsid w:val="0075034D"/>
    <w:rsid w:val="00750520"/>
    <w:rsid w:val="007505E9"/>
    <w:rsid w:val="00750B00"/>
    <w:rsid w:val="00750C94"/>
    <w:rsid w:val="00750CC3"/>
    <w:rsid w:val="00750DBC"/>
    <w:rsid w:val="007510D7"/>
    <w:rsid w:val="00751B2C"/>
    <w:rsid w:val="0075230D"/>
    <w:rsid w:val="00752523"/>
    <w:rsid w:val="00752A14"/>
    <w:rsid w:val="00752A43"/>
    <w:rsid w:val="00753046"/>
    <w:rsid w:val="007531B1"/>
    <w:rsid w:val="0075325E"/>
    <w:rsid w:val="00753435"/>
    <w:rsid w:val="00753716"/>
    <w:rsid w:val="0075375F"/>
    <w:rsid w:val="00753CFC"/>
    <w:rsid w:val="00753DF7"/>
    <w:rsid w:val="00754072"/>
    <w:rsid w:val="00754487"/>
    <w:rsid w:val="007546A4"/>
    <w:rsid w:val="00754B60"/>
    <w:rsid w:val="00754D90"/>
    <w:rsid w:val="00755487"/>
    <w:rsid w:val="00755656"/>
    <w:rsid w:val="007559D7"/>
    <w:rsid w:val="00755BAA"/>
    <w:rsid w:val="00755BEE"/>
    <w:rsid w:val="00755C55"/>
    <w:rsid w:val="00755D20"/>
    <w:rsid w:val="0075662B"/>
    <w:rsid w:val="00756DDA"/>
    <w:rsid w:val="0075736F"/>
    <w:rsid w:val="007574F6"/>
    <w:rsid w:val="007575FD"/>
    <w:rsid w:val="00757796"/>
    <w:rsid w:val="00757973"/>
    <w:rsid w:val="00757C79"/>
    <w:rsid w:val="00757CE8"/>
    <w:rsid w:val="0076041C"/>
    <w:rsid w:val="00760628"/>
    <w:rsid w:val="00760A1A"/>
    <w:rsid w:val="007611F1"/>
    <w:rsid w:val="00761C90"/>
    <w:rsid w:val="00761FAF"/>
    <w:rsid w:val="00762215"/>
    <w:rsid w:val="00762372"/>
    <w:rsid w:val="00763235"/>
    <w:rsid w:val="0076349A"/>
    <w:rsid w:val="0076357D"/>
    <w:rsid w:val="00763760"/>
    <w:rsid w:val="00763AA1"/>
    <w:rsid w:val="00763D7F"/>
    <w:rsid w:val="00763DA7"/>
    <w:rsid w:val="0076435E"/>
    <w:rsid w:val="007645A0"/>
    <w:rsid w:val="00764C3D"/>
    <w:rsid w:val="00764FA1"/>
    <w:rsid w:val="007653BF"/>
    <w:rsid w:val="00765407"/>
    <w:rsid w:val="0076565E"/>
    <w:rsid w:val="0076602D"/>
    <w:rsid w:val="0076612C"/>
    <w:rsid w:val="007664AD"/>
    <w:rsid w:val="007665EE"/>
    <w:rsid w:val="00766782"/>
    <w:rsid w:val="0076697C"/>
    <w:rsid w:val="00766D74"/>
    <w:rsid w:val="0076702F"/>
    <w:rsid w:val="00767430"/>
    <w:rsid w:val="00767A44"/>
    <w:rsid w:val="00767A76"/>
    <w:rsid w:val="00767EA2"/>
    <w:rsid w:val="007702E8"/>
    <w:rsid w:val="00770369"/>
    <w:rsid w:val="007707BB"/>
    <w:rsid w:val="00770843"/>
    <w:rsid w:val="007716F6"/>
    <w:rsid w:val="00771AEA"/>
    <w:rsid w:val="00771D9D"/>
    <w:rsid w:val="00771DD7"/>
    <w:rsid w:val="00772634"/>
    <w:rsid w:val="0077274B"/>
    <w:rsid w:val="007733AC"/>
    <w:rsid w:val="00773A85"/>
    <w:rsid w:val="00773ACC"/>
    <w:rsid w:val="00773B70"/>
    <w:rsid w:val="00773E84"/>
    <w:rsid w:val="00774217"/>
    <w:rsid w:val="00774439"/>
    <w:rsid w:val="00774520"/>
    <w:rsid w:val="007747D0"/>
    <w:rsid w:val="00774802"/>
    <w:rsid w:val="00774E34"/>
    <w:rsid w:val="00774EC1"/>
    <w:rsid w:val="007752CD"/>
    <w:rsid w:val="00775332"/>
    <w:rsid w:val="00775D85"/>
    <w:rsid w:val="00775DBF"/>
    <w:rsid w:val="007760B2"/>
    <w:rsid w:val="0077681C"/>
    <w:rsid w:val="0077710E"/>
    <w:rsid w:val="007773F7"/>
    <w:rsid w:val="00777780"/>
    <w:rsid w:val="007777C9"/>
    <w:rsid w:val="007803E6"/>
    <w:rsid w:val="00780555"/>
    <w:rsid w:val="00780771"/>
    <w:rsid w:val="00780AFA"/>
    <w:rsid w:val="00780BAA"/>
    <w:rsid w:val="00780D18"/>
    <w:rsid w:val="0078137A"/>
    <w:rsid w:val="00781A43"/>
    <w:rsid w:val="007820CF"/>
    <w:rsid w:val="007822EF"/>
    <w:rsid w:val="0078236E"/>
    <w:rsid w:val="007826D2"/>
    <w:rsid w:val="00782D21"/>
    <w:rsid w:val="00782DDA"/>
    <w:rsid w:val="007833A4"/>
    <w:rsid w:val="007833B7"/>
    <w:rsid w:val="007834A1"/>
    <w:rsid w:val="00783524"/>
    <w:rsid w:val="007837D2"/>
    <w:rsid w:val="0078388C"/>
    <w:rsid w:val="00783C71"/>
    <w:rsid w:val="00783CBA"/>
    <w:rsid w:val="00784026"/>
    <w:rsid w:val="007841E0"/>
    <w:rsid w:val="0078458E"/>
    <w:rsid w:val="007845EA"/>
    <w:rsid w:val="00784615"/>
    <w:rsid w:val="0078474A"/>
    <w:rsid w:val="007848E2"/>
    <w:rsid w:val="00784A73"/>
    <w:rsid w:val="00784AC5"/>
    <w:rsid w:val="00784ACB"/>
    <w:rsid w:val="00784DAF"/>
    <w:rsid w:val="007853E3"/>
    <w:rsid w:val="00785447"/>
    <w:rsid w:val="00785526"/>
    <w:rsid w:val="00785687"/>
    <w:rsid w:val="0078595D"/>
    <w:rsid w:val="00785E92"/>
    <w:rsid w:val="00786174"/>
    <w:rsid w:val="007861D1"/>
    <w:rsid w:val="0078621C"/>
    <w:rsid w:val="00786279"/>
    <w:rsid w:val="0078689F"/>
    <w:rsid w:val="00786F29"/>
    <w:rsid w:val="00786F8B"/>
    <w:rsid w:val="00787605"/>
    <w:rsid w:val="0078793B"/>
    <w:rsid w:val="00787D55"/>
    <w:rsid w:val="00787D91"/>
    <w:rsid w:val="00790071"/>
    <w:rsid w:val="007900DC"/>
    <w:rsid w:val="0079016C"/>
    <w:rsid w:val="0079062A"/>
    <w:rsid w:val="0079077B"/>
    <w:rsid w:val="007908EF"/>
    <w:rsid w:val="00790958"/>
    <w:rsid w:val="007909BB"/>
    <w:rsid w:val="00790CB5"/>
    <w:rsid w:val="00790CD9"/>
    <w:rsid w:val="00790D21"/>
    <w:rsid w:val="00790F8D"/>
    <w:rsid w:val="007910A2"/>
    <w:rsid w:val="0079124F"/>
    <w:rsid w:val="007914C1"/>
    <w:rsid w:val="00791A42"/>
    <w:rsid w:val="00791ADA"/>
    <w:rsid w:val="00791C65"/>
    <w:rsid w:val="00792399"/>
    <w:rsid w:val="00792678"/>
    <w:rsid w:val="007929CF"/>
    <w:rsid w:val="007931FB"/>
    <w:rsid w:val="0079349A"/>
    <w:rsid w:val="007938E5"/>
    <w:rsid w:val="00793BE0"/>
    <w:rsid w:val="007947C1"/>
    <w:rsid w:val="00794CCA"/>
    <w:rsid w:val="00794E2D"/>
    <w:rsid w:val="007956EE"/>
    <w:rsid w:val="00795B5F"/>
    <w:rsid w:val="00795CB1"/>
    <w:rsid w:val="00795CE3"/>
    <w:rsid w:val="00795DB4"/>
    <w:rsid w:val="0079649E"/>
    <w:rsid w:val="00796C6F"/>
    <w:rsid w:val="0079700B"/>
    <w:rsid w:val="00797154"/>
    <w:rsid w:val="007971A8"/>
    <w:rsid w:val="00797E6C"/>
    <w:rsid w:val="007A009E"/>
    <w:rsid w:val="007A0106"/>
    <w:rsid w:val="007A0B00"/>
    <w:rsid w:val="007A103A"/>
    <w:rsid w:val="007A1094"/>
    <w:rsid w:val="007A1658"/>
    <w:rsid w:val="007A1A52"/>
    <w:rsid w:val="007A20B3"/>
    <w:rsid w:val="007A21A3"/>
    <w:rsid w:val="007A22BA"/>
    <w:rsid w:val="007A22E0"/>
    <w:rsid w:val="007A2C5E"/>
    <w:rsid w:val="007A354D"/>
    <w:rsid w:val="007A3DF9"/>
    <w:rsid w:val="007A421F"/>
    <w:rsid w:val="007A4290"/>
    <w:rsid w:val="007A4755"/>
    <w:rsid w:val="007A4AC4"/>
    <w:rsid w:val="007A4AC9"/>
    <w:rsid w:val="007A4AEA"/>
    <w:rsid w:val="007A4E5E"/>
    <w:rsid w:val="007A4F51"/>
    <w:rsid w:val="007A5673"/>
    <w:rsid w:val="007A58A0"/>
    <w:rsid w:val="007A5AB7"/>
    <w:rsid w:val="007A5B53"/>
    <w:rsid w:val="007A5C7A"/>
    <w:rsid w:val="007A622F"/>
    <w:rsid w:val="007A6322"/>
    <w:rsid w:val="007A63C4"/>
    <w:rsid w:val="007A6620"/>
    <w:rsid w:val="007A6724"/>
    <w:rsid w:val="007A6E0F"/>
    <w:rsid w:val="007A6FA3"/>
    <w:rsid w:val="007A6FD8"/>
    <w:rsid w:val="007A7057"/>
    <w:rsid w:val="007A70C1"/>
    <w:rsid w:val="007A7574"/>
    <w:rsid w:val="007A7591"/>
    <w:rsid w:val="007A7798"/>
    <w:rsid w:val="007A7916"/>
    <w:rsid w:val="007A7DDA"/>
    <w:rsid w:val="007A7FC0"/>
    <w:rsid w:val="007B00BE"/>
    <w:rsid w:val="007B0744"/>
    <w:rsid w:val="007B0CFE"/>
    <w:rsid w:val="007B0D89"/>
    <w:rsid w:val="007B0E88"/>
    <w:rsid w:val="007B12CB"/>
    <w:rsid w:val="007B17B3"/>
    <w:rsid w:val="007B1EF2"/>
    <w:rsid w:val="007B227F"/>
    <w:rsid w:val="007B2332"/>
    <w:rsid w:val="007B2D37"/>
    <w:rsid w:val="007B30B4"/>
    <w:rsid w:val="007B3309"/>
    <w:rsid w:val="007B3465"/>
    <w:rsid w:val="007B34AF"/>
    <w:rsid w:val="007B37D5"/>
    <w:rsid w:val="007B3BDA"/>
    <w:rsid w:val="007B3E49"/>
    <w:rsid w:val="007B48E3"/>
    <w:rsid w:val="007B4A56"/>
    <w:rsid w:val="007B4C3D"/>
    <w:rsid w:val="007B4D47"/>
    <w:rsid w:val="007B4FBD"/>
    <w:rsid w:val="007B5200"/>
    <w:rsid w:val="007B5411"/>
    <w:rsid w:val="007B54D4"/>
    <w:rsid w:val="007B54F3"/>
    <w:rsid w:val="007B55B6"/>
    <w:rsid w:val="007B596E"/>
    <w:rsid w:val="007B5A79"/>
    <w:rsid w:val="007B6116"/>
    <w:rsid w:val="007B6552"/>
    <w:rsid w:val="007B68B4"/>
    <w:rsid w:val="007B69BE"/>
    <w:rsid w:val="007B6C7E"/>
    <w:rsid w:val="007B7776"/>
    <w:rsid w:val="007B7A1B"/>
    <w:rsid w:val="007B7FB1"/>
    <w:rsid w:val="007C0466"/>
    <w:rsid w:val="007C0B1D"/>
    <w:rsid w:val="007C102D"/>
    <w:rsid w:val="007C10F8"/>
    <w:rsid w:val="007C1192"/>
    <w:rsid w:val="007C1529"/>
    <w:rsid w:val="007C17C0"/>
    <w:rsid w:val="007C19D4"/>
    <w:rsid w:val="007C1BF3"/>
    <w:rsid w:val="007C1CDF"/>
    <w:rsid w:val="007C2522"/>
    <w:rsid w:val="007C2525"/>
    <w:rsid w:val="007C2888"/>
    <w:rsid w:val="007C2B5B"/>
    <w:rsid w:val="007C330C"/>
    <w:rsid w:val="007C35E9"/>
    <w:rsid w:val="007C36B6"/>
    <w:rsid w:val="007C3E08"/>
    <w:rsid w:val="007C3F2F"/>
    <w:rsid w:val="007C4E1C"/>
    <w:rsid w:val="007C4F15"/>
    <w:rsid w:val="007C5DB1"/>
    <w:rsid w:val="007C603B"/>
    <w:rsid w:val="007C6247"/>
    <w:rsid w:val="007C6F31"/>
    <w:rsid w:val="007C6F9C"/>
    <w:rsid w:val="007C7438"/>
    <w:rsid w:val="007C7A7B"/>
    <w:rsid w:val="007C7FD2"/>
    <w:rsid w:val="007D0EE0"/>
    <w:rsid w:val="007D110E"/>
    <w:rsid w:val="007D136F"/>
    <w:rsid w:val="007D15F6"/>
    <w:rsid w:val="007D18AD"/>
    <w:rsid w:val="007D1953"/>
    <w:rsid w:val="007D19A1"/>
    <w:rsid w:val="007D1BE6"/>
    <w:rsid w:val="007D222E"/>
    <w:rsid w:val="007D24B1"/>
    <w:rsid w:val="007D28DF"/>
    <w:rsid w:val="007D2D59"/>
    <w:rsid w:val="007D2EE5"/>
    <w:rsid w:val="007D31C2"/>
    <w:rsid w:val="007D362B"/>
    <w:rsid w:val="007D3846"/>
    <w:rsid w:val="007D385B"/>
    <w:rsid w:val="007D3F5E"/>
    <w:rsid w:val="007D410F"/>
    <w:rsid w:val="007D4436"/>
    <w:rsid w:val="007D44C5"/>
    <w:rsid w:val="007D4617"/>
    <w:rsid w:val="007D49A1"/>
    <w:rsid w:val="007D4BC1"/>
    <w:rsid w:val="007D4E59"/>
    <w:rsid w:val="007D4E79"/>
    <w:rsid w:val="007D4E86"/>
    <w:rsid w:val="007D5043"/>
    <w:rsid w:val="007D54CB"/>
    <w:rsid w:val="007D5B75"/>
    <w:rsid w:val="007D5C35"/>
    <w:rsid w:val="007D5E6F"/>
    <w:rsid w:val="007D5F60"/>
    <w:rsid w:val="007D61AB"/>
    <w:rsid w:val="007D66A3"/>
    <w:rsid w:val="007D6EF5"/>
    <w:rsid w:val="007D7265"/>
    <w:rsid w:val="007D750E"/>
    <w:rsid w:val="007D7712"/>
    <w:rsid w:val="007D7D48"/>
    <w:rsid w:val="007E01EC"/>
    <w:rsid w:val="007E03A6"/>
    <w:rsid w:val="007E075F"/>
    <w:rsid w:val="007E08BE"/>
    <w:rsid w:val="007E08C2"/>
    <w:rsid w:val="007E0D5B"/>
    <w:rsid w:val="007E0FBA"/>
    <w:rsid w:val="007E11A8"/>
    <w:rsid w:val="007E1489"/>
    <w:rsid w:val="007E16C2"/>
    <w:rsid w:val="007E1735"/>
    <w:rsid w:val="007E1814"/>
    <w:rsid w:val="007E1995"/>
    <w:rsid w:val="007E1E37"/>
    <w:rsid w:val="007E2427"/>
    <w:rsid w:val="007E2870"/>
    <w:rsid w:val="007E2BB8"/>
    <w:rsid w:val="007E2E29"/>
    <w:rsid w:val="007E3258"/>
    <w:rsid w:val="007E350C"/>
    <w:rsid w:val="007E37CD"/>
    <w:rsid w:val="007E3800"/>
    <w:rsid w:val="007E39A6"/>
    <w:rsid w:val="007E3A9B"/>
    <w:rsid w:val="007E3D87"/>
    <w:rsid w:val="007E3DCA"/>
    <w:rsid w:val="007E3FD1"/>
    <w:rsid w:val="007E4010"/>
    <w:rsid w:val="007E4038"/>
    <w:rsid w:val="007E4512"/>
    <w:rsid w:val="007E4677"/>
    <w:rsid w:val="007E4C6E"/>
    <w:rsid w:val="007E4DA3"/>
    <w:rsid w:val="007E4DC9"/>
    <w:rsid w:val="007E4FC5"/>
    <w:rsid w:val="007E5226"/>
    <w:rsid w:val="007E53B3"/>
    <w:rsid w:val="007E5424"/>
    <w:rsid w:val="007E5AE1"/>
    <w:rsid w:val="007E5F1D"/>
    <w:rsid w:val="007E63D5"/>
    <w:rsid w:val="007E6511"/>
    <w:rsid w:val="007E6607"/>
    <w:rsid w:val="007E66A3"/>
    <w:rsid w:val="007E68D8"/>
    <w:rsid w:val="007E6DEA"/>
    <w:rsid w:val="007E72A2"/>
    <w:rsid w:val="007E7A0F"/>
    <w:rsid w:val="007E7A90"/>
    <w:rsid w:val="007E7A9E"/>
    <w:rsid w:val="007E7D9C"/>
    <w:rsid w:val="007E7EBF"/>
    <w:rsid w:val="007F0897"/>
    <w:rsid w:val="007F0B63"/>
    <w:rsid w:val="007F127C"/>
    <w:rsid w:val="007F1517"/>
    <w:rsid w:val="007F16FE"/>
    <w:rsid w:val="007F177B"/>
    <w:rsid w:val="007F1F87"/>
    <w:rsid w:val="007F1FF0"/>
    <w:rsid w:val="007F2159"/>
    <w:rsid w:val="007F275B"/>
    <w:rsid w:val="007F2D34"/>
    <w:rsid w:val="007F38A0"/>
    <w:rsid w:val="007F39A8"/>
    <w:rsid w:val="007F3B5F"/>
    <w:rsid w:val="007F3EE4"/>
    <w:rsid w:val="007F3F07"/>
    <w:rsid w:val="007F4AFA"/>
    <w:rsid w:val="007F531F"/>
    <w:rsid w:val="007F5425"/>
    <w:rsid w:val="007F555A"/>
    <w:rsid w:val="007F56A2"/>
    <w:rsid w:val="007F5F5D"/>
    <w:rsid w:val="007F6455"/>
    <w:rsid w:val="007F651F"/>
    <w:rsid w:val="007F67D7"/>
    <w:rsid w:val="007F6BAC"/>
    <w:rsid w:val="007F6BF3"/>
    <w:rsid w:val="007F6D4B"/>
    <w:rsid w:val="007F6ECC"/>
    <w:rsid w:val="007F71CF"/>
    <w:rsid w:val="007F73CC"/>
    <w:rsid w:val="007F7A2A"/>
    <w:rsid w:val="007F7BD1"/>
    <w:rsid w:val="007F7C8F"/>
    <w:rsid w:val="007F7DD9"/>
    <w:rsid w:val="007F7E1C"/>
    <w:rsid w:val="0080022B"/>
    <w:rsid w:val="00800855"/>
    <w:rsid w:val="00800A24"/>
    <w:rsid w:val="00800C70"/>
    <w:rsid w:val="00801053"/>
    <w:rsid w:val="00801148"/>
    <w:rsid w:val="008011A2"/>
    <w:rsid w:val="0080121D"/>
    <w:rsid w:val="0080156B"/>
    <w:rsid w:val="00801736"/>
    <w:rsid w:val="00801C58"/>
    <w:rsid w:val="00801F8C"/>
    <w:rsid w:val="00802074"/>
    <w:rsid w:val="00802D16"/>
    <w:rsid w:val="00803239"/>
    <w:rsid w:val="008039E0"/>
    <w:rsid w:val="00803A36"/>
    <w:rsid w:val="00803A69"/>
    <w:rsid w:val="00803C9E"/>
    <w:rsid w:val="00804110"/>
    <w:rsid w:val="00804462"/>
    <w:rsid w:val="00804998"/>
    <w:rsid w:val="00804A73"/>
    <w:rsid w:val="00804D81"/>
    <w:rsid w:val="00804DAB"/>
    <w:rsid w:val="00805DF4"/>
    <w:rsid w:val="00805EB3"/>
    <w:rsid w:val="008060F4"/>
    <w:rsid w:val="0080612C"/>
    <w:rsid w:val="008069C2"/>
    <w:rsid w:val="00806CFD"/>
    <w:rsid w:val="00806DED"/>
    <w:rsid w:val="0080735A"/>
    <w:rsid w:val="00807528"/>
    <w:rsid w:val="008075F6"/>
    <w:rsid w:val="00807B02"/>
    <w:rsid w:val="00807C38"/>
    <w:rsid w:val="00807C3F"/>
    <w:rsid w:val="008102A4"/>
    <w:rsid w:val="008105C4"/>
    <w:rsid w:val="00810658"/>
    <w:rsid w:val="00810AF6"/>
    <w:rsid w:val="0081102B"/>
    <w:rsid w:val="00811132"/>
    <w:rsid w:val="0081116B"/>
    <w:rsid w:val="008111FD"/>
    <w:rsid w:val="00811403"/>
    <w:rsid w:val="008115D4"/>
    <w:rsid w:val="0081164C"/>
    <w:rsid w:val="0081189D"/>
    <w:rsid w:val="00811B18"/>
    <w:rsid w:val="00811DDC"/>
    <w:rsid w:val="00811FD8"/>
    <w:rsid w:val="008121E0"/>
    <w:rsid w:val="00812352"/>
    <w:rsid w:val="00812609"/>
    <w:rsid w:val="008127AB"/>
    <w:rsid w:val="0081296D"/>
    <w:rsid w:val="00812AD7"/>
    <w:rsid w:val="00812B9E"/>
    <w:rsid w:val="00812D57"/>
    <w:rsid w:val="0081326B"/>
    <w:rsid w:val="008132FC"/>
    <w:rsid w:val="008136F9"/>
    <w:rsid w:val="00813755"/>
    <w:rsid w:val="00813C6F"/>
    <w:rsid w:val="00813DC5"/>
    <w:rsid w:val="00814A1E"/>
    <w:rsid w:val="00814CF7"/>
    <w:rsid w:val="008151CD"/>
    <w:rsid w:val="00815444"/>
    <w:rsid w:val="008154B3"/>
    <w:rsid w:val="00815614"/>
    <w:rsid w:val="008156CE"/>
    <w:rsid w:val="008164EE"/>
    <w:rsid w:val="00816BD9"/>
    <w:rsid w:val="00816DD4"/>
    <w:rsid w:val="00816EA1"/>
    <w:rsid w:val="00817031"/>
    <w:rsid w:val="00817565"/>
    <w:rsid w:val="00817912"/>
    <w:rsid w:val="00817953"/>
    <w:rsid w:val="00817980"/>
    <w:rsid w:val="008200D4"/>
    <w:rsid w:val="0082011D"/>
    <w:rsid w:val="0082054D"/>
    <w:rsid w:val="008206C8"/>
    <w:rsid w:val="008209BE"/>
    <w:rsid w:val="00820B66"/>
    <w:rsid w:val="00820CCD"/>
    <w:rsid w:val="00820FB0"/>
    <w:rsid w:val="00820FD8"/>
    <w:rsid w:val="00821579"/>
    <w:rsid w:val="00821826"/>
    <w:rsid w:val="00821A41"/>
    <w:rsid w:val="00821EDB"/>
    <w:rsid w:val="00821F8D"/>
    <w:rsid w:val="008224E9"/>
    <w:rsid w:val="00822D8A"/>
    <w:rsid w:val="00823106"/>
    <w:rsid w:val="0082392F"/>
    <w:rsid w:val="00823CF8"/>
    <w:rsid w:val="00823F1D"/>
    <w:rsid w:val="00823F59"/>
    <w:rsid w:val="008244E2"/>
    <w:rsid w:val="008246E0"/>
    <w:rsid w:val="00824DDB"/>
    <w:rsid w:val="00824E06"/>
    <w:rsid w:val="00824F5A"/>
    <w:rsid w:val="00825116"/>
    <w:rsid w:val="00825163"/>
    <w:rsid w:val="0082536C"/>
    <w:rsid w:val="00825390"/>
    <w:rsid w:val="00825629"/>
    <w:rsid w:val="00825773"/>
    <w:rsid w:val="00825778"/>
    <w:rsid w:val="008258B6"/>
    <w:rsid w:val="00825980"/>
    <w:rsid w:val="00825A3F"/>
    <w:rsid w:val="00825C4B"/>
    <w:rsid w:val="008266D8"/>
    <w:rsid w:val="00826AC4"/>
    <w:rsid w:val="00826D82"/>
    <w:rsid w:val="008273BF"/>
    <w:rsid w:val="008276AC"/>
    <w:rsid w:val="008279B2"/>
    <w:rsid w:val="00827B4B"/>
    <w:rsid w:val="00827CF0"/>
    <w:rsid w:val="00827FBE"/>
    <w:rsid w:val="00830A00"/>
    <w:rsid w:val="00830B7A"/>
    <w:rsid w:val="00830E04"/>
    <w:rsid w:val="00831288"/>
    <w:rsid w:val="0083149D"/>
    <w:rsid w:val="00831575"/>
    <w:rsid w:val="00831A57"/>
    <w:rsid w:val="00831E7B"/>
    <w:rsid w:val="008321B7"/>
    <w:rsid w:val="0083225B"/>
    <w:rsid w:val="008328DB"/>
    <w:rsid w:val="00832C00"/>
    <w:rsid w:val="00832EF3"/>
    <w:rsid w:val="00833402"/>
    <w:rsid w:val="00833525"/>
    <w:rsid w:val="0083417A"/>
    <w:rsid w:val="00834607"/>
    <w:rsid w:val="0083460E"/>
    <w:rsid w:val="008346B0"/>
    <w:rsid w:val="008348B4"/>
    <w:rsid w:val="008348E1"/>
    <w:rsid w:val="00834F64"/>
    <w:rsid w:val="0083520C"/>
    <w:rsid w:val="00835509"/>
    <w:rsid w:val="00835789"/>
    <w:rsid w:val="008359B5"/>
    <w:rsid w:val="00835D80"/>
    <w:rsid w:val="00835F69"/>
    <w:rsid w:val="008361AD"/>
    <w:rsid w:val="008364CB"/>
    <w:rsid w:val="008368C8"/>
    <w:rsid w:val="00836B9F"/>
    <w:rsid w:val="00837012"/>
    <w:rsid w:val="0083739B"/>
    <w:rsid w:val="0083747E"/>
    <w:rsid w:val="00837617"/>
    <w:rsid w:val="00837D46"/>
    <w:rsid w:val="008401CE"/>
    <w:rsid w:val="0084049B"/>
    <w:rsid w:val="00840F48"/>
    <w:rsid w:val="008410B2"/>
    <w:rsid w:val="008418EC"/>
    <w:rsid w:val="00842042"/>
    <w:rsid w:val="0084250D"/>
    <w:rsid w:val="0084252D"/>
    <w:rsid w:val="008429AE"/>
    <w:rsid w:val="00842AF1"/>
    <w:rsid w:val="00842C32"/>
    <w:rsid w:val="00842EF1"/>
    <w:rsid w:val="00842F33"/>
    <w:rsid w:val="008431C8"/>
    <w:rsid w:val="008438CD"/>
    <w:rsid w:val="00843CFD"/>
    <w:rsid w:val="00843DB2"/>
    <w:rsid w:val="00844305"/>
    <w:rsid w:val="0084430A"/>
    <w:rsid w:val="0084432B"/>
    <w:rsid w:val="008446EC"/>
    <w:rsid w:val="0084512A"/>
    <w:rsid w:val="008453B6"/>
    <w:rsid w:val="008456CC"/>
    <w:rsid w:val="008457D3"/>
    <w:rsid w:val="0084591F"/>
    <w:rsid w:val="00845B48"/>
    <w:rsid w:val="00846005"/>
    <w:rsid w:val="0084651C"/>
    <w:rsid w:val="0084674F"/>
    <w:rsid w:val="0084696E"/>
    <w:rsid w:val="00846A7C"/>
    <w:rsid w:val="00846AE2"/>
    <w:rsid w:val="00846E18"/>
    <w:rsid w:val="00847043"/>
    <w:rsid w:val="008470B6"/>
    <w:rsid w:val="008473C3"/>
    <w:rsid w:val="0084758C"/>
    <w:rsid w:val="008476EE"/>
    <w:rsid w:val="008479BD"/>
    <w:rsid w:val="00847AF1"/>
    <w:rsid w:val="00847B93"/>
    <w:rsid w:val="00847F09"/>
    <w:rsid w:val="008501E5"/>
    <w:rsid w:val="00850671"/>
    <w:rsid w:val="00850E5B"/>
    <w:rsid w:val="00850E68"/>
    <w:rsid w:val="00850F0C"/>
    <w:rsid w:val="00851122"/>
    <w:rsid w:val="00851398"/>
    <w:rsid w:val="008514D2"/>
    <w:rsid w:val="0085189E"/>
    <w:rsid w:val="008519FC"/>
    <w:rsid w:val="00851B47"/>
    <w:rsid w:val="00851CB8"/>
    <w:rsid w:val="00851E0F"/>
    <w:rsid w:val="00852247"/>
    <w:rsid w:val="008522F7"/>
    <w:rsid w:val="0085252F"/>
    <w:rsid w:val="00852884"/>
    <w:rsid w:val="008529FD"/>
    <w:rsid w:val="008533E7"/>
    <w:rsid w:val="00853B37"/>
    <w:rsid w:val="00854220"/>
    <w:rsid w:val="00854253"/>
    <w:rsid w:val="008543B9"/>
    <w:rsid w:val="0085474A"/>
    <w:rsid w:val="00854789"/>
    <w:rsid w:val="00854809"/>
    <w:rsid w:val="00854CE2"/>
    <w:rsid w:val="008554A4"/>
    <w:rsid w:val="00855590"/>
    <w:rsid w:val="008556BF"/>
    <w:rsid w:val="008559AD"/>
    <w:rsid w:val="00855AAC"/>
    <w:rsid w:val="00855EB2"/>
    <w:rsid w:val="00856180"/>
    <w:rsid w:val="0085625E"/>
    <w:rsid w:val="008563B2"/>
    <w:rsid w:val="008565DF"/>
    <w:rsid w:val="00856796"/>
    <w:rsid w:val="00857EBF"/>
    <w:rsid w:val="00857ED2"/>
    <w:rsid w:val="008600F5"/>
    <w:rsid w:val="0086046C"/>
    <w:rsid w:val="008606DE"/>
    <w:rsid w:val="00860822"/>
    <w:rsid w:val="0086093D"/>
    <w:rsid w:val="008609FA"/>
    <w:rsid w:val="00860D99"/>
    <w:rsid w:val="00861D65"/>
    <w:rsid w:val="008621B9"/>
    <w:rsid w:val="008624A7"/>
    <w:rsid w:val="0086273F"/>
    <w:rsid w:val="00862BB8"/>
    <w:rsid w:val="00862F93"/>
    <w:rsid w:val="00863257"/>
    <w:rsid w:val="00863545"/>
    <w:rsid w:val="008636E2"/>
    <w:rsid w:val="00863A3D"/>
    <w:rsid w:val="00863C31"/>
    <w:rsid w:val="00863CA2"/>
    <w:rsid w:val="00864224"/>
    <w:rsid w:val="0086547A"/>
    <w:rsid w:val="008658BE"/>
    <w:rsid w:val="00866003"/>
    <w:rsid w:val="00866599"/>
    <w:rsid w:val="008666F6"/>
    <w:rsid w:val="00866970"/>
    <w:rsid w:val="00866CA7"/>
    <w:rsid w:val="00866E08"/>
    <w:rsid w:val="00866E28"/>
    <w:rsid w:val="00866F2A"/>
    <w:rsid w:val="0086716C"/>
    <w:rsid w:val="0086750E"/>
    <w:rsid w:val="008675ED"/>
    <w:rsid w:val="00867C61"/>
    <w:rsid w:val="00870723"/>
    <w:rsid w:val="0087085D"/>
    <w:rsid w:val="00870A47"/>
    <w:rsid w:val="00870C40"/>
    <w:rsid w:val="008719EA"/>
    <w:rsid w:val="00871AE0"/>
    <w:rsid w:val="00871C02"/>
    <w:rsid w:val="00871C9B"/>
    <w:rsid w:val="00871E6B"/>
    <w:rsid w:val="00871F65"/>
    <w:rsid w:val="008721C7"/>
    <w:rsid w:val="0087222F"/>
    <w:rsid w:val="008722AE"/>
    <w:rsid w:val="008728A2"/>
    <w:rsid w:val="00872C5D"/>
    <w:rsid w:val="00873275"/>
    <w:rsid w:val="008732D3"/>
    <w:rsid w:val="0087337B"/>
    <w:rsid w:val="008736DB"/>
    <w:rsid w:val="00873856"/>
    <w:rsid w:val="00873DA8"/>
    <w:rsid w:val="00873F9C"/>
    <w:rsid w:val="0087411A"/>
    <w:rsid w:val="00874258"/>
    <w:rsid w:val="00874411"/>
    <w:rsid w:val="00874421"/>
    <w:rsid w:val="008751A3"/>
    <w:rsid w:val="00875211"/>
    <w:rsid w:val="00875239"/>
    <w:rsid w:val="00875273"/>
    <w:rsid w:val="008752D9"/>
    <w:rsid w:val="008754F4"/>
    <w:rsid w:val="00875C48"/>
    <w:rsid w:val="00875DED"/>
    <w:rsid w:val="00875EFD"/>
    <w:rsid w:val="008763D3"/>
    <w:rsid w:val="00876F68"/>
    <w:rsid w:val="008770F5"/>
    <w:rsid w:val="00877C10"/>
    <w:rsid w:val="00877CE6"/>
    <w:rsid w:val="00877D87"/>
    <w:rsid w:val="00877EF1"/>
    <w:rsid w:val="00880035"/>
    <w:rsid w:val="00880366"/>
    <w:rsid w:val="00880B98"/>
    <w:rsid w:val="008812A9"/>
    <w:rsid w:val="0088154B"/>
    <w:rsid w:val="00881898"/>
    <w:rsid w:val="00881CE7"/>
    <w:rsid w:val="00882157"/>
    <w:rsid w:val="00882404"/>
    <w:rsid w:val="008824CD"/>
    <w:rsid w:val="00882534"/>
    <w:rsid w:val="00883058"/>
    <w:rsid w:val="00883135"/>
    <w:rsid w:val="00883398"/>
    <w:rsid w:val="0088346D"/>
    <w:rsid w:val="00883E11"/>
    <w:rsid w:val="00883EC4"/>
    <w:rsid w:val="00883FF1"/>
    <w:rsid w:val="0088436E"/>
    <w:rsid w:val="00884517"/>
    <w:rsid w:val="00884748"/>
    <w:rsid w:val="008848A3"/>
    <w:rsid w:val="00884E25"/>
    <w:rsid w:val="0088563C"/>
    <w:rsid w:val="008858F7"/>
    <w:rsid w:val="00885907"/>
    <w:rsid w:val="00885967"/>
    <w:rsid w:val="00885E7A"/>
    <w:rsid w:val="00885F3B"/>
    <w:rsid w:val="008860A9"/>
    <w:rsid w:val="008863BB"/>
    <w:rsid w:val="00886644"/>
    <w:rsid w:val="00886721"/>
    <w:rsid w:val="00886A0D"/>
    <w:rsid w:val="00886ACB"/>
    <w:rsid w:val="00886AEC"/>
    <w:rsid w:val="0088717F"/>
    <w:rsid w:val="00887228"/>
    <w:rsid w:val="008875B2"/>
    <w:rsid w:val="008879E8"/>
    <w:rsid w:val="00887E94"/>
    <w:rsid w:val="0089015D"/>
    <w:rsid w:val="008904D4"/>
    <w:rsid w:val="0089077F"/>
    <w:rsid w:val="00890797"/>
    <w:rsid w:val="00890821"/>
    <w:rsid w:val="008908D8"/>
    <w:rsid w:val="0089094B"/>
    <w:rsid w:val="00890F88"/>
    <w:rsid w:val="00891281"/>
    <w:rsid w:val="00891306"/>
    <w:rsid w:val="008915FD"/>
    <w:rsid w:val="00891835"/>
    <w:rsid w:val="00891BD5"/>
    <w:rsid w:val="0089226C"/>
    <w:rsid w:val="008924DD"/>
    <w:rsid w:val="00892529"/>
    <w:rsid w:val="008925AE"/>
    <w:rsid w:val="00892824"/>
    <w:rsid w:val="008928DD"/>
    <w:rsid w:val="008928FC"/>
    <w:rsid w:val="00892DD0"/>
    <w:rsid w:val="00892DE7"/>
    <w:rsid w:val="008933D8"/>
    <w:rsid w:val="008936BE"/>
    <w:rsid w:val="008939FD"/>
    <w:rsid w:val="00893B1B"/>
    <w:rsid w:val="00893B5B"/>
    <w:rsid w:val="00893D9C"/>
    <w:rsid w:val="00893F87"/>
    <w:rsid w:val="00893FC7"/>
    <w:rsid w:val="00894318"/>
    <w:rsid w:val="00894345"/>
    <w:rsid w:val="0089440A"/>
    <w:rsid w:val="008944DB"/>
    <w:rsid w:val="00894BFF"/>
    <w:rsid w:val="00894CEE"/>
    <w:rsid w:val="00894CF5"/>
    <w:rsid w:val="00894D79"/>
    <w:rsid w:val="00894DAA"/>
    <w:rsid w:val="00894EA0"/>
    <w:rsid w:val="00895442"/>
    <w:rsid w:val="008954CB"/>
    <w:rsid w:val="00895631"/>
    <w:rsid w:val="0089577B"/>
    <w:rsid w:val="00895F84"/>
    <w:rsid w:val="00895FE0"/>
    <w:rsid w:val="0089620B"/>
    <w:rsid w:val="00896E61"/>
    <w:rsid w:val="0089708C"/>
    <w:rsid w:val="008971E0"/>
    <w:rsid w:val="0089737C"/>
    <w:rsid w:val="008973A1"/>
    <w:rsid w:val="00897682"/>
    <w:rsid w:val="00897CE6"/>
    <w:rsid w:val="00897D91"/>
    <w:rsid w:val="008A0211"/>
    <w:rsid w:val="008A0381"/>
    <w:rsid w:val="008A05BE"/>
    <w:rsid w:val="008A06B5"/>
    <w:rsid w:val="008A09E8"/>
    <w:rsid w:val="008A0A0C"/>
    <w:rsid w:val="008A0D37"/>
    <w:rsid w:val="008A0EA2"/>
    <w:rsid w:val="008A0F8D"/>
    <w:rsid w:val="008A14BD"/>
    <w:rsid w:val="008A1BF2"/>
    <w:rsid w:val="008A1D2B"/>
    <w:rsid w:val="008A1E22"/>
    <w:rsid w:val="008A2046"/>
    <w:rsid w:val="008A3426"/>
    <w:rsid w:val="008A372F"/>
    <w:rsid w:val="008A3986"/>
    <w:rsid w:val="008A39EC"/>
    <w:rsid w:val="008A3B87"/>
    <w:rsid w:val="008A4074"/>
    <w:rsid w:val="008A43CD"/>
    <w:rsid w:val="008A443D"/>
    <w:rsid w:val="008A4A31"/>
    <w:rsid w:val="008A4AA9"/>
    <w:rsid w:val="008A4B31"/>
    <w:rsid w:val="008A4E5D"/>
    <w:rsid w:val="008A5007"/>
    <w:rsid w:val="008A56B1"/>
    <w:rsid w:val="008A5B83"/>
    <w:rsid w:val="008A5CF8"/>
    <w:rsid w:val="008A5E4B"/>
    <w:rsid w:val="008A6064"/>
    <w:rsid w:val="008A61AB"/>
    <w:rsid w:val="008A6429"/>
    <w:rsid w:val="008A6CE6"/>
    <w:rsid w:val="008A70D7"/>
    <w:rsid w:val="008A7419"/>
    <w:rsid w:val="008A778D"/>
    <w:rsid w:val="008A79BF"/>
    <w:rsid w:val="008A7A52"/>
    <w:rsid w:val="008A7E0A"/>
    <w:rsid w:val="008A7EE0"/>
    <w:rsid w:val="008A7F83"/>
    <w:rsid w:val="008B0152"/>
    <w:rsid w:val="008B0408"/>
    <w:rsid w:val="008B0BD3"/>
    <w:rsid w:val="008B1375"/>
    <w:rsid w:val="008B233A"/>
    <w:rsid w:val="008B248B"/>
    <w:rsid w:val="008B2499"/>
    <w:rsid w:val="008B2797"/>
    <w:rsid w:val="008B28C7"/>
    <w:rsid w:val="008B2E74"/>
    <w:rsid w:val="008B2F19"/>
    <w:rsid w:val="008B3210"/>
    <w:rsid w:val="008B344A"/>
    <w:rsid w:val="008B3749"/>
    <w:rsid w:val="008B394B"/>
    <w:rsid w:val="008B3D2C"/>
    <w:rsid w:val="008B3D87"/>
    <w:rsid w:val="008B4013"/>
    <w:rsid w:val="008B4A95"/>
    <w:rsid w:val="008B4FC4"/>
    <w:rsid w:val="008B5EFD"/>
    <w:rsid w:val="008B6936"/>
    <w:rsid w:val="008B6B4E"/>
    <w:rsid w:val="008B6C6B"/>
    <w:rsid w:val="008B6D15"/>
    <w:rsid w:val="008B6D6A"/>
    <w:rsid w:val="008B772F"/>
    <w:rsid w:val="008B782D"/>
    <w:rsid w:val="008B79DD"/>
    <w:rsid w:val="008B7B44"/>
    <w:rsid w:val="008C0093"/>
    <w:rsid w:val="008C009F"/>
    <w:rsid w:val="008C02C8"/>
    <w:rsid w:val="008C0345"/>
    <w:rsid w:val="008C0372"/>
    <w:rsid w:val="008C0BC8"/>
    <w:rsid w:val="008C0FDE"/>
    <w:rsid w:val="008C1145"/>
    <w:rsid w:val="008C1231"/>
    <w:rsid w:val="008C12F0"/>
    <w:rsid w:val="008C1904"/>
    <w:rsid w:val="008C1A62"/>
    <w:rsid w:val="008C2057"/>
    <w:rsid w:val="008C23DC"/>
    <w:rsid w:val="008C26BA"/>
    <w:rsid w:val="008C2727"/>
    <w:rsid w:val="008C28E2"/>
    <w:rsid w:val="008C3697"/>
    <w:rsid w:val="008C3801"/>
    <w:rsid w:val="008C398F"/>
    <w:rsid w:val="008C3D6C"/>
    <w:rsid w:val="008C3F87"/>
    <w:rsid w:val="008C4489"/>
    <w:rsid w:val="008C4595"/>
    <w:rsid w:val="008C480D"/>
    <w:rsid w:val="008C4887"/>
    <w:rsid w:val="008C4AF5"/>
    <w:rsid w:val="008C4EF4"/>
    <w:rsid w:val="008C5040"/>
    <w:rsid w:val="008C5117"/>
    <w:rsid w:val="008C5270"/>
    <w:rsid w:val="008C5303"/>
    <w:rsid w:val="008C565D"/>
    <w:rsid w:val="008C5F25"/>
    <w:rsid w:val="008C6058"/>
    <w:rsid w:val="008C62FF"/>
    <w:rsid w:val="008C6367"/>
    <w:rsid w:val="008C6842"/>
    <w:rsid w:val="008C68C8"/>
    <w:rsid w:val="008C6B2A"/>
    <w:rsid w:val="008C6C3C"/>
    <w:rsid w:val="008C70C8"/>
    <w:rsid w:val="008C7493"/>
    <w:rsid w:val="008C7B87"/>
    <w:rsid w:val="008C7CFC"/>
    <w:rsid w:val="008D03A2"/>
    <w:rsid w:val="008D0607"/>
    <w:rsid w:val="008D0C1C"/>
    <w:rsid w:val="008D0E45"/>
    <w:rsid w:val="008D1081"/>
    <w:rsid w:val="008D109C"/>
    <w:rsid w:val="008D14A9"/>
    <w:rsid w:val="008D1731"/>
    <w:rsid w:val="008D190E"/>
    <w:rsid w:val="008D2BF2"/>
    <w:rsid w:val="008D33F3"/>
    <w:rsid w:val="008D3794"/>
    <w:rsid w:val="008D3B86"/>
    <w:rsid w:val="008D3FC6"/>
    <w:rsid w:val="008D4622"/>
    <w:rsid w:val="008D4960"/>
    <w:rsid w:val="008D544C"/>
    <w:rsid w:val="008D55BA"/>
    <w:rsid w:val="008D5FC6"/>
    <w:rsid w:val="008D60F4"/>
    <w:rsid w:val="008D6335"/>
    <w:rsid w:val="008D6340"/>
    <w:rsid w:val="008D66C2"/>
    <w:rsid w:val="008D672B"/>
    <w:rsid w:val="008D6E05"/>
    <w:rsid w:val="008D74F2"/>
    <w:rsid w:val="008D75BD"/>
    <w:rsid w:val="008D75EC"/>
    <w:rsid w:val="008D799D"/>
    <w:rsid w:val="008D79C3"/>
    <w:rsid w:val="008D7B80"/>
    <w:rsid w:val="008E045F"/>
    <w:rsid w:val="008E0550"/>
    <w:rsid w:val="008E0677"/>
    <w:rsid w:val="008E07C9"/>
    <w:rsid w:val="008E0AD0"/>
    <w:rsid w:val="008E0AF2"/>
    <w:rsid w:val="008E0DB8"/>
    <w:rsid w:val="008E0E49"/>
    <w:rsid w:val="008E1434"/>
    <w:rsid w:val="008E15C3"/>
    <w:rsid w:val="008E1907"/>
    <w:rsid w:val="008E1A2F"/>
    <w:rsid w:val="008E29E4"/>
    <w:rsid w:val="008E2D56"/>
    <w:rsid w:val="008E2F57"/>
    <w:rsid w:val="008E32D9"/>
    <w:rsid w:val="008E32F0"/>
    <w:rsid w:val="008E3A52"/>
    <w:rsid w:val="008E3BC2"/>
    <w:rsid w:val="008E3D90"/>
    <w:rsid w:val="008E40AA"/>
    <w:rsid w:val="008E40CC"/>
    <w:rsid w:val="008E451B"/>
    <w:rsid w:val="008E4587"/>
    <w:rsid w:val="008E4892"/>
    <w:rsid w:val="008E4A28"/>
    <w:rsid w:val="008E4C08"/>
    <w:rsid w:val="008E511D"/>
    <w:rsid w:val="008E551D"/>
    <w:rsid w:val="008E5630"/>
    <w:rsid w:val="008E5AE1"/>
    <w:rsid w:val="008E5FF9"/>
    <w:rsid w:val="008E63C1"/>
    <w:rsid w:val="008E6528"/>
    <w:rsid w:val="008E6613"/>
    <w:rsid w:val="008E6AFD"/>
    <w:rsid w:val="008E6D37"/>
    <w:rsid w:val="008E6F2F"/>
    <w:rsid w:val="008E7175"/>
    <w:rsid w:val="008E73C3"/>
    <w:rsid w:val="008E7A9A"/>
    <w:rsid w:val="008E7AAF"/>
    <w:rsid w:val="008E7FD1"/>
    <w:rsid w:val="008F03B3"/>
    <w:rsid w:val="008F0574"/>
    <w:rsid w:val="008F06B8"/>
    <w:rsid w:val="008F085B"/>
    <w:rsid w:val="008F08C4"/>
    <w:rsid w:val="008F099F"/>
    <w:rsid w:val="008F0F82"/>
    <w:rsid w:val="008F1245"/>
    <w:rsid w:val="008F1720"/>
    <w:rsid w:val="008F22E7"/>
    <w:rsid w:val="008F2338"/>
    <w:rsid w:val="008F2402"/>
    <w:rsid w:val="008F26A3"/>
    <w:rsid w:val="008F276B"/>
    <w:rsid w:val="008F2868"/>
    <w:rsid w:val="008F29FE"/>
    <w:rsid w:val="008F31F0"/>
    <w:rsid w:val="008F3999"/>
    <w:rsid w:val="008F3D30"/>
    <w:rsid w:val="008F3E1A"/>
    <w:rsid w:val="008F3E84"/>
    <w:rsid w:val="008F493E"/>
    <w:rsid w:val="008F4A42"/>
    <w:rsid w:val="008F4A5C"/>
    <w:rsid w:val="008F4CEC"/>
    <w:rsid w:val="008F4DD3"/>
    <w:rsid w:val="008F4EA8"/>
    <w:rsid w:val="008F52F7"/>
    <w:rsid w:val="008F5543"/>
    <w:rsid w:val="008F56EC"/>
    <w:rsid w:val="008F56FD"/>
    <w:rsid w:val="008F57EF"/>
    <w:rsid w:val="008F5962"/>
    <w:rsid w:val="008F6209"/>
    <w:rsid w:val="008F62B2"/>
    <w:rsid w:val="008F62CE"/>
    <w:rsid w:val="008F6553"/>
    <w:rsid w:val="008F694F"/>
    <w:rsid w:val="008F6B2E"/>
    <w:rsid w:val="008F6DEF"/>
    <w:rsid w:val="008F7082"/>
    <w:rsid w:val="008F755A"/>
    <w:rsid w:val="008F78CC"/>
    <w:rsid w:val="008F7A79"/>
    <w:rsid w:val="008F7AA1"/>
    <w:rsid w:val="008F7B22"/>
    <w:rsid w:val="008F7BB0"/>
    <w:rsid w:val="0090025D"/>
    <w:rsid w:val="00900969"/>
    <w:rsid w:val="00900A11"/>
    <w:rsid w:val="00900E36"/>
    <w:rsid w:val="00900E91"/>
    <w:rsid w:val="009019FD"/>
    <w:rsid w:val="00901D6D"/>
    <w:rsid w:val="00901DEB"/>
    <w:rsid w:val="00902566"/>
    <w:rsid w:val="0090263C"/>
    <w:rsid w:val="00902838"/>
    <w:rsid w:val="009028F0"/>
    <w:rsid w:val="00902A82"/>
    <w:rsid w:val="00902C88"/>
    <w:rsid w:val="00903382"/>
    <w:rsid w:val="009036FA"/>
    <w:rsid w:val="00903709"/>
    <w:rsid w:val="00904344"/>
    <w:rsid w:val="009045D0"/>
    <w:rsid w:val="00904754"/>
    <w:rsid w:val="00904A60"/>
    <w:rsid w:val="00904E19"/>
    <w:rsid w:val="009052B4"/>
    <w:rsid w:val="00905365"/>
    <w:rsid w:val="00905D24"/>
    <w:rsid w:val="00905F89"/>
    <w:rsid w:val="0090612A"/>
    <w:rsid w:val="00906640"/>
    <w:rsid w:val="009068CE"/>
    <w:rsid w:val="00906BDB"/>
    <w:rsid w:val="00906FAB"/>
    <w:rsid w:val="00907143"/>
    <w:rsid w:val="00907174"/>
    <w:rsid w:val="00910719"/>
    <w:rsid w:val="0091105F"/>
    <w:rsid w:val="00911097"/>
    <w:rsid w:val="0091114D"/>
    <w:rsid w:val="00911846"/>
    <w:rsid w:val="00911BA1"/>
    <w:rsid w:val="0091213A"/>
    <w:rsid w:val="009129A2"/>
    <w:rsid w:val="00912BFE"/>
    <w:rsid w:val="00912C9B"/>
    <w:rsid w:val="0091304F"/>
    <w:rsid w:val="009135A0"/>
    <w:rsid w:val="009136B9"/>
    <w:rsid w:val="0091381E"/>
    <w:rsid w:val="009138AC"/>
    <w:rsid w:val="00913AC5"/>
    <w:rsid w:val="00913DE6"/>
    <w:rsid w:val="00914042"/>
    <w:rsid w:val="009141B9"/>
    <w:rsid w:val="009142F5"/>
    <w:rsid w:val="0091453D"/>
    <w:rsid w:val="00915E9F"/>
    <w:rsid w:val="00915F83"/>
    <w:rsid w:val="009160D4"/>
    <w:rsid w:val="0091635E"/>
    <w:rsid w:val="0091693E"/>
    <w:rsid w:val="00916A83"/>
    <w:rsid w:val="00916CD7"/>
    <w:rsid w:val="00916F27"/>
    <w:rsid w:val="00916F5A"/>
    <w:rsid w:val="00916F8F"/>
    <w:rsid w:val="0091702E"/>
    <w:rsid w:val="009170E2"/>
    <w:rsid w:val="00917181"/>
    <w:rsid w:val="00917234"/>
    <w:rsid w:val="009173A1"/>
    <w:rsid w:val="0091749F"/>
    <w:rsid w:val="00917592"/>
    <w:rsid w:val="0091782A"/>
    <w:rsid w:val="00917B00"/>
    <w:rsid w:val="009200EE"/>
    <w:rsid w:val="009202F7"/>
    <w:rsid w:val="00920343"/>
    <w:rsid w:val="009203FB"/>
    <w:rsid w:val="009204F5"/>
    <w:rsid w:val="00920756"/>
    <w:rsid w:val="009208BE"/>
    <w:rsid w:val="009208D6"/>
    <w:rsid w:val="0092130B"/>
    <w:rsid w:val="009215F5"/>
    <w:rsid w:val="009223FA"/>
    <w:rsid w:val="009224BA"/>
    <w:rsid w:val="00922573"/>
    <w:rsid w:val="0092261B"/>
    <w:rsid w:val="009229BB"/>
    <w:rsid w:val="009229D3"/>
    <w:rsid w:val="00922B64"/>
    <w:rsid w:val="00922D9B"/>
    <w:rsid w:val="00922F02"/>
    <w:rsid w:val="00922F5D"/>
    <w:rsid w:val="009230DC"/>
    <w:rsid w:val="009235B7"/>
    <w:rsid w:val="00924102"/>
    <w:rsid w:val="00924442"/>
    <w:rsid w:val="00924BDF"/>
    <w:rsid w:val="009250F8"/>
    <w:rsid w:val="009251E7"/>
    <w:rsid w:val="00925725"/>
    <w:rsid w:val="00925C5D"/>
    <w:rsid w:val="00925C69"/>
    <w:rsid w:val="00925E8F"/>
    <w:rsid w:val="00925F21"/>
    <w:rsid w:val="00926499"/>
    <w:rsid w:val="0092654E"/>
    <w:rsid w:val="0092674F"/>
    <w:rsid w:val="0092690A"/>
    <w:rsid w:val="00926946"/>
    <w:rsid w:val="00926995"/>
    <w:rsid w:val="00926BFA"/>
    <w:rsid w:val="0092757B"/>
    <w:rsid w:val="009278FB"/>
    <w:rsid w:val="00927BFD"/>
    <w:rsid w:val="00927D5D"/>
    <w:rsid w:val="0093007E"/>
    <w:rsid w:val="009300E0"/>
    <w:rsid w:val="00930308"/>
    <w:rsid w:val="0093030F"/>
    <w:rsid w:val="009303F8"/>
    <w:rsid w:val="00930427"/>
    <w:rsid w:val="009306B6"/>
    <w:rsid w:val="0093098E"/>
    <w:rsid w:val="0093165B"/>
    <w:rsid w:val="00931972"/>
    <w:rsid w:val="009319DB"/>
    <w:rsid w:val="00931FF3"/>
    <w:rsid w:val="00933061"/>
    <w:rsid w:val="00933B48"/>
    <w:rsid w:val="00933F39"/>
    <w:rsid w:val="00934307"/>
    <w:rsid w:val="00934952"/>
    <w:rsid w:val="00934DDB"/>
    <w:rsid w:val="00934E41"/>
    <w:rsid w:val="00935183"/>
    <w:rsid w:val="0093538B"/>
    <w:rsid w:val="00935887"/>
    <w:rsid w:val="00936192"/>
    <w:rsid w:val="009362ED"/>
    <w:rsid w:val="0093689C"/>
    <w:rsid w:val="00936993"/>
    <w:rsid w:val="00936B12"/>
    <w:rsid w:val="00936B5B"/>
    <w:rsid w:val="00936B6F"/>
    <w:rsid w:val="00936FA5"/>
    <w:rsid w:val="00936FC8"/>
    <w:rsid w:val="00937185"/>
    <w:rsid w:val="00937190"/>
    <w:rsid w:val="009371F1"/>
    <w:rsid w:val="009373C8"/>
    <w:rsid w:val="00937F71"/>
    <w:rsid w:val="0094017A"/>
    <w:rsid w:val="00940447"/>
    <w:rsid w:val="00940464"/>
    <w:rsid w:val="00940515"/>
    <w:rsid w:val="00940B4B"/>
    <w:rsid w:val="00940B78"/>
    <w:rsid w:val="00940B89"/>
    <w:rsid w:val="00940EE8"/>
    <w:rsid w:val="00941256"/>
    <w:rsid w:val="00941300"/>
    <w:rsid w:val="009413C4"/>
    <w:rsid w:val="00941E7E"/>
    <w:rsid w:val="00942080"/>
    <w:rsid w:val="009421FD"/>
    <w:rsid w:val="009422B4"/>
    <w:rsid w:val="00942374"/>
    <w:rsid w:val="009428EF"/>
    <w:rsid w:val="00942BF1"/>
    <w:rsid w:val="00942D33"/>
    <w:rsid w:val="00942DE4"/>
    <w:rsid w:val="00942F03"/>
    <w:rsid w:val="00942F8D"/>
    <w:rsid w:val="00943115"/>
    <w:rsid w:val="00943174"/>
    <w:rsid w:val="009432F0"/>
    <w:rsid w:val="0094356E"/>
    <w:rsid w:val="009436CC"/>
    <w:rsid w:val="009436FD"/>
    <w:rsid w:val="00943709"/>
    <w:rsid w:val="0094392D"/>
    <w:rsid w:val="00943ACE"/>
    <w:rsid w:val="00943C19"/>
    <w:rsid w:val="00943D48"/>
    <w:rsid w:val="00944345"/>
    <w:rsid w:val="00944376"/>
    <w:rsid w:val="009447D2"/>
    <w:rsid w:val="00944938"/>
    <w:rsid w:val="00944D4D"/>
    <w:rsid w:val="009450A3"/>
    <w:rsid w:val="009453D6"/>
    <w:rsid w:val="009454C6"/>
    <w:rsid w:val="0094555D"/>
    <w:rsid w:val="0094562B"/>
    <w:rsid w:val="0094570D"/>
    <w:rsid w:val="0094586A"/>
    <w:rsid w:val="00945BA5"/>
    <w:rsid w:val="00946016"/>
    <w:rsid w:val="00946280"/>
    <w:rsid w:val="009463F9"/>
    <w:rsid w:val="00946852"/>
    <w:rsid w:val="00946872"/>
    <w:rsid w:val="00947285"/>
    <w:rsid w:val="009472DA"/>
    <w:rsid w:val="009473D0"/>
    <w:rsid w:val="00947564"/>
    <w:rsid w:val="0094791A"/>
    <w:rsid w:val="00947BC1"/>
    <w:rsid w:val="00947F07"/>
    <w:rsid w:val="00947FBD"/>
    <w:rsid w:val="0095019F"/>
    <w:rsid w:val="0095023E"/>
    <w:rsid w:val="00950AAC"/>
    <w:rsid w:val="00950DA5"/>
    <w:rsid w:val="00950F39"/>
    <w:rsid w:val="009511E4"/>
    <w:rsid w:val="0095193F"/>
    <w:rsid w:val="009519B8"/>
    <w:rsid w:val="009523B0"/>
    <w:rsid w:val="00952411"/>
    <w:rsid w:val="00952A5F"/>
    <w:rsid w:val="00952AC5"/>
    <w:rsid w:val="00952E90"/>
    <w:rsid w:val="00952FA0"/>
    <w:rsid w:val="009531CD"/>
    <w:rsid w:val="00953588"/>
    <w:rsid w:val="00953604"/>
    <w:rsid w:val="00953758"/>
    <w:rsid w:val="009537CA"/>
    <w:rsid w:val="0095385F"/>
    <w:rsid w:val="00953E78"/>
    <w:rsid w:val="0095430D"/>
    <w:rsid w:val="009549BD"/>
    <w:rsid w:val="00954A34"/>
    <w:rsid w:val="00954AC7"/>
    <w:rsid w:val="00954D17"/>
    <w:rsid w:val="009551D7"/>
    <w:rsid w:val="00955520"/>
    <w:rsid w:val="009559AD"/>
    <w:rsid w:val="00955A18"/>
    <w:rsid w:val="00955DD6"/>
    <w:rsid w:val="00955E04"/>
    <w:rsid w:val="00956043"/>
    <w:rsid w:val="0095648D"/>
    <w:rsid w:val="009569FD"/>
    <w:rsid w:val="00956A76"/>
    <w:rsid w:val="0095788B"/>
    <w:rsid w:val="00957B1E"/>
    <w:rsid w:val="00957E2A"/>
    <w:rsid w:val="00957F25"/>
    <w:rsid w:val="009602F8"/>
    <w:rsid w:val="00960988"/>
    <w:rsid w:val="00960B44"/>
    <w:rsid w:val="0096105F"/>
    <w:rsid w:val="009611C1"/>
    <w:rsid w:val="00961C7C"/>
    <w:rsid w:val="00961E44"/>
    <w:rsid w:val="00961F3E"/>
    <w:rsid w:val="009628E4"/>
    <w:rsid w:val="009629D2"/>
    <w:rsid w:val="00962DD9"/>
    <w:rsid w:val="009631BE"/>
    <w:rsid w:val="00963D43"/>
    <w:rsid w:val="00963F1F"/>
    <w:rsid w:val="00963F6E"/>
    <w:rsid w:val="00963F92"/>
    <w:rsid w:val="00964173"/>
    <w:rsid w:val="009644FE"/>
    <w:rsid w:val="00964BF0"/>
    <w:rsid w:val="00964F21"/>
    <w:rsid w:val="00965003"/>
    <w:rsid w:val="0096501D"/>
    <w:rsid w:val="0096598E"/>
    <w:rsid w:val="00965A8D"/>
    <w:rsid w:val="0096607B"/>
    <w:rsid w:val="009663B1"/>
    <w:rsid w:val="009663E2"/>
    <w:rsid w:val="00966C37"/>
    <w:rsid w:val="00967141"/>
    <w:rsid w:val="00967186"/>
    <w:rsid w:val="00967447"/>
    <w:rsid w:val="009674F1"/>
    <w:rsid w:val="0096764D"/>
    <w:rsid w:val="0096785C"/>
    <w:rsid w:val="00967ADD"/>
    <w:rsid w:val="00967B11"/>
    <w:rsid w:val="00967B37"/>
    <w:rsid w:val="00967D7C"/>
    <w:rsid w:val="00967F65"/>
    <w:rsid w:val="00970025"/>
    <w:rsid w:val="0097035F"/>
    <w:rsid w:val="009703A3"/>
    <w:rsid w:val="00970A1A"/>
    <w:rsid w:val="00970C34"/>
    <w:rsid w:val="00970E41"/>
    <w:rsid w:val="00971082"/>
    <w:rsid w:val="00971224"/>
    <w:rsid w:val="00971343"/>
    <w:rsid w:val="0097197B"/>
    <w:rsid w:val="00971A91"/>
    <w:rsid w:val="00971F00"/>
    <w:rsid w:val="0097245F"/>
    <w:rsid w:val="00972504"/>
    <w:rsid w:val="00972A4C"/>
    <w:rsid w:val="00972ACC"/>
    <w:rsid w:val="00972BAD"/>
    <w:rsid w:val="00972D27"/>
    <w:rsid w:val="0097300C"/>
    <w:rsid w:val="00973224"/>
    <w:rsid w:val="009734AD"/>
    <w:rsid w:val="00973C75"/>
    <w:rsid w:val="00974A62"/>
    <w:rsid w:val="00974B64"/>
    <w:rsid w:val="00974D0E"/>
    <w:rsid w:val="00974E2E"/>
    <w:rsid w:val="0097546C"/>
    <w:rsid w:val="00975A3A"/>
    <w:rsid w:val="009769E9"/>
    <w:rsid w:val="00976BC0"/>
    <w:rsid w:val="00976D49"/>
    <w:rsid w:val="009770A9"/>
    <w:rsid w:val="00977500"/>
    <w:rsid w:val="009779D4"/>
    <w:rsid w:val="00977C3E"/>
    <w:rsid w:val="00977CF0"/>
    <w:rsid w:val="00977DA1"/>
    <w:rsid w:val="009802CB"/>
    <w:rsid w:val="00980440"/>
    <w:rsid w:val="00980AE8"/>
    <w:rsid w:val="00980B82"/>
    <w:rsid w:val="00980CCB"/>
    <w:rsid w:val="009812B2"/>
    <w:rsid w:val="0098137E"/>
    <w:rsid w:val="00981406"/>
    <w:rsid w:val="00981431"/>
    <w:rsid w:val="00981ED0"/>
    <w:rsid w:val="00983B27"/>
    <w:rsid w:val="00984506"/>
    <w:rsid w:val="0098487D"/>
    <w:rsid w:val="0098493D"/>
    <w:rsid w:val="00984AE0"/>
    <w:rsid w:val="00984DBF"/>
    <w:rsid w:val="009850C0"/>
    <w:rsid w:val="00985165"/>
    <w:rsid w:val="009857EB"/>
    <w:rsid w:val="009857F3"/>
    <w:rsid w:val="0098588F"/>
    <w:rsid w:val="009860F0"/>
    <w:rsid w:val="009862B7"/>
    <w:rsid w:val="00986434"/>
    <w:rsid w:val="00986716"/>
    <w:rsid w:val="009868F9"/>
    <w:rsid w:val="00986963"/>
    <w:rsid w:val="00986BB7"/>
    <w:rsid w:val="00986ECA"/>
    <w:rsid w:val="00986FFA"/>
    <w:rsid w:val="009873F9"/>
    <w:rsid w:val="0098742D"/>
    <w:rsid w:val="009875F9"/>
    <w:rsid w:val="00987911"/>
    <w:rsid w:val="00990107"/>
    <w:rsid w:val="0099065A"/>
    <w:rsid w:val="00990871"/>
    <w:rsid w:val="00990A5B"/>
    <w:rsid w:val="00991480"/>
    <w:rsid w:val="00991962"/>
    <w:rsid w:val="00991E57"/>
    <w:rsid w:val="00992356"/>
    <w:rsid w:val="009923B1"/>
    <w:rsid w:val="00992623"/>
    <w:rsid w:val="009928FF"/>
    <w:rsid w:val="009929B7"/>
    <w:rsid w:val="00992A33"/>
    <w:rsid w:val="00992A61"/>
    <w:rsid w:val="00992BA2"/>
    <w:rsid w:val="00992C1B"/>
    <w:rsid w:val="0099300D"/>
    <w:rsid w:val="00993B80"/>
    <w:rsid w:val="00993D79"/>
    <w:rsid w:val="00993D97"/>
    <w:rsid w:val="00993DBA"/>
    <w:rsid w:val="009940E6"/>
    <w:rsid w:val="009944F0"/>
    <w:rsid w:val="009948B1"/>
    <w:rsid w:val="00994B0E"/>
    <w:rsid w:val="00994B2A"/>
    <w:rsid w:val="00995457"/>
    <w:rsid w:val="009954A8"/>
    <w:rsid w:val="00995888"/>
    <w:rsid w:val="00995A91"/>
    <w:rsid w:val="00995B5F"/>
    <w:rsid w:val="009961DF"/>
    <w:rsid w:val="009963B0"/>
    <w:rsid w:val="00996752"/>
    <w:rsid w:val="00996AD2"/>
    <w:rsid w:val="00996B22"/>
    <w:rsid w:val="0099712B"/>
    <w:rsid w:val="009971DB"/>
    <w:rsid w:val="009972DD"/>
    <w:rsid w:val="00997340"/>
    <w:rsid w:val="0099765C"/>
    <w:rsid w:val="009A058C"/>
    <w:rsid w:val="009A0653"/>
    <w:rsid w:val="009A08E8"/>
    <w:rsid w:val="009A17A6"/>
    <w:rsid w:val="009A184A"/>
    <w:rsid w:val="009A1E76"/>
    <w:rsid w:val="009A22B3"/>
    <w:rsid w:val="009A2B16"/>
    <w:rsid w:val="009A2C2B"/>
    <w:rsid w:val="009A309B"/>
    <w:rsid w:val="009A33BA"/>
    <w:rsid w:val="009A352D"/>
    <w:rsid w:val="009A35DB"/>
    <w:rsid w:val="009A3A93"/>
    <w:rsid w:val="009A3E80"/>
    <w:rsid w:val="009A5BAF"/>
    <w:rsid w:val="009A5DDC"/>
    <w:rsid w:val="009A5F21"/>
    <w:rsid w:val="009A5F7A"/>
    <w:rsid w:val="009A6342"/>
    <w:rsid w:val="009A6750"/>
    <w:rsid w:val="009A6762"/>
    <w:rsid w:val="009A67DE"/>
    <w:rsid w:val="009A690B"/>
    <w:rsid w:val="009A6AC1"/>
    <w:rsid w:val="009A6B7D"/>
    <w:rsid w:val="009A6B80"/>
    <w:rsid w:val="009A6D75"/>
    <w:rsid w:val="009A7300"/>
    <w:rsid w:val="009A743F"/>
    <w:rsid w:val="009A7583"/>
    <w:rsid w:val="009A7D45"/>
    <w:rsid w:val="009B05AD"/>
    <w:rsid w:val="009B0D07"/>
    <w:rsid w:val="009B0FAE"/>
    <w:rsid w:val="009B1276"/>
    <w:rsid w:val="009B1913"/>
    <w:rsid w:val="009B1B1F"/>
    <w:rsid w:val="009B1B22"/>
    <w:rsid w:val="009B20A1"/>
    <w:rsid w:val="009B2323"/>
    <w:rsid w:val="009B2722"/>
    <w:rsid w:val="009B2B1A"/>
    <w:rsid w:val="009B2D36"/>
    <w:rsid w:val="009B3363"/>
    <w:rsid w:val="009B3384"/>
    <w:rsid w:val="009B3402"/>
    <w:rsid w:val="009B3A45"/>
    <w:rsid w:val="009B43AF"/>
    <w:rsid w:val="009B44E1"/>
    <w:rsid w:val="009B469D"/>
    <w:rsid w:val="009B4838"/>
    <w:rsid w:val="009B4ED0"/>
    <w:rsid w:val="009B50D2"/>
    <w:rsid w:val="009B56F1"/>
    <w:rsid w:val="009B574D"/>
    <w:rsid w:val="009B5836"/>
    <w:rsid w:val="009B5B38"/>
    <w:rsid w:val="009B5DF1"/>
    <w:rsid w:val="009B5E87"/>
    <w:rsid w:val="009B603C"/>
    <w:rsid w:val="009B6110"/>
    <w:rsid w:val="009B623D"/>
    <w:rsid w:val="009B6241"/>
    <w:rsid w:val="009B656D"/>
    <w:rsid w:val="009B6675"/>
    <w:rsid w:val="009B68F6"/>
    <w:rsid w:val="009B6A69"/>
    <w:rsid w:val="009B6EE5"/>
    <w:rsid w:val="009B725B"/>
    <w:rsid w:val="009B73CE"/>
    <w:rsid w:val="009B76F3"/>
    <w:rsid w:val="009B7716"/>
    <w:rsid w:val="009B77C6"/>
    <w:rsid w:val="009B7864"/>
    <w:rsid w:val="009B78EB"/>
    <w:rsid w:val="009B7902"/>
    <w:rsid w:val="009B7E32"/>
    <w:rsid w:val="009B7F3F"/>
    <w:rsid w:val="009C01F6"/>
    <w:rsid w:val="009C05AA"/>
    <w:rsid w:val="009C06D0"/>
    <w:rsid w:val="009C0767"/>
    <w:rsid w:val="009C0A13"/>
    <w:rsid w:val="009C0B55"/>
    <w:rsid w:val="009C0C62"/>
    <w:rsid w:val="009C0E45"/>
    <w:rsid w:val="009C0F86"/>
    <w:rsid w:val="009C1028"/>
    <w:rsid w:val="009C1460"/>
    <w:rsid w:val="009C16A0"/>
    <w:rsid w:val="009C1816"/>
    <w:rsid w:val="009C1AB3"/>
    <w:rsid w:val="009C1DCB"/>
    <w:rsid w:val="009C1F36"/>
    <w:rsid w:val="009C207D"/>
    <w:rsid w:val="009C2A7C"/>
    <w:rsid w:val="009C2BDC"/>
    <w:rsid w:val="009C2C4F"/>
    <w:rsid w:val="009C2C77"/>
    <w:rsid w:val="009C2CD9"/>
    <w:rsid w:val="009C31A2"/>
    <w:rsid w:val="009C33EF"/>
    <w:rsid w:val="009C3416"/>
    <w:rsid w:val="009C356E"/>
    <w:rsid w:val="009C36D4"/>
    <w:rsid w:val="009C3DF4"/>
    <w:rsid w:val="009C3E7A"/>
    <w:rsid w:val="009C47B6"/>
    <w:rsid w:val="009C48AA"/>
    <w:rsid w:val="009C5466"/>
    <w:rsid w:val="009C54E5"/>
    <w:rsid w:val="009C5609"/>
    <w:rsid w:val="009C58EB"/>
    <w:rsid w:val="009C5B01"/>
    <w:rsid w:val="009C5B0B"/>
    <w:rsid w:val="009C5D2F"/>
    <w:rsid w:val="009C5D33"/>
    <w:rsid w:val="009C5F2C"/>
    <w:rsid w:val="009C60C5"/>
    <w:rsid w:val="009C60F6"/>
    <w:rsid w:val="009C6445"/>
    <w:rsid w:val="009C68D4"/>
    <w:rsid w:val="009C6922"/>
    <w:rsid w:val="009C695B"/>
    <w:rsid w:val="009C6A26"/>
    <w:rsid w:val="009C6C99"/>
    <w:rsid w:val="009C7060"/>
    <w:rsid w:val="009C735B"/>
    <w:rsid w:val="009C770B"/>
    <w:rsid w:val="009C7895"/>
    <w:rsid w:val="009C7B7E"/>
    <w:rsid w:val="009C7B87"/>
    <w:rsid w:val="009D033A"/>
    <w:rsid w:val="009D03DA"/>
    <w:rsid w:val="009D03E0"/>
    <w:rsid w:val="009D129D"/>
    <w:rsid w:val="009D167F"/>
    <w:rsid w:val="009D17A5"/>
    <w:rsid w:val="009D1A37"/>
    <w:rsid w:val="009D1AAB"/>
    <w:rsid w:val="009D21BE"/>
    <w:rsid w:val="009D2A06"/>
    <w:rsid w:val="009D2EBA"/>
    <w:rsid w:val="009D3679"/>
    <w:rsid w:val="009D3799"/>
    <w:rsid w:val="009D3B30"/>
    <w:rsid w:val="009D3B99"/>
    <w:rsid w:val="009D3BC6"/>
    <w:rsid w:val="009D47D1"/>
    <w:rsid w:val="009D488F"/>
    <w:rsid w:val="009D4B5D"/>
    <w:rsid w:val="009D5082"/>
    <w:rsid w:val="009D528C"/>
    <w:rsid w:val="009D56D9"/>
    <w:rsid w:val="009D5D1F"/>
    <w:rsid w:val="009D5FA2"/>
    <w:rsid w:val="009D5FCC"/>
    <w:rsid w:val="009D6075"/>
    <w:rsid w:val="009D6BCB"/>
    <w:rsid w:val="009D6FA9"/>
    <w:rsid w:val="009D701D"/>
    <w:rsid w:val="009D79E8"/>
    <w:rsid w:val="009D7D91"/>
    <w:rsid w:val="009D7F60"/>
    <w:rsid w:val="009E05D8"/>
    <w:rsid w:val="009E07F3"/>
    <w:rsid w:val="009E09E8"/>
    <w:rsid w:val="009E0B36"/>
    <w:rsid w:val="009E0D37"/>
    <w:rsid w:val="009E1077"/>
    <w:rsid w:val="009E1139"/>
    <w:rsid w:val="009E124D"/>
    <w:rsid w:val="009E14DC"/>
    <w:rsid w:val="009E187D"/>
    <w:rsid w:val="009E19BE"/>
    <w:rsid w:val="009E1A3F"/>
    <w:rsid w:val="009E1BF5"/>
    <w:rsid w:val="009E1C7F"/>
    <w:rsid w:val="009E1D51"/>
    <w:rsid w:val="009E1E51"/>
    <w:rsid w:val="009E1F59"/>
    <w:rsid w:val="009E288D"/>
    <w:rsid w:val="009E3064"/>
    <w:rsid w:val="009E30A6"/>
    <w:rsid w:val="009E322A"/>
    <w:rsid w:val="009E32DA"/>
    <w:rsid w:val="009E3338"/>
    <w:rsid w:val="009E399E"/>
    <w:rsid w:val="009E39BD"/>
    <w:rsid w:val="009E3B04"/>
    <w:rsid w:val="009E3EEF"/>
    <w:rsid w:val="009E3F3A"/>
    <w:rsid w:val="009E4649"/>
    <w:rsid w:val="009E49FA"/>
    <w:rsid w:val="009E4BD5"/>
    <w:rsid w:val="009E5BB4"/>
    <w:rsid w:val="009E5D24"/>
    <w:rsid w:val="009E5E78"/>
    <w:rsid w:val="009E5FAD"/>
    <w:rsid w:val="009E5FC1"/>
    <w:rsid w:val="009E607B"/>
    <w:rsid w:val="009E6184"/>
    <w:rsid w:val="009E6221"/>
    <w:rsid w:val="009E637A"/>
    <w:rsid w:val="009E65BE"/>
    <w:rsid w:val="009E6704"/>
    <w:rsid w:val="009E6863"/>
    <w:rsid w:val="009E68AB"/>
    <w:rsid w:val="009E6B55"/>
    <w:rsid w:val="009E742E"/>
    <w:rsid w:val="009E7819"/>
    <w:rsid w:val="009E7AD7"/>
    <w:rsid w:val="009E7F56"/>
    <w:rsid w:val="009F0361"/>
    <w:rsid w:val="009F0B88"/>
    <w:rsid w:val="009F0CCA"/>
    <w:rsid w:val="009F1083"/>
    <w:rsid w:val="009F166D"/>
    <w:rsid w:val="009F183A"/>
    <w:rsid w:val="009F1933"/>
    <w:rsid w:val="009F1D55"/>
    <w:rsid w:val="009F2DD4"/>
    <w:rsid w:val="009F30BB"/>
    <w:rsid w:val="009F30F6"/>
    <w:rsid w:val="009F32EF"/>
    <w:rsid w:val="009F33CF"/>
    <w:rsid w:val="009F357C"/>
    <w:rsid w:val="009F3797"/>
    <w:rsid w:val="009F3F62"/>
    <w:rsid w:val="009F4113"/>
    <w:rsid w:val="009F4787"/>
    <w:rsid w:val="009F4B39"/>
    <w:rsid w:val="009F4D17"/>
    <w:rsid w:val="009F5553"/>
    <w:rsid w:val="009F5D43"/>
    <w:rsid w:val="009F5E43"/>
    <w:rsid w:val="009F623F"/>
    <w:rsid w:val="009F62EA"/>
    <w:rsid w:val="009F64F6"/>
    <w:rsid w:val="009F6FF7"/>
    <w:rsid w:val="009F7105"/>
    <w:rsid w:val="009F73A7"/>
    <w:rsid w:val="009F75E6"/>
    <w:rsid w:val="009F77CC"/>
    <w:rsid w:val="009F7B9F"/>
    <w:rsid w:val="009F7DE2"/>
    <w:rsid w:val="00A0013A"/>
    <w:rsid w:val="00A00AD5"/>
    <w:rsid w:val="00A00CA5"/>
    <w:rsid w:val="00A00CF1"/>
    <w:rsid w:val="00A00E0A"/>
    <w:rsid w:val="00A010ED"/>
    <w:rsid w:val="00A01283"/>
    <w:rsid w:val="00A0158D"/>
    <w:rsid w:val="00A0191E"/>
    <w:rsid w:val="00A01A69"/>
    <w:rsid w:val="00A01D9A"/>
    <w:rsid w:val="00A02161"/>
    <w:rsid w:val="00A0266D"/>
    <w:rsid w:val="00A03062"/>
    <w:rsid w:val="00A03134"/>
    <w:rsid w:val="00A035FE"/>
    <w:rsid w:val="00A0369E"/>
    <w:rsid w:val="00A04006"/>
    <w:rsid w:val="00A0421B"/>
    <w:rsid w:val="00A045F1"/>
    <w:rsid w:val="00A04B86"/>
    <w:rsid w:val="00A04C4D"/>
    <w:rsid w:val="00A04E76"/>
    <w:rsid w:val="00A05234"/>
    <w:rsid w:val="00A05A69"/>
    <w:rsid w:val="00A05C55"/>
    <w:rsid w:val="00A0600A"/>
    <w:rsid w:val="00A065DC"/>
    <w:rsid w:val="00A06616"/>
    <w:rsid w:val="00A06943"/>
    <w:rsid w:val="00A06A0F"/>
    <w:rsid w:val="00A07375"/>
    <w:rsid w:val="00A0739B"/>
    <w:rsid w:val="00A075D8"/>
    <w:rsid w:val="00A07619"/>
    <w:rsid w:val="00A0770D"/>
    <w:rsid w:val="00A078CB"/>
    <w:rsid w:val="00A078D5"/>
    <w:rsid w:val="00A07E1F"/>
    <w:rsid w:val="00A101BB"/>
    <w:rsid w:val="00A102FB"/>
    <w:rsid w:val="00A106D9"/>
    <w:rsid w:val="00A106ED"/>
    <w:rsid w:val="00A10843"/>
    <w:rsid w:val="00A10CD7"/>
    <w:rsid w:val="00A10E3E"/>
    <w:rsid w:val="00A10ED1"/>
    <w:rsid w:val="00A10FCF"/>
    <w:rsid w:val="00A11747"/>
    <w:rsid w:val="00A119BF"/>
    <w:rsid w:val="00A11E2F"/>
    <w:rsid w:val="00A11F49"/>
    <w:rsid w:val="00A11FD7"/>
    <w:rsid w:val="00A125FB"/>
    <w:rsid w:val="00A12841"/>
    <w:rsid w:val="00A128EB"/>
    <w:rsid w:val="00A12DB1"/>
    <w:rsid w:val="00A12DFB"/>
    <w:rsid w:val="00A13AF1"/>
    <w:rsid w:val="00A13C62"/>
    <w:rsid w:val="00A13E46"/>
    <w:rsid w:val="00A1418A"/>
    <w:rsid w:val="00A141FD"/>
    <w:rsid w:val="00A14299"/>
    <w:rsid w:val="00A14F7C"/>
    <w:rsid w:val="00A1500B"/>
    <w:rsid w:val="00A151CF"/>
    <w:rsid w:val="00A1530D"/>
    <w:rsid w:val="00A1555D"/>
    <w:rsid w:val="00A156F8"/>
    <w:rsid w:val="00A15970"/>
    <w:rsid w:val="00A15A66"/>
    <w:rsid w:val="00A15F7D"/>
    <w:rsid w:val="00A16068"/>
    <w:rsid w:val="00A16315"/>
    <w:rsid w:val="00A169C3"/>
    <w:rsid w:val="00A16AA9"/>
    <w:rsid w:val="00A171FB"/>
    <w:rsid w:val="00A17359"/>
    <w:rsid w:val="00A173B6"/>
    <w:rsid w:val="00A17515"/>
    <w:rsid w:val="00A177D3"/>
    <w:rsid w:val="00A1785C"/>
    <w:rsid w:val="00A17AF8"/>
    <w:rsid w:val="00A17D9A"/>
    <w:rsid w:val="00A17FB2"/>
    <w:rsid w:val="00A20087"/>
    <w:rsid w:val="00A2035D"/>
    <w:rsid w:val="00A205B2"/>
    <w:rsid w:val="00A2089A"/>
    <w:rsid w:val="00A20AC5"/>
    <w:rsid w:val="00A20F46"/>
    <w:rsid w:val="00A20F92"/>
    <w:rsid w:val="00A21241"/>
    <w:rsid w:val="00A214E2"/>
    <w:rsid w:val="00A21A8A"/>
    <w:rsid w:val="00A21D3D"/>
    <w:rsid w:val="00A21FC3"/>
    <w:rsid w:val="00A22BF9"/>
    <w:rsid w:val="00A22D72"/>
    <w:rsid w:val="00A230E5"/>
    <w:rsid w:val="00A23193"/>
    <w:rsid w:val="00A232E6"/>
    <w:rsid w:val="00A242EA"/>
    <w:rsid w:val="00A243C1"/>
    <w:rsid w:val="00A244A4"/>
    <w:rsid w:val="00A248AC"/>
    <w:rsid w:val="00A24B2F"/>
    <w:rsid w:val="00A24D8A"/>
    <w:rsid w:val="00A2512E"/>
    <w:rsid w:val="00A256BD"/>
    <w:rsid w:val="00A25737"/>
    <w:rsid w:val="00A25961"/>
    <w:rsid w:val="00A25ED4"/>
    <w:rsid w:val="00A26126"/>
    <w:rsid w:val="00A26292"/>
    <w:rsid w:val="00A26300"/>
    <w:rsid w:val="00A264B2"/>
    <w:rsid w:val="00A26A3F"/>
    <w:rsid w:val="00A274FB"/>
    <w:rsid w:val="00A2752E"/>
    <w:rsid w:val="00A27B7A"/>
    <w:rsid w:val="00A27CAF"/>
    <w:rsid w:val="00A30676"/>
    <w:rsid w:val="00A3075B"/>
    <w:rsid w:val="00A30C35"/>
    <w:rsid w:val="00A3123E"/>
    <w:rsid w:val="00A313C8"/>
    <w:rsid w:val="00A316FA"/>
    <w:rsid w:val="00A31CA3"/>
    <w:rsid w:val="00A32338"/>
    <w:rsid w:val="00A32438"/>
    <w:rsid w:val="00A325CA"/>
    <w:rsid w:val="00A3269E"/>
    <w:rsid w:val="00A32875"/>
    <w:rsid w:val="00A32A29"/>
    <w:rsid w:val="00A32AC1"/>
    <w:rsid w:val="00A32BAF"/>
    <w:rsid w:val="00A32CFB"/>
    <w:rsid w:val="00A32D7B"/>
    <w:rsid w:val="00A32FE9"/>
    <w:rsid w:val="00A33055"/>
    <w:rsid w:val="00A333ED"/>
    <w:rsid w:val="00A334B6"/>
    <w:rsid w:val="00A335B4"/>
    <w:rsid w:val="00A33A55"/>
    <w:rsid w:val="00A34503"/>
    <w:rsid w:val="00A3495A"/>
    <w:rsid w:val="00A34CD3"/>
    <w:rsid w:val="00A34E24"/>
    <w:rsid w:val="00A3557E"/>
    <w:rsid w:val="00A35624"/>
    <w:rsid w:val="00A356D6"/>
    <w:rsid w:val="00A356EF"/>
    <w:rsid w:val="00A35741"/>
    <w:rsid w:val="00A35743"/>
    <w:rsid w:val="00A35DFD"/>
    <w:rsid w:val="00A35E39"/>
    <w:rsid w:val="00A35E81"/>
    <w:rsid w:val="00A367C5"/>
    <w:rsid w:val="00A368EC"/>
    <w:rsid w:val="00A3709E"/>
    <w:rsid w:val="00A375B8"/>
    <w:rsid w:val="00A377D2"/>
    <w:rsid w:val="00A377DB"/>
    <w:rsid w:val="00A37832"/>
    <w:rsid w:val="00A37E81"/>
    <w:rsid w:val="00A40040"/>
    <w:rsid w:val="00A40551"/>
    <w:rsid w:val="00A4074B"/>
    <w:rsid w:val="00A409E0"/>
    <w:rsid w:val="00A41260"/>
    <w:rsid w:val="00A41BC6"/>
    <w:rsid w:val="00A420E5"/>
    <w:rsid w:val="00A42621"/>
    <w:rsid w:val="00A42839"/>
    <w:rsid w:val="00A4286B"/>
    <w:rsid w:val="00A42A3A"/>
    <w:rsid w:val="00A42A93"/>
    <w:rsid w:val="00A430A7"/>
    <w:rsid w:val="00A43114"/>
    <w:rsid w:val="00A4385B"/>
    <w:rsid w:val="00A4392A"/>
    <w:rsid w:val="00A43E45"/>
    <w:rsid w:val="00A447AB"/>
    <w:rsid w:val="00A44A94"/>
    <w:rsid w:val="00A44E93"/>
    <w:rsid w:val="00A44EE7"/>
    <w:rsid w:val="00A45888"/>
    <w:rsid w:val="00A46090"/>
    <w:rsid w:val="00A461E5"/>
    <w:rsid w:val="00A4646C"/>
    <w:rsid w:val="00A46615"/>
    <w:rsid w:val="00A4687F"/>
    <w:rsid w:val="00A46ADE"/>
    <w:rsid w:val="00A46B92"/>
    <w:rsid w:val="00A46DBF"/>
    <w:rsid w:val="00A4731D"/>
    <w:rsid w:val="00A4758E"/>
    <w:rsid w:val="00A47816"/>
    <w:rsid w:val="00A478C3"/>
    <w:rsid w:val="00A47B1E"/>
    <w:rsid w:val="00A47C21"/>
    <w:rsid w:val="00A47D27"/>
    <w:rsid w:val="00A500C2"/>
    <w:rsid w:val="00A50204"/>
    <w:rsid w:val="00A506E8"/>
    <w:rsid w:val="00A50736"/>
    <w:rsid w:val="00A5096C"/>
    <w:rsid w:val="00A50D0F"/>
    <w:rsid w:val="00A50DFD"/>
    <w:rsid w:val="00A51037"/>
    <w:rsid w:val="00A510C1"/>
    <w:rsid w:val="00A51220"/>
    <w:rsid w:val="00A51272"/>
    <w:rsid w:val="00A51A59"/>
    <w:rsid w:val="00A51C60"/>
    <w:rsid w:val="00A51DD7"/>
    <w:rsid w:val="00A51E1B"/>
    <w:rsid w:val="00A52013"/>
    <w:rsid w:val="00A520F0"/>
    <w:rsid w:val="00A52118"/>
    <w:rsid w:val="00A52358"/>
    <w:rsid w:val="00A526C6"/>
    <w:rsid w:val="00A526E0"/>
    <w:rsid w:val="00A52E63"/>
    <w:rsid w:val="00A52FC4"/>
    <w:rsid w:val="00A53267"/>
    <w:rsid w:val="00A534D5"/>
    <w:rsid w:val="00A5391B"/>
    <w:rsid w:val="00A53BCC"/>
    <w:rsid w:val="00A54C9F"/>
    <w:rsid w:val="00A55002"/>
    <w:rsid w:val="00A5534C"/>
    <w:rsid w:val="00A559BE"/>
    <w:rsid w:val="00A56591"/>
    <w:rsid w:val="00A5679A"/>
    <w:rsid w:val="00A56B0A"/>
    <w:rsid w:val="00A56EE6"/>
    <w:rsid w:val="00A570F8"/>
    <w:rsid w:val="00A57524"/>
    <w:rsid w:val="00A57821"/>
    <w:rsid w:val="00A57E4B"/>
    <w:rsid w:val="00A600C0"/>
    <w:rsid w:val="00A600E2"/>
    <w:rsid w:val="00A60337"/>
    <w:rsid w:val="00A60456"/>
    <w:rsid w:val="00A606C3"/>
    <w:rsid w:val="00A607CB"/>
    <w:rsid w:val="00A60A2B"/>
    <w:rsid w:val="00A60AFC"/>
    <w:rsid w:val="00A60D4D"/>
    <w:rsid w:val="00A6181D"/>
    <w:rsid w:val="00A61B6D"/>
    <w:rsid w:val="00A61D2B"/>
    <w:rsid w:val="00A62319"/>
    <w:rsid w:val="00A62847"/>
    <w:rsid w:val="00A62FB9"/>
    <w:rsid w:val="00A6342F"/>
    <w:rsid w:val="00A63B22"/>
    <w:rsid w:val="00A63F10"/>
    <w:rsid w:val="00A6437B"/>
    <w:rsid w:val="00A64E0D"/>
    <w:rsid w:val="00A64F1C"/>
    <w:rsid w:val="00A653A2"/>
    <w:rsid w:val="00A6549D"/>
    <w:rsid w:val="00A65848"/>
    <w:rsid w:val="00A65B4A"/>
    <w:rsid w:val="00A66973"/>
    <w:rsid w:val="00A66DBA"/>
    <w:rsid w:val="00A6728A"/>
    <w:rsid w:val="00A67A24"/>
    <w:rsid w:val="00A67EF2"/>
    <w:rsid w:val="00A7026F"/>
    <w:rsid w:val="00A702F0"/>
    <w:rsid w:val="00A706C7"/>
    <w:rsid w:val="00A707C4"/>
    <w:rsid w:val="00A70899"/>
    <w:rsid w:val="00A712C3"/>
    <w:rsid w:val="00A71934"/>
    <w:rsid w:val="00A71951"/>
    <w:rsid w:val="00A71A8D"/>
    <w:rsid w:val="00A7208E"/>
    <w:rsid w:val="00A72690"/>
    <w:rsid w:val="00A726DA"/>
    <w:rsid w:val="00A72745"/>
    <w:rsid w:val="00A7298A"/>
    <w:rsid w:val="00A72E39"/>
    <w:rsid w:val="00A72EC8"/>
    <w:rsid w:val="00A72F15"/>
    <w:rsid w:val="00A732CF"/>
    <w:rsid w:val="00A73589"/>
    <w:rsid w:val="00A7373C"/>
    <w:rsid w:val="00A73887"/>
    <w:rsid w:val="00A73937"/>
    <w:rsid w:val="00A73950"/>
    <w:rsid w:val="00A744A2"/>
    <w:rsid w:val="00A74640"/>
    <w:rsid w:val="00A74B12"/>
    <w:rsid w:val="00A74B83"/>
    <w:rsid w:val="00A74BEB"/>
    <w:rsid w:val="00A74F68"/>
    <w:rsid w:val="00A752BD"/>
    <w:rsid w:val="00A756B9"/>
    <w:rsid w:val="00A758AC"/>
    <w:rsid w:val="00A7594C"/>
    <w:rsid w:val="00A75A34"/>
    <w:rsid w:val="00A76025"/>
    <w:rsid w:val="00A7607A"/>
    <w:rsid w:val="00A768AF"/>
    <w:rsid w:val="00A76A5B"/>
    <w:rsid w:val="00A76CE2"/>
    <w:rsid w:val="00A76E7B"/>
    <w:rsid w:val="00A771CF"/>
    <w:rsid w:val="00A7731B"/>
    <w:rsid w:val="00A77762"/>
    <w:rsid w:val="00A778BA"/>
    <w:rsid w:val="00A77D77"/>
    <w:rsid w:val="00A77D83"/>
    <w:rsid w:val="00A77FB0"/>
    <w:rsid w:val="00A801ED"/>
    <w:rsid w:val="00A80325"/>
    <w:rsid w:val="00A80D71"/>
    <w:rsid w:val="00A80E5B"/>
    <w:rsid w:val="00A8187F"/>
    <w:rsid w:val="00A81E41"/>
    <w:rsid w:val="00A82014"/>
    <w:rsid w:val="00A825C1"/>
    <w:rsid w:val="00A827A6"/>
    <w:rsid w:val="00A827AA"/>
    <w:rsid w:val="00A82AF9"/>
    <w:rsid w:val="00A82B0C"/>
    <w:rsid w:val="00A82B9F"/>
    <w:rsid w:val="00A82ED7"/>
    <w:rsid w:val="00A8323C"/>
    <w:rsid w:val="00A83659"/>
    <w:rsid w:val="00A837C5"/>
    <w:rsid w:val="00A83839"/>
    <w:rsid w:val="00A83B7A"/>
    <w:rsid w:val="00A83B97"/>
    <w:rsid w:val="00A83F4A"/>
    <w:rsid w:val="00A84001"/>
    <w:rsid w:val="00A84207"/>
    <w:rsid w:val="00A849EF"/>
    <w:rsid w:val="00A84DED"/>
    <w:rsid w:val="00A854DC"/>
    <w:rsid w:val="00A8556F"/>
    <w:rsid w:val="00A855E3"/>
    <w:rsid w:val="00A856B2"/>
    <w:rsid w:val="00A856FB"/>
    <w:rsid w:val="00A85A2E"/>
    <w:rsid w:val="00A85D69"/>
    <w:rsid w:val="00A85EED"/>
    <w:rsid w:val="00A85F50"/>
    <w:rsid w:val="00A861A7"/>
    <w:rsid w:val="00A86531"/>
    <w:rsid w:val="00A86E3A"/>
    <w:rsid w:val="00A87053"/>
    <w:rsid w:val="00A8723D"/>
    <w:rsid w:val="00A872B1"/>
    <w:rsid w:val="00A87823"/>
    <w:rsid w:val="00A90706"/>
    <w:rsid w:val="00A908D0"/>
    <w:rsid w:val="00A9097F"/>
    <w:rsid w:val="00A909B2"/>
    <w:rsid w:val="00A90A00"/>
    <w:rsid w:val="00A90DC5"/>
    <w:rsid w:val="00A90E8B"/>
    <w:rsid w:val="00A9104D"/>
    <w:rsid w:val="00A91DA6"/>
    <w:rsid w:val="00A92519"/>
    <w:rsid w:val="00A92A66"/>
    <w:rsid w:val="00A92AC7"/>
    <w:rsid w:val="00A92C12"/>
    <w:rsid w:val="00A92C22"/>
    <w:rsid w:val="00A9318E"/>
    <w:rsid w:val="00A936C7"/>
    <w:rsid w:val="00A9378A"/>
    <w:rsid w:val="00A93828"/>
    <w:rsid w:val="00A93840"/>
    <w:rsid w:val="00A93E5F"/>
    <w:rsid w:val="00A943C3"/>
    <w:rsid w:val="00A94444"/>
    <w:rsid w:val="00A94761"/>
    <w:rsid w:val="00A94EA3"/>
    <w:rsid w:val="00A9578D"/>
    <w:rsid w:val="00A95823"/>
    <w:rsid w:val="00A95A75"/>
    <w:rsid w:val="00A95B91"/>
    <w:rsid w:val="00A95E11"/>
    <w:rsid w:val="00A96077"/>
    <w:rsid w:val="00A96745"/>
    <w:rsid w:val="00A967EE"/>
    <w:rsid w:val="00A97011"/>
    <w:rsid w:val="00A97A0C"/>
    <w:rsid w:val="00A97A27"/>
    <w:rsid w:val="00A97D03"/>
    <w:rsid w:val="00A97F7D"/>
    <w:rsid w:val="00AA0405"/>
    <w:rsid w:val="00AA04B5"/>
    <w:rsid w:val="00AA051D"/>
    <w:rsid w:val="00AA0558"/>
    <w:rsid w:val="00AA098A"/>
    <w:rsid w:val="00AA1168"/>
    <w:rsid w:val="00AA11A5"/>
    <w:rsid w:val="00AA17E6"/>
    <w:rsid w:val="00AA1815"/>
    <w:rsid w:val="00AA1B38"/>
    <w:rsid w:val="00AA2004"/>
    <w:rsid w:val="00AA22DC"/>
    <w:rsid w:val="00AA2A67"/>
    <w:rsid w:val="00AA2C66"/>
    <w:rsid w:val="00AA2DC4"/>
    <w:rsid w:val="00AA30E8"/>
    <w:rsid w:val="00AA3172"/>
    <w:rsid w:val="00AA324F"/>
    <w:rsid w:val="00AA3266"/>
    <w:rsid w:val="00AA34F9"/>
    <w:rsid w:val="00AA35B3"/>
    <w:rsid w:val="00AA3D1E"/>
    <w:rsid w:val="00AA3F96"/>
    <w:rsid w:val="00AA47E0"/>
    <w:rsid w:val="00AA47E4"/>
    <w:rsid w:val="00AA490D"/>
    <w:rsid w:val="00AA4D26"/>
    <w:rsid w:val="00AA4DDC"/>
    <w:rsid w:val="00AA5103"/>
    <w:rsid w:val="00AA51F4"/>
    <w:rsid w:val="00AA562C"/>
    <w:rsid w:val="00AA56A3"/>
    <w:rsid w:val="00AA5982"/>
    <w:rsid w:val="00AA5BD4"/>
    <w:rsid w:val="00AA5F62"/>
    <w:rsid w:val="00AA6288"/>
    <w:rsid w:val="00AA6F93"/>
    <w:rsid w:val="00AA76DC"/>
    <w:rsid w:val="00AA7A05"/>
    <w:rsid w:val="00AA7BCE"/>
    <w:rsid w:val="00AA7C17"/>
    <w:rsid w:val="00AB0626"/>
    <w:rsid w:val="00AB0C57"/>
    <w:rsid w:val="00AB0DCF"/>
    <w:rsid w:val="00AB0E6C"/>
    <w:rsid w:val="00AB0FD4"/>
    <w:rsid w:val="00AB1696"/>
    <w:rsid w:val="00AB16DB"/>
    <w:rsid w:val="00AB18F9"/>
    <w:rsid w:val="00AB1B45"/>
    <w:rsid w:val="00AB1D05"/>
    <w:rsid w:val="00AB20A4"/>
    <w:rsid w:val="00AB2173"/>
    <w:rsid w:val="00AB2533"/>
    <w:rsid w:val="00AB27FB"/>
    <w:rsid w:val="00AB2895"/>
    <w:rsid w:val="00AB29CC"/>
    <w:rsid w:val="00AB31AC"/>
    <w:rsid w:val="00AB31C1"/>
    <w:rsid w:val="00AB3319"/>
    <w:rsid w:val="00AB3502"/>
    <w:rsid w:val="00AB35EB"/>
    <w:rsid w:val="00AB36B8"/>
    <w:rsid w:val="00AB3F26"/>
    <w:rsid w:val="00AB41A8"/>
    <w:rsid w:val="00AB4A08"/>
    <w:rsid w:val="00AB510F"/>
    <w:rsid w:val="00AB526A"/>
    <w:rsid w:val="00AB536D"/>
    <w:rsid w:val="00AB5400"/>
    <w:rsid w:val="00AB546C"/>
    <w:rsid w:val="00AB58EC"/>
    <w:rsid w:val="00AB5D4D"/>
    <w:rsid w:val="00AB5F29"/>
    <w:rsid w:val="00AB605E"/>
    <w:rsid w:val="00AB6147"/>
    <w:rsid w:val="00AB6548"/>
    <w:rsid w:val="00AB6895"/>
    <w:rsid w:val="00AB69A6"/>
    <w:rsid w:val="00AB69CB"/>
    <w:rsid w:val="00AB6CF9"/>
    <w:rsid w:val="00AB7B15"/>
    <w:rsid w:val="00AB7D17"/>
    <w:rsid w:val="00AB7E7B"/>
    <w:rsid w:val="00AC0010"/>
    <w:rsid w:val="00AC0166"/>
    <w:rsid w:val="00AC01B4"/>
    <w:rsid w:val="00AC07C6"/>
    <w:rsid w:val="00AC0C2A"/>
    <w:rsid w:val="00AC1191"/>
    <w:rsid w:val="00AC154A"/>
    <w:rsid w:val="00AC1968"/>
    <w:rsid w:val="00AC1ADD"/>
    <w:rsid w:val="00AC1C75"/>
    <w:rsid w:val="00AC2334"/>
    <w:rsid w:val="00AC2444"/>
    <w:rsid w:val="00AC2933"/>
    <w:rsid w:val="00AC2A46"/>
    <w:rsid w:val="00AC2BA7"/>
    <w:rsid w:val="00AC33C5"/>
    <w:rsid w:val="00AC3491"/>
    <w:rsid w:val="00AC352A"/>
    <w:rsid w:val="00AC3987"/>
    <w:rsid w:val="00AC3C08"/>
    <w:rsid w:val="00AC3C7B"/>
    <w:rsid w:val="00AC3CAE"/>
    <w:rsid w:val="00AC3D28"/>
    <w:rsid w:val="00AC444B"/>
    <w:rsid w:val="00AC5007"/>
    <w:rsid w:val="00AC517C"/>
    <w:rsid w:val="00AC51B4"/>
    <w:rsid w:val="00AC561A"/>
    <w:rsid w:val="00AC5B70"/>
    <w:rsid w:val="00AC5E50"/>
    <w:rsid w:val="00AC60C6"/>
    <w:rsid w:val="00AC64A6"/>
    <w:rsid w:val="00AC661E"/>
    <w:rsid w:val="00AC6757"/>
    <w:rsid w:val="00AC6AA5"/>
    <w:rsid w:val="00AC7180"/>
    <w:rsid w:val="00AC7207"/>
    <w:rsid w:val="00AC7509"/>
    <w:rsid w:val="00AC759E"/>
    <w:rsid w:val="00AC7847"/>
    <w:rsid w:val="00AC7B08"/>
    <w:rsid w:val="00AC7D51"/>
    <w:rsid w:val="00AC7DBE"/>
    <w:rsid w:val="00AD05B0"/>
    <w:rsid w:val="00AD0E84"/>
    <w:rsid w:val="00AD1201"/>
    <w:rsid w:val="00AD1260"/>
    <w:rsid w:val="00AD130C"/>
    <w:rsid w:val="00AD232D"/>
    <w:rsid w:val="00AD26E1"/>
    <w:rsid w:val="00AD2993"/>
    <w:rsid w:val="00AD2D52"/>
    <w:rsid w:val="00AD2D79"/>
    <w:rsid w:val="00AD2E5E"/>
    <w:rsid w:val="00AD2E8F"/>
    <w:rsid w:val="00AD3B67"/>
    <w:rsid w:val="00AD4045"/>
    <w:rsid w:val="00AD4587"/>
    <w:rsid w:val="00AD4613"/>
    <w:rsid w:val="00AD468B"/>
    <w:rsid w:val="00AD47D4"/>
    <w:rsid w:val="00AD4990"/>
    <w:rsid w:val="00AD4ADB"/>
    <w:rsid w:val="00AD4D5E"/>
    <w:rsid w:val="00AD4E47"/>
    <w:rsid w:val="00AD525C"/>
    <w:rsid w:val="00AD535E"/>
    <w:rsid w:val="00AD574F"/>
    <w:rsid w:val="00AD58FF"/>
    <w:rsid w:val="00AD5A7C"/>
    <w:rsid w:val="00AD5C0F"/>
    <w:rsid w:val="00AD68F8"/>
    <w:rsid w:val="00AD6B74"/>
    <w:rsid w:val="00AD6BBD"/>
    <w:rsid w:val="00AD6DDE"/>
    <w:rsid w:val="00AD6DE3"/>
    <w:rsid w:val="00AD76C2"/>
    <w:rsid w:val="00AD7B02"/>
    <w:rsid w:val="00AE0045"/>
    <w:rsid w:val="00AE07D0"/>
    <w:rsid w:val="00AE08A4"/>
    <w:rsid w:val="00AE0ADA"/>
    <w:rsid w:val="00AE0BFF"/>
    <w:rsid w:val="00AE0EE3"/>
    <w:rsid w:val="00AE1120"/>
    <w:rsid w:val="00AE1298"/>
    <w:rsid w:val="00AE1661"/>
    <w:rsid w:val="00AE1816"/>
    <w:rsid w:val="00AE25A5"/>
    <w:rsid w:val="00AE26E3"/>
    <w:rsid w:val="00AE2ACE"/>
    <w:rsid w:val="00AE2CF2"/>
    <w:rsid w:val="00AE2E40"/>
    <w:rsid w:val="00AE332B"/>
    <w:rsid w:val="00AE376C"/>
    <w:rsid w:val="00AE3864"/>
    <w:rsid w:val="00AE3A87"/>
    <w:rsid w:val="00AE3C00"/>
    <w:rsid w:val="00AE3C05"/>
    <w:rsid w:val="00AE3C83"/>
    <w:rsid w:val="00AE4702"/>
    <w:rsid w:val="00AE490A"/>
    <w:rsid w:val="00AE4E85"/>
    <w:rsid w:val="00AE4F7D"/>
    <w:rsid w:val="00AE4FC3"/>
    <w:rsid w:val="00AE5437"/>
    <w:rsid w:val="00AE558D"/>
    <w:rsid w:val="00AE561C"/>
    <w:rsid w:val="00AE5813"/>
    <w:rsid w:val="00AE584C"/>
    <w:rsid w:val="00AE5D0F"/>
    <w:rsid w:val="00AE5DF4"/>
    <w:rsid w:val="00AE5E13"/>
    <w:rsid w:val="00AE5F13"/>
    <w:rsid w:val="00AE5FFD"/>
    <w:rsid w:val="00AE6178"/>
    <w:rsid w:val="00AE6215"/>
    <w:rsid w:val="00AE640D"/>
    <w:rsid w:val="00AE6455"/>
    <w:rsid w:val="00AE64C7"/>
    <w:rsid w:val="00AE6B7B"/>
    <w:rsid w:val="00AE6CD3"/>
    <w:rsid w:val="00AE6CF8"/>
    <w:rsid w:val="00AE6E64"/>
    <w:rsid w:val="00AE6FBF"/>
    <w:rsid w:val="00AE73C2"/>
    <w:rsid w:val="00AF08B6"/>
    <w:rsid w:val="00AF0928"/>
    <w:rsid w:val="00AF0ADD"/>
    <w:rsid w:val="00AF0D91"/>
    <w:rsid w:val="00AF0EC5"/>
    <w:rsid w:val="00AF116D"/>
    <w:rsid w:val="00AF1393"/>
    <w:rsid w:val="00AF146D"/>
    <w:rsid w:val="00AF1497"/>
    <w:rsid w:val="00AF172E"/>
    <w:rsid w:val="00AF1892"/>
    <w:rsid w:val="00AF19FF"/>
    <w:rsid w:val="00AF1B6D"/>
    <w:rsid w:val="00AF1D24"/>
    <w:rsid w:val="00AF1EC1"/>
    <w:rsid w:val="00AF202B"/>
    <w:rsid w:val="00AF2B77"/>
    <w:rsid w:val="00AF3EA8"/>
    <w:rsid w:val="00AF3F7D"/>
    <w:rsid w:val="00AF41CC"/>
    <w:rsid w:val="00AF43E3"/>
    <w:rsid w:val="00AF4727"/>
    <w:rsid w:val="00AF4860"/>
    <w:rsid w:val="00AF49D7"/>
    <w:rsid w:val="00AF4B3B"/>
    <w:rsid w:val="00AF4B6B"/>
    <w:rsid w:val="00AF4BC0"/>
    <w:rsid w:val="00AF4DAF"/>
    <w:rsid w:val="00AF4EC4"/>
    <w:rsid w:val="00AF4EEC"/>
    <w:rsid w:val="00AF4FAE"/>
    <w:rsid w:val="00AF526A"/>
    <w:rsid w:val="00AF545B"/>
    <w:rsid w:val="00AF5E7B"/>
    <w:rsid w:val="00AF645C"/>
    <w:rsid w:val="00AF6921"/>
    <w:rsid w:val="00AF6A27"/>
    <w:rsid w:val="00AF6F58"/>
    <w:rsid w:val="00AF7063"/>
    <w:rsid w:val="00AF7398"/>
    <w:rsid w:val="00AF78BE"/>
    <w:rsid w:val="00AF7932"/>
    <w:rsid w:val="00AF7A4F"/>
    <w:rsid w:val="00AF7AA1"/>
    <w:rsid w:val="00AF7AA4"/>
    <w:rsid w:val="00AF7C24"/>
    <w:rsid w:val="00AF7EA6"/>
    <w:rsid w:val="00B00022"/>
    <w:rsid w:val="00B002DA"/>
    <w:rsid w:val="00B006CB"/>
    <w:rsid w:val="00B0080F"/>
    <w:rsid w:val="00B008A5"/>
    <w:rsid w:val="00B00EDF"/>
    <w:rsid w:val="00B00F5C"/>
    <w:rsid w:val="00B01299"/>
    <w:rsid w:val="00B01324"/>
    <w:rsid w:val="00B016F4"/>
    <w:rsid w:val="00B02FC1"/>
    <w:rsid w:val="00B02FF4"/>
    <w:rsid w:val="00B02FF9"/>
    <w:rsid w:val="00B034CD"/>
    <w:rsid w:val="00B037C1"/>
    <w:rsid w:val="00B038C6"/>
    <w:rsid w:val="00B03EED"/>
    <w:rsid w:val="00B03FEE"/>
    <w:rsid w:val="00B0458E"/>
    <w:rsid w:val="00B04D70"/>
    <w:rsid w:val="00B052F1"/>
    <w:rsid w:val="00B053FD"/>
    <w:rsid w:val="00B054BB"/>
    <w:rsid w:val="00B0553F"/>
    <w:rsid w:val="00B05628"/>
    <w:rsid w:val="00B05EAB"/>
    <w:rsid w:val="00B05F87"/>
    <w:rsid w:val="00B05FF7"/>
    <w:rsid w:val="00B06316"/>
    <w:rsid w:val="00B063DD"/>
    <w:rsid w:val="00B06456"/>
    <w:rsid w:val="00B06AD5"/>
    <w:rsid w:val="00B06C50"/>
    <w:rsid w:val="00B07372"/>
    <w:rsid w:val="00B073B0"/>
    <w:rsid w:val="00B0742E"/>
    <w:rsid w:val="00B07672"/>
    <w:rsid w:val="00B10703"/>
    <w:rsid w:val="00B10972"/>
    <w:rsid w:val="00B10999"/>
    <w:rsid w:val="00B10E3C"/>
    <w:rsid w:val="00B11956"/>
    <w:rsid w:val="00B1208A"/>
    <w:rsid w:val="00B124AB"/>
    <w:rsid w:val="00B126AC"/>
    <w:rsid w:val="00B127F7"/>
    <w:rsid w:val="00B12F07"/>
    <w:rsid w:val="00B130C7"/>
    <w:rsid w:val="00B134FA"/>
    <w:rsid w:val="00B1356E"/>
    <w:rsid w:val="00B13BDC"/>
    <w:rsid w:val="00B141C5"/>
    <w:rsid w:val="00B14202"/>
    <w:rsid w:val="00B1498D"/>
    <w:rsid w:val="00B14B95"/>
    <w:rsid w:val="00B14DF5"/>
    <w:rsid w:val="00B15017"/>
    <w:rsid w:val="00B153A3"/>
    <w:rsid w:val="00B15559"/>
    <w:rsid w:val="00B15C80"/>
    <w:rsid w:val="00B15D69"/>
    <w:rsid w:val="00B1607F"/>
    <w:rsid w:val="00B16175"/>
    <w:rsid w:val="00B1676B"/>
    <w:rsid w:val="00B17181"/>
    <w:rsid w:val="00B175EC"/>
    <w:rsid w:val="00B176CE"/>
    <w:rsid w:val="00B17D53"/>
    <w:rsid w:val="00B20054"/>
    <w:rsid w:val="00B2018C"/>
    <w:rsid w:val="00B205EC"/>
    <w:rsid w:val="00B2063D"/>
    <w:rsid w:val="00B20876"/>
    <w:rsid w:val="00B2098D"/>
    <w:rsid w:val="00B20A4B"/>
    <w:rsid w:val="00B20ACD"/>
    <w:rsid w:val="00B20C35"/>
    <w:rsid w:val="00B20CD0"/>
    <w:rsid w:val="00B20E59"/>
    <w:rsid w:val="00B21CBE"/>
    <w:rsid w:val="00B21EAD"/>
    <w:rsid w:val="00B21FBC"/>
    <w:rsid w:val="00B220C9"/>
    <w:rsid w:val="00B22160"/>
    <w:rsid w:val="00B221D8"/>
    <w:rsid w:val="00B2259F"/>
    <w:rsid w:val="00B23321"/>
    <w:rsid w:val="00B23392"/>
    <w:rsid w:val="00B23EF9"/>
    <w:rsid w:val="00B242C4"/>
    <w:rsid w:val="00B24306"/>
    <w:rsid w:val="00B243FE"/>
    <w:rsid w:val="00B24511"/>
    <w:rsid w:val="00B247EE"/>
    <w:rsid w:val="00B261CE"/>
    <w:rsid w:val="00B263E9"/>
    <w:rsid w:val="00B264CD"/>
    <w:rsid w:val="00B2657E"/>
    <w:rsid w:val="00B2658C"/>
    <w:rsid w:val="00B2678A"/>
    <w:rsid w:val="00B2696A"/>
    <w:rsid w:val="00B26A66"/>
    <w:rsid w:val="00B27092"/>
    <w:rsid w:val="00B271D5"/>
    <w:rsid w:val="00B27A5C"/>
    <w:rsid w:val="00B27C56"/>
    <w:rsid w:val="00B27F51"/>
    <w:rsid w:val="00B301EC"/>
    <w:rsid w:val="00B301EE"/>
    <w:rsid w:val="00B30822"/>
    <w:rsid w:val="00B31054"/>
    <w:rsid w:val="00B31282"/>
    <w:rsid w:val="00B314FA"/>
    <w:rsid w:val="00B318BC"/>
    <w:rsid w:val="00B31AA8"/>
    <w:rsid w:val="00B31E19"/>
    <w:rsid w:val="00B322D6"/>
    <w:rsid w:val="00B32639"/>
    <w:rsid w:val="00B3272B"/>
    <w:rsid w:val="00B32C26"/>
    <w:rsid w:val="00B33152"/>
    <w:rsid w:val="00B33167"/>
    <w:rsid w:val="00B3355D"/>
    <w:rsid w:val="00B335A2"/>
    <w:rsid w:val="00B3363E"/>
    <w:rsid w:val="00B3367F"/>
    <w:rsid w:val="00B33696"/>
    <w:rsid w:val="00B33717"/>
    <w:rsid w:val="00B337F4"/>
    <w:rsid w:val="00B3397B"/>
    <w:rsid w:val="00B339A8"/>
    <w:rsid w:val="00B33C6F"/>
    <w:rsid w:val="00B33CDD"/>
    <w:rsid w:val="00B33D89"/>
    <w:rsid w:val="00B348C8"/>
    <w:rsid w:val="00B34924"/>
    <w:rsid w:val="00B34936"/>
    <w:rsid w:val="00B34E30"/>
    <w:rsid w:val="00B34F91"/>
    <w:rsid w:val="00B35441"/>
    <w:rsid w:val="00B35501"/>
    <w:rsid w:val="00B358C3"/>
    <w:rsid w:val="00B35E8A"/>
    <w:rsid w:val="00B366B2"/>
    <w:rsid w:val="00B368EB"/>
    <w:rsid w:val="00B36A25"/>
    <w:rsid w:val="00B37128"/>
    <w:rsid w:val="00B37FA1"/>
    <w:rsid w:val="00B402A4"/>
    <w:rsid w:val="00B40411"/>
    <w:rsid w:val="00B408CA"/>
    <w:rsid w:val="00B40C24"/>
    <w:rsid w:val="00B40D88"/>
    <w:rsid w:val="00B40E4A"/>
    <w:rsid w:val="00B41A2B"/>
    <w:rsid w:val="00B41B7B"/>
    <w:rsid w:val="00B41E86"/>
    <w:rsid w:val="00B424C0"/>
    <w:rsid w:val="00B4251E"/>
    <w:rsid w:val="00B42591"/>
    <w:rsid w:val="00B4310E"/>
    <w:rsid w:val="00B43191"/>
    <w:rsid w:val="00B43217"/>
    <w:rsid w:val="00B432DA"/>
    <w:rsid w:val="00B43799"/>
    <w:rsid w:val="00B439A7"/>
    <w:rsid w:val="00B43D8D"/>
    <w:rsid w:val="00B43FA4"/>
    <w:rsid w:val="00B442A7"/>
    <w:rsid w:val="00B446C5"/>
    <w:rsid w:val="00B44917"/>
    <w:rsid w:val="00B44CFE"/>
    <w:rsid w:val="00B44F36"/>
    <w:rsid w:val="00B45791"/>
    <w:rsid w:val="00B45B25"/>
    <w:rsid w:val="00B45B80"/>
    <w:rsid w:val="00B45BAD"/>
    <w:rsid w:val="00B45F61"/>
    <w:rsid w:val="00B45FDB"/>
    <w:rsid w:val="00B45FEF"/>
    <w:rsid w:val="00B46228"/>
    <w:rsid w:val="00B46656"/>
    <w:rsid w:val="00B467F4"/>
    <w:rsid w:val="00B46BF9"/>
    <w:rsid w:val="00B46E2F"/>
    <w:rsid w:val="00B471F0"/>
    <w:rsid w:val="00B47A40"/>
    <w:rsid w:val="00B47BBF"/>
    <w:rsid w:val="00B50045"/>
    <w:rsid w:val="00B503CA"/>
    <w:rsid w:val="00B507CA"/>
    <w:rsid w:val="00B50890"/>
    <w:rsid w:val="00B509D0"/>
    <w:rsid w:val="00B50CCE"/>
    <w:rsid w:val="00B510B0"/>
    <w:rsid w:val="00B511B2"/>
    <w:rsid w:val="00B519B3"/>
    <w:rsid w:val="00B51B4A"/>
    <w:rsid w:val="00B51C0C"/>
    <w:rsid w:val="00B51DC8"/>
    <w:rsid w:val="00B51E66"/>
    <w:rsid w:val="00B522F5"/>
    <w:rsid w:val="00B52551"/>
    <w:rsid w:val="00B5287B"/>
    <w:rsid w:val="00B52D94"/>
    <w:rsid w:val="00B531E9"/>
    <w:rsid w:val="00B5393A"/>
    <w:rsid w:val="00B54656"/>
    <w:rsid w:val="00B54778"/>
    <w:rsid w:val="00B54A2B"/>
    <w:rsid w:val="00B54D4F"/>
    <w:rsid w:val="00B55482"/>
    <w:rsid w:val="00B556C0"/>
    <w:rsid w:val="00B5574E"/>
    <w:rsid w:val="00B5577E"/>
    <w:rsid w:val="00B55933"/>
    <w:rsid w:val="00B55C9E"/>
    <w:rsid w:val="00B55DBF"/>
    <w:rsid w:val="00B55DE7"/>
    <w:rsid w:val="00B55E74"/>
    <w:rsid w:val="00B5625C"/>
    <w:rsid w:val="00B56366"/>
    <w:rsid w:val="00B56FB6"/>
    <w:rsid w:val="00B56FC0"/>
    <w:rsid w:val="00B57124"/>
    <w:rsid w:val="00B57194"/>
    <w:rsid w:val="00B57614"/>
    <w:rsid w:val="00B5761C"/>
    <w:rsid w:val="00B5797E"/>
    <w:rsid w:val="00B579A5"/>
    <w:rsid w:val="00B57AB9"/>
    <w:rsid w:val="00B57F1D"/>
    <w:rsid w:val="00B607BC"/>
    <w:rsid w:val="00B60ADD"/>
    <w:rsid w:val="00B60C59"/>
    <w:rsid w:val="00B61006"/>
    <w:rsid w:val="00B61021"/>
    <w:rsid w:val="00B61244"/>
    <w:rsid w:val="00B6161A"/>
    <w:rsid w:val="00B616A4"/>
    <w:rsid w:val="00B61A4C"/>
    <w:rsid w:val="00B61FE1"/>
    <w:rsid w:val="00B621A5"/>
    <w:rsid w:val="00B622D0"/>
    <w:rsid w:val="00B624E4"/>
    <w:rsid w:val="00B62952"/>
    <w:rsid w:val="00B62C00"/>
    <w:rsid w:val="00B63B59"/>
    <w:rsid w:val="00B640E1"/>
    <w:rsid w:val="00B64202"/>
    <w:rsid w:val="00B6434B"/>
    <w:rsid w:val="00B645AB"/>
    <w:rsid w:val="00B64CD8"/>
    <w:rsid w:val="00B64D25"/>
    <w:rsid w:val="00B65234"/>
    <w:rsid w:val="00B652F1"/>
    <w:rsid w:val="00B65316"/>
    <w:rsid w:val="00B6576F"/>
    <w:rsid w:val="00B65D63"/>
    <w:rsid w:val="00B66012"/>
    <w:rsid w:val="00B664FE"/>
    <w:rsid w:val="00B665B8"/>
    <w:rsid w:val="00B66DC1"/>
    <w:rsid w:val="00B66E5F"/>
    <w:rsid w:val="00B66FCD"/>
    <w:rsid w:val="00B6721C"/>
    <w:rsid w:val="00B677A7"/>
    <w:rsid w:val="00B67B92"/>
    <w:rsid w:val="00B67F35"/>
    <w:rsid w:val="00B701B6"/>
    <w:rsid w:val="00B70379"/>
    <w:rsid w:val="00B70AA2"/>
    <w:rsid w:val="00B70AFD"/>
    <w:rsid w:val="00B70E64"/>
    <w:rsid w:val="00B717BC"/>
    <w:rsid w:val="00B71821"/>
    <w:rsid w:val="00B719EB"/>
    <w:rsid w:val="00B71A30"/>
    <w:rsid w:val="00B71D13"/>
    <w:rsid w:val="00B7250B"/>
    <w:rsid w:val="00B7274F"/>
    <w:rsid w:val="00B72859"/>
    <w:rsid w:val="00B72983"/>
    <w:rsid w:val="00B72AC0"/>
    <w:rsid w:val="00B72B39"/>
    <w:rsid w:val="00B73625"/>
    <w:rsid w:val="00B73873"/>
    <w:rsid w:val="00B74171"/>
    <w:rsid w:val="00B74194"/>
    <w:rsid w:val="00B74324"/>
    <w:rsid w:val="00B746A8"/>
    <w:rsid w:val="00B746BA"/>
    <w:rsid w:val="00B751C4"/>
    <w:rsid w:val="00B75503"/>
    <w:rsid w:val="00B7597E"/>
    <w:rsid w:val="00B75CAD"/>
    <w:rsid w:val="00B75E0C"/>
    <w:rsid w:val="00B75E3B"/>
    <w:rsid w:val="00B767E5"/>
    <w:rsid w:val="00B767FE"/>
    <w:rsid w:val="00B769F9"/>
    <w:rsid w:val="00B76AA2"/>
    <w:rsid w:val="00B76D3C"/>
    <w:rsid w:val="00B76EF8"/>
    <w:rsid w:val="00B7730A"/>
    <w:rsid w:val="00B776AA"/>
    <w:rsid w:val="00B77EFB"/>
    <w:rsid w:val="00B801D3"/>
    <w:rsid w:val="00B803B4"/>
    <w:rsid w:val="00B80635"/>
    <w:rsid w:val="00B806CC"/>
    <w:rsid w:val="00B80D1E"/>
    <w:rsid w:val="00B80D42"/>
    <w:rsid w:val="00B80FF8"/>
    <w:rsid w:val="00B814D9"/>
    <w:rsid w:val="00B814F9"/>
    <w:rsid w:val="00B8193E"/>
    <w:rsid w:val="00B81D49"/>
    <w:rsid w:val="00B81EFF"/>
    <w:rsid w:val="00B81FFA"/>
    <w:rsid w:val="00B82138"/>
    <w:rsid w:val="00B8240A"/>
    <w:rsid w:val="00B82A0D"/>
    <w:rsid w:val="00B82A3E"/>
    <w:rsid w:val="00B82C1A"/>
    <w:rsid w:val="00B8392A"/>
    <w:rsid w:val="00B83F3B"/>
    <w:rsid w:val="00B8425C"/>
    <w:rsid w:val="00B847E3"/>
    <w:rsid w:val="00B85186"/>
    <w:rsid w:val="00B85194"/>
    <w:rsid w:val="00B852B5"/>
    <w:rsid w:val="00B85A45"/>
    <w:rsid w:val="00B85AC6"/>
    <w:rsid w:val="00B85B2A"/>
    <w:rsid w:val="00B85F93"/>
    <w:rsid w:val="00B8683D"/>
    <w:rsid w:val="00B86CAD"/>
    <w:rsid w:val="00B86F34"/>
    <w:rsid w:val="00B87469"/>
    <w:rsid w:val="00B87D0E"/>
    <w:rsid w:val="00B90291"/>
    <w:rsid w:val="00B90457"/>
    <w:rsid w:val="00B909A6"/>
    <w:rsid w:val="00B909A7"/>
    <w:rsid w:val="00B90C1B"/>
    <w:rsid w:val="00B90C61"/>
    <w:rsid w:val="00B90E5E"/>
    <w:rsid w:val="00B91990"/>
    <w:rsid w:val="00B91C78"/>
    <w:rsid w:val="00B91EE8"/>
    <w:rsid w:val="00B91F03"/>
    <w:rsid w:val="00B92312"/>
    <w:rsid w:val="00B9258F"/>
    <w:rsid w:val="00B926D1"/>
    <w:rsid w:val="00B9287E"/>
    <w:rsid w:val="00B928DD"/>
    <w:rsid w:val="00B92D09"/>
    <w:rsid w:val="00B92E45"/>
    <w:rsid w:val="00B934A3"/>
    <w:rsid w:val="00B93507"/>
    <w:rsid w:val="00B93AB1"/>
    <w:rsid w:val="00B93CA1"/>
    <w:rsid w:val="00B93D32"/>
    <w:rsid w:val="00B93D46"/>
    <w:rsid w:val="00B93F44"/>
    <w:rsid w:val="00B93F5F"/>
    <w:rsid w:val="00B9426D"/>
    <w:rsid w:val="00B944B7"/>
    <w:rsid w:val="00B94ACA"/>
    <w:rsid w:val="00B94AE9"/>
    <w:rsid w:val="00B94BCF"/>
    <w:rsid w:val="00B94F87"/>
    <w:rsid w:val="00B9525E"/>
    <w:rsid w:val="00B95804"/>
    <w:rsid w:val="00B95FE7"/>
    <w:rsid w:val="00B960BB"/>
    <w:rsid w:val="00B96DFC"/>
    <w:rsid w:val="00B9771F"/>
    <w:rsid w:val="00B97F45"/>
    <w:rsid w:val="00BA000B"/>
    <w:rsid w:val="00BA039F"/>
    <w:rsid w:val="00BA0401"/>
    <w:rsid w:val="00BA049C"/>
    <w:rsid w:val="00BA05F0"/>
    <w:rsid w:val="00BA0699"/>
    <w:rsid w:val="00BA0908"/>
    <w:rsid w:val="00BA114E"/>
    <w:rsid w:val="00BA1502"/>
    <w:rsid w:val="00BA1BDD"/>
    <w:rsid w:val="00BA1D33"/>
    <w:rsid w:val="00BA1E2B"/>
    <w:rsid w:val="00BA25DE"/>
    <w:rsid w:val="00BA2CB7"/>
    <w:rsid w:val="00BA3018"/>
    <w:rsid w:val="00BA3032"/>
    <w:rsid w:val="00BA3797"/>
    <w:rsid w:val="00BA3A4F"/>
    <w:rsid w:val="00BA3F3D"/>
    <w:rsid w:val="00BA4591"/>
    <w:rsid w:val="00BA48CB"/>
    <w:rsid w:val="00BA48E0"/>
    <w:rsid w:val="00BA4BC7"/>
    <w:rsid w:val="00BA4CCB"/>
    <w:rsid w:val="00BA57B7"/>
    <w:rsid w:val="00BA5A80"/>
    <w:rsid w:val="00BA5C64"/>
    <w:rsid w:val="00BA60A8"/>
    <w:rsid w:val="00BA673E"/>
    <w:rsid w:val="00BA682C"/>
    <w:rsid w:val="00BA6851"/>
    <w:rsid w:val="00BA6954"/>
    <w:rsid w:val="00BA69B3"/>
    <w:rsid w:val="00BA6E74"/>
    <w:rsid w:val="00BA7392"/>
    <w:rsid w:val="00BA7665"/>
    <w:rsid w:val="00BA7988"/>
    <w:rsid w:val="00BB025C"/>
    <w:rsid w:val="00BB02C1"/>
    <w:rsid w:val="00BB05E3"/>
    <w:rsid w:val="00BB0797"/>
    <w:rsid w:val="00BB0A2F"/>
    <w:rsid w:val="00BB0DED"/>
    <w:rsid w:val="00BB0EE2"/>
    <w:rsid w:val="00BB11E5"/>
    <w:rsid w:val="00BB1933"/>
    <w:rsid w:val="00BB1952"/>
    <w:rsid w:val="00BB1BC2"/>
    <w:rsid w:val="00BB1E3E"/>
    <w:rsid w:val="00BB1EC7"/>
    <w:rsid w:val="00BB230B"/>
    <w:rsid w:val="00BB2627"/>
    <w:rsid w:val="00BB26D4"/>
    <w:rsid w:val="00BB2A7F"/>
    <w:rsid w:val="00BB2EDD"/>
    <w:rsid w:val="00BB3222"/>
    <w:rsid w:val="00BB35D3"/>
    <w:rsid w:val="00BB3654"/>
    <w:rsid w:val="00BB369D"/>
    <w:rsid w:val="00BB3A25"/>
    <w:rsid w:val="00BB4056"/>
    <w:rsid w:val="00BB4772"/>
    <w:rsid w:val="00BB485B"/>
    <w:rsid w:val="00BB4925"/>
    <w:rsid w:val="00BB4BBD"/>
    <w:rsid w:val="00BB4D6B"/>
    <w:rsid w:val="00BB4F0D"/>
    <w:rsid w:val="00BB5013"/>
    <w:rsid w:val="00BB5254"/>
    <w:rsid w:val="00BB5984"/>
    <w:rsid w:val="00BB5D86"/>
    <w:rsid w:val="00BB5EE9"/>
    <w:rsid w:val="00BB6132"/>
    <w:rsid w:val="00BB62AF"/>
    <w:rsid w:val="00BB62FA"/>
    <w:rsid w:val="00BB645C"/>
    <w:rsid w:val="00BB6544"/>
    <w:rsid w:val="00BB67F1"/>
    <w:rsid w:val="00BB6FCC"/>
    <w:rsid w:val="00BB7104"/>
    <w:rsid w:val="00BB7357"/>
    <w:rsid w:val="00BB7372"/>
    <w:rsid w:val="00BB73CB"/>
    <w:rsid w:val="00BB79D7"/>
    <w:rsid w:val="00BB7C5C"/>
    <w:rsid w:val="00BB7D84"/>
    <w:rsid w:val="00BB7E84"/>
    <w:rsid w:val="00BC0451"/>
    <w:rsid w:val="00BC0A6A"/>
    <w:rsid w:val="00BC0CC0"/>
    <w:rsid w:val="00BC0DC6"/>
    <w:rsid w:val="00BC1127"/>
    <w:rsid w:val="00BC123A"/>
    <w:rsid w:val="00BC12C4"/>
    <w:rsid w:val="00BC1451"/>
    <w:rsid w:val="00BC1B23"/>
    <w:rsid w:val="00BC1C95"/>
    <w:rsid w:val="00BC22C6"/>
    <w:rsid w:val="00BC2519"/>
    <w:rsid w:val="00BC25D6"/>
    <w:rsid w:val="00BC27C7"/>
    <w:rsid w:val="00BC2BF2"/>
    <w:rsid w:val="00BC2C7E"/>
    <w:rsid w:val="00BC2EBA"/>
    <w:rsid w:val="00BC2F77"/>
    <w:rsid w:val="00BC356E"/>
    <w:rsid w:val="00BC37DE"/>
    <w:rsid w:val="00BC3E3C"/>
    <w:rsid w:val="00BC4441"/>
    <w:rsid w:val="00BC45A1"/>
    <w:rsid w:val="00BC45D0"/>
    <w:rsid w:val="00BC4B33"/>
    <w:rsid w:val="00BC4D2A"/>
    <w:rsid w:val="00BC4D7B"/>
    <w:rsid w:val="00BC5004"/>
    <w:rsid w:val="00BC5231"/>
    <w:rsid w:val="00BC5705"/>
    <w:rsid w:val="00BC58DA"/>
    <w:rsid w:val="00BC5A74"/>
    <w:rsid w:val="00BC5D16"/>
    <w:rsid w:val="00BC5D3F"/>
    <w:rsid w:val="00BC5D9E"/>
    <w:rsid w:val="00BC5F6C"/>
    <w:rsid w:val="00BC6124"/>
    <w:rsid w:val="00BC624A"/>
    <w:rsid w:val="00BC77ED"/>
    <w:rsid w:val="00BC7C43"/>
    <w:rsid w:val="00BD0048"/>
    <w:rsid w:val="00BD01A2"/>
    <w:rsid w:val="00BD04C0"/>
    <w:rsid w:val="00BD0645"/>
    <w:rsid w:val="00BD0699"/>
    <w:rsid w:val="00BD0860"/>
    <w:rsid w:val="00BD0E07"/>
    <w:rsid w:val="00BD12E3"/>
    <w:rsid w:val="00BD18DE"/>
    <w:rsid w:val="00BD1ABB"/>
    <w:rsid w:val="00BD1F60"/>
    <w:rsid w:val="00BD2075"/>
    <w:rsid w:val="00BD2760"/>
    <w:rsid w:val="00BD2C85"/>
    <w:rsid w:val="00BD318B"/>
    <w:rsid w:val="00BD3215"/>
    <w:rsid w:val="00BD3E24"/>
    <w:rsid w:val="00BD3F34"/>
    <w:rsid w:val="00BD40F0"/>
    <w:rsid w:val="00BD43A7"/>
    <w:rsid w:val="00BD52AD"/>
    <w:rsid w:val="00BD56F7"/>
    <w:rsid w:val="00BD5A24"/>
    <w:rsid w:val="00BD5BB9"/>
    <w:rsid w:val="00BD5C4A"/>
    <w:rsid w:val="00BD5CD8"/>
    <w:rsid w:val="00BD6162"/>
    <w:rsid w:val="00BD642B"/>
    <w:rsid w:val="00BD6439"/>
    <w:rsid w:val="00BD684D"/>
    <w:rsid w:val="00BD6A95"/>
    <w:rsid w:val="00BD70FC"/>
    <w:rsid w:val="00BD7102"/>
    <w:rsid w:val="00BD715E"/>
    <w:rsid w:val="00BD7AAB"/>
    <w:rsid w:val="00BE0368"/>
    <w:rsid w:val="00BE06C0"/>
    <w:rsid w:val="00BE06D5"/>
    <w:rsid w:val="00BE06ED"/>
    <w:rsid w:val="00BE0867"/>
    <w:rsid w:val="00BE0B18"/>
    <w:rsid w:val="00BE0C3A"/>
    <w:rsid w:val="00BE13F4"/>
    <w:rsid w:val="00BE1411"/>
    <w:rsid w:val="00BE1631"/>
    <w:rsid w:val="00BE1B35"/>
    <w:rsid w:val="00BE1DB7"/>
    <w:rsid w:val="00BE22BB"/>
    <w:rsid w:val="00BE2564"/>
    <w:rsid w:val="00BE2978"/>
    <w:rsid w:val="00BE2A71"/>
    <w:rsid w:val="00BE2E9A"/>
    <w:rsid w:val="00BE30F4"/>
    <w:rsid w:val="00BE31E6"/>
    <w:rsid w:val="00BE33B1"/>
    <w:rsid w:val="00BE3627"/>
    <w:rsid w:val="00BE3926"/>
    <w:rsid w:val="00BE39CC"/>
    <w:rsid w:val="00BE4026"/>
    <w:rsid w:val="00BE40BE"/>
    <w:rsid w:val="00BE44A6"/>
    <w:rsid w:val="00BE45A3"/>
    <w:rsid w:val="00BE48AA"/>
    <w:rsid w:val="00BE56D0"/>
    <w:rsid w:val="00BE5F63"/>
    <w:rsid w:val="00BE6114"/>
    <w:rsid w:val="00BE6330"/>
    <w:rsid w:val="00BE689C"/>
    <w:rsid w:val="00BE699E"/>
    <w:rsid w:val="00BE6E71"/>
    <w:rsid w:val="00BE71E8"/>
    <w:rsid w:val="00BE725E"/>
    <w:rsid w:val="00BE7303"/>
    <w:rsid w:val="00BE78F4"/>
    <w:rsid w:val="00BE7D93"/>
    <w:rsid w:val="00BF0285"/>
    <w:rsid w:val="00BF0288"/>
    <w:rsid w:val="00BF043D"/>
    <w:rsid w:val="00BF0470"/>
    <w:rsid w:val="00BF09A0"/>
    <w:rsid w:val="00BF0B21"/>
    <w:rsid w:val="00BF0D19"/>
    <w:rsid w:val="00BF1032"/>
    <w:rsid w:val="00BF19D0"/>
    <w:rsid w:val="00BF1A95"/>
    <w:rsid w:val="00BF217B"/>
    <w:rsid w:val="00BF22DD"/>
    <w:rsid w:val="00BF23A2"/>
    <w:rsid w:val="00BF26C8"/>
    <w:rsid w:val="00BF28F4"/>
    <w:rsid w:val="00BF30AA"/>
    <w:rsid w:val="00BF31A5"/>
    <w:rsid w:val="00BF31AB"/>
    <w:rsid w:val="00BF31FB"/>
    <w:rsid w:val="00BF347B"/>
    <w:rsid w:val="00BF397E"/>
    <w:rsid w:val="00BF3DA8"/>
    <w:rsid w:val="00BF3F5C"/>
    <w:rsid w:val="00BF40EC"/>
    <w:rsid w:val="00BF4141"/>
    <w:rsid w:val="00BF4840"/>
    <w:rsid w:val="00BF4B8B"/>
    <w:rsid w:val="00BF4D76"/>
    <w:rsid w:val="00BF4D93"/>
    <w:rsid w:val="00BF4F46"/>
    <w:rsid w:val="00BF5020"/>
    <w:rsid w:val="00BF5038"/>
    <w:rsid w:val="00BF514D"/>
    <w:rsid w:val="00BF5421"/>
    <w:rsid w:val="00BF55A8"/>
    <w:rsid w:val="00BF55F4"/>
    <w:rsid w:val="00BF5AB5"/>
    <w:rsid w:val="00BF5F4A"/>
    <w:rsid w:val="00BF6385"/>
    <w:rsid w:val="00BF6629"/>
    <w:rsid w:val="00BF67DA"/>
    <w:rsid w:val="00BF6AA1"/>
    <w:rsid w:val="00BF72F4"/>
    <w:rsid w:val="00BF7469"/>
    <w:rsid w:val="00BF764C"/>
    <w:rsid w:val="00BF799F"/>
    <w:rsid w:val="00BF7B90"/>
    <w:rsid w:val="00C00ADD"/>
    <w:rsid w:val="00C00D84"/>
    <w:rsid w:val="00C01413"/>
    <w:rsid w:val="00C01550"/>
    <w:rsid w:val="00C01573"/>
    <w:rsid w:val="00C01611"/>
    <w:rsid w:val="00C01B95"/>
    <w:rsid w:val="00C01C3A"/>
    <w:rsid w:val="00C01F3B"/>
    <w:rsid w:val="00C0200B"/>
    <w:rsid w:val="00C025BE"/>
    <w:rsid w:val="00C027C8"/>
    <w:rsid w:val="00C0292C"/>
    <w:rsid w:val="00C02B48"/>
    <w:rsid w:val="00C02B8B"/>
    <w:rsid w:val="00C02D0E"/>
    <w:rsid w:val="00C02E12"/>
    <w:rsid w:val="00C02F78"/>
    <w:rsid w:val="00C0300F"/>
    <w:rsid w:val="00C037AE"/>
    <w:rsid w:val="00C03A83"/>
    <w:rsid w:val="00C03CC7"/>
    <w:rsid w:val="00C03D7E"/>
    <w:rsid w:val="00C03E09"/>
    <w:rsid w:val="00C03F4F"/>
    <w:rsid w:val="00C04146"/>
    <w:rsid w:val="00C043C4"/>
    <w:rsid w:val="00C0490F"/>
    <w:rsid w:val="00C04CEB"/>
    <w:rsid w:val="00C04D75"/>
    <w:rsid w:val="00C04ECF"/>
    <w:rsid w:val="00C05171"/>
    <w:rsid w:val="00C052CE"/>
    <w:rsid w:val="00C056B6"/>
    <w:rsid w:val="00C06855"/>
    <w:rsid w:val="00C06A58"/>
    <w:rsid w:val="00C07666"/>
    <w:rsid w:val="00C07A41"/>
    <w:rsid w:val="00C100B1"/>
    <w:rsid w:val="00C100C3"/>
    <w:rsid w:val="00C103C5"/>
    <w:rsid w:val="00C1066D"/>
    <w:rsid w:val="00C1074E"/>
    <w:rsid w:val="00C10CEA"/>
    <w:rsid w:val="00C10EF1"/>
    <w:rsid w:val="00C110D8"/>
    <w:rsid w:val="00C11253"/>
    <w:rsid w:val="00C114BA"/>
    <w:rsid w:val="00C11522"/>
    <w:rsid w:val="00C11904"/>
    <w:rsid w:val="00C11A48"/>
    <w:rsid w:val="00C11B65"/>
    <w:rsid w:val="00C11D1D"/>
    <w:rsid w:val="00C12685"/>
    <w:rsid w:val="00C12AFC"/>
    <w:rsid w:val="00C12D18"/>
    <w:rsid w:val="00C13190"/>
    <w:rsid w:val="00C1358B"/>
    <w:rsid w:val="00C1383D"/>
    <w:rsid w:val="00C13DA3"/>
    <w:rsid w:val="00C13EBA"/>
    <w:rsid w:val="00C140ED"/>
    <w:rsid w:val="00C14372"/>
    <w:rsid w:val="00C14749"/>
    <w:rsid w:val="00C14A57"/>
    <w:rsid w:val="00C14ECD"/>
    <w:rsid w:val="00C14FA4"/>
    <w:rsid w:val="00C1511A"/>
    <w:rsid w:val="00C1551C"/>
    <w:rsid w:val="00C157BC"/>
    <w:rsid w:val="00C15A3C"/>
    <w:rsid w:val="00C15D0D"/>
    <w:rsid w:val="00C15FA9"/>
    <w:rsid w:val="00C16225"/>
    <w:rsid w:val="00C1739B"/>
    <w:rsid w:val="00C174A6"/>
    <w:rsid w:val="00C174FF"/>
    <w:rsid w:val="00C17532"/>
    <w:rsid w:val="00C176B5"/>
    <w:rsid w:val="00C17C77"/>
    <w:rsid w:val="00C17DB4"/>
    <w:rsid w:val="00C17DCF"/>
    <w:rsid w:val="00C202D7"/>
    <w:rsid w:val="00C20343"/>
    <w:rsid w:val="00C2054A"/>
    <w:rsid w:val="00C20774"/>
    <w:rsid w:val="00C20806"/>
    <w:rsid w:val="00C20850"/>
    <w:rsid w:val="00C20A57"/>
    <w:rsid w:val="00C20B3D"/>
    <w:rsid w:val="00C20B5D"/>
    <w:rsid w:val="00C20C78"/>
    <w:rsid w:val="00C20F7E"/>
    <w:rsid w:val="00C21186"/>
    <w:rsid w:val="00C21527"/>
    <w:rsid w:val="00C21AAA"/>
    <w:rsid w:val="00C21F06"/>
    <w:rsid w:val="00C21F35"/>
    <w:rsid w:val="00C221BE"/>
    <w:rsid w:val="00C2285E"/>
    <w:rsid w:val="00C22E0F"/>
    <w:rsid w:val="00C230B9"/>
    <w:rsid w:val="00C234D3"/>
    <w:rsid w:val="00C23835"/>
    <w:rsid w:val="00C23FBA"/>
    <w:rsid w:val="00C243BA"/>
    <w:rsid w:val="00C246DE"/>
    <w:rsid w:val="00C247BC"/>
    <w:rsid w:val="00C24BBE"/>
    <w:rsid w:val="00C24F28"/>
    <w:rsid w:val="00C2522B"/>
    <w:rsid w:val="00C25256"/>
    <w:rsid w:val="00C25698"/>
    <w:rsid w:val="00C256ED"/>
    <w:rsid w:val="00C2580B"/>
    <w:rsid w:val="00C260AB"/>
    <w:rsid w:val="00C263CD"/>
    <w:rsid w:val="00C26A05"/>
    <w:rsid w:val="00C26B04"/>
    <w:rsid w:val="00C26F40"/>
    <w:rsid w:val="00C27176"/>
    <w:rsid w:val="00C2744C"/>
    <w:rsid w:val="00C274CD"/>
    <w:rsid w:val="00C27653"/>
    <w:rsid w:val="00C27E89"/>
    <w:rsid w:val="00C301BA"/>
    <w:rsid w:val="00C30DFA"/>
    <w:rsid w:val="00C31614"/>
    <w:rsid w:val="00C317DA"/>
    <w:rsid w:val="00C3183F"/>
    <w:rsid w:val="00C31C1A"/>
    <w:rsid w:val="00C31FF5"/>
    <w:rsid w:val="00C32E05"/>
    <w:rsid w:val="00C32F24"/>
    <w:rsid w:val="00C33001"/>
    <w:rsid w:val="00C33420"/>
    <w:rsid w:val="00C33489"/>
    <w:rsid w:val="00C33581"/>
    <w:rsid w:val="00C33B1F"/>
    <w:rsid w:val="00C33EA5"/>
    <w:rsid w:val="00C341C3"/>
    <w:rsid w:val="00C356A5"/>
    <w:rsid w:val="00C356FA"/>
    <w:rsid w:val="00C357F5"/>
    <w:rsid w:val="00C35AE5"/>
    <w:rsid w:val="00C36341"/>
    <w:rsid w:val="00C36477"/>
    <w:rsid w:val="00C36589"/>
    <w:rsid w:val="00C36846"/>
    <w:rsid w:val="00C36992"/>
    <w:rsid w:val="00C36A17"/>
    <w:rsid w:val="00C37259"/>
    <w:rsid w:val="00C37A9E"/>
    <w:rsid w:val="00C4034F"/>
    <w:rsid w:val="00C405B9"/>
    <w:rsid w:val="00C40D21"/>
    <w:rsid w:val="00C40EB0"/>
    <w:rsid w:val="00C410E1"/>
    <w:rsid w:val="00C41346"/>
    <w:rsid w:val="00C413E4"/>
    <w:rsid w:val="00C417EF"/>
    <w:rsid w:val="00C41BA0"/>
    <w:rsid w:val="00C42202"/>
    <w:rsid w:val="00C42821"/>
    <w:rsid w:val="00C4287D"/>
    <w:rsid w:val="00C42A05"/>
    <w:rsid w:val="00C42A78"/>
    <w:rsid w:val="00C42B8E"/>
    <w:rsid w:val="00C4315A"/>
    <w:rsid w:val="00C432BE"/>
    <w:rsid w:val="00C43ACA"/>
    <w:rsid w:val="00C44398"/>
    <w:rsid w:val="00C44563"/>
    <w:rsid w:val="00C44662"/>
    <w:rsid w:val="00C448A3"/>
    <w:rsid w:val="00C44BED"/>
    <w:rsid w:val="00C44FAC"/>
    <w:rsid w:val="00C457DD"/>
    <w:rsid w:val="00C45913"/>
    <w:rsid w:val="00C45F53"/>
    <w:rsid w:val="00C45FC1"/>
    <w:rsid w:val="00C4679F"/>
    <w:rsid w:val="00C46879"/>
    <w:rsid w:val="00C46915"/>
    <w:rsid w:val="00C46A06"/>
    <w:rsid w:val="00C46ED3"/>
    <w:rsid w:val="00C47CB5"/>
    <w:rsid w:val="00C50A33"/>
    <w:rsid w:val="00C50C16"/>
    <w:rsid w:val="00C50F0B"/>
    <w:rsid w:val="00C513A3"/>
    <w:rsid w:val="00C5147B"/>
    <w:rsid w:val="00C51EF2"/>
    <w:rsid w:val="00C520C1"/>
    <w:rsid w:val="00C522DD"/>
    <w:rsid w:val="00C52E4F"/>
    <w:rsid w:val="00C52E5F"/>
    <w:rsid w:val="00C53724"/>
    <w:rsid w:val="00C540B2"/>
    <w:rsid w:val="00C542D6"/>
    <w:rsid w:val="00C54505"/>
    <w:rsid w:val="00C54955"/>
    <w:rsid w:val="00C54C5D"/>
    <w:rsid w:val="00C55128"/>
    <w:rsid w:val="00C55131"/>
    <w:rsid w:val="00C55413"/>
    <w:rsid w:val="00C55AF7"/>
    <w:rsid w:val="00C55B1B"/>
    <w:rsid w:val="00C55C89"/>
    <w:rsid w:val="00C56324"/>
    <w:rsid w:val="00C5637C"/>
    <w:rsid w:val="00C5648E"/>
    <w:rsid w:val="00C56744"/>
    <w:rsid w:val="00C56D4F"/>
    <w:rsid w:val="00C56DDB"/>
    <w:rsid w:val="00C5727F"/>
    <w:rsid w:val="00C575BA"/>
    <w:rsid w:val="00C577A0"/>
    <w:rsid w:val="00C57A41"/>
    <w:rsid w:val="00C57A81"/>
    <w:rsid w:val="00C57E9F"/>
    <w:rsid w:val="00C601FD"/>
    <w:rsid w:val="00C60393"/>
    <w:rsid w:val="00C60953"/>
    <w:rsid w:val="00C609AC"/>
    <w:rsid w:val="00C60BDF"/>
    <w:rsid w:val="00C60C16"/>
    <w:rsid w:val="00C6127C"/>
    <w:rsid w:val="00C61310"/>
    <w:rsid w:val="00C6173E"/>
    <w:rsid w:val="00C617D1"/>
    <w:rsid w:val="00C61E39"/>
    <w:rsid w:val="00C61E78"/>
    <w:rsid w:val="00C62498"/>
    <w:rsid w:val="00C624B7"/>
    <w:rsid w:val="00C62B48"/>
    <w:rsid w:val="00C630B2"/>
    <w:rsid w:val="00C631A1"/>
    <w:rsid w:val="00C632DD"/>
    <w:rsid w:val="00C63BC6"/>
    <w:rsid w:val="00C6481C"/>
    <w:rsid w:val="00C64F60"/>
    <w:rsid w:val="00C655B5"/>
    <w:rsid w:val="00C65627"/>
    <w:rsid w:val="00C658A4"/>
    <w:rsid w:val="00C6593E"/>
    <w:rsid w:val="00C65C2A"/>
    <w:rsid w:val="00C663CE"/>
    <w:rsid w:val="00C663DB"/>
    <w:rsid w:val="00C66561"/>
    <w:rsid w:val="00C66A66"/>
    <w:rsid w:val="00C66D01"/>
    <w:rsid w:val="00C66D06"/>
    <w:rsid w:val="00C671C1"/>
    <w:rsid w:val="00C6762E"/>
    <w:rsid w:val="00C678A3"/>
    <w:rsid w:val="00C70034"/>
    <w:rsid w:val="00C704B0"/>
    <w:rsid w:val="00C70A9D"/>
    <w:rsid w:val="00C70AC3"/>
    <w:rsid w:val="00C70BB9"/>
    <w:rsid w:val="00C713F4"/>
    <w:rsid w:val="00C716F4"/>
    <w:rsid w:val="00C720AF"/>
    <w:rsid w:val="00C724E4"/>
    <w:rsid w:val="00C72B55"/>
    <w:rsid w:val="00C72BF4"/>
    <w:rsid w:val="00C73326"/>
    <w:rsid w:val="00C7384B"/>
    <w:rsid w:val="00C73AE2"/>
    <w:rsid w:val="00C73F33"/>
    <w:rsid w:val="00C74660"/>
    <w:rsid w:val="00C74673"/>
    <w:rsid w:val="00C74CFA"/>
    <w:rsid w:val="00C74ED2"/>
    <w:rsid w:val="00C75334"/>
    <w:rsid w:val="00C760CE"/>
    <w:rsid w:val="00C7640A"/>
    <w:rsid w:val="00C764AB"/>
    <w:rsid w:val="00C767C8"/>
    <w:rsid w:val="00C76BFD"/>
    <w:rsid w:val="00C76CC3"/>
    <w:rsid w:val="00C76D70"/>
    <w:rsid w:val="00C76FD8"/>
    <w:rsid w:val="00C77EE0"/>
    <w:rsid w:val="00C8001C"/>
    <w:rsid w:val="00C8011A"/>
    <w:rsid w:val="00C8071C"/>
    <w:rsid w:val="00C80847"/>
    <w:rsid w:val="00C80900"/>
    <w:rsid w:val="00C80EF3"/>
    <w:rsid w:val="00C80FA0"/>
    <w:rsid w:val="00C81297"/>
    <w:rsid w:val="00C81A4A"/>
    <w:rsid w:val="00C81ED1"/>
    <w:rsid w:val="00C8227F"/>
    <w:rsid w:val="00C8241F"/>
    <w:rsid w:val="00C8246D"/>
    <w:rsid w:val="00C82A3C"/>
    <w:rsid w:val="00C83199"/>
    <w:rsid w:val="00C8357E"/>
    <w:rsid w:val="00C838BE"/>
    <w:rsid w:val="00C83A79"/>
    <w:rsid w:val="00C83AA6"/>
    <w:rsid w:val="00C84769"/>
    <w:rsid w:val="00C84A72"/>
    <w:rsid w:val="00C84AA1"/>
    <w:rsid w:val="00C84ACE"/>
    <w:rsid w:val="00C84DD6"/>
    <w:rsid w:val="00C85108"/>
    <w:rsid w:val="00C85AE4"/>
    <w:rsid w:val="00C862CB"/>
    <w:rsid w:val="00C86416"/>
    <w:rsid w:val="00C864A9"/>
    <w:rsid w:val="00C866BD"/>
    <w:rsid w:val="00C8680F"/>
    <w:rsid w:val="00C8696D"/>
    <w:rsid w:val="00C871E5"/>
    <w:rsid w:val="00C872AA"/>
    <w:rsid w:val="00C873DB"/>
    <w:rsid w:val="00C8750B"/>
    <w:rsid w:val="00C879CB"/>
    <w:rsid w:val="00C87B31"/>
    <w:rsid w:val="00C87C10"/>
    <w:rsid w:val="00C90311"/>
    <w:rsid w:val="00C904D5"/>
    <w:rsid w:val="00C90E5D"/>
    <w:rsid w:val="00C91B4A"/>
    <w:rsid w:val="00C91CA8"/>
    <w:rsid w:val="00C91D7D"/>
    <w:rsid w:val="00C91F1D"/>
    <w:rsid w:val="00C92209"/>
    <w:rsid w:val="00C92313"/>
    <w:rsid w:val="00C9264F"/>
    <w:rsid w:val="00C927D4"/>
    <w:rsid w:val="00C92B0D"/>
    <w:rsid w:val="00C92CBB"/>
    <w:rsid w:val="00C937AC"/>
    <w:rsid w:val="00C9386E"/>
    <w:rsid w:val="00C94A36"/>
    <w:rsid w:val="00C94B57"/>
    <w:rsid w:val="00C95480"/>
    <w:rsid w:val="00C95578"/>
    <w:rsid w:val="00C958DC"/>
    <w:rsid w:val="00C95CF6"/>
    <w:rsid w:val="00C95E8B"/>
    <w:rsid w:val="00C95EF5"/>
    <w:rsid w:val="00C96483"/>
    <w:rsid w:val="00C96646"/>
    <w:rsid w:val="00C96674"/>
    <w:rsid w:val="00C96E29"/>
    <w:rsid w:val="00C9787A"/>
    <w:rsid w:val="00C9793F"/>
    <w:rsid w:val="00C97A62"/>
    <w:rsid w:val="00C97AE6"/>
    <w:rsid w:val="00CA01EB"/>
    <w:rsid w:val="00CA0484"/>
    <w:rsid w:val="00CA0581"/>
    <w:rsid w:val="00CA05C0"/>
    <w:rsid w:val="00CA0943"/>
    <w:rsid w:val="00CA0CE1"/>
    <w:rsid w:val="00CA13FE"/>
    <w:rsid w:val="00CA1C11"/>
    <w:rsid w:val="00CA2446"/>
    <w:rsid w:val="00CA2A5F"/>
    <w:rsid w:val="00CA2C35"/>
    <w:rsid w:val="00CA312A"/>
    <w:rsid w:val="00CA31AE"/>
    <w:rsid w:val="00CA33C8"/>
    <w:rsid w:val="00CA387C"/>
    <w:rsid w:val="00CA3BAF"/>
    <w:rsid w:val="00CA3BE9"/>
    <w:rsid w:val="00CA3F7D"/>
    <w:rsid w:val="00CA4073"/>
    <w:rsid w:val="00CA4096"/>
    <w:rsid w:val="00CA490A"/>
    <w:rsid w:val="00CA56A8"/>
    <w:rsid w:val="00CA5704"/>
    <w:rsid w:val="00CA5734"/>
    <w:rsid w:val="00CA5C6A"/>
    <w:rsid w:val="00CA5D9F"/>
    <w:rsid w:val="00CA5DEE"/>
    <w:rsid w:val="00CA611D"/>
    <w:rsid w:val="00CA6348"/>
    <w:rsid w:val="00CA6B62"/>
    <w:rsid w:val="00CA7107"/>
    <w:rsid w:val="00CA7C97"/>
    <w:rsid w:val="00CA7E49"/>
    <w:rsid w:val="00CB071A"/>
    <w:rsid w:val="00CB075B"/>
    <w:rsid w:val="00CB081D"/>
    <w:rsid w:val="00CB0B38"/>
    <w:rsid w:val="00CB0FCB"/>
    <w:rsid w:val="00CB11AC"/>
    <w:rsid w:val="00CB1709"/>
    <w:rsid w:val="00CB183C"/>
    <w:rsid w:val="00CB19F6"/>
    <w:rsid w:val="00CB1A80"/>
    <w:rsid w:val="00CB1EDD"/>
    <w:rsid w:val="00CB2296"/>
    <w:rsid w:val="00CB2359"/>
    <w:rsid w:val="00CB2392"/>
    <w:rsid w:val="00CB277F"/>
    <w:rsid w:val="00CB29F7"/>
    <w:rsid w:val="00CB2ADB"/>
    <w:rsid w:val="00CB2BB5"/>
    <w:rsid w:val="00CB2D1D"/>
    <w:rsid w:val="00CB2F24"/>
    <w:rsid w:val="00CB376C"/>
    <w:rsid w:val="00CB3E00"/>
    <w:rsid w:val="00CB4678"/>
    <w:rsid w:val="00CB4FFE"/>
    <w:rsid w:val="00CB51E9"/>
    <w:rsid w:val="00CB542A"/>
    <w:rsid w:val="00CB5504"/>
    <w:rsid w:val="00CB58CA"/>
    <w:rsid w:val="00CB5CFF"/>
    <w:rsid w:val="00CB5D3C"/>
    <w:rsid w:val="00CB6564"/>
    <w:rsid w:val="00CB6682"/>
    <w:rsid w:val="00CB688E"/>
    <w:rsid w:val="00CB69E5"/>
    <w:rsid w:val="00CB6EDB"/>
    <w:rsid w:val="00CB7176"/>
    <w:rsid w:val="00CB7281"/>
    <w:rsid w:val="00CB7543"/>
    <w:rsid w:val="00CB769D"/>
    <w:rsid w:val="00CB7C42"/>
    <w:rsid w:val="00CB7E36"/>
    <w:rsid w:val="00CC0B66"/>
    <w:rsid w:val="00CC0BCA"/>
    <w:rsid w:val="00CC1358"/>
    <w:rsid w:val="00CC16D7"/>
    <w:rsid w:val="00CC1B57"/>
    <w:rsid w:val="00CC1BB2"/>
    <w:rsid w:val="00CC1E4A"/>
    <w:rsid w:val="00CC2225"/>
    <w:rsid w:val="00CC2270"/>
    <w:rsid w:val="00CC22A2"/>
    <w:rsid w:val="00CC2354"/>
    <w:rsid w:val="00CC285E"/>
    <w:rsid w:val="00CC29BE"/>
    <w:rsid w:val="00CC2DD7"/>
    <w:rsid w:val="00CC322E"/>
    <w:rsid w:val="00CC3314"/>
    <w:rsid w:val="00CC340E"/>
    <w:rsid w:val="00CC3510"/>
    <w:rsid w:val="00CC4044"/>
    <w:rsid w:val="00CC40ED"/>
    <w:rsid w:val="00CC44CF"/>
    <w:rsid w:val="00CC4861"/>
    <w:rsid w:val="00CC4E17"/>
    <w:rsid w:val="00CC5052"/>
    <w:rsid w:val="00CC52D3"/>
    <w:rsid w:val="00CC552A"/>
    <w:rsid w:val="00CC55E9"/>
    <w:rsid w:val="00CC5C4C"/>
    <w:rsid w:val="00CC5D5E"/>
    <w:rsid w:val="00CC6748"/>
    <w:rsid w:val="00CC6793"/>
    <w:rsid w:val="00CC7119"/>
    <w:rsid w:val="00CC7C21"/>
    <w:rsid w:val="00CC7E63"/>
    <w:rsid w:val="00CC7EA7"/>
    <w:rsid w:val="00CD03A2"/>
    <w:rsid w:val="00CD04C4"/>
    <w:rsid w:val="00CD05B0"/>
    <w:rsid w:val="00CD0905"/>
    <w:rsid w:val="00CD091B"/>
    <w:rsid w:val="00CD2324"/>
    <w:rsid w:val="00CD2745"/>
    <w:rsid w:val="00CD2A7E"/>
    <w:rsid w:val="00CD2BAC"/>
    <w:rsid w:val="00CD2D6E"/>
    <w:rsid w:val="00CD354E"/>
    <w:rsid w:val="00CD355B"/>
    <w:rsid w:val="00CD3EA6"/>
    <w:rsid w:val="00CD454C"/>
    <w:rsid w:val="00CD4638"/>
    <w:rsid w:val="00CD4772"/>
    <w:rsid w:val="00CD48E5"/>
    <w:rsid w:val="00CD4B87"/>
    <w:rsid w:val="00CD4D4F"/>
    <w:rsid w:val="00CD4EED"/>
    <w:rsid w:val="00CD5336"/>
    <w:rsid w:val="00CD5644"/>
    <w:rsid w:val="00CD585C"/>
    <w:rsid w:val="00CD617A"/>
    <w:rsid w:val="00CD6C89"/>
    <w:rsid w:val="00CD6D57"/>
    <w:rsid w:val="00CD6E4D"/>
    <w:rsid w:val="00CD7033"/>
    <w:rsid w:val="00CD7491"/>
    <w:rsid w:val="00CD7A0E"/>
    <w:rsid w:val="00CD7C25"/>
    <w:rsid w:val="00CD7CCC"/>
    <w:rsid w:val="00CE0098"/>
    <w:rsid w:val="00CE00B8"/>
    <w:rsid w:val="00CE02E2"/>
    <w:rsid w:val="00CE09CD"/>
    <w:rsid w:val="00CE0A9E"/>
    <w:rsid w:val="00CE0AB3"/>
    <w:rsid w:val="00CE1426"/>
    <w:rsid w:val="00CE1AE2"/>
    <w:rsid w:val="00CE1BE6"/>
    <w:rsid w:val="00CE24A4"/>
    <w:rsid w:val="00CE2B48"/>
    <w:rsid w:val="00CE2DFF"/>
    <w:rsid w:val="00CE31D3"/>
    <w:rsid w:val="00CE3A9F"/>
    <w:rsid w:val="00CE3FF5"/>
    <w:rsid w:val="00CE41FF"/>
    <w:rsid w:val="00CE4301"/>
    <w:rsid w:val="00CE44EF"/>
    <w:rsid w:val="00CE4621"/>
    <w:rsid w:val="00CE482C"/>
    <w:rsid w:val="00CE4891"/>
    <w:rsid w:val="00CE49E9"/>
    <w:rsid w:val="00CE4CEC"/>
    <w:rsid w:val="00CE52DC"/>
    <w:rsid w:val="00CE5538"/>
    <w:rsid w:val="00CE5633"/>
    <w:rsid w:val="00CE67B5"/>
    <w:rsid w:val="00CE69B8"/>
    <w:rsid w:val="00CE69EA"/>
    <w:rsid w:val="00CE6B15"/>
    <w:rsid w:val="00CE6CB1"/>
    <w:rsid w:val="00CE6E7F"/>
    <w:rsid w:val="00CE6EE2"/>
    <w:rsid w:val="00CE718C"/>
    <w:rsid w:val="00CE7CC0"/>
    <w:rsid w:val="00CE7E8E"/>
    <w:rsid w:val="00CF0158"/>
    <w:rsid w:val="00CF015B"/>
    <w:rsid w:val="00CF0679"/>
    <w:rsid w:val="00CF089E"/>
    <w:rsid w:val="00CF0F05"/>
    <w:rsid w:val="00CF0F88"/>
    <w:rsid w:val="00CF0F96"/>
    <w:rsid w:val="00CF1516"/>
    <w:rsid w:val="00CF156C"/>
    <w:rsid w:val="00CF1E5C"/>
    <w:rsid w:val="00CF204E"/>
    <w:rsid w:val="00CF20B5"/>
    <w:rsid w:val="00CF2217"/>
    <w:rsid w:val="00CF22E3"/>
    <w:rsid w:val="00CF26FA"/>
    <w:rsid w:val="00CF2EB7"/>
    <w:rsid w:val="00CF2F48"/>
    <w:rsid w:val="00CF2FC1"/>
    <w:rsid w:val="00CF31B0"/>
    <w:rsid w:val="00CF3757"/>
    <w:rsid w:val="00CF37B2"/>
    <w:rsid w:val="00CF3B1B"/>
    <w:rsid w:val="00CF3C54"/>
    <w:rsid w:val="00CF3C6E"/>
    <w:rsid w:val="00CF3CED"/>
    <w:rsid w:val="00CF42F7"/>
    <w:rsid w:val="00CF45DC"/>
    <w:rsid w:val="00CF46A6"/>
    <w:rsid w:val="00CF4984"/>
    <w:rsid w:val="00CF4A4F"/>
    <w:rsid w:val="00CF4AF2"/>
    <w:rsid w:val="00CF4B2D"/>
    <w:rsid w:val="00CF4C19"/>
    <w:rsid w:val="00CF53C3"/>
    <w:rsid w:val="00CF545C"/>
    <w:rsid w:val="00CF5EFF"/>
    <w:rsid w:val="00CF617D"/>
    <w:rsid w:val="00CF6189"/>
    <w:rsid w:val="00CF6864"/>
    <w:rsid w:val="00CF6D07"/>
    <w:rsid w:val="00CF6EF2"/>
    <w:rsid w:val="00CF7314"/>
    <w:rsid w:val="00CF74F9"/>
    <w:rsid w:val="00CF7F66"/>
    <w:rsid w:val="00CF7FC4"/>
    <w:rsid w:val="00D0035E"/>
    <w:rsid w:val="00D00376"/>
    <w:rsid w:val="00D00660"/>
    <w:rsid w:val="00D0067D"/>
    <w:rsid w:val="00D00CFF"/>
    <w:rsid w:val="00D00E87"/>
    <w:rsid w:val="00D00F8A"/>
    <w:rsid w:val="00D01003"/>
    <w:rsid w:val="00D01A5A"/>
    <w:rsid w:val="00D01CF5"/>
    <w:rsid w:val="00D01D1C"/>
    <w:rsid w:val="00D01F3A"/>
    <w:rsid w:val="00D0213D"/>
    <w:rsid w:val="00D02A3A"/>
    <w:rsid w:val="00D02ABC"/>
    <w:rsid w:val="00D031F3"/>
    <w:rsid w:val="00D03810"/>
    <w:rsid w:val="00D03D7D"/>
    <w:rsid w:val="00D041E2"/>
    <w:rsid w:val="00D0483D"/>
    <w:rsid w:val="00D04844"/>
    <w:rsid w:val="00D050B1"/>
    <w:rsid w:val="00D0519B"/>
    <w:rsid w:val="00D051FC"/>
    <w:rsid w:val="00D05386"/>
    <w:rsid w:val="00D054CA"/>
    <w:rsid w:val="00D05A15"/>
    <w:rsid w:val="00D05C6C"/>
    <w:rsid w:val="00D05D86"/>
    <w:rsid w:val="00D06114"/>
    <w:rsid w:val="00D06685"/>
    <w:rsid w:val="00D06AE9"/>
    <w:rsid w:val="00D06E14"/>
    <w:rsid w:val="00D06E46"/>
    <w:rsid w:val="00D06FD8"/>
    <w:rsid w:val="00D0710B"/>
    <w:rsid w:val="00D0725C"/>
    <w:rsid w:val="00D07843"/>
    <w:rsid w:val="00D07860"/>
    <w:rsid w:val="00D07898"/>
    <w:rsid w:val="00D07B32"/>
    <w:rsid w:val="00D07F6E"/>
    <w:rsid w:val="00D104C2"/>
    <w:rsid w:val="00D108D9"/>
    <w:rsid w:val="00D10943"/>
    <w:rsid w:val="00D10A77"/>
    <w:rsid w:val="00D10BC8"/>
    <w:rsid w:val="00D10DEC"/>
    <w:rsid w:val="00D1105C"/>
    <w:rsid w:val="00D11167"/>
    <w:rsid w:val="00D11B88"/>
    <w:rsid w:val="00D11C96"/>
    <w:rsid w:val="00D11EFB"/>
    <w:rsid w:val="00D1251C"/>
    <w:rsid w:val="00D12CCB"/>
    <w:rsid w:val="00D12F46"/>
    <w:rsid w:val="00D12FB2"/>
    <w:rsid w:val="00D134DD"/>
    <w:rsid w:val="00D1354F"/>
    <w:rsid w:val="00D13DEE"/>
    <w:rsid w:val="00D1407E"/>
    <w:rsid w:val="00D141B2"/>
    <w:rsid w:val="00D145ED"/>
    <w:rsid w:val="00D149B7"/>
    <w:rsid w:val="00D149F5"/>
    <w:rsid w:val="00D14ABB"/>
    <w:rsid w:val="00D14F37"/>
    <w:rsid w:val="00D1554C"/>
    <w:rsid w:val="00D155E3"/>
    <w:rsid w:val="00D1567F"/>
    <w:rsid w:val="00D15890"/>
    <w:rsid w:val="00D1617F"/>
    <w:rsid w:val="00D1658A"/>
    <w:rsid w:val="00D16655"/>
    <w:rsid w:val="00D16EA2"/>
    <w:rsid w:val="00D17588"/>
    <w:rsid w:val="00D17EC4"/>
    <w:rsid w:val="00D20119"/>
    <w:rsid w:val="00D204F9"/>
    <w:rsid w:val="00D20D05"/>
    <w:rsid w:val="00D20EC4"/>
    <w:rsid w:val="00D21136"/>
    <w:rsid w:val="00D211CF"/>
    <w:rsid w:val="00D212A4"/>
    <w:rsid w:val="00D2167E"/>
    <w:rsid w:val="00D2172C"/>
    <w:rsid w:val="00D217A8"/>
    <w:rsid w:val="00D21969"/>
    <w:rsid w:val="00D21ADD"/>
    <w:rsid w:val="00D21F44"/>
    <w:rsid w:val="00D22080"/>
    <w:rsid w:val="00D2278D"/>
    <w:rsid w:val="00D22D60"/>
    <w:rsid w:val="00D22E2B"/>
    <w:rsid w:val="00D231D6"/>
    <w:rsid w:val="00D234FD"/>
    <w:rsid w:val="00D2399B"/>
    <w:rsid w:val="00D23FAE"/>
    <w:rsid w:val="00D246B9"/>
    <w:rsid w:val="00D24932"/>
    <w:rsid w:val="00D24BCF"/>
    <w:rsid w:val="00D2502B"/>
    <w:rsid w:val="00D250A0"/>
    <w:rsid w:val="00D251C0"/>
    <w:rsid w:val="00D2534E"/>
    <w:rsid w:val="00D2536D"/>
    <w:rsid w:val="00D257F6"/>
    <w:rsid w:val="00D25EEE"/>
    <w:rsid w:val="00D25F3F"/>
    <w:rsid w:val="00D269F4"/>
    <w:rsid w:val="00D26DE7"/>
    <w:rsid w:val="00D275E0"/>
    <w:rsid w:val="00D27778"/>
    <w:rsid w:val="00D277E1"/>
    <w:rsid w:val="00D27A02"/>
    <w:rsid w:val="00D27D83"/>
    <w:rsid w:val="00D300A9"/>
    <w:rsid w:val="00D300D8"/>
    <w:rsid w:val="00D3040F"/>
    <w:rsid w:val="00D304D3"/>
    <w:rsid w:val="00D30820"/>
    <w:rsid w:val="00D30EE3"/>
    <w:rsid w:val="00D3100B"/>
    <w:rsid w:val="00D310FA"/>
    <w:rsid w:val="00D3126D"/>
    <w:rsid w:val="00D313D4"/>
    <w:rsid w:val="00D316F7"/>
    <w:rsid w:val="00D318D8"/>
    <w:rsid w:val="00D3198D"/>
    <w:rsid w:val="00D321D5"/>
    <w:rsid w:val="00D321E5"/>
    <w:rsid w:val="00D323C9"/>
    <w:rsid w:val="00D325C6"/>
    <w:rsid w:val="00D3269A"/>
    <w:rsid w:val="00D32A3A"/>
    <w:rsid w:val="00D3307A"/>
    <w:rsid w:val="00D3321F"/>
    <w:rsid w:val="00D33443"/>
    <w:rsid w:val="00D33DE0"/>
    <w:rsid w:val="00D33E9F"/>
    <w:rsid w:val="00D349B7"/>
    <w:rsid w:val="00D34DF5"/>
    <w:rsid w:val="00D356E2"/>
    <w:rsid w:val="00D35C73"/>
    <w:rsid w:val="00D3674B"/>
    <w:rsid w:val="00D368D8"/>
    <w:rsid w:val="00D36AB4"/>
    <w:rsid w:val="00D36B7E"/>
    <w:rsid w:val="00D36EC4"/>
    <w:rsid w:val="00D36FED"/>
    <w:rsid w:val="00D3722B"/>
    <w:rsid w:val="00D3739F"/>
    <w:rsid w:val="00D373A8"/>
    <w:rsid w:val="00D37594"/>
    <w:rsid w:val="00D376A2"/>
    <w:rsid w:val="00D378B6"/>
    <w:rsid w:val="00D37BD2"/>
    <w:rsid w:val="00D37C99"/>
    <w:rsid w:val="00D37CA4"/>
    <w:rsid w:val="00D37FA3"/>
    <w:rsid w:val="00D40390"/>
    <w:rsid w:val="00D403C7"/>
    <w:rsid w:val="00D403D5"/>
    <w:rsid w:val="00D4057E"/>
    <w:rsid w:val="00D40778"/>
    <w:rsid w:val="00D40961"/>
    <w:rsid w:val="00D40D5A"/>
    <w:rsid w:val="00D41E5D"/>
    <w:rsid w:val="00D42004"/>
    <w:rsid w:val="00D4208B"/>
    <w:rsid w:val="00D42114"/>
    <w:rsid w:val="00D42607"/>
    <w:rsid w:val="00D42776"/>
    <w:rsid w:val="00D42846"/>
    <w:rsid w:val="00D42AAD"/>
    <w:rsid w:val="00D42B03"/>
    <w:rsid w:val="00D42B2A"/>
    <w:rsid w:val="00D42B98"/>
    <w:rsid w:val="00D42C50"/>
    <w:rsid w:val="00D43245"/>
    <w:rsid w:val="00D439F2"/>
    <w:rsid w:val="00D43B3E"/>
    <w:rsid w:val="00D43CE4"/>
    <w:rsid w:val="00D43E19"/>
    <w:rsid w:val="00D43E89"/>
    <w:rsid w:val="00D43ECA"/>
    <w:rsid w:val="00D445EE"/>
    <w:rsid w:val="00D4484F"/>
    <w:rsid w:val="00D44E77"/>
    <w:rsid w:val="00D450D5"/>
    <w:rsid w:val="00D45252"/>
    <w:rsid w:val="00D460AE"/>
    <w:rsid w:val="00D46485"/>
    <w:rsid w:val="00D4695E"/>
    <w:rsid w:val="00D47616"/>
    <w:rsid w:val="00D47EAF"/>
    <w:rsid w:val="00D47F2C"/>
    <w:rsid w:val="00D5029F"/>
    <w:rsid w:val="00D503F9"/>
    <w:rsid w:val="00D50AAD"/>
    <w:rsid w:val="00D517B2"/>
    <w:rsid w:val="00D51A80"/>
    <w:rsid w:val="00D51B5E"/>
    <w:rsid w:val="00D51C4F"/>
    <w:rsid w:val="00D51DED"/>
    <w:rsid w:val="00D52053"/>
    <w:rsid w:val="00D520B2"/>
    <w:rsid w:val="00D522ED"/>
    <w:rsid w:val="00D5266F"/>
    <w:rsid w:val="00D52710"/>
    <w:rsid w:val="00D529E5"/>
    <w:rsid w:val="00D52AB5"/>
    <w:rsid w:val="00D52FAF"/>
    <w:rsid w:val="00D53129"/>
    <w:rsid w:val="00D536A2"/>
    <w:rsid w:val="00D54D79"/>
    <w:rsid w:val="00D54E1B"/>
    <w:rsid w:val="00D54F46"/>
    <w:rsid w:val="00D55151"/>
    <w:rsid w:val="00D55BA4"/>
    <w:rsid w:val="00D55D91"/>
    <w:rsid w:val="00D56129"/>
    <w:rsid w:val="00D56568"/>
    <w:rsid w:val="00D56693"/>
    <w:rsid w:val="00D56CE8"/>
    <w:rsid w:val="00D571E8"/>
    <w:rsid w:val="00D57321"/>
    <w:rsid w:val="00D5736C"/>
    <w:rsid w:val="00D574DD"/>
    <w:rsid w:val="00D575C9"/>
    <w:rsid w:val="00D5770E"/>
    <w:rsid w:val="00D5783C"/>
    <w:rsid w:val="00D57F1F"/>
    <w:rsid w:val="00D57F9C"/>
    <w:rsid w:val="00D604B9"/>
    <w:rsid w:val="00D605C4"/>
    <w:rsid w:val="00D60708"/>
    <w:rsid w:val="00D60975"/>
    <w:rsid w:val="00D609B0"/>
    <w:rsid w:val="00D60C59"/>
    <w:rsid w:val="00D60CC0"/>
    <w:rsid w:val="00D61624"/>
    <w:rsid w:val="00D61928"/>
    <w:rsid w:val="00D619F5"/>
    <w:rsid w:val="00D62607"/>
    <w:rsid w:val="00D62A7B"/>
    <w:rsid w:val="00D62DFC"/>
    <w:rsid w:val="00D62EA8"/>
    <w:rsid w:val="00D630A0"/>
    <w:rsid w:val="00D633A4"/>
    <w:rsid w:val="00D63406"/>
    <w:rsid w:val="00D63FCF"/>
    <w:rsid w:val="00D643A2"/>
    <w:rsid w:val="00D6442E"/>
    <w:rsid w:val="00D64A81"/>
    <w:rsid w:val="00D6507B"/>
    <w:rsid w:val="00D657AD"/>
    <w:rsid w:val="00D65839"/>
    <w:rsid w:val="00D65A4D"/>
    <w:rsid w:val="00D65B92"/>
    <w:rsid w:val="00D65EFE"/>
    <w:rsid w:val="00D65F74"/>
    <w:rsid w:val="00D66060"/>
    <w:rsid w:val="00D66501"/>
    <w:rsid w:val="00D66767"/>
    <w:rsid w:val="00D66AA2"/>
    <w:rsid w:val="00D6711A"/>
    <w:rsid w:val="00D67243"/>
    <w:rsid w:val="00D674FA"/>
    <w:rsid w:val="00D67535"/>
    <w:rsid w:val="00D67AC3"/>
    <w:rsid w:val="00D67BCC"/>
    <w:rsid w:val="00D702DF"/>
    <w:rsid w:val="00D70770"/>
    <w:rsid w:val="00D70916"/>
    <w:rsid w:val="00D70A0D"/>
    <w:rsid w:val="00D7160C"/>
    <w:rsid w:val="00D7205E"/>
    <w:rsid w:val="00D721AF"/>
    <w:rsid w:val="00D72718"/>
    <w:rsid w:val="00D727AB"/>
    <w:rsid w:val="00D727EE"/>
    <w:rsid w:val="00D73048"/>
    <w:rsid w:val="00D7350B"/>
    <w:rsid w:val="00D736E1"/>
    <w:rsid w:val="00D73D16"/>
    <w:rsid w:val="00D73DB2"/>
    <w:rsid w:val="00D74B4B"/>
    <w:rsid w:val="00D750A3"/>
    <w:rsid w:val="00D75900"/>
    <w:rsid w:val="00D75A45"/>
    <w:rsid w:val="00D75A55"/>
    <w:rsid w:val="00D761EB"/>
    <w:rsid w:val="00D763B1"/>
    <w:rsid w:val="00D766D9"/>
    <w:rsid w:val="00D7682C"/>
    <w:rsid w:val="00D76CA3"/>
    <w:rsid w:val="00D7702C"/>
    <w:rsid w:val="00D7737E"/>
    <w:rsid w:val="00D77934"/>
    <w:rsid w:val="00D77B7D"/>
    <w:rsid w:val="00D77D24"/>
    <w:rsid w:val="00D77D9F"/>
    <w:rsid w:val="00D77DDB"/>
    <w:rsid w:val="00D77E09"/>
    <w:rsid w:val="00D77E0D"/>
    <w:rsid w:val="00D77F75"/>
    <w:rsid w:val="00D801BC"/>
    <w:rsid w:val="00D802E4"/>
    <w:rsid w:val="00D80315"/>
    <w:rsid w:val="00D80338"/>
    <w:rsid w:val="00D81034"/>
    <w:rsid w:val="00D81302"/>
    <w:rsid w:val="00D81581"/>
    <w:rsid w:val="00D815E7"/>
    <w:rsid w:val="00D81AD5"/>
    <w:rsid w:val="00D81BC2"/>
    <w:rsid w:val="00D82117"/>
    <w:rsid w:val="00D821DA"/>
    <w:rsid w:val="00D821F2"/>
    <w:rsid w:val="00D8229D"/>
    <w:rsid w:val="00D824E4"/>
    <w:rsid w:val="00D8294D"/>
    <w:rsid w:val="00D83193"/>
    <w:rsid w:val="00D8385D"/>
    <w:rsid w:val="00D83AD2"/>
    <w:rsid w:val="00D83D0A"/>
    <w:rsid w:val="00D83E4D"/>
    <w:rsid w:val="00D84066"/>
    <w:rsid w:val="00D84134"/>
    <w:rsid w:val="00D841A8"/>
    <w:rsid w:val="00D84494"/>
    <w:rsid w:val="00D84689"/>
    <w:rsid w:val="00D8476D"/>
    <w:rsid w:val="00D849A6"/>
    <w:rsid w:val="00D84A1D"/>
    <w:rsid w:val="00D84DBA"/>
    <w:rsid w:val="00D84DFB"/>
    <w:rsid w:val="00D85165"/>
    <w:rsid w:val="00D85BDE"/>
    <w:rsid w:val="00D8609A"/>
    <w:rsid w:val="00D8661C"/>
    <w:rsid w:val="00D86EE3"/>
    <w:rsid w:val="00D86FCD"/>
    <w:rsid w:val="00D87734"/>
    <w:rsid w:val="00D878CC"/>
    <w:rsid w:val="00D87957"/>
    <w:rsid w:val="00D903DE"/>
    <w:rsid w:val="00D904B0"/>
    <w:rsid w:val="00D904CB"/>
    <w:rsid w:val="00D90713"/>
    <w:rsid w:val="00D90843"/>
    <w:rsid w:val="00D911D4"/>
    <w:rsid w:val="00D913D0"/>
    <w:rsid w:val="00D92198"/>
    <w:rsid w:val="00D92932"/>
    <w:rsid w:val="00D92982"/>
    <w:rsid w:val="00D92C83"/>
    <w:rsid w:val="00D931A5"/>
    <w:rsid w:val="00D9392A"/>
    <w:rsid w:val="00D93C33"/>
    <w:rsid w:val="00D9411F"/>
    <w:rsid w:val="00D9486A"/>
    <w:rsid w:val="00D94B2D"/>
    <w:rsid w:val="00D94BFF"/>
    <w:rsid w:val="00D94D88"/>
    <w:rsid w:val="00D94FC6"/>
    <w:rsid w:val="00D951DA"/>
    <w:rsid w:val="00D95286"/>
    <w:rsid w:val="00D95657"/>
    <w:rsid w:val="00D9652B"/>
    <w:rsid w:val="00D968E0"/>
    <w:rsid w:val="00D96A4E"/>
    <w:rsid w:val="00D96E85"/>
    <w:rsid w:val="00D96F58"/>
    <w:rsid w:val="00D96F97"/>
    <w:rsid w:val="00D96FDB"/>
    <w:rsid w:val="00D97286"/>
    <w:rsid w:val="00D97335"/>
    <w:rsid w:val="00D975BA"/>
    <w:rsid w:val="00D97AD0"/>
    <w:rsid w:val="00D97AF7"/>
    <w:rsid w:val="00D97BB2"/>
    <w:rsid w:val="00DA04E1"/>
    <w:rsid w:val="00DA0911"/>
    <w:rsid w:val="00DA09AC"/>
    <w:rsid w:val="00DA0A24"/>
    <w:rsid w:val="00DA0E44"/>
    <w:rsid w:val="00DA1013"/>
    <w:rsid w:val="00DA11CB"/>
    <w:rsid w:val="00DA18E5"/>
    <w:rsid w:val="00DA1CF8"/>
    <w:rsid w:val="00DA2285"/>
    <w:rsid w:val="00DA29CE"/>
    <w:rsid w:val="00DA2AE7"/>
    <w:rsid w:val="00DA2B41"/>
    <w:rsid w:val="00DA307A"/>
    <w:rsid w:val="00DA30CF"/>
    <w:rsid w:val="00DA39E6"/>
    <w:rsid w:val="00DA3C83"/>
    <w:rsid w:val="00DA43FC"/>
    <w:rsid w:val="00DA44AE"/>
    <w:rsid w:val="00DA454B"/>
    <w:rsid w:val="00DA4620"/>
    <w:rsid w:val="00DA49FF"/>
    <w:rsid w:val="00DA4B5A"/>
    <w:rsid w:val="00DA5338"/>
    <w:rsid w:val="00DA5581"/>
    <w:rsid w:val="00DA56E7"/>
    <w:rsid w:val="00DA576F"/>
    <w:rsid w:val="00DA5874"/>
    <w:rsid w:val="00DA5937"/>
    <w:rsid w:val="00DA5B58"/>
    <w:rsid w:val="00DA5C5A"/>
    <w:rsid w:val="00DA664D"/>
    <w:rsid w:val="00DA69EF"/>
    <w:rsid w:val="00DA6B21"/>
    <w:rsid w:val="00DA702F"/>
    <w:rsid w:val="00DA7057"/>
    <w:rsid w:val="00DA74CB"/>
    <w:rsid w:val="00DA78F1"/>
    <w:rsid w:val="00DA7BD5"/>
    <w:rsid w:val="00DB04FD"/>
    <w:rsid w:val="00DB09D4"/>
    <w:rsid w:val="00DB1027"/>
    <w:rsid w:val="00DB11C0"/>
    <w:rsid w:val="00DB12E1"/>
    <w:rsid w:val="00DB1307"/>
    <w:rsid w:val="00DB13C8"/>
    <w:rsid w:val="00DB17B8"/>
    <w:rsid w:val="00DB19C4"/>
    <w:rsid w:val="00DB1C28"/>
    <w:rsid w:val="00DB1D42"/>
    <w:rsid w:val="00DB1E21"/>
    <w:rsid w:val="00DB2094"/>
    <w:rsid w:val="00DB2119"/>
    <w:rsid w:val="00DB25BC"/>
    <w:rsid w:val="00DB319F"/>
    <w:rsid w:val="00DB340D"/>
    <w:rsid w:val="00DB3D84"/>
    <w:rsid w:val="00DB426F"/>
    <w:rsid w:val="00DB4C88"/>
    <w:rsid w:val="00DB536A"/>
    <w:rsid w:val="00DB53BE"/>
    <w:rsid w:val="00DB5424"/>
    <w:rsid w:val="00DB5532"/>
    <w:rsid w:val="00DB5682"/>
    <w:rsid w:val="00DB6245"/>
    <w:rsid w:val="00DB7B27"/>
    <w:rsid w:val="00DC02FD"/>
    <w:rsid w:val="00DC046A"/>
    <w:rsid w:val="00DC05F6"/>
    <w:rsid w:val="00DC060F"/>
    <w:rsid w:val="00DC07E2"/>
    <w:rsid w:val="00DC0BB1"/>
    <w:rsid w:val="00DC106B"/>
    <w:rsid w:val="00DC1594"/>
    <w:rsid w:val="00DC15B2"/>
    <w:rsid w:val="00DC18B3"/>
    <w:rsid w:val="00DC1A30"/>
    <w:rsid w:val="00DC1D4E"/>
    <w:rsid w:val="00DC21F3"/>
    <w:rsid w:val="00DC25CC"/>
    <w:rsid w:val="00DC2658"/>
    <w:rsid w:val="00DC3312"/>
    <w:rsid w:val="00DC3681"/>
    <w:rsid w:val="00DC3712"/>
    <w:rsid w:val="00DC371F"/>
    <w:rsid w:val="00DC3B8C"/>
    <w:rsid w:val="00DC3C5D"/>
    <w:rsid w:val="00DC3CF1"/>
    <w:rsid w:val="00DC3DCC"/>
    <w:rsid w:val="00DC3F00"/>
    <w:rsid w:val="00DC3F6C"/>
    <w:rsid w:val="00DC4466"/>
    <w:rsid w:val="00DC459D"/>
    <w:rsid w:val="00DC4645"/>
    <w:rsid w:val="00DC4C59"/>
    <w:rsid w:val="00DC4DBE"/>
    <w:rsid w:val="00DC5012"/>
    <w:rsid w:val="00DC5258"/>
    <w:rsid w:val="00DC52B6"/>
    <w:rsid w:val="00DC5604"/>
    <w:rsid w:val="00DC5682"/>
    <w:rsid w:val="00DC583A"/>
    <w:rsid w:val="00DC5840"/>
    <w:rsid w:val="00DC5CC1"/>
    <w:rsid w:val="00DC5DDD"/>
    <w:rsid w:val="00DC5F50"/>
    <w:rsid w:val="00DC6514"/>
    <w:rsid w:val="00DC654C"/>
    <w:rsid w:val="00DC6AE5"/>
    <w:rsid w:val="00DC6C27"/>
    <w:rsid w:val="00DC7357"/>
    <w:rsid w:val="00DC745C"/>
    <w:rsid w:val="00DC74C2"/>
    <w:rsid w:val="00DC790B"/>
    <w:rsid w:val="00DC7F21"/>
    <w:rsid w:val="00DD0159"/>
    <w:rsid w:val="00DD09A0"/>
    <w:rsid w:val="00DD0A4A"/>
    <w:rsid w:val="00DD12E3"/>
    <w:rsid w:val="00DD13E0"/>
    <w:rsid w:val="00DD1717"/>
    <w:rsid w:val="00DD1723"/>
    <w:rsid w:val="00DD1738"/>
    <w:rsid w:val="00DD178E"/>
    <w:rsid w:val="00DD184D"/>
    <w:rsid w:val="00DD1FEB"/>
    <w:rsid w:val="00DD23E7"/>
    <w:rsid w:val="00DD26BE"/>
    <w:rsid w:val="00DD27F8"/>
    <w:rsid w:val="00DD2C64"/>
    <w:rsid w:val="00DD2D81"/>
    <w:rsid w:val="00DD30C0"/>
    <w:rsid w:val="00DD3A61"/>
    <w:rsid w:val="00DD3BA1"/>
    <w:rsid w:val="00DD3CC7"/>
    <w:rsid w:val="00DD4EA1"/>
    <w:rsid w:val="00DD5320"/>
    <w:rsid w:val="00DD5A39"/>
    <w:rsid w:val="00DD640E"/>
    <w:rsid w:val="00DD66F4"/>
    <w:rsid w:val="00DD696B"/>
    <w:rsid w:val="00DD69E4"/>
    <w:rsid w:val="00DD6AB7"/>
    <w:rsid w:val="00DD6DEB"/>
    <w:rsid w:val="00DD72E5"/>
    <w:rsid w:val="00DD7B2D"/>
    <w:rsid w:val="00DD7F77"/>
    <w:rsid w:val="00DE055B"/>
    <w:rsid w:val="00DE0B58"/>
    <w:rsid w:val="00DE0C9F"/>
    <w:rsid w:val="00DE1019"/>
    <w:rsid w:val="00DE17A8"/>
    <w:rsid w:val="00DE1D4F"/>
    <w:rsid w:val="00DE1F49"/>
    <w:rsid w:val="00DE2135"/>
    <w:rsid w:val="00DE268D"/>
    <w:rsid w:val="00DE2792"/>
    <w:rsid w:val="00DE2A88"/>
    <w:rsid w:val="00DE2B53"/>
    <w:rsid w:val="00DE31C6"/>
    <w:rsid w:val="00DE33A4"/>
    <w:rsid w:val="00DE351A"/>
    <w:rsid w:val="00DE3DBF"/>
    <w:rsid w:val="00DE40FA"/>
    <w:rsid w:val="00DE4321"/>
    <w:rsid w:val="00DE498E"/>
    <w:rsid w:val="00DE4E40"/>
    <w:rsid w:val="00DE5057"/>
    <w:rsid w:val="00DE587B"/>
    <w:rsid w:val="00DE6EB8"/>
    <w:rsid w:val="00DE6F72"/>
    <w:rsid w:val="00DE714C"/>
    <w:rsid w:val="00DE75B3"/>
    <w:rsid w:val="00DE7763"/>
    <w:rsid w:val="00DE7923"/>
    <w:rsid w:val="00DE7BB1"/>
    <w:rsid w:val="00DF0149"/>
    <w:rsid w:val="00DF0246"/>
    <w:rsid w:val="00DF04D9"/>
    <w:rsid w:val="00DF0878"/>
    <w:rsid w:val="00DF0A37"/>
    <w:rsid w:val="00DF0CD0"/>
    <w:rsid w:val="00DF0F66"/>
    <w:rsid w:val="00DF1681"/>
    <w:rsid w:val="00DF1FE3"/>
    <w:rsid w:val="00DF21F6"/>
    <w:rsid w:val="00DF2789"/>
    <w:rsid w:val="00DF2E5D"/>
    <w:rsid w:val="00DF2E84"/>
    <w:rsid w:val="00DF30A0"/>
    <w:rsid w:val="00DF3123"/>
    <w:rsid w:val="00DF316E"/>
    <w:rsid w:val="00DF3448"/>
    <w:rsid w:val="00DF372E"/>
    <w:rsid w:val="00DF3D62"/>
    <w:rsid w:val="00DF45D8"/>
    <w:rsid w:val="00DF4AA0"/>
    <w:rsid w:val="00DF4EBD"/>
    <w:rsid w:val="00DF5226"/>
    <w:rsid w:val="00DF5283"/>
    <w:rsid w:val="00DF530E"/>
    <w:rsid w:val="00DF535C"/>
    <w:rsid w:val="00DF563F"/>
    <w:rsid w:val="00DF5B2B"/>
    <w:rsid w:val="00DF5C9A"/>
    <w:rsid w:val="00DF5EBC"/>
    <w:rsid w:val="00DF5F4B"/>
    <w:rsid w:val="00DF6993"/>
    <w:rsid w:val="00DF6D2D"/>
    <w:rsid w:val="00DF73CB"/>
    <w:rsid w:val="00DF7564"/>
    <w:rsid w:val="00DF75A6"/>
    <w:rsid w:val="00DF77EE"/>
    <w:rsid w:val="00DF7866"/>
    <w:rsid w:val="00DF78A8"/>
    <w:rsid w:val="00DF7A8A"/>
    <w:rsid w:val="00DF7FF5"/>
    <w:rsid w:val="00E008C0"/>
    <w:rsid w:val="00E00DDB"/>
    <w:rsid w:val="00E012CF"/>
    <w:rsid w:val="00E013D1"/>
    <w:rsid w:val="00E0146D"/>
    <w:rsid w:val="00E01560"/>
    <w:rsid w:val="00E01921"/>
    <w:rsid w:val="00E01FC9"/>
    <w:rsid w:val="00E0267E"/>
    <w:rsid w:val="00E026C4"/>
    <w:rsid w:val="00E02778"/>
    <w:rsid w:val="00E02879"/>
    <w:rsid w:val="00E028BE"/>
    <w:rsid w:val="00E029D5"/>
    <w:rsid w:val="00E0323C"/>
    <w:rsid w:val="00E0386A"/>
    <w:rsid w:val="00E03A47"/>
    <w:rsid w:val="00E03AD1"/>
    <w:rsid w:val="00E03EB8"/>
    <w:rsid w:val="00E04AB6"/>
    <w:rsid w:val="00E05164"/>
    <w:rsid w:val="00E054C5"/>
    <w:rsid w:val="00E05BC4"/>
    <w:rsid w:val="00E05D4E"/>
    <w:rsid w:val="00E05D8F"/>
    <w:rsid w:val="00E05DFE"/>
    <w:rsid w:val="00E06093"/>
    <w:rsid w:val="00E06D7D"/>
    <w:rsid w:val="00E0700F"/>
    <w:rsid w:val="00E07144"/>
    <w:rsid w:val="00E07A6C"/>
    <w:rsid w:val="00E10BD8"/>
    <w:rsid w:val="00E10CCA"/>
    <w:rsid w:val="00E111A9"/>
    <w:rsid w:val="00E1166E"/>
    <w:rsid w:val="00E116E3"/>
    <w:rsid w:val="00E11ACD"/>
    <w:rsid w:val="00E11B4B"/>
    <w:rsid w:val="00E11F23"/>
    <w:rsid w:val="00E11FF0"/>
    <w:rsid w:val="00E128AE"/>
    <w:rsid w:val="00E12AC7"/>
    <w:rsid w:val="00E12B08"/>
    <w:rsid w:val="00E12D47"/>
    <w:rsid w:val="00E1343D"/>
    <w:rsid w:val="00E13892"/>
    <w:rsid w:val="00E1397D"/>
    <w:rsid w:val="00E13B09"/>
    <w:rsid w:val="00E13EB4"/>
    <w:rsid w:val="00E13FAF"/>
    <w:rsid w:val="00E14022"/>
    <w:rsid w:val="00E14321"/>
    <w:rsid w:val="00E14447"/>
    <w:rsid w:val="00E1479D"/>
    <w:rsid w:val="00E14BDE"/>
    <w:rsid w:val="00E14C6C"/>
    <w:rsid w:val="00E156C2"/>
    <w:rsid w:val="00E1588B"/>
    <w:rsid w:val="00E15EAB"/>
    <w:rsid w:val="00E15EFE"/>
    <w:rsid w:val="00E15FC0"/>
    <w:rsid w:val="00E16E48"/>
    <w:rsid w:val="00E170C2"/>
    <w:rsid w:val="00E173E0"/>
    <w:rsid w:val="00E17BE5"/>
    <w:rsid w:val="00E17C6A"/>
    <w:rsid w:val="00E17DC5"/>
    <w:rsid w:val="00E2002D"/>
    <w:rsid w:val="00E20318"/>
    <w:rsid w:val="00E20937"/>
    <w:rsid w:val="00E20AC8"/>
    <w:rsid w:val="00E20B01"/>
    <w:rsid w:val="00E20DF6"/>
    <w:rsid w:val="00E20E6A"/>
    <w:rsid w:val="00E21036"/>
    <w:rsid w:val="00E212F8"/>
    <w:rsid w:val="00E21474"/>
    <w:rsid w:val="00E21508"/>
    <w:rsid w:val="00E2157D"/>
    <w:rsid w:val="00E2166F"/>
    <w:rsid w:val="00E21942"/>
    <w:rsid w:val="00E22A07"/>
    <w:rsid w:val="00E22F75"/>
    <w:rsid w:val="00E23378"/>
    <w:rsid w:val="00E23891"/>
    <w:rsid w:val="00E23BA9"/>
    <w:rsid w:val="00E24279"/>
    <w:rsid w:val="00E24739"/>
    <w:rsid w:val="00E247D3"/>
    <w:rsid w:val="00E24CA0"/>
    <w:rsid w:val="00E24DEC"/>
    <w:rsid w:val="00E25135"/>
    <w:rsid w:val="00E257BB"/>
    <w:rsid w:val="00E25944"/>
    <w:rsid w:val="00E261E9"/>
    <w:rsid w:val="00E26363"/>
    <w:rsid w:val="00E264B5"/>
    <w:rsid w:val="00E2656B"/>
    <w:rsid w:val="00E26B97"/>
    <w:rsid w:val="00E26C3D"/>
    <w:rsid w:val="00E27083"/>
    <w:rsid w:val="00E27280"/>
    <w:rsid w:val="00E2737D"/>
    <w:rsid w:val="00E27603"/>
    <w:rsid w:val="00E27B9B"/>
    <w:rsid w:val="00E3042E"/>
    <w:rsid w:val="00E3084F"/>
    <w:rsid w:val="00E30A2A"/>
    <w:rsid w:val="00E30BDD"/>
    <w:rsid w:val="00E30C90"/>
    <w:rsid w:val="00E30FC1"/>
    <w:rsid w:val="00E31375"/>
    <w:rsid w:val="00E32104"/>
    <w:rsid w:val="00E32108"/>
    <w:rsid w:val="00E32465"/>
    <w:rsid w:val="00E3249F"/>
    <w:rsid w:val="00E325DA"/>
    <w:rsid w:val="00E32FD2"/>
    <w:rsid w:val="00E332C8"/>
    <w:rsid w:val="00E333C0"/>
    <w:rsid w:val="00E33673"/>
    <w:rsid w:val="00E338DF"/>
    <w:rsid w:val="00E33DF1"/>
    <w:rsid w:val="00E33E8F"/>
    <w:rsid w:val="00E33F08"/>
    <w:rsid w:val="00E34091"/>
    <w:rsid w:val="00E3416E"/>
    <w:rsid w:val="00E342E9"/>
    <w:rsid w:val="00E344BF"/>
    <w:rsid w:val="00E34ACA"/>
    <w:rsid w:val="00E34CD4"/>
    <w:rsid w:val="00E34F35"/>
    <w:rsid w:val="00E3507C"/>
    <w:rsid w:val="00E358B4"/>
    <w:rsid w:val="00E35909"/>
    <w:rsid w:val="00E35D6D"/>
    <w:rsid w:val="00E35F70"/>
    <w:rsid w:val="00E3609D"/>
    <w:rsid w:val="00E361EA"/>
    <w:rsid w:val="00E363F2"/>
    <w:rsid w:val="00E3655D"/>
    <w:rsid w:val="00E367AB"/>
    <w:rsid w:val="00E368B3"/>
    <w:rsid w:val="00E368DA"/>
    <w:rsid w:val="00E369AF"/>
    <w:rsid w:val="00E36C52"/>
    <w:rsid w:val="00E36DAC"/>
    <w:rsid w:val="00E36DBD"/>
    <w:rsid w:val="00E36DCD"/>
    <w:rsid w:val="00E37A26"/>
    <w:rsid w:val="00E4001E"/>
    <w:rsid w:val="00E400B9"/>
    <w:rsid w:val="00E4021D"/>
    <w:rsid w:val="00E4026F"/>
    <w:rsid w:val="00E402B6"/>
    <w:rsid w:val="00E41043"/>
    <w:rsid w:val="00E41069"/>
    <w:rsid w:val="00E4187C"/>
    <w:rsid w:val="00E41892"/>
    <w:rsid w:val="00E419E0"/>
    <w:rsid w:val="00E41B5A"/>
    <w:rsid w:val="00E41CF1"/>
    <w:rsid w:val="00E41D18"/>
    <w:rsid w:val="00E41E8B"/>
    <w:rsid w:val="00E42533"/>
    <w:rsid w:val="00E4263F"/>
    <w:rsid w:val="00E42D33"/>
    <w:rsid w:val="00E42DF8"/>
    <w:rsid w:val="00E431CC"/>
    <w:rsid w:val="00E435B2"/>
    <w:rsid w:val="00E439D4"/>
    <w:rsid w:val="00E43A73"/>
    <w:rsid w:val="00E43B8A"/>
    <w:rsid w:val="00E440BD"/>
    <w:rsid w:val="00E4420A"/>
    <w:rsid w:val="00E443CC"/>
    <w:rsid w:val="00E44ACF"/>
    <w:rsid w:val="00E44C3F"/>
    <w:rsid w:val="00E450D3"/>
    <w:rsid w:val="00E45D09"/>
    <w:rsid w:val="00E45F63"/>
    <w:rsid w:val="00E46465"/>
    <w:rsid w:val="00E46850"/>
    <w:rsid w:val="00E47406"/>
    <w:rsid w:val="00E47500"/>
    <w:rsid w:val="00E47731"/>
    <w:rsid w:val="00E47745"/>
    <w:rsid w:val="00E477BA"/>
    <w:rsid w:val="00E47E43"/>
    <w:rsid w:val="00E5014A"/>
    <w:rsid w:val="00E507C8"/>
    <w:rsid w:val="00E5141E"/>
    <w:rsid w:val="00E51B61"/>
    <w:rsid w:val="00E52085"/>
    <w:rsid w:val="00E522A0"/>
    <w:rsid w:val="00E524AB"/>
    <w:rsid w:val="00E53648"/>
    <w:rsid w:val="00E53B8F"/>
    <w:rsid w:val="00E541C3"/>
    <w:rsid w:val="00E54218"/>
    <w:rsid w:val="00E54709"/>
    <w:rsid w:val="00E54CA3"/>
    <w:rsid w:val="00E54F73"/>
    <w:rsid w:val="00E550B7"/>
    <w:rsid w:val="00E55227"/>
    <w:rsid w:val="00E5533C"/>
    <w:rsid w:val="00E556D4"/>
    <w:rsid w:val="00E556F0"/>
    <w:rsid w:val="00E55B3F"/>
    <w:rsid w:val="00E55BBB"/>
    <w:rsid w:val="00E56127"/>
    <w:rsid w:val="00E5623B"/>
    <w:rsid w:val="00E5644D"/>
    <w:rsid w:val="00E56834"/>
    <w:rsid w:val="00E56A66"/>
    <w:rsid w:val="00E56E20"/>
    <w:rsid w:val="00E56EAC"/>
    <w:rsid w:val="00E56F9A"/>
    <w:rsid w:val="00E57395"/>
    <w:rsid w:val="00E57439"/>
    <w:rsid w:val="00E577A9"/>
    <w:rsid w:val="00E600B5"/>
    <w:rsid w:val="00E60939"/>
    <w:rsid w:val="00E60CF2"/>
    <w:rsid w:val="00E60DDE"/>
    <w:rsid w:val="00E60E5F"/>
    <w:rsid w:val="00E60E61"/>
    <w:rsid w:val="00E610EF"/>
    <w:rsid w:val="00E615D5"/>
    <w:rsid w:val="00E61AC5"/>
    <w:rsid w:val="00E61B5A"/>
    <w:rsid w:val="00E61DC4"/>
    <w:rsid w:val="00E6212E"/>
    <w:rsid w:val="00E621E0"/>
    <w:rsid w:val="00E627C8"/>
    <w:rsid w:val="00E63197"/>
    <w:rsid w:val="00E63319"/>
    <w:rsid w:val="00E640BE"/>
    <w:rsid w:val="00E641FC"/>
    <w:rsid w:val="00E64388"/>
    <w:rsid w:val="00E6479E"/>
    <w:rsid w:val="00E64BBF"/>
    <w:rsid w:val="00E64DDB"/>
    <w:rsid w:val="00E64E70"/>
    <w:rsid w:val="00E654B6"/>
    <w:rsid w:val="00E656B9"/>
    <w:rsid w:val="00E659DE"/>
    <w:rsid w:val="00E65BAA"/>
    <w:rsid w:val="00E662A4"/>
    <w:rsid w:val="00E66A59"/>
    <w:rsid w:val="00E67167"/>
    <w:rsid w:val="00E678AA"/>
    <w:rsid w:val="00E67C57"/>
    <w:rsid w:val="00E67D92"/>
    <w:rsid w:val="00E70050"/>
    <w:rsid w:val="00E709CB"/>
    <w:rsid w:val="00E70CFD"/>
    <w:rsid w:val="00E70F10"/>
    <w:rsid w:val="00E70FF2"/>
    <w:rsid w:val="00E714D9"/>
    <w:rsid w:val="00E71568"/>
    <w:rsid w:val="00E717AC"/>
    <w:rsid w:val="00E718E6"/>
    <w:rsid w:val="00E71A63"/>
    <w:rsid w:val="00E71B57"/>
    <w:rsid w:val="00E71F09"/>
    <w:rsid w:val="00E71F1E"/>
    <w:rsid w:val="00E722DD"/>
    <w:rsid w:val="00E7246E"/>
    <w:rsid w:val="00E724A9"/>
    <w:rsid w:val="00E724DF"/>
    <w:rsid w:val="00E724F3"/>
    <w:rsid w:val="00E72629"/>
    <w:rsid w:val="00E7266A"/>
    <w:rsid w:val="00E72B41"/>
    <w:rsid w:val="00E72CB1"/>
    <w:rsid w:val="00E72D82"/>
    <w:rsid w:val="00E72E17"/>
    <w:rsid w:val="00E72FE7"/>
    <w:rsid w:val="00E731C7"/>
    <w:rsid w:val="00E733D3"/>
    <w:rsid w:val="00E734F4"/>
    <w:rsid w:val="00E73B9E"/>
    <w:rsid w:val="00E73DB7"/>
    <w:rsid w:val="00E7441E"/>
    <w:rsid w:val="00E745A5"/>
    <w:rsid w:val="00E747C3"/>
    <w:rsid w:val="00E749E7"/>
    <w:rsid w:val="00E74C27"/>
    <w:rsid w:val="00E74D24"/>
    <w:rsid w:val="00E755D2"/>
    <w:rsid w:val="00E75749"/>
    <w:rsid w:val="00E7587B"/>
    <w:rsid w:val="00E75E76"/>
    <w:rsid w:val="00E75EF9"/>
    <w:rsid w:val="00E7612F"/>
    <w:rsid w:val="00E761F8"/>
    <w:rsid w:val="00E76539"/>
    <w:rsid w:val="00E769CF"/>
    <w:rsid w:val="00E76B6B"/>
    <w:rsid w:val="00E76C0D"/>
    <w:rsid w:val="00E76CB2"/>
    <w:rsid w:val="00E76EC1"/>
    <w:rsid w:val="00E7763A"/>
    <w:rsid w:val="00E77A0D"/>
    <w:rsid w:val="00E77ED5"/>
    <w:rsid w:val="00E77F5E"/>
    <w:rsid w:val="00E8035A"/>
    <w:rsid w:val="00E80B36"/>
    <w:rsid w:val="00E80BD5"/>
    <w:rsid w:val="00E80D44"/>
    <w:rsid w:val="00E81096"/>
    <w:rsid w:val="00E81358"/>
    <w:rsid w:val="00E81A02"/>
    <w:rsid w:val="00E81C39"/>
    <w:rsid w:val="00E81CA6"/>
    <w:rsid w:val="00E81CF5"/>
    <w:rsid w:val="00E81FF4"/>
    <w:rsid w:val="00E820D3"/>
    <w:rsid w:val="00E82117"/>
    <w:rsid w:val="00E82443"/>
    <w:rsid w:val="00E82AFB"/>
    <w:rsid w:val="00E82E5D"/>
    <w:rsid w:val="00E82EFB"/>
    <w:rsid w:val="00E83011"/>
    <w:rsid w:val="00E831A4"/>
    <w:rsid w:val="00E834BE"/>
    <w:rsid w:val="00E83741"/>
    <w:rsid w:val="00E83A58"/>
    <w:rsid w:val="00E83B31"/>
    <w:rsid w:val="00E83B96"/>
    <w:rsid w:val="00E83F80"/>
    <w:rsid w:val="00E840F0"/>
    <w:rsid w:val="00E842CD"/>
    <w:rsid w:val="00E845AB"/>
    <w:rsid w:val="00E84673"/>
    <w:rsid w:val="00E84700"/>
    <w:rsid w:val="00E8497B"/>
    <w:rsid w:val="00E849BB"/>
    <w:rsid w:val="00E84AF7"/>
    <w:rsid w:val="00E84CEF"/>
    <w:rsid w:val="00E850B5"/>
    <w:rsid w:val="00E8583C"/>
    <w:rsid w:val="00E858FE"/>
    <w:rsid w:val="00E85FAC"/>
    <w:rsid w:val="00E86115"/>
    <w:rsid w:val="00E86154"/>
    <w:rsid w:val="00E862CC"/>
    <w:rsid w:val="00E864D7"/>
    <w:rsid w:val="00E86758"/>
    <w:rsid w:val="00E86C88"/>
    <w:rsid w:val="00E86F70"/>
    <w:rsid w:val="00E86FB3"/>
    <w:rsid w:val="00E872F5"/>
    <w:rsid w:val="00E872FD"/>
    <w:rsid w:val="00E87491"/>
    <w:rsid w:val="00E87689"/>
    <w:rsid w:val="00E87973"/>
    <w:rsid w:val="00E87AC9"/>
    <w:rsid w:val="00E87B5D"/>
    <w:rsid w:val="00E87D47"/>
    <w:rsid w:val="00E87DF3"/>
    <w:rsid w:val="00E90327"/>
    <w:rsid w:val="00E90407"/>
    <w:rsid w:val="00E9084C"/>
    <w:rsid w:val="00E90A51"/>
    <w:rsid w:val="00E90AA0"/>
    <w:rsid w:val="00E90B35"/>
    <w:rsid w:val="00E90BFB"/>
    <w:rsid w:val="00E90C83"/>
    <w:rsid w:val="00E90E22"/>
    <w:rsid w:val="00E90FAF"/>
    <w:rsid w:val="00E91107"/>
    <w:rsid w:val="00E91127"/>
    <w:rsid w:val="00E912D4"/>
    <w:rsid w:val="00E91427"/>
    <w:rsid w:val="00E914DA"/>
    <w:rsid w:val="00E91DD2"/>
    <w:rsid w:val="00E9265D"/>
    <w:rsid w:val="00E92930"/>
    <w:rsid w:val="00E92DBA"/>
    <w:rsid w:val="00E934CB"/>
    <w:rsid w:val="00E9359F"/>
    <w:rsid w:val="00E93738"/>
    <w:rsid w:val="00E93A99"/>
    <w:rsid w:val="00E946CD"/>
    <w:rsid w:val="00E94A58"/>
    <w:rsid w:val="00E94B3B"/>
    <w:rsid w:val="00E94F8D"/>
    <w:rsid w:val="00E94FFB"/>
    <w:rsid w:val="00E9518D"/>
    <w:rsid w:val="00E95240"/>
    <w:rsid w:val="00E95A4C"/>
    <w:rsid w:val="00E95C19"/>
    <w:rsid w:val="00E95C65"/>
    <w:rsid w:val="00E960DA"/>
    <w:rsid w:val="00E96508"/>
    <w:rsid w:val="00E96739"/>
    <w:rsid w:val="00E97126"/>
    <w:rsid w:val="00E973C8"/>
    <w:rsid w:val="00E97EC1"/>
    <w:rsid w:val="00EA04FB"/>
    <w:rsid w:val="00EA127B"/>
    <w:rsid w:val="00EA13D2"/>
    <w:rsid w:val="00EA13FF"/>
    <w:rsid w:val="00EA14BE"/>
    <w:rsid w:val="00EA1782"/>
    <w:rsid w:val="00EA1AFA"/>
    <w:rsid w:val="00EA1C8B"/>
    <w:rsid w:val="00EA2219"/>
    <w:rsid w:val="00EA2406"/>
    <w:rsid w:val="00EA2466"/>
    <w:rsid w:val="00EA2870"/>
    <w:rsid w:val="00EA29D5"/>
    <w:rsid w:val="00EA2EA1"/>
    <w:rsid w:val="00EA3039"/>
    <w:rsid w:val="00EA3161"/>
    <w:rsid w:val="00EA33AA"/>
    <w:rsid w:val="00EA35A8"/>
    <w:rsid w:val="00EA35DD"/>
    <w:rsid w:val="00EA38B7"/>
    <w:rsid w:val="00EA4439"/>
    <w:rsid w:val="00EA465A"/>
    <w:rsid w:val="00EA47CE"/>
    <w:rsid w:val="00EA49AC"/>
    <w:rsid w:val="00EA4E33"/>
    <w:rsid w:val="00EA546A"/>
    <w:rsid w:val="00EA5864"/>
    <w:rsid w:val="00EA58C2"/>
    <w:rsid w:val="00EA596E"/>
    <w:rsid w:val="00EA5A22"/>
    <w:rsid w:val="00EA5A55"/>
    <w:rsid w:val="00EA5D4F"/>
    <w:rsid w:val="00EA60F7"/>
    <w:rsid w:val="00EA675B"/>
    <w:rsid w:val="00EA6958"/>
    <w:rsid w:val="00EA6C9E"/>
    <w:rsid w:val="00EA6D8F"/>
    <w:rsid w:val="00EA7390"/>
    <w:rsid w:val="00EA73F5"/>
    <w:rsid w:val="00EA76B7"/>
    <w:rsid w:val="00EA7B31"/>
    <w:rsid w:val="00EA7B34"/>
    <w:rsid w:val="00EB04B2"/>
    <w:rsid w:val="00EB06D6"/>
    <w:rsid w:val="00EB0741"/>
    <w:rsid w:val="00EB07AD"/>
    <w:rsid w:val="00EB0AAA"/>
    <w:rsid w:val="00EB1391"/>
    <w:rsid w:val="00EB13D0"/>
    <w:rsid w:val="00EB1AD9"/>
    <w:rsid w:val="00EB1AFA"/>
    <w:rsid w:val="00EB1BEA"/>
    <w:rsid w:val="00EB20C5"/>
    <w:rsid w:val="00EB217B"/>
    <w:rsid w:val="00EB2603"/>
    <w:rsid w:val="00EB2773"/>
    <w:rsid w:val="00EB296D"/>
    <w:rsid w:val="00EB2CF1"/>
    <w:rsid w:val="00EB393C"/>
    <w:rsid w:val="00EB3B82"/>
    <w:rsid w:val="00EB3F0F"/>
    <w:rsid w:val="00EB40DF"/>
    <w:rsid w:val="00EB423F"/>
    <w:rsid w:val="00EB42D6"/>
    <w:rsid w:val="00EB4368"/>
    <w:rsid w:val="00EB474B"/>
    <w:rsid w:val="00EB54BB"/>
    <w:rsid w:val="00EB5B86"/>
    <w:rsid w:val="00EB5D43"/>
    <w:rsid w:val="00EB62A2"/>
    <w:rsid w:val="00EB63B2"/>
    <w:rsid w:val="00EB6413"/>
    <w:rsid w:val="00EB647B"/>
    <w:rsid w:val="00EB6B40"/>
    <w:rsid w:val="00EB7386"/>
    <w:rsid w:val="00EB762E"/>
    <w:rsid w:val="00EB7B21"/>
    <w:rsid w:val="00EB7C1A"/>
    <w:rsid w:val="00EB7DFC"/>
    <w:rsid w:val="00EC00C6"/>
    <w:rsid w:val="00EC02C0"/>
    <w:rsid w:val="00EC0399"/>
    <w:rsid w:val="00EC0C80"/>
    <w:rsid w:val="00EC1292"/>
    <w:rsid w:val="00EC134E"/>
    <w:rsid w:val="00EC1932"/>
    <w:rsid w:val="00EC1F85"/>
    <w:rsid w:val="00EC2101"/>
    <w:rsid w:val="00EC285F"/>
    <w:rsid w:val="00EC2BC2"/>
    <w:rsid w:val="00EC2F55"/>
    <w:rsid w:val="00EC30E8"/>
    <w:rsid w:val="00EC3427"/>
    <w:rsid w:val="00EC3B50"/>
    <w:rsid w:val="00EC3CC3"/>
    <w:rsid w:val="00EC3DA4"/>
    <w:rsid w:val="00EC42FF"/>
    <w:rsid w:val="00EC439C"/>
    <w:rsid w:val="00EC4529"/>
    <w:rsid w:val="00EC45D0"/>
    <w:rsid w:val="00EC4602"/>
    <w:rsid w:val="00EC4A9F"/>
    <w:rsid w:val="00EC4C38"/>
    <w:rsid w:val="00EC4F02"/>
    <w:rsid w:val="00EC55E3"/>
    <w:rsid w:val="00EC57BE"/>
    <w:rsid w:val="00EC5C33"/>
    <w:rsid w:val="00EC5EB9"/>
    <w:rsid w:val="00EC620E"/>
    <w:rsid w:val="00EC62FE"/>
    <w:rsid w:val="00EC72E8"/>
    <w:rsid w:val="00EC73A1"/>
    <w:rsid w:val="00EC7744"/>
    <w:rsid w:val="00ED025E"/>
    <w:rsid w:val="00ED0A19"/>
    <w:rsid w:val="00ED0CE8"/>
    <w:rsid w:val="00ED0ED6"/>
    <w:rsid w:val="00ED1945"/>
    <w:rsid w:val="00ED1A8A"/>
    <w:rsid w:val="00ED1D78"/>
    <w:rsid w:val="00ED1DA8"/>
    <w:rsid w:val="00ED285C"/>
    <w:rsid w:val="00ED29DF"/>
    <w:rsid w:val="00ED2B6D"/>
    <w:rsid w:val="00ED2C38"/>
    <w:rsid w:val="00ED31D0"/>
    <w:rsid w:val="00ED3494"/>
    <w:rsid w:val="00ED3772"/>
    <w:rsid w:val="00ED3D78"/>
    <w:rsid w:val="00ED4835"/>
    <w:rsid w:val="00ED4CDD"/>
    <w:rsid w:val="00ED4F6D"/>
    <w:rsid w:val="00ED500E"/>
    <w:rsid w:val="00ED5A4E"/>
    <w:rsid w:val="00ED6396"/>
    <w:rsid w:val="00ED6576"/>
    <w:rsid w:val="00ED6AFF"/>
    <w:rsid w:val="00ED6EBD"/>
    <w:rsid w:val="00ED7194"/>
    <w:rsid w:val="00ED74AB"/>
    <w:rsid w:val="00ED7C71"/>
    <w:rsid w:val="00ED7CAC"/>
    <w:rsid w:val="00ED7DC1"/>
    <w:rsid w:val="00EE03D8"/>
    <w:rsid w:val="00EE06C7"/>
    <w:rsid w:val="00EE13C7"/>
    <w:rsid w:val="00EE16D5"/>
    <w:rsid w:val="00EE1A06"/>
    <w:rsid w:val="00EE1FC0"/>
    <w:rsid w:val="00EE23BF"/>
    <w:rsid w:val="00EE2563"/>
    <w:rsid w:val="00EE2587"/>
    <w:rsid w:val="00EE26F3"/>
    <w:rsid w:val="00EE278A"/>
    <w:rsid w:val="00EE2842"/>
    <w:rsid w:val="00EE2E94"/>
    <w:rsid w:val="00EE32BD"/>
    <w:rsid w:val="00EE3381"/>
    <w:rsid w:val="00EE3712"/>
    <w:rsid w:val="00EE399E"/>
    <w:rsid w:val="00EE42A5"/>
    <w:rsid w:val="00EE45A1"/>
    <w:rsid w:val="00EE465C"/>
    <w:rsid w:val="00EE484A"/>
    <w:rsid w:val="00EE4993"/>
    <w:rsid w:val="00EE4C5C"/>
    <w:rsid w:val="00EE4CCF"/>
    <w:rsid w:val="00EE4CFC"/>
    <w:rsid w:val="00EE4D91"/>
    <w:rsid w:val="00EE4EAC"/>
    <w:rsid w:val="00EE5708"/>
    <w:rsid w:val="00EE5B90"/>
    <w:rsid w:val="00EE60F7"/>
    <w:rsid w:val="00EE66B8"/>
    <w:rsid w:val="00EE6B9E"/>
    <w:rsid w:val="00EE7013"/>
    <w:rsid w:val="00EE7359"/>
    <w:rsid w:val="00EE753A"/>
    <w:rsid w:val="00EE778D"/>
    <w:rsid w:val="00EE7942"/>
    <w:rsid w:val="00EE7B08"/>
    <w:rsid w:val="00EE7DAB"/>
    <w:rsid w:val="00EE7F6C"/>
    <w:rsid w:val="00EF0960"/>
    <w:rsid w:val="00EF134F"/>
    <w:rsid w:val="00EF1389"/>
    <w:rsid w:val="00EF1454"/>
    <w:rsid w:val="00EF17E5"/>
    <w:rsid w:val="00EF19D3"/>
    <w:rsid w:val="00EF1BAC"/>
    <w:rsid w:val="00EF1DE3"/>
    <w:rsid w:val="00EF1EF5"/>
    <w:rsid w:val="00EF1FD0"/>
    <w:rsid w:val="00EF201C"/>
    <w:rsid w:val="00EF22DB"/>
    <w:rsid w:val="00EF28FC"/>
    <w:rsid w:val="00EF2CF4"/>
    <w:rsid w:val="00EF32D6"/>
    <w:rsid w:val="00EF32D9"/>
    <w:rsid w:val="00EF332E"/>
    <w:rsid w:val="00EF3628"/>
    <w:rsid w:val="00EF3A3F"/>
    <w:rsid w:val="00EF3F12"/>
    <w:rsid w:val="00EF4555"/>
    <w:rsid w:val="00EF4745"/>
    <w:rsid w:val="00EF4866"/>
    <w:rsid w:val="00EF48AB"/>
    <w:rsid w:val="00EF54ED"/>
    <w:rsid w:val="00EF5A83"/>
    <w:rsid w:val="00EF5D62"/>
    <w:rsid w:val="00EF635F"/>
    <w:rsid w:val="00EF6602"/>
    <w:rsid w:val="00EF6AC8"/>
    <w:rsid w:val="00EF6DC0"/>
    <w:rsid w:val="00EF7077"/>
    <w:rsid w:val="00EF745C"/>
    <w:rsid w:val="00EF7CE6"/>
    <w:rsid w:val="00F0069C"/>
    <w:rsid w:val="00F01081"/>
    <w:rsid w:val="00F010CF"/>
    <w:rsid w:val="00F015E2"/>
    <w:rsid w:val="00F01C16"/>
    <w:rsid w:val="00F02296"/>
    <w:rsid w:val="00F025B6"/>
    <w:rsid w:val="00F0279B"/>
    <w:rsid w:val="00F02882"/>
    <w:rsid w:val="00F02931"/>
    <w:rsid w:val="00F029C0"/>
    <w:rsid w:val="00F02DA5"/>
    <w:rsid w:val="00F03292"/>
    <w:rsid w:val="00F0355A"/>
    <w:rsid w:val="00F037B4"/>
    <w:rsid w:val="00F03CE4"/>
    <w:rsid w:val="00F03E89"/>
    <w:rsid w:val="00F03FBF"/>
    <w:rsid w:val="00F04063"/>
    <w:rsid w:val="00F041FC"/>
    <w:rsid w:val="00F048E1"/>
    <w:rsid w:val="00F04934"/>
    <w:rsid w:val="00F04CC6"/>
    <w:rsid w:val="00F04F2A"/>
    <w:rsid w:val="00F04F76"/>
    <w:rsid w:val="00F05538"/>
    <w:rsid w:val="00F05789"/>
    <w:rsid w:val="00F05C44"/>
    <w:rsid w:val="00F05E4F"/>
    <w:rsid w:val="00F0604F"/>
    <w:rsid w:val="00F0611F"/>
    <w:rsid w:val="00F0618D"/>
    <w:rsid w:val="00F063BA"/>
    <w:rsid w:val="00F064E6"/>
    <w:rsid w:val="00F065BD"/>
    <w:rsid w:val="00F06C9B"/>
    <w:rsid w:val="00F06DDD"/>
    <w:rsid w:val="00F0708D"/>
    <w:rsid w:val="00F07095"/>
    <w:rsid w:val="00F0710B"/>
    <w:rsid w:val="00F07872"/>
    <w:rsid w:val="00F07B9E"/>
    <w:rsid w:val="00F07BCE"/>
    <w:rsid w:val="00F07D30"/>
    <w:rsid w:val="00F07DD6"/>
    <w:rsid w:val="00F07E02"/>
    <w:rsid w:val="00F10028"/>
    <w:rsid w:val="00F1012D"/>
    <w:rsid w:val="00F10817"/>
    <w:rsid w:val="00F10909"/>
    <w:rsid w:val="00F10A09"/>
    <w:rsid w:val="00F10B00"/>
    <w:rsid w:val="00F10E65"/>
    <w:rsid w:val="00F11125"/>
    <w:rsid w:val="00F1142F"/>
    <w:rsid w:val="00F114C3"/>
    <w:rsid w:val="00F11574"/>
    <w:rsid w:val="00F11994"/>
    <w:rsid w:val="00F11A42"/>
    <w:rsid w:val="00F11BEC"/>
    <w:rsid w:val="00F11E75"/>
    <w:rsid w:val="00F122CB"/>
    <w:rsid w:val="00F1250C"/>
    <w:rsid w:val="00F12597"/>
    <w:rsid w:val="00F128F8"/>
    <w:rsid w:val="00F12A16"/>
    <w:rsid w:val="00F12AC6"/>
    <w:rsid w:val="00F12CB1"/>
    <w:rsid w:val="00F12CFD"/>
    <w:rsid w:val="00F1345C"/>
    <w:rsid w:val="00F13464"/>
    <w:rsid w:val="00F13A9A"/>
    <w:rsid w:val="00F13B76"/>
    <w:rsid w:val="00F13EA4"/>
    <w:rsid w:val="00F13FD0"/>
    <w:rsid w:val="00F140A0"/>
    <w:rsid w:val="00F14254"/>
    <w:rsid w:val="00F144D6"/>
    <w:rsid w:val="00F14AA0"/>
    <w:rsid w:val="00F14AD0"/>
    <w:rsid w:val="00F14C4B"/>
    <w:rsid w:val="00F14E76"/>
    <w:rsid w:val="00F14F1F"/>
    <w:rsid w:val="00F14F38"/>
    <w:rsid w:val="00F15041"/>
    <w:rsid w:val="00F153A6"/>
    <w:rsid w:val="00F15514"/>
    <w:rsid w:val="00F155DD"/>
    <w:rsid w:val="00F15A41"/>
    <w:rsid w:val="00F160F9"/>
    <w:rsid w:val="00F16731"/>
    <w:rsid w:val="00F16B6F"/>
    <w:rsid w:val="00F16C8C"/>
    <w:rsid w:val="00F17C97"/>
    <w:rsid w:val="00F20088"/>
    <w:rsid w:val="00F2009A"/>
    <w:rsid w:val="00F201D5"/>
    <w:rsid w:val="00F20578"/>
    <w:rsid w:val="00F20806"/>
    <w:rsid w:val="00F20834"/>
    <w:rsid w:val="00F20D25"/>
    <w:rsid w:val="00F20F6A"/>
    <w:rsid w:val="00F218D5"/>
    <w:rsid w:val="00F21B76"/>
    <w:rsid w:val="00F21D55"/>
    <w:rsid w:val="00F21D89"/>
    <w:rsid w:val="00F21F27"/>
    <w:rsid w:val="00F21FF6"/>
    <w:rsid w:val="00F22AA4"/>
    <w:rsid w:val="00F22B3D"/>
    <w:rsid w:val="00F22B47"/>
    <w:rsid w:val="00F22B76"/>
    <w:rsid w:val="00F23771"/>
    <w:rsid w:val="00F23A36"/>
    <w:rsid w:val="00F23D45"/>
    <w:rsid w:val="00F23F2C"/>
    <w:rsid w:val="00F245B7"/>
    <w:rsid w:val="00F245E2"/>
    <w:rsid w:val="00F24F51"/>
    <w:rsid w:val="00F2506E"/>
    <w:rsid w:val="00F250E5"/>
    <w:rsid w:val="00F25223"/>
    <w:rsid w:val="00F25298"/>
    <w:rsid w:val="00F25B02"/>
    <w:rsid w:val="00F25B21"/>
    <w:rsid w:val="00F25CB9"/>
    <w:rsid w:val="00F25DDA"/>
    <w:rsid w:val="00F266C8"/>
    <w:rsid w:val="00F2697B"/>
    <w:rsid w:val="00F26C32"/>
    <w:rsid w:val="00F26EC1"/>
    <w:rsid w:val="00F27028"/>
    <w:rsid w:val="00F27381"/>
    <w:rsid w:val="00F2744F"/>
    <w:rsid w:val="00F275EC"/>
    <w:rsid w:val="00F2769E"/>
    <w:rsid w:val="00F3065C"/>
    <w:rsid w:val="00F306E4"/>
    <w:rsid w:val="00F30769"/>
    <w:rsid w:val="00F309E8"/>
    <w:rsid w:val="00F30A17"/>
    <w:rsid w:val="00F31154"/>
    <w:rsid w:val="00F31326"/>
    <w:rsid w:val="00F3157F"/>
    <w:rsid w:val="00F3186A"/>
    <w:rsid w:val="00F318F9"/>
    <w:rsid w:val="00F31A8A"/>
    <w:rsid w:val="00F31CF9"/>
    <w:rsid w:val="00F32A82"/>
    <w:rsid w:val="00F32C33"/>
    <w:rsid w:val="00F33052"/>
    <w:rsid w:val="00F33122"/>
    <w:rsid w:val="00F331BA"/>
    <w:rsid w:val="00F3383A"/>
    <w:rsid w:val="00F33EAB"/>
    <w:rsid w:val="00F3444B"/>
    <w:rsid w:val="00F34627"/>
    <w:rsid w:val="00F34633"/>
    <w:rsid w:val="00F3469C"/>
    <w:rsid w:val="00F346A2"/>
    <w:rsid w:val="00F34845"/>
    <w:rsid w:val="00F34EE8"/>
    <w:rsid w:val="00F3507D"/>
    <w:rsid w:val="00F35250"/>
    <w:rsid w:val="00F35680"/>
    <w:rsid w:val="00F35715"/>
    <w:rsid w:val="00F37C35"/>
    <w:rsid w:val="00F37D6D"/>
    <w:rsid w:val="00F4006A"/>
    <w:rsid w:val="00F40614"/>
    <w:rsid w:val="00F40A96"/>
    <w:rsid w:val="00F40CBB"/>
    <w:rsid w:val="00F40F9B"/>
    <w:rsid w:val="00F41183"/>
    <w:rsid w:val="00F414BA"/>
    <w:rsid w:val="00F415D8"/>
    <w:rsid w:val="00F4165B"/>
    <w:rsid w:val="00F418F7"/>
    <w:rsid w:val="00F419EC"/>
    <w:rsid w:val="00F41BE6"/>
    <w:rsid w:val="00F41BE7"/>
    <w:rsid w:val="00F41CB6"/>
    <w:rsid w:val="00F4224B"/>
    <w:rsid w:val="00F42551"/>
    <w:rsid w:val="00F426C1"/>
    <w:rsid w:val="00F429F5"/>
    <w:rsid w:val="00F42A86"/>
    <w:rsid w:val="00F4357C"/>
    <w:rsid w:val="00F44206"/>
    <w:rsid w:val="00F442E2"/>
    <w:rsid w:val="00F44870"/>
    <w:rsid w:val="00F44C6E"/>
    <w:rsid w:val="00F450D9"/>
    <w:rsid w:val="00F45268"/>
    <w:rsid w:val="00F45535"/>
    <w:rsid w:val="00F45CEF"/>
    <w:rsid w:val="00F45D61"/>
    <w:rsid w:val="00F45F7A"/>
    <w:rsid w:val="00F46335"/>
    <w:rsid w:val="00F467C5"/>
    <w:rsid w:val="00F46ED8"/>
    <w:rsid w:val="00F46F71"/>
    <w:rsid w:val="00F472EA"/>
    <w:rsid w:val="00F473E8"/>
    <w:rsid w:val="00F47EB9"/>
    <w:rsid w:val="00F504B5"/>
    <w:rsid w:val="00F50683"/>
    <w:rsid w:val="00F50EAF"/>
    <w:rsid w:val="00F5131B"/>
    <w:rsid w:val="00F515DB"/>
    <w:rsid w:val="00F51F1D"/>
    <w:rsid w:val="00F51F9C"/>
    <w:rsid w:val="00F52194"/>
    <w:rsid w:val="00F523B0"/>
    <w:rsid w:val="00F523F7"/>
    <w:rsid w:val="00F524F7"/>
    <w:rsid w:val="00F525A4"/>
    <w:rsid w:val="00F526C9"/>
    <w:rsid w:val="00F528BA"/>
    <w:rsid w:val="00F5290F"/>
    <w:rsid w:val="00F52AA6"/>
    <w:rsid w:val="00F5333E"/>
    <w:rsid w:val="00F5347B"/>
    <w:rsid w:val="00F534F5"/>
    <w:rsid w:val="00F53621"/>
    <w:rsid w:val="00F53826"/>
    <w:rsid w:val="00F53C83"/>
    <w:rsid w:val="00F53CB0"/>
    <w:rsid w:val="00F53CE4"/>
    <w:rsid w:val="00F53D40"/>
    <w:rsid w:val="00F540E2"/>
    <w:rsid w:val="00F541B1"/>
    <w:rsid w:val="00F5454E"/>
    <w:rsid w:val="00F54735"/>
    <w:rsid w:val="00F549F3"/>
    <w:rsid w:val="00F54C5F"/>
    <w:rsid w:val="00F54D74"/>
    <w:rsid w:val="00F54E9D"/>
    <w:rsid w:val="00F550EC"/>
    <w:rsid w:val="00F552C0"/>
    <w:rsid w:val="00F55315"/>
    <w:rsid w:val="00F5534D"/>
    <w:rsid w:val="00F5559B"/>
    <w:rsid w:val="00F5595B"/>
    <w:rsid w:val="00F55BFA"/>
    <w:rsid w:val="00F55C25"/>
    <w:rsid w:val="00F55EDB"/>
    <w:rsid w:val="00F5615A"/>
    <w:rsid w:val="00F563DB"/>
    <w:rsid w:val="00F56527"/>
    <w:rsid w:val="00F56963"/>
    <w:rsid w:val="00F569F6"/>
    <w:rsid w:val="00F56C1C"/>
    <w:rsid w:val="00F56F49"/>
    <w:rsid w:val="00F57007"/>
    <w:rsid w:val="00F578DC"/>
    <w:rsid w:val="00F579F5"/>
    <w:rsid w:val="00F57AE6"/>
    <w:rsid w:val="00F57EC9"/>
    <w:rsid w:val="00F60760"/>
    <w:rsid w:val="00F609C3"/>
    <w:rsid w:val="00F60A3A"/>
    <w:rsid w:val="00F60C9B"/>
    <w:rsid w:val="00F6119A"/>
    <w:rsid w:val="00F61F05"/>
    <w:rsid w:val="00F62278"/>
    <w:rsid w:val="00F62DE7"/>
    <w:rsid w:val="00F62ED0"/>
    <w:rsid w:val="00F634FA"/>
    <w:rsid w:val="00F63530"/>
    <w:rsid w:val="00F636B3"/>
    <w:rsid w:val="00F63C2C"/>
    <w:rsid w:val="00F63D25"/>
    <w:rsid w:val="00F6400D"/>
    <w:rsid w:val="00F64442"/>
    <w:rsid w:val="00F64463"/>
    <w:rsid w:val="00F64C78"/>
    <w:rsid w:val="00F64F47"/>
    <w:rsid w:val="00F6501B"/>
    <w:rsid w:val="00F650C7"/>
    <w:rsid w:val="00F6529A"/>
    <w:rsid w:val="00F65400"/>
    <w:rsid w:val="00F65458"/>
    <w:rsid w:val="00F6559F"/>
    <w:rsid w:val="00F6565B"/>
    <w:rsid w:val="00F657EC"/>
    <w:rsid w:val="00F65EE9"/>
    <w:rsid w:val="00F65F46"/>
    <w:rsid w:val="00F664BB"/>
    <w:rsid w:val="00F664FD"/>
    <w:rsid w:val="00F66612"/>
    <w:rsid w:val="00F66769"/>
    <w:rsid w:val="00F6683E"/>
    <w:rsid w:val="00F66B92"/>
    <w:rsid w:val="00F66C29"/>
    <w:rsid w:val="00F66CDD"/>
    <w:rsid w:val="00F67134"/>
    <w:rsid w:val="00F67163"/>
    <w:rsid w:val="00F676F2"/>
    <w:rsid w:val="00F67894"/>
    <w:rsid w:val="00F67B25"/>
    <w:rsid w:val="00F70230"/>
    <w:rsid w:val="00F706B4"/>
    <w:rsid w:val="00F70823"/>
    <w:rsid w:val="00F70B3D"/>
    <w:rsid w:val="00F70F0C"/>
    <w:rsid w:val="00F712FE"/>
    <w:rsid w:val="00F7181D"/>
    <w:rsid w:val="00F71C90"/>
    <w:rsid w:val="00F71D7C"/>
    <w:rsid w:val="00F72298"/>
    <w:rsid w:val="00F7246E"/>
    <w:rsid w:val="00F729FF"/>
    <w:rsid w:val="00F72A38"/>
    <w:rsid w:val="00F72AED"/>
    <w:rsid w:val="00F72EDA"/>
    <w:rsid w:val="00F73405"/>
    <w:rsid w:val="00F73996"/>
    <w:rsid w:val="00F73B80"/>
    <w:rsid w:val="00F73F52"/>
    <w:rsid w:val="00F740D9"/>
    <w:rsid w:val="00F742D5"/>
    <w:rsid w:val="00F7447F"/>
    <w:rsid w:val="00F744C2"/>
    <w:rsid w:val="00F746E1"/>
    <w:rsid w:val="00F746F5"/>
    <w:rsid w:val="00F7483E"/>
    <w:rsid w:val="00F74CE9"/>
    <w:rsid w:val="00F74FAC"/>
    <w:rsid w:val="00F74FB1"/>
    <w:rsid w:val="00F75045"/>
    <w:rsid w:val="00F757C7"/>
    <w:rsid w:val="00F7609E"/>
    <w:rsid w:val="00F76308"/>
    <w:rsid w:val="00F76C2B"/>
    <w:rsid w:val="00F76D11"/>
    <w:rsid w:val="00F773E8"/>
    <w:rsid w:val="00F77486"/>
    <w:rsid w:val="00F774A1"/>
    <w:rsid w:val="00F774DC"/>
    <w:rsid w:val="00F7777F"/>
    <w:rsid w:val="00F77A76"/>
    <w:rsid w:val="00F77C6A"/>
    <w:rsid w:val="00F77C93"/>
    <w:rsid w:val="00F77F83"/>
    <w:rsid w:val="00F80338"/>
    <w:rsid w:val="00F803C2"/>
    <w:rsid w:val="00F80556"/>
    <w:rsid w:val="00F807D4"/>
    <w:rsid w:val="00F80944"/>
    <w:rsid w:val="00F80974"/>
    <w:rsid w:val="00F80987"/>
    <w:rsid w:val="00F80A35"/>
    <w:rsid w:val="00F80B17"/>
    <w:rsid w:val="00F80F05"/>
    <w:rsid w:val="00F8131F"/>
    <w:rsid w:val="00F81607"/>
    <w:rsid w:val="00F81715"/>
    <w:rsid w:val="00F81CF0"/>
    <w:rsid w:val="00F81D5E"/>
    <w:rsid w:val="00F820E6"/>
    <w:rsid w:val="00F824FA"/>
    <w:rsid w:val="00F8267C"/>
    <w:rsid w:val="00F82946"/>
    <w:rsid w:val="00F82AB6"/>
    <w:rsid w:val="00F82B19"/>
    <w:rsid w:val="00F82B4D"/>
    <w:rsid w:val="00F8300C"/>
    <w:rsid w:val="00F838BA"/>
    <w:rsid w:val="00F83A4F"/>
    <w:rsid w:val="00F83CE9"/>
    <w:rsid w:val="00F84736"/>
    <w:rsid w:val="00F847B0"/>
    <w:rsid w:val="00F849E6"/>
    <w:rsid w:val="00F84AAC"/>
    <w:rsid w:val="00F84B1E"/>
    <w:rsid w:val="00F84B29"/>
    <w:rsid w:val="00F84FA8"/>
    <w:rsid w:val="00F84FF9"/>
    <w:rsid w:val="00F851FF"/>
    <w:rsid w:val="00F86251"/>
    <w:rsid w:val="00F86487"/>
    <w:rsid w:val="00F8683F"/>
    <w:rsid w:val="00F86989"/>
    <w:rsid w:val="00F86A81"/>
    <w:rsid w:val="00F87142"/>
    <w:rsid w:val="00F871C3"/>
    <w:rsid w:val="00F87576"/>
    <w:rsid w:val="00F87ACC"/>
    <w:rsid w:val="00F87B71"/>
    <w:rsid w:val="00F9047C"/>
    <w:rsid w:val="00F90B35"/>
    <w:rsid w:val="00F90FD6"/>
    <w:rsid w:val="00F91400"/>
    <w:rsid w:val="00F91A9B"/>
    <w:rsid w:val="00F91FDF"/>
    <w:rsid w:val="00F920CA"/>
    <w:rsid w:val="00F924F4"/>
    <w:rsid w:val="00F92539"/>
    <w:rsid w:val="00F92747"/>
    <w:rsid w:val="00F92775"/>
    <w:rsid w:val="00F927B3"/>
    <w:rsid w:val="00F930ED"/>
    <w:rsid w:val="00F9319C"/>
    <w:rsid w:val="00F931C1"/>
    <w:rsid w:val="00F93211"/>
    <w:rsid w:val="00F9326E"/>
    <w:rsid w:val="00F93377"/>
    <w:rsid w:val="00F936C7"/>
    <w:rsid w:val="00F9374F"/>
    <w:rsid w:val="00F937D1"/>
    <w:rsid w:val="00F93815"/>
    <w:rsid w:val="00F943BF"/>
    <w:rsid w:val="00F94A89"/>
    <w:rsid w:val="00F94AFE"/>
    <w:rsid w:val="00F951C4"/>
    <w:rsid w:val="00F954A6"/>
    <w:rsid w:val="00F95847"/>
    <w:rsid w:val="00F95BB8"/>
    <w:rsid w:val="00F96163"/>
    <w:rsid w:val="00F968C3"/>
    <w:rsid w:val="00F97273"/>
    <w:rsid w:val="00F972CE"/>
    <w:rsid w:val="00F97397"/>
    <w:rsid w:val="00F97418"/>
    <w:rsid w:val="00F97878"/>
    <w:rsid w:val="00F97EA0"/>
    <w:rsid w:val="00F97F3A"/>
    <w:rsid w:val="00F97F8C"/>
    <w:rsid w:val="00FA07B3"/>
    <w:rsid w:val="00FA1101"/>
    <w:rsid w:val="00FA1114"/>
    <w:rsid w:val="00FA1129"/>
    <w:rsid w:val="00FA1325"/>
    <w:rsid w:val="00FA13AB"/>
    <w:rsid w:val="00FA1938"/>
    <w:rsid w:val="00FA1AC5"/>
    <w:rsid w:val="00FA1C8B"/>
    <w:rsid w:val="00FA1E91"/>
    <w:rsid w:val="00FA20B2"/>
    <w:rsid w:val="00FA2315"/>
    <w:rsid w:val="00FA2622"/>
    <w:rsid w:val="00FA2723"/>
    <w:rsid w:val="00FA29AA"/>
    <w:rsid w:val="00FA2B0E"/>
    <w:rsid w:val="00FA303F"/>
    <w:rsid w:val="00FA306E"/>
    <w:rsid w:val="00FA3A8E"/>
    <w:rsid w:val="00FA3C1E"/>
    <w:rsid w:val="00FA40F9"/>
    <w:rsid w:val="00FA41F3"/>
    <w:rsid w:val="00FA4F20"/>
    <w:rsid w:val="00FA589B"/>
    <w:rsid w:val="00FA5CB5"/>
    <w:rsid w:val="00FA613C"/>
    <w:rsid w:val="00FA67EC"/>
    <w:rsid w:val="00FA71DA"/>
    <w:rsid w:val="00FA744C"/>
    <w:rsid w:val="00FA7EFB"/>
    <w:rsid w:val="00FB0135"/>
    <w:rsid w:val="00FB029D"/>
    <w:rsid w:val="00FB0731"/>
    <w:rsid w:val="00FB0957"/>
    <w:rsid w:val="00FB0B25"/>
    <w:rsid w:val="00FB0E9F"/>
    <w:rsid w:val="00FB1069"/>
    <w:rsid w:val="00FB109C"/>
    <w:rsid w:val="00FB121C"/>
    <w:rsid w:val="00FB1228"/>
    <w:rsid w:val="00FB13BF"/>
    <w:rsid w:val="00FB17AA"/>
    <w:rsid w:val="00FB1D6D"/>
    <w:rsid w:val="00FB2049"/>
    <w:rsid w:val="00FB2307"/>
    <w:rsid w:val="00FB2A15"/>
    <w:rsid w:val="00FB2A84"/>
    <w:rsid w:val="00FB3005"/>
    <w:rsid w:val="00FB3187"/>
    <w:rsid w:val="00FB32AC"/>
    <w:rsid w:val="00FB32E1"/>
    <w:rsid w:val="00FB3B6B"/>
    <w:rsid w:val="00FB3C55"/>
    <w:rsid w:val="00FB4260"/>
    <w:rsid w:val="00FB4286"/>
    <w:rsid w:val="00FB45C2"/>
    <w:rsid w:val="00FB470E"/>
    <w:rsid w:val="00FB4858"/>
    <w:rsid w:val="00FB4CA1"/>
    <w:rsid w:val="00FB4F37"/>
    <w:rsid w:val="00FB5163"/>
    <w:rsid w:val="00FB5366"/>
    <w:rsid w:val="00FB5506"/>
    <w:rsid w:val="00FB5650"/>
    <w:rsid w:val="00FB5659"/>
    <w:rsid w:val="00FB5696"/>
    <w:rsid w:val="00FB574D"/>
    <w:rsid w:val="00FB58FB"/>
    <w:rsid w:val="00FB5A28"/>
    <w:rsid w:val="00FB6116"/>
    <w:rsid w:val="00FB6490"/>
    <w:rsid w:val="00FB67D7"/>
    <w:rsid w:val="00FB6910"/>
    <w:rsid w:val="00FB7256"/>
    <w:rsid w:val="00FB73D1"/>
    <w:rsid w:val="00FB74B6"/>
    <w:rsid w:val="00FB75D6"/>
    <w:rsid w:val="00FB7926"/>
    <w:rsid w:val="00FB7D9D"/>
    <w:rsid w:val="00FC01C2"/>
    <w:rsid w:val="00FC075E"/>
    <w:rsid w:val="00FC096B"/>
    <w:rsid w:val="00FC0E46"/>
    <w:rsid w:val="00FC0FF3"/>
    <w:rsid w:val="00FC13EA"/>
    <w:rsid w:val="00FC160D"/>
    <w:rsid w:val="00FC16D1"/>
    <w:rsid w:val="00FC18E2"/>
    <w:rsid w:val="00FC1BB7"/>
    <w:rsid w:val="00FC1DDB"/>
    <w:rsid w:val="00FC1F6D"/>
    <w:rsid w:val="00FC1FDD"/>
    <w:rsid w:val="00FC223F"/>
    <w:rsid w:val="00FC254C"/>
    <w:rsid w:val="00FC2861"/>
    <w:rsid w:val="00FC2982"/>
    <w:rsid w:val="00FC2AA7"/>
    <w:rsid w:val="00FC2C00"/>
    <w:rsid w:val="00FC2C2A"/>
    <w:rsid w:val="00FC2F3E"/>
    <w:rsid w:val="00FC33E1"/>
    <w:rsid w:val="00FC38F7"/>
    <w:rsid w:val="00FC40D4"/>
    <w:rsid w:val="00FC417E"/>
    <w:rsid w:val="00FC4561"/>
    <w:rsid w:val="00FC469A"/>
    <w:rsid w:val="00FC47FF"/>
    <w:rsid w:val="00FC556A"/>
    <w:rsid w:val="00FC558D"/>
    <w:rsid w:val="00FC55C9"/>
    <w:rsid w:val="00FC5891"/>
    <w:rsid w:val="00FC596A"/>
    <w:rsid w:val="00FC5E54"/>
    <w:rsid w:val="00FC6428"/>
    <w:rsid w:val="00FC6827"/>
    <w:rsid w:val="00FC6E46"/>
    <w:rsid w:val="00FC7177"/>
    <w:rsid w:val="00FC79AD"/>
    <w:rsid w:val="00FC7DA7"/>
    <w:rsid w:val="00FD01A8"/>
    <w:rsid w:val="00FD0C25"/>
    <w:rsid w:val="00FD0E40"/>
    <w:rsid w:val="00FD1F58"/>
    <w:rsid w:val="00FD24A4"/>
    <w:rsid w:val="00FD27C0"/>
    <w:rsid w:val="00FD2B9D"/>
    <w:rsid w:val="00FD3293"/>
    <w:rsid w:val="00FD37FF"/>
    <w:rsid w:val="00FD3849"/>
    <w:rsid w:val="00FD39C6"/>
    <w:rsid w:val="00FD3A3C"/>
    <w:rsid w:val="00FD3BE6"/>
    <w:rsid w:val="00FD3D5C"/>
    <w:rsid w:val="00FD4706"/>
    <w:rsid w:val="00FD488D"/>
    <w:rsid w:val="00FD4B90"/>
    <w:rsid w:val="00FD4C63"/>
    <w:rsid w:val="00FD4F5D"/>
    <w:rsid w:val="00FD5052"/>
    <w:rsid w:val="00FD50D1"/>
    <w:rsid w:val="00FD5447"/>
    <w:rsid w:val="00FD57F3"/>
    <w:rsid w:val="00FD5AD4"/>
    <w:rsid w:val="00FD5DEE"/>
    <w:rsid w:val="00FD5EE7"/>
    <w:rsid w:val="00FD5F3C"/>
    <w:rsid w:val="00FD5FBC"/>
    <w:rsid w:val="00FD6089"/>
    <w:rsid w:val="00FD63E1"/>
    <w:rsid w:val="00FD65A8"/>
    <w:rsid w:val="00FD67C6"/>
    <w:rsid w:val="00FD6A78"/>
    <w:rsid w:val="00FD6B63"/>
    <w:rsid w:val="00FD75F9"/>
    <w:rsid w:val="00FD7633"/>
    <w:rsid w:val="00FD7779"/>
    <w:rsid w:val="00FD7784"/>
    <w:rsid w:val="00FD7955"/>
    <w:rsid w:val="00FE056D"/>
    <w:rsid w:val="00FE0D1B"/>
    <w:rsid w:val="00FE0D62"/>
    <w:rsid w:val="00FE12AB"/>
    <w:rsid w:val="00FE1514"/>
    <w:rsid w:val="00FE16EE"/>
    <w:rsid w:val="00FE190A"/>
    <w:rsid w:val="00FE1CFA"/>
    <w:rsid w:val="00FE21A7"/>
    <w:rsid w:val="00FE22F3"/>
    <w:rsid w:val="00FE23E2"/>
    <w:rsid w:val="00FE2711"/>
    <w:rsid w:val="00FE2955"/>
    <w:rsid w:val="00FE296A"/>
    <w:rsid w:val="00FE3415"/>
    <w:rsid w:val="00FE3473"/>
    <w:rsid w:val="00FE34C2"/>
    <w:rsid w:val="00FE3738"/>
    <w:rsid w:val="00FE3762"/>
    <w:rsid w:val="00FE4328"/>
    <w:rsid w:val="00FE48FF"/>
    <w:rsid w:val="00FE4C7D"/>
    <w:rsid w:val="00FE4CAB"/>
    <w:rsid w:val="00FE4DAC"/>
    <w:rsid w:val="00FE50D3"/>
    <w:rsid w:val="00FE61B5"/>
    <w:rsid w:val="00FE621C"/>
    <w:rsid w:val="00FE6768"/>
    <w:rsid w:val="00FE67B0"/>
    <w:rsid w:val="00FE6A09"/>
    <w:rsid w:val="00FE6FB9"/>
    <w:rsid w:val="00FE7A1E"/>
    <w:rsid w:val="00FE7B29"/>
    <w:rsid w:val="00FE7D3A"/>
    <w:rsid w:val="00FE7E2C"/>
    <w:rsid w:val="00FF0538"/>
    <w:rsid w:val="00FF06B7"/>
    <w:rsid w:val="00FF0723"/>
    <w:rsid w:val="00FF0AA4"/>
    <w:rsid w:val="00FF0DBC"/>
    <w:rsid w:val="00FF12C8"/>
    <w:rsid w:val="00FF1532"/>
    <w:rsid w:val="00FF1AC5"/>
    <w:rsid w:val="00FF1B8D"/>
    <w:rsid w:val="00FF210B"/>
    <w:rsid w:val="00FF21EA"/>
    <w:rsid w:val="00FF22CC"/>
    <w:rsid w:val="00FF246E"/>
    <w:rsid w:val="00FF2977"/>
    <w:rsid w:val="00FF33CE"/>
    <w:rsid w:val="00FF3529"/>
    <w:rsid w:val="00FF36C5"/>
    <w:rsid w:val="00FF38AB"/>
    <w:rsid w:val="00FF39E0"/>
    <w:rsid w:val="00FF3F7D"/>
    <w:rsid w:val="00FF403D"/>
    <w:rsid w:val="00FF4043"/>
    <w:rsid w:val="00FF45AD"/>
    <w:rsid w:val="00FF4E28"/>
    <w:rsid w:val="00FF4F2C"/>
    <w:rsid w:val="00FF4F4B"/>
    <w:rsid w:val="00FF535E"/>
    <w:rsid w:val="00FF53F9"/>
    <w:rsid w:val="00FF55EC"/>
    <w:rsid w:val="00FF5823"/>
    <w:rsid w:val="00FF64A9"/>
    <w:rsid w:val="00FF6683"/>
    <w:rsid w:val="00FF6847"/>
    <w:rsid w:val="00FF6D2E"/>
    <w:rsid w:val="00FF7243"/>
    <w:rsid w:val="00FF7605"/>
    <w:rsid w:val="00FF7936"/>
    <w:rsid w:val="00FF7942"/>
    <w:rsid w:val="00FF7BE9"/>
    <w:rsid w:val="00FF7F2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A79F3"/>
  <w15:docId w15:val="{064EDEB7-40ED-47EB-A86E-2AB0A83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qFormat="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91B"/>
    <w:pPr>
      <w:spacing w:after="200" w:line="276" w:lineRule="auto"/>
    </w:pPr>
    <w:rPr>
      <w:sz w:val="22"/>
      <w:szCs w:val="22"/>
      <w:lang w:val="en-GB" w:eastAsia="zh-CN"/>
    </w:rPr>
  </w:style>
  <w:style w:type="paragraph" w:styleId="1">
    <w:name w:val="heading 1"/>
    <w:basedOn w:val="a1"/>
    <w:next w:val="a1"/>
    <w:link w:val="10"/>
    <w:qFormat/>
    <w:locked/>
    <w:rsid w:val="002D7018"/>
    <w:pPr>
      <w:keepNext/>
      <w:spacing w:before="240" w:after="60"/>
      <w:outlineLvl w:val="0"/>
    </w:pPr>
    <w:rPr>
      <w:rFonts w:ascii="Calibri Light" w:hAnsi="Calibri Light"/>
      <w:b/>
      <w:bCs/>
      <w:kern w:val="32"/>
      <w:sz w:val="32"/>
      <w:szCs w:val="32"/>
    </w:rPr>
  </w:style>
  <w:style w:type="paragraph" w:styleId="20">
    <w:name w:val="heading 2"/>
    <w:basedOn w:val="a2"/>
    <w:next w:val="a2"/>
    <w:link w:val="21"/>
    <w:qFormat/>
    <w:locked/>
    <w:rsid w:val="00870723"/>
    <w:pPr>
      <w:keepNext/>
      <w:tabs>
        <w:tab w:val="num" w:pos="964"/>
      </w:tabs>
      <w:spacing w:before="260" w:after="130" w:line="320" w:lineRule="exact"/>
      <w:ind w:left="964" w:hanging="964"/>
      <w:outlineLvl w:val="1"/>
    </w:pPr>
    <w:rPr>
      <w:rFonts w:ascii="Times New Roman" w:hAnsi="Times New Roman"/>
      <w:b/>
      <w:sz w:val="22"/>
      <w:lang w:val="en-US" w:eastAsia="en-US"/>
    </w:rPr>
  </w:style>
  <w:style w:type="paragraph" w:styleId="3">
    <w:name w:val="heading 3"/>
    <w:basedOn w:val="4"/>
    <w:next w:val="a2"/>
    <w:link w:val="30"/>
    <w:qFormat/>
    <w:locked/>
    <w:rsid w:val="00870723"/>
    <w:pPr>
      <w:tabs>
        <w:tab w:val="clear" w:pos="20"/>
        <w:tab w:val="num" w:pos="0"/>
      </w:tabs>
      <w:spacing w:before="260" w:after="130"/>
      <w:jc w:val="both"/>
      <w:outlineLvl w:val="2"/>
    </w:pPr>
    <w:rPr>
      <w:b/>
      <w:bCs w:val="0"/>
      <w:i/>
      <w:iCs w:val="0"/>
      <w:sz w:val="22"/>
    </w:rPr>
  </w:style>
  <w:style w:type="paragraph" w:styleId="4">
    <w:name w:val="heading 4"/>
    <w:basedOn w:val="5"/>
    <w:next w:val="a2"/>
    <w:link w:val="40"/>
    <w:qFormat/>
    <w:locked/>
    <w:rsid w:val="00870723"/>
    <w:pPr>
      <w:tabs>
        <w:tab w:val="num" w:pos="20"/>
      </w:tabs>
      <w:spacing w:line="280" w:lineRule="exact"/>
      <w:ind w:hanging="964"/>
      <w:outlineLvl w:val="3"/>
    </w:pPr>
    <w:rPr>
      <w:b w:val="0"/>
      <w:sz w:val="24"/>
    </w:rPr>
  </w:style>
  <w:style w:type="paragraph" w:styleId="5">
    <w:name w:val="heading 5"/>
    <w:basedOn w:val="a2"/>
    <w:next w:val="a2"/>
    <w:link w:val="50"/>
    <w:qFormat/>
    <w:locked/>
    <w:rsid w:val="00870723"/>
    <w:pPr>
      <w:keepNext/>
      <w:spacing w:before="400" w:line="260" w:lineRule="exact"/>
      <w:outlineLvl w:val="4"/>
    </w:pPr>
    <w:rPr>
      <w:rFonts w:ascii="Times New Roman" w:hAnsi="Times New Roman"/>
      <w:b/>
      <w:bCs/>
      <w:iCs/>
      <w:sz w:val="22"/>
      <w:lang w:val="en-US" w:eastAsia="en-US"/>
    </w:rPr>
  </w:style>
  <w:style w:type="paragraph" w:styleId="6">
    <w:name w:val="heading 6"/>
    <w:basedOn w:val="a1"/>
    <w:next w:val="a1"/>
    <w:link w:val="60"/>
    <w:qFormat/>
    <w:locked/>
    <w:rsid w:val="00870723"/>
    <w:pPr>
      <w:keepNext/>
      <w:numPr>
        <w:ilvl w:val="12"/>
      </w:numPr>
      <w:overflowPunct w:val="0"/>
      <w:autoSpaceDE w:val="0"/>
      <w:autoSpaceDN w:val="0"/>
      <w:adjustRightInd w:val="0"/>
      <w:spacing w:after="0" w:line="240" w:lineRule="auto"/>
      <w:ind w:right="142"/>
      <w:jc w:val="both"/>
      <w:textAlignment w:val="baseline"/>
      <w:outlineLvl w:val="5"/>
    </w:pPr>
    <w:rPr>
      <w:rFonts w:ascii="Times New Roman" w:hAnsi="Times New Roman"/>
      <w:b/>
      <w:i/>
      <w:iCs/>
      <w:sz w:val="24"/>
      <w:szCs w:val="20"/>
      <w:lang w:eastAsia="en-US"/>
    </w:rPr>
  </w:style>
  <w:style w:type="paragraph" w:styleId="7">
    <w:name w:val="heading 7"/>
    <w:basedOn w:val="a1"/>
    <w:next w:val="a1"/>
    <w:link w:val="70"/>
    <w:qFormat/>
    <w:locked/>
    <w:rsid w:val="00870723"/>
    <w:pPr>
      <w:keepNext/>
      <w:overflowPunct w:val="0"/>
      <w:autoSpaceDE w:val="0"/>
      <w:autoSpaceDN w:val="0"/>
      <w:adjustRightInd w:val="0"/>
      <w:spacing w:after="0" w:line="240" w:lineRule="auto"/>
      <w:ind w:right="142"/>
      <w:jc w:val="both"/>
      <w:textAlignment w:val="baseline"/>
      <w:outlineLvl w:val="6"/>
    </w:pPr>
    <w:rPr>
      <w:rFonts w:ascii="Times New Roman" w:hAnsi="Times New Roman"/>
      <w:b/>
      <w:bCs/>
      <w:i/>
      <w:iCs/>
      <w:color w:val="000000"/>
      <w:sz w:val="24"/>
      <w:szCs w:val="20"/>
      <w:lang w:eastAsia="en-US"/>
    </w:rPr>
  </w:style>
  <w:style w:type="paragraph" w:styleId="8">
    <w:name w:val="heading 8"/>
    <w:basedOn w:val="a1"/>
    <w:next w:val="a1"/>
    <w:link w:val="80"/>
    <w:qFormat/>
    <w:locked/>
    <w:rsid w:val="00870723"/>
    <w:pPr>
      <w:spacing w:before="240" w:after="60" w:line="240" w:lineRule="auto"/>
      <w:jc w:val="both"/>
      <w:outlineLvl w:val="7"/>
    </w:pPr>
    <w:rPr>
      <w:rFonts w:ascii="Arial" w:hAnsi="Arial"/>
      <w:i/>
      <w:sz w:val="20"/>
      <w:szCs w:val="20"/>
      <w:lang w:eastAsia="en-US"/>
    </w:rPr>
  </w:style>
  <w:style w:type="paragraph" w:styleId="9">
    <w:name w:val="heading 9"/>
    <w:basedOn w:val="a1"/>
    <w:next w:val="a1"/>
    <w:link w:val="90"/>
    <w:qFormat/>
    <w:locked/>
    <w:rsid w:val="00870723"/>
    <w:pPr>
      <w:spacing w:before="240" w:after="60" w:line="240" w:lineRule="auto"/>
      <w:jc w:val="both"/>
      <w:outlineLvl w:val="8"/>
    </w:pPr>
    <w:rPr>
      <w:rFonts w:ascii="Arial" w:hAnsi="Arial"/>
      <w:i/>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9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3D0ECC"/>
    <w:rPr>
      <w:rFonts w:cs="Times New Roman"/>
      <w:color w:val="0000FF"/>
      <w:u w:val="single"/>
    </w:rPr>
  </w:style>
  <w:style w:type="paragraph" w:customStyle="1" w:styleId="MediumGrid1-Accent21">
    <w:name w:val="Medium Grid 1 - Accent 21"/>
    <w:basedOn w:val="a1"/>
    <w:uiPriority w:val="34"/>
    <w:qFormat/>
    <w:rsid w:val="0088717F"/>
    <w:pPr>
      <w:ind w:left="720"/>
      <w:contextualSpacing/>
    </w:pPr>
  </w:style>
  <w:style w:type="paragraph" w:styleId="a8">
    <w:name w:val="header"/>
    <w:aliases w:val="site"/>
    <w:basedOn w:val="a1"/>
    <w:link w:val="a9"/>
    <w:uiPriority w:val="99"/>
    <w:rsid w:val="007A4AC9"/>
    <w:pPr>
      <w:tabs>
        <w:tab w:val="center" w:pos="4513"/>
        <w:tab w:val="right" w:pos="9026"/>
      </w:tabs>
      <w:spacing w:after="0" w:line="240" w:lineRule="auto"/>
    </w:pPr>
    <w:rPr>
      <w:sz w:val="20"/>
      <w:szCs w:val="20"/>
      <w:lang w:val="x-none" w:eastAsia="x-none"/>
    </w:rPr>
  </w:style>
  <w:style w:type="character" w:customStyle="1" w:styleId="a9">
    <w:name w:val="Верхний колонтитул Знак"/>
    <w:aliases w:val="site Знак"/>
    <w:link w:val="a8"/>
    <w:uiPriority w:val="99"/>
    <w:locked/>
    <w:rsid w:val="007A4AC9"/>
    <w:rPr>
      <w:rFonts w:cs="Times New Roman"/>
    </w:rPr>
  </w:style>
  <w:style w:type="paragraph" w:styleId="aa">
    <w:name w:val="footer"/>
    <w:basedOn w:val="a1"/>
    <w:link w:val="ab"/>
    <w:uiPriority w:val="99"/>
    <w:rsid w:val="007A4AC9"/>
    <w:pPr>
      <w:tabs>
        <w:tab w:val="center" w:pos="4513"/>
        <w:tab w:val="right" w:pos="9026"/>
      </w:tabs>
      <w:spacing w:after="0" w:line="240" w:lineRule="auto"/>
    </w:pPr>
    <w:rPr>
      <w:sz w:val="20"/>
      <w:szCs w:val="20"/>
      <w:lang w:val="x-none" w:eastAsia="x-none"/>
    </w:rPr>
  </w:style>
  <w:style w:type="character" w:customStyle="1" w:styleId="ab">
    <w:name w:val="Нижний колонтитул Знак"/>
    <w:link w:val="aa"/>
    <w:uiPriority w:val="99"/>
    <w:locked/>
    <w:rsid w:val="007A4AC9"/>
    <w:rPr>
      <w:rFonts w:cs="Times New Roman"/>
    </w:rPr>
  </w:style>
  <w:style w:type="character" w:styleId="ac">
    <w:name w:val="annotation reference"/>
    <w:uiPriority w:val="99"/>
    <w:semiHidden/>
    <w:rsid w:val="003435ED"/>
    <w:rPr>
      <w:rFonts w:cs="Times New Roman"/>
      <w:sz w:val="16"/>
      <w:szCs w:val="16"/>
    </w:rPr>
  </w:style>
  <w:style w:type="paragraph" w:styleId="ad">
    <w:name w:val="annotation text"/>
    <w:basedOn w:val="a1"/>
    <w:link w:val="ae"/>
    <w:uiPriority w:val="99"/>
    <w:semiHidden/>
    <w:rsid w:val="003435ED"/>
    <w:pPr>
      <w:spacing w:line="240" w:lineRule="auto"/>
    </w:pPr>
    <w:rPr>
      <w:sz w:val="20"/>
      <w:szCs w:val="20"/>
      <w:lang w:val="x-none" w:eastAsia="x-none"/>
    </w:rPr>
  </w:style>
  <w:style w:type="character" w:customStyle="1" w:styleId="ae">
    <w:name w:val="Текст примечания Знак"/>
    <w:link w:val="ad"/>
    <w:uiPriority w:val="99"/>
    <w:semiHidden/>
    <w:locked/>
    <w:rsid w:val="003435ED"/>
    <w:rPr>
      <w:rFonts w:cs="Times New Roman"/>
      <w:sz w:val="20"/>
      <w:szCs w:val="20"/>
    </w:rPr>
  </w:style>
  <w:style w:type="paragraph" w:styleId="af">
    <w:name w:val="annotation subject"/>
    <w:basedOn w:val="ad"/>
    <w:next w:val="ad"/>
    <w:link w:val="af0"/>
    <w:rsid w:val="003435ED"/>
    <w:rPr>
      <w:b/>
      <w:bCs/>
    </w:rPr>
  </w:style>
  <w:style w:type="character" w:customStyle="1" w:styleId="af0">
    <w:name w:val="Тема примечания Знак"/>
    <w:link w:val="af"/>
    <w:locked/>
    <w:rsid w:val="003435ED"/>
    <w:rPr>
      <w:rFonts w:cs="Times New Roman"/>
      <w:b/>
      <w:bCs/>
      <w:sz w:val="20"/>
      <w:szCs w:val="20"/>
    </w:rPr>
  </w:style>
  <w:style w:type="paragraph" w:styleId="af1">
    <w:name w:val="Balloon Text"/>
    <w:basedOn w:val="a1"/>
    <w:link w:val="af2"/>
    <w:semiHidden/>
    <w:rsid w:val="003435ED"/>
    <w:pPr>
      <w:spacing w:after="0" w:line="240" w:lineRule="auto"/>
    </w:pPr>
    <w:rPr>
      <w:rFonts w:ascii="Tahoma" w:hAnsi="Tahoma"/>
      <w:sz w:val="16"/>
      <w:szCs w:val="16"/>
      <w:lang w:val="x-none" w:eastAsia="x-none"/>
    </w:rPr>
  </w:style>
  <w:style w:type="character" w:customStyle="1" w:styleId="af2">
    <w:name w:val="Текст выноски Знак"/>
    <w:link w:val="af1"/>
    <w:semiHidden/>
    <w:locked/>
    <w:rsid w:val="003435ED"/>
    <w:rPr>
      <w:rFonts w:ascii="Tahoma" w:hAnsi="Tahoma" w:cs="Tahoma"/>
      <w:sz w:val="16"/>
      <w:szCs w:val="16"/>
    </w:rPr>
  </w:style>
  <w:style w:type="paragraph" w:customStyle="1" w:styleId="Bullet">
    <w:name w:val="Bullet"/>
    <w:basedOn w:val="a2"/>
    <w:next w:val="a2"/>
    <w:uiPriority w:val="99"/>
    <w:rsid w:val="00023ECF"/>
  </w:style>
  <w:style w:type="paragraph" w:styleId="a2">
    <w:name w:val="Body Text"/>
    <w:basedOn w:val="a1"/>
    <w:link w:val="af3"/>
    <w:qFormat/>
    <w:rsid w:val="00023ECF"/>
    <w:pPr>
      <w:spacing w:after="120"/>
    </w:pPr>
    <w:rPr>
      <w:sz w:val="20"/>
      <w:szCs w:val="20"/>
      <w:lang w:val="x-none" w:eastAsia="x-none"/>
    </w:rPr>
  </w:style>
  <w:style w:type="character" w:customStyle="1" w:styleId="af3">
    <w:name w:val="Основной текст Знак"/>
    <w:link w:val="a2"/>
    <w:locked/>
    <w:rsid w:val="00023ECF"/>
    <w:rPr>
      <w:rFonts w:cs="Times New Roman"/>
    </w:rPr>
  </w:style>
  <w:style w:type="paragraph" w:styleId="af4">
    <w:name w:val="Normal (Web)"/>
    <w:basedOn w:val="a1"/>
    <w:uiPriority w:val="99"/>
    <w:unhideWhenUsed/>
    <w:rsid w:val="00255FE1"/>
    <w:pPr>
      <w:spacing w:before="100" w:beforeAutospacing="1" w:after="100" w:afterAutospacing="1" w:line="240" w:lineRule="auto"/>
    </w:pPr>
    <w:rPr>
      <w:rFonts w:ascii="Times New Roman" w:hAnsi="Times New Roman"/>
      <w:sz w:val="24"/>
      <w:szCs w:val="24"/>
      <w:lang w:val="ru-RU" w:eastAsia="en-GB"/>
    </w:rPr>
  </w:style>
  <w:style w:type="paragraph" w:styleId="af5">
    <w:name w:val="Document Map"/>
    <w:basedOn w:val="a1"/>
    <w:link w:val="af6"/>
    <w:uiPriority w:val="99"/>
    <w:semiHidden/>
    <w:unhideWhenUsed/>
    <w:rsid w:val="00DE055B"/>
    <w:pPr>
      <w:spacing w:after="0" w:line="240" w:lineRule="auto"/>
    </w:pPr>
    <w:rPr>
      <w:rFonts w:ascii="Lucida Grande" w:hAnsi="Lucida Grande"/>
      <w:sz w:val="24"/>
      <w:szCs w:val="24"/>
    </w:rPr>
  </w:style>
  <w:style w:type="character" w:customStyle="1" w:styleId="af6">
    <w:name w:val="Схема документа Знак"/>
    <w:link w:val="af5"/>
    <w:uiPriority w:val="99"/>
    <w:semiHidden/>
    <w:rsid w:val="00DE055B"/>
    <w:rPr>
      <w:rFonts w:ascii="Lucida Grande" w:hAnsi="Lucida Grande" w:cs="Lucida Grande"/>
      <w:sz w:val="24"/>
      <w:szCs w:val="24"/>
      <w:lang w:val="en-GB" w:eastAsia="zh-CN"/>
    </w:rPr>
  </w:style>
  <w:style w:type="paragraph" w:customStyle="1" w:styleId="MediumList2-Accent21">
    <w:name w:val="Medium List 2 - Accent 21"/>
    <w:hidden/>
    <w:uiPriority w:val="99"/>
    <w:semiHidden/>
    <w:rsid w:val="005C3F9C"/>
    <w:rPr>
      <w:sz w:val="22"/>
      <w:szCs w:val="22"/>
      <w:lang w:val="en-GB" w:eastAsia="zh-CN"/>
    </w:rPr>
  </w:style>
  <w:style w:type="paragraph" w:styleId="af7">
    <w:name w:val="Block Text"/>
    <w:basedOn w:val="a1"/>
    <w:uiPriority w:val="99"/>
    <w:rsid w:val="00711D63"/>
    <w:pPr>
      <w:spacing w:after="0" w:line="240" w:lineRule="auto"/>
      <w:ind w:left="-426" w:right="-483" w:firstLine="426"/>
      <w:jc w:val="both"/>
    </w:pPr>
    <w:rPr>
      <w:rFonts w:ascii="Times New Roman" w:hAnsi="Times New Roman"/>
      <w:sz w:val="28"/>
      <w:szCs w:val="20"/>
      <w:lang w:val="ru-RU" w:eastAsia="ru-RU"/>
    </w:rPr>
  </w:style>
  <w:style w:type="paragraph" w:styleId="af8">
    <w:name w:val="footnote text"/>
    <w:basedOn w:val="a1"/>
    <w:link w:val="af9"/>
    <w:unhideWhenUsed/>
    <w:rsid w:val="00C2054A"/>
    <w:pPr>
      <w:spacing w:after="0" w:line="240" w:lineRule="auto"/>
    </w:pPr>
    <w:rPr>
      <w:sz w:val="20"/>
      <w:szCs w:val="20"/>
    </w:rPr>
  </w:style>
  <w:style w:type="character" w:customStyle="1" w:styleId="af9">
    <w:name w:val="Текст сноски Знак"/>
    <w:link w:val="af8"/>
    <w:rsid w:val="00C2054A"/>
    <w:rPr>
      <w:sz w:val="20"/>
      <w:szCs w:val="20"/>
      <w:lang w:val="en-GB" w:eastAsia="zh-CN"/>
    </w:rPr>
  </w:style>
  <w:style w:type="character" w:styleId="afa">
    <w:name w:val="footnote reference"/>
    <w:semiHidden/>
    <w:unhideWhenUsed/>
    <w:rsid w:val="00C2054A"/>
    <w:rPr>
      <w:vertAlign w:val="superscript"/>
    </w:rPr>
  </w:style>
  <w:style w:type="paragraph" w:customStyle="1" w:styleId="MarginNoteRight">
    <w:name w:val="Margin Note Right"/>
    <w:basedOn w:val="a1"/>
    <w:uiPriority w:val="99"/>
    <w:rsid w:val="00CD2D6E"/>
    <w:pPr>
      <w:framePr w:w="1134" w:hSpace="181" w:vSpace="181" w:wrap="around" w:vAnchor="text" w:hAnchor="page" w:xAlign="right" w:y="1"/>
      <w:spacing w:after="80" w:line="240" w:lineRule="auto"/>
      <w:jc w:val="both"/>
    </w:pPr>
    <w:rPr>
      <w:rFonts w:ascii="Times New Roman" w:hAnsi="Times New Roman"/>
      <w:sz w:val="16"/>
      <w:szCs w:val="20"/>
      <w:lang w:eastAsia="en-US"/>
    </w:rPr>
  </w:style>
  <w:style w:type="paragraph" w:customStyle="1" w:styleId="Title7">
    <w:name w:val="Title 7"/>
    <w:basedOn w:val="a1"/>
    <w:next w:val="a2"/>
    <w:uiPriority w:val="99"/>
    <w:rsid w:val="00CD2D6E"/>
    <w:pPr>
      <w:keepNext/>
      <w:spacing w:line="240" w:lineRule="auto"/>
      <w:jc w:val="both"/>
    </w:pPr>
    <w:rPr>
      <w:rFonts w:ascii="Times New Roman" w:hAnsi="Times New Roman" w:cs="Times"/>
      <w:i/>
      <w:sz w:val="20"/>
      <w:szCs w:val="24"/>
      <w:lang w:bidi="he-IL"/>
    </w:rPr>
  </w:style>
  <w:style w:type="paragraph" w:customStyle="1" w:styleId="ColorfulList-Accent11">
    <w:name w:val="Colorful List - Accent 11"/>
    <w:basedOn w:val="a1"/>
    <w:uiPriority w:val="34"/>
    <w:qFormat/>
    <w:rsid w:val="00834F64"/>
    <w:pPr>
      <w:ind w:left="720"/>
      <w:contextualSpacing/>
    </w:pPr>
    <w:rPr>
      <w:rFonts w:eastAsia="Calibri"/>
      <w:lang w:val="ru-RU" w:eastAsia="en-US"/>
    </w:rPr>
  </w:style>
  <w:style w:type="paragraph" w:customStyle="1" w:styleId="SubtleEmphasis1">
    <w:name w:val="Subtle Emphasis1"/>
    <w:basedOn w:val="a1"/>
    <w:uiPriority w:val="34"/>
    <w:qFormat/>
    <w:rsid w:val="00DA5338"/>
    <w:pPr>
      <w:ind w:left="708"/>
    </w:pPr>
  </w:style>
  <w:style w:type="character" w:styleId="afb">
    <w:name w:val="FollowedHyperlink"/>
    <w:unhideWhenUsed/>
    <w:rsid w:val="00CD091B"/>
    <w:rPr>
      <w:color w:val="800080"/>
      <w:u w:val="single"/>
    </w:rPr>
  </w:style>
  <w:style w:type="paragraph" w:styleId="afc">
    <w:name w:val="Plain Text"/>
    <w:basedOn w:val="a1"/>
    <w:link w:val="afd"/>
    <w:uiPriority w:val="99"/>
    <w:unhideWhenUsed/>
    <w:rsid w:val="00186E4A"/>
    <w:pPr>
      <w:spacing w:after="0" w:line="240" w:lineRule="auto"/>
    </w:pPr>
    <w:rPr>
      <w:rFonts w:eastAsia="Cambria"/>
      <w:szCs w:val="21"/>
      <w:lang w:val="x-none" w:eastAsia="x-none"/>
    </w:rPr>
  </w:style>
  <w:style w:type="character" w:customStyle="1" w:styleId="afd">
    <w:name w:val="Текст Знак"/>
    <w:link w:val="afc"/>
    <w:uiPriority w:val="99"/>
    <w:rsid w:val="00186E4A"/>
    <w:rPr>
      <w:rFonts w:eastAsia="Cambria" w:cs="Times New Roman"/>
      <w:sz w:val="22"/>
      <w:szCs w:val="21"/>
    </w:rPr>
  </w:style>
  <w:style w:type="character" w:customStyle="1" w:styleId="apple-converted-space">
    <w:name w:val="apple-converted-space"/>
    <w:basedOn w:val="a3"/>
    <w:rsid w:val="00354E09"/>
  </w:style>
  <w:style w:type="paragraph" w:customStyle="1" w:styleId="Body1">
    <w:name w:val="Body 1"/>
    <w:rsid w:val="00035F87"/>
    <w:pPr>
      <w:spacing w:after="200" w:line="276" w:lineRule="auto"/>
      <w:outlineLvl w:val="0"/>
    </w:pPr>
    <w:rPr>
      <w:rFonts w:ascii="Helvetica" w:eastAsia="Arial Unicode MS" w:hAnsi="Helvetica"/>
      <w:color w:val="000000"/>
      <w:sz w:val="22"/>
      <w:u w:color="000000"/>
      <w:lang w:val="en-GB" w:eastAsia="en-GB"/>
    </w:rPr>
  </w:style>
  <w:style w:type="paragraph" w:customStyle="1" w:styleId="PlainTable31">
    <w:name w:val="Plain Table 31"/>
    <w:basedOn w:val="a1"/>
    <w:uiPriority w:val="34"/>
    <w:qFormat/>
    <w:rsid w:val="009C6C99"/>
    <w:pPr>
      <w:ind w:left="708"/>
    </w:pPr>
  </w:style>
  <w:style w:type="paragraph" w:customStyle="1" w:styleId="SubtleEmphasis2">
    <w:name w:val="Subtle Emphasis2"/>
    <w:basedOn w:val="a1"/>
    <w:uiPriority w:val="34"/>
    <w:qFormat/>
    <w:rsid w:val="00A51220"/>
    <w:pPr>
      <w:ind w:left="720"/>
      <w:contextualSpacing/>
    </w:pPr>
    <w:rPr>
      <w:rFonts w:eastAsia="Calibri"/>
      <w:lang w:val="ru-RU" w:eastAsia="en-US"/>
    </w:rPr>
  </w:style>
  <w:style w:type="paragraph" w:customStyle="1" w:styleId="PlainTable21">
    <w:name w:val="Plain Table 21"/>
    <w:hidden/>
    <w:uiPriority w:val="99"/>
    <w:rsid w:val="00B579A5"/>
    <w:rPr>
      <w:sz w:val="22"/>
      <w:szCs w:val="22"/>
      <w:lang w:val="en-GB" w:eastAsia="zh-CN"/>
    </w:rPr>
  </w:style>
  <w:style w:type="paragraph" w:styleId="11">
    <w:name w:val="toc 1"/>
    <w:basedOn w:val="a1"/>
    <w:uiPriority w:val="39"/>
    <w:locked/>
    <w:rsid w:val="0092674F"/>
    <w:pPr>
      <w:tabs>
        <w:tab w:val="right" w:pos="8221"/>
      </w:tabs>
      <w:spacing w:before="260" w:after="0" w:line="240" w:lineRule="auto"/>
      <w:ind w:left="851" w:right="567" w:hanging="851"/>
    </w:pPr>
    <w:rPr>
      <w:rFonts w:ascii="Times New Roman" w:hAnsi="Times New Roman"/>
      <w:sz w:val="28"/>
      <w:szCs w:val="20"/>
      <w:lang w:val="en-US" w:eastAsia="en-US"/>
    </w:rPr>
  </w:style>
  <w:style w:type="paragraph" w:customStyle="1" w:styleId="SubtleEmphasis3">
    <w:name w:val="Subtle Emphasis3"/>
    <w:basedOn w:val="a1"/>
    <w:uiPriority w:val="34"/>
    <w:qFormat/>
    <w:rsid w:val="00733DA4"/>
    <w:pPr>
      <w:ind w:left="720"/>
      <w:contextualSpacing/>
    </w:pPr>
    <w:rPr>
      <w:rFonts w:eastAsia="Calibri"/>
      <w:lang w:eastAsia="en-US"/>
    </w:rPr>
  </w:style>
  <w:style w:type="paragraph" w:customStyle="1" w:styleId="ColorfulGrid-Accent61">
    <w:name w:val="Colorful Grid - Accent 61"/>
    <w:hidden/>
    <w:uiPriority w:val="99"/>
    <w:rsid w:val="00DD5320"/>
    <w:rPr>
      <w:sz w:val="22"/>
      <w:szCs w:val="22"/>
      <w:lang w:val="en-GB" w:eastAsia="zh-CN"/>
    </w:rPr>
  </w:style>
  <w:style w:type="paragraph" w:customStyle="1" w:styleId="PlainTable32">
    <w:name w:val="Plain Table 32"/>
    <w:basedOn w:val="a1"/>
    <w:uiPriority w:val="34"/>
    <w:qFormat/>
    <w:rsid w:val="00A04006"/>
    <w:pPr>
      <w:ind w:left="720"/>
      <w:contextualSpacing/>
    </w:pPr>
    <w:rPr>
      <w:rFonts w:eastAsia="Calibri"/>
      <w:lang w:val="ru-RU" w:eastAsia="en-US"/>
    </w:rPr>
  </w:style>
  <w:style w:type="paragraph" w:customStyle="1" w:styleId="ListTable1Light-Accent41">
    <w:name w:val="List Table 1 Light - Accent 41"/>
    <w:basedOn w:val="a1"/>
    <w:uiPriority w:val="34"/>
    <w:qFormat/>
    <w:rsid w:val="00E30FC1"/>
    <w:pPr>
      <w:spacing w:after="0" w:line="240" w:lineRule="auto"/>
      <w:ind w:left="720"/>
      <w:contextualSpacing/>
    </w:pPr>
    <w:rPr>
      <w:rFonts w:eastAsia="Calibri"/>
      <w:sz w:val="24"/>
      <w:szCs w:val="24"/>
      <w:lang w:eastAsia="en-US"/>
    </w:rPr>
  </w:style>
  <w:style w:type="character" w:customStyle="1" w:styleId="10">
    <w:name w:val="Заголовок 1 Знак"/>
    <w:link w:val="1"/>
    <w:rsid w:val="002D7018"/>
    <w:rPr>
      <w:rFonts w:ascii="Calibri Light" w:eastAsia="Times New Roman" w:hAnsi="Calibri Light" w:cs="Times New Roman"/>
      <w:b/>
      <w:bCs/>
      <w:kern w:val="32"/>
      <w:sz w:val="32"/>
      <w:szCs w:val="32"/>
      <w:lang w:val="en-GB" w:eastAsia="zh-CN"/>
    </w:rPr>
  </w:style>
  <w:style w:type="character" w:customStyle="1" w:styleId="shorttext">
    <w:name w:val="short_text"/>
    <w:rsid w:val="000132A9"/>
  </w:style>
  <w:style w:type="character" w:customStyle="1" w:styleId="21">
    <w:name w:val="Заголовок 2 Знак"/>
    <w:link w:val="20"/>
    <w:rsid w:val="00870723"/>
    <w:rPr>
      <w:rFonts w:ascii="Times New Roman" w:hAnsi="Times New Roman"/>
      <w:b/>
      <w:sz w:val="22"/>
      <w:lang w:val="en-US" w:eastAsia="en-US"/>
    </w:rPr>
  </w:style>
  <w:style w:type="character" w:customStyle="1" w:styleId="30">
    <w:name w:val="Заголовок 3 Знак"/>
    <w:link w:val="3"/>
    <w:rsid w:val="00870723"/>
    <w:rPr>
      <w:rFonts w:ascii="Times New Roman" w:hAnsi="Times New Roman"/>
      <w:b/>
      <w:i/>
      <w:sz w:val="22"/>
      <w:lang w:val="en-US" w:eastAsia="en-US"/>
    </w:rPr>
  </w:style>
  <w:style w:type="character" w:customStyle="1" w:styleId="40">
    <w:name w:val="Заголовок 4 Знак"/>
    <w:link w:val="4"/>
    <w:rsid w:val="00870723"/>
    <w:rPr>
      <w:rFonts w:ascii="Times New Roman" w:hAnsi="Times New Roman"/>
      <w:bCs/>
      <w:iCs/>
      <w:sz w:val="24"/>
      <w:lang w:val="en-US" w:eastAsia="en-US"/>
    </w:rPr>
  </w:style>
  <w:style w:type="character" w:customStyle="1" w:styleId="50">
    <w:name w:val="Заголовок 5 Знак"/>
    <w:link w:val="5"/>
    <w:rsid w:val="00870723"/>
    <w:rPr>
      <w:rFonts w:ascii="Times New Roman" w:hAnsi="Times New Roman"/>
      <w:b/>
      <w:bCs/>
      <w:iCs/>
      <w:sz w:val="22"/>
      <w:lang w:val="en-US" w:eastAsia="en-US"/>
    </w:rPr>
  </w:style>
  <w:style w:type="character" w:customStyle="1" w:styleId="60">
    <w:name w:val="Заголовок 6 Знак"/>
    <w:link w:val="6"/>
    <w:rsid w:val="00870723"/>
    <w:rPr>
      <w:rFonts w:ascii="Times New Roman" w:hAnsi="Times New Roman"/>
      <w:b/>
      <w:i/>
      <w:iCs/>
      <w:sz w:val="24"/>
      <w:lang w:val="en-GB" w:eastAsia="en-US"/>
    </w:rPr>
  </w:style>
  <w:style w:type="character" w:customStyle="1" w:styleId="70">
    <w:name w:val="Заголовок 7 Знак"/>
    <w:link w:val="7"/>
    <w:rsid w:val="00870723"/>
    <w:rPr>
      <w:rFonts w:ascii="Times New Roman" w:hAnsi="Times New Roman"/>
      <w:b/>
      <w:bCs/>
      <w:i/>
      <w:iCs/>
      <w:color w:val="000000"/>
      <w:sz w:val="24"/>
      <w:lang w:val="en-GB" w:eastAsia="en-US"/>
    </w:rPr>
  </w:style>
  <w:style w:type="character" w:customStyle="1" w:styleId="80">
    <w:name w:val="Заголовок 8 Знак"/>
    <w:link w:val="8"/>
    <w:rsid w:val="00870723"/>
    <w:rPr>
      <w:rFonts w:ascii="Arial" w:hAnsi="Arial"/>
      <w:i/>
      <w:lang w:val="en-GB" w:eastAsia="en-US"/>
    </w:rPr>
  </w:style>
  <w:style w:type="character" w:customStyle="1" w:styleId="90">
    <w:name w:val="Заголовок 9 Знак"/>
    <w:link w:val="9"/>
    <w:rsid w:val="00870723"/>
    <w:rPr>
      <w:rFonts w:ascii="Arial" w:hAnsi="Arial"/>
      <w:i/>
      <w:sz w:val="18"/>
      <w:lang w:val="en-GB" w:eastAsia="en-US"/>
    </w:rPr>
  </w:style>
  <w:style w:type="paragraph" w:styleId="22">
    <w:name w:val="toc 2"/>
    <w:basedOn w:val="11"/>
    <w:uiPriority w:val="39"/>
    <w:locked/>
    <w:rsid w:val="00870723"/>
    <w:pPr>
      <w:spacing w:before="0"/>
    </w:pPr>
    <w:rPr>
      <w:sz w:val="24"/>
    </w:rPr>
  </w:style>
  <w:style w:type="paragraph" w:styleId="31">
    <w:name w:val="toc 3"/>
    <w:basedOn w:val="22"/>
    <w:uiPriority w:val="39"/>
    <w:locked/>
    <w:rsid w:val="00870723"/>
    <w:pPr>
      <w:tabs>
        <w:tab w:val="left" w:pos="1418"/>
      </w:tabs>
      <w:ind w:left="1418" w:hanging="1418"/>
    </w:pPr>
  </w:style>
  <w:style w:type="paragraph" w:styleId="41">
    <w:name w:val="toc 4"/>
    <w:basedOn w:val="31"/>
    <w:uiPriority w:val="39"/>
    <w:locked/>
    <w:rsid w:val="00870723"/>
  </w:style>
  <w:style w:type="paragraph" w:styleId="51">
    <w:name w:val="toc 5"/>
    <w:basedOn w:val="a1"/>
    <w:next w:val="a1"/>
    <w:autoRedefine/>
    <w:uiPriority w:val="39"/>
    <w:locked/>
    <w:rsid w:val="00870723"/>
    <w:pPr>
      <w:spacing w:after="0" w:line="240" w:lineRule="auto"/>
      <w:ind w:left="960"/>
    </w:pPr>
    <w:rPr>
      <w:rFonts w:ascii="Times New Roman" w:hAnsi="Times New Roman"/>
      <w:sz w:val="24"/>
      <w:szCs w:val="24"/>
      <w:lang w:val="en-US" w:eastAsia="en-US"/>
    </w:rPr>
  </w:style>
  <w:style w:type="paragraph" w:styleId="61">
    <w:name w:val="toc 6"/>
    <w:basedOn w:val="a1"/>
    <w:next w:val="a1"/>
    <w:autoRedefine/>
    <w:uiPriority w:val="39"/>
    <w:locked/>
    <w:rsid w:val="00870723"/>
    <w:pPr>
      <w:spacing w:after="0" w:line="240" w:lineRule="auto"/>
      <w:ind w:left="1200"/>
    </w:pPr>
    <w:rPr>
      <w:rFonts w:ascii="Times New Roman" w:hAnsi="Times New Roman"/>
      <w:sz w:val="24"/>
      <w:szCs w:val="24"/>
      <w:lang w:val="en-US" w:eastAsia="en-US"/>
    </w:rPr>
  </w:style>
  <w:style w:type="paragraph" w:styleId="71">
    <w:name w:val="toc 7"/>
    <w:basedOn w:val="a1"/>
    <w:next w:val="a1"/>
    <w:autoRedefine/>
    <w:uiPriority w:val="39"/>
    <w:locked/>
    <w:rsid w:val="00870723"/>
    <w:pPr>
      <w:spacing w:after="0" w:line="240" w:lineRule="auto"/>
      <w:ind w:left="1440"/>
    </w:pPr>
    <w:rPr>
      <w:rFonts w:ascii="Times New Roman" w:hAnsi="Times New Roman"/>
      <w:sz w:val="24"/>
      <w:szCs w:val="24"/>
      <w:lang w:val="en-US" w:eastAsia="en-US"/>
    </w:rPr>
  </w:style>
  <w:style w:type="paragraph" w:styleId="81">
    <w:name w:val="toc 8"/>
    <w:basedOn w:val="a1"/>
    <w:next w:val="a1"/>
    <w:autoRedefine/>
    <w:uiPriority w:val="39"/>
    <w:locked/>
    <w:rsid w:val="00870723"/>
    <w:pPr>
      <w:spacing w:after="0" w:line="240" w:lineRule="auto"/>
      <w:ind w:left="1680"/>
    </w:pPr>
    <w:rPr>
      <w:rFonts w:ascii="Times New Roman" w:hAnsi="Times New Roman"/>
      <w:sz w:val="24"/>
      <w:szCs w:val="24"/>
      <w:lang w:val="en-US" w:eastAsia="en-US"/>
    </w:rPr>
  </w:style>
  <w:style w:type="paragraph" w:styleId="91">
    <w:name w:val="toc 9"/>
    <w:basedOn w:val="a1"/>
    <w:next w:val="a1"/>
    <w:autoRedefine/>
    <w:uiPriority w:val="39"/>
    <w:locked/>
    <w:rsid w:val="00870723"/>
    <w:pPr>
      <w:spacing w:after="0" w:line="240" w:lineRule="auto"/>
      <w:ind w:left="1920"/>
    </w:pPr>
    <w:rPr>
      <w:rFonts w:ascii="Times New Roman" w:hAnsi="Times New Roman"/>
      <w:sz w:val="24"/>
      <w:szCs w:val="24"/>
      <w:lang w:val="en-US" w:eastAsia="en-US"/>
    </w:rPr>
  </w:style>
  <w:style w:type="paragraph" w:customStyle="1" w:styleId="AppendixHeading">
    <w:name w:val="Appendix Heading"/>
    <w:basedOn w:val="1"/>
    <w:next w:val="a2"/>
    <w:rsid w:val="00870723"/>
    <w:pPr>
      <w:pageBreakBefore/>
      <w:tabs>
        <w:tab w:val="num" w:pos="0"/>
      </w:tabs>
      <w:spacing w:before="400" w:after="130" w:line="360" w:lineRule="atLeast"/>
      <w:ind w:hanging="964"/>
      <w:outlineLvl w:val="9"/>
    </w:pPr>
    <w:rPr>
      <w:rFonts w:ascii="Times New Roman" w:hAnsi="Times New Roman"/>
      <w:kern w:val="0"/>
      <w:szCs w:val="20"/>
      <w:lang w:val="en-US" w:eastAsia="en-US"/>
    </w:rPr>
  </w:style>
  <w:style w:type="paragraph" w:customStyle="1" w:styleId="AppendixHeading2">
    <w:name w:val="Appendix Heading 2"/>
    <w:basedOn w:val="20"/>
    <w:next w:val="a2"/>
    <w:rsid w:val="00870723"/>
    <w:pPr>
      <w:numPr>
        <w:ilvl w:val="1"/>
        <w:numId w:val="2"/>
      </w:numPr>
      <w:spacing w:before="400" w:after="0"/>
      <w:outlineLvl w:val="9"/>
    </w:pPr>
    <w:rPr>
      <w:bCs/>
      <w:i/>
      <w:iCs/>
    </w:rPr>
  </w:style>
  <w:style w:type="paragraph" w:customStyle="1" w:styleId="AppendixHeading3">
    <w:name w:val="Appendix Heading 3"/>
    <w:basedOn w:val="3"/>
    <w:next w:val="a2"/>
    <w:rsid w:val="00870723"/>
    <w:pPr>
      <w:numPr>
        <w:ilvl w:val="2"/>
        <w:numId w:val="2"/>
      </w:numPr>
      <w:spacing w:before="400" w:after="0"/>
      <w:outlineLvl w:val="9"/>
    </w:pPr>
    <w:rPr>
      <w:bCs/>
      <w:sz w:val="24"/>
    </w:rPr>
  </w:style>
  <w:style w:type="paragraph" w:customStyle="1" w:styleId="AppendixHeading4">
    <w:name w:val="Appendix Heading 4"/>
    <w:basedOn w:val="4"/>
    <w:next w:val="a2"/>
    <w:rsid w:val="00870723"/>
    <w:pPr>
      <w:numPr>
        <w:ilvl w:val="3"/>
        <w:numId w:val="2"/>
      </w:numPr>
      <w:spacing w:after="0"/>
      <w:outlineLvl w:val="9"/>
    </w:pPr>
    <w:rPr>
      <w:bCs w:val="0"/>
      <w:i/>
    </w:rPr>
  </w:style>
  <w:style w:type="paragraph" w:customStyle="1" w:styleId="AppendixHeading5">
    <w:name w:val="Appendix Heading 5"/>
    <w:basedOn w:val="5"/>
    <w:next w:val="a2"/>
    <w:rsid w:val="00870723"/>
    <w:pPr>
      <w:spacing w:after="0"/>
      <w:outlineLvl w:val="9"/>
    </w:pPr>
    <w:rPr>
      <w:b w:val="0"/>
      <w:bCs w:val="0"/>
      <w:iCs w:val="0"/>
    </w:rPr>
  </w:style>
  <w:style w:type="paragraph" w:styleId="a">
    <w:name w:val="List Bullet"/>
    <w:basedOn w:val="a2"/>
    <w:uiPriority w:val="13"/>
    <w:qFormat/>
    <w:rsid w:val="00870723"/>
    <w:pPr>
      <w:numPr>
        <w:numId w:val="3"/>
      </w:numPr>
      <w:spacing w:after="130" w:line="260" w:lineRule="atLeast"/>
      <w:jc w:val="both"/>
    </w:pPr>
    <w:rPr>
      <w:rFonts w:ascii="Times New Roman" w:hAnsi="Times New Roman"/>
      <w:sz w:val="22"/>
      <w:lang w:val="en-US" w:eastAsia="en-US"/>
    </w:rPr>
  </w:style>
  <w:style w:type="paragraph" w:styleId="2">
    <w:name w:val="List Bullet 2"/>
    <w:basedOn w:val="a"/>
    <w:rsid w:val="00870723"/>
    <w:pPr>
      <w:numPr>
        <w:numId w:val="4"/>
      </w:numPr>
    </w:pPr>
  </w:style>
  <w:style w:type="paragraph" w:customStyle="1" w:styleId="PageTitle">
    <w:name w:val="PageTitle"/>
    <w:basedOn w:val="a1"/>
    <w:rsid w:val="00870723"/>
    <w:pPr>
      <w:framePr w:w="5954" w:h="3232" w:hSpace="181" w:wrap="around" w:vAnchor="page" w:hAnchor="page" w:x="2893" w:y="4991"/>
      <w:spacing w:after="0" w:line="240" w:lineRule="auto"/>
      <w:jc w:val="center"/>
    </w:pPr>
    <w:rPr>
      <w:rFonts w:ascii="Times New Roman" w:hAnsi="Times New Roman"/>
      <w:b/>
      <w:sz w:val="32"/>
      <w:szCs w:val="24"/>
      <w:lang w:val="en-US" w:eastAsia="en-US"/>
    </w:rPr>
  </w:style>
  <w:style w:type="paragraph" w:customStyle="1" w:styleId="bullet0">
    <w:name w:val="bullet"/>
    <w:basedOn w:val="a1"/>
    <w:rsid w:val="00870723"/>
    <w:pPr>
      <w:tabs>
        <w:tab w:val="left" w:pos="360"/>
      </w:tabs>
      <w:overflowPunct w:val="0"/>
      <w:autoSpaceDE w:val="0"/>
      <w:autoSpaceDN w:val="0"/>
      <w:adjustRightInd w:val="0"/>
      <w:spacing w:after="0" w:line="260" w:lineRule="atLeast"/>
      <w:ind w:left="357" w:hanging="357"/>
      <w:jc w:val="both"/>
      <w:textAlignment w:val="baseline"/>
    </w:pPr>
    <w:rPr>
      <w:rFonts w:ascii="Times New Roman" w:hAnsi="Times New Roman"/>
      <w:sz w:val="20"/>
      <w:szCs w:val="20"/>
      <w:lang w:eastAsia="en-US"/>
    </w:rPr>
  </w:style>
  <w:style w:type="paragraph" w:styleId="afe">
    <w:name w:val="endnote text"/>
    <w:basedOn w:val="a1"/>
    <w:link w:val="aff"/>
    <w:semiHidden/>
    <w:rsid w:val="00870723"/>
    <w:pPr>
      <w:overflowPunct w:val="0"/>
      <w:autoSpaceDE w:val="0"/>
      <w:autoSpaceDN w:val="0"/>
      <w:adjustRightInd w:val="0"/>
      <w:spacing w:after="0" w:line="240" w:lineRule="auto"/>
      <w:textAlignment w:val="baseline"/>
    </w:pPr>
    <w:rPr>
      <w:rFonts w:ascii="Times New Roman" w:hAnsi="Times New Roman"/>
      <w:sz w:val="20"/>
      <w:szCs w:val="20"/>
      <w:lang w:eastAsia="en-US"/>
    </w:rPr>
  </w:style>
  <w:style w:type="character" w:customStyle="1" w:styleId="aff">
    <w:name w:val="Текст концевой сноски Знак"/>
    <w:link w:val="afe"/>
    <w:semiHidden/>
    <w:rsid w:val="00870723"/>
    <w:rPr>
      <w:rFonts w:ascii="Times New Roman" w:hAnsi="Times New Roman"/>
      <w:lang w:val="en-GB" w:eastAsia="en-US"/>
    </w:rPr>
  </w:style>
  <w:style w:type="character" w:styleId="aff0">
    <w:name w:val="endnote reference"/>
    <w:semiHidden/>
    <w:rsid w:val="00870723"/>
    <w:rPr>
      <w:rFonts w:ascii="Times New Roman" w:hAnsi="Times New Roman"/>
      <w:b/>
      <w:sz w:val="24"/>
      <w:vertAlign w:val="superscript"/>
    </w:rPr>
  </w:style>
  <w:style w:type="paragraph" w:customStyle="1" w:styleId="alttext">
    <w:name w:val="alt_text"/>
    <w:basedOn w:val="a2"/>
    <w:rsid w:val="00870723"/>
    <w:pPr>
      <w:spacing w:before="130" w:after="130" w:line="260" w:lineRule="atLeast"/>
      <w:jc w:val="both"/>
    </w:pPr>
    <w:rPr>
      <w:rFonts w:ascii="Arial" w:hAnsi="Arial"/>
      <w:i/>
      <w:iCs/>
      <w:sz w:val="18"/>
      <w:lang w:val="en-US" w:eastAsia="en-US"/>
    </w:rPr>
  </w:style>
  <w:style w:type="paragraph" w:customStyle="1" w:styleId="tabletext">
    <w:name w:val="table_text"/>
    <w:basedOn w:val="a1"/>
    <w:rsid w:val="00870723"/>
    <w:pPr>
      <w:numPr>
        <w:ilvl w:val="12"/>
      </w:numPr>
      <w:spacing w:before="65" w:after="65" w:line="240" w:lineRule="auto"/>
    </w:pPr>
    <w:rPr>
      <w:rFonts w:ascii="Times New Roman" w:hAnsi="Times New Roman"/>
      <w:sz w:val="20"/>
      <w:szCs w:val="24"/>
      <w:lang w:val="en-US" w:eastAsia="en-US"/>
    </w:rPr>
  </w:style>
  <w:style w:type="paragraph" w:customStyle="1" w:styleId="LetTLH">
    <w:name w:val="LetTLH"/>
    <w:basedOn w:val="a1"/>
    <w:next w:val="a1"/>
    <w:rsid w:val="00870723"/>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eastAsia="en-US"/>
    </w:rPr>
  </w:style>
  <w:style w:type="paragraph" w:customStyle="1" w:styleId="Address">
    <w:name w:val="Address"/>
    <w:basedOn w:val="a1"/>
    <w:next w:val="a1"/>
    <w:rsid w:val="00870723"/>
    <w:pPr>
      <w:tabs>
        <w:tab w:val="right" w:pos="6940"/>
        <w:tab w:val="left" w:pos="7394"/>
      </w:tabs>
      <w:overflowPunct w:val="0"/>
      <w:autoSpaceDE w:val="0"/>
      <w:autoSpaceDN w:val="0"/>
      <w:adjustRightInd w:val="0"/>
      <w:spacing w:after="0" w:line="240" w:lineRule="auto"/>
      <w:jc w:val="both"/>
      <w:textAlignment w:val="baseline"/>
    </w:pPr>
    <w:rPr>
      <w:rFonts w:ascii="Times New Roman" w:hAnsi="Times New Roman"/>
      <w:szCs w:val="20"/>
      <w:lang w:eastAsia="en-US"/>
    </w:rPr>
  </w:style>
  <w:style w:type="paragraph" w:customStyle="1" w:styleId="tabelLinks">
    <w:name w:val="tabelLinks"/>
    <w:basedOn w:val="IAS"/>
    <w:rsid w:val="00870723"/>
    <w:rPr>
      <w:i w:val="0"/>
      <w:sz w:val="18"/>
    </w:rPr>
  </w:style>
  <w:style w:type="paragraph" w:customStyle="1" w:styleId="IAS">
    <w:name w:val="IAS"/>
    <w:basedOn w:val="a1"/>
    <w:rsid w:val="00870723"/>
    <w:pPr>
      <w:overflowPunct w:val="0"/>
      <w:autoSpaceDE w:val="0"/>
      <w:autoSpaceDN w:val="0"/>
      <w:adjustRightInd w:val="0"/>
      <w:spacing w:after="0" w:line="-260" w:lineRule="auto"/>
      <w:textAlignment w:val="baseline"/>
    </w:pPr>
    <w:rPr>
      <w:rFonts w:ascii="Times" w:hAnsi="Times"/>
      <w:i/>
      <w:sz w:val="20"/>
      <w:szCs w:val="20"/>
      <w:lang w:eastAsia="en-US"/>
    </w:rPr>
  </w:style>
  <w:style w:type="paragraph" w:customStyle="1" w:styleId="tab">
    <w:name w:val="tab+"/>
    <w:basedOn w:val="IAS"/>
    <w:rsid w:val="00870723"/>
    <w:pPr>
      <w:ind w:right="91"/>
      <w:jc w:val="right"/>
    </w:pPr>
    <w:rPr>
      <w:rFonts w:ascii="Times New Roman" w:hAnsi="Times New Roman"/>
      <w:i w:val="0"/>
      <w:sz w:val="18"/>
    </w:rPr>
  </w:style>
  <w:style w:type="character" w:customStyle="1" w:styleId="PageNumberpn">
    <w:name w:val="Page Number.pn"/>
    <w:rsid w:val="00870723"/>
  </w:style>
  <w:style w:type="paragraph" w:customStyle="1" w:styleId="tabelheading1">
    <w:name w:val="tabelheading1"/>
    <w:basedOn w:val="tabelLinks"/>
    <w:rsid w:val="00870723"/>
    <w:pPr>
      <w:keepNext/>
    </w:pPr>
    <w:rPr>
      <w:b/>
    </w:rPr>
  </w:style>
  <w:style w:type="paragraph" w:customStyle="1" w:styleId="tabelt">
    <w:name w:val="tabel=.t="/>
    <w:basedOn w:val="a1"/>
    <w:rsid w:val="00870723"/>
    <w:pPr>
      <w:overflowPunct w:val="0"/>
      <w:autoSpaceDE w:val="0"/>
      <w:autoSpaceDN w:val="0"/>
      <w:adjustRightInd w:val="0"/>
      <w:spacing w:after="120" w:line="-60" w:lineRule="auto"/>
      <w:ind w:right="91"/>
      <w:jc w:val="right"/>
      <w:textAlignment w:val="baseline"/>
    </w:pPr>
    <w:rPr>
      <w:rFonts w:ascii="Times New Roman" w:hAnsi="Times New Roman"/>
      <w:szCs w:val="20"/>
      <w:u w:val="double"/>
      <w:lang w:eastAsia="en-US"/>
    </w:rPr>
  </w:style>
  <w:style w:type="paragraph" w:customStyle="1" w:styleId="euroheading">
    <w:name w:val="euro heading"/>
    <w:basedOn w:val="a1"/>
    <w:rsid w:val="00870723"/>
    <w:pPr>
      <w:overflowPunct w:val="0"/>
      <w:autoSpaceDE w:val="0"/>
      <w:autoSpaceDN w:val="0"/>
      <w:adjustRightInd w:val="0"/>
      <w:spacing w:after="0" w:line="260" w:lineRule="atLeast"/>
      <w:jc w:val="both"/>
      <w:textAlignment w:val="baseline"/>
    </w:pPr>
    <w:rPr>
      <w:rFonts w:ascii="Times New Roman" w:hAnsi="Times New Roman"/>
      <w:i/>
      <w:sz w:val="20"/>
      <w:szCs w:val="20"/>
      <w:lang w:eastAsia="en-US"/>
    </w:rPr>
  </w:style>
  <w:style w:type="paragraph" w:customStyle="1" w:styleId="numbertablehead">
    <w:name w:val="number table head"/>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b/>
      <w:sz w:val="20"/>
      <w:szCs w:val="20"/>
      <w:lang w:eastAsia="en-US"/>
    </w:rPr>
  </w:style>
  <w:style w:type="paragraph" w:customStyle="1" w:styleId="numbernegative">
    <w:name w:val="number negative"/>
    <w:basedOn w:val="a1"/>
    <w:rsid w:val="00870723"/>
    <w:pPr>
      <w:overflowPunct w:val="0"/>
      <w:autoSpaceDE w:val="0"/>
      <w:autoSpaceDN w:val="0"/>
      <w:adjustRightInd w:val="0"/>
      <w:spacing w:after="0" w:line="260" w:lineRule="atLeast"/>
      <w:jc w:val="right"/>
      <w:textAlignment w:val="baseline"/>
    </w:pPr>
    <w:rPr>
      <w:rFonts w:ascii="Times New Roman" w:hAnsi="Times New Roman"/>
      <w:sz w:val="20"/>
      <w:szCs w:val="20"/>
      <w:lang w:eastAsia="en-US"/>
    </w:rPr>
  </w:style>
  <w:style w:type="paragraph" w:customStyle="1" w:styleId="numberpositive">
    <w:name w:val="number positive"/>
    <w:basedOn w:val="a1"/>
    <w:rsid w:val="00870723"/>
    <w:pPr>
      <w:overflowPunct w:val="0"/>
      <w:autoSpaceDE w:val="0"/>
      <w:autoSpaceDN w:val="0"/>
      <w:adjustRightInd w:val="0"/>
      <w:spacing w:after="0" w:line="260" w:lineRule="atLeast"/>
      <w:ind w:right="62"/>
      <w:jc w:val="right"/>
      <w:textAlignment w:val="baseline"/>
    </w:pPr>
    <w:rPr>
      <w:rFonts w:ascii="Times New Roman" w:hAnsi="Times New Roman"/>
      <w:sz w:val="20"/>
      <w:szCs w:val="20"/>
      <w:lang w:eastAsia="en-US"/>
    </w:rPr>
  </w:style>
  <w:style w:type="paragraph" w:customStyle="1" w:styleId="Text">
    <w:name w:val="Text"/>
    <w:basedOn w:val="a1"/>
    <w:rsid w:val="00870723"/>
    <w:pPr>
      <w:tabs>
        <w:tab w:val="left" w:pos="284"/>
      </w:tabs>
      <w:overflowPunct w:val="0"/>
      <w:autoSpaceDE w:val="0"/>
      <w:autoSpaceDN w:val="0"/>
      <w:adjustRightInd w:val="0"/>
      <w:spacing w:after="260" w:line="240" w:lineRule="auto"/>
      <w:jc w:val="both"/>
      <w:textAlignment w:val="baseline"/>
    </w:pPr>
    <w:rPr>
      <w:rFonts w:ascii="Times New Roman" w:eastAsia="MS Mincho" w:hAnsi="Times New Roman"/>
      <w:szCs w:val="20"/>
      <w:lang w:eastAsia="en-US"/>
    </w:rPr>
  </w:style>
  <w:style w:type="paragraph" w:customStyle="1" w:styleId="body">
    <w:name w:val="body"/>
    <w:basedOn w:val="a1"/>
    <w:rsid w:val="00870723"/>
    <w:pPr>
      <w:keepNext/>
      <w:spacing w:before="260" w:after="260" w:line="240" w:lineRule="auto"/>
      <w:jc w:val="both"/>
    </w:pPr>
    <w:rPr>
      <w:rFonts w:ascii="Times New Roman" w:hAnsi="Times New Roman"/>
      <w:b/>
      <w:bCs/>
      <w:sz w:val="24"/>
      <w:szCs w:val="24"/>
      <w:lang w:val="en-US" w:eastAsia="en-US"/>
    </w:rPr>
  </w:style>
  <w:style w:type="paragraph" w:customStyle="1" w:styleId="Subhead3CharCharChar">
    <w:name w:val="Subhead 3 Char Char Char"/>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rsid w:val="00870723"/>
    <w:pPr>
      <w:tabs>
        <w:tab w:val="left" w:pos="1531"/>
        <w:tab w:val="left" w:pos="1871"/>
      </w:tabs>
      <w:autoSpaceDE w:val="0"/>
      <w:autoSpaceDN w:val="0"/>
      <w:adjustRightInd w:val="0"/>
      <w:spacing w:after="0" w:line="260" w:lineRule="atLeast"/>
      <w:ind w:left="1531" w:hanging="1531"/>
    </w:pPr>
    <w:rPr>
      <w:rFonts w:ascii="Univers 45 Light" w:hAnsi="Univers 45 Light"/>
      <w:color w:val="000000"/>
      <w:sz w:val="20"/>
      <w:szCs w:val="20"/>
      <w:lang w:val="en-NZ" w:eastAsia="en-NZ"/>
    </w:rPr>
  </w:style>
  <w:style w:type="paragraph" w:customStyle="1" w:styleId="Subhead4">
    <w:name w:val="Subhead 4"/>
    <w:basedOn w:val="a1"/>
    <w:rsid w:val="00870723"/>
    <w:pPr>
      <w:tabs>
        <w:tab w:val="left" w:pos="1134"/>
        <w:tab w:val="left" w:pos="1531"/>
        <w:tab w:val="left" w:pos="1871"/>
      </w:tabs>
      <w:autoSpaceDE w:val="0"/>
      <w:autoSpaceDN w:val="0"/>
      <w:adjustRightInd w:val="0"/>
      <w:spacing w:after="0"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rsid w:val="00870723"/>
    <w:pPr>
      <w:tabs>
        <w:tab w:val="left" w:pos="1134"/>
        <w:tab w:val="left" w:pos="1531"/>
        <w:tab w:val="left" w:pos="1871"/>
      </w:tabs>
      <w:autoSpaceDE w:val="0"/>
      <w:autoSpaceDN w:val="0"/>
      <w:adjustRightInd w:val="0"/>
      <w:spacing w:after="0" w:line="260" w:lineRule="atLeast"/>
      <w:ind w:left="1531" w:hanging="1531"/>
    </w:pPr>
    <w:rPr>
      <w:rFonts w:ascii="Univers 55" w:hAnsi="Univers 55"/>
      <w:b/>
      <w:bCs/>
      <w:color w:val="0C2D83"/>
      <w:sz w:val="20"/>
      <w:szCs w:val="20"/>
      <w:lang w:val="en-NZ" w:eastAsia="en-NZ"/>
    </w:rPr>
  </w:style>
  <w:style w:type="paragraph" w:styleId="32">
    <w:name w:val="Body Text 3"/>
    <w:basedOn w:val="a1"/>
    <w:link w:val="33"/>
    <w:rsid w:val="00870723"/>
    <w:pPr>
      <w:spacing w:after="120" w:line="240" w:lineRule="auto"/>
    </w:pPr>
    <w:rPr>
      <w:rFonts w:ascii="Times New Roman" w:hAnsi="Times New Roman"/>
      <w:sz w:val="16"/>
      <w:szCs w:val="16"/>
      <w:lang w:val="en-US" w:eastAsia="en-US"/>
    </w:rPr>
  </w:style>
  <w:style w:type="character" w:customStyle="1" w:styleId="33">
    <w:name w:val="Основной текст 3 Знак"/>
    <w:link w:val="32"/>
    <w:rsid w:val="00870723"/>
    <w:rPr>
      <w:rFonts w:ascii="Times New Roman" w:hAnsi="Times New Roman"/>
      <w:sz w:val="16"/>
      <w:szCs w:val="16"/>
      <w:lang w:val="en-US" w:eastAsia="en-US"/>
    </w:rPr>
  </w:style>
  <w:style w:type="paragraph" w:customStyle="1" w:styleId="Style11ptBoldJustifiedBefore13ptAfter13pt">
    <w:name w:val="Style 11 pt Bold Justified Before:  13 pt After:  13 pt"/>
    <w:basedOn w:val="a1"/>
    <w:autoRedefine/>
    <w:rsid w:val="00870723"/>
    <w:pPr>
      <w:keepNext/>
      <w:spacing w:before="130" w:after="130" w:line="260" w:lineRule="atLeast"/>
      <w:jc w:val="both"/>
    </w:pPr>
    <w:rPr>
      <w:rFonts w:ascii="Times New Roman" w:hAnsi="Times New Roman"/>
      <w:bCs/>
      <w:szCs w:val="20"/>
      <w:lang w:eastAsia="en-US"/>
    </w:rPr>
  </w:style>
  <w:style w:type="character" w:styleId="aff1">
    <w:name w:val="Emphasis"/>
    <w:qFormat/>
    <w:locked/>
    <w:rsid w:val="00870723"/>
    <w:rPr>
      <w:i/>
      <w:iCs/>
    </w:rPr>
  </w:style>
  <w:style w:type="paragraph" w:customStyle="1" w:styleId="Normal9pt">
    <w:name w:val="Normal + 9 pt"/>
    <w:basedOn w:val="a1"/>
    <w:rsid w:val="00870723"/>
    <w:pPr>
      <w:framePr w:hSpace="180" w:wrap="around" w:hAnchor="margin" w:x="-72" w:y="-1078"/>
      <w:spacing w:after="0" w:line="240" w:lineRule="auto"/>
    </w:pPr>
    <w:rPr>
      <w:rFonts w:ascii="Times New Roman" w:hAnsi="Times New Roman"/>
      <w:sz w:val="18"/>
      <w:szCs w:val="18"/>
      <w:lang w:val="en-US" w:eastAsia="en-US"/>
    </w:rPr>
  </w:style>
  <w:style w:type="character" w:customStyle="1" w:styleId="block">
    <w:name w:val="block"/>
    <w:rsid w:val="00870723"/>
  </w:style>
  <w:style w:type="paragraph" w:customStyle="1" w:styleId="TABS">
    <w:name w:val="TABS"/>
    <w:rsid w:val="00870723"/>
    <w:pPr>
      <w:widowControl w:val="0"/>
      <w:tabs>
        <w:tab w:val="left" w:pos="-1440"/>
        <w:tab w:val="left" w:pos="-720"/>
        <w:tab w:val="left" w:pos="720"/>
        <w:tab w:val="left" w:pos="1440"/>
        <w:tab w:val="left" w:pos="2304"/>
      </w:tabs>
      <w:suppressAutoHyphens/>
      <w:autoSpaceDE w:val="0"/>
      <w:autoSpaceDN w:val="0"/>
      <w:adjustRightInd w:val="0"/>
    </w:pPr>
    <w:rPr>
      <w:rFonts w:ascii="Dutch Roman 12pt" w:hAnsi="Dutch Roman 12pt"/>
      <w:szCs w:val="24"/>
      <w:lang w:val="en-US" w:eastAsia="en-US"/>
    </w:rPr>
  </w:style>
  <w:style w:type="paragraph" w:styleId="23">
    <w:name w:val="Body Text 2"/>
    <w:basedOn w:val="a1"/>
    <w:link w:val="24"/>
    <w:rsid w:val="00870723"/>
    <w:pPr>
      <w:spacing w:after="120" w:line="480" w:lineRule="auto"/>
    </w:pPr>
    <w:rPr>
      <w:rFonts w:ascii="Times New Roman" w:hAnsi="Times New Roman"/>
      <w:sz w:val="24"/>
      <w:szCs w:val="24"/>
      <w:lang w:val="en-US" w:eastAsia="en-US"/>
    </w:rPr>
  </w:style>
  <w:style w:type="character" w:customStyle="1" w:styleId="24">
    <w:name w:val="Основной текст 2 Знак"/>
    <w:link w:val="23"/>
    <w:rsid w:val="00870723"/>
    <w:rPr>
      <w:rFonts w:ascii="Times New Roman" w:hAnsi="Times New Roman"/>
      <w:sz w:val="24"/>
      <w:szCs w:val="24"/>
      <w:lang w:val="en-US" w:eastAsia="en-US"/>
    </w:rPr>
  </w:style>
  <w:style w:type="paragraph" w:customStyle="1" w:styleId="ABCFootnote">
    <w:name w:val="ABC Footnote"/>
    <w:basedOn w:val="af8"/>
    <w:rsid w:val="00870723"/>
    <w:rPr>
      <w:rFonts w:ascii="Times New Roman" w:hAnsi="Times New Roman"/>
      <w:sz w:val="18"/>
      <w:lang w:eastAsia="en-US"/>
    </w:rPr>
  </w:style>
  <w:style w:type="paragraph" w:customStyle="1" w:styleId="tblHeaderText">
    <w:name w:val="tbl'HeaderText"/>
    <w:basedOn w:val="a1"/>
    <w:rsid w:val="00870723"/>
    <w:pPr>
      <w:spacing w:after="0" w:line="240" w:lineRule="auto"/>
      <w:ind w:right="57"/>
      <w:jc w:val="right"/>
    </w:pPr>
    <w:rPr>
      <w:rFonts w:ascii="Times New Roman" w:hAnsi="Times New Roman"/>
      <w:b/>
      <w:spacing w:val="-2"/>
      <w:sz w:val="20"/>
      <w:szCs w:val="20"/>
      <w:lang w:eastAsia="en-US"/>
    </w:rPr>
  </w:style>
  <w:style w:type="paragraph" w:customStyle="1" w:styleId="tblNumber01">
    <w:name w:val="tbl'Number_01"/>
    <w:basedOn w:val="a1"/>
    <w:rsid w:val="00870723"/>
    <w:pPr>
      <w:spacing w:after="0" w:line="240" w:lineRule="auto"/>
      <w:ind w:right="57"/>
      <w:jc w:val="right"/>
    </w:pPr>
    <w:rPr>
      <w:rFonts w:ascii="Times New Roman" w:hAnsi="Times New Roman"/>
      <w:sz w:val="20"/>
      <w:szCs w:val="20"/>
      <w:lang w:eastAsia="en-US"/>
    </w:rPr>
  </w:style>
  <w:style w:type="paragraph" w:customStyle="1" w:styleId="tblText02">
    <w:name w:val="tbl'Text_02"/>
    <w:basedOn w:val="a1"/>
    <w:rsid w:val="00870723"/>
    <w:pPr>
      <w:spacing w:after="0" w:line="240" w:lineRule="auto"/>
      <w:ind w:left="113" w:hanging="113"/>
    </w:pPr>
    <w:rPr>
      <w:rFonts w:ascii="Times New Roman" w:hAnsi="Times New Roman"/>
      <w:sz w:val="20"/>
      <w:szCs w:val="20"/>
      <w:lang w:eastAsia="en-US"/>
    </w:rPr>
  </w:style>
  <w:style w:type="character" w:customStyle="1" w:styleId="-731">
    <w:name w:val="Таблица-сетка 7 цветная — акцент 31"/>
    <w:uiPriority w:val="33"/>
    <w:qFormat/>
    <w:rsid w:val="00870723"/>
    <w:rPr>
      <w:b/>
      <w:bCs/>
      <w:smallCaps/>
      <w:spacing w:val="5"/>
    </w:rPr>
  </w:style>
  <w:style w:type="paragraph" w:customStyle="1" w:styleId="IndependentAuditorsReport">
    <w:name w:val="Independent Auditor's Report"/>
    <w:basedOn w:val="a2"/>
    <w:rsid w:val="00870723"/>
    <w:pPr>
      <w:spacing w:before="240" w:after="0" w:line="240" w:lineRule="auto"/>
      <w:jc w:val="both"/>
    </w:pPr>
    <w:rPr>
      <w:rFonts w:ascii="Times New Roman" w:hAnsi="Times New Roman"/>
      <w:b/>
      <w:sz w:val="22"/>
      <w:lang w:val="en-US" w:eastAsia="en-US"/>
    </w:rPr>
  </w:style>
  <w:style w:type="paragraph" w:customStyle="1" w:styleId="zKISOffAddress">
    <w:name w:val="zKISOffAddress"/>
    <w:basedOn w:val="a1"/>
    <w:rsid w:val="00870723"/>
    <w:pPr>
      <w:framePr w:hSpace="215" w:wrap="around" w:vAnchor="page" w:hAnchor="page" w:x="4282" w:y="1294"/>
      <w:spacing w:after="0" w:line="190" w:lineRule="exact"/>
    </w:pPr>
    <w:rPr>
      <w:rFonts w:ascii="Univers 45 Light" w:hAnsi="Univers 45 Light"/>
      <w:sz w:val="15"/>
      <w:szCs w:val="20"/>
      <w:lang w:val="en-US" w:eastAsia="en-US"/>
    </w:rPr>
  </w:style>
  <w:style w:type="paragraph" w:customStyle="1" w:styleId="zKISDescFooter">
    <w:name w:val="zKISDescFooter"/>
    <w:basedOn w:val="a1"/>
    <w:rsid w:val="00870723"/>
    <w:pPr>
      <w:framePr w:hSpace="284" w:wrap="around" w:vAnchor="page" w:hAnchor="page" w:x="4282" w:y="15905"/>
      <w:spacing w:after="0" w:line="130" w:lineRule="exact"/>
    </w:pPr>
    <w:rPr>
      <w:rFonts w:ascii="Univers 45 Light" w:hAnsi="Univers 45 Light"/>
      <w:sz w:val="11"/>
      <w:szCs w:val="20"/>
      <w:lang w:val="en-US" w:eastAsia="en-US"/>
    </w:rPr>
  </w:style>
  <w:style w:type="paragraph" w:customStyle="1" w:styleId="GridTable4-Accent41">
    <w:name w:val="Grid Table 4 - Accent 41"/>
    <w:hidden/>
    <w:uiPriority w:val="99"/>
    <w:semiHidden/>
    <w:rsid w:val="00870723"/>
    <w:rPr>
      <w:rFonts w:ascii="Times New Roman" w:hAnsi="Times New Roman"/>
      <w:sz w:val="24"/>
      <w:szCs w:val="24"/>
      <w:lang w:val="en-US" w:eastAsia="en-US"/>
    </w:rPr>
  </w:style>
  <w:style w:type="paragraph" w:customStyle="1" w:styleId="Default">
    <w:name w:val="Default"/>
    <w:rsid w:val="00870723"/>
    <w:pPr>
      <w:autoSpaceDE w:val="0"/>
      <w:autoSpaceDN w:val="0"/>
      <w:adjustRightInd w:val="0"/>
    </w:pPr>
    <w:rPr>
      <w:rFonts w:ascii="Univers 45 Light" w:hAnsi="Univers 45 Light" w:cs="Univers 45 Light"/>
      <w:color w:val="000000"/>
      <w:sz w:val="24"/>
      <w:szCs w:val="24"/>
      <w:lang w:val="en-US" w:eastAsia="en-US"/>
    </w:rPr>
  </w:style>
  <w:style w:type="paragraph" w:customStyle="1" w:styleId="Pa25">
    <w:name w:val="Pa25"/>
    <w:basedOn w:val="Default"/>
    <w:next w:val="Default"/>
    <w:uiPriority w:val="99"/>
    <w:rsid w:val="00870723"/>
    <w:pPr>
      <w:spacing w:line="191" w:lineRule="atLeast"/>
    </w:pPr>
    <w:rPr>
      <w:rFonts w:cs="Times New Roman"/>
      <w:color w:val="auto"/>
    </w:rPr>
  </w:style>
  <w:style w:type="character" w:customStyle="1" w:styleId="A11">
    <w:name w:val="A11"/>
    <w:uiPriority w:val="99"/>
    <w:rsid w:val="00870723"/>
    <w:rPr>
      <w:rFonts w:cs="Univers 45 Light"/>
      <w:i/>
      <w:iCs/>
      <w:color w:val="004690"/>
      <w:sz w:val="15"/>
      <w:szCs w:val="15"/>
    </w:rPr>
  </w:style>
  <w:style w:type="paragraph" w:customStyle="1" w:styleId="GridTable5Dark-Accent41">
    <w:name w:val="Grid Table 5 Dark - Accent 41"/>
    <w:basedOn w:val="a1"/>
    <w:uiPriority w:val="34"/>
    <w:qFormat/>
    <w:rsid w:val="00870723"/>
    <w:pPr>
      <w:spacing w:after="0" w:line="240" w:lineRule="auto"/>
      <w:ind w:left="720"/>
      <w:contextualSpacing/>
    </w:pPr>
    <w:rPr>
      <w:rFonts w:ascii="Times New Roman" w:hAnsi="Times New Roman"/>
      <w:sz w:val="24"/>
      <w:szCs w:val="24"/>
      <w:lang w:val="en-US" w:eastAsia="en-US"/>
    </w:rPr>
  </w:style>
  <w:style w:type="paragraph" w:customStyle="1" w:styleId="Report">
    <w:name w:val="Report"/>
    <w:rsid w:val="00870723"/>
    <w:pPr>
      <w:numPr>
        <w:numId w:val="5"/>
      </w:numPr>
      <w:spacing w:after="240"/>
      <w:jc w:val="both"/>
    </w:pPr>
    <w:rPr>
      <w:rFonts w:ascii="Arial" w:hAnsi="Arial"/>
      <w:snapToGrid w:val="0"/>
      <w:lang w:val="en-GB" w:eastAsia="en-US"/>
    </w:rPr>
  </w:style>
  <w:style w:type="paragraph" w:customStyle="1" w:styleId="Z2Opinion">
    <w:name w:val="Z2_Opinion"/>
    <w:basedOn w:val="a1"/>
    <w:next w:val="a2"/>
    <w:rsid w:val="00870723"/>
    <w:pPr>
      <w:spacing w:after="0" w:line="240" w:lineRule="auto"/>
    </w:pPr>
    <w:rPr>
      <w:rFonts w:ascii="Arial" w:eastAsia="Arial Unicode MS" w:hAnsi="Arial" w:cs="Arial"/>
      <w:b/>
      <w:caps/>
      <w:sz w:val="20"/>
      <w:lang w:val="en-US" w:eastAsia="en-US"/>
    </w:rPr>
  </w:style>
  <w:style w:type="paragraph" w:customStyle="1" w:styleId="GridTable2-Accent31">
    <w:name w:val="Grid Table 2 - Accent 31"/>
    <w:hidden/>
    <w:uiPriority w:val="99"/>
    <w:unhideWhenUsed/>
    <w:rsid w:val="00512CC0"/>
    <w:rPr>
      <w:sz w:val="22"/>
      <w:szCs w:val="22"/>
      <w:lang w:val="en-GB" w:eastAsia="zh-CN"/>
    </w:rPr>
  </w:style>
  <w:style w:type="table" w:customStyle="1" w:styleId="ListTable6Colorful-Accent51">
    <w:name w:val="List Table 6 Colorful - Accent 51"/>
    <w:basedOn w:val="a4"/>
    <w:uiPriority w:val="99"/>
    <w:qFormat/>
    <w:rsid w:val="00131EF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41">
    <w:name w:val="Список-таблица 4 — акцент 41"/>
    <w:basedOn w:val="a4"/>
    <w:uiPriority w:val="99"/>
    <w:qFormat/>
    <w:rsid w:val="00ED4F6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1">
    <w:name w:val="Темный список - Акцент 31"/>
    <w:hidden/>
    <w:uiPriority w:val="99"/>
    <w:unhideWhenUsed/>
    <w:rsid w:val="005B37E8"/>
    <w:rPr>
      <w:sz w:val="22"/>
      <w:szCs w:val="22"/>
      <w:lang w:val="en-GB" w:eastAsia="zh-CN"/>
    </w:rPr>
  </w:style>
  <w:style w:type="character" w:customStyle="1" w:styleId="UnresolvedMention1">
    <w:name w:val="Unresolved Mention1"/>
    <w:uiPriority w:val="99"/>
    <w:semiHidden/>
    <w:unhideWhenUsed/>
    <w:rsid w:val="00CF22E3"/>
    <w:rPr>
      <w:color w:val="808080"/>
      <w:shd w:val="clear" w:color="auto" w:fill="E6E6E6"/>
    </w:rPr>
  </w:style>
  <w:style w:type="paragraph" w:styleId="aff2">
    <w:name w:val="List Paragraph"/>
    <w:basedOn w:val="a1"/>
    <w:uiPriority w:val="34"/>
    <w:qFormat/>
    <w:rsid w:val="00AD525C"/>
    <w:pPr>
      <w:spacing w:after="160" w:line="259" w:lineRule="auto"/>
      <w:ind w:left="720"/>
      <w:contextualSpacing/>
    </w:pPr>
    <w:rPr>
      <w:rFonts w:eastAsia="Calibri"/>
      <w:lang w:val="ru-RU" w:eastAsia="en-US"/>
    </w:rPr>
  </w:style>
  <w:style w:type="paragraph" w:styleId="aff3">
    <w:name w:val="Revision"/>
    <w:hidden/>
    <w:uiPriority w:val="99"/>
    <w:semiHidden/>
    <w:rsid w:val="00C52E4F"/>
    <w:rPr>
      <w:sz w:val="22"/>
      <w:szCs w:val="22"/>
      <w:lang w:val="en-GB" w:eastAsia="zh-CN"/>
    </w:rPr>
  </w:style>
  <w:style w:type="paragraph" w:customStyle="1" w:styleId="o">
    <w:name w:val="o"/>
    <w:basedOn w:val="a1"/>
    <w:uiPriority w:val="99"/>
    <w:rsid w:val="0007666B"/>
    <w:pPr>
      <w:spacing w:before="100" w:beforeAutospacing="1" w:after="100" w:afterAutospacing="1" w:line="240" w:lineRule="auto"/>
    </w:pPr>
    <w:rPr>
      <w:rFonts w:ascii="Times New Roman" w:hAnsi="Times New Roman"/>
      <w:sz w:val="24"/>
      <w:szCs w:val="24"/>
    </w:rPr>
  </w:style>
  <w:style w:type="paragraph" w:customStyle="1" w:styleId="12">
    <w:name w:val="Текст1"/>
    <w:rsid w:val="00CD7033"/>
    <w:pPr>
      <w:pBdr>
        <w:top w:val="nil"/>
        <w:left w:val="nil"/>
        <w:bottom w:val="nil"/>
        <w:right w:val="nil"/>
        <w:between w:val="nil"/>
        <w:bar w:val="nil"/>
      </w:pBdr>
      <w:spacing w:after="200" w:line="276" w:lineRule="auto"/>
    </w:pPr>
    <w:rPr>
      <w:rFonts w:eastAsia="Calibri" w:cs="Calibri"/>
      <w:color w:val="000000"/>
      <w:sz w:val="22"/>
      <w:szCs w:val="22"/>
      <w:u w:color="000000"/>
      <w:bdr w:val="nil"/>
      <w:lang w:eastAsia="ru-RU"/>
    </w:rPr>
  </w:style>
  <w:style w:type="paragraph" w:customStyle="1" w:styleId="xmsonormal">
    <w:name w:val="x_msonormal"/>
    <w:basedOn w:val="a1"/>
    <w:uiPriority w:val="99"/>
    <w:rsid w:val="003D6F97"/>
    <w:pPr>
      <w:spacing w:after="0" w:line="240" w:lineRule="auto"/>
    </w:pPr>
    <w:rPr>
      <w:rFonts w:eastAsia="Times New Roman" w:cs="Calibri"/>
      <w:sz w:val="20"/>
      <w:szCs w:val="20"/>
      <w:lang w:val="ru-RU" w:eastAsia="ru-RU"/>
    </w:rPr>
  </w:style>
  <w:style w:type="numbering" w:customStyle="1" w:styleId="13">
    <w:name w:val="Нет списка1"/>
    <w:next w:val="a5"/>
    <w:uiPriority w:val="99"/>
    <w:semiHidden/>
    <w:unhideWhenUsed/>
    <w:rsid w:val="004356E2"/>
  </w:style>
  <w:style w:type="character" w:styleId="aff4">
    <w:name w:val="Book Title"/>
    <w:uiPriority w:val="33"/>
    <w:qFormat/>
    <w:rsid w:val="004356E2"/>
    <w:rPr>
      <w:b/>
      <w:bCs/>
      <w:smallCaps/>
      <w:spacing w:val="5"/>
    </w:rPr>
  </w:style>
  <w:style w:type="character" w:customStyle="1" w:styleId="hps">
    <w:name w:val="hps"/>
    <w:basedOn w:val="a3"/>
    <w:rsid w:val="004356E2"/>
  </w:style>
  <w:style w:type="paragraph" w:customStyle="1" w:styleId="zsubject">
    <w:name w:val="zsubject"/>
    <w:basedOn w:val="IndependentAuditorsReport"/>
    <w:rsid w:val="004356E2"/>
    <w:pPr>
      <w:spacing w:after="120"/>
    </w:pPr>
    <w:rPr>
      <w:rFonts w:ascii="Arial" w:eastAsia="Times New Roman" w:hAnsi="Arial" w:cs="Arial"/>
      <w:sz w:val="24"/>
      <w:szCs w:val="24"/>
    </w:rPr>
  </w:style>
  <w:style w:type="paragraph" w:customStyle="1" w:styleId="Example">
    <w:name w:val="Example"/>
    <w:basedOn w:val="a2"/>
    <w:rsid w:val="004356E2"/>
    <w:pPr>
      <w:spacing w:after="260" w:line="240" w:lineRule="auto"/>
      <w:jc w:val="both"/>
    </w:pPr>
    <w:rPr>
      <w:rFonts w:ascii="Arial" w:eastAsia="Times New Roman" w:hAnsi="Arial" w:cs="Arial"/>
      <w:b/>
      <w:lang w:val="en-US" w:eastAsia="en-US"/>
    </w:rPr>
  </w:style>
  <w:style w:type="paragraph" w:customStyle="1" w:styleId="KAMKNormal">
    <w:name w:val="KAMKNormal"/>
    <w:basedOn w:val="a1"/>
    <w:link w:val="KAMKNormalChar"/>
    <w:rsid w:val="004356E2"/>
    <w:pPr>
      <w:spacing w:before="120" w:after="120" w:line="240" w:lineRule="auto"/>
    </w:pPr>
    <w:rPr>
      <w:rFonts w:ascii="Tahoma" w:eastAsia="Times New Roman" w:hAnsi="Tahoma"/>
      <w:color w:val="000000"/>
      <w:szCs w:val="24"/>
      <w:lang w:val="en-US" w:eastAsia="en-US"/>
    </w:rPr>
  </w:style>
  <w:style w:type="character" w:customStyle="1" w:styleId="KAMKNormalChar">
    <w:name w:val="KAMKNormal Char"/>
    <w:link w:val="KAMKNormal"/>
    <w:rsid w:val="004356E2"/>
    <w:rPr>
      <w:rFonts w:ascii="Tahoma" w:eastAsia="Times New Roman" w:hAnsi="Tahoma"/>
      <w:color w:val="000000"/>
      <w:sz w:val="22"/>
      <w:szCs w:val="24"/>
      <w:lang w:val="en-US" w:eastAsia="en-US"/>
    </w:rPr>
  </w:style>
  <w:style w:type="character" w:customStyle="1" w:styleId="KAMKBold">
    <w:name w:val="KAMKBold"/>
    <w:uiPriority w:val="1"/>
    <w:rsid w:val="004356E2"/>
    <w:rPr>
      <w:rFonts w:ascii="Tahoma" w:hAnsi="Tahoma" w:cs="Times New Roman"/>
      <w:b/>
      <w:sz w:val="22"/>
    </w:rPr>
  </w:style>
  <w:style w:type="character" w:customStyle="1" w:styleId="KAMKItalics">
    <w:name w:val="KAMKItalics"/>
    <w:uiPriority w:val="1"/>
    <w:rsid w:val="004356E2"/>
    <w:rPr>
      <w:rFonts w:ascii="Tahoma" w:hAnsi="Tahoma"/>
      <w:i/>
      <w:sz w:val="22"/>
    </w:rPr>
  </w:style>
  <w:style w:type="paragraph" w:customStyle="1" w:styleId="RNormal">
    <w:name w:val="RNormal"/>
    <w:basedOn w:val="a1"/>
    <w:rsid w:val="004356E2"/>
    <w:pPr>
      <w:spacing w:before="120" w:after="0" w:line="240" w:lineRule="auto"/>
      <w:jc w:val="both"/>
    </w:pPr>
    <w:rPr>
      <w:rFonts w:ascii="Arial" w:eastAsia="Times New Roman" w:hAnsi="Arial" w:cs="Arial"/>
      <w:sz w:val="20"/>
      <w:szCs w:val="24"/>
      <w:lang w:val="en-US" w:eastAsia="en-US"/>
    </w:rPr>
  </w:style>
  <w:style w:type="table" w:customStyle="1" w:styleId="14">
    <w:name w:val="Сетка таблицы1"/>
    <w:basedOn w:val="a4"/>
    <w:next w:val="a6"/>
    <w:rsid w:val="004356E2"/>
    <w:rPr>
      <w:rFonts w:ascii="Tms Rmn" w:eastAsia="Times New Roma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95ptSpreads">
    <w:name w:val="Bodycopy 9.5pt (Spreads)"/>
    <w:basedOn w:val="a1"/>
    <w:uiPriority w:val="99"/>
    <w:rsid w:val="004356E2"/>
    <w:pPr>
      <w:autoSpaceDE w:val="0"/>
      <w:autoSpaceDN w:val="0"/>
      <w:spacing w:after="120" w:line="240" w:lineRule="atLeast"/>
    </w:pPr>
    <w:rPr>
      <w:rFonts w:ascii="Univers LT Std 45 Light" w:eastAsia="Calibri" w:hAnsi="Univers LT Std 45 Light"/>
      <w:color w:val="000000"/>
      <w:sz w:val="19"/>
      <w:szCs w:val="19"/>
      <w:lang w:val="ru-RU" w:eastAsia="en-NZ"/>
    </w:rPr>
  </w:style>
  <w:style w:type="paragraph" w:customStyle="1" w:styleId="NoParagraphStyle">
    <w:name w:val="[No Paragraph Style]"/>
    <w:rsid w:val="004356E2"/>
    <w:pPr>
      <w:widowControl w:val="0"/>
      <w:autoSpaceDE w:val="0"/>
      <w:autoSpaceDN w:val="0"/>
      <w:adjustRightInd w:val="0"/>
      <w:spacing w:line="288" w:lineRule="auto"/>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4356E2"/>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a1"/>
    <w:uiPriority w:val="99"/>
    <w:rsid w:val="004356E2"/>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eastAsia="en-NZ"/>
    </w:rPr>
  </w:style>
  <w:style w:type="paragraph" w:customStyle="1" w:styleId="TableHeadSpreads">
    <w:name w:val="Table Head (Spreads)"/>
    <w:basedOn w:val="a1"/>
    <w:uiPriority w:val="99"/>
    <w:rsid w:val="004356E2"/>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eastAsia="en-NZ"/>
    </w:rPr>
  </w:style>
  <w:style w:type="character" w:customStyle="1" w:styleId="LightBluebold">
    <w:name w:val="Light Blue bold"/>
    <w:uiPriority w:val="99"/>
    <w:rsid w:val="004356E2"/>
    <w:rPr>
      <w:rFonts w:ascii="Univers LT Std 45 Light" w:hAnsi="Univers LT Std 45 Light" w:cs="Univers LT Std 45 Light"/>
      <w:b/>
      <w:bCs/>
      <w:color w:val="0091DA"/>
    </w:rPr>
  </w:style>
  <w:style w:type="character" w:customStyle="1" w:styleId="tlid-translation">
    <w:name w:val="tlid-translation"/>
    <w:basedOn w:val="a3"/>
    <w:rsid w:val="004356E2"/>
  </w:style>
  <w:style w:type="paragraph" w:styleId="a0">
    <w:name w:val="Subtitle"/>
    <w:basedOn w:val="a2"/>
    <w:next w:val="a1"/>
    <w:link w:val="aff5"/>
    <w:locked/>
    <w:rsid w:val="004356E2"/>
    <w:pPr>
      <w:numPr>
        <w:numId w:val="32"/>
      </w:numPr>
      <w:spacing w:before="120" w:line="240" w:lineRule="auto"/>
      <w:jc w:val="both"/>
    </w:pPr>
    <w:rPr>
      <w:rFonts w:ascii="Arial" w:eastAsia="Times New Roman" w:hAnsi="Arial"/>
      <w:lang w:val="ru-RU" w:eastAsia="en-US"/>
    </w:rPr>
  </w:style>
  <w:style w:type="character" w:customStyle="1" w:styleId="aff5">
    <w:name w:val="Подзаголовок Знак"/>
    <w:basedOn w:val="a3"/>
    <w:link w:val="a0"/>
    <w:rsid w:val="004356E2"/>
    <w:rPr>
      <w:rFonts w:ascii="Arial" w:eastAsia="Times New Roman" w:hAnsi="Arial"/>
      <w:lang w:eastAsia="en-US"/>
    </w:rPr>
  </w:style>
  <w:style w:type="character" w:customStyle="1" w:styleId="PwCAddressChar">
    <w:name w:val="PwC Address Char"/>
    <w:basedOn w:val="a3"/>
    <w:link w:val="PwCAddress"/>
    <w:locked/>
    <w:rsid w:val="004356E2"/>
    <w:rPr>
      <w:i/>
      <w:noProof/>
      <w:sz w:val="18"/>
      <w:lang w:eastAsia="en-GB"/>
    </w:rPr>
  </w:style>
  <w:style w:type="paragraph" w:customStyle="1" w:styleId="PwCAddress">
    <w:name w:val="PwC Address"/>
    <w:basedOn w:val="a1"/>
    <w:link w:val="PwCAddressChar"/>
    <w:qFormat/>
    <w:rsid w:val="004356E2"/>
    <w:pPr>
      <w:spacing w:after="0" w:line="200" w:lineRule="atLeast"/>
    </w:pPr>
    <w:rPr>
      <w:i/>
      <w:noProof/>
      <w:sz w:val="18"/>
      <w:szCs w:val="20"/>
      <w:lang w:val="ru-RU" w:eastAsia="en-GB"/>
    </w:rPr>
  </w:style>
  <w:style w:type="paragraph" w:customStyle="1" w:styleId="Continued">
    <w:name w:val="Continued"/>
    <w:basedOn w:val="a2"/>
    <w:link w:val="ContinuedChar"/>
    <w:qFormat/>
    <w:rsid w:val="004356E2"/>
    <w:pPr>
      <w:pageBreakBefore/>
      <w:spacing w:after="240" w:line="240" w:lineRule="auto"/>
      <w:ind w:left="567" w:hanging="567"/>
      <w:jc w:val="both"/>
    </w:pPr>
    <w:rPr>
      <w:rFonts w:ascii="Arial Bold" w:eastAsia="Times New Roman" w:hAnsi="Arial Bold"/>
      <w:b/>
      <w:bCs/>
      <w:caps/>
      <w:color w:val="00B6DA"/>
      <w:lang w:val="ru-RU" w:eastAsia="en-US"/>
    </w:rPr>
  </w:style>
  <w:style w:type="character" w:customStyle="1" w:styleId="ContinuedChar">
    <w:name w:val="Continued Char"/>
    <w:basedOn w:val="af3"/>
    <w:link w:val="Continued"/>
    <w:rsid w:val="004356E2"/>
    <w:rPr>
      <w:rFonts w:ascii="Arial Bold" w:eastAsia="Times New Roman" w:hAnsi="Arial Bold" w:cs="Times New Roman"/>
      <w:b/>
      <w:bCs/>
      <w:caps/>
      <w:color w:val="00B6DA"/>
      <w:lang w:eastAsia="en-US"/>
    </w:rPr>
  </w:style>
  <w:style w:type="paragraph" w:customStyle="1" w:styleId="15">
    <w:name w:val="Заголовок оглавления1"/>
    <w:basedOn w:val="1"/>
    <w:next w:val="a1"/>
    <w:uiPriority w:val="39"/>
    <w:unhideWhenUsed/>
    <w:qFormat/>
    <w:rsid w:val="004356E2"/>
    <w:pPr>
      <w:keepLines/>
      <w:widowControl w:val="0"/>
      <w:spacing w:after="0" w:line="259" w:lineRule="auto"/>
      <w:outlineLvl w:val="9"/>
    </w:pPr>
    <w:rPr>
      <w:rFonts w:ascii="Cambria" w:eastAsia="Times New Roman" w:hAnsi="Cambria"/>
      <w:b w:val="0"/>
      <w:bCs w:val="0"/>
      <w:color w:val="003E71"/>
      <w:kern w:val="0"/>
      <w:lang w:val="en-US" w:eastAsia="en-US"/>
    </w:rPr>
  </w:style>
  <w:style w:type="paragraph" w:customStyle="1" w:styleId="Condensed">
    <w:name w:val="Condensed_"/>
    <w:basedOn w:val="a1"/>
    <w:rsid w:val="004356E2"/>
    <w:pPr>
      <w:widowControl w:val="0"/>
      <w:autoSpaceDE w:val="0"/>
      <w:autoSpaceDN w:val="0"/>
      <w:adjustRightInd w:val="0"/>
      <w:spacing w:before="200" w:line="240" w:lineRule="auto"/>
      <w:jc w:val="both"/>
    </w:pPr>
    <w:rPr>
      <w:rFonts w:ascii="Arial" w:eastAsia="Times New Roman" w:hAnsi="Arial" w:cs="Arial"/>
      <w:spacing w:val="-4"/>
      <w:sz w:val="20"/>
      <w:szCs w:val="20"/>
      <w:lang w:val="en-US" w:eastAsia="en-US"/>
    </w:rPr>
  </w:style>
  <w:style w:type="paragraph" w:customStyle="1" w:styleId="Basic-Text">
    <w:name w:val="Basic-Text"/>
    <w:basedOn w:val="a1"/>
    <w:qFormat/>
    <w:rsid w:val="004356E2"/>
    <w:pPr>
      <w:widowControl w:val="0"/>
      <w:autoSpaceDE w:val="0"/>
      <w:autoSpaceDN w:val="0"/>
      <w:adjustRightInd w:val="0"/>
      <w:spacing w:before="200" w:line="240" w:lineRule="auto"/>
      <w:jc w:val="both"/>
    </w:pPr>
    <w:rPr>
      <w:rFonts w:ascii="Arial" w:eastAsia="Times New Roman" w:hAnsi="Arial" w:cs="Arial"/>
      <w:sz w:val="20"/>
      <w:szCs w:val="20"/>
      <w:lang w:val="en-US" w:eastAsia="en-US"/>
    </w:rPr>
  </w:style>
  <w:style w:type="paragraph" w:customStyle="1" w:styleId="bullets">
    <w:name w:val="bullets"/>
    <w:basedOn w:val="a0"/>
    <w:qFormat/>
    <w:rsid w:val="004356E2"/>
    <w:pPr>
      <w:widowControl w:val="0"/>
      <w:numPr>
        <w:numId w:val="34"/>
      </w:numPr>
      <w:spacing w:before="100" w:after="100"/>
      <w:ind w:left="567" w:hanging="567"/>
    </w:pPr>
    <w:rPr>
      <w:rFonts w:cs="Arial"/>
    </w:rPr>
  </w:style>
  <w:style w:type="paragraph" w:styleId="aff6">
    <w:name w:val="Closing"/>
    <w:basedOn w:val="a1"/>
    <w:link w:val="aff7"/>
    <w:semiHidden/>
    <w:unhideWhenUsed/>
    <w:rsid w:val="004356E2"/>
    <w:pPr>
      <w:spacing w:after="0" w:line="240" w:lineRule="auto"/>
      <w:ind w:left="4252"/>
    </w:pPr>
    <w:rPr>
      <w:rFonts w:ascii="Times New Roman" w:eastAsia="Times New Roman" w:hAnsi="Times New Roman"/>
      <w:sz w:val="24"/>
      <w:szCs w:val="24"/>
      <w:lang w:val="en-US" w:eastAsia="en-US"/>
    </w:rPr>
  </w:style>
  <w:style w:type="character" w:customStyle="1" w:styleId="aff7">
    <w:name w:val="Прощание Знак"/>
    <w:basedOn w:val="a3"/>
    <w:link w:val="aff6"/>
    <w:semiHidden/>
    <w:rsid w:val="004356E2"/>
    <w:rPr>
      <w:rFonts w:ascii="Times New Roman" w:eastAsia="Times New Roman" w:hAnsi="Times New Roman"/>
      <w:sz w:val="24"/>
      <w:szCs w:val="24"/>
      <w:lang w:val="en-US" w:eastAsia="en-US"/>
    </w:rPr>
  </w:style>
  <w:style w:type="numbering" w:customStyle="1" w:styleId="PwCListBullets1">
    <w:name w:val="PwC List Bullets 1"/>
    <w:uiPriority w:val="99"/>
    <w:rsid w:val="004356E2"/>
    <w:pPr>
      <w:numPr>
        <w:numId w:val="35"/>
      </w:numPr>
    </w:pPr>
  </w:style>
  <w:style w:type="paragraph" w:customStyle="1" w:styleId="ListBullet41">
    <w:name w:val="List Bullet 41"/>
    <w:basedOn w:val="a2"/>
    <w:next w:val="42"/>
    <w:uiPriority w:val="13"/>
    <w:unhideWhenUsed/>
    <w:rsid w:val="004356E2"/>
    <w:pPr>
      <w:tabs>
        <w:tab w:val="num" w:pos="20"/>
      </w:tabs>
      <w:spacing w:after="180" w:line="264" w:lineRule="auto"/>
      <w:ind w:hanging="964"/>
      <w:contextualSpacing/>
    </w:pPr>
    <w:rPr>
      <w:rFonts w:ascii="Georgia" w:eastAsia="Arial" w:hAnsi="Georgia" w:cs="Arial"/>
      <w:color w:val="000000"/>
      <w:szCs w:val="21"/>
      <w:lang w:val="ru-RU" w:eastAsia="ru-RU" w:bidi="ru-RU"/>
    </w:rPr>
  </w:style>
  <w:style w:type="paragraph" w:styleId="52">
    <w:name w:val="List Bullet 5"/>
    <w:basedOn w:val="a2"/>
    <w:uiPriority w:val="13"/>
    <w:unhideWhenUsed/>
    <w:rsid w:val="004356E2"/>
    <w:pPr>
      <w:tabs>
        <w:tab w:val="num" w:pos="1008"/>
      </w:tabs>
      <w:spacing w:after="240" w:line="240" w:lineRule="atLeast"/>
      <w:ind w:left="1008" w:hanging="1008"/>
      <w:contextualSpacing/>
    </w:pPr>
    <w:rPr>
      <w:rFonts w:ascii="Georgia" w:eastAsia="Arial" w:hAnsi="Georgia" w:cs="Arial"/>
      <w:lang w:val="ru-RU" w:eastAsia="ru-RU" w:bidi="ru-RU"/>
    </w:rPr>
  </w:style>
  <w:style w:type="paragraph" w:customStyle="1" w:styleId="TableBodyRowHeading">
    <w:name w:val="TableBodyRowHeading"/>
    <w:basedOn w:val="a2"/>
    <w:rsid w:val="004356E2"/>
    <w:pPr>
      <w:numPr>
        <w:numId w:val="36"/>
      </w:numPr>
      <w:tabs>
        <w:tab w:val="num" w:pos="6635"/>
      </w:tabs>
      <w:spacing w:after="240" w:line="240" w:lineRule="atLeast"/>
      <w:ind w:left="6635" w:hanging="964"/>
    </w:pPr>
    <w:rPr>
      <w:rFonts w:ascii="Georgia" w:eastAsia="Arial" w:hAnsi="Georgia" w:cs="Arial"/>
      <w:b/>
      <w:sz w:val="17"/>
      <w:lang w:val="ru-RU" w:eastAsia="ru-RU" w:bidi="ru-RU"/>
    </w:rPr>
  </w:style>
  <w:style w:type="table" w:customStyle="1" w:styleId="PwCTableFigures">
    <w:name w:val="PwC Table Figures"/>
    <w:basedOn w:val="a4"/>
    <w:uiPriority w:val="99"/>
    <w:qFormat/>
    <w:rsid w:val="004356E2"/>
    <w:rPr>
      <w:rFonts w:ascii="Arial" w:eastAsia="Arial" w:hAnsi="Arial"/>
      <w:lang w:eastAsia="ru-RU" w:bidi="ru-RU"/>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paragraph" w:styleId="42">
    <w:name w:val="List Bullet 4"/>
    <w:basedOn w:val="a1"/>
    <w:semiHidden/>
    <w:unhideWhenUsed/>
    <w:rsid w:val="004356E2"/>
    <w:pPr>
      <w:spacing w:after="0" w:line="240" w:lineRule="auto"/>
      <w:contextualSpacing/>
    </w:pPr>
    <w:rPr>
      <w:rFonts w:ascii="Times New Roman" w:eastAsia="Times New Roman" w:hAnsi="Times New Roman"/>
      <w:sz w:val="24"/>
      <w:szCs w:val="24"/>
      <w:lang w:val="en-US" w:eastAsia="en-US"/>
    </w:rPr>
  </w:style>
  <w:style w:type="table" w:customStyle="1" w:styleId="TableGrid2">
    <w:name w:val="Table Grid2"/>
    <w:basedOn w:val="a4"/>
    <w:next w:val="a6"/>
    <w:uiPriority w:val="39"/>
    <w:rsid w:val="004356E2"/>
    <w:rPr>
      <w:rFonts w:ascii="Arial" w:eastAsia="Calibri" w:hAnsi="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3"/>
    <w:uiPriority w:val="99"/>
    <w:semiHidden/>
    <w:unhideWhenUsed/>
    <w:rsid w:val="002A6006"/>
    <w:rPr>
      <w:color w:val="605E5C"/>
      <w:shd w:val="clear" w:color="auto" w:fill="E1DFDD"/>
    </w:rPr>
  </w:style>
  <w:style w:type="paragraph" w:customStyle="1" w:styleId="P68B1DB1-Normal1">
    <w:name w:val="P68B1DB1-Normal1"/>
    <w:basedOn w:val="a1"/>
    <w:rsid w:val="00B20CD0"/>
    <w:rPr>
      <w:rFonts w:asciiTheme="minorHAnsi" w:hAnsiTheme="minorHAnsi" w:cstheme="minorHAnsi"/>
      <w:b/>
      <w:szCs w:val="20"/>
      <w:lang w:val="en-CA" w:eastAsia="en-US"/>
    </w:rPr>
  </w:style>
  <w:style w:type="paragraph" w:customStyle="1" w:styleId="P68B1DB1-Normal2">
    <w:name w:val="P68B1DB1-Normal2"/>
    <w:basedOn w:val="a1"/>
    <w:rsid w:val="00B20CD0"/>
    <w:rPr>
      <w:rFonts w:asciiTheme="minorHAnsi" w:hAnsiTheme="minorHAnsi" w:cstheme="minorHAnsi"/>
      <w:szCs w:val="20"/>
      <w:lang w:val="en-CA" w:eastAsia="en-US"/>
    </w:rPr>
  </w:style>
  <w:style w:type="paragraph" w:customStyle="1" w:styleId="P68B1DB1-13">
    <w:name w:val="P68B1DB1-13"/>
    <w:basedOn w:val="12"/>
    <w:rsid w:val="00B20CD0"/>
    <w:rPr>
      <w:b/>
      <w:szCs w:val="20"/>
      <w:lang w:val="en-CA" w:eastAsia="en-US"/>
    </w:rPr>
  </w:style>
  <w:style w:type="paragraph" w:customStyle="1" w:styleId="P68B1DB1-Normal4">
    <w:name w:val="P68B1DB1-Normal4"/>
    <w:basedOn w:val="a1"/>
    <w:rsid w:val="00B20CD0"/>
    <w:rPr>
      <w:rFonts w:ascii="Foco" w:eastAsia="Times New Roman"/>
      <w:b/>
      <w:color w:val="FFFFFF"/>
      <w:sz w:val="24"/>
      <w:szCs w:val="20"/>
      <w:lang w:val="en-CA" w:eastAsia="en-US"/>
    </w:rPr>
  </w:style>
  <w:style w:type="paragraph" w:customStyle="1" w:styleId="P68B1DB1-Normal5">
    <w:name w:val="P68B1DB1-Normal5"/>
    <w:basedOn w:val="a1"/>
    <w:rsid w:val="00B20CD0"/>
    <w:rPr>
      <w:rFonts w:eastAsia="Times New Roman" w:cs="Calibri"/>
      <w:b/>
      <w:i/>
      <w:color w:val="000000"/>
      <w:sz w:val="20"/>
      <w:szCs w:val="20"/>
      <w:lang w:val="en-CA" w:eastAsia="en-US"/>
    </w:rPr>
  </w:style>
  <w:style w:type="paragraph" w:customStyle="1" w:styleId="P68B1DB1-Normal6">
    <w:name w:val="P68B1DB1-Normal6"/>
    <w:basedOn w:val="a1"/>
    <w:rsid w:val="00B20CD0"/>
    <w:rPr>
      <w:rFonts w:asciiTheme="minorHAnsi" w:hAnsiTheme="minorHAnsi" w:cstheme="minorHAnsi"/>
      <w:b/>
      <w:color w:val="000000"/>
      <w:sz w:val="20"/>
      <w:szCs w:val="20"/>
      <w:lang w:val="en-CA" w:eastAsia="en-US"/>
    </w:rPr>
  </w:style>
  <w:style w:type="paragraph" w:customStyle="1" w:styleId="P68B1DB1-Normal7">
    <w:name w:val="P68B1DB1-Normal7"/>
    <w:basedOn w:val="a1"/>
    <w:rsid w:val="00B20CD0"/>
    <w:rPr>
      <w:rFonts w:eastAsia="Times New Roman" w:cs="Calibri"/>
      <w:color w:val="000000"/>
      <w:sz w:val="20"/>
      <w:szCs w:val="20"/>
      <w:lang w:val="en-CA" w:eastAsia="en-US"/>
    </w:rPr>
  </w:style>
  <w:style w:type="paragraph" w:customStyle="1" w:styleId="P68B1DB1-Normal8">
    <w:name w:val="P68B1DB1-Normal8"/>
    <w:basedOn w:val="a1"/>
    <w:rsid w:val="00B20CD0"/>
    <w:rPr>
      <w:rFonts w:asciiTheme="minorHAnsi" w:eastAsia="Times New Roman" w:hAnsiTheme="minorHAnsi" w:cstheme="minorHAnsi"/>
      <w:color w:val="000000"/>
      <w:sz w:val="20"/>
      <w:szCs w:val="20"/>
      <w:lang w:val="en-CA" w:eastAsia="en-US"/>
    </w:rPr>
  </w:style>
  <w:style w:type="paragraph" w:customStyle="1" w:styleId="P68B1DB1-Normal9">
    <w:name w:val="P68B1DB1-Normal9"/>
    <w:basedOn w:val="a1"/>
    <w:rsid w:val="00B20CD0"/>
    <w:rPr>
      <w:rFonts w:asciiTheme="minorHAnsi" w:hAnsiTheme="minorHAnsi" w:cstheme="minorHAnsi"/>
      <w:i/>
      <w:color w:val="000000"/>
      <w:sz w:val="18"/>
      <w:szCs w:val="20"/>
      <w:lang w:val="en-CA" w:eastAsia="en-US"/>
    </w:rPr>
  </w:style>
  <w:style w:type="paragraph" w:customStyle="1" w:styleId="P68B1DB1-Normal10">
    <w:name w:val="P68B1DB1-Normal10"/>
    <w:basedOn w:val="a1"/>
    <w:rsid w:val="00B20CD0"/>
    <w:rPr>
      <w:rFonts w:eastAsia="Times New Roman" w:cs="Calibri"/>
      <w:i/>
      <w:color w:val="000000"/>
      <w:sz w:val="20"/>
      <w:szCs w:val="20"/>
      <w:lang w:val="en-CA" w:eastAsia="en-US"/>
    </w:rPr>
  </w:style>
  <w:style w:type="paragraph" w:customStyle="1" w:styleId="P68B1DB1-Normal11">
    <w:name w:val="P68B1DB1-Normal11"/>
    <w:basedOn w:val="a1"/>
    <w:rsid w:val="00B20CD0"/>
    <w:rPr>
      <w:rFonts w:asciiTheme="minorHAnsi" w:eastAsia="Times New Roman" w:hAnsiTheme="minorHAnsi" w:cstheme="minorHAnsi"/>
      <w:i/>
      <w:color w:val="000000"/>
      <w:sz w:val="20"/>
      <w:szCs w:val="20"/>
      <w:lang w:val="en-CA" w:eastAsia="en-US"/>
    </w:rPr>
  </w:style>
  <w:style w:type="paragraph" w:customStyle="1" w:styleId="P68B1DB1-Normal12">
    <w:name w:val="P68B1DB1-Normal12"/>
    <w:basedOn w:val="a1"/>
    <w:rsid w:val="00B20CD0"/>
    <w:rPr>
      <w:rFonts w:eastAsia="Times New Roman" w:cs="Calibri"/>
      <w:b/>
      <w:color w:val="000000"/>
      <w:sz w:val="20"/>
      <w:szCs w:val="20"/>
      <w:lang w:val="en-CA" w:eastAsia="en-US"/>
    </w:rPr>
  </w:style>
  <w:style w:type="paragraph" w:customStyle="1" w:styleId="P68B1DB1-Normal13">
    <w:name w:val="P68B1DB1-Normal13"/>
    <w:basedOn w:val="a1"/>
    <w:rsid w:val="00B20CD0"/>
    <w:rPr>
      <w:rFonts w:asciiTheme="minorHAnsi" w:hAnsiTheme="minorHAnsi" w:cstheme="minorHAnsi"/>
      <w:color w:val="000000"/>
      <w:sz w:val="20"/>
      <w:szCs w:val="20"/>
      <w:lang w:val="en-CA" w:eastAsia="en-US"/>
    </w:rPr>
  </w:style>
  <w:style w:type="paragraph" w:customStyle="1" w:styleId="P68B1DB1-Footer14">
    <w:name w:val="P68B1DB1-Footer14"/>
    <w:basedOn w:val="aa"/>
    <w:rsid w:val="00B20CD0"/>
    <w:rPr>
      <w:rFonts w:asciiTheme="minorHAnsi" w:hAnsiTheme="minorHAnsi" w:cstheme="minorHAnsi"/>
      <w:i/>
      <w:sz w:val="18"/>
      <w:lang w:val="en-CA" w:eastAsia="en-US"/>
    </w:rPr>
  </w:style>
  <w:style w:type="paragraph" w:customStyle="1" w:styleId="P68B1DB1-Normal15">
    <w:name w:val="P68B1DB1-Normal15"/>
    <w:basedOn w:val="a1"/>
    <w:rsid w:val="00B20CD0"/>
    <w:rPr>
      <w:rFonts w:eastAsia="Times New Roman" w:cs="Calibri"/>
      <w:b/>
      <w:color w:val="FFFFFF"/>
      <w:sz w:val="24"/>
      <w:szCs w:val="20"/>
      <w:lang w:val="en-CA" w:eastAsia="en-US"/>
    </w:rPr>
  </w:style>
  <w:style w:type="paragraph" w:customStyle="1" w:styleId="P68B1DB1-Normal16">
    <w:name w:val="P68B1DB1-Normal16"/>
    <w:basedOn w:val="a1"/>
    <w:rsid w:val="00B20CD0"/>
    <w:rPr>
      <w:rFonts w:ascii="Foco" w:eastAsia="Times New Roman" w:hAnsi="Foco" w:cs="Foco"/>
      <w:b/>
      <w:color w:val="FFFFFF"/>
      <w:sz w:val="24"/>
      <w:szCs w:val="20"/>
      <w:lang w:val="en-CA" w:eastAsia="en-US"/>
    </w:rPr>
  </w:style>
  <w:style w:type="paragraph" w:customStyle="1" w:styleId="P68B1DB1-Normal17">
    <w:name w:val="P68B1DB1-Normal17"/>
    <w:basedOn w:val="a1"/>
    <w:rsid w:val="00B20CD0"/>
    <w:rPr>
      <w:rFonts w:asciiTheme="minorHAnsi" w:eastAsia="Times New Roman" w:hAnsiTheme="minorHAnsi" w:cstheme="minorHAnsi"/>
      <w:b/>
      <w:color w:val="000000"/>
      <w:sz w:val="20"/>
      <w:szCs w:val="20"/>
      <w:lang w:val="en-CA" w:eastAsia="en-US"/>
    </w:rPr>
  </w:style>
  <w:style w:type="paragraph" w:customStyle="1" w:styleId="P68B1DB1-Normal18">
    <w:name w:val="P68B1DB1-Normal18"/>
    <w:basedOn w:val="a1"/>
    <w:rsid w:val="00B20CD0"/>
    <w:rPr>
      <w:rFonts w:eastAsia="Times New Roman" w:cs="Calibri"/>
      <w:color w:val="000000"/>
      <w:sz w:val="18"/>
      <w:szCs w:val="20"/>
      <w:lang w:val="en-CA" w:eastAsia="en-US"/>
    </w:rPr>
  </w:style>
  <w:style w:type="paragraph" w:customStyle="1" w:styleId="P68B1DB1-Normal19">
    <w:name w:val="P68B1DB1-Normal19"/>
    <w:basedOn w:val="a1"/>
    <w:rsid w:val="00B20CD0"/>
    <w:rPr>
      <w:rFonts w:cs="Calibri"/>
      <w:color w:val="000000"/>
      <w:sz w:val="20"/>
      <w:szCs w:val="20"/>
      <w:lang w:val="en-CA" w:eastAsia="en-US"/>
    </w:rPr>
  </w:style>
  <w:style w:type="paragraph" w:customStyle="1" w:styleId="P68B1DB1-Normal20">
    <w:name w:val="P68B1DB1-Normal20"/>
    <w:basedOn w:val="a1"/>
    <w:rsid w:val="00B20CD0"/>
    <w:rPr>
      <w:rFonts w:ascii="Foco" w:hAnsi="Foco" w:cs="Calibri"/>
      <w:i/>
      <w:color w:val="000000"/>
      <w:sz w:val="20"/>
      <w:szCs w:val="20"/>
      <w:lang w:val="en-CA" w:eastAsia="en-US"/>
    </w:rPr>
  </w:style>
  <w:style w:type="paragraph" w:customStyle="1" w:styleId="P68B1DB1-Normal21">
    <w:name w:val="P68B1DB1-Normal21"/>
    <w:basedOn w:val="a1"/>
    <w:rsid w:val="00B20CD0"/>
    <w:rPr>
      <w:rFonts w:asciiTheme="minorHAnsi" w:eastAsia="Times New Roman" w:hAnsiTheme="minorHAnsi" w:cstheme="minorHAnsi"/>
      <w:b/>
      <w:color w:val="000000"/>
      <w:szCs w:val="20"/>
      <w:lang w:val="en-CA" w:eastAsia="en-US"/>
    </w:rPr>
  </w:style>
  <w:style w:type="paragraph" w:customStyle="1" w:styleId="P68B1DB1-Normal22">
    <w:name w:val="P68B1DB1-Normal22"/>
    <w:basedOn w:val="a1"/>
    <w:rsid w:val="00B20CD0"/>
    <w:rPr>
      <w:rFonts w:cs="Calibri"/>
      <w:b/>
      <w:color w:val="000000"/>
      <w:sz w:val="20"/>
      <w:szCs w:val="20"/>
      <w:lang w:val="en-CA" w:eastAsia="en-US"/>
    </w:rPr>
  </w:style>
  <w:style w:type="paragraph" w:customStyle="1" w:styleId="P68B1DB1-Normal23">
    <w:name w:val="P68B1DB1-Normal23"/>
    <w:basedOn w:val="a1"/>
    <w:rsid w:val="00B20CD0"/>
    <w:rPr>
      <w:rFonts w:ascii="Foco" w:hAnsi="Foco" w:cs="Calibri"/>
      <w:b/>
      <w:i/>
      <w:color w:val="000000"/>
      <w:sz w:val="20"/>
      <w:szCs w:val="20"/>
      <w:lang w:val="en-CA" w:eastAsia="en-US"/>
    </w:rPr>
  </w:style>
  <w:style w:type="paragraph" w:customStyle="1" w:styleId="P68B1DB1-Normal24">
    <w:name w:val="P68B1DB1-Normal24"/>
    <w:basedOn w:val="a1"/>
    <w:rsid w:val="00B20CD0"/>
    <w:rPr>
      <w:rFonts w:asciiTheme="minorHAnsi" w:eastAsia="Times New Roman" w:hAnsiTheme="minorHAnsi" w:cstheme="minorHAnsi"/>
      <w:b/>
      <w:color w:val="000000"/>
      <w:sz w:val="24"/>
      <w:szCs w:val="20"/>
      <w:lang w:val="en-CA" w:eastAsia="en-US"/>
    </w:rPr>
  </w:style>
  <w:style w:type="paragraph" w:customStyle="1" w:styleId="P68B1DB1-Normal25">
    <w:name w:val="P68B1DB1-Normal25"/>
    <w:basedOn w:val="a1"/>
    <w:rsid w:val="00B20CD0"/>
    <w:rPr>
      <w:rFonts w:cs="Calibri"/>
      <w:b/>
      <w:color w:val="000000"/>
      <w:sz w:val="24"/>
      <w:szCs w:val="20"/>
      <w:lang w:val="en-CA" w:eastAsia="en-US"/>
    </w:rPr>
  </w:style>
  <w:style w:type="paragraph" w:customStyle="1" w:styleId="P68B1DB1-Normal26">
    <w:name w:val="P68B1DB1-Normal26"/>
    <w:basedOn w:val="a1"/>
    <w:rsid w:val="00B20CD0"/>
    <w:rPr>
      <w:rFonts w:ascii="Foco" w:hAnsi="Foco" w:cs="Calibri"/>
      <w:b/>
      <w:i/>
      <w:color w:val="000000"/>
      <w:sz w:val="24"/>
      <w:szCs w:val="20"/>
      <w:lang w:val="en-CA" w:eastAsia="en-US"/>
    </w:rPr>
  </w:style>
  <w:style w:type="paragraph" w:customStyle="1" w:styleId="P68B1DB1-Normal27">
    <w:name w:val="P68B1DB1-Normal27"/>
    <w:basedOn w:val="a1"/>
    <w:rsid w:val="00B20CD0"/>
    <w:rPr>
      <w:rFonts w:cs="Calibri"/>
      <w:color w:val="000000"/>
      <w:sz w:val="18"/>
      <w:szCs w:val="20"/>
      <w:lang w:val="en-CA" w:eastAsia="en-US"/>
    </w:rPr>
  </w:style>
  <w:style w:type="paragraph" w:customStyle="1" w:styleId="P68B1DB1-Normal28">
    <w:name w:val="P68B1DB1-Normal28"/>
    <w:basedOn w:val="a1"/>
    <w:rsid w:val="00B20CD0"/>
    <w:rPr>
      <w:rFonts w:ascii="Foco" w:hAnsi="Foco" w:cs="Calibri"/>
      <w:i/>
      <w:color w:val="000000"/>
      <w:sz w:val="18"/>
      <w:szCs w:val="20"/>
      <w:lang w:val="en-CA" w:eastAsia="en-US"/>
    </w:rPr>
  </w:style>
  <w:style w:type="paragraph" w:customStyle="1" w:styleId="P68B1DB1-Normal29">
    <w:name w:val="P68B1DB1-Normal29"/>
    <w:basedOn w:val="a1"/>
    <w:rsid w:val="00B20CD0"/>
    <w:rPr>
      <w:rFonts w:asciiTheme="minorHAnsi" w:hAnsiTheme="minorHAnsi"/>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21">
      <w:bodyDiv w:val="1"/>
      <w:marLeft w:val="0"/>
      <w:marRight w:val="0"/>
      <w:marTop w:val="0"/>
      <w:marBottom w:val="0"/>
      <w:divBdr>
        <w:top w:val="none" w:sz="0" w:space="0" w:color="auto"/>
        <w:left w:val="none" w:sz="0" w:space="0" w:color="auto"/>
        <w:bottom w:val="none" w:sz="0" w:space="0" w:color="auto"/>
        <w:right w:val="none" w:sz="0" w:space="0" w:color="auto"/>
      </w:divBdr>
    </w:div>
    <w:div w:id="20783356">
      <w:bodyDiv w:val="1"/>
      <w:marLeft w:val="0"/>
      <w:marRight w:val="0"/>
      <w:marTop w:val="0"/>
      <w:marBottom w:val="0"/>
      <w:divBdr>
        <w:top w:val="none" w:sz="0" w:space="0" w:color="auto"/>
        <w:left w:val="none" w:sz="0" w:space="0" w:color="auto"/>
        <w:bottom w:val="none" w:sz="0" w:space="0" w:color="auto"/>
        <w:right w:val="none" w:sz="0" w:space="0" w:color="auto"/>
      </w:divBdr>
    </w:div>
    <w:div w:id="22444302">
      <w:bodyDiv w:val="1"/>
      <w:marLeft w:val="0"/>
      <w:marRight w:val="0"/>
      <w:marTop w:val="0"/>
      <w:marBottom w:val="0"/>
      <w:divBdr>
        <w:top w:val="none" w:sz="0" w:space="0" w:color="auto"/>
        <w:left w:val="none" w:sz="0" w:space="0" w:color="auto"/>
        <w:bottom w:val="none" w:sz="0" w:space="0" w:color="auto"/>
        <w:right w:val="none" w:sz="0" w:space="0" w:color="auto"/>
      </w:divBdr>
    </w:div>
    <w:div w:id="63071155">
      <w:bodyDiv w:val="1"/>
      <w:marLeft w:val="0"/>
      <w:marRight w:val="0"/>
      <w:marTop w:val="0"/>
      <w:marBottom w:val="0"/>
      <w:divBdr>
        <w:top w:val="none" w:sz="0" w:space="0" w:color="auto"/>
        <w:left w:val="none" w:sz="0" w:space="0" w:color="auto"/>
        <w:bottom w:val="none" w:sz="0" w:space="0" w:color="auto"/>
        <w:right w:val="none" w:sz="0" w:space="0" w:color="auto"/>
      </w:divBdr>
    </w:div>
    <w:div w:id="73747213">
      <w:bodyDiv w:val="1"/>
      <w:marLeft w:val="0"/>
      <w:marRight w:val="0"/>
      <w:marTop w:val="0"/>
      <w:marBottom w:val="0"/>
      <w:divBdr>
        <w:top w:val="none" w:sz="0" w:space="0" w:color="auto"/>
        <w:left w:val="none" w:sz="0" w:space="0" w:color="auto"/>
        <w:bottom w:val="none" w:sz="0" w:space="0" w:color="auto"/>
        <w:right w:val="none" w:sz="0" w:space="0" w:color="auto"/>
      </w:divBdr>
    </w:div>
    <w:div w:id="102308743">
      <w:bodyDiv w:val="1"/>
      <w:marLeft w:val="0"/>
      <w:marRight w:val="0"/>
      <w:marTop w:val="0"/>
      <w:marBottom w:val="0"/>
      <w:divBdr>
        <w:top w:val="none" w:sz="0" w:space="0" w:color="auto"/>
        <w:left w:val="none" w:sz="0" w:space="0" w:color="auto"/>
        <w:bottom w:val="none" w:sz="0" w:space="0" w:color="auto"/>
        <w:right w:val="none" w:sz="0" w:space="0" w:color="auto"/>
      </w:divBdr>
    </w:div>
    <w:div w:id="109201559">
      <w:bodyDiv w:val="1"/>
      <w:marLeft w:val="0"/>
      <w:marRight w:val="0"/>
      <w:marTop w:val="0"/>
      <w:marBottom w:val="0"/>
      <w:divBdr>
        <w:top w:val="none" w:sz="0" w:space="0" w:color="auto"/>
        <w:left w:val="none" w:sz="0" w:space="0" w:color="auto"/>
        <w:bottom w:val="none" w:sz="0" w:space="0" w:color="auto"/>
        <w:right w:val="none" w:sz="0" w:space="0" w:color="auto"/>
      </w:divBdr>
    </w:div>
    <w:div w:id="109209022">
      <w:bodyDiv w:val="1"/>
      <w:marLeft w:val="0"/>
      <w:marRight w:val="0"/>
      <w:marTop w:val="0"/>
      <w:marBottom w:val="0"/>
      <w:divBdr>
        <w:top w:val="none" w:sz="0" w:space="0" w:color="auto"/>
        <w:left w:val="none" w:sz="0" w:space="0" w:color="auto"/>
        <w:bottom w:val="none" w:sz="0" w:space="0" w:color="auto"/>
        <w:right w:val="none" w:sz="0" w:space="0" w:color="auto"/>
      </w:divBdr>
    </w:div>
    <w:div w:id="125973695">
      <w:bodyDiv w:val="1"/>
      <w:marLeft w:val="0"/>
      <w:marRight w:val="0"/>
      <w:marTop w:val="0"/>
      <w:marBottom w:val="0"/>
      <w:divBdr>
        <w:top w:val="none" w:sz="0" w:space="0" w:color="auto"/>
        <w:left w:val="none" w:sz="0" w:space="0" w:color="auto"/>
        <w:bottom w:val="none" w:sz="0" w:space="0" w:color="auto"/>
        <w:right w:val="none" w:sz="0" w:space="0" w:color="auto"/>
      </w:divBdr>
    </w:div>
    <w:div w:id="129055798">
      <w:bodyDiv w:val="1"/>
      <w:marLeft w:val="0"/>
      <w:marRight w:val="0"/>
      <w:marTop w:val="0"/>
      <w:marBottom w:val="0"/>
      <w:divBdr>
        <w:top w:val="none" w:sz="0" w:space="0" w:color="auto"/>
        <w:left w:val="none" w:sz="0" w:space="0" w:color="auto"/>
        <w:bottom w:val="none" w:sz="0" w:space="0" w:color="auto"/>
        <w:right w:val="none" w:sz="0" w:space="0" w:color="auto"/>
      </w:divBdr>
    </w:div>
    <w:div w:id="130902426">
      <w:bodyDiv w:val="1"/>
      <w:marLeft w:val="0"/>
      <w:marRight w:val="0"/>
      <w:marTop w:val="0"/>
      <w:marBottom w:val="0"/>
      <w:divBdr>
        <w:top w:val="none" w:sz="0" w:space="0" w:color="auto"/>
        <w:left w:val="none" w:sz="0" w:space="0" w:color="auto"/>
        <w:bottom w:val="none" w:sz="0" w:space="0" w:color="auto"/>
        <w:right w:val="none" w:sz="0" w:space="0" w:color="auto"/>
      </w:divBdr>
    </w:div>
    <w:div w:id="144199095">
      <w:bodyDiv w:val="1"/>
      <w:marLeft w:val="0"/>
      <w:marRight w:val="0"/>
      <w:marTop w:val="0"/>
      <w:marBottom w:val="0"/>
      <w:divBdr>
        <w:top w:val="none" w:sz="0" w:space="0" w:color="auto"/>
        <w:left w:val="none" w:sz="0" w:space="0" w:color="auto"/>
        <w:bottom w:val="none" w:sz="0" w:space="0" w:color="auto"/>
        <w:right w:val="none" w:sz="0" w:space="0" w:color="auto"/>
      </w:divBdr>
    </w:div>
    <w:div w:id="151794279">
      <w:bodyDiv w:val="1"/>
      <w:marLeft w:val="0"/>
      <w:marRight w:val="0"/>
      <w:marTop w:val="0"/>
      <w:marBottom w:val="0"/>
      <w:divBdr>
        <w:top w:val="none" w:sz="0" w:space="0" w:color="auto"/>
        <w:left w:val="none" w:sz="0" w:space="0" w:color="auto"/>
        <w:bottom w:val="none" w:sz="0" w:space="0" w:color="auto"/>
        <w:right w:val="none" w:sz="0" w:space="0" w:color="auto"/>
      </w:divBdr>
    </w:div>
    <w:div w:id="155387140">
      <w:bodyDiv w:val="1"/>
      <w:marLeft w:val="0"/>
      <w:marRight w:val="0"/>
      <w:marTop w:val="0"/>
      <w:marBottom w:val="0"/>
      <w:divBdr>
        <w:top w:val="none" w:sz="0" w:space="0" w:color="auto"/>
        <w:left w:val="none" w:sz="0" w:space="0" w:color="auto"/>
        <w:bottom w:val="none" w:sz="0" w:space="0" w:color="auto"/>
        <w:right w:val="none" w:sz="0" w:space="0" w:color="auto"/>
      </w:divBdr>
    </w:div>
    <w:div w:id="170803981">
      <w:bodyDiv w:val="1"/>
      <w:marLeft w:val="0"/>
      <w:marRight w:val="0"/>
      <w:marTop w:val="0"/>
      <w:marBottom w:val="0"/>
      <w:divBdr>
        <w:top w:val="none" w:sz="0" w:space="0" w:color="auto"/>
        <w:left w:val="none" w:sz="0" w:space="0" w:color="auto"/>
        <w:bottom w:val="none" w:sz="0" w:space="0" w:color="auto"/>
        <w:right w:val="none" w:sz="0" w:space="0" w:color="auto"/>
      </w:divBdr>
    </w:div>
    <w:div w:id="178744171">
      <w:bodyDiv w:val="1"/>
      <w:marLeft w:val="0"/>
      <w:marRight w:val="0"/>
      <w:marTop w:val="0"/>
      <w:marBottom w:val="0"/>
      <w:divBdr>
        <w:top w:val="none" w:sz="0" w:space="0" w:color="auto"/>
        <w:left w:val="none" w:sz="0" w:space="0" w:color="auto"/>
        <w:bottom w:val="none" w:sz="0" w:space="0" w:color="auto"/>
        <w:right w:val="none" w:sz="0" w:space="0" w:color="auto"/>
      </w:divBdr>
    </w:div>
    <w:div w:id="182012268">
      <w:bodyDiv w:val="1"/>
      <w:marLeft w:val="0"/>
      <w:marRight w:val="0"/>
      <w:marTop w:val="0"/>
      <w:marBottom w:val="0"/>
      <w:divBdr>
        <w:top w:val="none" w:sz="0" w:space="0" w:color="auto"/>
        <w:left w:val="none" w:sz="0" w:space="0" w:color="auto"/>
        <w:bottom w:val="none" w:sz="0" w:space="0" w:color="auto"/>
        <w:right w:val="none" w:sz="0" w:space="0" w:color="auto"/>
      </w:divBdr>
    </w:div>
    <w:div w:id="213002990">
      <w:bodyDiv w:val="1"/>
      <w:marLeft w:val="0"/>
      <w:marRight w:val="0"/>
      <w:marTop w:val="0"/>
      <w:marBottom w:val="0"/>
      <w:divBdr>
        <w:top w:val="none" w:sz="0" w:space="0" w:color="auto"/>
        <w:left w:val="none" w:sz="0" w:space="0" w:color="auto"/>
        <w:bottom w:val="none" w:sz="0" w:space="0" w:color="auto"/>
        <w:right w:val="none" w:sz="0" w:space="0" w:color="auto"/>
      </w:divBdr>
    </w:div>
    <w:div w:id="227882677">
      <w:bodyDiv w:val="1"/>
      <w:marLeft w:val="0"/>
      <w:marRight w:val="0"/>
      <w:marTop w:val="0"/>
      <w:marBottom w:val="0"/>
      <w:divBdr>
        <w:top w:val="none" w:sz="0" w:space="0" w:color="auto"/>
        <w:left w:val="none" w:sz="0" w:space="0" w:color="auto"/>
        <w:bottom w:val="none" w:sz="0" w:space="0" w:color="auto"/>
        <w:right w:val="none" w:sz="0" w:space="0" w:color="auto"/>
      </w:divBdr>
    </w:div>
    <w:div w:id="231934415">
      <w:bodyDiv w:val="1"/>
      <w:marLeft w:val="0"/>
      <w:marRight w:val="0"/>
      <w:marTop w:val="0"/>
      <w:marBottom w:val="0"/>
      <w:divBdr>
        <w:top w:val="none" w:sz="0" w:space="0" w:color="auto"/>
        <w:left w:val="none" w:sz="0" w:space="0" w:color="auto"/>
        <w:bottom w:val="none" w:sz="0" w:space="0" w:color="auto"/>
        <w:right w:val="none" w:sz="0" w:space="0" w:color="auto"/>
      </w:divBdr>
    </w:div>
    <w:div w:id="234363206">
      <w:bodyDiv w:val="1"/>
      <w:marLeft w:val="0"/>
      <w:marRight w:val="0"/>
      <w:marTop w:val="0"/>
      <w:marBottom w:val="0"/>
      <w:divBdr>
        <w:top w:val="none" w:sz="0" w:space="0" w:color="auto"/>
        <w:left w:val="none" w:sz="0" w:space="0" w:color="auto"/>
        <w:bottom w:val="none" w:sz="0" w:space="0" w:color="auto"/>
        <w:right w:val="none" w:sz="0" w:space="0" w:color="auto"/>
      </w:divBdr>
    </w:div>
    <w:div w:id="238636789">
      <w:bodyDiv w:val="1"/>
      <w:marLeft w:val="0"/>
      <w:marRight w:val="0"/>
      <w:marTop w:val="0"/>
      <w:marBottom w:val="0"/>
      <w:divBdr>
        <w:top w:val="none" w:sz="0" w:space="0" w:color="auto"/>
        <w:left w:val="none" w:sz="0" w:space="0" w:color="auto"/>
        <w:bottom w:val="none" w:sz="0" w:space="0" w:color="auto"/>
        <w:right w:val="none" w:sz="0" w:space="0" w:color="auto"/>
      </w:divBdr>
      <w:divsChild>
        <w:div w:id="590689">
          <w:marLeft w:val="0"/>
          <w:marRight w:val="0"/>
          <w:marTop w:val="0"/>
          <w:marBottom w:val="0"/>
          <w:divBdr>
            <w:top w:val="none" w:sz="0" w:space="0" w:color="auto"/>
            <w:left w:val="none" w:sz="0" w:space="0" w:color="auto"/>
            <w:bottom w:val="none" w:sz="0" w:space="0" w:color="auto"/>
            <w:right w:val="none" w:sz="0" w:space="0" w:color="auto"/>
          </w:divBdr>
        </w:div>
        <w:div w:id="140197526">
          <w:marLeft w:val="0"/>
          <w:marRight w:val="0"/>
          <w:marTop w:val="0"/>
          <w:marBottom w:val="0"/>
          <w:divBdr>
            <w:top w:val="none" w:sz="0" w:space="0" w:color="auto"/>
            <w:left w:val="none" w:sz="0" w:space="0" w:color="auto"/>
            <w:bottom w:val="none" w:sz="0" w:space="0" w:color="auto"/>
            <w:right w:val="none" w:sz="0" w:space="0" w:color="auto"/>
          </w:divBdr>
        </w:div>
        <w:div w:id="574246290">
          <w:marLeft w:val="0"/>
          <w:marRight w:val="0"/>
          <w:marTop w:val="0"/>
          <w:marBottom w:val="0"/>
          <w:divBdr>
            <w:top w:val="none" w:sz="0" w:space="0" w:color="auto"/>
            <w:left w:val="none" w:sz="0" w:space="0" w:color="auto"/>
            <w:bottom w:val="none" w:sz="0" w:space="0" w:color="auto"/>
            <w:right w:val="none" w:sz="0" w:space="0" w:color="auto"/>
          </w:divBdr>
        </w:div>
      </w:divsChild>
    </w:div>
    <w:div w:id="238906943">
      <w:bodyDiv w:val="1"/>
      <w:marLeft w:val="0"/>
      <w:marRight w:val="0"/>
      <w:marTop w:val="0"/>
      <w:marBottom w:val="0"/>
      <w:divBdr>
        <w:top w:val="none" w:sz="0" w:space="0" w:color="auto"/>
        <w:left w:val="none" w:sz="0" w:space="0" w:color="auto"/>
        <w:bottom w:val="none" w:sz="0" w:space="0" w:color="auto"/>
        <w:right w:val="none" w:sz="0" w:space="0" w:color="auto"/>
      </w:divBdr>
    </w:div>
    <w:div w:id="245847312">
      <w:bodyDiv w:val="1"/>
      <w:marLeft w:val="0"/>
      <w:marRight w:val="0"/>
      <w:marTop w:val="0"/>
      <w:marBottom w:val="0"/>
      <w:divBdr>
        <w:top w:val="none" w:sz="0" w:space="0" w:color="auto"/>
        <w:left w:val="none" w:sz="0" w:space="0" w:color="auto"/>
        <w:bottom w:val="none" w:sz="0" w:space="0" w:color="auto"/>
        <w:right w:val="none" w:sz="0" w:space="0" w:color="auto"/>
      </w:divBdr>
    </w:div>
    <w:div w:id="255671484">
      <w:bodyDiv w:val="1"/>
      <w:marLeft w:val="0"/>
      <w:marRight w:val="0"/>
      <w:marTop w:val="0"/>
      <w:marBottom w:val="0"/>
      <w:divBdr>
        <w:top w:val="none" w:sz="0" w:space="0" w:color="auto"/>
        <w:left w:val="none" w:sz="0" w:space="0" w:color="auto"/>
        <w:bottom w:val="none" w:sz="0" w:space="0" w:color="auto"/>
        <w:right w:val="none" w:sz="0" w:space="0" w:color="auto"/>
      </w:divBdr>
    </w:div>
    <w:div w:id="272786326">
      <w:bodyDiv w:val="1"/>
      <w:marLeft w:val="0"/>
      <w:marRight w:val="0"/>
      <w:marTop w:val="0"/>
      <w:marBottom w:val="0"/>
      <w:divBdr>
        <w:top w:val="none" w:sz="0" w:space="0" w:color="auto"/>
        <w:left w:val="none" w:sz="0" w:space="0" w:color="auto"/>
        <w:bottom w:val="none" w:sz="0" w:space="0" w:color="auto"/>
        <w:right w:val="none" w:sz="0" w:space="0" w:color="auto"/>
      </w:divBdr>
    </w:div>
    <w:div w:id="287051279">
      <w:bodyDiv w:val="1"/>
      <w:marLeft w:val="0"/>
      <w:marRight w:val="0"/>
      <w:marTop w:val="0"/>
      <w:marBottom w:val="0"/>
      <w:divBdr>
        <w:top w:val="none" w:sz="0" w:space="0" w:color="auto"/>
        <w:left w:val="none" w:sz="0" w:space="0" w:color="auto"/>
        <w:bottom w:val="none" w:sz="0" w:space="0" w:color="auto"/>
        <w:right w:val="none" w:sz="0" w:space="0" w:color="auto"/>
      </w:divBdr>
    </w:div>
    <w:div w:id="291181519">
      <w:bodyDiv w:val="1"/>
      <w:marLeft w:val="0"/>
      <w:marRight w:val="0"/>
      <w:marTop w:val="0"/>
      <w:marBottom w:val="0"/>
      <w:divBdr>
        <w:top w:val="none" w:sz="0" w:space="0" w:color="auto"/>
        <w:left w:val="none" w:sz="0" w:space="0" w:color="auto"/>
        <w:bottom w:val="none" w:sz="0" w:space="0" w:color="auto"/>
        <w:right w:val="none" w:sz="0" w:space="0" w:color="auto"/>
      </w:divBdr>
    </w:div>
    <w:div w:id="300498925">
      <w:bodyDiv w:val="1"/>
      <w:marLeft w:val="0"/>
      <w:marRight w:val="0"/>
      <w:marTop w:val="0"/>
      <w:marBottom w:val="0"/>
      <w:divBdr>
        <w:top w:val="none" w:sz="0" w:space="0" w:color="auto"/>
        <w:left w:val="none" w:sz="0" w:space="0" w:color="auto"/>
        <w:bottom w:val="none" w:sz="0" w:space="0" w:color="auto"/>
        <w:right w:val="none" w:sz="0" w:space="0" w:color="auto"/>
      </w:divBdr>
    </w:div>
    <w:div w:id="317030191">
      <w:bodyDiv w:val="1"/>
      <w:marLeft w:val="0"/>
      <w:marRight w:val="0"/>
      <w:marTop w:val="0"/>
      <w:marBottom w:val="0"/>
      <w:divBdr>
        <w:top w:val="none" w:sz="0" w:space="0" w:color="auto"/>
        <w:left w:val="none" w:sz="0" w:space="0" w:color="auto"/>
        <w:bottom w:val="none" w:sz="0" w:space="0" w:color="auto"/>
        <w:right w:val="none" w:sz="0" w:space="0" w:color="auto"/>
      </w:divBdr>
    </w:div>
    <w:div w:id="334846841">
      <w:bodyDiv w:val="1"/>
      <w:marLeft w:val="0"/>
      <w:marRight w:val="0"/>
      <w:marTop w:val="0"/>
      <w:marBottom w:val="0"/>
      <w:divBdr>
        <w:top w:val="none" w:sz="0" w:space="0" w:color="auto"/>
        <w:left w:val="none" w:sz="0" w:space="0" w:color="auto"/>
        <w:bottom w:val="none" w:sz="0" w:space="0" w:color="auto"/>
        <w:right w:val="none" w:sz="0" w:space="0" w:color="auto"/>
      </w:divBdr>
    </w:div>
    <w:div w:id="336345341">
      <w:bodyDiv w:val="1"/>
      <w:marLeft w:val="0"/>
      <w:marRight w:val="0"/>
      <w:marTop w:val="0"/>
      <w:marBottom w:val="0"/>
      <w:divBdr>
        <w:top w:val="none" w:sz="0" w:space="0" w:color="auto"/>
        <w:left w:val="none" w:sz="0" w:space="0" w:color="auto"/>
        <w:bottom w:val="none" w:sz="0" w:space="0" w:color="auto"/>
        <w:right w:val="none" w:sz="0" w:space="0" w:color="auto"/>
      </w:divBdr>
    </w:div>
    <w:div w:id="338314105">
      <w:bodyDiv w:val="1"/>
      <w:marLeft w:val="0"/>
      <w:marRight w:val="0"/>
      <w:marTop w:val="0"/>
      <w:marBottom w:val="0"/>
      <w:divBdr>
        <w:top w:val="none" w:sz="0" w:space="0" w:color="auto"/>
        <w:left w:val="none" w:sz="0" w:space="0" w:color="auto"/>
        <w:bottom w:val="none" w:sz="0" w:space="0" w:color="auto"/>
        <w:right w:val="none" w:sz="0" w:space="0" w:color="auto"/>
      </w:divBdr>
    </w:div>
    <w:div w:id="347292274">
      <w:bodyDiv w:val="1"/>
      <w:marLeft w:val="0"/>
      <w:marRight w:val="0"/>
      <w:marTop w:val="0"/>
      <w:marBottom w:val="0"/>
      <w:divBdr>
        <w:top w:val="none" w:sz="0" w:space="0" w:color="auto"/>
        <w:left w:val="none" w:sz="0" w:space="0" w:color="auto"/>
        <w:bottom w:val="none" w:sz="0" w:space="0" w:color="auto"/>
        <w:right w:val="none" w:sz="0" w:space="0" w:color="auto"/>
      </w:divBdr>
    </w:div>
    <w:div w:id="351538534">
      <w:bodyDiv w:val="1"/>
      <w:marLeft w:val="0"/>
      <w:marRight w:val="0"/>
      <w:marTop w:val="0"/>
      <w:marBottom w:val="0"/>
      <w:divBdr>
        <w:top w:val="none" w:sz="0" w:space="0" w:color="auto"/>
        <w:left w:val="none" w:sz="0" w:space="0" w:color="auto"/>
        <w:bottom w:val="none" w:sz="0" w:space="0" w:color="auto"/>
        <w:right w:val="none" w:sz="0" w:space="0" w:color="auto"/>
      </w:divBdr>
    </w:div>
    <w:div w:id="353072027">
      <w:bodyDiv w:val="1"/>
      <w:marLeft w:val="0"/>
      <w:marRight w:val="0"/>
      <w:marTop w:val="0"/>
      <w:marBottom w:val="0"/>
      <w:divBdr>
        <w:top w:val="none" w:sz="0" w:space="0" w:color="auto"/>
        <w:left w:val="none" w:sz="0" w:space="0" w:color="auto"/>
        <w:bottom w:val="none" w:sz="0" w:space="0" w:color="auto"/>
        <w:right w:val="none" w:sz="0" w:space="0" w:color="auto"/>
      </w:divBdr>
    </w:div>
    <w:div w:id="365910154">
      <w:bodyDiv w:val="1"/>
      <w:marLeft w:val="0"/>
      <w:marRight w:val="0"/>
      <w:marTop w:val="0"/>
      <w:marBottom w:val="0"/>
      <w:divBdr>
        <w:top w:val="none" w:sz="0" w:space="0" w:color="auto"/>
        <w:left w:val="none" w:sz="0" w:space="0" w:color="auto"/>
        <w:bottom w:val="none" w:sz="0" w:space="0" w:color="auto"/>
        <w:right w:val="none" w:sz="0" w:space="0" w:color="auto"/>
      </w:divBdr>
    </w:div>
    <w:div w:id="374744339">
      <w:bodyDiv w:val="1"/>
      <w:marLeft w:val="0"/>
      <w:marRight w:val="0"/>
      <w:marTop w:val="0"/>
      <w:marBottom w:val="0"/>
      <w:divBdr>
        <w:top w:val="none" w:sz="0" w:space="0" w:color="auto"/>
        <w:left w:val="none" w:sz="0" w:space="0" w:color="auto"/>
        <w:bottom w:val="none" w:sz="0" w:space="0" w:color="auto"/>
        <w:right w:val="none" w:sz="0" w:space="0" w:color="auto"/>
      </w:divBdr>
    </w:div>
    <w:div w:id="387606103">
      <w:bodyDiv w:val="1"/>
      <w:marLeft w:val="0"/>
      <w:marRight w:val="0"/>
      <w:marTop w:val="0"/>
      <w:marBottom w:val="0"/>
      <w:divBdr>
        <w:top w:val="none" w:sz="0" w:space="0" w:color="auto"/>
        <w:left w:val="none" w:sz="0" w:space="0" w:color="auto"/>
        <w:bottom w:val="none" w:sz="0" w:space="0" w:color="auto"/>
        <w:right w:val="none" w:sz="0" w:space="0" w:color="auto"/>
      </w:divBdr>
    </w:div>
    <w:div w:id="393088404">
      <w:bodyDiv w:val="1"/>
      <w:marLeft w:val="0"/>
      <w:marRight w:val="0"/>
      <w:marTop w:val="0"/>
      <w:marBottom w:val="0"/>
      <w:divBdr>
        <w:top w:val="none" w:sz="0" w:space="0" w:color="auto"/>
        <w:left w:val="none" w:sz="0" w:space="0" w:color="auto"/>
        <w:bottom w:val="none" w:sz="0" w:space="0" w:color="auto"/>
        <w:right w:val="none" w:sz="0" w:space="0" w:color="auto"/>
      </w:divBdr>
    </w:div>
    <w:div w:id="395982137">
      <w:bodyDiv w:val="1"/>
      <w:marLeft w:val="0"/>
      <w:marRight w:val="0"/>
      <w:marTop w:val="0"/>
      <w:marBottom w:val="0"/>
      <w:divBdr>
        <w:top w:val="none" w:sz="0" w:space="0" w:color="auto"/>
        <w:left w:val="none" w:sz="0" w:space="0" w:color="auto"/>
        <w:bottom w:val="none" w:sz="0" w:space="0" w:color="auto"/>
        <w:right w:val="none" w:sz="0" w:space="0" w:color="auto"/>
      </w:divBdr>
    </w:div>
    <w:div w:id="411976701">
      <w:bodyDiv w:val="1"/>
      <w:marLeft w:val="0"/>
      <w:marRight w:val="0"/>
      <w:marTop w:val="0"/>
      <w:marBottom w:val="0"/>
      <w:divBdr>
        <w:top w:val="none" w:sz="0" w:space="0" w:color="auto"/>
        <w:left w:val="none" w:sz="0" w:space="0" w:color="auto"/>
        <w:bottom w:val="none" w:sz="0" w:space="0" w:color="auto"/>
        <w:right w:val="none" w:sz="0" w:space="0" w:color="auto"/>
      </w:divBdr>
    </w:div>
    <w:div w:id="418672008">
      <w:bodyDiv w:val="1"/>
      <w:marLeft w:val="0"/>
      <w:marRight w:val="0"/>
      <w:marTop w:val="0"/>
      <w:marBottom w:val="0"/>
      <w:divBdr>
        <w:top w:val="none" w:sz="0" w:space="0" w:color="auto"/>
        <w:left w:val="none" w:sz="0" w:space="0" w:color="auto"/>
        <w:bottom w:val="none" w:sz="0" w:space="0" w:color="auto"/>
        <w:right w:val="none" w:sz="0" w:space="0" w:color="auto"/>
      </w:divBdr>
    </w:div>
    <w:div w:id="432017852">
      <w:bodyDiv w:val="1"/>
      <w:marLeft w:val="0"/>
      <w:marRight w:val="0"/>
      <w:marTop w:val="0"/>
      <w:marBottom w:val="0"/>
      <w:divBdr>
        <w:top w:val="none" w:sz="0" w:space="0" w:color="auto"/>
        <w:left w:val="none" w:sz="0" w:space="0" w:color="auto"/>
        <w:bottom w:val="none" w:sz="0" w:space="0" w:color="auto"/>
        <w:right w:val="none" w:sz="0" w:space="0" w:color="auto"/>
      </w:divBdr>
    </w:div>
    <w:div w:id="438180674">
      <w:bodyDiv w:val="1"/>
      <w:marLeft w:val="0"/>
      <w:marRight w:val="0"/>
      <w:marTop w:val="0"/>
      <w:marBottom w:val="0"/>
      <w:divBdr>
        <w:top w:val="none" w:sz="0" w:space="0" w:color="auto"/>
        <w:left w:val="none" w:sz="0" w:space="0" w:color="auto"/>
        <w:bottom w:val="none" w:sz="0" w:space="0" w:color="auto"/>
        <w:right w:val="none" w:sz="0" w:space="0" w:color="auto"/>
      </w:divBdr>
    </w:div>
    <w:div w:id="440034076">
      <w:bodyDiv w:val="1"/>
      <w:marLeft w:val="0"/>
      <w:marRight w:val="0"/>
      <w:marTop w:val="0"/>
      <w:marBottom w:val="0"/>
      <w:divBdr>
        <w:top w:val="none" w:sz="0" w:space="0" w:color="auto"/>
        <w:left w:val="none" w:sz="0" w:space="0" w:color="auto"/>
        <w:bottom w:val="none" w:sz="0" w:space="0" w:color="auto"/>
        <w:right w:val="none" w:sz="0" w:space="0" w:color="auto"/>
      </w:divBdr>
    </w:div>
    <w:div w:id="440952201">
      <w:bodyDiv w:val="1"/>
      <w:marLeft w:val="0"/>
      <w:marRight w:val="0"/>
      <w:marTop w:val="0"/>
      <w:marBottom w:val="0"/>
      <w:divBdr>
        <w:top w:val="none" w:sz="0" w:space="0" w:color="auto"/>
        <w:left w:val="none" w:sz="0" w:space="0" w:color="auto"/>
        <w:bottom w:val="none" w:sz="0" w:space="0" w:color="auto"/>
        <w:right w:val="none" w:sz="0" w:space="0" w:color="auto"/>
      </w:divBdr>
    </w:div>
    <w:div w:id="445275317">
      <w:bodyDiv w:val="1"/>
      <w:marLeft w:val="0"/>
      <w:marRight w:val="0"/>
      <w:marTop w:val="0"/>
      <w:marBottom w:val="0"/>
      <w:divBdr>
        <w:top w:val="none" w:sz="0" w:space="0" w:color="auto"/>
        <w:left w:val="none" w:sz="0" w:space="0" w:color="auto"/>
        <w:bottom w:val="none" w:sz="0" w:space="0" w:color="auto"/>
        <w:right w:val="none" w:sz="0" w:space="0" w:color="auto"/>
      </w:divBdr>
    </w:div>
    <w:div w:id="472798812">
      <w:bodyDiv w:val="1"/>
      <w:marLeft w:val="0"/>
      <w:marRight w:val="0"/>
      <w:marTop w:val="0"/>
      <w:marBottom w:val="0"/>
      <w:divBdr>
        <w:top w:val="none" w:sz="0" w:space="0" w:color="auto"/>
        <w:left w:val="none" w:sz="0" w:space="0" w:color="auto"/>
        <w:bottom w:val="none" w:sz="0" w:space="0" w:color="auto"/>
        <w:right w:val="none" w:sz="0" w:space="0" w:color="auto"/>
      </w:divBdr>
    </w:div>
    <w:div w:id="497890287">
      <w:bodyDiv w:val="1"/>
      <w:marLeft w:val="0"/>
      <w:marRight w:val="0"/>
      <w:marTop w:val="0"/>
      <w:marBottom w:val="0"/>
      <w:divBdr>
        <w:top w:val="none" w:sz="0" w:space="0" w:color="auto"/>
        <w:left w:val="none" w:sz="0" w:space="0" w:color="auto"/>
        <w:bottom w:val="none" w:sz="0" w:space="0" w:color="auto"/>
        <w:right w:val="none" w:sz="0" w:space="0" w:color="auto"/>
      </w:divBdr>
    </w:div>
    <w:div w:id="515316563">
      <w:bodyDiv w:val="1"/>
      <w:marLeft w:val="0"/>
      <w:marRight w:val="0"/>
      <w:marTop w:val="0"/>
      <w:marBottom w:val="0"/>
      <w:divBdr>
        <w:top w:val="none" w:sz="0" w:space="0" w:color="auto"/>
        <w:left w:val="none" w:sz="0" w:space="0" w:color="auto"/>
        <w:bottom w:val="none" w:sz="0" w:space="0" w:color="auto"/>
        <w:right w:val="none" w:sz="0" w:space="0" w:color="auto"/>
      </w:divBdr>
    </w:div>
    <w:div w:id="523249340">
      <w:bodyDiv w:val="1"/>
      <w:marLeft w:val="0"/>
      <w:marRight w:val="0"/>
      <w:marTop w:val="0"/>
      <w:marBottom w:val="0"/>
      <w:divBdr>
        <w:top w:val="none" w:sz="0" w:space="0" w:color="auto"/>
        <w:left w:val="none" w:sz="0" w:space="0" w:color="auto"/>
        <w:bottom w:val="none" w:sz="0" w:space="0" w:color="auto"/>
        <w:right w:val="none" w:sz="0" w:space="0" w:color="auto"/>
      </w:divBdr>
      <w:divsChild>
        <w:div w:id="865406121">
          <w:marLeft w:val="0"/>
          <w:marRight w:val="0"/>
          <w:marTop w:val="0"/>
          <w:marBottom w:val="0"/>
          <w:divBdr>
            <w:top w:val="none" w:sz="0" w:space="0" w:color="auto"/>
            <w:left w:val="none" w:sz="0" w:space="0" w:color="auto"/>
            <w:bottom w:val="none" w:sz="0" w:space="0" w:color="auto"/>
            <w:right w:val="none" w:sz="0" w:space="0" w:color="auto"/>
          </w:divBdr>
          <w:divsChild>
            <w:div w:id="1673607420">
              <w:marLeft w:val="0"/>
              <w:marRight w:val="0"/>
              <w:marTop w:val="0"/>
              <w:marBottom w:val="0"/>
              <w:divBdr>
                <w:top w:val="none" w:sz="0" w:space="0" w:color="auto"/>
                <w:left w:val="none" w:sz="0" w:space="0" w:color="auto"/>
                <w:bottom w:val="none" w:sz="0" w:space="0" w:color="auto"/>
                <w:right w:val="none" w:sz="0" w:space="0" w:color="auto"/>
              </w:divBdr>
              <w:divsChild>
                <w:div w:id="1161508150">
                  <w:marLeft w:val="0"/>
                  <w:marRight w:val="0"/>
                  <w:marTop w:val="0"/>
                  <w:marBottom w:val="0"/>
                  <w:divBdr>
                    <w:top w:val="none" w:sz="0" w:space="0" w:color="auto"/>
                    <w:left w:val="none" w:sz="0" w:space="0" w:color="auto"/>
                    <w:bottom w:val="none" w:sz="0" w:space="0" w:color="auto"/>
                    <w:right w:val="none" w:sz="0" w:space="0" w:color="auto"/>
                  </w:divBdr>
                  <w:divsChild>
                    <w:div w:id="1883177879">
                      <w:marLeft w:val="0"/>
                      <w:marRight w:val="0"/>
                      <w:marTop w:val="0"/>
                      <w:marBottom w:val="0"/>
                      <w:divBdr>
                        <w:top w:val="none" w:sz="0" w:space="0" w:color="auto"/>
                        <w:left w:val="none" w:sz="0" w:space="0" w:color="auto"/>
                        <w:bottom w:val="none" w:sz="0" w:space="0" w:color="auto"/>
                        <w:right w:val="none" w:sz="0" w:space="0" w:color="auto"/>
                      </w:divBdr>
                      <w:divsChild>
                        <w:div w:id="336032415">
                          <w:marLeft w:val="0"/>
                          <w:marRight w:val="0"/>
                          <w:marTop w:val="0"/>
                          <w:marBottom w:val="0"/>
                          <w:divBdr>
                            <w:top w:val="none" w:sz="0" w:space="0" w:color="auto"/>
                            <w:left w:val="none" w:sz="0" w:space="0" w:color="auto"/>
                            <w:bottom w:val="none" w:sz="0" w:space="0" w:color="auto"/>
                            <w:right w:val="none" w:sz="0" w:space="0" w:color="auto"/>
                          </w:divBdr>
                          <w:divsChild>
                            <w:div w:id="1940336617">
                              <w:marLeft w:val="0"/>
                              <w:marRight w:val="0"/>
                              <w:marTop w:val="0"/>
                              <w:marBottom w:val="0"/>
                              <w:divBdr>
                                <w:top w:val="none" w:sz="0" w:space="0" w:color="auto"/>
                                <w:left w:val="none" w:sz="0" w:space="0" w:color="auto"/>
                                <w:bottom w:val="none" w:sz="0" w:space="0" w:color="auto"/>
                                <w:right w:val="none" w:sz="0" w:space="0" w:color="auto"/>
                              </w:divBdr>
                              <w:divsChild>
                                <w:div w:id="2098356767">
                                  <w:marLeft w:val="0"/>
                                  <w:marRight w:val="0"/>
                                  <w:marTop w:val="0"/>
                                  <w:marBottom w:val="0"/>
                                  <w:divBdr>
                                    <w:top w:val="none" w:sz="0" w:space="0" w:color="auto"/>
                                    <w:left w:val="none" w:sz="0" w:space="0" w:color="auto"/>
                                    <w:bottom w:val="none" w:sz="0" w:space="0" w:color="auto"/>
                                    <w:right w:val="none" w:sz="0" w:space="0" w:color="auto"/>
                                  </w:divBdr>
                                  <w:divsChild>
                                    <w:div w:id="2036148981">
                                      <w:marLeft w:val="0"/>
                                      <w:marRight w:val="0"/>
                                      <w:marTop w:val="0"/>
                                      <w:marBottom w:val="0"/>
                                      <w:divBdr>
                                        <w:top w:val="none" w:sz="0" w:space="0" w:color="auto"/>
                                        <w:left w:val="none" w:sz="0" w:space="0" w:color="auto"/>
                                        <w:bottom w:val="none" w:sz="0" w:space="0" w:color="auto"/>
                                        <w:right w:val="none" w:sz="0" w:space="0" w:color="auto"/>
                                      </w:divBdr>
                                      <w:divsChild>
                                        <w:div w:id="1530802636">
                                          <w:marLeft w:val="0"/>
                                          <w:marRight w:val="0"/>
                                          <w:marTop w:val="0"/>
                                          <w:marBottom w:val="0"/>
                                          <w:divBdr>
                                            <w:top w:val="none" w:sz="0" w:space="0" w:color="auto"/>
                                            <w:left w:val="none" w:sz="0" w:space="0" w:color="auto"/>
                                            <w:bottom w:val="none" w:sz="0" w:space="0" w:color="auto"/>
                                            <w:right w:val="none" w:sz="0" w:space="0" w:color="auto"/>
                                          </w:divBdr>
                                          <w:divsChild>
                                            <w:div w:id="147131602">
                                              <w:marLeft w:val="0"/>
                                              <w:marRight w:val="0"/>
                                              <w:marTop w:val="0"/>
                                              <w:marBottom w:val="0"/>
                                              <w:divBdr>
                                                <w:top w:val="none" w:sz="0" w:space="0" w:color="auto"/>
                                                <w:left w:val="none" w:sz="0" w:space="0" w:color="auto"/>
                                                <w:bottom w:val="none" w:sz="0" w:space="0" w:color="auto"/>
                                                <w:right w:val="none" w:sz="0" w:space="0" w:color="auto"/>
                                              </w:divBdr>
                                              <w:divsChild>
                                                <w:div w:id="5424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704579">
      <w:bodyDiv w:val="1"/>
      <w:marLeft w:val="0"/>
      <w:marRight w:val="0"/>
      <w:marTop w:val="0"/>
      <w:marBottom w:val="0"/>
      <w:divBdr>
        <w:top w:val="none" w:sz="0" w:space="0" w:color="auto"/>
        <w:left w:val="none" w:sz="0" w:space="0" w:color="auto"/>
        <w:bottom w:val="none" w:sz="0" w:space="0" w:color="auto"/>
        <w:right w:val="none" w:sz="0" w:space="0" w:color="auto"/>
      </w:divBdr>
    </w:div>
    <w:div w:id="542710569">
      <w:bodyDiv w:val="1"/>
      <w:marLeft w:val="0"/>
      <w:marRight w:val="0"/>
      <w:marTop w:val="0"/>
      <w:marBottom w:val="0"/>
      <w:divBdr>
        <w:top w:val="none" w:sz="0" w:space="0" w:color="auto"/>
        <w:left w:val="none" w:sz="0" w:space="0" w:color="auto"/>
        <w:bottom w:val="none" w:sz="0" w:space="0" w:color="auto"/>
        <w:right w:val="none" w:sz="0" w:space="0" w:color="auto"/>
      </w:divBdr>
    </w:div>
    <w:div w:id="545610068">
      <w:bodyDiv w:val="1"/>
      <w:marLeft w:val="0"/>
      <w:marRight w:val="0"/>
      <w:marTop w:val="0"/>
      <w:marBottom w:val="0"/>
      <w:divBdr>
        <w:top w:val="none" w:sz="0" w:space="0" w:color="auto"/>
        <w:left w:val="none" w:sz="0" w:space="0" w:color="auto"/>
        <w:bottom w:val="none" w:sz="0" w:space="0" w:color="auto"/>
        <w:right w:val="none" w:sz="0" w:space="0" w:color="auto"/>
      </w:divBdr>
    </w:div>
    <w:div w:id="545683906">
      <w:bodyDiv w:val="1"/>
      <w:marLeft w:val="0"/>
      <w:marRight w:val="0"/>
      <w:marTop w:val="0"/>
      <w:marBottom w:val="0"/>
      <w:divBdr>
        <w:top w:val="none" w:sz="0" w:space="0" w:color="auto"/>
        <w:left w:val="none" w:sz="0" w:space="0" w:color="auto"/>
        <w:bottom w:val="none" w:sz="0" w:space="0" w:color="auto"/>
        <w:right w:val="none" w:sz="0" w:space="0" w:color="auto"/>
      </w:divBdr>
    </w:div>
    <w:div w:id="551886160">
      <w:bodyDiv w:val="1"/>
      <w:marLeft w:val="0"/>
      <w:marRight w:val="0"/>
      <w:marTop w:val="0"/>
      <w:marBottom w:val="0"/>
      <w:divBdr>
        <w:top w:val="none" w:sz="0" w:space="0" w:color="auto"/>
        <w:left w:val="none" w:sz="0" w:space="0" w:color="auto"/>
        <w:bottom w:val="none" w:sz="0" w:space="0" w:color="auto"/>
        <w:right w:val="none" w:sz="0" w:space="0" w:color="auto"/>
      </w:divBdr>
    </w:div>
    <w:div w:id="554245777">
      <w:bodyDiv w:val="1"/>
      <w:marLeft w:val="0"/>
      <w:marRight w:val="0"/>
      <w:marTop w:val="0"/>
      <w:marBottom w:val="0"/>
      <w:divBdr>
        <w:top w:val="none" w:sz="0" w:space="0" w:color="auto"/>
        <w:left w:val="none" w:sz="0" w:space="0" w:color="auto"/>
        <w:bottom w:val="none" w:sz="0" w:space="0" w:color="auto"/>
        <w:right w:val="none" w:sz="0" w:space="0" w:color="auto"/>
      </w:divBdr>
    </w:div>
    <w:div w:id="578253357">
      <w:bodyDiv w:val="1"/>
      <w:marLeft w:val="0"/>
      <w:marRight w:val="0"/>
      <w:marTop w:val="0"/>
      <w:marBottom w:val="0"/>
      <w:divBdr>
        <w:top w:val="none" w:sz="0" w:space="0" w:color="auto"/>
        <w:left w:val="none" w:sz="0" w:space="0" w:color="auto"/>
        <w:bottom w:val="none" w:sz="0" w:space="0" w:color="auto"/>
        <w:right w:val="none" w:sz="0" w:space="0" w:color="auto"/>
      </w:divBdr>
    </w:div>
    <w:div w:id="580604385">
      <w:bodyDiv w:val="1"/>
      <w:marLeft w:val="0"/>
      <w:marRight w:val="0"/>
      <w:marTop w:val="0"/>
      <w:marBottom w:val="0"/>
      <w:divBdr>
        <w:top w:val="none" w:sz="0" w:space="0" w:color="auto"/>
        <w:left w:val="none" w:sz="0" w:space="0" w:color="auto"/>
        <w:bottom w:val="none" w:sz="0" w:space="0" w:color="auto"/>
        <w:right w:val="none" w:sz="0" w:space="0" w:color="auto"/>
      </w:divBdr>
    </w:div>
    <w:div w:id="600534059">
      <w:bodyDiv w:val="1"/>
      <w:marLeft w:val="0"/>
      <w:marRight w:val="0"/>
      <w:marTop w:val="0"/>
      <w:marBottom w:val="0"/>
      <w:divBdr>
        <w:top w:val="none" w:sz="0" w:space="0" w:color="auto"/>
        <w:left w:val="none" w:sz="0" w:space="0" w:color="auto"/>
        <w:bottom w:val="none" w:sz="0" w:space="0" w:color="auto"/>
        <w:right w:val="none" w:sz="0" w:space="0" w:color="auto"/>
      </w:divBdr>
    </w:div>
    <w:div w:id="605313680">
      <w:bodyDiv w:val="1"/>
      <w:marLeft w:val="0"/>
      <w:marRight w:val="0"/>
      <w:marTop w:val="0"/>
      <w:marBottom w:val="0"/>
      <w:divBdr>
        <w:top w:val="none" w:sz="0" w:space="0" w:color="auto"/>
        <w:left w:val="none" w:sz="0" w:space="0" w:color="auto"/>
        <w:bottom w:val="none" w:sz="0" w:space="0" w:color="auto"/>
        <w:right w:val="none" w:sz="0" w:space="0" w:color="auto"/>
      </w:divBdr>
    </w:div>
    <w:div w:id="615598511">
      <w:bodyDiv w:val="1"/>
      <w:marLeft w:val="0"/>
      <w:marRight w:val="0"/>
      <w:marTop w:val="0"/>
      <w:marBottom w:val="0"/>
      <w:divBdr>
        <w:top w:val="none" w:sz="0" w:space="0" w:color="auto"/>
        <w:left w:val="none" w:sz="0" w:space="0" w:color="auto"/>
        <w:bottom w:val="none" w:sz="0" w:space="0" w:color="auto"/>
        <w:right w:val="none" w:sz="0" w:space="0" w:color="auto"/>
      </w:divBdr>
      <w:divsChild>
        <w:div w:id="985741372">
          <w:marLeft w:val="0"/>
          <w:marRight w:val="0"/>
          <w:marTop w:val="0"/>
          <w:marBottom w:val="0"/>
          <w:divBdr>
            <w:top w:val="none" w:sz="0" w:space="0" w:color="auto"/>
            <w:left w:val="none" w:sz="0" w:space="0" w:color="auto"/>
            <w:bottom w:val="none" w:sz="0" w:space="0" w:color="auto"/>
            <w:right w:val="none" w:sz="0" w:space="0" w:color="auto"/>
          </w:divBdr>
        </w:div>
        <w:div w:id="1623150583">
          <w:marLeft w:val="0"/>
          <w:marRight w:val="0"/>
          <w:marTop w:val="0"/>
          <w:marBottom w:val="0"/>
          <w:divBdr>
            <w:top w:val="none" w:sz="0" w:space="0" w:color="auto"/>
            <w:left w:val="none" w:sz="0" w:space="0" w:color="auto"/>
            <w:bottom w:val="none" w:sz="0" w:space="0" w:color="auto"/>
            <w:right w:val="none" w:sz="0" w:space="0" w:color="auto"/>
          </w:divBdr>
        </w:div>
        <w:div w:id="1698500313">
          <w:marLeft w:val="0"/>
          <w:marRight w:val="0"/>
          <w:marTop w:val="0"/>
          <w:marBottom w:val="0"/>
          <w:divBdr>
            <w:top w:val="none" w:sz="0" w:space="0" w:color="auto"/>
            <w:left w:val="none" w:sz="0" w:space="0" w:color="auto"/>
            <w:bottom w:val="none" w:sz="0" w:space="0" w:color="auto"/>
            <w:right w:val="none" w:sz="0" w:space="0" w:color="auto"/>
          </w:divBdr>
        </w:div>
      </w:divsChild>
    </w:div>
    <w:div w:id="620963136">
      <w:bodyDiv w:val="1"/>
      <w:marLeft w:val="0"/>
      <w:marRight w:val="0"/>
      <w:marTop w:val="0"/>
      <w:marBottom w:val="0"/>
      <w:divBdr>
        <w:top w:val="none" w:sz="0" w:space="0" w:color="auto"/>
        <w:left w:val="none" w:sz="0" w:space="0" w:color="auto"/>
        <w:bottom w:val="none" w:sz="0" w:space="0" w:color="auto"/>
        <w:right w:val="none" w:sz="0" w:space="0" w:color="auto"/>
      </w:divBdr>
    </w:div>
    <w:div w:id="629172735">
      <w:bodyDiv w:val="1"/>
      <w:marLeft w:val="0"/>
      <w:marRight w:val="0"/>
      <w:marTop w:val="0"/>
      <w:marBottom w:val="0"/>
      <w:divBdr>
        <w:top w:val="none" w:sz="0" w:space="0" w:color="auto"/>
        <w:left w:val="none" w:sz="0" w:space="0" w:color="auto"/>
        <w:bottom w:val="none" w:sz="0" w:space="0" w:color="auto"/>
        <w:right w:val="none" w:sz="0" w:space="0" w:color="auto"/>
      </w:divBdr>
    </w:div>
    <w:div w:id="636421648">
      <w:bodyDiv w:val="1"/>
      <w:marLeft w:val="0"/>
      <w:marRight w:val="0"/>
      <w:marTop w:val="0"/>
      <w:marBottom w:val="0"/>
      <w:divBdr>
        <w:top w:val="none" w:sz="0" w:space="0" w:color="auto"/>
        <w:left w:val="none" w:sz="0" w:space="0" w:color="auto"/>
        <w:bottom w:val="none" w:sz="0" w:space="0" w:color="auto"/>
        <w:right w:val="none" w:sz="0" w:space="0" w:color="auto"/>
      </w:divBdr>
    </w:div>
    <w:div w:id="670254295">
      <w:bodyDiv w:val="1"/>
      <w:marLeft w:val="0"/>
      <w:marRight w:val="0"/>
      <w:marTop w:val="0"/>
      <w:marBottom w:val="0"/>
      <w:divBdr>
        <w:top w:val="none" w:sz="0" w:space="0" w:color="auto"/>
        <w:left w:val="none" w:sz="0" w:space="0" w:color="auto"/>
        <w:bottom w:val="none" w:sz="0" w:space="0" w:color="auto"/>
        <w:right w:val="none" w:sz="0" w:space="0" w:color="auto"/>
      </w:divBdr>
    </w:div>
    <w:div w:id="675108464">
      <w:bodyDiv w:val="1"/>
      <w:marLeft w:val="0"/>
      <w:marRight w:val="0"/>
      <w:marTop w:val="0"/>
      <w:marBottom w:val="0"/>
      <w:divBdr>
        <w:top w:val="none" w:sz="0" w:space="0" w:color="auto"/>
        <w:left w:val="none" w:sz="0" w:space="0" w:color="auto"/>
        <w:bottom w:val="none" w:sz="0" w:space="0" w:color="auto"/>
        <w:right w:val="none" w:sz="0" w:space="0" w:color="auto"/>
      </w:divBdr>
    </w:div>
    <w:div w:id="675116119">
      <w:bodyDiv w:val="1"/>
      <w:marLeft w:val="0"/>
      <w:marRight w:val="0"/>
      <w:marTop w:val="0"/>
      <w:marBottom w:val="0"/>
      <w:divBdr>
        <w:top w:val="none" w:sz="0" w:space="0" w:color="auto"/>
        <w:left w:val="none" w:sz="0" w:space="0" w:color="auto"/>
        <w:bottom w:val="none" w:sz="0" w:space="0" w:color="auto"/>
        <w:right w:val="none" w:sz="0" w:space="0" w:color="auto"/>
      </w:divBdr>
    </w:div>
    <w:div w:id="688527754">
      <w:bodyDiv w:val="1"/>
      <w:marLeft w:val="0"/>
      <w:marRight w:val="0"/>
      <w:marTop w:val="0"/>
      <w:marBottom w:val="0"/>
      <w:divBdr>
        <w:top w:val="none" w:sz="0" w:space="0" w:color="auto"/>
        <w:left w:val="none" w:sz="0" w:space="0" w:color="auto"/>
        <w:bottom w:val="none" w:sz="0" w:space="0" w:color="auto"/>
        <w:right w:val="none" w:sz="0" w:space="0" w:color="auto"/>
      </w:divBdr>
    </w:div>
    <w:div w:id="690684067">
      <w:bodyDiv w:val="1"/>
      <w:marLeft w:val="0"/>
      <w:marRight w:val="0"/>
      <w:marTop w:val="0"/>
      <w:marBottom w:val="0"/>
      <w:divBdr>
        <w:top w:val="none" w:sz="0" w:space="0" w:color="auto"/>
        <w:left w:val="none" w:sz="0" w:space="0" w:color="auto"/>
        <w:bottom w:val="none" w:sz="0" w:space="0" w:color="auto"/>
        <w:right w:val="none" w:sz="0" w:space="0" w:color="auto"/>
      </w:divBdr>
    </w:div>
    <w:div w:id="726731524">
      <w:bodyDiv w:val="1"/>
      <w:marLeft w:val="0"/>
      <w:marRight w:val="0"/>
      <w:marTop w:val="0"/>
      <w:marBottom w:val="0"/>
      <w:divBdr>
        <w:top w:val="none" w:sz="0" w:space="0" w:color="auto"/>
        <w:left w:val="none" w:sz="0" w:space="0" w:color="auto"/>
        <w:bottom w:val="none" w:sz="0" w:space="0" w:color="auto"/>
        <w:right w:val="none" w:sz="0" w:space="0" w:color="auto"/>
      </w:divBdr>
      <w:divsChild>
        <w:div w:id="567763044">
          <w:marLeft w:val="374"/>
          <w:marRight w:val="0"/>
          <w:marTop w:val="0"/>
          <w:marBottom w:val="60"/>
          <w:divBdr>
            <w:top w:val="none" w:sz="0" w:space="0" w:color="auto"/>
            <w:left w:val="none" w:sz="0" w:space="0" w:color="auto"/>
            <w:bottom w:val="none" w:sz="0" w:space="0" w:color="auto"/>
            <w:right w:val="none" w:sz="0" w:space="0" w:color="auto"/>
          </w:divBdr>
        </w:div>
        <w:div w:id="616642621">
          <w:marLeft w:val="374"/>
          <w:marRight w:val="0"/>
          <w:marTop w:val="0"/>
          <w:marBottom w:val="60"/>
          <w:divBdr>
            <w:top w:val="none" w:sz="0" w:space="0" w:color="auto"/>
            <w:left w:val="none" w:sz="0" w:space="0" w:color="auto"/>
            <w:bottom w:val="none" w:sz="0" w:space="0" w:color="auto"/>
            <w:right w:val="none" w:sz="0" w:space="0" w:color="auto"/>
          </w:divBdr>
        </w:div>
        <w:div w:id="1474717089">
          <w:marLeft w:val="374"/>
          <w:marRight w:val="0"/>
          <w:marTop w:val="0"/>
          <w:marBottom w:val="60"/>
          <w:divBdr>
            <w:top w:val="none" w:sz="0" w:space="0" w:color="auto"/>
            <w:left w:val="none" w:sz="0" w:space="0" w:color="auto"/>
            <w:bottom w:val="none" w:sz="0" w:space="0" w:color="auto"/>
            <w:right w:val="none" w:sz="0" w:space="0" w:color="auto"/>
          </w:divBdr>
        </w:div>
        <w:div w:id="1761951055">
          <w:marLeft w:val="374"/>
          <w:marRight w:val="0"/>
          <w:marTop w:val="0"/>
          <w:marBottom w:val="60"/>
          <w:divBdr>
            <w:top w:val="none" w:sz="0" w:space="0" w:color="auto"/>
            <w:left w:val="none" w:sz="0" w:space="0" w:color="auto"/>
            <w:bottom w:val="none" w:sz="0" w:space="0" w:color="auto"/>
            <w:right w:val="none" w:sz="0" w:space="0" w:color="auto"/>
          </w:divBdr>
        </w:div>
        <w:div w:id="2077119918">
          <w:marLeft w:val="374"/>
          <w:marRight w:val="0"/>
          <w:marTop w:val="0"/>
          <w:marBottom w:val="60"/>
          <w:divBdr>
            <w:top w:val="none" w:sz="0" w:space="0" w:color="auto"/>
            <w:left w:val="none" w:sz="0" w:space="0" w:color="auto"/>
            <w:bottom w:val="none" w:sz="0" w:space="0" w:color="auto"/>
            <w:right w:val="none" w:sz="0" w:space="0" w:color="auto"/>
          </w:divBdr>
        </w:div>
      </w:divsChild>
    </w:div>
    <w:div w:id="748578419">
      <w:bodyDiv w:val="1"/>
      <w:marLeft w:val="0"/>
      <w:marRight w:val="0"/>
      <w:marTop w:val="0"/>
      <w:marBottom w:val="0"/>
      <w:divBdr>
        <w:top w:val="none" w:sz="0" w:space="0" w:color="auto"/>
        <w:left w:val="none" w:sz="0" w:space="0" w:color="auto"/>
        <w:bottom w:val="none" w:sz="0" w:space="0" w:color="auto"/>
        <w:right w:val="none" w:sz="0" w:space="0" w:color="auto"/>
      </w:divBdr>
    </w:div>
    <w:div w:id="751127823">
      <w:bodyDiv w:val="1"/>
      <w:marLeft w:val="0"/>
      <w:marRight w:val="0"/>
      <w:marTop w:val="0"/>
      <w:marBottom w:val="0"/>
      <w:divBdr>
        <w:top w:val="none" w:sz="0" w:space="0" w:color="auto"/>
        <w:left w:val="none" w:sz="0" w:space="0" w:color="auto"/>
        <w:bottom w:val="none" w:sz="0" w:space="0" w:color="auto"/>
        <w:right w:val="none" w:sz="0" w:space="0" w:color="auto"/>
      </w:divBdr>
    </w:div>
    <w:div w:id="756291389">
      <w:bodyDiv w:val="1"/>
      <w:marLeft w:val="0"/>
      <w:marRight w:val="0"/>
      <w:marTop w:val="0"/>
      <w:marBottom w:val="0"/>
      <w:divBdr>
        <w:top w:val="none" w:sz="0" w:space="0" w:color="auto"/>
        <w:left w:val="none" w:sz="0" w:space="0" w:color="auto"/>
        <w:bottom w:val="none" w:sz="0" w:space="0" w:color="auto"/>
        <w:right w:val="none" w:sz="0" w:space="0" w:color="auto"/>
      </w:divBdr>
    </w:div>
    <w:div w:id="761608488">
      <w:bodyDiv w:val="1"/>
      <w:marLeft w:val="0"/>
      <w:marRight w:val="0"/>
      <w:marTop w:val="0"/>
      <w:marBottom w:val="0"/>
      <w:divBdr>
        <w:top w:val="none" w:sz="0" w:space="0" w:color="auto"/>
        <w:left w:val="none" w:sz="0" w:space="0" w:color="auto"/>
        <w:bottom w:val="none" w:sz="0" w:space="0" w:color="auto"/>
        <w:right w:val="none" w:sz="0" w:space="0" w:color="auto"/>
      </w:divBdr>
    </w:div>
    <w:div w:id="768043378">
      <w:bodyDiv w:val="1"/>
      <w:marLeft w:val="0"/>
      <w:marRight w:val="0"/>
      <w:marTop w:val="0"/>
      <w:marBottom w:val="0"/>
      <w:divBdr>
        <w:top w:val="none" w:sz="0" w:space="0" w:color="auto"/>
        <w:left w:val="none" w:sz="0" w:space="0" w:color="auto"/>
        <w:bottom w:val="none" w:sz="0" w:space="0" w:color="auto"/>
        <w:right w:val="none" w:sz="0" w:space="0" w:color="auto"/>
      </w:divBdr>
    </w:div>
    <w:div w:id="783960170">
      <w:bodyDiv w:val="1"/>
      <w:marLeft w:val="0"/>
      <w:marRight w:val="0"/>
      <w:marTop w:val="0"/>
      <w:marBottom w:val="0"/>
      <w:divBdr>
        <w:top w:val="none" w:sz="0" w:space="0" w:color="auto"/>
        <w:left w:val="none" w:sz="0" w:space="0" w:color="auto"/>
        <w:bottom w:val="none" w:sz="0" w:space="0" w:color="auto"/>
        <w:right w:val="none" w:sz="0" w:space="0" w:color="auto"/>
      </w:divBdr>
    </w:div>
    <w:div w:id="785585985">
      <w:bodyDiv w:val="1"/>
      <w:marLeft w:val="0"/>
      <w:marRight w:val="0"/>
      <w:marTop w:val="0"/>
      <w:marBottom w:val="0"/>
      <w:divBdr>
        <w:top w:val="none" w:sz="0" w:space="0" w:color="auto"/>
        <w:left w:val="none" w:sz="0" w:space="0" w:color="auto"/>
        <w:bottom w:val="none" w:sz="0" w:space="0" w:color="auto"/>
        <w:right w:val="none" w:sz="0" w:space="0" w:color="auto"/>
      </w:divBdr>
    </w:div>
    <w:div w:id="798497564">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866867713">
      <w:bodyDiv w:val="1"/>
      <w:marLeft w:val="0"/>
      <w:marRight w:val="0"/>
      <w:marTop w:val="0"/>
      <w:marBottom w:val="0"/>
      <w:divBdr>
        <w:top w:val="none" w:sz="0" w:space="0" w:color="auto"/>
        <w:left w:val="none" w:sz="0" w:space="0" w:color="auto"/>
        <w:bottom w:val="none" w:sz="0" w:space="0" w:color="auto"/>
        <w:right w:val="none" w:sz="0" w:space="0" w:color="auto"/>
      </w:divBdr>
    </w:div>
    <w:div w:id="877427392">
      <w:bodyDiv w:val="1"/>
      <w:marLeft w:val="0"/>
      <w:marRight w:val="0"/>
      <w:marTop w:val="0"/>
      <w:marBottom w:val="0"/>
      <w:divBdr>
        <w:top w:val="none" w:sz="0" w:space="0" w:color="auto"/>
        <w:left w:val="none" w:sz="0" w:space="0" w:color="auto"/>
        <w:bottom w:val="none" w:sz="0" w:space="0" w:color="auto"/>
        <w:right w:val="none" w:sz="0" w:space="0" w:color="auto"/>
      </w:divBdr>
      <w:divsChild>
        <w:div w:id="1006251991">
          <w:marLeft w:val="0"/>
          <w:marRight w:val="0"/>
          <w:marTop w:val="0"/>
          <w:marBottom w:val="0"/>
          <w:divBdr>
            <w:top w:val="none" w:sz="0" w:space="0" w:color="auto"/>
            <w:left w:val="none" w:sz="0" w:space="0" w:color="auto"/>
            <w:bottom w:val="none" w:sz="0" w:space="0" w:color="auto"/>
            <w:right w:val="none" w:sz="0" w:space="0" w:color="auto"/>
          </w:divBdr>
        </w:div>
        <w:div w:id="1037661063">
          <w:marLeft w:val="0"/>
          <w:marRight w:val="0"/>
          <w:marTop w:val="0"/>
          <w:marBottom w:val="0"/>
          <w:divBdr>
            <w:top w:val="none" w:sz="0" w:space="0" w:color="auto"/>
            <w:left w:val="none" w:sz="0" w:space="0" w:color="auto"/>
            <w:bottom w:val="none" w:sz="0" w:space="0" w:color="auto"/>
            <w:right w:val="none" w:sz="0" w:space="0" w:color="auto"/>
          </w:divBdr>
        </w:div>
        <w:div w:id="1535652042">
          <w:marLeft w:val="0"/>
          <w:marRight w:val="0"/>
          <w:marTop w:val="0"/>
          <w:marBottom w:val="0"/>
          <w:divBdr>
            <w:top w:val="none" w:sz="0" w:space="0" w:color="auto"/>
            <w:left w:val="none" w:sz="0" w:space="0" w:color="auto"/>
            <w:bottom w:val="none" w:sz="0" w:space="0" w:color="auto"/>
            <w:right w:val="none" w:sz="0" w:space="0" w:color="auto"/>
          </w:divBdr>
        </w:div>
      </w:divsChild>
    </w:div>
    <w:div w:id="889390071">
      <w:bodyDiv w:val="1"/>
      <w:marLeft w:val="0"/>
      <w:marRight w:val="0"/>
      <w:marTop w:val="0"/>
      <w:marBottom w:val="0"/>
      <w:divBdr>
        <w:top w:val="none" w:sz="0" w:space="0" w:color="auto"/>
        <w:left w:val="none" w:sz="0" w:space="0" w:color="auto"/>
        <w:bottom w:val="none" w:sz="0" w:space="0" w:color="auto"/>
        <w:right w:val="none" w:sz="0" w:space="0" w:color="auto"/>
      </w:divBdr>
    </w:div>
    <w:div w:id="916090918">
      <w:bodyDiv w:val="1"/>
      <w:marLeft w:val="0"/>
      <w:marRight w:val="0"/>
      <w:marTop w:val="0"/>
      <w:marBottom w:val="0"/>
      <w:divBdr>
        <w:top w:val="none" w:sz="0" w:space="0" w:color="auto"/>
        <w:left w:val="none" w:sz="0" w:space="0" w:color="auto"/>
        <w:bottom w:val="none" w:sz="0" w:space="0" w:color="auto"/>
        <w:right w:val="none" w:sz="0" w:space="0" w:color="auto"/>
      </w:divBdr>
    </w:div>
    <w:div w:id="920868956">
      <w:bodyDiv w:val="1"/>
      <w:marLeft w:val="0"/>
      <w:marRight w:val="0"/>
      <w:marTop w:val="0"/>
      <w:marBottom w:val="0"/>
      <w:divBdr>
        <w:top w:val="none" w:sz="0" w:space="0" w:color="auto"/>
        <w:left w:val="none" w:sz="0" w:space="0" w:color="auto"/>
        <w:bottom w:val="none" w:sz="0" w:space="0" w:color="auto"/>
        <w:right w:val="none" w:sz="0" w:space="0" w:color="auto"/>
      </w:divBdr>
    </w:div>
    <w:div w:id="925917704">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
    <w:div w:id="941911592">
      <w:bodyDiv w:val="1"/>
      <w:marLeft w:val="0"/>
      <w:marRight w:val="0"/>
      <w:marTop w:val="0"/>
      <w:marBottom w:val="0"/>
      <w:divBdr>
        <w:top w:val="none" w:sz="0" w:space="0" w:color="auto"/>
        <w:left w:val="none" w:sz="0" w:space="0" w:color="auto"/>
        <w:bottom w:val="none" w:sz="0" w:space="0" w:color="auto"/>
        <w:right w:val="none" w:sz="0" w:space="0" w:color="auto"/>
      </w:divBdr>
    </w:div>
    <w:div w:id="944069752">
      <w:bodyDiv w:val="1"/>
      <w:marLeft w:val="0"/>
      <w:marRight w:val="0"/>
      <w:marTop w:val="0"/>
      <w:marBottom w:val="0"/>
      <w:divBdr>
        <w:top w:val="none" w:sz="0" w:space="0" w:color="auto"/>
        <w:left w:val="none" w:sz="0" w:space="0" w:color="auto"/>
        <w:bottom w:val="none" w:sz="0" w:space="0" w:color="auto"/>
        <w:right w:val="none" w:sz="0" w:space="0" w:color="auto"/>
      </w:divBdr>
    </w:div>
    <w:div w:id="963149769">
      <w:bodyDiv w:val="1"/>
      <w:marLeft w:val="0"/>
      <w:marRight w:val="0"/>
      <w:marTop w:val="0"/>
      <w:marBottom w:val="0"/>
      <w:divBdr>
        <w:top w:val="none" w:sz="0" w:space="0" w:color="auto"/>
        <w:left w:val="none" w:sz="0" w:space="0" w:color="auto"/>
        <w:bottom w:val="none" w:sz="0" w:space="0" w:color="auto"/>
        <w:right w:val="none" w:sz="0" w:space="0" w:color="auto"/>
      </w:divBdr>
    </w:div>
    <w:div w:id="993028343">
      <w:bodyDiv w:val="1"/>
      <w:marLeft w:val="0"/>
      <w:marRight w:val="0"/>
      <w:marTop w:val="0"/>
      <w:marBottom w:val="0"/>
      <w:divBdr>
        <w:top w:val="none" w:sz="0" w:space="0" w:color="auto"/>
        <w:left w:val="none" w:sz="0" w:space="0" w:color="auto"/>
        <w:bottom w:val="none" w:sz="0" w:space="0" w:color="auto"/>
        <w:right w:val="none" w:sz="0" w:space="0" w:color="auto"/>
      </w:divBdr>
    </w:div>
    <w:div w:id="1004094472">
      <w:bodyDiv w:val="1"/>
      <w:marLeft w:val="0"/>
      <w:marRight w:val="0"/>
      <w:marTop w:val="0"/>
      <w:marBottom w:val="0"/>
      <w:divBdr>
        <w:top w:val="none" w:sz="0" w:space="0" w:color="auto"/>
        <w:left w:val="none" w:sz="0" w:space="0" w:color="auto"/>
        <w:bottom w:val="none" w:sz="0" w:space="0" w:color="auto"/>
        <w:right w:val="none" w:sz="0" w:space="0" w:color="auto"/>
      </w:divBdr>
    </w:div>
    <w:div w:id="1006638122">
      <w:bodyDiv w:val="1"/>
      <w:marLeft w:val="0"/>
      <w:marRight w:val="0"/>
      <w:marTop w:val="0"/>
      <w:marBottom w:val="0"/>
      <w:divBdr>
        <w:top w:val="none" w:sz="0" w:space="0" w:color="auto"/>
        <w:left w:val="none" w:sz="0" w:space="0" w:color="auto"/>
        <w:bottom w:val="none" w:sz="0" w:space="0" w:color="auto"/>
        <w:right w:val="none" w:sz="0" w:space="0" w:color="auto"/>
      </w:divBdr>
      <w:divsChild>
        <w:div w:id="1265576040">
          <w:marLeft w:val="0"/>
          <w:marRight w:val="0"/>
          <w:marTop w:val="0"/>
          <w:marBottom w:val="0"/>
          <w:divBdr>
            <w:top w:val="none" w:sz="0" w:space="0" w:color="auto"/>
            <w:left w:val="none" w:sz="0" w:space="0" w:color="auto"/>
            <w:bottom w:val="none" w:sz="0" w:space="0" w:color="auto"/>
            <w:right w:val="none" w:sz="0" w:space="0" w:color="auto"/>
          </w:divBdr>
          <w:divsChild>
            <w:div w:id="2111967612">
              <w:marLeft w:val="0"/>
              <w:marRight w:val="0"/>
              <w:marTop w:val="0"/>
              <w:marBottom w:val="0"/>
              <w:divBdr>
                <w:top w:val="none" w:sz="0" w:space="0" w:color="auto"/>
                <w:left w:val="none" w:sz="0" w:space="0" w:color="auto"/>
                <w:bottom w:val="none" w:sz="0" w:space="0" w:color="auto"/>
                <w:right w:val="none" w:sz="0" w:space="0" w:color="auto"/>
              </w:divBdr>
              <w:divsChild>
                <w:div w:id="9802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1235">
      <w:bodyDiv w:val="1"/>
      <w:marLeft w:val="0"/>
      <w:marRight w:val="0"/>
      <w:marTop w:val="0"/>
      <w:marBottom w:val="0"/>
      <w:divBdr>
        <w:top w:val="none" w:sz="0" w:space="0" w:color="auto"/>
        <w:left w:val="none" w:sz="0" w:space="0" w:color="auto"/>
        <w:bottom w:val="none" w:sz="0" w:space="0" w:color="auto"/>
        <w:right w:val="none" w:sz="0" w:space="0" w:color="auto"/>
      </w:divBdr>
    </w:div>
    <w:div w:id="1018119190">
      <w:bodyDiv w:val="1"/>
      <w:marLeft w:val="0"/>
      <w:marRight w:val="0"/>
      <w:marTop w:val="0"/>
      <w:marBottom w:val="0"/>
      <w:divBdr>
        <w:top w:val="none" w:sz="0" w:space="0" w:color="auto"/>
        <w:left w:val="none" w:sz="0" w:space="0" w:color="auto"/>
        <w:bottom w:val="none" w:sz="0" w:space="0" w:color="auto"/>
        <w:right w:val="none" w:sz="0" w:space="0" w:color="auto"/>
      </w:divBdr>
    </w:div>
    <w:div w:id="1020203071">
      <w:bodyDiv w:val="1"/>
      <w:marLeft w:val="0"/>
      <w:marRight w:val="0"/>
      <w:marTop w:val="0"/>
      <w:marBottom w:val="0"/>
      <w:divBdr>
        <w:top w:val="none" w:sz="0" w:space="0" w:color="auto"/>
        <w:left w:val="none" w:sz="0" w:space="0" w:color="auto"/>
        <w:bottom w:val="none" w:sz="0" w:space="0" w:color="auto"/>
        <w:right w:val="none" w:sz="0" w:space="0" w:color="auto"/>
      </w:divBdr>
    </w:div>
    <w:div w:id="1036851150">
      <w:bodyDiv w:val="1"/>
      <w:marLeft w:val="0"/>
      <w:marRight w:val="0"/>
      <w:marTop w:val="0"/>
      <w:marBottom w:val="0"/>
      <w:divBdr>
        <w:top w:val="none" w:sz="0" w:space="0" w:color="auto"/>
        <w:left w:val="none" w:sz="0" w:space="0" w:color="auto"/>
        <w:bottom w:val="none" w:sz="0" w:space="0" w:color="auto"/>
        <w:right w:val="none" w:sz="0" w:space="0" w:color="auto"/>
      </w:divBdr>
    </w:div>
    <w:div w:id="1042947592">
      <w:bodyDiv w:val="1"/>
      <w:marLeft w:val="0"/>
      <w:marRight w:val="0"/>
      <w:marTop w:val="0"/>
      <w:marBottom w:val="0"/>
      <w:divBdr>
        <w:top w:val="none" w:sz="0" w:space="0" w:color="auto"/>
        <w:left w:val="none" w:sz="0" w:space="0" w:color="auto"/>
        <w:bottom w:val="none" w:sz="0" w:space="0" w:color="auto"/>
        <w:right w:val="none" w:sz="0" w:space="0" w:color="auto"/>
      </w:divBdr>
    </w:div>
    <w:div w:id="1054693313">
      <w:bodyDiv w:val="1"/>
      <w:marLeft w:val="0"/>
      <w:marRight w:val="0"/>
      <w:marTop w:val="0"/>
      <w:marBottom w:val="0"/>
      <w:divBdr>
        <w:top w:val="none" w:sz="0" w:space="0" w:color="auto"/>
        <w:left w:val="none" w:sz="0" w:space="0" w:color="auto"/>
        <w:bottom w:val="none" w:sz="0" w:space="0" w:color="auto"/>
        <w:right w:val="none" w:sz="0" w:space="0" w:color="auto"/>
      </w:divBdr>
    </w:div>
    <w:div w:id="1056464411">
      <w:bodyDiv w:val="1"/>
      <w:marLeft w:val="0"/>
      <w:marRight w:val="0"/>
      <w:marTop w:val="0"/>
      <w:marBottom w:val="0"/>
      <w:divBdr>
        <w:top w:val="none" w:sz="0" w:space="0" w:color="auto"/>
        <w:left w:val="none" w:sz="0" w:space="0" w:color="auto"/>
        <w:bottom w:val="none" w:sz="0" w:space="0" w:color="auto"/>
        <w:right w:val="none" w:sz="0" w:space="0" w:color="auto"/>
      </w:divBdr>
    </w:div>
    <w:div w:id="1062173041">
      <w:bodyDiv w:val="1"/>
      <w:marLeft w:val="0"/>
      <w:marRight w:val="0"/>
      <w:marTop w:val="0"/>
      <w:marBottom w:val="0"/>
      <w:divBdr>
        <w:top w:val="none" w:sz="0" w:space="0" w:color="auto"/>
        <w:left w:val="none" w:sz="0" w:space="0" w:color="auto"/>
        <w:bottom w:val="none" w:sz="0" w:space="0" w:color="auto"/>
        <w:right w:val="none" w:sz="0" w:space="0" w:color="auto"/>
      </w:divBdr>
    </w:div>
    <w:div w:id="1085609915">
      <w:bodyDiv w:val="1"/>
      <w:marLeft w:val="0"/>
      <w:marRight w:val="0"/>
      <w:marTop w:val="0"/>
      <w:marBottom w:val="0"/>
      <w:divBdr>
        <w:top w:val="none" w:sz="0" w:space="0" w:color="auto"/>
        <w:left w:val="none" w:sz="0" w:space="0" w:color="auto"/>
        <w:bottom w:val="none" w:sz="0" w:space="0" w:color="auto"/>
        <w:right w:val="none" w:sz="0" w:space="0" w:color="auto"/>
      </w:divBdr>
    </w:div>
    <w:div w:id="1102341134">
      <w:bodyDiv w:val="1"/>
      <w:marLeft w:val="0"/>
      <w:marRight w:val="0"/>
      <w:marTop w:val="0"/>
      <w:marBottom w:val="0"/>
      <w:divBdr>
        <w:top w:val="none" w:sz="0" w:space="0" w:color="auto"/>
        <w:left w:val="none" w:sz="0" w:space="0" w:color="auto"/>
        <w:bottom w:val="none" w:sz="0" w:space="0" w:color="auto"/>
        <w:right w:val="none" w:sz="0" w:space="0" w:color="auto"/>
      </w:divBdr>
    </w:div>
    <w:div w:id="1109206017">
      <w:bodyDiv w:val="1"/>
      <w:marLeft w:val="0"/>
      <w:marRight w:val="0"/>
      <w:marTop w:val="0"/>
      <w:marBottom w:val="0"/>
      <w:divBdr>
        <w:top w:val="none" w:sz="0" w:space="0" w:color="auto"/>
        <w:left w:val="none" w:sz="0" w:space="0" w:color="auto"/>
        <w:bottom w:val="none" w:sz="0" w:space="0" w:color="auto"/>
        <w:right w:val="none" w:sz="0" w:space="0" w:color="auto"/>
      </w:divBdr>
    </w:div>
    <w:div w:id="1134255659">
      <w:bodyDiv w:val="1"/>
      <w:marLeft w:val="0"/>
      <w:marRight w:val="0"/>
      <w:marTop w:val="0"/>
      <w:marBottom w:val="0"/>
      <w:divBdr>
        <w:top w:val="none" w:sz="0" w:space="0" w:color="auto"/>
        <w:left w:val="none" w:sz="0" w:space="0" w:color="auto"/>
        <w:bottom w:val="none" w:sz="0" w:space="0" w:color="auto"/>
        <w:right w:val="none" w:sz="0" w:space="0" w:color="auto"/>
      </w:divBdr>
    </w:div>
    <w:div w:id="1146778697">
      <w:bodyDiv w:val="1"/>
      <w:marLeft w:val="0"/>
      <w:marRight w:val="0"/>
      <w:marTop w:val="0"/>
      <w:marBottom w:val="0"/>
      <w:divBdr>
        <w:top w:val="none" w:sz="0" w:space="0" w:color="auto"/>
        <w:left w:val="none" w:sz="0" w:space="0" w:color="auto"/>
        <w:bottom w:val="none" w:sz="0" w:space="0" w:color="auto"/>
        <w:right w:val="none" w:sz="0" w:space="0" w:color="auto"/>
      </w:divBdr>
    </w:div>
    <w:div w:id="1157846767">
      <w:bodyDiv w:val="1"/>
      <w:marLeft w:val="0"/>
      <w:marRight w:val="0"/>
      <w:marTop w:val="0"/>
      <w:marBottom w:val="0"/>
      <w:divBdr>
        <w:top w:val="none" w:sz="0" w:space="0" w:color="auto"/>
        <w:left w:val="none" w:sz="0" w:space="0" w:color="auto"/>
        <w:bottom w:val="none" w:sz="0" w:space="0" w:color="auto"/>
        <w:right w:val="none" w:sz="0" w:space="0" w:color="auto"/>
      </w:divBdr>
    </w:div>
    <w:div w:id="1158496223">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81434667">
      <w:bodyDiv w:val="1"/>
      <w:marLeft w:val="0"/>
      <w:marRight w:val="0"/>
      <w:marTop w:val="0"/>
      <w:marBottom w:val="0"/>
      <w:divBdr>
        <w:top w:val="none" w:sz="0" w:space="0" w:color="auto"/>
        <w:left w:val="none" w:sz="0" w:space="0" w:color="auto"/>
        <w:bottom w:val="none" w:sz="0" w:space="0" w:color="auto"/>
        <w:right w:val="none" w:sz="0" w:space="0" w:color="auto"/>
      </w:divBdr>
    </w:div>
    <w:div w:id="1191459013">
      <w:bodyDiv w:val="1"/>
      <w:marLeft w:val="0"/>
      <w:marRight w:val="0"/>
      <w:marTop w:val="0"/>
      <w:marBottom w:val="0"/>
      <w:divBdr>
        <w:top w:val="none" w:sz="0" w:space="0" w:color="auto"/>
        <w:left w:val="none" w:sz="0" w:space="0" w:color="auto"/>
        <w:bottom w:val="none" w:sz="0" w:space="0" w:color="auto"/>
        <w:right w:val="none" w:sz="0" w:space="0" w:color="auto"/>
      </w:divBdr>
    </w:div>
    <w:div w:id="1194228357">
      <w:bodyDiv w:val="1"/>
      <w:marLeft w:val="0"/>
      <w:marRight w:val="0"/>
      <w:marTop w:val="0"/>
      <w:marBottom w:val="0"/>
      <w:divBdr>
        <w:top w:val="none" w:sz="0" w:space="0" w:color="auto"/>
        <w:left w:val="none" w:sz="0" w:space="0" w:color="auto"/>
        <w:bottom w:val="none" w:sz="0" w:space="0" w:color="auto"/>
        <w:right w:val="none" w:sz="0" w:space="0" w:color="auto"/>
      </w:divBdr>
    </w:div>
    <w:div w:id="1205216433">
      <w:bodyDiv w:val="1"/>
      <w:marLeft w:val="0"/>
      <w:marRight w:val="0"/>
      <w:marTop w:val="0"/>
      <w:marBottom w:val="0"/>
      <w:divBdr>
        <w:top w:val="none" w:sz="0" w:space="0" w:color="auto"/>
        <w:left w:val="none" w:sz="0" w:space="0" w:color="auto"/>
        <w:bottom w:val="none" w:sz="0" w:space="0" w:color="auto"/>
        <w:right w:val="none" w:sz="0" w:space="0" w:color="auto"/>
      </w:divBdr>
    </w:div>
    <w:div w:id="1212307124">
      <w:bodyDiv w:val="1"/>
      <w:marLeft w:val="0"/>
      <w:marRight w:val="0"/>
      <w:marTop w:val="0"/>
      <w:marBottom w:val="0"/>
      <w:divBdr>
        <w:top w:val="none" w:sz="0" w:space="0" w:color="auto"/>
        <w:left w:val="none" w:sz="0" w:space="0" w:color="auto"/>
        <w:bottom w:val="none" w:sz="0" w:space="0" w:color="auto"/>
        <w:right w:val="none" w:sz="0" w:space="0" w:color="auto"/>
      </w:divBdr>
    </w:div>
    <w:div w:id="1214345345">
      <w:bodyDiv w:val="1"/>
      <w:marLeft w:val="0"/>
      <w:marRight w:val="0"/>
      <w:marTop w:val="0"/>
      <w:marBottom w:val="0"/>
      <w:divBdr>
        <w:top w:val="none" w:sz="0" w:space="0" w:color="auto"/>
        <w:left w:val="none" w:sz="0" w:space="0" w:color="auto"/>
        <w:bottom w:val="none" w:sz="0" w:space="0" w:color="auto"/>
        <w:right w:val="none" w:sz="0" w:space="0" w:color="auto"/>
      </w:divBdr>
    </w:div>
    <w:div w:id="1237789540">
      <w:bodyDiv w:val="1"/>
      <w:marLeft w:val="0"/>
      <w:marRight w:val="0"/>
      <w:marTop w:val="0"/>
      <w:marBottom w:val="0"/>
      <w:divBdr>
        <w:top w:val="none" w:sz="0" w:space="0" w:color="auto"/>
        <w:left w:val="none" w:sz="0" w:space="0" w:color="auto"/>
        <w:bottom w:val="none" w:sz="0" w:space="0" w:color="auto"/>
        <w:right w:val="none" w:sz="0" w:space="0" w:color="auto"/>
      </w:divBdr>
    </w:div>
    <w:div w:id="1265649866">
      <w:bodyDiv w:val="1"/>
      <w:marLeft w:val="0"/>
      <w:marRight w:val="0"/>
      <w:marTop w:val="0"/>
      <w:marBottom w:val="0"/>
      <w:divBdr>
        <w:top w:val="none" w:sz="0" w:space="0" w:color="auto"/>
        <w:left w:val="none" w:sz="0" w:space="0" w:color="auto"/>
        <w:bottom w:val="none" w:sz="0" w:space="0" w:color="auto"/>
        <w:right w:val="none" w:sz="0" w:space="0" w:color="auto"/>
      </w:divBdr>
    </w:div>
    <w:div w:id="1267420536">
      <w:bodyDiv w:val="1"/>
      <w:marLeft w:val="0"/>
      <w:marRight w:val="0"/>
      <w:marTop w:val="0"/>
      <w:marBottom w:val="0"/>
      <w:divBdr>
        <w:top w:val="none" w:sz="0" w:space="0" w:color="auto"/>
        <w:left w:val="none" w:sz="0" w:space="0" w:color="auto"/>
        <w:bottom w:val="none" w:sz="0" w:space="0" w:color="auto"/>
        <w:right w:val="none" w:sz="0" w:space="0" w:color="auto"/>
      </w:divBdr>
      <w:divsChild>
        <w:div w:id="311296208">
          <w:marLeft w:val="0"/>
          <w:marRight w:val="0"/>
          <w:marTop w:val="0"/>
          <w:marBottom w:val="0"/>
          <w:divBdr>
            <w:top w:val="none" w:sz="0" w:space="0" w:color="auto"/>
            <w:left w:val="none" w:sz="0" w:space="0" w:color="auto"/>
            <w:bottom w:val="none" w:sz="0" w:space="0" w:color="auto"/>
            <w:right w:val="none" w:sz="0" w:space="0" w:color="auto"/>
          </w:divBdr>
        </w:div>
        <w:div w:id="544875836">
          <w:marLeft w:val="0"/>
          <w:marRight w:val="0"/>
          <w:marTop w:val="0"/>
          <w:marBottom w:val="0"/>
          <w:divBdr>
            <w:top w:val="none" w:sz="0" w:space="0" w:color="auto"/>
            <w:left w:val="none" w:sz="0" w:space="0" w:color="auto"/>
            <w:bottom w:val="none" w:sz="0" w:space="0" w:color="auto"/>
            <w:right w:val="none" w:sz="0" w:space="0" w:color="auto"/>
          </w:divBdr>
        </w:div>
        <w:div w:id="679551287">
          <w:marLeft w:val="0"/>
          <w:marRight w:val="0"/>
          <w:marTop w:val="0"/>
          <w:marBottom w:val="0"/>
          <w:divBdr>
            <w:top w:val="none" w:sz="0" w:space="0" w:color="auto"/>
            <w:left w:val="none" w:sz="0" w:space="0" w:color="auto"/>
            <w:bottom w:val="none" w:sz="0" w:space="0" w:color="auto"/>
            <w:right w:val="none" w:sz="0" w:space="0" w:color="auto"/>
          </w:divBdr>
        </w:div>
        <w:div w:id="1428231712">
          <w:marLeft w:val="0"/>
          <w:marRight w:val="0"/>
          <w:marTop w:val="0"/>
          <w:marBottom w:val="0"/>
          <w:divBdr>
            <w:top w:val="none" w:sz="0" w:space="0" w:color="auto"/>
            <w:left w:val="none" w:sz="0" w:space="0" w:color="auto"/>
            <w:bottom w:val="none" w:sz="0" w:space="0" w:color="auto"/>
            <w:right w:val="none" w:sz="0" w:space="0" w:color="auto"/>
          </w:divBdr>
        </w:div>
        <w:div w:id="1533810974">
          <w:marLeft w:val="0"/>
          <w:marRight w:val="0"/>
          <w:marTop w:val="0"/>
          <w:marBottom w:val="0"/>
          <w:divBdr>
            <w:top w:val="none" w:sz="0" w:space="0" w:color="auto"/>
            <w:left w:val="none" w:sz="0" w:space="0" w:color="auto"/>
            <w:bottom w:val="none" w:sz="0" w:space="0" w:color="auto"/>
            <w:right w:val="none" w:sz="0" w:space="0" w:color="auto"/>
          </w:divBdr>
        </w:div>
        <w:div w:id="1560287870">
          <w:marLeft w:val="0"/>
          <w:marRight w:val="0"/>
          <w:marTop w:val="0"/>
          <w:marBottom w:val="0"/>
          <w:divBdr>
            <w:top w:val="none" w:sz="0" w:space="0" w:color="auto"/>
            <w:left w:val="none" w:sz="0" w:space="0" w:color="auto"/>
            <w:bottom w:val="none" w:sz="0" w:space="0" w:color="auto"/>
            <w:right w:val="none" w:sz="0" w:space="0" w:color="auto"/>
          </w:divBdr>
        </w:div>
        <w:div w:id="1859585176">
          <w:marLeft w:val="0"/>
          <w:marRight w:val="0"/>
          <w:marTop w:val="0"/>
          <w:marBottom w:val="0"/>
          <w:divBdr>
            <w:top w:val="none" w:sz="0" w:space="0" w:color="auto"/>
            <w:left w:val="none" w:sz="0" w:space="0" w:color="auto"/>
            <w:bottom w:val="none" w:sz="0" w:space="0" w:color="auto"/>
            <w:right w:val="none" w:sz="0" w:space="0" w:color="auto"/>
          </w:divBdr>
        </w:div>
      </w:divsChild>
    </w:div>
    <w:div w:id="1272589260">
      <w:bodyDiv w:val="1"/>
      <w:marLeft w:val="0"/>
      <w:marRight w:val="0"/>
      <w:marTop w:val="0"/>
      <w:marBottom w:val="0"/>
      <w:divBdr>
        <w:top w:val="none" w:sz="0" w:space="0" w:color="auto"/>
        <w:left w:val="none" w:sz="0" w:space="0" w:color="auto"/>
        <w:bottom w:val="none" w:sz="0" w:space="0" w:color="auto"/>
        <w:right w:val="none" w:sz="0" w:space="0" w:color="auto"/>
      </w:divBdr>
      <w:divsChild>
        <w:div w:id="435449352">
          <w:marLeft w:val="0"/>
          <w:marRight w:val="0"/>
          <w:marTop w:val="0"/>
          <w:marBottom w:val="0"/>
          <w:divBdr>
            <w:top w:val="none" w:sz="0" w:space="0" w:color="auto"/>
            <w:left w:val="none" w:sz="0" w:space="0" w:color="auto"/>
            <w:bottom w:val="none" w:sz="0" w:space="0" w:color="auto"/>
            <w:right w:val="none" w:sz="0" w:space="0" w:color="auto"/>
          </w:divBdr>
          <w:divsChild>
            <w:div w:id="1452362534">
              <w:marLeft w:val="0"/>
              <w:marRight w:val="0"/>
              <w:marTop w:val="0"/>
              <w:marBottom w:val="0"/>
              <w:divBdr>
                <w:top w:val="none" w:sz="0" w:space="0" w:color="auto"/>
                <w:left w:val="none" w:sz="0" w:space="0" w:color="auto"/>
                <w:bottom w:val="none" w:sz="0" w:space="0" w:color="auto"/>
                <w:right w:val="none" w:sz="0" w:space="0" w:color="auto"/>
              </w:divBdr>
              <w:divsChild>
                <w:div w:id="10571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7514">
      <w:bodyDiv w:val="1"/>
      <w:marLeft w:val="0"/>
      <w:marRight w:val="0"/>
      <w:marTop w:val="0"/>
      <w:marBottom w:val="0"/>
      <w:divBdr>
        <w:top w:val="none" w:sz="0" w:space="0" w:color="auto"/>
        <w:left w:val="none" w:sz="0" w:space="0" w:color="auto"/>
        <w:bottom w:val="none" w:sz="0" w:space="0" w:color="auto"/>
        <w:right w:val="none" w:sz="0" w:space="0" w:color="auto"/>
      </w:divBdr>
    </w:div>
    <w:div w:id="1300452959">
      <w:bodyDiv w:val="1"/>
      <w:marLeft w:val="0"/>
      <w:marRight w:val="0"/>
      <w:marTop w:val="0"/>
      <w:marBottom w:val="0"/>
      <w:divBdr>
        <w:top w:val="none" w:sz="0" w:space="0" w:color="auto"/>
        <w:left w:val="none" w:sz="0" w:space="0" w:color="auto"/>
        <w:bottom w:val="none" w:sz="0" w:space="0" w:color="auto"/>
        <w:right w:val="none" w:sz="0" w:space="0" w:color="auto"/>
      </w:divBdr>
    </w:div>
    <w:div w:id="1313950108">
      <w:bodyDiv w:val="1"/>
      <w:marLeft w:val="0"/>
      <w:marRight w:val="0"/>
      <w:marTop w:val="0"/>
      <w:marBottom w:val="0"/>
      <w:divBdr>
        <w:top w:val="none" w:sz="0" w:space="0" w:color="auto"/>
        <w:left w:val="none" w:sz="0" w:space="0" w:color="auto"/>
        <w:bottom w:val="none" w:sz="0" w:space="0" w:color="auto"/>
        <w:right w:val="none" w:sz="0" w:space="0" w:color="auto"/>
      </w:divBdr>
    </w:div>
    <w:div w:id="1325285138">
      <w:bodyDiv w:val="1"/>
      <w:marLeft w:val="0"/>
      <w:marRight w:val="0"/>
      <w:marTop w:val="0"/>
      <w:marBottom w:val="0"/>
      <w:divBdr>
        <w:top w:val="none" w:sz="0" w:space="0" w:color="auto"/>
        <w:left w:val="none" w:sz="0" w:space="0" w:color="auto"/>
        <w:bottom w:val="none" w:sz="0" w:space="0" w:color="auto"/>
        <w:right w:val="none" w:sz="0" w:space="0" w:color="auto"/>
      </w:divBdr>
    </w:div>
    <w:div w:id="1327977078">
      <w:bodyDiv w:val="1"/>
      <w:marLeft w:val="0"/>
      <w:marRight w:val="0"/>
      <w:marTop w:val="0"/>
      <w:marBottom w:val="0"/>
      <w:divBdr>
        <w:top w:val="none" w:sz="0" w:space="0" w:color="auto"/>
        <w:left w:val="none" w:sz="0" w:space="0" w:color="auto"/>
        <w:bottom w:val="none" w:sz="0" w:space="0" w:color="auto"/>
        <w:right w:val="none" w:sz="0" w:space="0" w:color="auto"/>
      </w:divBdr>
    </w:div>
    <w:div w:id="1329868681">
      <w:bodyDiv w:val="1"/>
      <w:marLeft w:val="0"/>
      <w:marRight w:val="0"/>
      <w:marTop w:val="0"/>
      <w:marBottom w:val="0"/>
      <w:divBdr>
        <w:top w:val="none" w:sz="0" w:space="0" w:color="auto"/>
        <w:left w:val="none" w:sz="0" w:space="0" w:color="auto"/>
        <w:bottom w:val="none" w:sz="0" w:space="0" w:color="auto"/>
        <w:right w:val="none" w:sz="0" w:space="0" w:color="auto"/>
      </w:divBdr>
    </w:div>
    <w:div w:id="1347100123">
      <w:bodyDiv w:val="1"/>
      <w:marLeft w:val="0"/>
      <w:marRight w:val="0"/>
      <w:marTop w:val="0"/>
      <w:marBottom w:val="0"/>
      <w:divBdr>
        <w:top w:val="none" w:sz="0" w:space="0" w:color="auto"/>
        <w:left w:val="none" w:sz="0" w:space="0" w:color="auto"/>
        <w:bottom w:val="none" w:sz="0" w:space="0" w:color="auto"/>
        <w:right w:val="none" w:sz="0" w:space="0" w:color="auto"/>
      </w:divBdr>
    </w:div>
    <w:div w:id="1365640246">
      <w:bodyDiv w:val="1"/>
      <w:marLeft w:val="0"/>
      <w:marRight w:val="0"/>
      <w:marTop w:val="0"/>
      <w:marBottom w:val="0"/>
      <w:divBdr>
        <w:top w:val="none" w:sz="0" w:space="0" w:color="auto"/>
        <w:left w:val="none" w:sz="0" w:space="0" w:color="auto"/>
        <w:bottom w:val="none" w:sz="0" w:space="0" w:color="auto"/>
        <w:right w:val="none" w:sz="0" w:space="0" w:color="auto"/>
      </w:divBdr>
    </w:div>
    <w:div w:id="1376270892">
      <w:bodyDiv w:val="1"/>
      <w:marLeft w:val="0"/>
      <w:marRight w:val="0"/>
      <w:marTop w:val="0"/>
      <w:marBottom w:val="0"/>
      <w:divBdr>
        <w:top w:val="none" w:sz="0" w:space="0" w:color="auto"/>
        <w:left w:val="none" w:sz="0" w:space="0" w:color="auto"/>
        <w:bottom w:val="none" w:sz="0" w:space="0" w:color="auto"/>
        <w:right w:val="none" w:sz="0" w:space="0" w:color="auto"/>
      </w:divBdr>
    </w:div>
    <w:div w:id="1386565468">
      <w:bodyDiv w:val="1"/>
      <w:marLeft w:val="0"/>
      <w:marRight w:val="0"/>
      <w:marTop w:val="0"/>
      <w:marBottom w:val="0"/>
      <w:divBdr>
        <w:top w:val="none" w:sz="0" w:space="0" w:color="auto"/>
        <w:left w:val="none" w:sz="0" w:space="0" w:color="auto"/>
        <w:bottom w:val="none" w:sz="0" w:space="0" w:color="auto"/>
        <w:right w:val="none" w:sz="0" w:space="0" w:color="auto"/>
      </w:divBdr>
      <w:divsChild>
        <w:div w:id="16473737">
          <w:marLeft w:val="374"/>
          <w:marRight w:val="0"/>
          <w:marTop w:val="40"/>
          <w:marBottom w:val="120"/>
          <w:divBdr>
            <w:top w:val="none" w:sz="0" w:space="0" w:color="auto"/>
            <w:left w:val="none" w:sz="0" w:space="0" w:color="auto"/>
            <w:bottom w:val="none" w:sz="0" w:space="0" w:color="auto"/>
            <w:right w:val="none" w:sz="0" w:space="0" w:color="auto"/>
          </w:divBdr>
        </w:div>
        <w:div w:id="875384646">
          <w:marLeft w:val="374"/>
          <w:marRight w:val="0"/>
          <w:marTop w:val="40"/>
          <w:marBottom w:val="120"/>
          <w:divBdr>
            <w:top w:val="none" w:sz="0" w:space="0" w:color="auto"/>
            <w:left w:val="none" w:sz="0" w:space="0" w:color="auto"/>
            <w:bottom w:val="none" w:sz="0" w:space="0" w:color="auto"/>
            <w:right w:val="none" w:sz="0" w:space="0" w:color="auto"/>
          </w:divBdr>
        </w:div>
        <w:div w:id="885947410">
          <w:marLeft w:val="374"/>
          <w:marRight w:val="0"/>
          <w:marTop w:val="40"/>
          <w:marBottom w:val="120"/>
          <w:divBdr>
            <w:top w:val="none" w:sz="0" w:space="0" w:color="auto"/>
            <w:left w:val="none" w:sz="0" w:space="0" w:color="auto"/>
            <w:bottom w:val="none" w:sz="0" w:space="0" w:color="auto"/>
            <w:right w:val="none" w:sz="0" w:space="0" w:color="auto"/>
          </w:divBdr>
        </w:div>
        <w:div w:id="1032223203">
          <w:marLeft w:val="374"/>
          <w:marRight w:val="0"/>
          <w:marTop w:val="40"/>
          <w:marBottom w:val="120"/>
          <w:divBdr>
            <w:top w:val="none" w:sz="0" w:space="0" w:color="auto"/>
            <w:left w:val="none" w:sz="0" w:space="0" w:color="auto"/>
            <w:bottom w:val="none" w:sz="0" w:space="0" w:color="auto"/>
            <w:right w:val="none" w:sz="0" w:space="0" w:color="auto"/>
          </w:divBdr>
        </w:div>
        <w:div w:id="1183737364">
          <w:marLeft w:val="374"/>
          <w:marRight w:val="0"/>
          <w:marTop w:val="40"/>
          <w:marBottom w:val="120"/>
          <w:divBdr>
            <w:top w:val="none" w:sz="0" w:space="0" w:color="auto"/>
            <w:left w:val="none" w:sz="0" w:space="0" w:color="auto"/>
            <w:bottom w:val="none" w:sz="0" w:space="0" w:color="auto"/>
            <w:right w:val="none" w:sz="0" w:space="0" w:color="auto"/>
          </w:divBdr>
        </w:div>
        <w:div w:id="1269195931">
          <w:marLeft w:val="374"/>
          <w:marRight w:val="0"/>
          <w:marTop w:val="40"/>
          <w:marBottom w:val="120"/>
          <w:divBdr>
            <w:top w:val="none" w:sz="0" w:space="0" w:color="auto"/>
            <w:left w:val="none" w:sz="0" w:space="0" w:color="auto"/>
            <w:bottom w:val="none" w:sz="0" w:space="0" w:color="auto"/>
            <w:right w:val="none" w:sz="0" w:space="0" w:color="auto"/>
          </w:divBdr>
        </w:div>
        <w:div w:id="1419905510">
          <w:marLeft w:val="374"/>
          <w:marRight w:val="0"/>
          <w:marTop w:val="40"/>
          <w:marBottom w:val="120"/>
          <w:divBdr>
            <w:top w:val="none" w:sz="0" w:space="0" w:color="auto"/>
            <w:left w:val="none" w:sz="0" w:space="0" w:color="auto"/>
            <w:bottom w:val="none" w:sz="0" w:space="0" w:color="auto"/>
            <w:right w:val="none" w:sz="0" w:space="0" w:color="auto"/>
          </w:divBdr>
        </w:div>
        <w:div w:id="1947813031">
          <w:marLeft w:val="374"/>
          <w:marRight w:val="0"/>
          <w:marTop w:val="40"/>
          <w:marBottom w:val="120"/>
          <w:divBdr>
            <w:top w:val="none" w:sz="0" w:space="0" w:color="auto"/>
            <w:left w:val="none" w:sz="0" w:space="0" w:color="auto"/>
            <w:bottom w:val="none" w:sz="0" w:space="0" w:color="auto"/>
            <w:right w:val="none" w:sz="0" w:space="0" w:color="auto"/>
          </w:divBdr>
        </w:div>
      </w:divsChild>
    </w:div>
    <w:div w:id="1404450522">
      <w:bodyDiv w:val="1"/>
      <w:marLeft w:val="0"/>
      <w:marRight w:val="0"/>
      <w:marTop w:val="0"/>
      <w:marBottom w:val="0"/>
      <w:divBdr>
        <w:top w:val="none" w:sz="0" w:space="0" w:color="auto"/>
        <w:left w:val="none" w:sz="0" w:space="0" w:color="auto"/>
        <w:bottom w:val="none" w:sz="0" w:space="0" w:color="auto"/>
        <w:right w:val="none" w:sz="0" w:space="0" w:color="auto"/>
      </w:divBdr>
    </w:div>
    <w:div w:id="1405689842">
      <w:bodyDiv w:val="1"/>
      <w:marLeft w:val="0"/>
      <w:marRight w:val="0"/>
      <w:marTop w:val="0"/>
      <w:marBottom w:val="0"/>
      <w:divBdr>
        <w:top w:val="none" w:sz="0" w:space="0" w:color="auto"/>
        <w:left w:val="none" w:sz="0" w:space="0" w:color="auto"/>
        <w:bottom w:val="none" w:sz="0" w:space="0" w:color="auto"/>
        <w:right w:val="none" w:sz="0" w:space="0" w:color="auto"/>
      </w:divBdr>
    </w:div>
    <w:div w:id="1406487763">
      <w:bodyDiv w:val="1"/>
      <w:marLeft w:val="0"/>
      <w:marRight w:val="0"/>
      <w:marTop w:val="0"/>
      <w:marBottom w:val="0"/>
      <w:divBdr>
        <w:top w:val="none" w:sz="0" w:space="0" w:color="auto"/>
        <w:left w:val="none" w:sz="0" w:space="0" w:color="auto"/>
        <w:bottom w:val="none" w:sz="0" w:space="0" w:color="auto"/>
        <w:right w:val="none" w:sz="0" w:space="0" w:color="auto"/>
      </w:divBdr>
    </w:div>
    <w:div w:id="1445224767">
      <w:bodyDiv w:val="1"/>
      <w:marLeft w:val="0"/>
      <w:marRight w:val="0"/>
      <w:marTop w:val="0"/>
      <w:marBottom w:val="0"/>
      <w:divBdr>
        <w:top w:val="none" w:sz="0" w:space="0" w:color="auto"/>
        <w:left w:val="none" w:sz="0" w:space="0" w:color="auto"/>
        <w:bottom w:val="none" w:sz="0" w:space="0" w:color="auto"/>
        <w:right w:val="none" w:sz="0" w:space="0" w:color="auto"/>
      </w:divBdr>
    </w:div>
    <w:div w:id="1458379448">
      <w:bodyDiv w:val="1"/>
      <w:marLeft w:val="0"/>
      <w:marRight w:val="0"/>
      <w:marTop w:val="0"/>
      <w:marBottom w:val="0"/>
      <w:divBdr>
        <w:top w:val="none" w:sz="0" w:space="0" w:color="auto"/>
        <w:left w:val="none" w:sz="0" w:space="0" w:color="auto"/>
        <w:bottom w:val="none" w:sz="0" w:space="0" w:color="auto"/>
        <w:right w:val="none" w:sz="0" w:space="0" w:color="auto"/>
      </w:divBdr>
    </w:div>
    <w:div w:id="1458720427">
      <w:bodyDiv w:val="1"/>
      <w:marLeft w:val="0"/>
      <w:marRight w:val="0"/>
      <w:marTop w:val="0"/>
      <w:marBottom w:val="0"/>
      <w:divBdr>
        <w:top w:val="none" w:sz="0" w:space="0" w:color="auto"/>
        <w:left w:val="none" w:sz="0" w:space="0" w:color="auto"/>
        <w:bottom w:val="none" w:sz="0" w:space="0" w:color="auto"/>
        <w:right w:val="none" w:sz="0" w:space="0" w:color="auto"/>
      </w:divBdr>
    </w:div>
    <w:div w:id="1463187796">
      <w:bodyDiv w:val="1"/>
      <w:marLeft w:val="0"/>
      <w:marRight w:val="0"/>
      <w:marTop w:val="0"/>
      <w:marBottom w:val="0"/>
      <w:divBdr>
        <w:top w:val="none" w:sz="0" w:space="0" w:color="auto"/>
        <w:left w:val="none" w:sz="0" w:space="0" w:color="auto"/>
        <w:bottom w:val="none" w:sz="0" w:space="0" w:color="auto"/>
        <w:right w:val="none" w:sz="0" w:space="0" w:color="auto"/>
      </w:divBdr>
    </w:div>
    <w:div w:id="1464040856">
      <w:bodyDiv w:val="1"/>
      <w:marLeft w:val="0"/>
      <w:marRight w:val="0"/>
      <w:marTop w:val="0"/>
      <w:marBottom w:val="0"/>
      <w:divBdr>
        <w:top w:val="none" w:sz="0" w:space="0" w:color="auto"/>
        <w:left w:val="none" w:sz="0" w:space="0" w:color="auto"/>
        <w:bottom w:val="none" w:sz="0" w:space="0" w:color="auto"/>
        <w:right w:val="none" w:sz="0" w:space="0" w:color="auto"/>
      </w:divBdr>
    </w:div>
    <w:div w:id="1473253066">
      <w:bodyDiv w:val="1"/>
      <w:marLeft w:val="0"/>
      <w:marRight w:val="0"/>
      <w:marTop w:val="0"/>
      <w:marBottom w:val="0"/>
      <w:divBdr>
        <w:top w:val="none" w:sz="0" w:space="0" w:color="auto"/>
        <w:left w:val="none" w:sz="0" w:space="0" w:color="auto"/>
        <w:bottom w:val="none" w:sz="0" w:space="0" w:color="auto"/>
        <w:right w:val="none" w:sz="0" w:space="0" w:color="auto"/>
      </w:divBdr>
    </w:div>
    <w:div w:id="1473719603">
      <w:bodyDiv w:val="1"/>
      <w:marLeft w:val="0"/>
      <w:marRight w:val="0"/>
      <w:marTop w:val="0"/>
      <w:marBottom w:val="0"/>
      <w:divBdr>
        <w:top w:val="none" w:sz="0" w:space="0" w:color="auto"/>
        <w:left w:val="none" w:sz="0" w:space="0" w:color="auto"/>
        <w:bottom w:val="none" w:sz="0" w:space="0" w:color="auto"/>
        <w:right w:val="none" w:sz="0" w:space="0" w:color="auto"/>
      </w:divBdr>
      <w:divsChild>
        <w:div w:id="545991882">
          <w:marLeft w:val="0"/>
          <w:marRight w:val="0"/>
          <w:marTop w:val="0"/>
          <w:marBottom w:val="0"/>
          <w:divBdr>
            <w:top w:val="none" w:sz="0" w:space="0" w:color="auto"/>
            <w:left w:val="none" w:sz="0" w:space="0" w:color="auto"/>
            <w:bottom w:val="none" w:sz="0" w:space="0" w:color="auto"/>
            <w:right w:val="none" w:sz="0" w:space="0" w:color="auto"/>
          </w:divBdr>
          <w:divsChild>
            <w:div w:id="288556173">
              <w:marLeft w:val="60"/>
              <w:marRight w:val="0"/>
              <w:marTop w:val="0"/>
              <w:marBottom w:val="0"/>
              <w:divBdr>
                <w:top w:val="none" w:sz="0" w:space="0" w:color="auto"/>
                <w:left w:val="none" w:sz="0" w:space="0" w:color="auto"/>
                <w:bottom w:val="none" w:sz="0" w:space="0" w:color="auto"/>
                <w:right w:val="none" w:sz="0" w:space="0" w:color="auto"/>
              </w:divBdr>
              <w:divsChild>
                <w:div w:id="834803027">
                  <w:marLeft w:val="0"/>
                  <w:marRight w:val="0"/>
                  <w:marTop w:val="0"/>
                  <w:marBottom w:val="0"/>
                  <w:divBdr>
                    <w:top w:val="none" w:sz="0" w:space="0" w:color="auto"/>
                    <w:left w:val="none" w:sz="0" w:space="0" w:color="auto"/>
                    <w:bottom w:val="none" w:sz="0" w:space="0" w:color="auto"/>
                    <w:right w:val="none" w:sz="0" w:space="0" w:color="auto"/>
                  </w:divBdr>
                  <w:divsChild>
                    <w:div w:id="1832063569">
                      <w:marLeft w:val="0"/>
                      <w:marRight w:val="0"/>
                      <w:marTop w:val="0"/>
                      <w:marBottom w:val="120"/>
                      <w:divBdr>
                        <w:top w:val="single" w:sz="6" w:space="0" w:color="F5F5F5"/>
                        <w:left w:val="single" w:sz="6" w:space="0" w:color="F5F5F5"/>
                        <w:bottom w:val="single" w:sz="6" w:space="0" w:color="F5F5F5"/>
                        <w:right w:val="single" w:sz="6" w:space="0" w:color="F5F5F5"/>
                      </w:divBdr>
                      <w:divsChild>
                        <w:div w:id="412119237">
                          <w:marLeft w:val="0"/>
                          <w:marRight w:val="0"/>
                          <w:marTop w:val="0"/>
                          <w:marBottom w:val="0"/>
                          <w:divBdr>
                            <w:top w:val="none" w:sz="0" w:space="0" w:color="auto"/>
                            <w:left w:val="none" w:sz="0" w:space="0" w:color="auto"/>
                            <w:bottom w:val="none" w:sz="0" w:space="0" w:color="auto"/>
                            <w:right w:val="none" w:sz="0" w:space="0" w:color="auto"/>
                          </w:divBdr>
                          <w:divsChild>
                            <w:div w:id="12646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8134">
      <w:bodyDiv w:val="1"/>
      <w:marLeft w:val="0"/>
      <w:marRight w:val="0"/>
      <w:marTop w:val="0"/>
      <w:marBottom w:val="0"/>
      <w:divBdr>
        <w:top w:val="none" w:sz="0" w:space="0" w:color="auto"/>
        <w:left w:val="none" w:sz="0" w:space="0" w:color="auto"/>
        <w:bottom w:val="none" w:sz="0" w:space="0" w:color="auto"/>
        <w:right w:val="none" w:sz="0" w:space="0" w:color="auto"/>
      </w:divBdr>
    </w:div>
    <w:div w:id="1486625771">
      <w:bodyDiv w:val="1"/>
      <w:marLeft w:val="0"/>
      <w:marRight w:val="0"/>
      <w:marTop w:val="0"/>
      <w:marBottom w:val="0"/>
      <w:divBdr>
        <w:top w:val="none" w:sz="0" w:space="0" w:color="auto"/>
        <w:left w:val="none" w:sz="0" w:space="0" w:color="auto"/>
        <w:bottom w:val="none" w:sz="0" w:space="0" w:color="auto"/>
        <w:right w:val="none" w:sz="0" w:space="0" w:color="auto"/>
      </w:divBdr>
    </w:div>
    <w:div w:id="1496142460">
      <w:bodyDiv w:val="1"/>
      <w:marLeft w:val="0"/>
      <w:marRight w:val="0"/>
      <w:marTop w:val="0"/>
      <w:marBottom w:val="0"/>
      <w:divBdr>
        <w:top w:val="none" w:sz="0" w:space="0" w:color="auto"/>
        <w:left w:val="none" w:sz="0" w:space="0" w:color="auto"/>
        <w:bottom w:val="none" w:sz="0" w:space="0" w:color="auto"/>
        <w:right w:val="none" w:sz="0" w:space="0" w:color="auto"/>
      </w:divBdr>
    </w:div>
    <w:div w:id="1523667996">
      <w:bodyDiv w:val="1"/>
      <w:marLeft w:val="0"/>
      <w:marRight w:val="0"/>
      <w:marTop w:val="0"/>
      <w:marBottom w:val="0"/>
      <w:divBdr>
        <w:top w:val="none" w:sz="0" w:space="0" w:color="auto"/>
        <w:left w:val="none" w:sz="0" w:space="0" w:color="auto"/>
        <w:bottom w:val="none" w:sz="0" w:space="0" w:color="auto"/>
        <w:right w:val="none" w:sz="0" w:space="0" w:color="auto"/>
      </w:divBdr>
    </w:div>
    <w:div w:id="1537698351">
      <w:bodyDiv w:val="1"/>
      <w:marLeft w:val="0"/>
      <w:marRight w:val="0"/>
      <w:marTop w:val="0"/>
      <w:marBottom w:val="0"/>
      <w:divBdr>
        <w:top w:val="none" w:sz="0" w:space="0" w:color="auto"/>
        <w:left w:val="none" w:sz="0" w:space="0" w:color="auto"/>
        <w:bottom w:val="none" w:sz="0" w:space="0" w:color="auto"/>
        <w:right w:val="none" w:sz="0" w:space="0" w:color="auto"/>
      </w:divBdr>
    </w:div>
    <w:div w:id="1542786033">
      <w:bodyDiv w:val="1"/>
      <w:marLeft w:val="0"/>
      <w:marRight w:val="0"/>
      <w:marTop w:val="0"/>
      <w:marBottom w:val="0"/>
      <w:divBdr>
        <w:top w:val="none" w:sz="0" w:space="0" w:color="auto"/>
        <w:left w:val="none" w:sz="0" w:space="0" w:color="auto"/>
        <w:bottom w:val="none" w:sz="0" w:space="0" w:color="auto"/>
        <w:right w:val="none" w:sz="0" w:space="0" w:color="auto"/>
      </w:divBdr>
    </w:div>
    <w:div w:id="1549761914">
      <w:bodyDiv w:val="1"/>
      <w:marLeft w:val="0"/>
      <w:marRight w:val="0"/>
      <w:marTop w:val="0"/>
      <w:marBottom w:val="0"/>
      <w:divBdr>
        <w:top w:val="none" w:sz="0" w:space="0" w:color="auto"/>
        <w:left w:val="none" w:sz="0" w:space="0" w:color="auto"/>
        <w:bottom w:val="none" w:sz="0" w:space="0" w:color="auto"/>
        <w:right w:val="none" w:sz="0" w:space="0" w:color="auto"/>
      </w:divBdr>
    </w:div>
    <w:div w:id="1564095476">
      <w:bodyDiv w:val="1"/>
      <w:marLeft w:val="0"/>
      <w:marRight w:val="0"/>
      <w:marTop w:val="0"/>
      <w:marBottom w:val="0"/>
      <w:divBdr>
        <w:top w:val="none" w:sz="0" w:space="0" w:color="auto"/>
        <w:left w:val="none" w:sz="0" w:space="0" w:color="auto"/>
        <w:bottom w:val="none" w:sz="0" w:space="0" w:color="auto"/>
        <w:right w:val="none" w:sz="0" w:space="0" w:color="auto"/>
      </w:divBdr>
    </w:div>
    <w:div w:id="1583103482">
      <w:bodyDiv w:val="1"/>
      <w:marLeft w:val="0"/>
      <w:marRight w:val="0"/>
      <w:marTop w:val="0"/>
      <w:marBottom w:val="0"/>
      <w:divBdr>
        <w:top w:val="none" w:sz="0" w:space="0" w:color="auto"/>
        <w:left w:val="none" w:sz="0" w:space="0" w:color="auto"/>
        <w:bottom w:val="none" w:sz="0" w:space="0" w:color="auto"/>
        <w:right w:val="none" w:sz="0" w:space="0" w:color="auto"/>
      </w:divBdr>
    </w:div>
    <w:div w:id="1583368809">
      <w:bodyDiv w:val="1"/>
      <w:marLeft w:val="0"/>
      <w:marRight w:val="0"/>
      <w:marTop w:val="0"/>
      <w:marBottom w:val="0"/>
      <w:divBdr>
        <w:top w:val="none" w:sz="0" w:space="0" w:color="auto"/>
        <w:left w:val="none" w:sz="0" w:space="0" w:color="auto"/>
        <w:bottom w:val="none" w:sz="0" w:space="0" w:color="auto"/>
        <w:right w:val="none" w:sz="0" w:space="0" w:color="auto"/>
      </w:divBdr>
    </w:div>
    <w:div w:id="1585919738">
      <w:bodyDiv w:val="1"/>
      <w:marLeft w:val="0"/>
      <w:marRight w:val="0"/>
      <w:marTop w:val="0"/>
      <w:marBottom w:val="0"/>
      <w:divBdr>
        <w:top w:val="none" w:sz="0" w:space="0" w:color="auto"/>
        <w:left w:val="none" w:sz="0" w:space="0" w:color="auto"/>
        <w:bottom w:val="none" w:sz="0" w:space="0" w:color="auto"/>
        <w:right w:val="none" w:sz="0" w:space="0" w:color="auto"/>
      </w:divBdr>
    </w:div>
    <w:div w:id="1585993496">
      <w:bodyDiv w:val="1"/>
      <w:marLeft w:val="0"/>
      <w:marRight w:val="0"/>
      <w:marTop w:val="0"/>
      <w:marBottom w:val="0"/>
      <w:divBdr>
        <w:top w:val="none" w:sz="0" w:space="0" w:color="auto"/>
        <w:left w:val="none" w:sz="0" w:space="0" w:color="auto"/>
        <w:bottom w:val="none" w:sz="0" w:space="0" w:color="auto"/>
        <w:right w:val="none" w:sz="0" w:space="0" w:color="auto"/>
      </w:divBdr>
    </w:div>
    <w:div w:id="1605267601">
      <w:bodyDiv w:val="1"/>
      <w:marLeft w:val="0"/>
      <w:marRight w:val="0"/>
      <w:marTop w:val="0"/>
      <w:marBottom w:val="0"/>
      <w:divBdr>
        <w:top w:val="none" w:sz="0" w:space="0" w:color="auto"/>
        <w:left w:val="none" w:sz="0" w:space="0" w:color="auto"/>
        <w:bottom w:val="none" w:sz="0" w:space="0" w:color="auto"/>
        <w:right w:val="none" w:sz="0" w:space="0" w:color="auto"/>
      </w:divBdr>
    </w:div>
    <w:div w:id="1619950019">
      <w:bodyDiv w:val="1"/>
      <w:marLeft w:val="0"/>
      <w:marRight w:val="0"/>
      <w:marTop w:val="0"/>
      <w:marBottom w:val="0"/>
      <w:divBdr>
        <w:top w:val="none" w:sz="0" w:space="0" w:color="auto"/>
        <w:left w:val="none" w:sz="0" w:space="0" w:color="auto"/>
        <w:bottom w:val="none" w:sz="0" w:space="0" w:color="auto"/>
        <w:right w:val="none" w:sz="0" w:space="0" w:color="auto"/>
      </w:divBdr>
    </w:div>
    <w:div w:id="1623027644">
      <w:bodyDiv w:val="1"/>
      <w:marLeft w:val="0"/>
      <w:marRight w:val="0"/>
      <w:marTop w:val="0"/>
      <w:marBottom w:val="0"/>
      <w:divBdr>
        <w:top w:val="none" w:sz="0" w:space="0" w:color="auto"/>
        <w:left w:val="none" w:sz="0" w:space="0" w:color="auto"/>
        <w:bottom w:val="none" w:sz="0" w:space="0" w:color="auto"/>
        <w:right w:val="none" w:sz="0" w:space="0" w:color="auto"/>
      </w:divBdr>
    </w:div>
    <w:div w:id="1628124203">
      <w:bodyDiv w:val="1"/>
      <w:marLeft w:val="0"/>
      <w:marRight w:val="0"/>
      <w:marTop w:val="0"/>
      <w:marBottom w:val="0"/>
      <w:divBdr>
        <w:top w:val="none" w:sz="0" w:space="0" w:color="auto"/>
        <w:left w:val="none" w:sz="0" w:space="0" w:color="auto"/>
        <w:bottom w:val="none" w:sz="0" w:space="0" w:color="auto"/>
        <w:right w:val="none" w:sz="0" w:space="0" w:color="auto"/>
      </w:divBdr>
    </w:div>
    <w:div w:id="1630699033">
      <w:bodyDiv w:val="1"/>
      <w:marLeft w:val="0"/>
      <w:marRight w:val="0"/>
      <w:marTop w:val="0"/>
      <w:marBottom w:val="0"/>
      <w:divBdr>
        <w:top w:val="none" w:sz="0" w:space="0" w:color="auto"/>
        <w:left w:val="none" w:sz="0" w:space="0" w:color="auto"/>
        <w:bottom w:val="none" w:sz="0" w:space="0" w:color="auto"/>
        <w:right w:val="none" w:sz="0" w:space="0" w:color="auto"/>
      </w:divBdr>
    </w:div>
    <w:div w:id="1645425157">
      <w:bodyDiv w:val="1"/>
      <w:marLeft w:val="0"/>
      <w:marRight w:val="0"/>
      <w:marTop w:val="0"/>
      <w:marBottom w:val="0"/>
      <w:divBdr>
        <w:top w:val="none" w:sz="0" w:space="0" w:color="auto"/>
        <w:left w:val="none" w:sz="0" w:space="0" w:color="auto"/>
        <w:bottom w:val="none" w:sz="0" w:space="0" w:color="auto"/>
        <w:right w:val="none" w:sz="0" w:space="0" w:color="auto"/>
      </w:divBdr>
    </w:div>
    <w:div w:id="1661153736">
      <w:bodyDiv w:val="1"/>
      <w:marLeft w:val="0"/>
      <w:marRight w:val="0"/>
      <w:marTop w:val="0"/>
      <w:marBottom w:val="0"/>
      <w:divBdr>
        <w:top w:val="none" w:sz="0" w:space="0" w:color="auto"/>
        <w:left w:val="none" w:sz="0" w:space="0" w:color="auto"/>
        <w:bottom w:val="none" w:sz="0" w:space="0" w:color="auto"/>
        <w:right w:val="none" w:sz="0" w:space="0" w:color="auto"/>
      </w:divBdr>
    </w:div>
    <w:div w:id="1670058875">
      <w:bodyDiv w:val="1"/>
      <w:marLeft w:val="0"/>
      <w:marRight w:val="0"/>
      <w:marTop w:val="0"/>
      <w:marBottom w:val="0"/>
      <w:divBdr>
        <w:top w:val="none" w:sz="0" w:space="0" w:color="auto"/>
        <w:left w:val="none" w:sz="0" w:space="0" w:color="auto"/>
        <w:bottom w:val="none" w:sz="0" w:space="0" w:color="auto"/>
        <w:right w:val="none" w:sz="0" w:space="0" w:color="auto"/>
      </w:divBdr>
    </w:div>
    <w:div w:id="1678313874">
      <w:bodyDiv w:val="1"/>
      <w:marLeft w:val="0"/>
      <w:marRight w:val="0"/>
      <w:marTop w:val="0"/>
      <w:marBottom w:val="0"/>
      <w:divBdr>
        <w:top w:val="none" w:sz="0" w:space="0" w:color="auto"/>
        <w:left w:val="none" w:sz="0" w:space="0" w:color="auto"/>
        <w:bottom w:val="none" w:sz="0" w:space="0" w:color="auto"/>
        <w:right w:val="none" w:sz="0" w:space="0" w:color="auto"/>
      </w:divBdr>
    </w:div>
    <w:div w:id="1685399349">
      <w:bodyDiv w:val="1"/>
      <w:marLeft w:val="0"/>
      <w:marRight w:val="0"/>
      <w:marTop w:val="0"/>
      <w:marBottom w:val="0"/>
      <w:divBdr>
        <w:top w:val="none" w:sz="0" w:space="0" w:color="auto"/>
        <w:left w:val="none" w:sz="0" w:space="0" w:color="auto"/>
        <w:bottom w:val="none" w:sz="0" w:space="0" w:color="auto"/>
        <w:right w:val="none" w:sz="0" w:space="0" w:color="auto"/>
      </w:divBdr>
    </w:div>
    <w:div w:id="1697464232">
      <w:bodyDiv w:val="1"/>
      <w:marLeft w:val="0"/>
      <w:marRight w:val="0"/>
      <w:marTop w:val="0"/>
      <w:marBottom w:val="0"/>
      <w:divBdr>
        <w:top w:val="none" w:sz="0" w:space="0" w:color="auto"/>
        <w:left w:val="none" w:sz="0" w:space="0" w:color="auto"/>
        <w:bottom w:val="none" w:sz="0" w:space="0" w:color="auto"/>
        <w:right w:val="none" w:sz="0" w:space="0" w:color="auto"/>
      </w:divBdr>
    </w:div>
    <w:div w:id="1698507302">
      <w:bodyDiv w:val="1"/>
      <w:marLeft w:val="0"/>
      <w:marRight w:val="0"/>
      <w:marTop w:val="0"/>
      <w:marBottom w:val="0"/>
      <w:divBdr>
        <w:top w:val="none" w:sz="0" w:space="0" w:color="auto"/>
        <w:left w:val="none" w:sz="0" w:space="0" w:color="auto"/>
        <w:bottom w:val="none" w:sz="0" w:space="0" w:color="auto"/>
        <w:right w:val="none" w:sz="0" w:space="0" w:color="auto"/>
      </w:divBdr>
    </w:div>
    <w:div w:id="1705255044">
      <w:bodyDiv w:val="1"/>
      <w:marLeft w:val="0"/>
      <w:marRight w:val="0"/>
      <w:marTop w:val="0"/>
      <w:marBottom w:val="0"/>
      <w:divBdr>
        <w:top w:val="none" w:sz="0" w:space="0" w:color="auto"/>
        <w:left w:val="none" w:sz="0" w:space="0" w:color="auto"/>
        <w:bottom w:val="none" w:sz="0" w:space="0" w:color="auto"/>
        <w:right w:val="none" w:sz="0" w:space="0" w:color="auto"/>
      </w:divBdr>
    </w:div>
    <w:div w:id="1706830295">
      <w:bodyDiv w:val="1"/>
      <w:marLeft w:val="0"/>
      <w:marRight w:val="0"/>
      <w:marTop w:val="0"/>
      <w:marBottom w:val="0"/>
      <w:divBdr>
        <w:top w:val="none" w:sz="0" w:space="0" w:color="auto"/>
        <w:left w:val="none" w:sz="0" w:space="0" w:color="auto"/>
        <w:bottom w:val="none" w:sz="0" w:space="0" w:color="auto"/>
        <w:right w:val="none" w:sz="0" w:space="0" w:color="auto"/>
      </w:divBdr>
    </w:div>
    <w:div w:id="1709258018">
      <w:bodyDiv w:val="1"/>
      <w:marLeft w:val="0"/>
      <w:marRight w:val="0"/>
      <w:marTop w:val="0"/>
      <w:marBottom w:val="0"/>
      <w:divBdr>
        <w:top w:val="none" w:sz="0" w:space="0" w:color="auto"/>
        <w:left w:val="none" w:sz="0" w:space="0" w:color="auto"/>
        <w:bottom w:val="none" w:sz="0" w:space="0" w:color="auto"/>
        <w:right w:val="none" w:sz="0" w:space="0" w:color="auto"/>
      </w:divBdr>
    </w:div>
    <w:div w:id="1713925177">
      <w:bodyDiv w:val="1"/>
      <w:marLeft w:val="0"/>
      <w:marRight w:val="0"/>
      <w:marTop w:val="0"/>
      <w:marBottom w:val="0"/>
      <w:divBdr>
        <w:top w:val="none" w:sz="0" w:space="0" w:color="auto"/>
        <w:left w:val="none" w:sz="0" w:space="0" w:color="auto"/>
        <w:bottom w:val="none" w:sz="0" w:space="0" w:color="auto"/>
        <w:right w:val="none" w:sz="0" w:space="0" w:color="auto"/>
      </w:divBdr>
    </w:div>
    <w:div w:id="1719013675">
      <w:bodyDiv w:val="1"/>
      <w:marLeft w:val="0"/>
      <w:marRight w:val="0"/>
      <w:marTop w:val="0"/>
      <w:marBottom w:val="0"/>
      <w:divBdr>
        <w:top w:val="none" w:sz="0" w:space="0" w:color="auto"/>
        <w:left w:val="none" w:sz="0" w:space="0" w:color="auto"/>
        <w:bottom w:val="none" w:sz="0" w:space="0" w:color="auto"/>
        <w:right w:val="none" w:sz="0" w:space="0" w:color="auto"/>
      </w:divBdr>
    </w:div>
    <w:div w:id="1740320512">
      <w:bodyDiv w:val="1"/>
      <w:marLeft w:val="0"/>
      <w:marRight w:val="0"/>
      <w:marTop w:val="0"/>
      <w:marBottom w:val="0"/>
      <w:divBdr>
        <w:top w:val="none" w:sz="0" w:space="0" w:color="auto"/>
        <w:left w:val="none" w:sz="0" w:space="0" w:color="auto"/>
        <w:bottom w:val="none" w:sz="0" w:space="0" w:color="auto"/>
        <w:right w:val="none" w:sz="0" w:space="0" w:color="auto"/>
      </w:divBdr>
    </w:div>
    <w:div w:id="1743333681">
      <w:bodyDiv w:val="1"/>
      <w:marLeft w:val="0"/>
      <w:marRight w:val="0"/>
      <w:marTop w:val="0"/>
      <w:marBottom w:val="0"/>
      <w:divBdr>
        <w:top w:val="none" w:sz="0" w:space="0" w:color="auto"/>
        <w:left w:val="none" w:sz="0" w:space="0" w:color="auto"/>
        <w:bottom w:val="none" w:sz="0" w:space="0" w:color="auto"/>
        <w:right w:val="none" w:sz="0" w:space="0" w:color="auto"/>
      </w:divBdr>
    </w:div>
    <w:div w:id="1746296400">
      <w:bodyDiv w:val="1"/>
      <w:marLeft w:val="0"/>
      <w:marRight w:val="0"/>
      <w:marTop w:val="0"/>
      <w:marBottom w:val="0"/>
      <w:divBdr>
        <w:top w:val="none" w:sz="0" w:space="0" w:color="auto"/>
        <w:left w:val="none" w:sz="0" w:space="0" w:color="auto"/>
        <w:bottom w:val="none" w:sz="0" w:space="0" w:color="auto"/>
        <w:right w:val="none" w:sz="0" w:space="0" w:color="auto"/>
      </w:divBdr>
    </w:div>
    <w:div w:id="1767841927">
      <w:bodyDiv w:val="1"/>
      <w:marLeft w:val="0"/>
      <w:marRight w:val="0"/>
      <w:marTop w:val="0"/>
      <w:marBottom w:val="0"/>
      <w:divBdr>
        <w:top w:val="none" w:sz="0" w:space="0" w:color="auto"/>
        <w:left w:val="none" w:sz="0" w:space="0" w:color="auto"/>
        <w:bottom w:val="none" w:sz="0" w:space="0" w:color="auto"/>
        <w:right w:val="none" w:sz="0" w:space="0" w:color="auto"/>
      </w:divBdr>
    </w:div>
    <w:div w:id="1775321759">
      <w:bodyDiv w:val="1"/>
      <w:marLeft w:val="0"/>
      <w:marRight w:val="0"/>
      <w:marTop w:val="0"/>
      <w:marBottom w:val="0"/>
      <w:divBdr>
        <w:top w:val="none" w:sz="0" w:space="0" w:color="auto"/>
        <w:left w:val="none" w:sz="0" w:space="0" w:color="auto"/>
        <w:bottom w:val="none" w:sz="0" w:space="0" w:color="auto"/>
        <w:right w:val="none" w:sz="0" w:space="0" w:color="auto"/>
      </w:divBdr>
    </w:div>
    <w:div w:id="1782799926">
      <w:bodyDiv w:val="1"/>
      <w:marLeft w:val="0"/>
      <w:marRight w:val="0"/>
      <w:marTop w:val="0"/>
      <w:marBottom w:val="0"/>
      <w:divBdr>
        <w:top w:val="none" w:sz="0" w:space="0" w:color="auto"/>
        <w:left w:val="none" w:sz="0" w:space="0" w:color="auto"/>
        <w:bottom w:val="none" w:sz="0" w:space="0" w:color="auto"/>
        <w:right w:val="none" w:sz="0" w:space="0" w:color="auto"/>
      </w:divBdr>
    </w:div>
    <w:div w:id="1788623597">
      <w:bodyDiv w:val="1"/>
      <w:marLeft w:val="0"/>
      <w:marRight w:val="0"/>
      <w:marTop w:val="0"/>
      <w:marBottom w:val="0"/>
      <w:divBdr>
        <w:top w:val="none" w:sz="0" w:space="0" w:color="auto"/>
        <w:left w:val="none" w:sz="0" w:space="0" w:color="auto"/>
        <w:bottom w:val="none" w:sz="0" w:space="0" w:color="auto"/>
        <w:right w:val="none" w:sz="0" w:space="0" w:color="auto"/>
      </w:divBdr>
    </w:div>
    <w:div w:id="1812206158">
      <w:bodyDiv w:val="1"/>
      <w:marLeft w:val="0"/>
      <w:marRight w:val="0"/>
      <w:marTop w:val="0"/>
      <w:marBottom w:val="0"/>
      <w:divBdr>
        <w:top w:val="none" w:sz="0" w:space="0" w:color="auto"/>
        <w:left w:val="none" w:sz="0" w:space="0" w:color="auto"/>
        <w:bottom w:val="none" w:sz="0" w:space="0" w:color="auto"/>
        <w:right w:val="none" w:sz="0" w:space="0" w:color="auto"/>
      </w:divBdr>
    </w:div>
    <w:div w:id="1833567741">
      <w:bodyDiv w:val="1"/>
      <w:marLeft w:val="0"/>
      <w:marRight w:val="0"/>
      <w:marTop w:val="0"/>
      <w:marBottom w:val="0"/>
      <w:divBdr>
        <w:top w:val="none" w:sz="0" w:space="0" w:color="auto"/>
        <w:left w:val="none" w:sz="0" w:space="0" w:color="auto"/>
        <w:bottom w:val="none" w:sz="0" w:space="0" w:color="auto"/>
        <w:right w:val="none" w:sz="0" w:space="0" w:color="auto"/>
      </w:divBdr>
    </w:div>
    <w:div w:id="1843928711">
      <w:bodyDiv w:val="1"/>
      <w:marLeft w:val="0"/>
      <w:marRight w:val="0"/>
      <w:marTop w:val="0"/>
      <w:marBottom w:val="0"/>
      <w:divBdr>
        <w:top w:val="none" w:sz="0" w:space="0" w:color="auto"/>
        <w:left w:val="none" w:sz="0" w:space="0" w:color="auto"/>
        <w:bottom w:val="none" w:sz="0" w:space="0" w:color="auto"/>
        <w:right w:val="none" w:sz="0" w:space="0" w:color="auto"/>
      </w:divBdr>
    </w:div>
    <w:div w:id="1886520100">
      <w:bodyDiv w:val="1"/>
      <w:marLeft w:val="0"/>
      <w:marRight w:val="0"/>
      <w:marTop w:val="0"/>
      <w:marBottom w:val="0"/>
      <w:divBdr>
        <w:top w:val="none" w:sz="0" w:space="0" w:color="auto"/>
        <w:left w:val="none" w:sz="0" w:space="0" w:color="auto"/>
        <w:bottom w:val="none" w:sz="0" w:space="0" w:color="auto"/>
        <w:right w:val="none" w:sz="0" w:space="0" w:color="auto"/>
      </w:divBdr>
    </w:div>
    <w:div w:id="1890801303">
      <w:bodyDiv w:val="1"/>
      <w:marLeft w:val="0"/>
      <w:marRight w:val="0"/>
      <w:marTop w:val="0"/>
      <w:marBottom w:val="0"/>
      <w:divBdr>
        <w:top w:val="none" w:sz="0" w:space="0" w:color="auto"/>
        <w:left w:val="none" w:sz="0" w:space="0" w:color="auto"/>
        <w:bottom w:val="none" w:sz="0" w:space="0" w:color="auto"/>
        <w:right w:val="none" w:sz="0" w:space="0" w:color="auto"/>
      </w:divBdr>
    </w:div>
    <w:div w:id="1907034814">
      <w:bodyDiv w:val="1"/>
      <w:marLeft w:val="0"/>
      <w:marRight w:val="0"/>
      <w:marTop w:val="0"/>
      <w:marBottom w:val="0"/>
      <w:divBdr>
        <w:top w:val="none" w:sz="0" w:space="0" w:color="auto"/>
        <w:left w:val="none" w:sz="0" w:space="0" w:color="auto"/>
        <w:bottom w:val="none" w:sz="0" w:space="0" w:color="auto"/>
        <w:right w:val="none" w:sz="0" w:space="0" w:color="auto"/>
      </w:divBdr>
      <w:divsChild>
        <w:div w:id="138282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3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 w:id="1911891160">
      <w:bodyDiv w:val="1"/>
      <w:marLeft w:val="0"/>
      <w:marRight w:val="0"/>
      <w:marTop w:val="0"/>
      <w:marBottom w:val="0"/>
      <w:divBdr>
        <w:top w:val="none" w:sz="0" w:space="0" w:color="auto"/>
        <w:left w:val="none" w:sz="0" w:space="0" w:color="auto"/>
        <w:bottom w:val="none" w:sz="0" w:space="0" w:color="auto"/>
        <w:right w:val="none" w:sz="0" w:space="0" w:color="auto"/>
      </w:divBdr>
    </w:div>
    <w:div w:id="1918978671">
      <w:bodyDiv w:val="1"/>
      <w:marLeft w:val="0"/>
      <w:marRight w:val="0"/>
      <w:marTop w:val="0"/>
      <w:marBottom w:val="0"/>
      <w:divBdr>
        <w:top w:val="none" w:sz="0" w:space="0" w:color="auto"/>
        <w:left w:val="none" w:sz="0" w:space="0" w:color="auto"/>
        <w:bottom w:val="none" w:sz="0" w:space="0" w:color="auto"/>
        <w:right w:val="none" w:sz="0" w:space="0" w:color="auto"/>
      </w:divBdr>
    </w:div>
    <w:div w:id="1922256139">
      <w:bodyDiv w:val="1"/>
      <w:marLeft w:val="0"/>
      <w:marRight w:val="0"/>
      <w:marTop w:val="0"/>
      <w:marBottom w:val="0"/>
      <w:divBdr>
        <w:top w:val="none" w:sz="0" w:space="0" w:color="auto"/>
        <w:left w:val="none" w:sz="0" w:space="0" w:color="auto"/>
        <w:bottom w:val="none" w:sz="0" w:space="0" w:color="auto"/>
        <w:right w:val="none" w:sz="0" w:space="0" w:color="auto"/>
      </w:divBdr>
    </w:div>
    <w:div w:id="1928153161">
      <w:bodyDiv w:val="1"/>
      <w:marLeft w:val="0"/>
      <w:marRight w:val="0"/>
      <w:marTop w:val="0"/>
      <w:marBottom w:val="0"/>
      <w:divBdr>
        <w:top w:val="none" w:sz="0" w:space="0" w:color="auto"/>
        <w:left w:val="none" w:sz="0" w:space="0" w:color="auto"/>
        <w:bottom w:val="none" w:sz="0" w:space="0" w:color="auto"/>
        <w:right w:val="none" w:sz="0" w:space="0" w:color="auto"/>
      </w:divBdr>
    </w:div>
    <w:div w:id="1935240433">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1955820446">
      <w:bodyDiv w:val="1"/>
      <w:marLeft w:val="0"/>
      <w:marRight w:val="0"/>
      <w:marTop w:val="0"/>
      <w:marBottom w:val="0"/>
      <w:divBdr>
        <w:top w:val="none" w:sz="0" w:space="0" w:color="auto"/>
        <w:left w:val="none" w:sz="0" w:space="0" w:color="auto"/>
        <w:bottom w:val="none" w:sz="0" w:space="0" w:color="auto"/>
        <w:right w:val="none" w:sz="0" w:space="0" w:color="auto"/>
      </w:divBdr>
    </w:div>
    <w:div w:id="1959137042">
      <w:bodyDiv w:val="1"/>
      <w:marLeft w:val="0"/>
      <w:marRight w:val="0"/>
      <w:marTop w:val="0"/>
      <w:marBottom w:val="0"/>
      <w:divBdr>
        <w:top w:val="none" w:sz="0" w:space="0" w:color="auto"/>
        <w:left w:val="none" w:sz="0" w:space="0" w:color="auto"/>
        <w:bottom w:val="none" w:sz="0" w:space="0" w:color="auto"/>
        <w:right w:val="none" w:sz="0" w:space="0" w:color="auto"/>
      </w:divBdr>
    </w:div>
    <w:div w:id="1962572692">
      <w:bodyDiv w:val="1"/>
      <w:marLeft w:val="0"/>
      <w:marRight w:val="0"/>
      <w:marTop w:val="0"/>
      <w:marBottom w:val="0"/>
      <w:divBdr>
        <w:top w:val="none" w:sz="0" w:space="0" w:color="auto"/>
        <w:left w:val="none" w:sz="0" w:space="0" w:color="auto"/>
        <w:bottom w:val="none" w:sz="0" w:space="0" w:color="auto"/>
        <w:right w:val="none" w:sz="0" w:space="0" w:color="auto"/>
      </w:divBdr>
    </w:div>
    <w:div w:id="1985503303">
      <w:bodyDiv w:val="1"/>
      <w:marLeft w:val="0"/>
      <w:marRight w:val="0"/>
      <w:marTop w:val="0"/>
      <w:marBottom w:val="0"/>
      <w:divBdr>
        <w:top w:val="none" w:sz="0" w:space="0" w:color="auto"/>
        <w:left w:val="none" w:sz="0" w:space="0" w:color="auto"/>
        <w:bottom w:val="none" w:sz="0" w:space="0" w:color="auto"/>
        <w:right w:val="none" w:sz="0" w:space="0" w:color="auto"/>
      </w:divBdr>
    </w:div>
    <w:div w:id="2000696787">
      <w:bodyDiv w:val="1"/>
      <w:marLeft w:val="0"/>
      <w:marRight w:val="0"/>
      <w:marTop w:val="0"/>
      <w:marBottom w:val="0"/>
      <w:divBdr>
        <w:top w:val="none" w:sz="0" w:space="0" w:color="auto"/>
        <w:left w:val="none" w:sz="0" w:space="0" w:color="auto"/>
        <w:bottom w:val="none" w:sz="0" w:space="0" w:color="auto"/>
        <w:right w:val="none" w:sz="0" w:space="0" w:color="auto"/>
      </w:divBdr>
    </w:div>
    <w:div w:id="2004501075">
      <w:bodyDiv w:val="1"/>
      <w:marLeft w:val="0"/>
      <w:marRight w:val="0"/>
      <w:marTop w:val="0"/>
      <w:marBottom w:val="0"/>
      <w:divBdr>
        <w:top w:val="none" w:sz="0" w:space="0" w:color="auto"/>
        <w:left w:val="none" w:sz="0" w:space="0" w:color="auto"/>
        <w:bottom w:val="none" w:sz="0" w:space="0" w:color="auto"/>
        <w:right w:val="none" w:sz="0" w:space="0" w:color="auto"/>
      </w:divBdr>
    </w:div>
    <w:div w:id="2005816515">
      <w:bodyDiv w:val="1"/>
      <w:marLeft w:val="0"/>
      <w:marRight w:val="0"/>
      <w:marTop w:val="0"/>
      <w:marBottom w:val="0"/>
      <w:divBdr>
        <w:top w:val="none" w:sz="0" w:space="0" w:color="auto"/>
        <w:left w:val="none" w:sz="0" w:space="0" w:color="auto"/>
        <w:bottom w:val="none" w:sz="0" w:space="0" w:color="auto"/>
        <w:right w:val="none" w:sz="0" w:space="0" w:color="auto"/>
      </w:divBdr>
    </w:div>
    <w:div w:id="2012830292">
      <w:bodyDiv w:val="1"/>
      <w:marLeft w:val="0"/>
      <w:marRight w:val="0"/>
      <w:marTop w:val="0"/>
      <w:marBottom w:val="0"/>
      <w:divBdr>
        <w:top w:val="none" w:sz="0" w:space="0" w:color="auto"/>
        <w:left w:val="none" w:sz="0" w:space="0" w:color="auto"/>
        <w:bottom w:val="none" w:sz="0" w:space="0" w:color="auto"/>
        <w:right w:val="none" w:sz="0" w:space="0" w:color="auto"/>
      </w:divBdr>
    </w:div>
    <w:div w:id="2024091188">
      <w:bodyDiv w:val="1"/>
      <w:marLeft w:val="0"/>
      <w:marRight w:val="0"/>
      <w:marTop w:val="0"/>
      <w:marBottom w:val="0"/>
      <w:divBdr>
        <w:top w:val="none" w:sz="0" w:space="0" w:color="auto"/>
        <w:left w:val="none" w:sz="0" w:space="0" w:color="auto"/>
        <w:bottom w:val="none" w:sz="0" w:space="0" w:color="auto"/>
        <w:right w:val="none" w:sz="0" w:space="0" w:color="auto"/>
      </w:divBdr>
    </w:div>
    <w:div w:id="2026243151">
      <w:bodyDiv w:val="1"/>
      <w:marLeft w:val="0"/>
      <w:marRight w:val="0"/>
      <w:marTop w:val="0"/>
      <w:marBottom w:val="0"/>
      <w:divBdr>
        <w:top w:val="none" w:sz="0" w:space="0" w:color="auto"/>
        <w:left w:val="none" w:sz="0" w:space="0" w:color="auto"/>
        <w:bottom w:val="none" w:sz="0" w:space="0" w:color="auto"/>
        <w:right w:val="none" w:sz="0" w:space="0" w:color="auto"/>
      </w:divBdr>
    </w:div>
    <w:div w:id="2028023585">
      <w:bodyDiv w:val="1"/>
      <w:marLeft w:val="0"/>
      <w:marRight w:val="0"/>
      <w:marTop w:val="0"/>
      <w:marBottom w:val="0"/>
      <w:divBdr>
        <w:top w:val="none" w:sz="0" w:space="0" w:color="auto"/>
        <w:left w:val="none" w:sz="0" w:space="0" w:color="auto"/>
        <w:bottom w:val="none" w:sz="0" w:space="0" w:color="auto"/>
        <w:right w:val="none" w:sz="0" w:space="0" w:color="auto"/>
      </w:divBdr>
    </w:div>
    <w:div w:id="2028213932">
      <w:bodyDiv w:val="1"/>
      <w:marLeft w:val="0"/>
      <w:marRight w:val="0"/>
      <w:marTop w:val="0"/>
      <w:marBottom w:val="0"/>
      <w:divBdr>
        <w:top w:val="none" w:sz="0" w:space="0" w:color="auto"/>
        <w:left w:val="none" w:sz="0" w:space="0" w:color="auto"/>
        <w:bottom w:val="none" w:sz="0" w:space="0" w:color="auto"/>
        <w:right w:val="none" w:sz="0" w:space="0" w:color="auto"/>
      </w:divBdr>
    </w:div>
    <w:div w:id="2044742792">
      <w:bodyDiv w:val="1"/>
      <w:marLeft w:val="0"/>
      <w:marRight w:val="0"/>
      <w:marTop w:val="0"/>
      <w:marBottom w:val="0"/>
      <w:divBdr>
        <w:top w:val="none" w:sz="0" w:space="0" w:color="auto"/>
        <w:left w:val="none" w:sz="0" w:space="0" w:color="auto"/>
        <w:bottom w:val="none" w:sz="0" w:space="0" w:color="auto"/>
        <w:right w:val="none" w:sz="0" w:space="0" w:color="auto"/>
      </w:divBdr>
    </w:div>
    <w:div w:id="2047366044">
      <w:bodyDiv w:val="1"/>
      <w:marLeft w:val="0"/>
      <w:marRight w:val="0"/>
      <w:marTop w:val="0"/>
      <w:marBottom w:val="0"/>
      <w:divBdr>
        <w:top w:val="none" w:sz="0" w:space="0" w:color="auto"/>
        <w:left w:val="none" w:sz="0" w:space="0" w:color="auto"/>
        <w:bottom w:val="none" w:sz="0" w:space="0" w:color="auto"/>
        <w:right w:val="none" w:sz="0" w:space="0" w:color="auto"/>
      </w:divBdr>
    </w:div>
    <w:div w:id="2048526672">
      <w:bodyDiv w:val="1"/>
      <w:marLeft w:val="0"/>
      <w:marRight w:val="0"/>
      <w:marTop w:val="0"/>
      <w:marBottom w:val="0"/>
      <w:divBdr>
        <w:top w:val="none" w:sz="0" w:space="0" w:color="auto"/>
        <w:left w:val="none" w:sz="0" w:space="0" w:color="auto"/>
        <w:bottom w:val="none" w:sz="0" w:space="0" w:color="auto"/>
        <w:right w:val="none" w:sz="0" w:space="0" w:color="auto"/>
      </w:divBdr>
    </w:div>
    <w:div w:id="2050254975">
      <w:bodyDiv w:val="1"/>
      <w:marLeft w:val="0"/>
      <w:marRight w:val="0"/>
      <w:marTop w:val="0"/>
      <w:marBottom w:val="0"/>
      <w:divBdr>
        <w:top w:val="none" w:sz="0" w:space="0" w:color="auto"/>
        <w:left w:val="none" w:sz="0" w:space="0" w:color="auto"/>
        <w:bottom w:val="none" w:sz="0" w:space="0" w:color="auto"/>
        <w:right w:val="none" w:sz="0" w:space="0" w:color="auto"/>
      </w:divBdr>
    </w:div>
    <w:div w:id="2080903351">
      <w:bodyDiv w:val="1"/>
      <w:marLeft w:val="0"/>
      <w:marRight w:val="0"/>
      <w:marTop w:val="0"/>
      <w:marBottom w:val="0"/>
      <w:divBdr>
        <w:top w:val="none" w:sz="0" w:space="0" w:color="auto"/>
        <w:left w:val="none" w:sz="0" w:space="0" w:color="auto"/>
        <w:bottom w:val="none" w:sz="0" w:space="0" w:color="auto"/>
        <w:right w:val="none" w:sz="0" w:space="0" w:color="auto"/>
      </w:divBdr>
    </w:div>
    <w:div w:id="2089378298">
      <w:bodyDiv w:val="1"/>
      <w:marLeft w:val="0"/>
      <w:marRight w:val="0"/>
      <w:marTop w:val="0"/>
      <w:marBottom w:val="0"/>
      <w:divBdr>
        <w:top w:val="none" w:sz="0" w:space="0" w:color="auto"/>
        <w:left w:val="none" w:sz="0" w:space="0" w:color="auto"/>
        <w:bottom w:val="none" w:sz="0" w:space="0" w:color="auto"/>
        <w:right w:val="none" w:sz="0" w:space="0" w:color="auto"/>
      </w:divBdr>
    </w:div>
    <w:div w:id="2094164548">
      <w:bodyDiv w:val="1"/>
      <w:marLeft w:val="0"/>
      <w:marRight w:val="0"/>
      <w:marTop w:val="0"/>
      <w:marBottom w:val="0"/>
      <w:divBdr>
        <w:top w:val="none" w:sz="0" w:space="0" w:color="auto"/>
        <w:left w:val="none" w:sz="0" w:space="0" w:color="auto"/>
        <w:bottom w:val="none" w:sz="0" w:space="0" w:color="auto"/>
        <w:right w:val="none" w:sz="0" w:space="0" w:color="auto"/>
      </w:divBdr>
    </w:div>
    <w:div w:id="2103067677">
      <w:bodyDiv w:val="1"/>
      <w:marLeft w:val="0"/>
      <w:marRight w:val="0"/>
      <w:marTop w:val="0"/>
      <w:marBottom w:val="0"/>
      <w:divBdr>
        <w:top w:val="none" w:sz="0" w:space="0" w:color="auto"/>
        <w:left w:val="none" w:sz="0" w:space="0" w:color="auto"/>
        <w:bottom w:val="none" w:sz="0" w:space="0" w:color="auto"/>
        <w:right w:val="none" w:sz="0" w:space="0" w:color="auto"/>
      </w:divBdr>
    </w:div>
    <w:div w:id="2103182762">
      <w:bodyDiv w:val="1"/>
      <w:marLeft w:val="0"/>
      <w:marRight w:val="0"/>
      <w:marTop w:val="0"/>
      <w:marBottom w:val="0"/>
      <w:divBdr>
        <w:top w:val="none" w:sz="0" w:space="0" w:color="auto"/>
        <w:left w:val="none" w:sz="0" w:space="0" w:color="auto"/>
        <w:bottom w:val="none" w:sz="0" w:space="0" w:color="auto"/>
        <w:right w:val="none" w:sz="0" w:space="0" w:color="auto"/>
      </w:divBdr>
      <w:divsChild>
        <w:div w:id="364865029">
          <w:marLeft w:val="374"/>
          <w:marRight w:val="0"/>
          <w:marTop w:val="0"/>
          <w:marBottom w:val="60"/>
          <w:divBdr>
            <w:top w:val="none" w:sz="0" w:space="0" w:color="auto"/>
            <w:left w:val="none" w:sz="0" w:space="0" w:color="auto"/>
            <w:bottom w:val="none" w:sz="0" w:space="0" w:color="auto"/>
            <w:right w:val="none" w:sz="0" w:space="0" w:color="auto"/>
          </w:divBdr>
        </w:div>
        <w:div w:id="1281112688">
          <w:marLeft w:val="374"/>
          <w:marRight w:val="0"/>
          <w:marTop w:val="0"/>
          <w:marBottom w:val="60"/>
          <w:divBdr>
            <w:top w:val="none" w:sz="0" w:space="0" w:color="auto"/>
            <w:left w:val="none" w:sz="0" w:space="0" w:color="auto"/>
            <w:bottom w:val="none" w:sz="0" w:space="0" w:color="auto"/>
            <w:right w:val="none" w:sz="0" w:space="0" w:color="auto"/>
          </w:divBdr>
        </w:div>
        <w:div w:id="1393962748">
          <w:marLeft w:val="374"/>
          <w:marRight w:val="0"/>
          <w:marTop w:val="0"/>
          <w:marBottom w:val="60"/>
          <w:divBdr>
            <w:top w:val="none" w:sz="0" w:space="0" w:color="auto"/>
            <w:left w:val="none" w:sz="0" w:space="0" w:color="auto"/>
            <w:bottom w:val="none" w:sz="0" w:space="0" w:color="auto"/>
            <w:right w:val="none" w:sz="0" w:space="0" w:color="auto"/>
          </w:divBdr>
        </w:div>
        <w:div w:id="1472868784">
          <w:marLeft w:val="374"/>
          <w:marRight w:val="0"/>
          <w:marTop w:val="0"/>
          <w:marBottom w:val="60"/>
          <w:divBdr>
            <w:top w:val="none" w:sz="0" w:space="0" w:color="auto"/>
            <w:left w:val="none" w:sz="0" w:space="0" w:color="auto"/>
            <w:bottom w:val="none" w:sz="0" w:space="0" w:color="auto"/>
            <w:right w:val="none" w:sz="0" w:space="0" w:color="auto"/>
          </w:divBdr>
        </w:div>
        <w:div w:id="1668165503">
          <w:marLeft w:val="374"/>
          <w:marRight w:val="0"/>
          <w:marTop w:val="0"/>
          <w:marBottom w:val="60"/>
          <w:divBdr>
            <w:top w:val="none" w:sz="0" w:space="0" w:color="auto"/>
            <w:left w:val="none" w:sz="0" w:space="0" w:color="auto"/>
            <w:bottom w:val="none" w:sz="0" w:space="0" w:color="auto"/>
            <w:right w:val="none" w:sz="0" w:space="0" w:color="auto"/>
          </w:divBdr>
        </w:div>
        <w:div w:id="2070152313">
          <w:marLeft w:val="374"/>
          <w:marRight w:val="0"/>
          <w:marTop w:val="0"/>
          <w:marBottom w:val="60"/>
          <w:divBdr>
            <w:top w:val="none" w:sz="0" w:space="0" w:color="auto"/>
            <w:left w:val="none" w:sz="0" w:space="0" w:color="auto"/>
            <w:bottom w:val="none" w:sz="0" w:space="0" w:color="auto"/>
            <w:right w:val="none" w:sz="0" w:space="0" w:color="auto"/>
          </w:divBdr>
        </w:div>
        <w:div w:id="2130313778">
          <w:marLeft w:val="374"/>
          <w:marRight w:val="0"/>
          <w:marTop w:val="0"/>
          <w:marBottom w:val="60"/>
          <w:divBdr>
            <w:top w:val="none" w:sz="0" w:space="0" w:color="auto"/>
            <w:left w:val="none" w:sz="0" w:space="0" w:color="auto"/>
            <w:bottom w:val="none" w:sz="0" w:space="0" w:color="auto"/>
            <w:right w:val="none" w:sz="0" w:space="0" w:color="auto"/>
          </w:divBdr>
        </w:div>
      </w:divsChild>
    </w:div>
    <w:div w:id="2112697498">
      <w:bodyDiv w:val="1"/>
      <w:marLeft w:val="0"/>
      <w:marRight w:val="0"/>
      <w:marTop w:val="0"/>
      <w:marBottom w:val="0"/>
      <w:divBdr>
        <w:top w:val="none" w:sz="0" w:space="0" w:color="auto"/>
        <w:left w:val="none" w:sz="0" w:space="0" w:color="auto"/>
        <w:bottom w:val="none" w:sz="0" w:space="0" w:color="auto"/>
        <w:right w:val="none" w:sz="0" w:space="0" w:color="auto"/>
      </w:divBdr>
    </w:div>
    <w:div w:id="2116827708">
      <w:bodyDiv w:val="1"/>
      <w:marLeft w:val="0"/>
      <w:marRight w:val="0"/>
      <w:marTop w:val="0"/>
      <w:marBottom w:val="0"/>
      <w:divBdr>
        <w:top w:val="none" w:sz="0" w:space="0" w:color="auto"/>
        <w:left w:val="none" w:sz="0" w:space="0" w:color="auto"/>
        <w:bottom w:val="none" w:sz="0" w:space="0" w:color="auto"/>
        <w:right w:val="none" w:sz="0" w:space="0" w:color="auto"/>
      </w:divBdr>
    </w:div>
    <w:div w:id="2117283351">
      <w:bodyDiv w:val="1"/>
      <w:marLeft w:val="0"/>
      <w:marRight w:val="0"/>
      <w:marTop w:val="0"/>
      <w:marBottom w:val="0"/>
      <w:divBdr>
        <w:top w:val="none" w:sz="0" w:space="0" w:color="auto"/>
        <w:left w:val="none" w:sz="0" w:space="0" w:color="auto"/>
        <w:bottom w:val="none" w:sz="0" w:space="0" w:color="auto"/>
        <w:right w:val="none" w:sz="0" w:space="0" w:color="auto"/>
      </w:divBdr>
    </w:div>
    <w:div w:id="2123726067">
      <w:bodyDiv w:val="1"/>
      <w:marLeft w:val="0"/>
      <w:marRight w:val="0"/>
      <w:marTop w:val="0"/>
      <w:marBottom w:val="0"/>
      <w:divBdr>
        <w:top w:val="none" w:sz="0" w:space="0" w:color="auto"/>
        <w:left w:val="none" w:sz="0" w:space="0" w:color="auto"/>
        <w:bottom w:val="none" w:sz="0" w:space="0" w:color="auto"/>
        <w:right w:val="none" w:sz="0" w:space="0" w:color="auto"/>
      </w:divBdr>
    </w:div>
    <w:div w:id="2123836490">
      <w:bodyDiv w:val="1"/>
      <w:marLeft w:val="0"/>
      <w:marRight w:val="0"/>
      <w:marTop w:val="0"/>
      <w:marBottom w:val="0"/>
      <w:divBdr>
        <w:top w:val="none" w:sz="0" w:space="0" w:color="auto"/>
        <w:left w:val="none" w:sz="0" w:space="0" w:color="auto"/>
        <w:bottom w:val="none" w:sz="0" w:space="0" w:color="auto"/>
        <w:right w:val="none" w:sz="0" w:space="0" w:color="auto"/>
      </w:divBdr>
    </w:div>
    <w:div w:id="2126804102">
      <w:bodyDiv w:val="1"/>
      <w:marLeft w:val="0"/>
      <w:marRight w:val="0"/>
      <w:marTop w:val="0"/>
      <w:marBottom w:val="0"/>
      <w:divBdr>
        <w:top w:val="none" w:sz="0" w:space="0" w:color="auto"/>
        <w:left w:val="none" w:sz="0" w:space="0" w:color="auto"/>
        <w:bottom w:val="none" w:sz="0" w:space="0" w:color="auto"/>
        <w:right w:val="none" w:sz="0" w:space="0" w:color="auto"/>
      </w:divBdr>
    </w:div>
    <w:div w:id="2131165645">
      <w:bodyDiv w:val="1"/>
      <w:marLeft w:val="0"/>
      <w:marRight w:val="0"/>
      <w:marTop w:val="0"/>
      <w:marBottom w:val="0"/>
      <w:divBdr>
        <w:top w:val="none" w:sz="0" w:space="0" w:color="auto"/>
        <w:left w:val="none" w:sz="0" w:space="0" w:color="auto"/>
        <w:bottom w:val="none" w:sz="0" w:space="0" w:color="auto"/>
        <w:right w:val="none" w:sz="0" w:space="0" w:color="auto"/>
      </w:divBdr>
      <w:divsChild>
        <w:div w:id="18949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6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891735">
      <w:bodyDiv w:val="1"/>
      <w:marLeft w:val="0"/>
      <w:marRight w:val="0"/>
      <w:marTop w:val="0"/>
      <w:marBottom w:val="0"/>
      <w:divBdr>
        <w:top w:val="none" w:sz="0" w:space="0" w:color="auto"/>
        <w:left w:val="none" w:sz="0" w:space="0" w:color="auto"/>
        <w:bottom w:val="none" w:sz="0" w:space="0" w:color="auto"/>
        <w:right w:val="none" w:sz="0" w:space="0" w:color="auto"/>
      </w:divBdr>
    </w:div>
    <w:div w:id="2143422250">
      <w:bodyDiv w:val="1"/>
      <w:marLeft w:val="0"/>
      <w:marRight w:val="0"/>
      <w:marTop w:val="0"/>
      <w:marBottom w:val="0"/>
      <w:divBdr>
        <w:top w:val="none" w:sz="0" w:space="0" w:color="auto"/>
        <w:left w:val="none" w:sz="0" w:space="0" w:color="auto"/>
        <w:bottom w:val="none" w:sz="0" w:space="0" w:color="auto"/>
        <w:right w:val="none" w:sz="0" w:space="0" w:color="auto"/>
      </w:divBdr>
    </w:div>
    <w:div w:id="2146654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ir@phosagro.ru" TargetMode="External"/><Relationship Id="rId28"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1" ma:contentTypeDescription="Create a new document." ma:contentTypeScope="" ma:versionID="09b4ec854fb18ebb187bcb265fc733bc">
  <xsd:schema xmlns:xsd="http://www.w3.org/2001/XMLSchema" xmlns:xs="http://www.w3.org/2001/XMLSchema" xmlns:p="http://schemas.microsoft.com/office/2006/metadata/properties" xmlns:ns2="52c25619-dce8-4858-8ca8-4517a0de4051" targetNamespace="http://schemas.microsoft.com/office/2006/metadata/properties" ma:root="true" ma:fieldsID="985f489fed21282f91b55fbab3ae18ec" ns2:_="">
    <xsd:import namespace="52c25619-dce8-4858-8ca8-4517a0de4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CD4FA-822E-4E2D-AC19-3E190A7BEF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c25619-dce8-4858-8ca8-4517a0de4051"/>
    <ds:schemaRef ds:uri="http://www.w3.org/XML/1998/namespace"/>
    <ds:schemaRef ds:uri="http://purl.org/dc/dcmitype/"/>
  </ds:schemaRefs>
</ds:datastoreItem>
</file>

<file path=customXml/itemProps10.xml><?xml version="1.0" encoding="utf-8"?>
<ds:datastoreItem xmlns:ds="http://schemas.openxmlformats.org/officeDocument/2006/customXml" ds:itemID="{3C82BF99-1673-4FB3-A380-B3CFA6A0C1BC}">
  <ds:schemaRefs>
    <ds:schemaRef ds:uri="http://schemas.openxmlformats.org/officeDocument/2006/bibliography"/>
  </ds:schemaRefs>
</ds:datastoreItem>
</file>

<file path=customXml/itemProps11.xml><?xml version="1.0" encoding="utf-8"?>
<ds:datastoreItem xmlns:ds="http://schemas.openxmlformats.org/officeDocument/2006/customXml" ds:itemID="{6B9D0E27-A39B-4800-B3C4-D717B76C7603}">
  <ds:schemaRefs>
    <ds:schemaRef ds:uri="http://schemas.openxmlformats.org/officeDocument/2006/bibliography"/>
  </ds:schemaRefs>
</ds:datastoreItem>
</file>

<file path=customXml/itemProps12.xml><?xml version="1.0" encoding="utf-8"?>
<ds:datastoreItem xmlns:ds="http://schemas.openxmlformats.org/officeDocument/2006/customXml" ds:itemID="{B8B6E62A-30E8-4889-9901-64063FA891EF}">
  <ds:schemaRefs>
    <ds:schemaRef ds:uri="http://schemas.openxmlformats.org/officeDocument/2006/bibliography"/>
  </ds:schemaRefs>
</ds:datastoreItem>
</file>

<file path=customXml/itemProps13.xml><?xml version="1.0" encoding="utf-8"?>
<ds:datastoreItem xmlns:ds="http://schemas.openxmlformats.org/officeDocument/2006/customXml" ds:itemID="{05998CF0-14B5-4578-97EB-753CEC5B6F19}">
  <ds:schemaRefs>
    <ds:schemaRef ds:uri="http://schemas.microsoft.com/sharepoint/v3/contenttype/forms"/>
  </ds:schemaRefs>
</ds:datastoreItem>
</file>

<file path=customXml/itemProps14.xml><?xml version="1.0" encoding="utf-8"?>
<ds:datastoreItem xmlns:ds="http://schemas.openxmlformats.org/officeDocument/2006/customXml" ds:itemID="{0AA389DB-7E77-4E6A-AC33-D9AC2433E0D9}">
  <ds:schemaRefs>
    <ds:schemaRef ds:uri="http://schemas.openxmlformats.org/officeDocument/2006/bibliography"/>
  </ds:schemaRefs>
</ds:datastoreItem>
</file>

<file path=customXml/itemProps15.xml><?xml version="1.0" encoding="utf-8"?>
<ds:datastoreItem xmlns:ds="http://schemas.openxmlformats.org/officeDocument/2006/customXml" ds:itemID="{D3B5708E-674F-4F49-878F-CC5C5CBD74EC}">
  <ds:schemaRefs>
    <ds:schemaRef ds:uri="http://schemas.openxmlformats.org/officeDocument/2006/bibliography"/>
  </ds:schemaRefs>
</ds:datastoreItem>
</file>

<file path=customXml/itemProps2.xml><?xml version="1.0" encoding="utf-8"?>
<ds:datastoreItem xmlns:ds="http://schemas.openxmlformats.org/officeDocument/2006/customXml" ds:itemID="{AAC79D0A-82AF-4C51-8D58-F9E40D66A3AE}">
  <ds:schemaRefs>
    <ds:schemaRef ds:uri="http://schemas.openxmlformats.org/officeDocument/2006/bibliography"/>
  </ds:schemaRefs>
</ds:datastoreItem>
</file>

<file path=customXml/itemProps3.xml><?xml version="1.0" encoding="utf-8"?>
<ds:datastoreItem xmlns:ds="http://schemas.openxmlformats.org/officeDocument/2006/customXml" ds:itemID="{653D7DE4-5ABF-47B1-8633-80E35CF9EFE7}">
  <ds:schemaRefs>
    <ds:schemaRef ds:uri="http://schemas.openxmlformats.org/officeDocument/2006/bibliography"/>
  </ds:schemaRefs>
</ds:datastoreItem>
</file>

<file path=customXml/itemProps4.xml><?xml version="1.0" encoding="utf-8"?>
<ds:datastoreItem xmlns:ds="http://schemas.openxmlformats.org/officeDocument/2006/customXml" ds:itemID="{3D2D8701-2561-4410-BFEA-BD2CB84476DA}">
  <ds:schemaRefs>
    <ds:schemaRef ds:uri="http://schemas.openxmlformats.org/officeDocument/2006/bibliography"/>
  </ds:schemaRefs>
</ds:datastoreItem>
</file>

<file path=customXml/itemProps5.xml><?xml version="1.0" encoding="utf-8"?>
<ds:datastoreItem xmlns:ds="http://schemas.openxmlformats.org/officeDocument/2006/customXml" ds:itemID="{2C133518-3019-4E4E-90FE-A1ACB6637E37}">
  <ds:schemaRefs>
    <ds:schemaRef ds:uri="http://schemas.openxmlformats.org/officeDocument/2006/bibliography"/>
  </ds:schemaRefs>
</ds:datastoreItem>
</file>

<file path=customXml/itemProps6.xml><?xml version="1.0" encoding="utf-8"?>
<ds:datastoreItem xmlns:ds="http://schemas.openxmlformats.org/officeDocument/2006/customXml" ds:itemID="{FAABA02F-3B4F-437F-8C00-02391704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E68974-50CD-4A96-AB42-1FE92DC7CA35}">
  <ds:schemaRefs>
    <ds:schemaRef ds:uri="http://schemas.openxmlformats.org/officeDocument/2006/bibliography"/>
  </ds:schemaRefs>
</ds:datastoreItem>
</file>

<file path=customXml/itemProps8.xml><?xml version="1.0" encoding="utf-8"?>
<ds:datastoreItem xmlns:ds="http://schemas.openxmlformats.org/officeDocument/2006/customXml" ds:itemID="{E2D1A0B5-B094-4080-9B73-98E58E61B338}">
  <ds:schemaRefs>
    <ds:schemaRef ds:uri="http://schemas.openxmlformats.org/officeDocument/2006/bibliography"/>
  </ds:schemaRefs>
</ds:datastoreItem>
</file>

<file path=customXml/itemProps9.xml><?xml version="1.0" encoding="utf-8"?>
<ds:datastoreItem xmlns:ds="http://schemas.openxmlformats.org/officeDocument/2006/customXml" ds:itemID="{212521CB-4DE5-4DE2-9F37-D98ACD83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2255</Words>
  <Characters>13335</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CONFIDENTIAL DRAFT NOT FOR RELEASE</vt:lpstr>
      <vt:lpstr>CONFIDENTIAL DRAFT NOT FOR RELEASE</vt:lpstr>
    </vt:vector>
  </TitlesOfParts>
  <Company>Microsoft</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 NOT FOR RELEASE</dc:title>
  <dc:subject/>
  <dc:creator>Sam Vanderlip</dc:creator>
  <cp:keywords/>
  <dc:description/>
  <cp:lastModifiedBy>Серов Андрей Евгеньевич</cp:lastModifiedBy>
  <cp:revision>3</cp:revision>
  <cp:lastPrinted>2024-11-05T15:19:00Z</cp:lastPrinted>
  <dcterms:created xsi:type="dcterms:W3CDTF">2024-11-06T16:24:00Z</dcterms:created>
  <dcterms:modified xsi:type="dcterms:W3CDTF">2024-11-07T12:19:00Z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ies>
</file>