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C6B3A" w14:textId="5166FDFC" w:rsidR="00B65D8F" w:rsidRDefault="008403EB" w:rsidP="00B65D8F">
      <w:pPr>
        <w:jc w:val="center"/>
        <w:rPr>
          <w:rFonts w:ascii="Times New Roman" w:eastAsia="Times New Roman" w:hAnsi="Times New Roman" w:cs="Times New Roman"/>
          <w:b/>
          <w:bCs/>
        </w:rPr>
      </w:pPr>
      <w:r w:rsidRPr="00A56CE1">
        <w:rPr>
          <w:noProof/>
          <w:lang w:val="ru-RU"/>
        </w:rPr>
        <w:drawing>
          <wp:inline distT="0" distB="0" distL="0" distR="0" wp14:anchorId="35D9035C" wp14:editId="6162A7AD">
            <wp:extent cx="1111250" cy="692150"/>
            <wp:effectExtent l="0" t="0" r="0" b="0"/>
            <wp:docPr id="2" name="Рисунок 2"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2" name="Рисунок 2" descr="Logo, company name&#10;&#10;Description automatically generated"/>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11250" cy="692150"/>
                    </a:xfrm>
                    <a:prstGeom prst="rect">
                      <a:avLst/>
                    </a:prstGeom>
                    <a:noFill/>
                    <a:ln>
                      <a:noFill/>
                    </a:ln>
                  </pic:spPr>
                </pic:pic>
              </a:graphicData>
            </a:graphic>
          </wp:inline>
        </w:drawing>
      </w:r>
    </w:p>
    <w:p w14:paraId="282A0460" w14:textId="77777777" w:rsidR="0009479F" w:rsidRDefault="0009479F" w:rsidP="006A44B8">
      <w:pPr>
        <w:spacing w:after="120"/>
        <w:jc w:val="center"/>
        <w:rPr>
          <w:rFonts w:ascii="Times New Roman" w:hAnsi="Times New Roman" w:cs="Times New Roman"/>
          <w:b/>
          <w:bCs/>
          <w:lang w:val="ru-RU"/>
        </w:rPr>
      </w:pPr>
    </w:p>
    <w:p w14:paraId="1EAF48B4" w14:textId="61D282F3" w:rsidR="008403EB" w:rsidRPr="00A416B0" w:rsidRDefault="00C75812" w:rsidP="008403EB">
      <w:pPr>
        <w:spacing w:after="120"/>
        <w:jc w:val="center"/>
        <w:rPr>
          <w:b/>
          <w:bCs/>
          <w:sz w:val="22"/>
          <w:szCs w:val="22"/>
        </w:rPr>
      </w:pPr>
      <w:r w:rsidRPr="008403EB">
        <w:rPr>
          <w:b/>
          <w:bCs/>
          <w:sz w:val="22"/>
          <w:szCs w:val="22"/>
        </w:rPr>
        <w:t xml:space="preserve">PhosAgro Board of Directors </w:t>
      </w:r>
      <w:proofErr w:type="spellStart"/>
      <w:r w:rsidRPr="008403EB">
        <w:rPr>
          <w:b/>
          <w:bCs/>
          <w:sz w:val="22"/>
          <w:szCs w:val="22"/>
        </w:rPr>
        <w:t>Recognises</w:t>
      </w:r>
      <w:proofErr w:type="spellEnd"/>
      <w:r w:rsidRPr="008403EB">
        <w:rPr>
          <w:b/>
          <w:bCs/>
          <w:sz w:val="22"/>
          <w:szCs w:val="22"/>
        </w:rPr>
        <w:t xml:space="preserve"> Company’s Successful Results in 2023 and Welcomes the Decision to Index Wages</w:t>
      </w:r>
    </w:p>
    <w:p w14:paraId="409B3BF0" w14:textId="359CB9B0" w:rsidR="000227CB" w:rsidRPr="008403EB" w:rsidRDefault="003237DC" w:rsidP="008403EB">
      <w:pPr>
        <w:spacing w:after="120"/>
        <w:jc w:val="both"/>
        <w:rPr>
          <w:bCs/>
          <w:color w:val="auto"/>
          <w:sz w:val="22"/>
          <w:szCs w:val="22"/>
        </w:rPr>
      </w:pPr>
      <w:r w:rsidRPr="008403EB">
        <w:rPr>
          <w:b/>
          <w:bCs/>
          <w:color w:val="auto"/>
          <w:sz w:val="22"/>
          <w:szCs w:val="22"/>
        </w:rPr>
        <w:t>Moscow –</w:t>
      </w:r>
      <w:r w:rsidR="00207A6B" w:rsidRPr="008403EB">
        <w:rPr>
          <w:b/>
          <w:bCs/>
          <w:color w:val="auto"/>
          <w:sz w:val="22"/>
          <w:szCs w:val="22"/>
        </w:rPr>
        <w:t xml:space="preserve"> </w:t>
      </w:r>
      <w:r w:rsidRPr="008403EB">
        <w:rPr>
          <w:bCs/>
          <w:color w:val="auto"/>
          <w:sz w:val="22"/>
          <w:szCs w:val="22"/>
        </w:rPr>
        <w:t>The Board of Directors of PhosAgro (Moscow Exchange, LSE: PHOR), one of the world’s leading vertically integrated phosphate-based fertilizer producers, has declared the Company’s operating results for 2023 a success and has supported the Management Board’s decision to index the salaries of employees by a further 15%, starting 1 February 2024.</w:t>
      </w:r>
    </w:p>
    <w:p w14:paraId="72AF0C49" w14:textId="080AB947" w:rsidR="000227CB" w:rsidRPr="008403EB" w:rsidRDefault="009D32BB" w:rsidP="008403EB">
      <w:pPr>
        <w:spacing w:after="120"/>
        <w:jc w:val="both"/>
        <w:rPr>
          <w:bCs/>
          <w:color w:val="auto"/>
          <w:sz w:val="22"/>
          <w:szCs w:val="22"/>
        </w:rPr>
      </w:pPr>
      <w:r w:rsidRPr="008403EB">
        <w:rPr>
          <w:bCs/>
          <w:color w:val="auto"/>
          <w:sz w:val="22"/>
          <w:szCs w:val="22"/>
        </w:rPr>
        <w:t xml:space="preserve">In his report on the </w:t>
      </w:r>
      <w:r w:rsidR="009C7962" w:rsidRPr="008403EB">
        <w:rPr>
          <w:bCs/>
          <w:color w:val="auto"/>
          <w:sz w:val="22"/>
          <w:szCs w:val="22"/>
        </w:rPr>
        <w:t xml:space="preserve">key </w:t>
      </w:r>
      <w:r w:rsidRPr="008403EB">
        <w:rPr>
          <w:bCs/>
          <w:color w:val="auto"/>
          <w:sz w:val="22"/>
          <w:szCs w:val="22"/>
        </w:rPr>
        <w:t xml:space="preserve">results of the Company’s operations in 2023 and prospects for 2024, </w:t>
      </w:r>
      <w:r w:rsidRPr="008403EB">
        <w:rPr>
          <w:b/>
          <w:bCs/>
          <w:color w:val="auto"/>
          <w:sz w:val="22"/>
          <w:szCs w:val="22"/>
        </w:rPr>
        <w:t xml:space="preserve">PhosAgro CEO Mikhail </w:t>
      </w:r>
      <w:proofErr w:type="spellStart"/>
      <w:r w:rsidRPr="008403EB">
        <w:rPr>
          <w:b/>
          <w:bCs/>
          <w:color w:val="auto"/>
          <w:sz w:val="22"/>
          <w:szCs w:val="22"/>
        </w:rPr>
        <w:t>Rybnikov</w:t>
      </w:r>
      <w:proofErr w:type="spellEnd"/>
      <w:r w:rsidRPr="008403EB">
        <w:rPr>
          <w:bCs/>
          <w:color w:val="auto"/>
          <w:sz w:val="22"/>
          <w:szCs w:val="22"/>
        </w:rPr>
        <w:t xml:space="preserve"> said: “Thanks to the concerted effort of our workforce</w:t>
      </w:r>
      <w:r w:rsidR="006C638A">
        <w:rPr>
          <w:bCs/>
          <w:color w:val="auto"/>
          <w:sz w:val="22"/>
          <w:szCs w:val="22"/>
        </w:rPr>
        <w:t xml:space="preserve"> and our well-thought-out development strategy</w:t>
      </w:r>
      <w:r w:rsidRPr="008403EB">
        <w:rPr>
          <w:bCs/>
          <w:color w:val="auto"/>
          <w:sz w:val="22"/>
          <w:szCs w:val="22"/>
        </w:rPr>
        <w:t xml:space="preserve">, we were able to continue our strong growth and make considerable progress in production and sales and in the implementation of our investment </w:t>
      </w:r>
      <w:proofErr w:type="spellStart"/>
      <w:r w:rsidRPr="008403EB">
        <w:rPr>
          <w:bCs/>
          <w:color w:val="auto"/>
          <w:sz w:val="22"/>
          <w:szCs w:val="22"/>
        </w:rPr>
        <w:t>programme</w:t>
      </w:r>
      <w:proofErr w:type="spellEnd"/>
      <w:r w:rsidRPr="008403EB">
        <w:rPr>
          <w:bCs/>
          <w:color w:val="auto"/>
          <w:sz w:val="22"/>
          <w:szCs w:val="22"/>
        </w:rPr>
        <w:t xml:space="preserve">. We set a new all-time record in 2023: our enterprises produced 11.3 million </w:t>
      </w:r>
      <w:proofErr w:type="spellStart"/>
      <w:r w:rsidRPr="008403EB">
        <w:rPr>
          <w:bCs/>
          <w:color w:val="auto"/>
          <w:sz w:val="22"/>
          <w:szCs w:val="22"/>
        </w:rPr>
        <w:t>tonnes</w:t>
      </w:r>
      <w:proofErr w:type="spellEnd"/>
      <w:r w:rsidRPr="008403EB">
        <w:rPr>
          <w:bCs/>
          <w:color w:val="auto"/>
          <w:sz w:val="22"/>
          <w:szCs w:val="22"/>
        </w:rPr>
        <w:t xml:space="preserve"> of agrochemical products, an increase of 2% from 2022. I would like to highlight the DAP/MAP segment where production increased by 8.4% to more than 4.5 million </w:t>
      </w:r>
      <w:proofErr w:type="spellStart"/>
      <w:r w:rsidRPr="008403EB">
        <w:rPr>
          <w:bCs/>
          <w:color w:val="auto"/>
          <w:sz w:val="22"/>
          <w:szCs w:val="22"/>
        </w:rPr>
        <w:t>tonnes</w:t>
      </w:r>
      <w:proofErr w:type="spellEnd"/>
      <w:r w:rsidRPr="008403EB">
        <w:rPr>
          <w:bCs/>
          <w:color w:val="auto"/>
          <w:sz w:val="22"/>
          <w:szCs w:val="22"/>
        </w:rPr>
        <w:t xml:space="preserve">. We </w:t>
      </w:r>
      <w:r w:rsidR="0089300A" w:rsidRPr="008403EB">
        <w:rPr>
          <w:bCs/>
          <w:color w:val="auto"/>
          <w:sz w:val="22"/>
          <w:szCs w:val="22"/>
        </w:rPr>
        <w:t xml:space="preserve">also </w:t>
      </w:r>
      <w:r w:rsidRPr="008403EB">
        <w:rPr>
          <w:bCs/>
          <w:color w:val="auto"/>
          <w:sz w:val="22"/>
          <w:szCs w:val="22"/>
        </w:rPr>
        <w:t xml:space="preserve">increased the production of ammonium nitrate by 4.4%, urea – by 1.6%, phosphoric acid and sulfuric acid – by 4.6% and 2.5% respectively. PhosAgro has solidified its status as the leader in the Russian market in terms of total supply volume. In total, we invested a record amount of over RUB 64 billion last year. This year, we are going to raise the bar even higher, to RUB 73 billion.” </w:t>
      </w:r>
    </w:p>
    <w:p w14:paraId="2BACBBE3" w14:textId="77777777" w:rsidR="002444AE" w:rsidRDefault="000227CB" w:rsidP="008403EB">
      <w:pPr>
        <w:spacing w:after="120"/>
        <w:jc w:val="both"/>
        <w:rPr>
          <w:b/>
          <w:bCs/>
          <w:color w:val="auto"/>
          <w:sz w:val="22"/>
          <w:szCs w:val="22"/>
        </w:rPr>
      </w:pPr>
      <w:r w:rsidRPr="008403EB">
        <w:rPr>
          <w:bCs/>
          <w:color w:val="auto"/>
          <w:sz w:val="22"/>
          <w:szCs w:val="22"/>
        </w:rPr>
        <w:t xml:space="preserve">“Thanks to the consistent implementation of our investment </w:t>
      </w:r>
      <w:proofErr w:type="spellStart"/>
      <w:r w:rsidRPr="008403EB">
        <w:rPr>
          <w:bCs/>
          <w:color w:val="auto"/>
          <w:sz w:val="22"/>
          <w:szCs w:val="22"/>
        </w:rPr>
        <w:t>programme</w:t>
      </w:r>
      <w:proofErr w:type="spellEnd"/>
      <w:r w:rsidRPr="008403EB">
        <w:rPr>
          <w:bCs/>
          <w:color w:val="auto"/>
          <w:sz w:val="22"/>
          <w:szCs w:val="22"/>
        </w:rPr>
        <w:t xml:space="preserve"> and steadily increasing production, we are able to ensure that our employees are paid decent wages and to fulfil all our social obligations. In 2021–2023, the average salary increased by 60%, and salaries were indexed by a further 15% in February 2024. Our tax payments at all levels</w:t>
      </w:r>
      <w:r w:rsidR="006C638A">
        <w:rPr>
          <w:bCs/>
          <w:color w:val="auto"/>
          <w:sz w:val="22"/>
          <w:szCs w:val="22"/>
        </w:rPr>
        <w:t>, including the security payment for the windfall tax, and export duties</w:t>
      </w:r>
      <w:r w:rsidRPr="008403EB">
        <w:rPr>
          <w:bCs/>
          <w:color w:val="auto"/>
          <w:sz w:val="22"/>
          <w:szCs w:val="22"/>
        </w:rPr>
        <w:t xml:space="preserve"> rose </w:t>
      </w:r>
      <w:r w:rsidR="006C638A">
        <w:rPr>
          <w:bCs/>
          <w:color w:val="auto"/>
          <w:sz w:val="22"/>
          <w:szCs w:val="22"/>
        </w:rPr>
        <w:t xml:space="preserve">by 15% </w:t>
      </w:r>
      <w:r w:rsidRPr="008403EB">
        <w:rPr>
          <w:bCs/>
          <w:color w:val="auto"/>
          <w:sz w:val="22"/>
          <w:szCs w:val="22"/>
        </w:rPr>
        <w:t xml:space="preserve">to a record RUB 69 billion last year. We have </w:t>
      </w:r>
      <w:r w:rsidR="0089300A" w:rsidRPr="008403EB">
        <w:rPr>
          <w:bCs/>
          <w:color w:val="auto"/>
          <w:sz w:val="22"/>
          <w:szCs w:val="22"/>
        </w:rPr>
        <w:t xml:space="preserve">also </w:t>
      </w:r>
      <w:r w:rsidRPr="008403EB">
        <w:rPr>
          <w:bCs/>
          <w:color w:val="auto"/>
          <w:sz w:val="22"/>
          <w:szCs w:val="22"/>
        </w:rPr>
        <w:t xml:space="preserve">increased our support for social and charitable projects. Over the past decade, our funding for these </w:t>
      </w:r>
      <w:proofErr w:type="spellStart"/>
      <w:r w:rsidRPr="008403EB">
        <w:rPr>
          <w:bCs/>
          <w:color w:val="auto"/>
          <w:sz w:val="22"/>
          <w:szCs w:val="22"/>
        </w:rPr>
        <w:t>programmes</w:t>
      </w:r>
      <w:proofErr w:type="spellEnd"/>
      <w:r w:rsidRPr="008403EB">
        <w:rPr>
          <w:bCs/>
          <w:color w:val="auto"/>
          <w:sz w:val="22"/>
          <w:szCs w:val="22"/>
        </w:rPr>
        <w:t xml:space="preserve"> has increased sevenfold. In 2022–2023, the amount of funds allocated for these purposes was over RUB 25 billion. </w:t>
      </w:r>
      <w:r w:rsidR="002444AE" w:rsidRPr="008403EB">
        <w:rPr>
          <w:bCs/>
          <w:color w:val="auto"/>
          <w:sz w:val="22"/>
          <w:szCs w:val="22"/>
        </w:rPr>
        <w:t xml:space="preserve">Our traditional commitment to responsible business principles will remain a top priority,” said </w:t>
      </w:r>
      <w:r w:rsidR="002444AE" w:rsidRPr="008403EB">
        <w:rPr>
          <w:b/>
          <w:bCs/>
          <w:color w:val="auto"/>
          <w:sz w:val="22"/>
          <w:szCs w:val="22"/>
        </w:rPr>
        <w:t xml:space="preserve">Viktor </w:t>
      </w:r>
      <w:proofErr w:type="spellStart"/>
      <w:r w:rsidR="002444AE" w:rsidRPr="008403EB">
        <w:rPr>
          <w:b/>
          <w:bCs/>
          <w:color w:val="auto"/>
          <w:sz w:val="22"/>
          <w:szCs w:val="22"/>
        </w:rPr>
        <w:t>Cherepov</w:t>
      </w:r>
      <w:proofErr w:type="spellEnd"/>
      <w:r w:rsidR="002444AE" w:rsidRPr="008403EB">
        <w:rPr>
          <w:b/>
          <w:bCs/>
          <w:color w:val="auto"/>
          <w:sz w:val="22"/>
          <w:szCs w:val="22"/>
        </w:rPr>
        <w:t xml:space="preserve">, Chairman of </w:t>
      </w:r>
      <w:proofErr w:type="spellStart"/>
      <w:r w:rsidR="002444AE" w:rsidRPr="008403EB">
        <w:rPr>
          <w:b/>
          <w:bCs/>
          <w:color w:val="auto"/>
          <w:sz w:val="22"/>
          <w:szCs w:val="22"/>
        </w:rPr>
        <w:t>PhosAgro’s</w:t>
      </w:r>
      <w:proofErr w:type="spellEnd"/>
      <w:r w:rsidR="002444AE" w:rsidRPr="008403EB">
        <w:rPr>
          <w:b/>
          <w:bCs/>
          <w:color w:val="auto"/>
          <w:sz w:val="22"/>
          <w:szCs w:val="22"/>
        </w:rPr>
        <w:t xml:space="preserve"> Board of Directors.</w:t>
      </w:r>
    </w:p>
    <w:p w14:paraId="4F066A38" w14:textId="5E40F410" w:rsidR="001D3998" w:rsidRPr="008403EB" w:rsidRDefault="002444AE" w:rsidP="008403EB">
      <w:pPr>
        <w:spacing w:after="120"/>
        <w:jc w:val="both"/>
        <w:rPr>
          <w:bCs/>
          <w:color w:val="auto"/>
          <w:sz w:val="22"/>
          <w:szCs w:val="22"/>
        </w:rPr>
      </w:pPr>
      <w:r>
        <w:rPr>
          <w:bCs/>
          <w:color w:val="auto"/>
          <w:sz w:val="22"/>
          <w:szCs w:val="22"/>
        </w:rPr>
        <w:t xml:space="preserve">This year, </w:t>
      </w:r>
      <w:proofErr w:type="spellStart"/>
      <w:r w:rsidR="000227CB" w:rsidRPr="008403EB">
        <w:rPr>
          <w:bCs/>
          <w:color w:val="auto"/>
          <w:sz w:val="22"/>
          <w:szCs w:val="22"/>
        </w:rPr>
        <w:t>PhosAgro’s</w:t>
      </w:r>
      <w:proofErr w:type="spellEnd"/>
      <w:r w:rsidR="000227CB" w:rsidRPr="008403EB">
        <w:rPr>
          <w:bCs/>
          <w:color w:val="auto"/>
          <w:sz w:val="22"/>
          <w:szCs w:val="22"/>
        </w:rPr>
        <w:t xml:space="preserve"> activities have been highly praised by the organizers and experts of the Responsible Business Leadership National Award established by Russian President Vladimir Putin, with the Company winning </w:t>
      </w:r>
      <w:r w:rsidR="00B06729" w:rsidRPr="008403EB">
        <w:rPr>
          <w:bCs/>
          <w:color w:val="auto"/>
          <w:sz w:val="22"/>
          <w:szCs w:val="22"/>
        </w:rPr>
        <w:t>in most of the categories where it was nominated,</w:t>
      </w:r>
      <w:r w:rsidR="000227CB" w:rsidRPr="008403EB">
        <w:rPr>
          <w:bCs/>
          <w:color w:val="auto"/>
          <w:sz w:val="22"/>
          <w:szCs w:val="22"/>
        </w:rPr>
        <w:t xml:space="preserve"> </w:t>
      </w:r>
      <w:r w:rsidR="0089300A" w:rsidRPr="008403EB">
        <w:rPr>
          <w:bCs/>
          <w:color w:val="auto"/>
          <w:sz w:val="22"/>
          <w:szCs w:val="22"/>
        </w:rPr>
        <w:t>as well as</w:t>
      </w:r>
      <w:r w:rsidR="000227CB" w:rsidRPr="008403EB">
        <w:rPr>
          <w:bCs/>
          <w:color w:val="auto"/>
          <w:sz w:val="22"/>
          <w:szCs w:val="22"/>
        </w:rPr>
        <w:t xml:space="preserve"> </w:t>
      </w:r>
      <w:r w:rsidR="00B06729" w:rsidRPr="008403EB">
        <w:rPr>
          <w:bCs/>
          <w:color w:val="auto"/>
          <w:sz w:val="22"/>
          <w:szCs w:val="22"/>
        </w:rPr>
        <w:t xml:space="preserve">in </w:t>
      </w:r>
      <w:r w:rsidR="000227CB" w:rsidRPr="008403EB">
        <w:rPr>
          <w:bCs/>
          <w:color w:val="auto"/>
          <w:sz w:val="22"/>
          <w:szCs w:val="22"/>
        </w:rPr>
        <w:t xml:space="preserve">the Grand Prix. </w:t>
      </w:r>
    </w:p>
    <w:p w14:paraId="7E7EBFF7" w14:textId="5ADF8738" w:rsidR="006B3E45" w:rsidRPr="008403EB" w:rsidRDefault="00CD6D6F" w:rsidP="008403EB">
      <w:pPr>
        <w:spacing w:after="120"/>
        <w:jc w:val="both"/>
        <w:rPr>
          <w:bCs/>
          <w:color w:val="auto"/>
          <w:sz w:val="22"/>
          <w:szCs w:val="22"/>
        </w:rPr>
      </w:pPr>
      <w:r w:rsidRPr="008403EB">
        <w:rPr>
          <w:bCs/>
          <w:color w:val="auto"/>
          <w:sz w:val="22"/>
          <w:szCs w:val="22"/>
        </w:rPr>
        <w:t xml:space="preserve">The Board of Directors took note of the information on occupational health and industrial safety, as well as </w:t>
      </w:r>
      <w:r w:rsidR="00EC4426" w:rsidRPr="008403EB">
        <w:rPr>
          <w:bCs/>
          <w:color w:val="auto"/>
          <w:sz w:val="22"/>
          <w:szCs w:val="22"/>
        </w:rPr>
        <w:t xml:space="preserve">on </w:t>
      </w:r>
      <w:r w:rsidRPr="008403EB">
        <w:rPr>
          <w:bCs/>
          <w:color w:val="auto"/>
          <w:sz w:val="22"/>
          <w:szCs w:val="22"/>
        </w:rPr>
        <w:t>the establishment of an inventory procurement system at PhosAgro companies.</w:t>
      </w:r>
    </w:p>
    <w:p w14:paraId="5094B4AF" w14:textId="1D68217E" w:rsidR="006B3E45" w:rsidRPr="008403EB" w:rsidRDefault="006B3E45" w:rsidP="008403EB">
      <w:pPr>
        <w:spacing w:after="120"/>
        <w:jc w:val="both"/>
        <w:rPr>
          <w:bCs/>
          <w:color w:val="auto"/>
          <w:sz w:val="22"/>
          <w:szCs w:val="22"/>
        </w:rPr>
      </w:pPr>
      <w:r w:rsidRPr="008403EB">
        <w:rPr>
          <w:bCs/>
          <w:color w:val="auto"/>
          <w:sz w:val="22"/>
          <w:szCs w:val="22"/>
        </w:rPr>
        <w:t xml:space="preserve">In the field of mineral fertilizer sales in 2023, the main aspects of the activity of PhosAgro subsidiaries were evaluated, </w:t>
      </w:r>
      <w:r w:rsidR="00EC4426" w:rsidRPr="008403EB">
        <w:rPr>
          <w:bCs/>
          <w:color w:val="auto"/>
          <w:sz w:val="22"/>
          <w:szCs w:val="22"/>
        </w:rPr>
        <w:t>as well as</w:t>
      </w:r>
      <w:r w:rsidRPr="008403EB">
        <w:rPr>
          <w:bCs/>
          <w:color w:val="auto"/>
          <w:sz w:val="22"/>
          <w:szCs w:val="22"/>
        </w:rPr>
        <w:t xml:space="preserve"> market conditions and competition analysis. </w:t>
      </w:r>
    </w:p>
    <w:p w14:paraId="6D1C273B" w14:textId="27C2FB4D" w:rsidR="001C6694" w:rsidRPr="008403EB" w:rsidRDefault="006B3E45" w:rsidP="008403EB">
      <w:pPr>
        <w:spacing w:after="120"/>
        <w:jc w:val="both"/>
        <w:rPr>
          <w:bCs/>
          <w:color w:val="auto"/>
          <w:sz w:val="22"/>
          <w:szCs w:val="22"/>
        </w:rPr>
      </w:pPr>
      <w:r w:rsidRPr="008403EB">
        <w:rPr>
          <w:bCs/>
          <w:color w:val="auto"/>
          <w:sz w:val="22"/>
          <w:szCs w:val="22"/>
        </w:rPr>
        <w:t>The Board of Directors approved a report on compliance with the principles and recommendations of the Corporate Governance Code in 2023, confirming that at present</w:t>
      </w:r>
      <w:r w:rsidR="00B06729" w:rsidRPr="008403EB">
        <w:rPr>
          <w:bCs/>
          <w:color w:val="auto"/>
          <w:sz w:val="22"/>
          <w:szCs w:val="22"/>
        </w:rPr>
        <w:t>,</w:t>
      </w:r>
      <w:r w:rsidRPr="008403EB">
        <w:rPr>
          <w:bCs/>
          <w:color w:val="auto"/>
          <w:sz w:val="22"/>
          <w:szCs w:val="22"/>
        </w:rPr>
        <w:t xml:space="preserve"> </w:t>
      </w:r>
      <w:proofErr w:type="spellStart"/>
      <w:r w:rsidRPr="008403EB">
        <w:rPr>
          <w:bCs/>
          <w:color w:val="auto"/>
          <w:sz w:val="22"/>
          <w:szCs w:val="22"/>
        </w:rPr>
        <w:t>PhosAgro’s</w:t>
      </w:r>
      <w:proofErr w:type="spellEnd"/>
      <w:r w:rsidRPr="008403EB">
        <w:rPr>
          <w:bCs/>
          <w:color w:val="auto"/>
          <w:sz w:val="22"/>
          <w:szCs w:val="22"/>
        </w:rPr>
        <w:t xml:space="preserve"> corporate governance system and practices fully meet the Company’s current needs and </w:t>
      </w:r>
      <w:r w:rsidR="00B06729" w:rsidRPr="008403EB">
        <w:rPr>
          <w:bCs/>
          <w:color w:val="auto"/>
          <w:sz w:val="22"/>
          <w:szCs w:val="22"/>
        </w:rPr>
        <w:t xml:space="preserve">enable </w:t>
      </w:r>
      <w:r w:rsidRPr="008403EB">
        <w:rPr>
          <w:bCs/>
          <w:color w:val="auto"/>
          <w:sz w:val="22"/>
          <w:szCs w:val="22"/>
        </w:rPr>
        <w:t xml:space="preserve">shareholders to exercise their rights. In addition, the meeting approved the report of the </w:t>
      </w:r>
      <w:r w:rsidR="00B06729" w:rsidRPr="008403EB">
        <w:rPr>
          <w:bCs/>
          <w:color w:val="auto"/>
          <w:sz w:val="22"/>
          <w:szCs w:val="22"/>
        </w:rPr>
        <w:t>C</w:t>
      </w:r>
      <w:r w:rsidRPr="008403EB">
        <w:rPr>
          <w:bCs/>
          <w:color w:val="auto"/>
          <w:sz w:val="22"/>
          <w:szCs w:val="22"/>
        </w:rPr>
        <w:t xml:space="preserve">ompany’s Internal Audit Directorate on the division’s work for 2023. </w:t>
      </w:r>
    </w:p>
    <w:p w14:paraId="6F59D9C7" w14:textId="7E2F7031" w:rsidR="00C75812" w:rsidRPr="008403EB" w:rsidRDefault="006F2015" w:rsidP="008403EB">
      <w:pPr>
        <w:spacing w:after="120"/>
        <w:jc w:val="both"/>
        <w:rPr>
          <w:bCs/>
          <w:color w:val="auto"/>
          <w:sz w:val="22"/>
          <w:szCs w:val="22"/>
        </w:rPr>
      </w:pPr>
      <w:r w:rsidRPr="008403EB">
        <w:rPr>
          <w:bCs/>
          <w:color w:val="auto"/>
          <w:sz w:val="22"/>
          <w:szCs w:val="22"/>
        </w:rPr>
        <w:t xml:space="preserve">The Board also heard information on the results of the work of the </w:t>
      </w:r>
      <w:r w:rsidR="00B06729" w:rsidRPr="008403EB">
        <w:rPr>
          <w:bCs/>
          <w:color w:val="auto"/>
          <w:sz w:val="22"/>
          <w:szCs w:val="22"/>
        </w:rPr>
        <w:t>C</w:t>
      </w:r>
      <w:r w:rsidRPr="008403EB">
        <w:rPr>
          <w:bCs/>
          <w:color w:val="auto"/>
          <w:sz w:val="22"/>
          <w:szCs w:val="22"/>
        </w:rPr>
        <w:t xml:space="preserve">ompany’s Board of Directors in 2023 and information on the efficiency of the Company’s risk management and internal control framework in 2023. </w:t>
      </w:r>
    </w:p>
    <w:p w14:paraId="428B04AF" w14:textId="77777777" w:rsidR="008403EB" w:rsidRPr="009D3F20" w:rsidRDefault="008403EB" w:rsidP="008403EB">
      <w:pPr>
        <w:pStyle w:val="P68B1DB1-Normal22"/>
        <w:snapToGrid w:val="0"/>
        <w:spacing w:before="240"/>
        <w:rPr>
          <w:rFonts w:cs="Calibri"/>
          <w:lang w:val="en-GB"/>
        </w:rPr>
      </w:pPr>
      <w:r w:rsidRPr="009D3F20">
        <w:rPr>
          <w:rFonts w:cs="Calibri"/>
          <w:lang w:val="en-GB"/>
        </w:rPr>
        <w:t>About the Company</w:t>
      </w:r>
    </w:p>
    <w:p w14:paraId="6A3F8743" w14:textId="77777777" w:rsidR="008403EB" w:rsidRPr="009D3F20" w:rsidRDefault="008403EB" w:rsidP="008403EB">
      <w:pPr>
        <w:pStyle w:val="P68B1DB1-Normal4"/>
        <w:spacing w:after="120"/>
        <w:jc w:val="both"/>
        <w:rPr>
          <w:rFonts w:ascii="Calibri" w:cs="Calibri"/>
          <w:b/>
          <w:i/>
          <w:iCs/>
          <w:color w:val="auto"/>
          <w:sz w:val="20"/>
          <w:lang w:val="en-GB"/>
        </w:rPr>
      </w:pPr>
      <w:r w:rsidRPr="009D3F20">
        <w:rPr>
          <w:rFonts w:ascii="Calibri" w:cs="Calibri"/>
          <w:i/>
          <w:iCs/>
          <w:color w:val="auto"/>
          <w:sz w:val="20"/>
          <w:lang w:val="en-GB"/>
        </w:rPr>
        <w:t>PhosAgro (</w:t>
      </w:r>
      <w:hyperlink r:id="rId7" w:history="1">
        <w:r w:rsidRPr="009D3F20">
          <w:rPr>
            <w:rStyle w:val="ae"/>
            <w:rFonts w:ascii="Calibri" w:eastAsia="Calibri" w:cs="Calibri"/>
            <w:i/>
            <w:iCs/>
            <w:sz w:val="20"/>
            <w:lang w:val="en-GB"/>
          </w:rPr>
          <w:t>www.phosagro.ru</w:t>
        </w:r>
      </w:hyperlink>
      <w:r w:rsidRPr="009D3F20">
        <w:rPr>
          <w:rFonts w:ascii="Calibri" w:cs="Calibri"/>
          <w:i/>
          <w:iCs/>
          <w:color w:val="auto"/>
          <w:sz w:val="20"/>
          <w:lang w:val="en-GB"/>
        </w:rPr>
        <w:t>) is a vertically integrated Russian company and one of the world</w:t>
      </w:r>
      <w:r w:rsidRPr="009D3F20">
        <w:rPr>
          <w:rFonts w:ascii="Calibri" w:cs="Calibri"/>
          <w:i/>
          <w:iCs/>
          <w:color w:val="auto"/>
          <w:sz w:val="20"/>
          <w:lang w:val="en-GB"/>
        </w:rPr>
        <w:t>’</w:t>
      </w:r>
      <w:r w:rsidRPr="009D3F20">
        <w:rPr>
          <w:rFonts w:ascii="Calibri" w:cs="Calibri"/>
          <w:i/>
          <w:iCs/>
          <w:color w:val="auto"/>
          <w:sz w:val="20"/>
          <w:lang w:val="en-GB"/>
        </w:rPr>
        <w:t xml:space="preserve">s leading producers of mineral phosphorous fertilizers and of high-grade apatite concentrate grading 39% P2O5 and higher. </w:t>
      </w:r>
      <w:proofErr w:type="spellStart"/>
      <w:r w:rsidRPr="009D3F20">
        <w:rPr>
          <w:rFonts w:ascii="Calibri" w:cs="Calibri"/>
          <w:i/>
          <w:iCs/>
          <w:color w:val="auto"/>
          <w:sz w:val="20"/>
          <w:lang w:val="en-GB"/>
        </w:rPr>
        <w:t>PhosAgro</w:t>
      </w:r>
      <w:r w:rsidRPr="009D3F20">
        <w:rPr>
          <w:rFonts w:ascii="Calibri" w:cs="Calibri"/>
          <w:i/>
          <w:iCs/>
          <w:color w:val="auto"/>
          <w:sz w:val="20"/>
          <w:lang w:val="en-GB"/>
        </w:rPr>
        <w:t>’</w:t>
      </w:r>
      <w:r w:rsidRPr="009D3F20">
        <w:rPr>
          <w:rFonts w:ascii="Calibri" w:cs="Calibri"/>
          <w:i/>
          <w:iCs/>
          <w:color w:val="auto"/>
          <w:sz w:val="20"/>
          <w:lang w:val="en-GB"/>
        </w:rPr>
        <w:t>s</w:t>
      </w:r>
      <w:proofErr w:type="spellEnd"/>
      <w:r w:rsidRPr="009D3F20">
        <w:rPr>
          <w:rFonts w:ascii="Calibri" w:cs="Calibri"/>
          <w:i/>
          <w:iCs/>
          <w:color w:val="auto"/>
          <w:sz w:val="20"/>
          <w:lang w:val="en-GB"/>
        </w:rPr>
        <w:t xml:space="preserve"> high-performance fertilizers produce crops with advanced features.</w:t>
      </w:r>
    </w:p>
    <w:p w14:paraId="2234FF71" w14:textId="77777777" w:rsidR="008403EB" w:rsidRPr="009D3F20" w:rsidRDefault="008403EB" w:rsidP="008403EB">
      <w:pPr>
        <w:pStyle w:val="P68B1DB1-Normal4"/>
        <w:spacing w:after="120"/>
        <w:jc w:val="both"/>
        <w:rPr>
          <w:rFonts w:ascii="Calibri" w:cs="Calibri"/>
          <w:b/>
          <w:i/>
          <w:iCs/>
          <w:color w:val="auto"/>
          <w:sz w:val="20"/>
          <w:lang w:val="en-GB"/>
        </w:rPr>
      </w:pPr>
      <w:r w:rsidRPr="009D3F20">
        <w:rPr>
          <w:rFonts w:ascii="Calibri" w:cs="Calibri"/>
          <w:i/>
          <w:iCs/>
          <w:color w:val="auto"/>
          <w:sz w:val="20"/>
          <w:lang w:val="en-GB"/>
        </w:rPr>
        <w:lastRenderedPageBreak/>
        <w:t>PhosAgro Group is the largest manufacturer of phosphate-based fertilisers in Europe (by total capacity of DAP/MAP/NP/NPK/NPS production), the largest producer of phosphite grading 39% P2O5 in the world and one of the leading global producers of ammonium and diammonium phosphate, one of Europe</w:t>
      </w:r>
      <w:r w:rsidRPr="009D3F20">
        <w:rPr>
          <w:rFonts w:ascii="Calibri" w:cs="Calibri"/>
          <w:i/>
          <w:iCs/>
          <w:color w:val="auto"/>
          <w:sz w:val="20"/>
          <w:lang w:val="en-GB"/>
        </w:rPr>
        <w:t>’</w:t>
      </w:r>
      <w:r w:rsidRPr="009D3F20">
        <w:rPr>
          <w:rFonts w:ascii="Calibri" w:cs="Calibri"/>
          <w:i/>
          <w:iCs/>
          <w:color w:val="auto"/>
          <w:sz w:val="20"/>
          <w:lang w:val="en-GB"/>
        </w:rPr>
        <w:t>s leading and the only producer in Russia of monocalcium phosphate feed (MCP), and the only producer in Russia of nepheline concentrate.</w:t>
      </w:r>
    </w:p>
    <w:p w14:paraId="66384D51" w14:textId="77777777" w:rsidR="008403EB" w:rsidRPr="009D3F20" w:rsidRDefault="008403EB" w:rsidP="008403EB">
      <w:pPr>
        <w:pStyle w:val="P68B1DB1-Normal4"/>
        <w:spacing w:after="120"/>
        <w:jc w:val="both"/>
        <w:rPr>
          <w:rFonts w:ascii="Calibri" w:cs="Calibri"/>
          <w:b/>
          <w:i/>
          <w:iCs/>
          <w:color w:val="auto"/>
          <w:sz w:val="20"/>
          <w:lang w:val="en-GB"/>
        </w:rPr>
      </w:pPr>
      <w:r w:rsidRPr="009D3F20">
        <w:rPr>
          <w:rFonts w:ascii="Calibri" w:cs="Calibri"/>
          <w:i/>
          <w:iCs/>
          <w:color w:val="auto"/>
          <w:sz w:val="20"/>
          <w:lang w:val="en-GB"/>
        </w:rPr>
        <w:t>The company</w:t>
      </w:r>
      <w:r w:rsidRPr="009D3F20">
        <w:rPr>
          <w:rFonts w:ascii="Calibri" w:cs="Calibri"/>
          <w:i/>
          <w:iCs/>
          <w:color w:val="auto"/>
          <w:sz w:val="20"/>
          <w:lang w:val="en-GB"/>
        </w:rPr>
        <w:t>’</w:t>
      </w:r>
      <w:r w:rsidRPr="009D3F20">
        <w:rPr>
          <w:rFonts w:ascii="Calibri" w:cs="Calibri"/>
          <w:i/>
          <w:iCs/>
          <w:color w:val="auto"/>
          <w:sz w:val="20"/>
          <w:lang w:val="en-GB"/>
        </w:rPr>
        <w:t>s main products, including phosphite, 57 grades of fertilizer, phosphate feed, ammonium, and sodium tripolyphosphate, are used in around 100 countries on all inhabited continents. Our priority markets, besides Russia and the CIS, are Latin America, Europe, and Asia.</w:t>
      </w:r>
    </w:p>
    <w:p w14:paraId="18FB1045" w14:textId="77777777" w:rsidR="008403EB" w:rsidRPr="009D3F20" w:rsidRDefault="008403EB" w:rsidP="008403EB">
      <w:pPr>
        <w:pStyle w:val="P68B1DB1-Normal4"/>
        <w:spacing w:after="120"/>
        <w:jc w:val="both"/>
        <w:rPr>
          <w:rFonts w:ascii="Calibri" w:cs="Calibri"/>
          <w:b/>
          <w:i/>
          <w:iCs/>
          <w:color w:val="auto"/>
          <w:sz w:val="20"/>
          <w:lang w:val="en-GB"/>
        </w:rPr>
      </w:pPr>
      <w:r w:rsidRPr="009D3F20">
        <w:rPr>
          <w:rFonts w:ascii="Calibri" w:cs="Calibri"/>
          <w:i/>
          <w:iCs/>
          <w:color w:val="auto"/>
          <w:sz w:val="20"/>
          <w:lang w:val="en-GB"/>
        </w:rPr>
        <w:t xml:space="preserve">The company's shares are listed on the Moscow Exchange and its Global Depositary Receipts (GDRs) are listed on the London Stock Exchange (MOEX and LSE ticker: PHOR).    </w:t>
      </w:r>
    </w:p>
    <w:p w14:paraId="72ABD37F" w14:textId="77777777" w:rsidR="008403EB" w:rsidRPr="005840C1" w:rsidRDefault="008403EB" w:rsidP="008403EB">
      <w:pPr>
        <w:pStyle w:val="P68B1DB1-Normal4"/>
        <w:spacing w:after="120"/>
        <w:jc w:val="both"/>
        <w:rPr>
          <w:rFonts w:ascii="Calibri" w:cs="Calibri"/>
          <w:b/>
          <w:i/>
          <w:iCs/>
          <w:color w:val="auto"/>
          <w:sz w:val="20"/>
          <w:lang w:val="en-US"/>
        </w:rPr>
      </w:pPr>
      <w:r w:rsidRPr="009D3F20">
        <w:rPr>
          <w:rFonts w:ascii="Calibri" w:cs="Calibri"/>
          <w:i/>
          <w:iCs/>
          <w:color w:val="auto"/>
          <w:sz w:val="20"/>
          <w:lang w:val="en-GB"/>
        </w:rPr>
        <w:t xml:space="preserve">More information about PhosAgro PJSC can be found on our site: </w:t>
      </w:r>
      <w:hyperlink r:id="rId8" w:history="1">
        <w:r w:rsidRPr="009D3F20">
          <w:rPr>
            <w:rStyle w:val="ae"/>
            <w:rFonts w:ascii="Calibri" w:eastAsia="Calibri" w:cs="Calibri"/>
            <w:i/>
            <w:iCs/>
            <w:sz w:val="20"/>
            <w:lang w:val="en-GB"/>
          </w:rPr>
          <w:t>www.phosagro.ru</w:t>
        </w:r>
      </w:hyperlink>
    </w:p>
    <w:p w14:paraId="69D43426" w14:textId="191B2C9B" w:rsidR="00A34B41" w:rsidRPr="008403EB" w:rsidRDefault="00A34B41" w:rsidP="008403EB">
      <w:pPr>
        <w:shd w:val="clear" w:color="auto" w:fill="FFFFFF"/>
        <w:jc w:val="both"/>
      </w:pPr>
    </w:p>
    <w:sectPr w:rsidR="00A34B41" w:rsidRPr="008403EB" w:rsidSect="001B2ACD">
      <w:pgSz w:w="11906" w:h="16838"/>
      <w:pgMar w:top="851" w:right="1077" w:bottom="107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65701"/>
    <w:multiLevelType w:val="hybridMultilevel"/>
    <w:tmpl w:val="23DAAD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E27768"/>
    <w:multiLevelType w:val="multilevel"/>
    <w:tmpl w:val="518A98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B603C2"/>
    <w:multiLevelType w:val="hybridMultilevel"/>
    <w:tmpl w:val="A42834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FED011E"/>
    <w:multiLevelType w:val="hybridMultilevel"/>
    <w:tmpl w:val="041030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11430E3"/>
    <w:multiLevelType w:val="multilevel"/>
    <w:tmpl w:val="595CB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8F1503"/>
    <w:multiLevelType w:val="hybridMultilevel"/>
    <w:tmpl w:val="BF3029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7DA5B4A"/>
    <w:multiLevelType w:val="hybridMultilevel"/>
    <w:tmpl w:val="D48C98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D482D54"/>
    <w:multiLevelType w:val="hybridMultilevel"/>
    <w:tmpl w:val="4A46E5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866432F"/>
    <w:multiLevelType w:val="hybridMultilevel"/>
    <w:tmpl w:val="3244EC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9893EBF"/>
    <w:multiLevelType w:val="hybridMultilevel"/>
    <w:tmpl w:val="DB3083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C4B20D5"/>
    <w:multiLevelType w:val="multilevel"/>
    <w:tmpl w:val="6FB01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4946A50"/>
    <w:multiLevelType w:val="hybridMultilevel"/>
    <w:tmpl w:val="7E2E2A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48507A2"/>
    <w:multiLevelType w:val="multilevel"/>
    <w:tmpl w:val="034CEC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7CE1775"/>
    <w:multiLevelType w:val="multilevel"/>
    <w:tmpl w:val="55DE8C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6056268"/>
    <w:multiLevelType w:val="hybridMultilevel"/>
    <w:tmpl w:val="E7A2DD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12"/>
  </w:num>
  <w:num w:numId="4">
    <w:abstractNumId w:val="1"/>
  </w:num>
  <w:num w:numId="5">
    <w:abstractNumId w:val="13"/>
  </w:num>
  <w:num w:numId="6">
    <w:abstractNumId w:val="0"/>
  </w:num>
  <w:num w:numId="7">
    <w:abstractNumId w:val="7"/>
  </w:num>
  <w:num w:numId="8">
    <w:abstractNumId w:val="9"/>
  </w:num>
  <w:num w:numId="9">
    <w:abstractNumId w:val="11"/>
  </w:num>
  <w:num w:numId="10">
    <w:abstractNumId w:val="2"/>
  </w:num>
  <w:num w:numId="11">
    <w:abstractNumId w:val="14"/>
  </w:num>
  <w:num w:numId="12">
    <w:abstractNumId w:val="6"/>
  </w:num>
  <w:num w:numId="13">
    <w:abstractNumId w:val="8"/>
  </w:num>
  <w:num w:numId="14">
    <w:abstractNumId w:val="5"/>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formatting="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D8F"/>
    <w:rsid w:val="00015425"/>
    <w:rsid w:val="00020A38"/>
    <w:rsid w:val="000210D9"/>
    <w:rsid w:val="000227CB"/>
    <w:rsid w:val="000463F2"/>
    <w:rsid w:val="00047A83"/>
    <w:rsid w:val="000509F6"/>
    <w:rsid w:val="0005303A"/>
    <w:rsid w:val="00062396"/>
    <w:rsid w:val="0009053B"/>
    <w:rsid w:val="0009479F"/>
    <w:rsid w:val="00094DBC"/>
    <w:rsid w:val="000A5295"/>
    <w:rsid w:val="000A6411"/>
    <w:rsid w:val="000A68F5"/>
    <w:rsid w:val="000A7089"/>
    <w:rsid w:val="000C1A57"/>
    <w:rsid w:val="000C3E67"/>
    <w:rsid w:val="000C5951"/>
    <w:rsid w:val="000D04BA"/>
    <w:rsid w:val="000D26BF"/>
    <w:rsid w:val="000D478C"/>
    <w:rsid w:val="000D562A"/>
    <w:rsid w:val="000E5D30"/>
    <w:rsid w:val="000E748B"/>
    <w:rsid w:val="000F1695"/>
    <w:rsid w:val="000F4803"/>
    <w:rsid w:val="000F5406"/>
    <w:rsid w:val="001011BB"/>
    <w:rsid w:val="00101C35"/>
    <w:rsid w:val="00101EA5"/>
    <w:rsid w:val="001022C9"/>
    <w:rsid w:val="00115D1D"/>
    <w:rsid w:val="00121EC1"/>
    <w:rsid w:val="00122A77"/>
    <w:rsid w:val="001300A6"/>
    <w:rsid w:val="001307F1"/>
    <w:rsid w:val="0014403C"/>
    <w:rsid w:val="00144361"/>
    <w:rsid w:val="00162D49"/>
    <w:rsid w:val="001779D4"/>
    <w:rsid w:val="00193A61"/>
    <w:rsid w:val="001A15E2"/>
    <w:rsid w:val="001A2547"/>
    <w:rsid w:val="001B19E1"/>
    <w:rsid w:val="001B2ACD"/>
    <w:rsid w:val="001B576A"/>
    <w:rsid w:val="001C6694"/>
    <w:rsid w:val="001D2E12"/>
    <w:rsid w:val="001D326D"/>
    <w:rsid w:val="001D3998"/>
    <w:rsid w:val="001D7BBD"/>
    <w:rsid w:val="001E11A9"/>
    <w:rsid w:val="001F144B"/>
    <w:rsid w:val="001F2EE0"/>
    <w:rsid w:val="00207052"/>
    <w:rsid w:val="00207A6B"/>
    <w:rsid w:val="0022276D"/>
    <w:rsid w:val="00222CFD"/>
    <w:rsid w:val="002232A4"/>
    <w:rsid w:val="002302DB"/>
    <w:rsid w:val="00232AB6"/>
    <w:rsid w:val="002444AE"/>
    <w:rsid w:val="0024468F"/>
    <w:rsid w:val="00247BF4"/>
    <w:rsid w:val="0025033A"/>
    <w:rsid w:val="00251E9C"/>
    <w:rsid w:val="00263520"/>
    <w:rsid w:val="00265E37"/>
    <w:rsid w:val="00266376"/>
    <w:rsid w:val="00271DEE"/>
    <w:rsid w:val="002801F6"/>
    <w:rsid w:val="002A2BBA"/>
    <w:rsid w:val="002A3862"/>
    <w:rsid w:val="002B3234"/>
    <w:rsid w:val="002C1EAB"/>
    <w:rsid w:val="002C2BE2"/>
    <w:rsid w:val="002C5733"/>
    <w:rsid w:val="002D2B49"/>
    <w:rsid w:val="002E133B"/>
    <w:rsid w:val="002E19BD"/>
    <w:rsid w:val="002E3FF3"/>
    <w:rsid w:val="00314393"/>
    <w:rsid w:val="00314FF7"/>
    <w:rsid w:val="0031609E"/>
    <w:rsid w:val="003237DC"/>
    <w:rsid w:val="0033199D"/>
    <w:rsid w:val="00342988"/>
    <w:rsid w:val="00344F52"/>
    <w:rsid w:val="003453CA"/>
    <w:rsid w:val="00356B59"/>
    <w:rsid w:val="00356FFA"/>
    <w:rsid w:val="00357674"/>
    <w:rsid w:val="00373887"/>
    <w:rsid w:val="00390DF9"/>
    <w:rsid w:val="003A1976"/>
    <w:rsid w:val="003A23D9"/>
    <w:rsid w:val="003B08C2"/>
    <w:rsid w:val="003C003D"/>
    <w:rsid w:val="003D3D27"/>
    <w:rsid w:val="003E0ABA"/>
    <w:rsid w:val="003E37F3"/>
    <w:rsid w:val="003E606C"/>
    <w:rsid w:val="00402D4D"/>
    <w:rsid w:val="004066BD"/>
    <w:rsid w:val="00407F3A"/>
    <w:rsid w:val="00410DC7"/>
    <w:rsid w:val="0042214F"/>
    <w:rsid w:val="00433F2A"/>
    <w:rsid w:val="0047176C"/>
    <w:rsid w:val="00474CD7"/>
    <w:rsid w:val="0047501D"/>
    <w:rsid w:val="004A4F0E"/>
    <w:rsid w:val="004B3E24"/>
    <w:rsid w:val="004C6CF4"/>
    <w:rsid w:val="004D2ED5"/>
    <w:rsid w:val="004D5ED7"/>
    <w:rsid w:val="004E0763"/>
    <w:rsid w:val="004E0E8C"/>
    <w:rsid w:val="004F00C6"/>
    <w:rsid w:val="005078C4"/>
    <w:rsid w:val="0051236D"/>
    <w:rsid w:val="005128DF"/>
    <w:rsid w:val="00526869"/>
    <w:rsid w:val="00531A31"/>
    <w:rsid w:val="005330B1"/>
    <w:rsid w:val="005409F8"/>
    <w:rsid w:val="00543C26"/>
    <w:rsid w:val="005534F9"/>
    <w:rsid w:val="00573F95"/>
    <w:rsid w:val="00576CF5"/>
    <w:rsid w:val="005A5842"/>
    <w:rsid w:val="005A7963"/>
    <w:rsid w:val="005B2BF8"/>
    <w:rsid w:val="005B42AB"/>
    <w:rsid w:val="005C42A6"/>
    <w:rsid w:val="005D5C58"/>
    <w:rsid w:val="005D687F"/>
    <w:rsid w:val="005F6591"/>
    <w:rsid w:val="00604A20"/>
    <w:rsid w:val="00615346"/>
    <w:rsid w:val="006153C4"/>
    <w:rsid w:val="00615536"/>
    <w:rsid w:val="006350F9"/>
    <w:rsid w:val="00657D55"/>
    <w:rsid w:val="0068400E"/>
    <w:rsid w:val="006A08D1"/>
    <w:rsid w:val="006A44B8"/>
    <w:rsid w:val="006B3E45"/>
    <w:rsid w:val="006C298B"/>
    <w:rsid w:val="006C3B36"/>
    <w:rsid w:val="006C638A"/>
    <w:rsid w:val="006C7CA1"/>
    <w:rsid w:val="006D4BC1"/>
    <w:rsid w:val="006D5B06"/>
    <w:rsid w:val="006F2015"/>
    <w:rsid w:val="0070590F"/>
    <w:rsid w:val="00727F17"/>
    <w:rsid w:val="00737653"/>
    <w:rsid w:val="00747987"/>
    <w:rsid w:val="00751280"/>
    <w:rsid w:val="00752062"/>
    <w:rsid w:val="0077065C"/>
    <w:rsid w:val="00775E41"/>
    <w:rsid w:val="007811DF"/>
    <w:rsid w:val="00785CEA"/>
    <w:rsid w:val="007A44E9"/>
    <w:rsid w:val="007B3019"/>
    <w:rsid w:val="007B41B5"/>
    <w:rsid w:val="007B7187"/>
    <w:rsid w:val="007C29EE"/>
    <w:rsid w:val="007E026B"/>
    <w:rsid w:val="007E130F"/>
    <w:rsid w:val="007E42BA"/>
    <w:rsid w:val="007F24D9"/>
    <w:rsid w:val="007F2F43"/>
    <w:rsid w:val="008138DC"/>
    <w:rsid w:val="008264DF"/>
    <w:rsid w:val="00830523"/>
    <w:rsid w:val="008403EB"/>
    <w:rsid w:val="00845B94"/>
    <w:rsid w:val="008474B5"/>
    <w:rsid w:val="0086544D"/>
    <w:rsid w:val="00876864"/>
    <w:rsid w:val="00884F18"/>
    <w:rsid w:val="00891E36"/>
    <w:rsid w:val="0089300A"/>
    <w:rsid w:val="008A1879"/>
    <w:rsid w:val="008A498A"/>
    <w:rsid w:val="008D4261"/>
    <w:rsid w:val="008D59D6"/>
    <w:rsid w:val="008E2201"/>
    <w:rsid w:val="008E2AA5"/>
    <w:rsid w:val="008E3D44"/>
    <w:rsid w:val="00921147"/>
    <w:rsid w:val="00930BB9"/>
    <w:rsid w:val="00933B36"/>
    <w:rsid w:val="0094077A"/>
    <w:rsid w:val="00941700"/>
    <w:rsid w:val="00946FC7"/>
    <w:rsid w:val="00947B30"/>
    <w:rsid w:val="00955EAF"/>
    <w:rsid w:val="009579B8"/>
    <w:rsid w:val="009623D5"/>
    <w:rsid w:val="009630B7"/>
    <w:rsid w:val="00964998"/>
    <w:rsid w:val="00965800"/>
    <w:rsid w:val="00976324"/>
    <w:rsid w:val="00976CDA"/>
    <w:rsid w:val="00976EE0"/>
    <w:rsid w:val="009B2B37"/>
    <w:rsid w:val="009B312F"/>
    <w:rsid w:val="009B402E"/>
    <w:rsid w:val="009C59AD"/>
    <w:rsid w:val="009C7962"/>
    <w:rsid w:val="009D32BB"/>
    <w:rsid w:val="009F7803"/>
    <w:rsid w:val="009F7D93"/>
    <w:rsid w:val="00A03299"/>
    <w:rsid w:val="00A23B56"/>
    <w:rsid w:val="00A25932"/>
    <w:rsid w:val="00A26D90"/>
    <w:rsid w:val="00A34513"/>
    <w:rsid w:val="00A34B41"/>
    <w:rsid w:val="00A416B0"/>
    <w:rsid w:val="00A4306E"/>
    <w:rsid w:val="00A43A76"/>
    <w:rsid w:val="00A46904"/>
    <w:rsid w:val="00A50B8F"/>
    <w:rsid w:val="00A56E77"/>
    <w:rsid w:val="00A63247"/>
    <w:rsid w:val="00A63E13"/>
    <w:rsid w:val="00A660C9"/>
    <w:rsid w:val="00A66120"/>
    <w:rsid w:val="00A67E36"/>
    <w:rsid w:val="00A70D94"/>
    <w:rsid w:val="00A76FC1"/>
    <w:rsid w:val="00A86F4C"/>
    <w:rsid w:val="00A90A9D"/>
    <w:rsid w:val="00AA2881"/>
    <w:rsid w:val="00AD3902"/>
    <w:rsid w:val="00AD7C8E"/>
    <w:rsid w:val="00B06729"/>
    <w:rsid w:val="00B078DA"/>
    <w:rsid w:val="00B15B0A"/>
    <w:rsid w:val="00B22223"/>
    <w:rsid w:val="00B231CC"/>
    <w:rsid w:val="00B243F6"/>
    <w:rsid w:val="00B250CE"/>
    <w:rsid w:val="00B3427A"/>
    <w:rsid w:val="00B44D24"/>
    <w:rsid w:val="00B45F80"/>
    <w:rsid w:val="00B50642"/>
    <w:rsid w:val="00B65D8F"/>
    <w:rsid w:val="00B85620"/>
    <w:rsid w:val="00B86CED"/>
    <w:rsid w:val="00B95231"/>
    <w:rsid w:val="00BA32A1"/>
    <w:rsid w:val="00BB52A2"/>
    <w:rsid w:val="00BD0DB7"/>
    <w:rsid w:val="00BE121D"/>
    <w:rsid w:val="00BE16F7"/>
    <w:rsid w:val="00BF4DF1"/>
    <w:rsid w:val="00BF7861"/>
    <w:rsid w:val="00C04D69"/>
    <w:rsid w:val="00C06CDA"/>
    <w:rsid w:val="00C07DA0"/>
    <w:rsid w:val="00C1118B"/>
    <w:rsid w:val="00C22EE1"/>
    <w:rsid w:val="00C35990"/>
    <w:rsid w:val="00C364C9"/>
    <w:rsid w:val="00C40B2F"/>
    <w:rsid w:val="00C443AC"/>
    <w:rsid w:val="00C46802"/>
    <w:rsid w:val="00C5286B"/>
    <w:rsid w:val="00C57630"/>
    <w:rsid w:val="00C75812"/>
    <w:rsid w:val="00C94828"/>
    <w:rsid w:val="00CA110B"/>
    <w:rsid w:val="00CA4D67"/>
    <w:rsid w:val="00CB51EA"/>
    <w:rsid w:val="00CD0759"/>
    <w:rsid w:val="00CD6D6F"/>
    <w:rsid w:val="00CD7D45"/>
    <w:rsid w:val="00CE7F41"/>
    <w:rsid w:val="00D00128"/>
    <w:rsid w:val="00D05B16"/>
    <w:rsid w:val="00D24D6A"/>
    <w:rsid w:val="00D36922"/>
    <w:rsid w:val="00D41EB1"/>
    <w:rsid w:val="00D4411C"/>
    <w:rsid w:val="00D61205"/>
    <w:rsid w:val="00D613E0"/>
    <w:rsid w:val="00D61D3A"/>
    <w:rsid w:val="00D75BC9"/>
    <w:rsid w:val="00DA32D7"/>
    <w:rsid w:val="00DA352E"/>
    <w:rsid w:val="00DA3873"/>
    <w:rsid w:val="00DD4D97"/>
    <w:rsid w:val="00DD7F28"/>
    <w:rsid w:val="00DE5187"/>
    <w:rsid w:val="00DF2010"/>
    <w:rsid w:val="00DF72D0"/>
    <w:rsid w:val="00E00AA3"/>
    <w:rsid w:val="00E013E4"/>
    <w:rsid w:val="00E109E1"/>
    <w:rsid w:val="00E121FE"/>
    <w:rsid w:val="00E14C74"/>
    <w:rsid w:val="00E17296"/>
    <w:rsid w:val="00E24C31"/>
    <w:rsid w:val="00E26414"/>
    <w:rsid w:val="00E41C15"/>
    <w:rsid w:val="00E42B11"/>
    <w:rsid w:val="00E547F3"/>
    <w:rsid w:val="00E74445"/>
    <w:rsid w:val="00E91682"/>
    <w:rsid w:val="00E95F0E"/>
    <w:rsid w:val="00EA3823"/>
    <w:rsid w:val="00EB3E8C"/>
    <w:rsid w:val="00EB4C20"/>
    <w:rsid w:val="00EC4426"/>
    <w:rsid w:val="00ED4F05"/>
    <w:rsid w:val="00ED620A"/>
    <w:rsid w:val="00EE2148"/>
    <w:rsid w:val="00EF081F"/>
    <w:rsid w:val="00F0035A"/>
    <w:rsid w:val="00F11627"/>
    <w:rsid w:val="00F12BC1"/>
    <w:rsid w:val="00F35995"/>
    <w:rsid w:val="00F3795A"/>
    <w:rsid w:val="00F43345"/>
    <w:rsid w:val="00F52D51"/>
    <w:rsid w:val="00F57308"/>
    <w:rsid w:val="00F57A55"/>
    <w:rsid w:val="00F80884"/>
    <w:rsid w:val="00F81B61"/>
    <w:rsid w:val="00F82CB2"/>
    <w:rsid w:val="00F866B8"/>
    <w:rsid w:val="00F948EE"/>
    <w:rsid w:val="00F957F8"/>
    <w:rsid w:val="00F95F71"/>
    <w:rsid w:val="00FA15C9"/>
    <w:rsid w:val="00FA412D"/>
    <w:rsid w:val="00FB3B0D"/>
    <w:rsid w:val="00FC0D82"/>
    <w:rsid w:val="00FC2179"/>
    <w:rsid w:val="00FC44C7"/>
    <w:rsid w:val="00FC6E2F"/>
    <w:rsid w:val="00FD3CA8"/>
    <w:rsid w:val="00FE6021"/>
    <w:rsid w:val="00FE6708"/>
    <w:rsid w:val="00FE6AF5"/>
    <w:rsid w:val="00FF6822"/>
    <w:rsid w:val="00FF6E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DE7D0"/>
  <w15:chartTrackingRefBased/>
  <w15:docId w15:val="{66CC7D45-510A-4463-B0CB-33608312A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B65D8F"/>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yperlink0">
    <w:name w:val="Hyperlink.0"/>
    <w:basedOn w:val="a0"/>
    <w:rsid w:val="00B65D8F"/>
    <w:rPr>
      <w:rFonts w:ascii="Times New Roman" w:eastAsia="Times New Roman" w:hAnsi="Times New Roman" w:cs="Times New Roman"/>
      <w:i/>
      <w:iCs/>
      <w:color w:val="0563C1"/>
      <w:sz w:val="18"/>
      <w:szCs w:val="18"/>
      <w:u w:val="single" w:color="0563C1"/>
      <w:lang w:val="en-US"/>
      <w14:textOutline w14:w="0" w14:cap="rnd" w14:cmpd="sng" w14:algn="ctr">
        <w14:noFill/>
        <w14:prstDash w14:val="solid"/>
        <w14:bevel/>
      </w14:textOutline>
    </w:rPr>
  </w:style>
  <w:style w:type="paragraph" w:styleId="a3">
    <w:name w:val="Normal (Web)"/>
    <w:basedOn w:val="a"/>
    <w:uiPriority w:val="99"/>
    <w:semiHidden/>
    <w:unhideWhenUsed/>
    <w:rsid w:val="00A70D9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rPr>
  </w:style>
  <w:style w:type="paragraph" w:styleId="a4">
    <w:name w:val="Balloon Text"/>
    <w:basedOn w:val="a"/>
    <w:link w:val="a5"/>
    <w:uiPriority w:val="99"/>
    <w:semiHidden/>
    <w:unhideWhenUsed/>
    <w:rsid w:val="000C5951"/>
    <w:rPr>
      <w:rFonts w:ascii="Segoe UI" w:hAnsi="Segoe UI" w:cs="Segoe UI"/>
      <w:sz w:val="18"/>
      <w:szCs w:val="18"/>
    </w:rPr>
  </w:style>
  <w:style w:type="character" w:customStyle="1" w:styleId="a5">
    <w:name w:val="Текст выноски Знак"/>
    <w:basedOn w:val="a0"/>
    <w:link w:val="a4"/>
    <w:uiPriority w:val="99"/>
    <w:semiHidden/>
    <w:rsid w:val="000C5951"/>
    <w:rPr>
      <w:rFonts w:ascii="Segoe UI" w:eastAsia="Calibri" w:hAnsi="Segoe UI" w:cs="Segoe UI"/>
      <w:color w:val="000000"/>
      <w:sz w:val="18"/>
      <w:szCs w:val="18"/>
      <w:u w:color="000000"/>
      <w:bdr w:val="nil"/>
      <w:lang w:val="en-US" w:eastAsia="ru-RU"/>
    </w:rPr>
  </w:style>
  <w:style w:type="character" w:styleId="a6">
    <w:name w:val="Subtle Reference"/>
    <w:basedOn w:val="a0"/>
    <w:uiPriority w:val="31"/>
    <w:qFormat/>
    <w:rsid w:val="008474B5"/>
    <w:rPr>
      <w:smallCaps/>
      <w:color w:val="5A5A5A" w:themeColor="text1" w:themeTint="A5"/>
    </w:rPr>
  </w:style>
  <w:style w:type="character" w:styleId="a7">
    <w:name w:val="annotation reference"/>
    <w:basedOn w:val="a0"/>
    <w:uiPriority w:val="99"/>
    <w:semiHidden/>
    <w:unhideWhenUsed/>
    <w:rsid w:val="001D2E12"/>
    <w:rPr>
      <w:sz w:val="16"/>
      <w:szCs w:val="16"/>
    </w:rPr>
  </w:style>
  <w:style w:type="paragraph" w:styleId="a8">
    <w:name w:val="annotation text"/>
    <w:basedOn w:val="a"/>
    <w:link w:val="a9"/>
    <w:uiPriority w:val="99"/>
    <w:semiHidden/>
    <w:unhideWhenUsed/>
    <w:rsid w:val="001D2E12"/>
    <w:rPr>
      <w:sz w:val="20"/>
      <w:szCs w:val="20"/>
    </w:rPr>
  </w:style>
  <w:style w:type="character" w:customStyle="1" w:styleId="a9">
    <w:name w:val="Текст примечания Знак"/>
    <w:basedOn w:val="a0"/>
    <w:link w:val="a8"/>
    <w:uiPriority w:val="99"/>
    <w:semiHidden/>
    <w:rsid w:val="001D2E12"/>
    <w:rPr>
      <w:rFonts w:ascii="Calibri" w:eastAsia="Calibri" w:hAnsi="Calibri" w:cs="Calibri"/>
      <w:color w:val="000000"/>
      <w:sz w:val="20"/>
      <w:szCs w:val="20"/>
      <w:u w:color="000000"/>
      <w:bdr w:val="nil"/>
      <w:lang w:val="en-US" w:eastAsia="ru-RU"/>
    </w:rPr>
  </w:style>
  <w:style w:type="paragraph" w:styleId="aa">
    <w:name w:val="annotation subject"/>
    <w:basedOn w:val="a8"/>
    <w:next w:val="a8"/>
    <w:link w:val="ab"/>
    <w:uiPriority w:val="99"/>
    <w:semiHidden/>
    <w:unhideWhenUsed/>
    <w:rsid w:val="001D2E12"/>
    <w:rPr>
      <w:b/>
      <w:bCs/>
    </w:rPr>
  </w:style>
  <w:style w:type="character" w:customStyle="1" w:styleId="ab">
    <w:name w:val="Тема примечания Знак"/>
    <w:basedOn w:val="a9"/>
    <w:link w:val="aa"/>
    <w:uiPriority w:val="99"/>
    <w:semiHidden/>
    <w:rsid w:val="001D2E12"/>
    <w:rPr>
      <w:rFonts w:ascii="Calibri" w:eastAsia="Calibri" w:hAnsi="Calibri" w:cs="Calibri"/>
      <w:b/>
      <w:bCs/>
      <w:color w:val="000000"/>
      <w:sz w:val="20"/>
      <w:szCs w:val="20"/>
      <w:u w:color="000000"/>
      <w:bdr w:val="nil"/>
      <w:lang w:val="en-US" w:eastAsia="ru-RU"/>
    </w:rPr>
  </w:style>
  <w:style w:type="paragraph" w:styleId="ac">
    <w:name w:val="List Paragraph"/>
    <w:basedOn w:val="a"/>
    <w:uiPriority w:val="34"/>
    <w:qFormat/>
    <w:rsid w:val="00DF201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color w:val="auto"/>
      <w:kern w:val="2"/>
      <w:sz w:val="22"/>
      <w:szCs w:val="22"/>
      <w:bdr w:val="none" w:sz="0" w:space="0" w:color="auto"/>
      <w:lang w:eastAsia="en-US"/>
      <w14:ligatures w14:val="standardContextual"/>
    </w:rPr>
  </w:style>
  <w:style w:type="paragraph" w:styleId="ad">
    <w:name w:val="Revision"/>
    <w:hidden/>
    <w:uiPriority w:val="99"/>
    <w:semiHidden/>
    <w:rsid w:val="00B06729"/>
    <w:pPr>
      <w:spacing w:after="0" w:line="240" w:lineRule="auto"/>
    </w:pPr>
    <w:rPr>
      <w:rFonts w:ascii="Calibri" w:eastAsia="Calibri" w:hAnsi="Calibri" w:cs="Calibri"/>
      <w:color w:val="000000"/>
      <w:sz w:val="24"/>
      <w:szCs w:val="24"/>
      <w:u w:color="000000"/>
      <w:bdr w:val="nil"/>
      <w:lang w:eastAsia="ru-RU"/>
    </w:rPr>
  </w:style>
  <w:style w:type="paragraph" w:customStyle="1" w:styleId="P68B1DB1-Normal4">
    <w:name w:val="P68B1DB1-Normal4"/>
    <w:basedOn w:val="a"/>
    <w:rsid w:val="008403E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Times New Roman" w:eastAsiaTheme="minorHAnsi" w:hAnsi="Times New Roman" w:cs="Times New Roman"/>
      <w:color w:val="000000" w:themeColor="text1"/>
      <w:szCs w:val="20"/>
      <w:bdr w:val="none" w:sz="0" w:space="0" w:color="auto"/>
      <w:lang w:val="en-CA" w:eastAsia="en-US"/>
    </w:rPr>
  </w:style>
  <w:style w:type="paragraph" w:customStyle="1" w:styleId="P68B1DB1-Normal22">
    <w:name w:val="P68B1DB1-Normal22"/>
    <w:basedOn w:val="a"/>
    <w:rsid w:val="008403E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SimSun" w:cs="Times New Roman"/>
      <w:b/>
      <w:color w:val="auto"/>
      <w:sz w:val="20"/>
      <w:szCs w:val="20"/>
      <w:bdr w:val="none" w:sz="0" w:space="0" w:color="auto"/>
      <w:lang w:val="en-CA" w:eastAsia="en-US"/>
    </w:rPr>
  </w:style>
  <w:style w:type="character" w:styleId="ae">
    <w:name w:val="Hyperlink"/>
    <w:basedOn w:val="a0"/>
    <w:uiPriority w:val="99"/>
    <w:unhideWhenUsed/>
    <w:rsid w:val="008403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422590">
      <w:bodyDiv w:val="1"/>
      <w:marLeft w:val="0"/>
      <w:marRight w:val="0"/>
      <w:marTop w:val="0"/>
      <w:marBottom w:val="0"/>
      <w:divBdr>
        <w:top w:val="none" w:sz="0" w:space="0" w:color="auto"/>
        <w:left w:val="none" w:sz="0" w:space="0" w:color="auto"/>
        <w:bottom w:val="none" w:sz="0" w:space="0" w:color="auto"/>
        <w:right w:val="none" w:sz="0" w:space="0" w:color="auto"/>
      </w:divBdr>
    </w:div>
    <w:div w:id="1557349502">
      <w:bodyDiv w:val="1"/>
      <w:marLeft w:val="0"/>
      <w:marRight w:val="0"/>
      <w:marTop w:val="0"/>
      <w:marBottom w:val="0"/>
      <w:divBdr>
        <w:top w:val="none" w:sz="0" w:space="0" w:color="auto"/>
        <w:left w:val="none" w:sz="0" w:space="0" w:color="auto"/>
        <w:bottom w:val="none" w:sz="0" w:space="0" w:color="auto"/>
        <w:right w:val="none" w:sz="0" w:space="0" w:color="auto"/>
      </w:divBdr>
    </w:div>
    <w:div w:id="1787892678">
      <w:bodyDiv w:val="1"/>
      <w:marLeft w:val="0"/>
      <w:marRight w:val="0"/>
      <w:marTop w:val="0"/>
      <w:marBottom w:val="0"/>
      <w:divBdr>
        <w:top w:val="none" w:sz="0" w:space="0" w:color="auto"/>
        <w:left w:val="none" w:sz="0" w:space="0" w:color="auto"/>
        <w:bottom w:val="none" w:sz="0" w:space="0" w:color="auto"/>
        <w:right w:val="none" w:sz="0" w:space="0" w:color="auto"/>
      </w:divBdr>
    </w:div>
    <w:div w:id="2013871479">
      <w:bodyDiv w:val="1"/>
      <w:marLeft w:val="0"/>
      <w:marRight w:val="0"/>
      <w:marTop w:val="0"/>
      <w:marBottom w:val="0"/>
      <w:divBdr>
        <w:top w:val="none" w:sz="0" w:space="0" w:color="auto"/>
        <w:left w:val="none" w:sz="0" w:space="0" w:color="auto"/>
        <w:bottom w:val="none" w:sz="0" w:space="0" w:color="auto"/>
        <w:right w:val="none" w:sz="0" w:space="0" w:color="auto"/>
      </w:divBdr>
      <w:divsChild>
        <w:div w:id="832339287">
          <w:marLeft w:val="0"/>
          <w:marRight w:val="0"/>
          <w:marTop w:val="0"/>
          <w:marBottom w:val="0"/>
          <w:divBdr>
            <w:top w:val="none" w:sz="0" w:space="0" w:color="auto"/>
            <w:left w:val="none" w:sz="0" w:space="0" w:color="auto"/>
            <w:bottom w:val="none" w:sz="0" w:space="0" w:color="auto"/>
            <w:right w:val="none" w:sz="0" w:space="0" w:color="auto"/>
          </w:divBdr>
        </w:div>
        <w:div w:id="355085672">
          <w:marLeft w:val="0"/>
          <w:marRight w:val="0"/>
          <w:marTop w:val="0"/>
          <w:marBottom w:val="0"/>
          <w:divBdr>
            <w:top w:val="none" w:sz="0" w:space="0" w:color="auto"/>
            <w:left w:val="none" w:sz="0" w:space="0" w:color="auto"/>
            <w:bottom w:val="none" w:sz="0" w:space="0" w:color="auto"/>
            <w:right w:val="none" w:sz="0" w:space="0" w:color="auto"/>
          </w:divBdr>
        </w:div>
      </w:divsChild>
    </w:div>
    <w:div w:id="207797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hosagro.ru" TargetMode="External"/><Relationship Id="rId3" Type="http://schemas.openxmlformats.org/officeDocument/2006/relationships/styles" Target="styles.xml"/><Relationship Id="rId7" Type="http://schemas.openxmlformats.org/officeDocument/2006/relationships/hyperlink" Target="http://www.phosagro.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DCAC2-C9F8-4B36-A6E7-65AAFCC68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749</Words>
  <Characters>4275</Characters>
  <Application>Microsoft Office Word</Application>
  <DocSecurity>4</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Кузеванов Иван Сергеевич</dc:creator>
  <cp:keywords/>
  <dc:description/>
  <cp:lastModifiedBy>Кузеванов Иван Сергеевич</cp:lastModifiedBy>
  <cp:revision>2</cp:revision>
  <cp:lastPrinted>2023-02-07T17:07:00Z</cp:lastPrinted>
  <dcterms:created xsi:type="dcterms:W3CDTF">2024-02-20T10:20:00Z</dcterms:created>
  <dcterms:modified xsi:type="dcterms:W3CDTF">2024-02-20T10:20:00Z</dcterms:modified>
</cp:coreProperties>
</file>