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560FF" w14:textId="5FEA6A18" w:rsidR="00F80739" w:rsidRPr="003F3794" w:rsidRDefault="003F3794">
      <w:pPr>
        <w:pStyle w:val="23"/>
        <w:rPr>
          <w:sz w:val="22"/>
          <w:szCs w:val="22"/>
          <w:lang w:val="en-GB"/>
        </w:rPr>
      </w:pPr>
      <w:bookmarkStart w:id="0" w:name="_Hlk166688531"/>
      <w:r w:rsidRPr="00A56CE1">
        <w:rPr>
          <w:noProof/>
          <w:lang w:val="ru-RU"/>
        </w:rPr>
        <w:drawing>
          <wp:inline distT="0" distB="0" distL="0" distR="0" wp14:anchorId="3EF509EA" wp14:editId="598A1EC3">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16C6E397" w14:textId="77777777" w:rsidR="00F80739" w:rsidRPr="003F3794" w:rsidRDefault="00F80739">
      <w:pPr>
        <w:jc w:val="both"/>
        <w:rPr>
          <w:b/>
          <w:sz w:val="22"/>
          <w:szCs w:val="22"/>
          <w:lang w:val="en-GB"/>
        </w:rPr>
      </w:pPr>
    </w:p>
    <w:p w14:paraId="31F8131F" w14:textId="38BFBD20" w:rsidR="00F80739" w:rsidRPr="003F3794" w:rsidRDefault="00EC1F21" w:rsidP="00AE52BC">
      <w:pPr>
        <w:pStyle w:val="P68B1DB1-Normal1"/>
        <w:spacing w:after="120"/>
        <w:jc w:val="center"/>
        <w:rPr>
          <w:rFonts w:ascii="Calibri" w:hAnsi="Calibri" w:cs="Calibri"/>
          <w:sz w:val="22"/>
          <w:szCs w:val="22"/>
          <w:lang w:val="en-GB"/>
        </w:rPr>
      </w:pPr>
      <w:r w:rsidRPr="003F3794">
        <w:rPr>
          <w:rFonts w:ascii="Calibri" w:hAnsi="Calibri" w:cs="Calibri"/>
          <w:sz w:val="22"/>
          <w:szCs w:val="22"/>
          <w:lang w:val="en-GB"/>
        </w:rPr>
        <w:t xml:space="preserve">In Year-End Review, </w:t>
      </w:r>
      <w:proofErr w:type="spellStart"/>
      <w:r w:rsidR="00D24098" w:rsidRPr="003F3794">
        <w:rPr>
          <w:rFonts w:ascii="Calibri" w:hAnsi="Calibri" w:cs="Calibri"/>
          <w:sz w:val="22"/>
          <w:szCs w:val="22"/>
          <w:lang w:val="en-GB"/>
        </w:rPr>
        <w:t>PhosAgro</w:t>
      </w:r>
      <w:proofErr w:type="spellEnd"/>
      <w:r w:rsidR="00D24098" w:rsidRPr="003F3794">
        <w:rPr>
          <w:rFonts w:ascii="Calibri" w:hAnsi="Calibri" w:cs="Calibri"/>
          <w:sz w:val="22"/>
          <w:szCs w:val="22"/>
          <w:lang w:val="en-GB"/>
        </w:rPr>
        <w:t xml:space="preserve"> Management Board</w:t>
      </w:r>
      <w:r w:rsidRPr="003F3794">
        <w:rPr>
          <w:rFonts w:ascii="Calibri" w:hAnsi="Calibri" w:cs="Calibri"/>
          <w:sz w:val="22"/>
          <w:szCs w:val="22"/>
          <w:lang w:val="en-GB"/>
        </w:rPr>
        <w:t xml:space="preserve"> Highlights New Records in Production, Investment, Tax Payments and Social Support</w:t>
      </w:r>
    </w:p>
    <w:p w14:paraId="69E37D08" w14:textId="2173E41C" w:rsidR="00F80739" w:rsidRPr="003F3794" w:rsidRDefault="00000000" w:rsidP="009E2755">
      <w:pPr>
        <w:pStyle w:val="P68B1DB1-Normal2"/>
        <w:spacing w:after="120"/>
        <w:jc w:val="both"/>
        <w:rPr>
          <w:rFonts w:ascii="Calibri" w:hAnsi="Calibri"/>
          <w:b/>
          <w:sz w:val="22"/>
          <w:szCs w:val="22"/>
          <w:lang w:val="en-US"/>
        </w:rPr>
      </w:pPr>
      <w:r w:rsidRPr="003F3794">
        <w:rPr>
          <w:rFonts w:ascii="Calibri" w:hAnsi="Calibri"/>
          <w:b/>
          <w:sz w:val="22"/>
          <w:szCs w:val="22"/>
          <w:lang w:val="en-GB"/>
        </w:rPr>
        <w:t>Moscow</w:t>
      </w:r>
      <w:r w:rsidR="009E2755" w:rsidRPr="003F3794">
        <w:rPr>
          <w:rFonts w:ascii="Calibri" w:hAnsi="Calibri"/>
          <w:b/>
          <w:sz w:val="22"/>
          <w:szCs w:val="22"/>
          <w:lang w:val="en-US"/>
        </w:rPr>
        <w:t xml:space="preserve"> –</w:t>
      </w:r>
      <w:r w:rsidR="00EC1F21" w:rsidRPr="003F3794">
        <w:rPr>
          <w:rFonts w:ascii="Calibri" w:hAnsi="Calibri"/>
          <w:b/>
          <w:sz w:val="22"/>
          <w:szCs w:val="22"/>
          <w:lang w:val="en-GB"/>
        </w:rPr>
        <w:t xml:space="preserve"> </w:t>
      </w:r>
      <w:r w:rsidR="00EC1F21" w:rsidRPr="003F3794">
        <w:rPr>
          <w:rFonts w:ascii="Calibri" w:hAnsi="Calibri"/>
          <w:sz w:val="22"/>
          <w:szCs w:val="22"/>
          <w:lang w:val="en-GB"/>
        </w:rPr>
        <w:t xml:space="preserve">Speaking at a meeting of </w:t>
      </w:r>
      <w:proofErr w:type="spellStart"/>
      <w:r w:rsidR="00EC1F21" w:rsidRPr="003F3794">
        <w:rPr>
          <w:rFonts w:ascii="Calibri" w:hAnsi="Calibri"/>
          <w:sz w:val="22"/>
          <w:szCs w:val="22"/>
          <w:lang w:val="en-GB"/>
        </w:rPr>
        <w:t>PhosAgro’s</w:t>
      </w:r>
      <w:proofErr w:type="spellEnd"/>
      <w:r w:rsidR="00EC1F21" w:rsidRPr="003F3794">
        <w:rPr>
          <w:rFonts w:ascii="Calibri" w:hAnsi="Calibri"/>
          <w:sz w:val="22"/>
          <w:szCs w:val="22"/>
          <w:lang w:val="en-GB"/>
        </w:rPr>
        <w:t xml:space="preserve"> Management Board,</w:t>
      </w:r>
      <w:r w:rsidRPr="003F3794">
        <w:rPr>
          <w:rFonts w:ascii="Calibri" w:hAnsi="Calibri"/>
          <w:sz w:val="22"/>
          <w:szCs w:val="22"/>
          <w:lang w:val="en-GB"/>
        </w:rPr>
        <w:t xml:space="preserve"> </w:t>
      </w:r>
      <w:r w:rsidR="00EC1F21" w:rsidRPr="003F3794">
        <w:rPr>
          <w:rFonts w:ascii="Calibri" w:hAnsi="Calibri"/>
          <w:sz w:val="22"/>
          <w:szCs w:val="22"/>
          <w:lang w:val="en-GB"/>
        </w:rPr>
        <w:t>the</w:t>
      </w:r>
      <w:r w:rsidR="00EC1F21" w:rsidRPr="003F3794">
        <w:rPr>
          <w:rFonts w:ascii="Calibri" w:hAnsi="Calibri"/>
          <w:b/>
          <w:bCs/>
          <w:sz w:val="22"/>
          <w:szCs w:val="22"/>
          <w:lang w:val="en-GB"/>
        </w:rPr>
        <w:t xml:space="preserve"> Company’s</w:t>
      </w:r>
      <w:r w:rsidR="00EC1F21" w:rsidRPr="003F3794">
        <w:rPr>
          <w:rFonts w:ascii="Calibri" w:hAnsi="Calibri"/>
          <w:b/>
          <w:sz w:val="22"/>
          <w:szCs w:val="22"/>
          <w:lang w:val="en-GB"/>
        </w:rPr>
        <w:t xml:space="preserve"> CEO, Mikhail </w:t>
      </w:r>
      <w:proofErr w:type="spellStart"/>
      <w:r w:rsidR="00EC1F21" w:rsidRPr="003F3794">
        <w:rPr>
          <w:rFonts w:ascii="Calibri" w:hAnsi="Calibri"/>
          <w:b/>
          <w:sz w:val="22"/>
          <w:szCs w:val="22"/>
          <w:lang w:val="en-GB"/>
        </w:rPr>
        <w:t>Rybnikov</w:t>
      </w:r>
      <w:proofErr w:type="spellEnd"/>
      <w:r w:rsidR="00EC1F21" w:rsidRPr="003F3794">
        <w:rPr>
          <w:rFonts w:ascii="Calibri" w:hAnsi="Calibri"/>
          <w:bCs/>
          <w:sz w:val="22"/>
          <w:szCs w:val="22"/>
          <w:lang w:val="en-GB"/>
        </w:rPr>
        <w:t>,</w:t>
      </w:r>
      <w:r w:rsidR="00EC1F21" w:rsidRPr="003F3794">
        <w:rPr>
          <w:rFonts w:ascii="Calibri" w:hAnsi="Calibri"/>
          <w:sz w:val="22"/>
          <w:szCs w:val="22"/>
          <w:lang w:val="en-GB"/>
        </w:rPr>
        <w:t xml:space="preserve"> announced that the </w:t>
      </w:r>
      <w:r w:rsidRPr="003F3794">
        <w:rPr>
          <w:rFonts w:ascii="Calibri" w:hAnsi="Calibri"/>
          <w:sz w:val="22"/>
          <w:szCs w:val="22"/>
          <w:lang w:val="en-GB"/>
        </w:rPr>
        <w:t>Group is finishing 2024 on a high note, having established several new records in terms of production, investment and social contributions</w:t>
      </w:r>
      <w:r w:rsidR="00EC1F21" w:rsidRPr="003F3794">
        <w:rPr>
          <w:rFonts w:ascii="Calibri" w:hAnsi="Calibri"/>
          <w:sz w:val="22"/>
          <w:szCs w:val="22"/>
          <w:lang w:val="en-GB"/>
        </w:rPr>
        <w:t>.</w:t>
      </w:r>
      <w:r w:rsidRPr="003F3794">
        <w:rPr>
          <w:rFonts w:ascii="Calibri" w:hAnsi="Calibri"/>
          <w:sz w:val="22"/>
          <w:szCs w:val="22"/>
          <w:lang w:val="en-GB"/>
        </w:rPr>
        <w:t xml:space="preserve"> </w:t>
      </w:r>
    </w:p>
    <w:p w14:paraId="725F7A7C" w14:textId="6BC459EE" w:rsidR="00F80739" w:rsidRPr="003F3794" w:rsidRDefault="00000000">
      <w:pPr>
        <w:pStyle w:val="P68B1DB1-ListParagraph3"/>
        <w:numPr>
          <w:ilvl w:val="0"/>
          <w:numId w:val="25"/>
        </w:numPr>
        <w:spacing w:after="120"/>
        <w:ind w:left="567"/>
        <w:jc w:val="both"/>
        <w:rPr>
          <w:rFonts w:ascii="Calibri" w:hAnsi="Calibri" w:cs="Calibri"/>
          <w:sz w:val="22"/>
          <w:szCs w:val="22"/>
          <w:lang w:val="en-GB"/>
        </w:rPr>
      </w:pPr>
      <w:r w:rsidRPr="003F3794">
        <w:rPr>
          <w:rFonts w:ascii="Calibri" w:hAnsi="Calibri" w:cs="Calibri"/>
          <w:sz w:val="22"/>
          <w:szCs w:val="22"/>
          <w:lang w:val="en-GB"/>
        </w:rPr>
        <w:t xml:space="preserve">By the end of the year, the Company expects to reach </w:t>
      </w:r>
      <w:r w:rsidRPr="003F3794">
        <w:rPr>
          <w:rFonts w:ascii="Calibri" w:hAnsi="Calibri" w:cs="Calibri"/>
          <w:b/>
          <w:sz w:val="22"/>
          <w:szCs w:val="22"/>
          <w:lang w:val="en-GB"/>
        </w:rPr>
        <w:t xml:space="preserve">a new all-time high in terms of annual production output, exceeding 11.7 million tonnes </w:t>
      </w:r>
      <w:r w:rsidRPr="003F3794">
        <w:rPr>
          <w:rFonts w:ascii="Calibri" w:hAnsi="Calibri" w:cs="Calibri"/>
          <w:bCs/>
          <w:sz w:val="22"/>
          <w:szCs w:val="22"/>
          <w:lang w:val="en-GB"/>
        </w:rPr>
        <w:t>(up</w:t>
      </w:r>
      <w:r w:rsidRPr="003F3794">
        <w:rPr>
          <w:rFonts w:ascii="Calibri" w:hAnsi="Calibri" w:cs="Calibri"/>
          <w:b/>
          <w:sz w:val="22"/>
          <w:szCs w:val="22"/>
          <w:lang w:val="en-GB"/>
        </w:rPr>
        <w:t xml:space="preserve"> </w:t>
      </w:r>
      <w:r w:rsidRPr="003F3794">
        <w:rPr>
          <w:rFonts w:ascii="Calibri" w:hAnsi="Calibri" w:cs="Calibri"/>
          <w:sz w:val="22"/>
          <w:szCs w:val="22"/>
          <w:lang w:val="en-GB"/>
        </w:rPr>
        <w:t xml:space="preserve">4% year-on-year). The main factor </w:t>
      </w:r>
      <w:r w:rsidR="00EC1F21" w:rsidRPr="003F3794">
        <w:rPr>
          <w:rFonts w:ascii="Calibri" w:hAnsi="Calibri" w:cs="Calibri"/>
          <w:sz w:val="22"/>
          <w:szCs w:val="22"/>
          <w:lang w:val="en-GB"/>
        </w:rPr>
        <w:t>driving</w:t>
      </w:r>
      <w:r w:rsidRPr="003F3794">
        <w:rPr>
          <w:rFonts w:ascii="Calibri" w:hAnsi="Calibri" w:cs="Calibri"/>
          <w:sz w:val="22"/>
          <w:szCs w:val="22"/>
          <w:lang w:val="en-GB"/>
        </w:rPr>
        <w:t xml:space="preserve"> the production increase is the fact that the Company</w:t>
      </w:r>
      <w:r w:rsidR="00EC1F21" w:rsidRPr="003F3794">
        <w:rPr>
          <w:rFonts w:ascii="Calibri" w:hAnsi="Calibri" w:cs="Calibri"/>
          <w:sz w:val="22"/>
          <w:szCs w:val="22"/>
          <w:lang w:val="en-GB"/>
        </w:rPr>
        <w:t>’s</w:t>
      </w:r>
      <w:r w:rsidRPr="003F3794">
        <w:rPr>
          <w:rFonts w:ascii="Calibri" w:hAnsi="Calibri" w:cs="Calibri"/>
          <w:sz w:val="22"/>
          <w:szCs w:val="22"/>
          <w:lang w:val="en-GB"/>
        </w:rPr>
        <w:t xml:space="preserve"> </w:t>
      </w:r>
      <w:proofErr w:type="spellStart"/>
      <w:r w:rsidRPr="003F3794">
        <w:rPr>
          <w:rFonts w:ascii="Calibri" w:hAnsi="Calibri" w:cs="Calibri"/>
          <w:sz w:val="22"/>
          <w:szCs w:val="22"/>
          <w:lang w:val="en-GB"/>
        </w:rPr>
        <w:t>Volkhov</w:t>
      </w:r>
      <w:proofErr w:type="spellEnd"/>
      <w:r w:rsidRPr="003F3794">
        <w:rPr>
          <w:rFonts w:ascii="Calibri" w:hAnsi="Calibri" w:cs="Calibri"/>
          <w:sz w:val="22"/>
          <w:szCs w:val="22"/>
          <w:lang w:val="en-GB"/>
        </w:rPr>
        <w:t xml:space="preserve"> production complex reached design capacity in 2024. </w:t>
      </w:r>
    </w:p>
    <w:p w14:paraId="032DED3A" w14:textId="45FE5CD3" w:rsidR="00F80739" w:rsidRPr="003F3794" w:rsidRDefault="00000000">
      <w:pPr>
        <w:pStyle w:val="P68B1DB1-ListParagraph3"/>
        <w:numPr>
          <w:ilvl w:val="0"/>
          <w:numId w:val="25"/>
        </w:numPr>
        <w:spacing w:after="120"/>
        <w:ind w:left="567"/>
        <w:jc w:val="both"/>
        <w:rPr>
          <w:rFonts w:ascii="Calibri" w:hAnsi="Calibri" w:cs="Calibri"/>
          <w:sz w:val="22"/>
          <w:szCs w:val="22"/>
          <w:lang w:val="en-GB"/>
        </w:rPr>
      </w:pPr>
      <w:r w:rsidRPr="003F3794">
        <w:rPr>
          <w:rFonts w:ascii="Calibri" w:hAnsi="Calibri" w:cs="Calibri"/>
          <w:sz w:val="22"/>
          <w:szCs w:val="22"/>
          <w:lang w:val="en-GB"/>
        </w:rPr>
        <w:t xml:space="preserve">The Company continues to grow </w:t>
      </w:r>
      <w:r w:rsidRPr="003F3794">
        <w:rPr>
          <w:rFonts w:ascii="Calibri" w:hAnsi="Calibri" w:cs="Calibri"/>
          <w:bCs/>
          <w:sz w:val="22"/>
          <w:szCs w:val="22"/>
          <w:lang w:val="en-GB"/>
        </w:rPr>
        <w:t>at a fast past,</w:t>
      </w:r>
      <w:r w:rsidRPr="003F3794">
        <w:rPr>
          <w:rFonts w:ascii="Calibri" w:hAnsi="Calibri" w:cs="Calibri"/>
          <w:b/>
          <w:sz w:val="22"/>
          <w:szCs w:val="22"/>
          <w:lang w:val="en-GB"/>
        </w:rPr>
        <w:t xml:space="preserve"> allocating a record RUB 75 billion for investment</w:t>
      </w:r>
      <w:r w:rsidR="00EC1F21" w:rsidRPr="003F3794">
        <w:rPr>
          <w:rFonts w:ascii="Calibri" w:hAnsi="Calibri" w:cs="Calibri"/>
          <w:b/>
          <w:sz w:val="22"/>
          <w:szCs w:val="22"/>
          <w:lang w:val="en-GB"/>
        </w:rPr>
        <w:t>s</w:t>
      </w:r>
      <w:r w:rsidRPr="003F3794">
        <w:rPr>
          <w:rFonts w:ascii="Calibri" w:hAnsi="Calibri" w:cs="Calibri"/>
          <w:b/>
          <w:sz w:val="22"/>
          <w:szCs w:val="22"/>
          <w:lang w:val="en-GB"/>
        </w:rPr>
        <w:t xml:space="preserve"> in 2024</w:t>
      </w:r>
      <w:r w:rsidRPr="003F3794">
        <w:rPr>
          <w:rFonts w:ascii="Calibri" w:hAnsi="Calibri" w:cs="Calibri"/>
          <w:sz w:val="22"/>
          <w:szCs w:val="22"/>
          <w:lang w:val="en-GB"/>
        </w:rPr>
        <w:t xml:space="preserve">, </w:t>
      </w:r>
      <w:r w:rsidR="00EC1F21" w:rsidRPr="003F3794">
        <w:rPr>
          <w:rFonts w:ascii="Calibri" w:hAnsi="Calibri" w:cs="Calibri"/>
          <w:sz w:val="22"/>
          <w:szCs w:val="22"/>
          <w:lang w:val="en-GB"/>
        </w:rPr>
        <w:t>a</w:t>
      </w:r>
      <w:r w:rsidRPr="003F3794">
        <w:rPr>
          <w:rFonts w:ascii="Calibri" w:hAnsi="Calibri" w:cs="Calibri"/>
          <w:sz w:val="22"/>
          <w:szCs w:val="22"/>
          <w:lang w:val="en-GB"/>
        </w:rPr>
        <w:t xml:space="preserve">n increase of 17% </w:t>
      </w:r>
      <w:r w:rsidR="00EC1F21" w:rsidRPr="003F3794">
        <w:rPr>
          <w:rFonts w:ascii="Calibri" w:hAnsi="Calibri" w:cs="Calibri"/>
          <w:sz w:val="22"/>
          <w:szCs w:val="22"/>
          <w:lang w:val="en-GB"/>
        </w:rPr>
        <w:t>above</w:t>
      </w:r>
      <w:r w:rsidRPr="003F3794">
        <w:rPr>
          <w:rFonts w:ascii="Calibri" w:hAnsi="Calibri" w:cs="Calibri"/>
          <w:sz w:val="22"/>
          <w:szCs w:val="22"/>
          <w:lang w:val="en-GB"/>
        </w:rPr>
        <w:t xml:space="preserve"> the previous year</w:t>
      </w:r>
      <w:r w:rsidR="00EC1F21" w:rsidRPr="003F3794">
        <w:rPr>
          <w:rFonts w:ascii="Calibri" w:hAnsi="Calibri" w:cs="Calibri"/>
          <w:sz w:val="22"/>
          <w:szCs w:val="22"/>
          <w:lang w:val="en-GB"/>
        </w:rPr>
        <w:t>’s record capital expenditures</w:t>
      </w:r>
      <w:r w:rsidRPr="003F3794">
        <w:rPr>
          <w:rFonts w:ascii="Calibri" w:hAnsi="Calibri" w:cs="Calibri"/>
          <w:sz w:val="22"/>
          <w:szCs w:val="22"/>
          <w:lang w:val="en-GB"/>
        </w:rPr>
        <w:t xml:space="preserve">. In total, the Company </w:t>
      </w:r>
      <w:r w:rsidR="00EC1F21" w:rsidRPr="003F3794">
        <w:rPr>
          <w:rFonts w:ascii="Calibri" w:hAnsi="Calibri" w:cs="Calibri"/>
          <w:sz w:val="22"/>
          <w:szCs w:val="22"/>
          <w:lang w:val="en-GB"/>
        </w:rPr>
        <w:t xml:space="preserve">has </w:t>
      </w:r>
      <w:r w:rsidRPr="003F3794">
        <w:rPr>
          <w:rFonts w:ascii="Calibri" w:hAnsi="Calibri" w:cs="Calibri"/>
          <w:sz w:val="22"/>
          <w:szCs w:val="22"/>
          <w:lang w:val="en-GB"/>
        </w:rPr>
        <w:t>invested RUB 203 billion from 2022 through 2024.</w:t>
      </w:r>
    </w:p>
    <w:p w14:paraId="6C775A42" w14:textId="34B0F827" w:rsidR="00F80739" w:rsidRPr="003F3794" w:rsidRDefault="00000000">
      <w:pPr>
        <w:pStyle w:val="P68B1DB1-ListParagraph3"/>
        <w:numPr>
          <w:ilvl w:val="0"/>
          <w:numId w:val="25"/>
        </w:numPr>
        <w:spacing w:after="120"/>
        <w:ind w:left="567"/>
        <w:jc w:val="both"/>
        <w:rPr>
          <w:rFonts w:ascii="Calibri" w:hAnsi="Calibri" w:cs="Calibri"/>
          <w:sz w:val="22"/>
          <w:szCs w:val="22"/>
          <w:lang w:val="en-GB"/>
        </w:rPr>
      </w:pPr>
      <w:r w:rsidRPr="003F3794">
        <w:rPr>
          <w:rFonts w:ascii="Calibri" w:hAnsi="Calibri" w:cs="Calibri"/>
          <w:b/>
          <w:sz w:val="22"/>
          <w:szCs w:val="22"/>
          <w:lang w:val="en-GB"/>
        </w:rPr>
        <w:t>Funding for social and charitable projects will exceed RUB 14 billion in 2024</w:t>
      </w:r>
      <w:r w:rsidRPr="003F3794">
        <w:rPr>
          <w:rFonts w:ascii="Calibri" w:hAnsi="Calibri" w:cs="Calibri"/>
          <w:sz w:val="22"/>
          <w:szCs w:val="22"/>
          <w:lang w:val="en-GB"/>
        </w:rPr>
        <w:t>, a 14% increase on last year</w:t>
      </w:r>
      <w:r w:rsidR="00EC1F21" w:rsidRPr="003F3794">
        <w:rPr>
          <w:rFonts w:ascii="Calibri" w:hAnsi="Calibri" w:cs="Calibri"/>
          <w:sz w:val="22"/>
          <w:szCs w:val="22"/>
          <w:lang w:val="en-GB"/>
        </w:rPr>
        <w:t>’</w:t>
      </w:r>
      <w:r w:rsidRPr="003F3794">
        <w:rPr>
          <w:rFonts w:ascii="Calibri" w:hAnsi="Calibri" w:cs="Calibri"/>
          <w:sz w:val="22"/>
          <w:szCs w:val="22"/>
          <w:lang w:val="en-GB"/>
        </w:rPr>
        <w:t xml:space="preserve">s record amount. </w:t>
      </w:r>
      <w:proofErr w:type="gramStart"/>
      <w:r w:rsidRPr="003F3794">
        <w:rPr>
          <w:rFonts w:ascii="Calibri" w:hAnsi="Calibri" w:cs="Calibri"/>
          <w:sz w:val="22"/>
          <w:szCs w:val="22"/>
          <w:lang w:val="en-GB"/>
        </w:rPr>
        <w:t>In particular, funding</w:t>
      </w:r>
      <w:proofErr w:type="gramEnd"/>
      <w:r w:rsidRPr="003F3794">
        <w:rPr>
          <w:rFonts w:ascii="Calibri" w:hAnsi="Calibri" w:cs="Calibri"/>
          <w:sz w:val="22"/>
          <w:szCs w:val="22"/>
          <w:lang w:val="en-GB"/>
        </w:rPr>
        <w:t xml:space="preserve"> increased for </w:t>
      </w:r>
      <w:r w:rsidR="00EC1F21" w:rsidRPr="003F3794">
        <w:rPr>
          <w:rFonts w:ascii="Calibri" w:hAnsi="Calibri" w:cs="Calibri"/>
          <w:sz w:val="22"/>
          <w:szCs w:val="22"/>
          <w:lang w:val="en-GB"/>
        </w:rPr>
        <w:t xml:space="preserve">the winners of </w:t>
      </w:r>
      <w:r w:rsidRPr="003F3794">
        <w:rPr>
          <w:rFonts w:ascii="Calibri" w:hAnsi="Calibri" w:cs="Calibri"/>
          <w:sz w:val="22"/>
          <w:szCs w:val="22"/>
          <w:lang w:val="en-GB"/>
        </w:rPr>
        <w:t>the Responsible Business Leaders national award</w:t>
      </w:r>
      <w:r w:rsidR="00EC1F21" w:rsidRPr="003F3794">
        <w:rPr>
          <w:rFonts w:ascii="Calibri" w:hAnsi="Calibri" w:cs="Calibri"/>
          <w:sz w:val="22"/>
          <w:szCs w:val="22"/>
          <w:lang w:val="en-GB"/>
        </w:rPr>
        <w:t>s</w:t>
      </w:r>
      <w:r w:rsidRPr="003F3794">
        <w:rPr>
          <w:rFonts w:ascii="Calibri" w:hAnsi="Calibri" w:cs="Calibri"/>
          <w:sz w:val="22"/>
          <w:szCs w:val="22"/>
          <w:lang w:val="en-GB"/>
        </w:rPr>
        <w:t xml:space="preserve">, established by Russian President Vladimir Putin. Additional financing was also provided to support </w:t>
      </w:r>
      <w:r w:rsidR="00EC1F21" w:rsidRPr="003F3794">
        <w:rPr>
          <w:rFonts w:ascii="Calibri" w:hAnsi="Calibri" w:cs="Calibri"/>
          <w:sz w:val="22"/>
          <w:szCs w:val="22"/>
          <w:lang w:val="en-GB"/>
        </w:rPr>
        <w:t xml:space="preserve">youth </w:t>
      </w:r>
      <w:r w:rsidRPr="003F3794">
        <w:rPr>
          <w:rFonts w:ascii="Calibri" w:hAnsi="Calibri" w:cs="Calibri"/>
          <w:sz w:val="22"/>
          <w:szCs w:val="22"/>
          <w:lang w:val="en-GB"/>
        </w:rPr>
        <w:t xml:space="preserve">sports through the Education, Health and Spirituality for Russian Children project (DROZD), to support the Our Beautiful Cities regional beautification programme in the regions where the Company operates and to develop </w:t>
      </w:r>
      <w:r w:rsidR="00EC1F21" w:rsidRPr="003F3794">
        <w:rPr>
          <w:rFonts w:ascii="Calibri" w:hAnsi="Calibri" w:cs="Calibri"/>
          <w:sz w:val="22"/>
          <w:szCs w:val="22"/>
          <w:lang w:val="en-GB"/>
        </w:rPr>
        <w:t>the Company’s</w:t>
      </w:r>
      <w:r w:rsidRPr="003F3794">
        <w:rPr>
          <w:rFonts w:ascii="Calibri" w:hAnsi="Calibri" w:cs="Calibri"/>
          <w:sz w:val="22"/>
          <w:szCs w:val="22"/>
          <w:lang w:val="en-GB"/>
        </w:rPr>
        <w:t xml:space="preserve"> pathway for training personnel from school to vocational school or university and on to employ</w:t>
      </w:r>
      <w:r w:rsidR="00EC1F21" w:rsidRPr="003F3794">
        <w:rPr>
          <w:rFonts w:ascii="Calibri" w:hAnsi="Calibri" w:cs="Calibri"/>
          <w:sz w:val="22"/>
          <w:szCs w:val="22"/>
          <w:lang w:val="en-GB"/>
        </w:rPr>
        <w:t>m</w:t>
      </w:r>
      <w:r w:rsidRPr="003F3794">
        <w:rPr>
          <w:rFonts w:ascii="Calibri" w:hAnsi="Calibri" w:cs="Calibri"/>
          <w:sz w:val="22"/>
          <w:szCs w:val="22"/>
          <w:lang w:val="en-GB"/>
        </w:rPr>
        <w:t xml:space="preserve">ent with </w:t>
      </w:r>
      <w:proofErr w:type="spellStart"/>
      <w:r w:rsidR="00EC1F21" w:rsidRPr="003F3794">
        <w:rPr>
          <w:rFonts w:ascii="Calibri" w:hAnsi="Calibri" w:cs="Calibri"/>
          <w:sz w:val="22"/>
          <w:szCs w:val="22"/>
          <w:lang w:val="en-GB"/>
        </w:rPr>
        <w:t>PhosAgro</w:t>
      </w:r>
      <w:proofErr w:type="spellEnd"/>
      <w:r w:rsidRPr="003F3794">
        <w:rPr>
          <w:rFonts w:ascii="Calibri" w:hAnsi="Calibri" w:cs="Calibri"/>
          <w:sz w:val="22"/>
          <w:szCs w:val="22"/>
          <w:lang w:val="en-GB"/>
        </w:rPr>
        <w:t xml:space="preserve">. </w:t>
      </w:r>
      <w:r w:rsidR="00EC1F21" w:rsidRPr="003F3794">
        <w:rPr>
          <w:rFonts w:ascii="Calibri" w:hAnsi="Calibri" w:cs="Calibri"/>
          <w:sz w:val="22"/>
          <w:szCs w:val="22"/>
          <w:lang w:val="en-GB"/>
        </w:rPr>
        <w:t>T</w:t>
      </w:r>
      <w:r w:rsidRPr="003F3794">
        <w:rPr>
          <w:rFonts w:ascii="Calibri" w:hAnsi="Calibri" w:cs="Calibri"/>
          <w:sz w:val="22"/>
          <w:szCs w:val="22"/>
          <w:lang w:val="en-GB"/>
        </w:rPr>
        <w:t>otal support for social and charitable projects from 2022 through 2024 will exceed RUB 39 billion.</w:t>
      </w:r>
    </w:p>
    <w:p w14:paraId="38F1D767" w14:textId="2D5862D6" w:rsidR="00F80739" w:rsidRPr="003F3794" w:rsidRDefault="00000000">
      <w:pPr>
        <w:pStyle w:val="P68B1DB1-ListParagraph3"/>
        <w:numPr>
          <w:ilvl w:val="0"/>
          <w:numId w:val="25"/>
        </w:numPr>
        <w:spacing w:after="120"/>
        <w:ind w:left="567"/>
        <w:jc w:val="both"/>
        <w:rPr>
          <w:rFonts w:ascii="Calibri" w:hAnsi="Calibri" w:cs="Calibri"/>
          <w:sz w:val="22"/>
          <w:szCs w:val="22"/>
          <w:lang w:val="en-GB"/>
        </w:rPr>
      </w:pPr>
      <w:proofErr w:type="spellStart"/>
      <w:r w:rsidRPr="003F3794">
        <w:rPr>
          <w:rFonts w:ascii="Calibri" w:hAnsi="Calibri" w:cs="Calibri"/>
          <w:b/>
          <w:sz w:val="22"/>
          <w:szCs w:val="22"/>
          <w:lang w:val="en-GB"/>
        </w:rPr>
        <w:t>PhosAgro</w:t>
      </w:r>
      <w:r w:rsidR="00EC1F21" w:rsidRPr="003F3794">
        <w:rPr>
          <w:rFonts w:ascii="Calibri" w:hAnsi="Calibri" w:cs="Calibri"/>
          <w:b/>
          <w:sz w:val="22"/>
          <w:szCs w:val="22"/>
          <w:lang w:val="en-GB"/>
        </w:rPr>
        <w:t>’</w:t>
      </w:r>
      <w:r w:rsidRPr="003F3794">
        <w:rPr>
          <w:rFonts w:ascii="Calibri" w:hAnsi="Calibri" w:cs="Calibri"/>
          <w:b/>
          <w:sz w:val="22"/>
          <w:szCs w:val="22"/>
          <w:lang w:val="en-GB"/>
        </w:rPr>
        <w:t>s</w:t>
      </w:r>
      <w:proofErr w:type="spellEnd"/>
      <w:r w:rsidRPr="003F3794">
        <w:rPr>
          <w:rFonts w:ascii="Calibri" w:hAnsi="Calibri" w:cs="Calibri"/>
          <w:b/>
          <w:sz w:val="22"/>
          <w:szCs w:val="22"/>
          <w:lang w:val="en-GB"/>
        </w:rPr>
        <w:t xml:space="preserve"> tax payments at all levels are expected to reach RUB 77 billion </w:t>
      </w:r>
      <w:r w:rsidRPr="003F3794">
        <w:rPr>
          <w:rFonts w:ascii="Calibri" w:hAnsi="Calibri" w:cs="Calibri"/>
          <w:bCs/>
          <w:sz w:val="22"/>
          <w:szCs w:val="22"/>
          <w:lang w:val="en-GB"/>
        </w:rPr>
        <w:t>(up 12%)</w:t>
      </w:r>
      <w:r w:rsidRPr="003F3794">
        <w:rPr>
          <w:rFonts w:ascii="Calibri" w:hAnsi="Calibri" w:cs="Calibri"/>
          <w:b/>
          <w:sz w:val="22"/>
          <w:szCs w:val="22"/>
          <w:lang w:val="en-GB"/>
        </w:rPr>
        <w:t xml:space="preserve"> in 2024</w:t>
      </w:r>
      <w:r w:rsidRPr="003F3794">
        <w:rPr>
          <w:rFonts w:ascii="Calibri" w:hAnsi="Calibri" w:cs="Calibri"/>
          <w:sz w:val="22"/>
          <w:szCs w:val="22"/>
          <w:lang w:val="en-GB"/>
        </w:rPr>
        <w:t>. For the period 2022–2024, the Company</w:t>
      </w:r>
      <w:r w:rsidR="00EC1F21" w:rsidRPr="003F3794">
        <w:rPr>
          <w:rFonts w:ascii="Calibri" w:hAnsi="Calibri" w:cs="Calibri"/>
          <w:sz w:val="22"/>
          <w:szCs w:val="22"/>
          <w:lang w:val="en-GB"/>
        </w:rPr>
        <w:t>’s</w:t>
      </w:r>
      <w:r w:rsidRPr="003F3794">
        <w:rPr>
          <w:rFonts w:ascii="Calibri" w:hAnsi="Calibri" w:cs="Calibri"/>
          <w:sz w:val="22"/>
          <w:szCs w:val="22"/>
          <w:lang w:val="en-GB"/>
        </w:rPr>
        <w:t xml:space="preserve"> tax payments will amount to RUB 206 billion.</w:t>
      </w:r>
    </w:p>
    <w:p w14:paraId="7C182C5D" w14:textId="66E14EDA" w:rsidR="00F80739" w:rsidRPr="003F3794" w:rsidRDefault="00000000">
      <w:pPr>
        <w:pStyle w:val="P68B1DB1-ListParagraph3"/>
        <w:numPr>
          <w:ilvl w:val="0"/>
          <w:numId w:val="25"/>
        </w:numPr>
        <w:spacing w:after="120"/>
        <w:ind w:left="567"/>
        <w:jc w:val="both"/>
        <w:rPr>
          <w:rFonts w:ascii="Calibri" w:hAnsi="Calibri" w:cs="Calibri"/>
          <w:sz w:val="22"/>
          <w:szCs w:val="22"/>
          <w:lang w:val="en-GB"/>
        </w:rPr>
      </w:pPr>
      <w:r w:rsidRPr="003F3794">
        <w:rPr>
          <w:rFonts w:ascii="Calibri" w:hAnsi="Calibri" w:cs="Calibri"/>
          <w:b/>
          <w:sz w:val="22"/>
          <w:szCs w:val="22"/>
          <w:lang w:val="en-GB"/>
        </w:rPr>
        <w:t>Average wages at the Group</w:t>
      </w:r>
      <w:r w:rsidR="00EC1F21" w:rsidRPr="003F3794">
        <w:rPr>
          <w:rFonts w:ascii="Calibri" w:hAnsi="Calibri" w:cs="Calibri"/>
          <w:b/>
          <w:sz w:val="22"/>
          <w:szCs w:val="22"/>
          <w:lang w:val="en-GB"/>
        </w:rPr>
        <w:t>’s</w:t>
      </w:r>
      <w:r w:rsidRPr="003F3794">
        <w:rPr>
          <w:rFonts w:ascii="Calibri" w:hAnsi="Calibri" w:cs="Calibri"/>
          <w:b/>
          <w:sz w:val="22"/>
          <w:szCs w:val="22"/>
          <w:lang w:val="en-GB"/>
        </w:rPr>
        <w:t xml:space="preserve"> production sites rose 60% over the past three years, reaching RUB</w:t>
      </w:r>
      <w:r w:rsidRPr="003F3794">
        <w:rPr>
          <w:rFonts w:ascii="Calibri" w:hAnsi="Calibri" w:cs="Calibri"/>
          <w:sz w:val="22"/>
          <w:szCs w:val="22"/>
          <w:lang w:val="en-GB"/>
        </w:rPr>
        <w:t xml:space="preserve"> </w:t>
      </w:r>
      <w:r w:rsidRPr="003F3794">
        <w:rPr>
          <w:rFonts w:ascii="Calibri" w:hAnsi="Calibri" w:cs="Calibri"/>
          <w:b/>
          <w:bCs/>
          <w:sz w:val="22"/>
          <w:szCs w:val="22"/>
          <w:lang w:val="en-GB"/>
        </w:rPr>
        <w:t>162,600</w:t>
      </w:r>
      <w:r w:rsidRPr="003F3794">
        <w:rPr>
          <w:rFonts w:ascii="Calibri" w:hAnsi="Calibri" w:cs="Calibri"/>
          <w:sz w:val="22"/>
          <w:szCs w:val="22"/>
          <w:lang w:val="en-GB"/>
        </w:rPr>
        <w:t xml:space="preserve"> in 2024.</w:t>
      </w:r>
    </w:p>
    <w:p w14:paraId="515B6604" w14:textId="5BE567F2" w:rsidR="00F80739" w:rsidRPr="003F3794" w:rsidRDefault="00000000" w:rsidP="009E2755">
      <w:pPr>
        <w:pStyle w:val="P68B1DB1-ListParagraph3"/>
        <w:numPr>
          <w:ilvl w:val="0"/>
          <w:numId w:val="25"/>
        </w:numPr>
        <w:spacing w:after="120"/>
        <w:ind w:left="567"/>
        <w:jc w:val="both"/>
        <w:rPr>
          <w:rFonts w:ascii="Calibri" w:hAnsi="Calibri" w:cs="Calibri"/>
          <w:sz w:val="22"/>
          <w:szCs w:val="22"/>
          <w:lang w:val="en-GB"/>
        </w:rPr>
      </w:pPr>
      <w:r w:rsidRPr="003F3794">
        <w:rPr>
          <w:rFonts w:ascii="Calibri" w:hAnsi="Calibri" w:cs="Calibri"/>
          <w:b/>
          <w:sz w:val="22"/>
          <w:szCs w:val="22"/>
          <w:lang w:val="en-GB"/>
        </w:rPr>
        <w:t xml:space="preserve">The influx of qualified young graduates of </w:t>
      </w:r>
      <w:proofErr w:type="spellStart"/>
      <w:r w:rsidRPr="003F3794">
        <w:rPr>
          <w:rFonts w:ascii="Calibri" w:hAnsi="Calibri" w:cs="Calibri"/>
          <w:b/>
          <w:sz w:val="22"/>
          <w:szCs w:val="22"/>
          <w:lang w:val="en-GB"/>
        </w:rPr>
        <w:t>PhosAgro</w:t>
      </w:r>
      <w:r w:rsidR="00EC1F21" w:rsidRPr="003F3794">
        <w:rPr>
          <w:rFonts w:ascii="Calibri" w:hAnsi="Calibri" w:cs="Calibri"/>
          <w:b/>
          <w:sz w:val="22"/>
          <w:szCs w:val="22"/>
          <w:lang w:val="en-GB"/>
        </w:rPr>
        <w:t>’</w:t>
      </w:r>
      <w:r w:rsidRPr="003F3794">
        <w:rPr>
          <w:rFonts w:ascii="Calibri" w:hAnsi="Calibri" w:cs="Calibri"/>
          <w:b/>
          <w:sz w:val="22"/>
          <w:szCs w:val="22"/>
          <w:lang w:val="en-GB"/>
        </w:rPr>
        <w:t>s</w:t>
      </w:r>
      <w:proofErr w:type="spellEnd"/>
      <w:r w:rsidRPr="003F3794">
        <w:rPr>
          <w:rFonts w:ascii="Calibri" w:hAnsi="Calibri" w:cs="Calibri"/>
          <w:b/>
          <w:sz w:val="22"/>
          <w:szCs w:val="22"/>
          <w:lang w:val="en-GB"/>
        </w:rPr>
        <w:t xml:space="preserve"> corporate educational programme</w:t>
      </w:r>
      <w:r w:rsidRPr="003F3794">
        <w:rPr>
          <w:rFonts w:ascii="Calibri" w:hAnsi="Calibri" w:cs="Calibri"/>
          <w:sz w:val="22"/>
          <w:szCs w:val="22"/>
          <w:lang w:val="en-GB"/>
        </w:rPr>
        <w:t xml:space="preserve"> </w:t>
      </w:r>
      <w:r w:rsidRPr="003F3794">
        <w:rPr>
          <w:rFonts w:ascii="Calibri" w:hAnsi="Calibri" w:cs="Calibri"/>
          <w:b/>
          <w:bCs/>
          <w:sz w:val="22"/>
          <w:szCs w:val="22"/>
          <w:lang w:val="en-GB"/>
        </w:rPr>
        <w:t>is increasing.</w:t>
      </w:r>
      <w:r w:rsidRPr="003F3794">
        <w:rPr>
          <w:rFonts w:ascii="Calibri" w:hAnsi="Calibri" w:cs="Calibri"/>
          <w:sz w:val="22"/>
          <w:szCs w:val="22"/>
          <w:lang w:val="en-GB"/>
        </w:rPr>
        <w:t xml:space="preserve"> Over the past 10 years, the Company has hired some 3,000 engineers and blue-collar </w:t>
      </w:r>
      <w:r w:rsidR="00EC1F21" w:rsidRPr="003F3794">
        <w:rPr>
          <w:rFonts w:ascii="Calibri" w:hAnsi="Calibri" w:cs="Calibri"/>
          <w:sz w:val="22"/>
          <w:szCs w:val="22"/>
          <w:lang w:val="en-GB"/>
        </w:rPr>
        <w:t xml:space="preserve">workers trained with </w:t>
      </w:r>
      <w:proofErr w:type="spellStart"/>
      <w:r w:rsidR="00EC1F21" w:rsidRPr="003F3794">
        <w:rPr>
          <w:rFonts w:ascii="Calibri" w:hAnsi="Calibri" w:cs="Calibri"/>
          <w:sz w:val="22"/>
          <w:szCs w:val="22"/>
          <w:lang w:val="en-GB"/>
        </w:rPr>
        <w:t>PhosAgro’s</w:t>
      </w:r>
      <w:proofErr w:type="spellEnd"/>
      <w:r w:rsidR="00EC1F21" w:rsidRPr="003F3794">
        <w:rPr>
          <w:rFonts w:ascii="Calibri" w:hAnsi="Calibri" w:cs="Calibri"/>
          <w:sz w:val="22"/>
          <w:szCs w:val="22"/>
          <w:lang w:val="en-GB"/>
        </w:rPr>
        <w:t xml:space="preserve"> support,</w:t>
      </w:r>
      <w:r w:rsidRPr="003F3794">
        <w:rPr>
          <w:rFonts w:ascii="Calibri" w:hAnsi="Calibri" w:cs="Calibri"/>
          <w:b/>
          <w:sz w:val="22"/>
          <w:szCs w:val="22"/>
          <w:lang w:val="en-GB"/>
        </w:rPr>
        <w:t xml:space="preserve"> including the recruitment of nearly 500 more this year</w:t>
      </w:r>
      <w:r w:rsidRPr="003F3794">
        <w:rPr>
          <w:rFonts w:ascii="Calibri" w:hAnsi="Calibri" w:cs="Calibri"/>
          <w:sz w:val="22"/>
          <w:szCs w:val="22"/>
          <w:lang w:val="en-GB"/>
        </w:rPr>
        <w:t>.</w:t>
      </w:r>
    </w:p>
    <w:p w14:paraId="29BFD271" w14:textId="24494BA9" w:rsidR="00F80739" w:rsidRPr="003F3794" w:rsidRDefault="00EC1F21" w:rsidP="003F3794">
      <w:pPr>
        <w:pStyle w:val="P68B1DB1-Normal2"/>
        <w:spacing w:after="120"/>
        <w:jc w:val="both"/>
        <w:rPr>
          <w:rFonts w:ascii="Calibri" w:hAnsi="Calibri"/>
          <w:sz w:val="22"/>
          <w:szCs w:val="22"/>
          <w:lang w:val="en-GB"/>
        </w:rPr>
      </w:pPr>
      <w:r w:rsidRPr="003F3794">
        <w:rPr>
          <w:rFonts w:ascii="Calibri" w:hAnsi="Calibri"/>
          <w:sz w:val="22"/>
          <w:szCs w:val="22"/>
          <w:lang w:val="en-GB"/>
        </w:rPr>
        <w:t xml:space="preserve">“Our production records, high rates of investment growth, expanded social support and increased tax payments are all the result of the concerted efforts and professionalism of our 24,000-strong workforce. </w:t>
      </w:r>
      <w:proofErr w:type="gramStart"/>
      <w:r w:rsidRPr="003F3794">
        <w:rPr>
          <w:rFonts w:ascii="Calibri" w:hAnsi="Calibri"/>
          <w:sz w:val="22"/>
          <w:szCs w:val="22"/>
          <w:lang w:val="en-GB"/>
        </w:rPr>
        <w:t>With this in mind, the</w:t>
      </w:r>
      <w:proofErr w:type="gramEnd"/>
      <w:r w:rsidRPr="003F3794">
        <w:rPr>
          <w:rFonts w:ascii="Calibri" w:hAnsi="Calibri"/>
          <w:sz w:val="22"/>
          <w:szCs w:val="22"/>
          <w:lang w:val="en-GB"/>
        </w:rPr>
        <w:t xml:space="preserve"> Company’s management has decided </w:t>
      </w:r>
      <w:r w:rsidRPr="003F3794">
        <w:rPr>
          <w:rFonts w:ascii="Calibri" w:hAnsi="Calibri"/>
          <w:b/>
          <w:sz w:val="22"/>
          <w:szCs w:val="22"/>
          <w:lang w:val="en-GB"/>
        </w:rPr>
        <w:t xml:space="preserve">to pay all </w:t>
      </w:r>
      <w:proofErr w:type="spellStart"/>
      <w:r w:rsidRPr="003F3794">
        <w:rPr>
          <w:rFonts w:ascii="Calibri" w:hAnsi="Calibri"/>
          <w:b/>
          <w:sz w:val="22"/>
          <w:szCs w:val="22"/>
          <w:lang w:val="en-GB"/>
        </w:rPr>
        <w:t>PhosAgro</w:t>
      </w:r>
      <w:proofErr w:type="spellEnd"/>
      <w:r w:rsidRPr="003F3794">
        <w:rPr>
          <w:rFonts w:ascii="Calibri" w:hAnsi="Calibri"/>
          <w:b/>
          <w:sz w:val="22"/>
          <w:szCs w:val="22"/>
          <w:lang w:val="en-GB"/>
        </w:rPr>
        <w:t xml:space="preserve"> employees a standard bonus at the end of the year</w:t>
      </w:r>
      <w:r w:rsidRPr="003F3794">
        <w:rPr>
          <w:rFonts w:ascii="Calibri" w:hAnsi="Calibri"/>
          <w:sz w:val="22"/>
          <w:szCs w:val="22"/>
          <w:lang w:val="en-GB"/>
        </w:rPr>
        <w:t xml:space="preserve">, before the upcoming holidays,” concluded Mr </w:t>
      </w:r>
      <w:proofErr w:type="spellStart"/>
      <w:r w:rsidRPr="003F3794">
        <w:rPr>
          <w:rFonts w:ascii="Calibri" w:hAnsi="Calibri"/>
          <w:sz w:val="22"/>
          <w:szCs w:val="22"/>
          <w:lang w:val="en-GB"/>
        </w:rPr>
        <w:t>Rybnikov</w:t>
      </w:r>
      <w:proofErr w:type="spellEnd"/>
      <w:r w:rsidRPr="003F3794">
        <w:rPr>
          <w:rFonts w:ascii="Calibri" w:hAnsi="Calibri"/>
          <w:sz w:val="22"/>
          <w:szCs w:val="22"/>
          <w:lang w:val="en-GB"/>
        </w:rPr>
        <w:t xml:space="preserve">. </w:t>
      </w:r>
    </w:p>
    <w:p w14:paraId="1F652CC2" w14:textId="77777777" w:rsidR="003F3794" w:rsidRDefault="003F3794" w:rsidP="003F3794">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0772DD3B" w14:textId="77777777" w:rsidR="003F3794" w:rsidRDefault="003F3794" w:rsidP="003F3794">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xml:space="preserve">) is a vertically integrated Russian company and one of the world’s leading producers of phosphate-based fertilizers and high-grade phosphate rock with P2O5 content of 39% or higher. </w:t>
      </w:r>
      <w:proofErr w:type="spellStart"/>
      <w:r w:rsidRPr="7C16E36C">
        <w:rPr>
          <w:rFonts w:asciiTheme="minorHAnsi" w:eastAsiaTheme="minorEastAsia" w:hAnsiTheme="minorHAnsi" w:cstheme="minorBidi"/>
          <w:i/>
          <w:iCs/>
          <w:color w:val="auto"/>
          <w:sz w:val="22"/>
          <w:szCs w:val="22"/>
          <w:lang w:val="en-GB"/>
        </w:rPr>
        <w:t>PhosAgro’s</w:t>
      </w:r>
      <w:proofErr w:type="spellEnd"/>
      <w:r w:rsidRPr="7C16E36C">
        <w:rPr>
          <w:rFonts w:asciiTheme="minorHAnsi" w:eastAsiaTheme="minorEastAsia" w:hAnsiTheme="minorHAnsi" w:cstheme="minorBidi"/>
          <w:i/>
          <w:iCs/>
          <w:color w:val="auto"/>
          <w:sz w:val="22"/>
          <w:szCs w:val="22"/>
          <w:lang w:val="en-GB"/>
        </w:rPr>
        <w:t xml:space="preserve"> high-performance fertilizers produce crops with advanced features.</w:t>
      </w:r>
    </w:p>
    <w:p w14:paraId="5C9DD03D" w14:textId="77777777" w:rsidR="003F3794" w:rsidRDefault="003F3794" w:rsidP="003F3794">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Group is the largest producer of phosphate-based fertilizers in Europe (by total combined capacity for the production of DAP, MAP, NP, NPK and NPS fertilizers), one of the leading producers of MAP and DAP fertilizers globally, one of the leading producers of monocalcium feed phosphates (MCP) in Europe – and the only such producer in Russia – and Russia’s only producer of nepheline concentrate.</w:t>
      </w:r>
    </w:p>
    <w:p w14:paraId="2D4A89A8" w14:textId="77777777" w:rsidR="003F3794" w:rsidRDefault="003F3794" w:rsidP="003F3794">
      <w:pPr>
        <w:spacing w:before="60" w:after="60"/>
        <w:jc w:val="both"/>
        <w:rPr>
          <w:rFonts w:asciiTheme="minorHAnsi" w:eastAsiaTheme="minorEastAsia" w:hAnsiTheme="minorHAnsi" w:cstheme="minorBidi"/>
          <w:i/>
          <w:iCs/>
          <w:color w:val="auto"/>
          <w:sz w:val="22"/>
          <w:szCs w:val="22"/>
          <w:lang w:val="en-GB"/>
        </w:rPr>
      </w:pPr>
      <w:proofErr w:type="spellStart"/>
      <w:r w:rsidRPr="7C16E36C">
        <w:rPr>
          <w:rFonts w:asciiTheme="minorHAnsi" w:eastAsiaTheme="minorEastAsia" w:hAnsiTheme="minorHAnsi" w:cstheme="minorBidi"/>
          <w:i/>
          <w:iCs/>
          <w:color w:val="auto"/>
          <w:sz w:val="22"/>
          <w:szCs w:val="22"/>
          <w:lang w:val="en-GB"/>
        </w:rPr>
        <w:lastRenderedPageBreak/>
        <w:t>PhosAgro’s</w:t>
      </w:r>
      <w:proofErr w:type="spellEnd"/>
      <w:r w:rsidRPr="7C16E36C">
        <w:rPr>
          <w:rFonts w:asciiTheme="minorHAnsi" w:eastAsiaTheme="minorEastAsia" w:hAnsiTheme="minorHAnsi" w:cstheme="minorBidi"/>
          <w:i/>
          <w:iCs/>
          <w:color w:val="auto"/>
          <w:sz w:val="22"/>
          <w:szCs w:val="22"/>
          <w:lang w:val="en-GB"/>
        </w:rPr>
        <w:t xml:space="preserve">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1F8FAF2D" w14:textId="77777777" w:rsidR="003F3794" w:rsidRDefault="003F3794" w:rsidP="003F3794">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66400D37" w14:textId="77777777" w:rsidR="003F3794" w:rsidRPr="00FD0ECF" w:rsidRDefault="003F3794" w:rsidP="003F3794">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More information about </w:t>
      </w:r>
      <w:proofErr w:type="spellStart"/>
      <w:r w:rsidRPr="7C16E36C">
        <w:rPr>
          <w:rFonts w:asciiTheme="minorHAnsi" w:eastAsiaTheme="minorEastAsia" w:hAnsiTheme="minorHAnsi" w:cstheme="minorBidi"/>
          <w:i/>
          <w:iCs/>
          <w:color w:val="auto"/>
          <w:sz w:val="22"/>
          <w:szCs w:val="22"/>
          <w:lang w:val="en-GB"/>
        </w:rPr>
        <w:t>PhosAgro</w:t>
      </w:r>
      <w:proofErr w:type="spellEnd"/>
      <w:r w:rsidRPr="7C16E36C">
        <w:rPr>
          <w:rFonts w:asciiTheme="minorHAnsi" w:eastAsiaTheme="minorEastAsia" w:hAnsiTheme="minorHAnsi" w:cstheme="minorBidi"/>
          <w:i/>
          <w:iCs/>
          <w:color w:val="auto"/>
          <w:sz w:val="22"/>
          <w:szCs w:val="22"/>
          <w:lang w:val="en-GB"/>
        </w:rPr>
        <w:t xml:space="preserve"> can be found on our website: www.phosagro.com.</w:t>
      </w:r>
    </w:p>
    <w:p w14:paraId="72FD72D3" w14:textId="022EAE73" w:rsidR="00F80739" w:rsidRPr="003F3794" w:rsidRDefault="00F80739" w:rsidP="003F3794">
      <w:pPr>
        <w:spacing w:after="120"/>
        <w:jc w:val="both"/>
        <w:rPr>
          <w:szCs w:val="22"/>
          <w:lang w:val="en-GB"/>
        </w:rPr>
      </w:pPr>
    </w:p>
    <w:p w14:paraId="53E728D9" w14:textId="77777777" w:rsidR="00F80739" w:rsidRPr="003F3794" w:rsidRDefault="00F80739">
      <w:pPr>
        <w:pStyle w:val="aff1"/>
        <w:spacing w:after="120"/>
        <w:ind w:left="0" w:firstLine="567"/>
        <w:jc w:val="both"/>
        <w:rPr>
          <w:rFonts w:ascii="Calibri" w:hAnsi="Calibri" w:cs="Calibri"/>
          <w:szCs w:val="22"/>
          <w:lang w:val="en-GB"/>
        </w:rPr>
      </w:pPr>
    </w:p>
    <w:p w14:paraId="0EAEE358" w14:textId="77777777" w:rsidR="00F80739" w:rsidRPr="003F3794" w:rsidRDefault="00F80739">
      <w:pPr>
        <w:pStyle w:val="aff1"/>
        <w:spacing w:after="120"/>
        <w:ind w:left="0" w:firstLine="567"/>
        <w:jc w:val="both"/>
        <w:rPr>
          <w:rFonts w:ascii="Calibri" w:hAnsi="Calibri" w:cs="Calibri"/>
          <w:szCs w:val="22"/>
          <w:lang w:val="en-GB"/>
        </w:rPr>
      </w:pPr>
    </w:p>
    <w:p w14:paraId="01E89129" w14:textId="7BB80DFD" w:rsidR="00F80739" w:rsidRPr="003F3794" w:rsidRDefault="00000000">
      <w:pPr>
        <w:pStyle w:val="P68B1DB1-Normal5"/>
        <w:pBdr>
          <w:top w:val="none" w:sz="4" w:space="5" w:color="000000"/>
        </w:pBdr>
        <w:spacing w:before="60" w:after="60"/>
        <w:ind w:firstLine="708"/>
        <w:jc w:val="both"/>
        <w:rPr>
          <w:rFonts w:ascii="Calibri" w:hAnsi="Calibri" w:cs="Calibri"/>
          <w:sz w:val="22"/>
          <w:szCs w:val="22"/>
          <w:lang w:val="en-GB"/>
        </w:rPr>
      </w:pPr>
      <w:r w:rsidRPr="003F3794">
        <w:rPr>
          <w:rFonts w:ascii="Calibri" w:hAnsi="Calibri" w:cs="Calibri"/>
          <w:sz w:val="22"/>
          <w:szCs w:val="22"/>
          <w:lang w:val="en-GB"/>
        </w:rPr>
        <w:t xml:space="preserve"> </w:t>
      </w:r>
      <w:bookmarkEnd w:id="0"/>
    </w:p>
    <w:sectPr w:rsidR="00F80739" w:rsidRPr="003F3794" w:rsidSect="003F3794">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87841" w14:textId="77777777" w:rsidR="00D13605" w:rsidRDefault="00D13605">
      <w:r>
        <w:separator/>
      </w:r>
    </w:p>
  </w:endnote>
  <w:endnote w:type="continuationSeparator" w:id="0">
    <w:p w14:paraId="2E9E3D64" w14:textId="77777777" w:rsidR="00D13605" w:rsidRDefault="00D1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Foco Light">
    <w:altName w:val="Calibri"/>
    <w:panose1 w:val="020B0604020202020204"/>
    <w:charset w:val="CC"/>
    <w:family w:val="swiss"/>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04BA3" w14:textId="77777777" w:rsidR="00D13605" w:rsidRDefault="00D13605">
      <w:r>
        <w:separator/>
      </w:r>
    </w:p>
  </w:footnote>
  <w:footnote w:type="continuationSeparator" w:id="0">
    <w:p w14:paraId="07ED2289" w14:textId="77777777" w:rsidR="00D13605" w:rsidRDefault="00D13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0E95200B"/>
    <w:multiLevelType w:val="hybridMultilevel"/>
    <w:tmpl w:val="F4CAA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4"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5"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6"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7"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8"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9"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1"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2" w15:restartNumberingAfterBreak="0">
    <w:nsid w:val="35DA22B3"/>
    <w:multiLevelType w:val="hybridMultilevel"/>
    <w:tmpl w:val="B428E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03F4421"/>
    <w:multiLevelType w:val="hybridMultilevel"/>
    <w:tmpl w:val="B100BF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5"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6" w15:restartNumberingAfterBreak="0">
    <w:nsid w:val="5FF169F4"/>
    <w:multiLevelType w:val="hybridMultilevel"/>
    <w:tmpl w:val="2C0085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8"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9"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20" w15:restartNumberingAfterBreak="0">
    <w:nsid w:val="6BB30222"/>
    <w:multiLevelType w:val="hybridMultilevel"/>
    <w:tmpl w:val="236A1E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007A8F"/>
    <w:multiLevelType w:val="hybridMultilevel"/>
    <w:tmpl w:val="243A08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685324238">
    <w:abstractNumId w:val="9"/>
  </w:num>
  <w:num w:numId="2" w16cid:durableId="1421180134">
    <w:abstractNumId w:val="8"/>
  </w:num>
  <w:num w:numId="3" w16cid:durableId="2050952079">
    <w:abstractNumId w:val="4"/>
  </w:num>
  <w:num w:numId="4" w16cid:durableId="1197161024">
    <w:abstractNumId w:val="18"/>
  </w:num>
  <w:num w:numId="5" w16cid:durableId="349110696">
    <w:abstractNumId w:val="14"/>
  </w:num>
  <w:num w:numId="6" w16cid:durableId="655034732">
    <w:abstractNumId w:val="6"/>
  </w:num>
  <w:num w:numId="7" w16cid:durableId="474953175">
    <w:abstractNumId w:val="15"/>
  </w:num>
  <w:num w:numId="8" w16cid:durableId="1981960665">
    <w:abstractNumId w:val="22"/>
  </w:num>
  <w:num w:numId="9" w16cid:durableId="1342509479">
    <w:abstractNumId w:val="3"/>
  </w:num>
  <w:num w:numId="10" w16cid:durableId="1921021040">
    <w:abstractNumId w:val="0"/>
  </w:num>
  <w:num w:numId="11" w16cid:durableId="913512152">
    <w:abstractNumId w:val="11"/>
  </w:num>
  <w:num w:numId="12" w16cid:durableId="158542337">
    <w:abstractNumId w:val="1"/>
  </w:num>
  <w:num w:numId="13" w16cid:durableId="654457007">
    <w:abstractNumId w:val="7"/>
  </w:num>
  <w:num w:numId="14" w16cid:durableId="1214073986">
    <w:abstractNumId w:val="10"/>
  </w:num>
  <w:num w:numId="15" w16cid:durableId="1431514144">
    <w:abstractNumId w:val="19"/>
  </w:num>
  <w:num w:numId="16" w16cid:durableId="2115443589">
    <w:abstractNumId w:val="17"/>
  </w:num>
  <w:num w:numId="17" w16cid:durableId="1994019556">
    <w:abstractNumId w:val="5"/>
  </w:num>
  <w:num w:numId="18" w16cid:durableId="1649237821">
    <w:abstractNumId w:val="21"/>
  </w:num>
  <w:num w:numId="19" w16cid:durableId="200358781">
    <w:abstractNumId w:val="21"/>
  </w:num>
  <w:num w:numId="20" w16cid:durableId="11272717">
    <w:abstractNumId w:val="2"/>
  </w:num>
  <w:num w:numId="21" w16cid:durableId="33236950">
    <w:abstractNumId w:val="12"/>
  </w:num>
  <w:num w:numId="22" w16cid:durableId="416681617">
    <w:abstractNumId w:val="21"/>
  </w:num>
  <w:num w:numId="23" w16cid:durableId="2095278564">
    <w:abstractNumId w:val="20"/>
  </w:num>
  <w:num w:numId="24" w16cid:durableId="1155300356">
    <w:abstractNumId w:val="16"/>
  </w:num>
  <w:num w:numId="25" w16cid:durableId="1626541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01113"/>
    <w:rsid w:val="00002E9B"/>
    <w:rsid w:val="0001509D"/>
    <w:rsid w:val="000615EB"/>
    <w:rsid w:val="000623C7"/>
    <w:rsid w:val="000712AB"/>
    <w:rsid w:val="00090338"/>
    <w:rsid w:val="000978C3"/>
    <w:rsid w:val="000D10DE"/>
    <w:rsid w:val="000D283C"/>
    <w:rsid w:val="00122483"/>
    <w:rsid w:val="00135208"/>
    <w:rsid w:val="00136CF5"/>
    <w:rsid w:val="00155C37"/>
    <w:rsid w:val="0017313F"/>
    <w:rsid w:val="0018384C"/>
    <w:rsid w:val="0018701A"/>
    <w:rsid w:val="001A1AED"/>
    <w:rsid w:val="001B1AA9"/>
    <w:rsid w:val="001C0147"/>
    <w:rsid w:val="001C49F9"/>
    <w:rsid w:val="001D4CE3"/>
    <w:rsid w:val="001D620A"/>
    <w:rsid w:val="001F123F"/>
    <w:rsid w:val="002166D5"/>
    <w:rsid w:val="00236E9A"/>
    <w:rsid w:val="00237274"/>
    <w:rsid w:val="00240D54"/>
    <w:rsid w:val="00245815"/>
    <w:rsid w:val="00250D23"/>
    <w:rsid w:val="00262AFF"/>
    <w:rsid w:val="00285468"/>
    <w:rsid w:val="00286F61"/>
    <w:rsid w:val="002922A3"/>
    <w:rsid w:val="00293EB1"/>
    <w:rsid w:val="002A0500"/>
    <w:rsid w:val="002B457A"/>
    <w:rsid w:val="002D7625"/>
    <w:rsid w:val="002E2F04"/>
    <w:rsid w:val="002F439F"/>
    <w:rsid w:val="002F63E6"/>
    <w:rsid w:val="003129D8"/>
    <w:rsid w:val="00330027"/>
    <w:rsid w:val="00372A1E"/>
    <w:rsid w:val="00372B4C"/>
    <w:rsid w:val="00380F92"/>
    <w:rsid w:val="00384745"/>
    <w:rsid w:val="00396B9C"/>
    <w:rsid w:val="003D0945"/>
    <w:rsid w:val="003D3F37"/>
    <w:rsid w:val="003F3794"/>
    <w:rsid w:val="00435116"/>
    <w:rsid w:val="00437567"/>
    <w:rsid w:val="00440438"/>
    <w:rsid w:val="00454999"/>
    <w:rsid w:val="00455EE2"/>
    <w:rsid w:val="00476349"/>
    <w:rsid w:val="004A299D"/>
    <w:rsid w:val="004A45F6"/>
    <w:rsid w:val="004B3386"/>
    <w:rsid w:val="004C1430"/>
    <w:rsid w:val="005101B8"/>
    <w:rsid w:val="00513C14"/>
    <w:rsid w:val="00524678"/>
    <w:rsid w:val="00560A98"/>
    <w:rsid w:val="005626CB"/>
    <w:rsid w:val="00563045"/>
    <w:rsid w:val="00590A25"/>
    <w:rsid w:val="005969B6"/>
    <w:rsid w:val="005A76CF"/>
    <w:rsid w:val="005A7EA9"/>
    <w:rsid w:val="005B1721"/>
    <w:rsid w:val="005D2A76"/>
    <w:rsid w:val="005D2C1E"/>
    <w:rsid w:val="005F39D1"/>
    <w:rsid w:val="00606DB8"/>
    <w:rsid w:val="00610C37"/>
    <w:rsid w:val="00612013"/>
    <w:rsid w:val="00614606"/>
    <w:rsid w:val="00624DED"/>
    <w:rsid w:val="00634301"/>
    <w:rsid w:val="00657AE1"/>
    <w:rsid w:val="00675CA1"/>
    <w:rsid w:val="006B00E1"/>
    <w:rsid w:val="006B4434"/>
    <w:rsid w:val="006D000C"/>
    <w:rsid w:val="006D245A"/>
    <w:rsid w:val="006E09ED"/>
    <w:rsid w:val="006E351F"/>
    <w:rsid w:val="006E379B"/>
    <w:rsid w:val="00752640"/>
    <w:rsid w:val="00763D89"/>
    <w:rsid w:val="00770ACA"/>
    <w:rsid w:val="00776463"/>
    <w:rsid w:val="007B2D31"/>
    <w:rsid w:val="007E0EE2"/>
    <w:rsid w:val="00824B52"/>
    <w:rsid w:val="0083245F"/>
    <w:rsid w:val="00832D26"/>
    <w:rsid w:val="00855E99"/>
    <w:rsid w:val="00864807"/>
    <w:rsid w:val="00867415"/>
    <w:rsid w:val="008757C9"/>
    <w:rsid w:val="008D5351"/>
    <w:rsid w:val="00912221"/>
    <w:rsid w:val="00914C9B"/>
    <w:rsid w:val="009152CE"/>
    <w:rsid w:val="0092620D"/>
    <w:rsid w:val="009321E1"/>
    <w:rsid w:val="00945441"/>
    <w:rsid w:val="00946683"/>
    <w:rsid w:val="00954EAB"/>
    <w:rsid w:val="00983CA2"/>
    <w:rsid w:val="00994643"/>
    <w:rsid w:val="009A005A"/>
    <w:rsid w:val="009C0E31"/>
    <w:rsid w:val="009C388D"/>
    <w:rsid w:val="009E2755"/>
    <w:rsid w:val="00A126C2"/>
    <w:rsid w:val="00A42977"/>
    <w:rsid w:val="00A47617"/>
    <w:rsid w:val="00A81DB9"/>
    <w:rsid w:val="00A85C4F"/>
    <w:rsid w:val="00AA47B8"/>
    <w:rsid w:val="00AC3384"/>
    <w:rsid w:val="00AC4578"/>
    <w:rsid w:val="00AE52BC"/>
    <w:rsid w:val="00B126A8"/>
    <w:rsid w:val="00B22C52"/>
    <w:rsid w:val="00B354CC"/>
    <w:rsid w:val="00B836FC"/>
    <w:rsid w:val="00B847A0"/>
    <w:rsid w:val="00B878C1"/>
    <w:rsid w:val="00BA4A2B"/>
    <w:rsid w:val="00BD3660"/>
    <w:rsid w:val="00BF43FA"/>
    <w:rsid w:val="00C00B3E"/>
    <w:rsid w:val="00C012A1"/>
    <w:rsid w:val="00C110A2"/>
    <w:rsid w:val="00C22525"/>
    <w:rsid w:val="00C30F5A"/>
    <w:rsid w:val="00C45CBA"/>
    <w:rsid w:val="00C510C4"/>
    <w:rsid w:val="00C5136C"/>
    <w:rsid w:val="00C5235C"/>
    <w:rsid w:val="00C55383"/>
    <w:rsid w:val="00C5755A"/>
    <w:rsid w:val="00C6486E"/>
    <w:rsid w:val="00C7430C"/>
    <w:rsid w:val="00C86DC9"/>
    <w:rsid w:val="00C94367"/>
    <w:rsid w:val="00CB03AF"/>
    <w:rsid w:val="00CB7F87"/>
    <w:rsid w:val="00CE15C0"/>
    <w:rsid w:val="00CF7033"/>
    <w:rsid w:val="00D066A8"/>
    <w:rsid w:val="00D13605"/>
    <w:rsid w:val="00D15F60"/>
    <w:rsid w:val="00D24098"/>
    <w:rsid w:val="00D26E28"/>
    <w:rsid w:val="00D51926"/>
    <w:rsid w:val="00D53E15"/>
    <w:rsid w:val="00D54808"/>
    <w:rsid w:val="00D569F0"/>
    <w:rsid w:val="00D71960"/>
    <w:rsid w:val="00D84812"/>
    <w:rsid w:val="00D85A12"/>
    <w:rsid w:val="00D90A96"/>
    <w:rsid w:val="00DA0B7F"/>
    <w:rsid w:val="00DA7088"/>
    <w:rsid w:val="00DA7382"/>
    <w:rsid w:val="00DD1FE8"/>
    <w:rsid w:val="00DD2CE9"/>
    <w:rsid w:val="00DD2CF7"/>
    <w:rsid w:val="00DE0CE2"/>
    <w:rsid w:val="00DE636D"/>
    <w:rsid w:val="00E22C58"/>
    <w:rsid w:val="00E45244"/>
    <w:rsid w:val="00E5753C"/>
    <w:rsid w:val="00E62358"/>
    <w:rsid w:val="00E67362"/>
    <w:rsid w:val="00E75FF1"/>
    <w:rsid w:val="00EC1F21"/>
    <w:rsid w:val="00F11939"/>
    <w:rsid w:val="00F123DB"/>
    <w:rsid w:val="00F1390A"/>
    <w:rsid w:val="00F1554F"/>
    <w:rsid w:val="00F21576"/>
    <w:rsid w:val="00F40338"/>
    <w:rsid w:val="00F44C06"/>
    <w:rsid w:val="00F46CBF"/>
    <w:rsid w:val="00F63331"/>
    <w:rsid w:val="00F636AA"/>
    <w:rsid w:val="00F7684F"/>
    <w:rsid w:val="00F80739"/>
    <w:rsid w:val="00F84078"/>
    <w:rsid w:val="00F90134"/>
    <w:rsid w:val="00F95354"/>
    <w:rsid w:val="00FA5E08"/>
    <w:rsid w:val="00FA6ED6"/>
    <w:rsid w:val="00FB0F4D"/>
    <w:rsid w:val="00FD70E4"/>
    <w:rsid w:val="00FF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5BC5"/>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semiHidden/>
    <w:unhideWhenUsed/>
    <w:rPr>
      <w:sz w:val="20"/>
    </w:rPr>
  </w:style>
  <w:style w:type="character" w:customStyle="1" w:styleId="afe">
    <w:name w:val="Текст примечания Знак"/>
    <w:basedOn w:val="a0"/>
    <w:link w:val="afd"/>
    <w:uiPriority w:val="99"/>
    <w:semiHidden/>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paragraph" w:styleId="aff4">
    <w:name w:val="Revision"/>
    <w:hidden/>
    <w:uiPriority w:val="99"/>
    <w:semiHidden/>
    <w:rsid w:val="00FA6ED6"/>
    <w:pPr>
      <w:spacing w:after="0" w:line="240" w:lineRule="auto"/>
    </w:pPr>
    <w:rPr>
      <w:rFonts w:ascii="Calibri" w:eastAsia="Calibri" w:hAnsi="Calibri" w:cs="Calibri"/>
      <w:color w:val="000000"/>
      <w:sz w:val="24"/>
    </w:rPr>
  </w:style>
  <w:style w:type="paragraph" w:customStyle="1" w:styleId="Default">
    <w:name w:val="Default"/>
    <w:rsid w:val="00396B9C"/>
    <w:pPr>
      <w:autoSpaceDE w:val="0"/>
      <w:autoSpaceDN w:val="0"/>
      <w:adjustRightInd w:val="0"/>
      <w:spacing w:after="0" w:line="240" w:lineRule="auto"/>
    </w:pPr>
    <w:rPr>
      <w:rFonts w:ascii="Foco Light" w:hAnsi="Foco Light" w:cs="Foco Light"/>
      <w:color w:val="000000"/>
      <w:sz w:val="24"/>
    </w:rPr>
  </w:style>
  <w:style w:type="paragraph" w:customStyle="1" w:styleId="P68B1DB1-Normal1">
    <w:name w:val="P68B1DB1-Normal1"/>
    <w:basedOn w:val="a"/>
    <w:rPr>
      <w:rFonts w:ascii="Times New Roman" w:hAnsi="Times New Roman" w:cs="Times New Roman"/>
      <w:b/>
      <w:sz w:val="26"/>
    </w:rPr>
  </w:style>
  <w:style w:type="paragraph" w:customStyle="1" w:styleId="P68B1DB1-Normal2">
    <w:name w:val="P68B1DB1-Normal2"/>
    <w:basedOn w:val="a"/>
    <w:rPr>
      <w:rFonts w:ascii="Times New Roman" w:hAnsi="Times New Roman"/>
      <w:color w:val="auto"/>
    </w:rPr>
  </w:style>
  <w:style w:type="paragraph" w:customStyle="1" w:styleId="P68B1DB1-ListParagraph3">
    <w:name w:val="P68B1DB1-ListParagraph3"/>
    <w:basedOn w:val="aff1"/>
    <w:rPr>
      <w:rFonts w:ascii="Times New Roman" w:hAnsi="Times New Roman"/>
      <w:sz w:val="24"/>
    </w:rPr>
  </w:style>
  <w:style w:type="paragraph" w:customStyle="1" w:styleId="P68B1DB1-ListParagraph4">
    <w:name w:val="P68B1DB1-ListParagraph4"/>
    <w:basedOn w:val="aff1"/>
    <w:rPr>
      <w:rFonts w:ascii="Times New Roman" w:hAnsi="Times New Roman"/>
      <w:sz w:val="24"/>
      <w:highlight w:val="yellow"/>
    </w:rPr>
  </w:style>
  <w:style w:type="paragraph" w:customStyle="1" w:styleId="P68B1DB1-Normal5">
    <w:name w:val="P68B1DB1-Normal5"/>
    <w:basedOn w:val="a"/>
    <w:rPr>
      <w:rFonts w:ascii="Times New Roman" w:eastAsia="Times New Roman" w:hAnsi="Times New Roman" w:cs="Times New Roman"/>
      <w:i/>
      <w:sz w:val="18"/>
    </w:rPr>
  </w:style>
  <w:style w:type="paragraph" w:customStyle="1" w:styleId="P68B1DB1-Normal22">
    <w:name w:val="P68B1DB1-Normal22"/>
    <w:basedOn w:val="a"/>
    <w:rsid w:val="003F3794"/>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790429">
      <w:bodyDiv w:val="1"/>
      <w:marLeft w:val="0"/>
      <w:marRight w:val="0"/>
      <w:marTop w:val="0"/>
      <w:marBottom w:val="0"/>
      <w:divBdr>
        <w:top w:val="none" w:sz="0" w:space="0" w:color="auto"/>
        <w:left w:val="none" w:sz="0" w:space="0" w:color="auto"/>
        <w:bottom w:val="none" w:sz="0" w:space="0" w:color="auto"/>
        <w:right w:val="none" w:sz="0" w:space="0" w:color="auto"/>
      </w:divBdr>
    </w:div>
    <w:div w:id="620379377">
      <w:bodyDiv w:val="1"/>
      <w:marLeft w:val="0"/>
      <w:marRight w:val="0"/>
      <w:marTop w:val="0"/>
      <w:marBottom w:val="0"/>
      <w:divBdr>
        <w:top w:val="none" w:sz="0" w:space="0" w:color="auto"/>
        <w:left w:val="none" w:sz="0" w:space="0" w:color="auto"/>
        <w:bottom w:val="none" w:sz="0" w:space="0" w:color="auto"/>
        <w:right w:val="none" w:sz="0" w:space="0" w:color="auto"/>
      </w:divBdr>
    </w:div>
    <w:div w:id="823548931">
      <w:bodyDiv w:val="1"/>
      <w:marLeft w:val="0"/>
      <w:marRight w:val="0"/>
      <w:marTop w:val="0"/>
      <w:marBottom w:val="0"/>
      <w:divBdr>
        <w:top w:val="none" w:sz="0" w:space="0" w:color="auto"/>
        <w:left w:val="none" w:sz="0" w:space="0" w:color="auto"/>
        <w:bottom w:val="none" w:sz="0" w:space="0" w:color="auto"/>
        <w:right w:val="none" w:sz="0" w:space="0" w:color="auto"/>
      </w:divBdr>
    </w:div>
    <w:div w:id="1104307475">
      <w:bodyDiv w:val="1"/>
      <w:marLeft w:val="0"/>
      <w:marRight w:val="0"/>
      <w:marTop w:val="0"/>
      <w:marBottom w:val="0"/>
      <w:divBdr>
        <w:top w:val="none" w:sz="0" w:space="0" w:color="auto"/>
        <w:left w:val="none" w:sz="0" w:space="0" w:color="auto"/>
        <w:bottom w:val="none" w:sz="0" w:space="0" w:color="auto"/>
        <w:right w:val="none" w:sz="0" w:space="0" w:color="auto"/>
      </w:divBdr>
    </w:div>
    <w:div w:id="13088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0633-740E-49F5-92B9-93410962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Maria Zhmurko</cp:lastModifiedBy>
  <cp:revision>7</cp:revision>
  <cp:lastPrinted>2024-06-04T11:42:00Z</cp:lastPrinted>
  <dcterms:created xsi:type="dcterms:W3CDTF">2024-12-11T16:45:00Z</dcterms:created>
  <dcterms:modified xsi:type="dcterms:W3CDTF">2024-12-12T08:16:00Z</dcterms:modified>
</cp:coreProperties>
</file>