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D0A6" w14:textId="2375E319" w:rsidR="00B65D8F" w:rsidRPr="00AF7096" w:rsidRDefault="00D4162A" w:rsidP="0098411C">
      <w:pPr>
        <w:jc w:val="center"/>
        <w:rPr>
          <w:rFonts w:asciiTheme="minorHAnsi" w:eastAsia="Times New Roman" w:hAnsiTheme="minorHAnsi" w:cstheme="minorHAnsi"/>
          <w:b/>
          <w:bCs/>
          <w:lang w:val="en-GB"/>
        </w:rPr>
      </w:pPr>
      <w:r w:rsidRPr="00AF7096">
        <w:rPr>
          <w:rFonts w:asciiTheme="minorHAnsi" w:hAnsiTheme="minorHAnsi" w:cstheme="minorHAnsi"/>
          <w:noProof/>
          <w:lang w:val="en-GB"/>
        </w:rPr>
        <w:drawing>
          <wp:inline distT="0" distB="0" distL="0" distR="0" wp14:anchorId="7C95EC1A" wp14:editId="1E8FA0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CD0403" w:rsidRPr="00AF7096" w:rsidRDefault="00CD0403" w:rsidP="00B14B91">
      <w:pPr>
        <w:jc w:val="center"/>
        <w:rPr>
          <w:rFonts w:asciiTheme="minorHAnsi" w:eastAsia="Times New Roman" w:hAnsiTheme="minorHAnsi" w:cstheme="minorHAnsi"/>
          <w:b/>
          <w:bCs/>
          <w:lang w:val="en-GB"/>
        </w:rPr>
      </w:pPr>
    </w:p>
    <w:p w14:paraId="5720669B" w14:textId="77777777" w:rsidR="004A4FA2" w:rsidRPr="00AF7096" w:rsidRDefault="004A4FA2" w:rsidP="004A4FA2">
      <w:pPr>
        <w:spacing w:after="120"/>
        <w:jc w:val="center"/>
        <w:rPr>
          <w:rFonts w:asciiTheme="minorHAnsi" w:hAnsiTheme="minorHAnsi" w:cstheme="minorHAnsi"/>
          <w:b/>
          <w:bCs/>
          <w:sz w:val="22"/>
          <w:szCs w:val="22"/>
          <w:lang w:val="en-GB"/>
        </w:rPr>
      </w:pPr>
      <w:bookmarkStart w:id="0" w:name="_Hlk158034060"/>
      <w:r w:rsidRPr="00AF7096">
        <w:rPr>
          <w:rFonts w:asciiTheme="minorHAnsi" w:hAnsiTheme="minorHAnsi" w:cstheme="minorHAnsi"/>
          <w:b/>
          <w:bCs/>
          <w:sz w:val="22"/>
          <w:szCs w:val="22"/>
          <w:lang w:val="en-GB"/>
        </w:rPr>
        <w:t xml:space="preserve">PhosAgro Sets New Agrochemical Production Record in 2023 </w:t>
      </w:r>
    </w:p>
    <w:p w14:paraId="110D1DCE" w14:textId="77777777" w:rsidR="004A4FA2" w:rsidRPr="00AF7096" w:rsidRDefault="004A4FA2" w:rsidP="004A4FA2">
      <w:pPr>
        <w:pStyle w:val="o"/>
        <w:spacing w:before="0" w:after="0"/>
        <w:jc w:val="center"/>
        <w:rPr>
          <w:rFonts w:asciiTheme="minorHAnsi" w:hAnsiTheme="minorHAnsi" w:cstheme="minorHAnsi"/>
          <w:b/>
          <w:highlight w:val="yellow"/>
          <w:shd w:val="clear" w:color="auto" w:fill="FFFF00"/>
          <w:lang w:val="en-GB"/>
        </w:rPr>
      </w:pPr>
    </w:p>
    <w:p w14:paraId="3F3D24FA" w14:textId="38270EDE" w:rsidR="004A4FA2" w:rsidRPr="00AF7096" w:rsidRDefault="004A4FA2" w:rsidP="004A4FA2">
      <w:pPr>
        <w:pStyle w:val="1"/>
        <w:spacing w:after="0" w:line="240" w:lineRule="auto"/>
        <w:jc w:val="both"/>
        <w:rPr>
          <w:rFonts w:asciiTheme="minorHAnsi" w:hAnsiTheme="minorHAnsi" w:cstheme="minorHAnsi"/>
          <w:lang w:val="en-GB"/>
        </w:rPr>
      </w:pPr>
      <w:r w:rsidRPr="00AF7096">
        <w:rPr>
          <w:rFonts w:asciiTheme="minorHAnsi" w:hAnsiTheme="minorHAnsi" w:cstheme="minorHAnsi"/>
          <w:b/>
          <w:lang w:val="en-GB"/>
        </w:rPr>
        <w:t xml:space="preserve">Moscow </w:t>
      </w:r>
      <w:r w:rsidRPr="00AF7096">
        <w:rPr>
          <w:rFonts w:asciiTheme="minorHAnsi" w:hAnsiTheme="minorHAnsi" w:cstheme="minorHAnsi"/>
          <w:b/>
          <w:bCs/>
          <w:color w:val="auto"/>
          <w:szCs w:val="22"/>
          <w:lang w:val="en-GB"/>
        </w:rPr>
        <w:t xml:space="preserve">– </w:t>
      </w:r>
      <w:r w:rsidRPr="00AF7096">
        <w:rPr>
          <w:rFonts w:asciiTheme="minorHAnsi" w:hAnsiTheme="minorHAnsi" w:cstheme="minorHAnsi"/>
          <w:lang w:val="en-GB"/>
        </w:rPr>
        <w:t xml:space="preserve">PhosAgro Group increased its production of agrochemical products to a record 11.3 million tonnes in 2023, the Company’s CEO, Mikhail Rybnikov, announced at a meeting of the Company’s Management Board. </w:t>
      </w:r>
    </w:p>
    <w:p w14:paraId="4D7221E8" w14:textId="77777777" w:rsidR="004A4FA2" w:rsidRPr="00AF7096" w:rsidRDefault="004A4FA2" w:rsidP="004A4FA2">
      <w:pPr>
        <w:pStyle w:val="1"/>
        <w:spacing w:after="0" w:line="240" w:lineRule="auto"/>
        <w:jc w:val="both"/>
        <w:rPr>
          <w:rFonts w:asciiTheme="minorHAnsi" w:hAnsiTheme="minorHAnsi" w:cstheme="minorHAnsi"/>
          <w:lang w:val="en-GB"/>
        </w:rPr>
      </w:pPr>
    </w:p>
    <w:p w14:paraId="27C06D0E" w14:textId="77777777" w:rsidR="004A4FA2" w:rsidRPr="00AF7096" w:rsidRDefault="004A4FA2" w:rsidP="004A4FA2">
      <w:pPr>
        <w:pStyle w:val="1"/>
        <w:spacing w:after="0" w:line="240" w:lineRule="auto"/>
        <w:jc w:val="both"/>
        <w:rPr>
          <w:rFonts w:asciiTheme="minorHAnsi" w:hAnsiTheme="minorHAnsi" w:cstheme="minorHAnsi"/>
          <w:lang w:val="en-GB"/>
        </w:rPr>
      </w:pPr>
      <w:r w:rsidRPr="00AF7096">
        <w:rPr>
          <w:rFonts w:asciiTheme="minorHAnsi" w:hAnsiTheme="minorHAnsi" w:cstheme="minorHAnsi"/>
          <w:lang w:val="en-GB"/>
        </w:rPr>
        <w:t xml:space="preserve">Increased production and productivity were one of the critical factors in the decision to index the wages of all PhosAgro Group employees from 1 February 2024 by a further 15%, in addition to the 60% increase in average wages from 2021 through 2023. </w:t>
      </w:r>
    </w:p>
    <w:p w14:paraId="1C246A96" w14:textId="77777777" w:rsidR="004A4FA2" w:rsidRPr="00AF7096" w:rsidRDefault="004A4FA2" w:rsidP="004A4FA2">
      <w:pPr>
        <w:pStyle w:val="1"/>
        <w:spacing w:after="0" w:line="240" w:lineRule="auto"/>
        <w:ind w:firstLine="567"/>
        <w:jc w:val="both"/>
        <w:rPr>
          <w:rFonts w:asciiTheme="minorHAnsi" w:hAnsiTheme="minorHAnsi" w:cstheme="minorHAnsi"/>
          <w:sz w:val="24"/>
          <w:lang w:val="en-GB"/>
        </w:rPr>
      </w:pPr>
    </w:p>
    <w:p w14:paraId="3C19AE52" w14:textId="77777777" w:rsidR="004A4FA2" w:rsidRPr="00AF7096" w:rsidRDefault="004A4FA2" w:rsidP="004A4FA2">
      <w:pPr>
        <w:pStyle w:val="P68B1DB1-13"/>
        <w:spacing w:after="120" w:line="240" w:lineRule="auto"/>
        <w:jc w:val="both"/>
        <w:rPr>
          <w:rFonts w:asciiTheme="minorHAnsi" w:hAnsiTheme="minorHAnsi" w:cstheme="minorHAnsi"/>
          <w:lang w:val="en-GB"/>
        </w:rPr>
      </w:pPr>
      <w:r w:rsidRPr="00AF7096">
        <w:rPr>
          <w:rFonts w:asciiTheme="minorHAnsi" w:hAnsiTheme="minorHAnsi" w:cstheme="minorHAnsi"/>
          <w:lang w:val="en-GB"/>
        </w:rPr>
        <w:t>FY 2023 highlights</w:t>
      </w:r>
    </w:p>
    <w:p w14:paraId="4041519C" w14:textId="77777777" w:rsidR="004A4FA2" w:rsidRPr="00AF7096" w:rsidRDefault="004A4FA2" w:rsidP="004A4FA2">
      <w:pPr>
        <w:pStyle w:val="1"/>
        <w:spacing w:line="240" w:lineRule="auto"/>
        <w:jc w:val="both"/>
        <w:rPr>
          <w:rFonts w:asciiTheme="minorHAnsi" w:hAnsiTheme="minorHAnsi" w:cstheme="minorHAnsi"/>
          <w:lang w:val="en-GB"/>
        </w:rPr>
      </w:pPr>
      <w:r w:rsidRPr="00AF7096">
        <w:rPr>
          <w:rFonts w:asciiTheme="minorHAnsi" w:hAnsiTheme="minorHAnsi" w:cstheme="minorHAnsi"/>
          <w:lang w:val="en-GB"/>
        </w:rPr>
        <w:t xml:space="preserve">In FY 2023, mineral fertilizer production increased by 2.1% year-on-year to 11 million tonnes, with the production of other agrochemicals amounting to about 0.3 million tonnes. </w:t>
      </w:r>
    </w:p>
    <w:p w14:paraId="24E4B500" w14:textId="77777777" w:rsidR="004A4FA2" w:rsidRPr="00AF7096" w:rsidRDefault="004A4FA2" w:rsidP="004A4FA2">
      <w:pPr>
        <w:pStyle w:val="1"/>
        <w:spacing w:line="240" w:lineRule="auto"/>
        <w:jc w:val="both"/>
        <w:rPr>
          <w:rFonts w:asciiTheme="minorHAnsi" w:hAnsiTheme="minorHAnsi" w:cstheme="minorHAnsi"/>
          <w:lang w:val="en-GB"/>
        </w:rPr>
      </w:pPr>
      <w:r w:rsidRPr="00AF7096">
        <w:rPr>
          <w:rFonts w:asciiTheme="minorHAnsi" w:hAnsiTheme="minorHAnsi" w:cstheme="minorHAnsi"/>
          <w:lang w:val="en-GB"/>
        </w:rPr>
        <w:t xml:space="preserve">This growth was driven primarily by an 8.4% increase in DAP/MAP production to more than 4.5 million tonnes, a 4.4% increase in ammonium nitrate production to 723 thousand tonnes and a 1.6% increase in urea production to 1.7 million tonnes. </w:t>
      </w:r>
    </w:p>
    <w:p w14:paraId="750086FB" w14:textId="77777777" w:rsidR="004A4FA2" w:rsidRPr="00AF7096" w:rsidRDefault="004A4FA2" w:rsidP="004A4FA2">
      <w:pPr>
        <w:pStyle w:val="1"/>
        <w:spacing w:line="240" w:lineRule="auto"/>
        <w:jc w:val="both"/>
        <w:rPr>
          <w:rFonts w:asciiTheme="minorHAnsi" w:hAnsiTheme="minorHAnsi" w:cstheme="minorHAnsi"/>
          <w:lang w:val="en-GB"/>
        </w:rPr>
      </w:pPr>
      <w:r w:rsidRPr="00AF7096">
        <w:rPr>
          <w:rFonts w:asciiTheme="minorHAnsi" w:hAnsiTheme="minorHAnsi" w:cstheme="minorHAnsi"/>
          <w:lang w:val="en-GB"/>
        </w:rPr>
        <w:t>The production of key feedstocks rose 2.1% year-on-year in FY 2023, thanks mainly to a 4.6% increase in the production of phosphoric acid and a 2.5% increase in the production sulphuric acid.</w:t>
      </w:r>
    </w:p>
    <w:p w14:paraId="30473E0D" w14:textId="77777777" w:rsidR="004A4FA2" w:rsidRPr="00AF7096" w:rsidRDefault="004A4FA2" w:rsidP="004A4FA2">
      <w:pPr>
        <w:pStyle w:val="P68B1DB1-13"/>
        <w:spacing w:after="120" w:line="240" w:lineRule="auto"/>
        <w:jc w:val="both"/>
        <w:rPr>
          <w:rFonts w:asciiTheme="minorHAnsi" w:hAnsiTheme="minorHAnsi" w:cstheme="minorHAnsi"/>
          <w:lang w:val="en-GB"/>
        </w:rPr>
      </w:pPr>
      <w:r w:rsidRPr="00AF7096">
        <w:rPr>
          <w:rFonts w:asciiTheme="minorHAnsi" w:hAnsiTheme="minorHAnsi" w:cstheme="minorHAnsi"/>
          <w:lang w:val="en-GB"/>
        </w:rPr>
        <w:t>PhosAgro Group production volumes:</w:t>
      </w:r>
    </w:p>
    <w:tbl>
      <w:tblPr>
        <w:tblW w:w="9214" w:type="dxa"/>
        <w:tblLook w:val="04A0" w:firstRow="1" w:lastRow="0" w:firstColumn="1" w:lastColumn="0" w:noHBand="0" w:noVBand="1"/>
      </w:tblPr>
      <w:tblGrid>
        <w:gridCol w:w="4678"/>
        <w:gridCol w:w="1559"/>
        <w:gridCol w:w="1701"/>
        <w:gridCol w:w="1276"/>
      </w:tblGrid>
      <w:tr w:rsidR="004A4FA2" w:rsidRPr="00AF7096" w14:paraId="616113EF" w14:textId="77777777" w:rsidTr="004A35D5">
        <w:trPr>
          <w:trHeight w:val="312"/>
        </w:trPr>
        <w:tc>
          <w:tcPr>
            <w:tcW w:w="9214" w:type="dxa"/>
            <w:gridSpan w:val="4"/>
            <w:tcBorders>
              <w:top w:val="nil"/>
              <w:left w:val="nil"/>
              <w:bottom w:val="nil"/>
              <w:right w:val="nil"/>
            </w:tcBorders>
            <w:shd w:val="clear" w:color="000000" w:fill="2B87A2"/>
            <w:vAlign w:val="center"/>
            <w:hideMark/>
          </w:tcPr>
          <w:p w14:paraId="38243DBB" w14:textId="77777777" w:rsidR="004A4FA2" w:rsidRPr="00AF7096" w:rsidRDefault="004A4FA2" w:rsidP="004A35D5">
            <w:pPr>
              <w:pStyle w:val="P68B1DB1-Normal4"/>
              <w:jc w:val="center"/>
              <w:rPr>
                <w:rFonts w:asciiTheme="minorHAnsi" w:hAnsiTheme="minorHAnsi" w:cstheme="minorHAnsi"/>
                <w:lang w:val="en-GB"/>
              </w:rPr>
            </w:pPr>
            <w:r w:rsidRPr="00AF7096">
              <w:rPr>
                <w:rFonts w:asciiTheme="minorHAnsi" w:hAnsiTheme="minorHAnsi" w:cstheme="minorHAnsi"/>
                <w:lang w:val="en-GB"/>
              </w:rPr>
              <w:t>Production volumes by category</w:t>
            </w:r>
          </w:p>
        </w:tc>
      </w:tr>
      <w:tr w:rsidR="004A4FA2" w:rsidRPr="00AF7096" w14:paraId="26BB6D5F" w14:textId="77777777" w:rsidTr="009A55B0">
        <w:trPr>
          <w:trHeight w:val="240"/>
        </w:trPr>
        <w:tc>
          <w:tcPr>
            <w:tcW w:w="4678" w:type="dxa"/>
            <w:tcBorders>
              <w:top w:val="nil"/>
              <w:left w:val="nil"/>
              <w:right w:val="nil"/>
            </w:tcBorders>
            <w:shd w:val="clear" w:color="000000" w:fill="FFFFFF"/>
            <w:vAlign w:val="center"/>
            <w:hideMark/>
          </w:tcPr>
          <w:p w14:paraId="6446B255" w14:textId="77777777" w:rsidR="004A4FA2" w:rsidRPr="00AF7096" w:rsidRDefault="004A4FA2" w:rsidP="004A35D5">
            <w:pPr>
              <w:pStyle w:val="P68B1DB1-Normal5"/>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(kt)</w:t>
            </w:r>
          </w:p>
        </w:tc>
        <w:tc>
          <w:tcPr>
            <w:tcW w:w="1559" w:type="dxa"/>
            <w:tcBorders>
              <w:top w:val="nil"/>
              <w:left w:val="nil"/>
              <w:right w:val="nil"/>
            </w:tcBorders>
            <w:shd w:val="clear" w:color="auto" w:fill="auto"/>
            <w:vAlign w:val="center"/>
            <w:hideMark/>
          </w:tcPr>
          <w:p w14:paraId="0734400C"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FY 2023</w:t>
            </w:r>
          </w:p>
        </w:tc>
        <w:tc>
          <w:tcPr>
            <w:tcW w:w="1701" w:type="dxa"/>
            <w:tcBorders>
              <w:top w:val="nil"/>
              <w:left w:val="nil"/>
              <w:right w:val="nil"/>
            </w:tcBorders>
            <w:shd w:val="clear" w:color="auto" w:fill="auto"/>
            <w:vAlign w:val="center"/>
            <w:hideMark/>
          </w:tcPr>
          <w:p w14:paraId="7A89C5AD"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FY 2022</w:t>
            </w:r>
          </w:p>
        </w:tc>
        <w:tc>
          <w:tcPr>
            <w:tcW w:w="1276" w:type="dxa"/>
            <w:tcBorders>
              <w:top w:val="nil"/>
              <w:left w:val="nil"/>
              <w:right w:val="nil"/>
            </w:tcBorders>
            <w:shd w:val="clear" w:color="000000" w:fill="E3F1F7"/>
            <w:vAlign w:val="center"/>
            <w:hideMark/>
          </w:tcPr>
          <w:p w14:paraId="12717C54"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Change, %</w:t>
            </w:r>
          </w:p>
        </w:tc>
      </w:tr>
      <w:tr w:rsidR="004A4FA2" w:rsidRPr="00AF7096" w14:paraId="412E4CF2" w14:textId="77777777" w:rsidTr="009A55B0">
        <w:trPr>
          <w:trHeight w:val="300"/>
        </w:trPr>
        <w:tc>
          <w:tcPr>
            <w:tcW w:w="9214" w:type="dxa"/>
            <w:gridSpan w:val="4"/>
            <w:tcBorders>
              <w:left w:val="nil"/>
              <w:bottom w:val="nil"/>
              <w:right w:val="nil"/>
            </w:tcBorders>
            <w:shd w:val="clear" w:color="000000" w:fill="FFFFFF"/>
            <w:vAlign w:val="center"/>
            <w:hideMark/>
          </w:tcPr>
          <w:p w14:paraId="1E2D0BE7" w14:textId="41A4E6E8" w:rsidR="004A4FA2" w:rsidRPr="00AF7096" w:rsidRDefault="009A55B0"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lang w:val="en-GB"/>
              </w:rPr>
            </w:pPr>
            <w:r w:rsidRPr="00AF7096">
              <w:rPr>
                <w:rFonts w:asciiTheme="minorHAnsi" w:hAnsiTheme="minorHAnsi" w:cstheme="minorHAnsi"/>
                <w:lang w:val="en-GB"/>
              </w:rPr>
              <w:t>Mineral</w:t>
            </w:r>
            <w:r w:rsidR="004A4FA2" w:rsidRPr="00AF7096">
              <w:rPr>
                <w:rFonts w:asciiTheme="minorHAnsi" w:hAnsiTheme="minorHAnsi" w:cstheme="minorHAnsi"/>
                <w:lang w:val="en-GB"/>
              </w:rPr>
              <w:t xml:space="preserve"> fertilizers</w:t>
            </w:r>
          </w:p>
        </w:tc>
      </w:tr>
      <w:tr w:rsidR="004A4FA2" w:rsidRPr="00AF7096" w14:paraId="717FE1B9" w14:textId="77777777" w:rsidTr="009A55B0">
        <w:trPr>
          <w:trHeight w:val="255"/>
        </w:trPr>
        <w:tc>
          <w:tcPr>
            <w:tcW w:w="4678" w:type="dxa"/>
            <w:tcBorders>
              <w:left w:val="nil"/>
              <w:right w:val="nil"/>
            </w:tcBorders>
            <w:shd w:val="clear" w:color="000000" w:fill="FFFFFF"/>
            <w:vAlign w:val="center"/>
            <w:hideMark/>
          </w:tcPr>
          <w:p w14:paraId="7E9EC6EB" w14:textId="4B2F55F9" w:rsidR="004A4FA2" w:rsidRPr="00AF7096" w:rsidRDefault="009A55B0"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val="0"/>
                <w:lang w:val="en-GB"/>
              </w:rPr>
            </w:pPr>
            <w:r w:rsidRPr="00AF7096">
              <w:rPr>
                <w:rFonts w:asciiTheme="minorHAnsi" w:hAnsiTheme="minorHAnsi" w:cstheme="minorHAnsi"/>
                <w:b w:val="0"/>
                <w:lang w:val="en-GB"/>
              </w:rPr>
              <w:t>Phosphate-based fertilizers</w:t>
            </w:r>
          </w:p>
        </w:tc>
        <w:tc>
          <w:tcPr>
            <w:tcW w:w="1559" w:type="dxa"/>
            <w:tcBorders>
              <w:left w:val="nil"/>
              <w:right w:val="nil"/>
            </w:tcBorders>
            <w:shd w:val="clear" w:color="auto" w:fill="auto"/>
            <w:vAlign w:val="center"/>
            <w:hideMark/>
          </w:tcPr>
          <w:p w14:paraId="2C421338"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8,388.7</w:t>
            </w:r>
          </w:p>
        </w:tc>
        <w:tc>
          <w:tcPr>
            <w:tcW w:w="1701" w:type="dxa"/>
            <w:tcBorders>
              <w:left w:val="nil"/>
              <w:right w:val="nil"/>
            </w:tcBorders>
            <w:shd w:val="clear" w:color="auto" w:fill="auto"/>
            <w:vAlign w:val="center"/>
            <w:hideMark/>
          </w:tcPr>
          <w:p w14:paraId="7DE809E8"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8,224.4</w:t>
            </w:r>
          </w:p>
        </w:tc>
        <w:tc>
          <w:tcPr>
            <w:tcW w:w="1276" w:type="dxa"/>
            <w:tcBorders>
              <w:left w:val="nil"/>
              <w:right w:val="nil"/>
            </w:tcBorders>
            <w:shd w:val="clear" w:color="000000" w:fill="E3F1F7"/>
            <w:noWrap/>
            <w:vAlign w:val="center"/>
            <w:hideMark/>
          </w:tcPr>
          <w:p w14:paraId="49D0FCD2"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2.0%</w:t>
            </w:r>
          </w:p>
        </w:tc>
      </w:tr>
      <w:tr w:rsidR="004A4FA2" w:rsidRPr="00AF7096" w14:paraId="198106AE" w14:textId="77777777" w:rsidTr="009A55B0">
        <w:trPr>
          <w:trHeight w:val="255"/>
        </w:trPr>
        <w:tc>
          <w:tcPr>
            <w:tcW w:w="4678" w:type="dxa"/>
            <w:tcBorders>
              <w:left w:val="nil"/>
              <w:bottom w:val="single" w:sz="4" w:space="0" w:color="auto"/>
              <w:right w:val="nil"/>
            </w:tcBorders>
            <w:shd w:val="clear" w:color="000000" w:fill="FFFFFF"/>
            <w:vAlign w:val="center"/>
            <w:hideMark/>
          </w:tcPr>
          <w:p w14:paraId="4832F2D0" w14:textId="1690AE7B" w:rsidR="004A4FA2" w:rsidRPr="00AF7096" w:rsidRDefault="009A55B0"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val="0"/>
                <w:lang w:val="en-GB"/>
              </w:rPr>
            </w:pPr>
            <w:r w:rsidRPr="00AF7096">
              <w:rPr>
                <w:rFonts w:asciiTheme="minorHAnsi" w:hAnsiTheme="minorHAnsi" w:cstheme="minorHAnsi"/>
                <w:b w:val="0"/>
                <w:lang w:val="en-GB"/>
              </w:rPr>
              <w:t>Nitrogen-based fertilizers</w:t>
            </w:r>
          </w:p>
        </w:tc>
        <w:tc>
          <w:tcPr>
            <w:tcW w:w="1559" w:type="dxa"/>
            <w:tcBorders>
              <w:left w:val="nil"/>
              <w:bottom w:val="single" w:sz="4" w:space="0" w:color="auto"/>
              <w:right w:val="nil"/>
            </w:tcBorders>
            <w:shd w:val="clear" w:color="auto" w:fill="auto"/>
            <w:vAlign w:val="center"/>
            <w:hideMark/>
          </w:tcPr>
          <w:p w14:paraId="6599EBBA"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2,605.3</w:t>
            </w:r>
          </w:p>
        </w:tc>
        <w:tc>
          <w:tcPr>
            <w:tcW w:w="1701" w:type="dxa"/>
            <w:tcBorders>
              <w:left w:val="nil"/>
              <w:bottom w:val="single" w:sz="4" w:space="0" w:color="auto"/>
              <w:right w:val="nil"/>
            </w:tcBorders>
            <w:shd w:val="clear" w:color="auto" w:fill="auto"/>
            <w:vAlign w:val="center"/>
            <w:hideMark/>
          </w:tcPr>
          <w:p w14:paraId="5CF53A6D"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2,546.6</w:t>
            </w:r>
          </w:p>
        </w:tc>
        <w:tc>
          <w:tcPr>
            <w:tcW w:w="1276" w:type="dxa"/>
            <w:tcBorders>
              <w:left w:val="nil"/>
              <w:bottom w:val="single" w:sz="4" w:space="0" w:color="auto"/>
              <w:right w:val="nil"/>
            </w:tcBorders>
            <w:shd w:val="clear" w:color="000000" w:fill="E3F1F7"/>
            <w:noWrap/>
            <w:vAlign w:val="center"/>
            <w:hideMark/>
          </w:tcPr>
          <w:p w14:paraId="46CF4B1A"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val="0"/>
                <w:lang w:val="en-GB"/>
              </w:rPr>
            </w:pPr>
            <w:r w:rsidRPr="00AF7096">
              <w:rPr>
                <w:rFonts w:asciiTheme="minorHAnsi" w:hAnsiTheme="minorHAnsi" w:cstheme="minorHAnsi"/>
                <w:b w:val="0"/>
                <w:lang w:val="en-GB"/>
              </w:rPr>
              <w:t>2.3%</w:t>
            </w:r>
          </w:p>
        </w:tc>
      </w:tr>
      <w:tr w:rsidR="004A4FA2" w:rsidRPr="00AF7096" w14:paraId="3FE0401C" w14:textId="77777777" w:rsidTr="009A55B0">
        <w:trPr>
          <w:trHeight w:val="270"/>
        </w:trPr>
        <w:tc>
          <w:tcPr>
            <w:tcW w:w="4678" w:type="dxa"/>
            <w:tcBorders>
              <w:top w:val="single" w:sz="4" w:space="0" w:color="auto"/>
              <w:left w:val="nil"/>
              <w:bottom w:val="double" w:sz="6" w:space="0" w:color="auto"/>
              <w:right w:val="nil"/>
            </w:tcBorders>
            <w:shd w:val="clear" w:color="auto" w:fill="auto"/>
            <w:vAlign w:val="center"/>
            <w:hideMark/>
          </w:tcPr>
          <w:p w14:paraId="05E9F9B6"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TOTAL fertilizers</w:t>
            </w:r>
          </w:p>
        </w:tc>
        <w:tc>
          <w:tcPr>
            <w:tcW w:w="1559" w:type="dxa"/>
            <w:tcBorders>
              <w:top w:val="single" w:sz="4" w:space="0" w:color="auto"/>
              <w:left w:val="nil"/>
              <w:bottom w:val="double" w:sz="6" w:space="0" w:color="auto"/>
              <w:right w:val="nil"/>
            </w:tcBorders>
            <w:shd w:val="clear" w:color="auto" w:fill="auto"/>
            <w:vAlign w:val="center"/>
            <w:hideMark/>
          </w:tcPr>
          <w:p w14:paraId="7C1D6CF1"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10,994.0</w:t>
            </w:r>
          </w:p>
        </w:tc>
        <w:tc>
          <w:tcPr>
            <w:tcW w:w="1701" w:type="dxa"/>
            <w:tcBorders>
              <w:top w:val="single" w:sz="4" w:space="0" w:color="auto"/>
              <w:left w:val="nil"/>
              <w:bottom w:val="double" w:sz="6" w:space="0" w:color="auto"/>
              <w:right w:val="nil"/>
            </w:tcBorders>
            <w:shd w:val="clear" w:color="auto" w:fill="auto"/>
            <w:vAlign w:val="center"/>
            <w:hideMark/>
          </w:tcPr>
          <w:p w14:paraId="0FE951BD"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10,771.0</w:t>
            </w:r>
          </w:p>
        </w:tc>
        <w:tc>
          <w:tcPr>
            <w:tcW w:w="1276" w:type="dxa"/>
            <w:tcBorders>
              <w:top w:val="single" w:sz="4" w:space="0" w:color="auto"/>
              <w:left w:val="nil"/>
              <w:bottom w:val="double" w:sz="6" w:space="0" w:color="auto"/>
              <w:right w:val="nil"/>
            </w:tcBorders>
            <w:shd w:val="clear" w:color="000000" w:fill="E3F1F7"/>
            <w:noWrap/>
            <w:vAlign w:val="center"/>
            <w:hideMark/>
          </w:tcPr>
          <w:p w14:paraId="04F180A0"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2.1%</w:t>
            </w:r>
          </w:p>
        </w:tc>
      </w:tr>
      <w:tr w:rsidR="004A4FA2" w:rsidRPr="00AF7096" w14:paraId="6C5937C8" w14:textId="77777777" w:rsidTr="004A35D5">
        <w:trPr>
          <w:trHeight w:val="300"/>
        </w:trPr>
        <w:tc>
          <w:tcPr>
            <w:tcW w:w="9214" w:type="dxa"/>
            <w:gridSpan w:val="4"/>
            <w:tcBorders>
              <w:top w:val="double" w:sz="6" w:space="0" w:color="auto"/>
              <w:left w:val="nil"/>
              <w:bottom w:val="nil"/>
              <w:right w:val="nil"/>
            </w:tcBorders>
            <w:shd w:val="clear" w:color="000000" w:fill="FFFFFF"/>
            <w:vAlign w:val="center"/>
            <w:hideMark/>
          </w:tcPr>
          <w:p w14:paraId="19083EAD"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lang w:val="en-GB"/>
              </w:rPr>
            </w:pPr>
            <w:r w:rsidRPr="00AF7096">
              <w:rPr>
                <w:rFonts w:asciiTheme="minorHAnsi" w:hAnsiTheme="minorHAnsi" w:cstheme="minorHAnsi"/>
                <w:lang w:val="en-GB"/>
              </w:rPr>
              <w:t>Other products</w:t>
            </w:r>
          </w:p>
        </w:tc>
      </w:tr>
      <w:tr w:rsidR="004A4FA2" w:rsidRPr="00AF7096" w14:paraId="2BD29940" w14:textId="77777777" w:rsidTr="004A35D5">
        <w:trPr>
          <w:trHeight w:val="240"/>
        </w:trPr>
        <w:tc>
          <w:tcPr>
            <w:tcW w:w="4678" w:type="dxa"/>
            <w:tcBorders>
              <w:top w:val="nil"/>
              <w:left w:val="nil"/>
              <w:bottom w:val="nil"/>
              <w:right w:val="nil"/>
            </w:tcBorders>
            <w:shd w:val="clear" w:color="auto" w:fill="auto"/>
            <w:vAlign w:val="center"/>
            <w:hideMark/>
          </w:tcPr>
          <w:p w14:paraId="35BDD1B1"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STPP</w:t>
            </w:r>
          </w:p>
        </w:tc>
        <w:tc>
          <w:tcPr>
            <w:tcW w:w="1559" w:type="dxa"/>
            <w:tcBorders>
              <w:top w:val="nil"/>
              <w:left w:val="nil"/>
              <w:bottom w:val="nil"/>
              <w:right w:val="nil"/>
            </w:tcBorders>
            <w:shd w:val="clear" w:color="auto" w:fill="auto"/>
            <w:vAlign w:val="center"/>
            <w:hideMark/>
          </w:tcPr>
          <w:p w14:paraId="4E224BA4"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55.7</w:t>
            </w:r>
          </w:p>
        </w:tc>
        <w:tc>
          <w:tcPr>
            <w:tcW w:w="1701" w:type="dxa"/>
            <w:tcBorders>
              <w:top w:val="nil"/>
              <w:left w:val="nil"/>
              <w:bottom w:val="nil"/>
              <w:right w:val="nil"/>
            </w:tcBorders>
            <w:shd w:val="clear" w:color="auto" w:fill="auto"/>
            <w:vAlign w:val="center"/>
            <w:hideMark/>
          </w:tcPr>
          <w:p w14:paraId="14BCB257"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68.3</w:t>
            </w:r>
          </w:p>
        </w:tc>
        <w:tc>
          <w:tcPr>
            <w:tcW w:w="1276" w:type="dxa"/>
            <w:tcBorders>
              <w:top w:val="nil"/>
              <w:left w:val="nil"/>
              <w:bottom w:val="nil"/>
              <w:right w:val="nil"/>
            </w:tcBorders>
            <w:shd w:val="clear" w:color="000000" w:fill="E3F1F7"/>
            <w:noWrap/>
            <w:vAlign w:val="center"/>
            <w:hideMark/>
          </w:tcPr>
          <w:p w14:paraId="26126C54"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-18.4%</w:t>
            </w:r>
          </w:p>
        </w:tc>
      </w:tr>
      <w:tr w:rsidR="004A4FA2" w:rsidRPr="00AF7096" w14:paraId="48F5B41C" w14:textId="77777777" w:rsidTr="004A35D5">
        <w:trPr>
          <w:trHeight w:val="240"/>
        </w:trPr>
        <w:tc>
          <w:tcPr>
            <w:tcW w:w="4678" w:type="dxa"/>
            <w:tcBorders>
              <w:top w:val="nil"/>
              <w:left w:val="nil"/>
              <w:bottom w:val="nil"/>
              <w:right w:val="nil"/>
            </w:tcBorders>
            <w:shd w:val="clear" w:color="auto" w:fill="auto"/>
            <w:vAlign w:val="center"/>
            <w:hideMark/>
          </w:tcPr>
          <w:p w14:paraId="494DF1B5"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Other</w:t>
            </w:r>
          </w:p>
        </w:tc>
        <w:tc>
          <w:tcPr>
            <w:tcW w:w="1559" w:type="dxa"/>
            <w:tcBorders>
              <w:top w:val="nil"/>
              <w:left w:val="nil"/>
              <w:bottom w:val="nil"/>
              <w:right w:val="nil"/>
            </w:tcBorders>
            <w:shd w:val="clear" w:color="auto" w:fill="auto"/>
            <w:vAlign w:val="center"/>
            <w:hideMark/>
          </w:tcPr>
          <w:p w14:paraId="4E3E9534"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230.3</w:t>
            </w:r>
          </w:p>
        </w:tc>
        <w:tc>
          <w:tcPr>
            <w:tcW w:w="1701" w:type="dxa"/>
            <w:tcBorders>
              <w:top w:val="nil"/>
              <w:left w:val="nil"/>
              <w:bottom w:val="nil"/>
              <w:right w:val="nil"/>
            </w:tcBorders>
            <w:shd w:val="clear" w:color="auto" w:fill="auto"/>
            <w:vAlign w:val="center"/>
            <w:hideMark/>
          </w:tcPr>
          <w:p w14:paraId="51EECDAC"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233.6</w:t>
            </w:r>
          </w:p>
        </w:tc>
        <w:tc>
          <w:tcPr>
            <w:tcW w:w="1276" w:type="dxa"/>
            <w:tcBorders>
              <w:top w:val="nil"/>
              <w:left w:val="nil"/>
              <w:bottom w:val="nil"/>
              <w:right w:val="nil"/>
            </w:tcBorders>
            <w:shd w:val="clear" w:color="000000" w:fill="E3F1F7"/>
            <w:noWrap/>
            <w:vAlign w:val="center"/>
            <w:hideMark/>
          </w:tcPr>
          <w:p w14:paraId="51551AE5"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-1.4%</w:t>
            </w:r>
          </w:p>
        </w:tc>
      </w:tr>
      <w:tr w:rsidR="004A4FA2" w:rsidRPr="00AF7096" w14:paraId="2688B4AC" w14:textId="77777777" w:rsidTr="004A35D5">
        <w:trPr>
          <w:trHeight w:val="255"/>
        </w:trPr>
        <w:tc>
          <w:tcPr>
            <w:tcW w:w="4678" w:type="dxa"/>
            <w:tcBorders>
              <w:top w:val="single" w:sz="4" w:space="0" w:color="auto"/>
              <w:left w:val="nil"/>
              <w:bottom w:val="double" w:sz="6" w:space="0" w:color="auto"/>
              <w:right w:val="nil"/>
            </w:tcBorders>
            <w:shd w:val="clear" w:color="auto" w:fill="auto"/>
            <w:vAlign w:val="center"/>
            <w:hideMark/>
          </w:tcPr>
          <w:p w14:paraId="150B65C0" w14:textId="0094EE6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 xml:space="preserve">TOTAL </w:t>
            </w:r>
            <w:r w:rsidR="00CB57AF" w:rsidRPr="00AF7096">
              <w:rPr>
                <w:rFonts w:asciiTheme="minorHAnsi" w:hAnsiTheme="minorHAnsi" w:cstheme="minorHAnsi"/>
                <w:lang w:val="en-GB"/>
              </w:rPr>
              <w:t>other products</w:t>
            </w:r>
          </w:p>
        </w:tc>
        <w:tc>
          <w:tcPr>
            <w:tcW w:w="1559" w:type="dxa"/>
            <w:tcBorders>
              <w:top w:val="single" w:sz="4" w:space="0" w:color="auto"/>
              <w:left w:val="nil"/>
              <w:bottom w:val="double" w:sz="6" w:space="0" w:color="auto"/>
              <w:right w:val="nil"/>
            </w:tcBorders>
            <w:shd w:val="clear" w:color="auto" w:fill="auto"/>
            <w:vAlign w:val="center"/>
            <w:hideMark/>
          </w:tcPr>
          <w:p w14:paraId="714B267A"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286.0</w:t>
            </w:r>
          </w:p>
        </w:tc>
        <w:tc>
          <w:tcPr>
            <w:tcW w:w="1701" w:type="dxa"/>
            <w:tcBorders>
              <w:top w:val="single" w:sz="4" w:space="0" w:color="auto"/>
              <w:left w:val="nil"/>
              <w:bottom w:val="double" w:sz="6" w:space="0" w:color="auto"/>
              <w:right w:val="nil"/>
            </w:tcBorders>
            <w:shd w:val="clear" w:color="auto" w:fill="auto"/>
            <w:vAlign w:val="center"/>
            <w:hideMark/>
          </w:tcPr>
          <w:p w14:paraId="6B100B35"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301.9</w:t>
            </w:r>
          </w:p>
        </w:tc>
        <w:tc>
          <w:tcPr>
            <w:tcW w:w="1276" w:type="dxa"/>
            <w:tcBorders>
              <w:top w:val="single" w:sz="4" w:space="0" w:color="auto"/>
              <w:left w:val="nil"/>
              <w:bottom w:val="double" w:sz="6" w:space="0" w:color="auto"/>
              <w:right w:val="nil"/>
            </w:tcBorders>
            <w:shd w:val="clear" w:color="000000" w:fill="E3F1F7"/>
            <w:noWrap/>
            <w:vAlign w:val="center"/>
            <w:hideMark/>
          </w:tcPr>
          <w:p w14:paraId="618AD7E1"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-5.2%</w:t>
            </w:r>
          </w:p>
        </w:tc>
      </w:tr>
      <w:tr w:rsidR="004A4FA2" w:rsidRPr="00AF7096" w14:paraId="545CA3FD" w14:textId="77777777" w:rsidTr="004A35D5">
        <w:trPr>
          <w:trHeight w:val="255"/>
        </w:trPr>
        <w:tc>
          <w:tcPr>
            <w:tcW w:w="4678" w:type="dxa"/>
            <w:tcBorders>
              <w:top w:val="single" w:sz="4" w:space="0" w:color="auto"/>
              <w:left w:val="nil"/>
              <w:bottom w:val="double" w:sz="6" w:space="0" w:color="auto"/>
              <w:right w:val="nil"/>
            </w:tcBorders>
            <w:shd w:val="clear" w:color="auto" w:fill="auto"/>
            <w:vAlign w:val="center"/>
          </w:tcPr>
          <w:p w14:paraId="6587ED78" w14:textId="58C693DE" w:rsidR="004A4FA2" w:rsidRPr="00AF7096" w:rsidRDefault="004A4FA2" w:rsidP="004A35D5">
            <w:pPr>
              <w:pStyle w:val="P68B1DB1-Normal8"/>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 xml:space="preserve">TOTAL agrochemical </w:t>
            </w:r>
            <w:r w:rsidR="00CB57AF" w:rsidRPr="00AF7096">
              <w:rPr>
                <w:rFonts w:asciiTheme="minorHAnsi" w:hAnsiTheme="minorHAnsi" w:cstheme="minorHAnsi"/>
                <w:lang w:val="en-GB"/>
              </w:rPr>
              <w:t>products</w:t>
            </w:r>
          </w:p>
        </w:tc>
        <w:tc>
          <w:tcPr>
            <w:tcW w:w="1559" w:type="dxa"/>
            <w:tcBorders>
              <w:top w:val="single" w:sz="4" w:space="0" w:color="auto"/>
              <w:left w:val="nil"/>
              <w:bottom w:val="double" w:sz="6" w:space="0" w:color="auto"/>
              <w:right w:val="nil"/>
            </w:tcBorders>
            <w:shd w:val="clear" w:color="auto" w:fill="auto"/>
            <w:vAlign w:val="center"/>
          </w:tcPr>
          <w:p w14:paraId="2AADFD45" w14:textId="77777777" w:rsidR="004A4FA2" w:rsidRPr="00AF7096" w:rsidRDefault="004A4FA2" w:rsidP="004A35D5">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11,280.0</w:t>
            </w:r>
          </w:p>
        </w:tc>
        <w:tc>
          <w:tcPr>
            <w:tcW w:w="1701" w:type="dxa"/>
            <w:tcBorders>
              <w:top w:val="single" w:sz="4" w:space="0" w:color="auto"/>
              <w:left w:val="nil"/>
              <w:bottom w:val="double" w:sz="6" w:space="0" w:color="auto"/>
              <w:right w:val="nil"/>
            </w:tcBorders>
            <w:shd w:val="clear" w:color="auto" w:fill="auto"/>
            <w:vAlign w:val="center"/>
          </w:tcPr>
          <w:p w14:paraId="6FDA1063" w14:textId="77777777" w:rsidR="004A4FA2" w:rsidRPr="00AF7096" w:rsidRDefault="004A4FA2" w:rsidP="004A35D5">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11,072.9</w:t>
            </w:r>
          </w:p>
        </w:tc>
        <w:tc>
          <w:tcPr>
            <w:tcW w:w="1276" w:type="dxa"/>
            <w:tcBorders>
              <w:top w:val="single" w:sz="4" w:space="0" w:color="auto"/>
              <w:left w:val="nil"/>
              <w:bottom w:val="double" w:sz="6" w:space="0" w:color="auto"/>
              <w:right w:val="nil"/>
            </w:tcBorders>
            <w:shd w:val="clear" w:color="000000" w:fill="E3F1F7"/>
            <w:noWrap/>
            <w:vAlign w:val="center"/>
          </w:tcPr>
          <w:p w14:paraId="1BB39B61" w14:textId="77777777" w:rsidR="004A4FA2" w:rsidRPr="00AF7096" w:rsidRDefault="004A4FA2" w:rsidP="004A35D5">
            <w:pPr>
              <w:pStyle w:val="P68B1DB1-Normal8"/>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1.9%</w:t>
            </w:r>
          </w:p>
        </w:tc>
      </w:tr>
      <w:tr w:rsidR="004A4FA2" w:rsidRPr="00AF7096" w14:paraId="474B5F22" w14:textId="77777777" w:rsidTr="004A35D5">
        <w:trPr>
          <w:trHeight w:val="300"/>
        </w:trPr>
        <w:tc>
          <w:tcPr>
            <w:tcW w:w="9214" w:type="dxa"/>
            <w:gridSpan w:val="4"/>
            <w:tcBorders>
              <w:top w:val="double" w:sz="6" w:space="0" w:color="auto"/>
              <w:left w:val="nil"/>
              <w:bottom w:val="nil"/>
              <w:right w:val="nil"/>
            </w:tcBorders>
            <w:shd w:val="clear" w:color="000000" w:fill="FFFFFF"/>
            <w:vAlign w:val="center"/>
            <w:hideMark/>
          </w:tcPr>
          <w:p w14:paraId="010C1341"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lang w:val="en-GB"/>
              </w:rPr>
            </w:pPr>
            <w:r w:rsidRPr="00AF7096">
              <w:rPr>
                <w:rFonts w:asciiTheme="minorHAnsi" w:hAnsiTheme="minorHAnsi" w:cstheme="minorHAnsi"/>
                <w:lang w:val="en-GB"/>
              </w:rPr>
              <w:t>Feedstocks</w:t>
            </w:r>
          </w:p>
        </w:tc>
      </w:tr>
      <w:tr w:rsidR="004A4FA2" w:rsidRPr="00AF7096" w14:paraId="7797E6AC" w14:textId="77777777" w:rsidTr="004A35D5">
        <w:trPr>
          <w:trHeight w:val="240"/>
        </w:trPr>
        <w:tc>
          <w:tcPr>
            <w:tcW w:w="4678" w:type="dxa"/>
            <w:tcBorders>
              <w:top w:val="nil"/>
              <w:left w:val="nil"/>
              <w:bottom w:val="nil"/>
              <w:right w:val="nil"/>
            </w:tcBorders>
            <w:shd w:val="clear" w:color="000000" w:fill="FFFFFF"/>
            <w:vAlign w:val="center"/>
            <w:hideMark/>
          </w:tcPr>
          <w:p w14:paraId="318D6FE0"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Ammonia</w:t>
            </w:r>
          </w:p>
        </w:tc>
        <w:tc>
          <w:tcPr>
            <w:tcW w:w="1559" w:type="dxa"/>
            <w:tcBorders>
              <w:top w:val="nil"/>
              <w:left w:val="nil"/>
              <w:bottom w:val="nil"/>
              <w:right w:val="nil"/>
            </w:tcBorders>
            <w:shd w:val="clear" w:color="auto" w:fill="auto"/>
            <w:vAlign w:val="center"/>
            <w:hideMark/>
          </w:tcPr>
          <w:p w14:paraId="1A099F1F"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1,982.8</w:t>
            </w:r>
          </w:p>
        </w:tc>
        <w:tc>
          <w:tcPr>
            <w:tcW w:w="1701" w:type="dxa"/>
            <w:tcBorders>
              <w:top w:val="nil"/>
              <w:left w:val="nil"/>
              <w:bottom w:val="nil"/>
              <w:right w:val="nil"/>
            </w:tcBorders>
            <w:shd w:val="clear" w:color="auto" w:fill="auto"/>
            <w:vAlign w:val="center"/>
            <w:hideMark/>
          </w:tcPr>
          <w:p w14:paraId="7E2A2B52"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1,985.3</w:t>
            </w:r>
          </w:p>
        </w:tc>
        <w:tc>
          <w:tcPr>
            <w:tcW w:w="1276" w:type="dxa"/>
            <w:tcBorders>
              <w:top w:val="nil"/>
              <w:left w:val="nil"/>
              <w:bottom w:val="nil"/>
              <w:right w:val="nil"/>
            </w:tcBorders>
            <w:shd w:val="clear" w:color="000000" w:fill="E3F1F7"/>
            <w:noWrap/>
            <w:vAlign w:val="center"/>
            <w:hideMark/>
          </w:tcPr>
          <w:p w14:paraId="32CCD86F"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-0.1%</w:t>
            </w:r>
          </w:p>
        </w:tc>
      </w:tr>
      <w:tr w:rsidR="004A4FA2" w:rsidRPr="00AF7096" w14:paraId="69956D22" w14:textId="77777777" w:rsidTr="004A35D5">
        <w:trPr>
          <w:trHeight w:val="240"/>
        </w:trPr>
        <w:tc>
          <w:tcPr>
            <w:tcW w:w="4678" w:type="dxa"/>
            <w:tcBorders>
              <w:top w:val="nil"/>
              <w:left w:val="nil"/>
              <w:bottom w:val="nil"/>
              <w:right w:val="nil"/>
            </w:tcBorders>
            <w:shd w:val="clear" w:color="000000" w:fill="FFFFFF"/>
            <w:vAlign w:val="center"/>
            <w:hideMark/>
          </w:tcPr>
          <w:p w14:paraId="19795836"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Phosphoric acid</w:t>
            </w:r>
          </w:p>
        </w:tc>
        <w:tc>
          <w:tcPr>
            <w:tcW w:w="1559" w:type="dxa"/>
            <w:tcBorders>
              <w:top w:val="nil"/>
              <w:left w:val="nil"/>
              <w:bottom w:val="nil"/>
              <w:right w:val="nil"/>
            </w:tcBorders>
            <w:shd w:val="clear" w:color="auto" w:fill="auto"/>
            <w:vAlign w:val="center"/>
            <w:hideMark/>
          </w:tcPr>
          <w:p w14:paraId="5F39CFAE"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3,345.3</w:t>
            </w:r>
          </w:p>
        </w:tc>
        <w:tc>
          <w:tcPr>
            <w:tcW w:w="1701" w:type="dxa"/>
            <w:tcBorders>
              <w:top w:val="nil"/>
              <w:left w:val="nil"/>
              <w:bottom w:val="nil"/>
              <w:right w:val="nil"/>
            </w:tcBorders>
            <w:shd w:val="clear" w:color="auto" w:fill="auto"/>
            <w:vAlign w:val="center"/>
            <w:hideMark/>
          </w:tcPr>
          <w:p w14:paraId="47E12BAA"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3,199.4</w:t>
            </w:r>
          </w:p>
        </w:tc>
        <w:tc>
          <w:tcPr>
            <w:tcW w:w="1276" w:type="dxa"/>
            <w:tcBorders>
              <w:top w:val="nil"/>
              <w:left w:val="nil"/>
              <w:bottom w:val="nil"/>
              <w:right w:val="nil"/>
            </w:tcBorders>
            <w:shd w:val="clear" w:color="000000" w:fill="E3F1F7"/>
            <w:noWrap/>
            <w:vAlign w:val="center"/>
            <w:hideMark/>
          </w:tcPr>
          <w:p w14:paraId="2454F05A"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4.6%</w:t>
            </w:r>
          </w:p>
        </w:tc>
      </w:tr>
      <w:tr w:rsidR="004A4FA2" w:rsidRPr="00AF7096" w14:paraId="4649848E" w14:textId="77777777" w:rsidTr="004A35D5">
        <w:trPr>
          <w:trHeight w:val="240"/>
        </w:trPr>
        <w:tc>
          <w:tcPr>
            <w:tcW w:w="4678" w:type="dxa"/>
            <w:tcBorders>
              <w:top w:val="nil"/>
              <w:left w:val="nil"/>
              <w:bottom w:val="nil"/>
              <w:right w:val="nil"/>
            </w:tcBorders>
            <w:shd w:val="clear" w:color="000000" w:fill="FFFFFF"/>
            <w:vAlign w:val="center"/>
            <w:hideMark/>
          </w:tcPr>
          <w:p w14:paraId="24889349"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Sulphuric acid</w:t>
            </w:r>
          </w:p>
        </w:tc>
        <w:tc>
          <w:tcPr>
            <w:tcW w:w="1559" w:type="dxa"/>
            <w:tcBorders>
              <w:top w:val="nil"/>
              <w:left w:val="nil"/>
              <w:bottom w:val="nil"/>
              <w:right w:val="nil"/>
            </w:tcBorders>
            <w:shd w:val="clear" w:color="auto" w:fill="auto"/>
            <w:vAlign w:val="center"/>
            <w:hideMark/>
          </w:tcPr>
          <w:p w14:paraId="26871A82"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8,120.0</w:t>
            </w:r>
          </w:p>
        </w:tc>
        <w:tc>
          <w:tcPr>
            <w:tcW w:w="1701" w:type="dxa"/>
            <w:tcBorders>
              <w:top w:val="nil"/>
              <w:left w:val="nil"/>
              <w:bottom w:val="nil"/>
              <w:right w:val="nil"/>
            </w:tcBorders>
            <w:shd w:val="clear" w:color="auto" w:fill="auto"/>
            <w:vAlign w:val="center"/>
            <w:hideMark/>
          </w:tcPr>
          <w:p w14:paraId="2810AF8A"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7,920.2</w:t>
            </w:r>
          </w:p>
        </w:tc>
        <w:tc>
          <w:tcPr>
            <w:tcW w:w="1276" w:type="dxa"/>
            <w:tcBorders>
              <w:top w:val="nil"/>
              <w:left w:val="nil"/>
              <w:bottom w:val="nil"/>
              <w:right w:val="nil"/>
            </w:tcBorders>
            <w:shd w:val="clear" w:color="000000" w:fill="E3F1F7"/>
            <w:noWrap/>
            <w:vAlign w:val="center"/>
            <w:hideMark/>
          </w:tcPr>
          <w:p w14:paraId="232B1175"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2.5%</w:t>
            </w:r>
          </w:p>
        </w:tc>
      </w:tr>
      <w:tr w:rsidR="004A4FA2" w:rsidRPr="00AF7096" w14:paraId="0104A6F3" w14:textId="77777777" w:rsidTr="004A35D5">
        <w:trPr>
          <w:trHeight w:val="240"/>
        </w:trPr>
        <w:tc>
          <w:tcPr>
            <w:tcW w:w="4678" w:type="dxa"/>
            <w:tcBorders>
              <w:top w:val="nil"/>
              <w:left w:val="nil"/>
              <w:bottom w:val="nil"/>
              <w:right w:val="nil"/>
            </w:tcBorders>
            <w:shd w:val="clear" w:color="auto" w:fill="auto"/>
            <w:vAlign w:val="center"/>
            <w:hideMark/>
          </w:tcPr>
          <w:p w14:paraId="0D6F0744"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Ammonium sulphate</w:t>
            </w:r>
          </w:p>
        </w:tc>
        <w:tc>
          <w:tcPr>
            <w:tcW w:w="1559" w:type="dxa"/>
            <w:tcBorders>
              <w:top w:val="nil"/>
              <w:left w:val="nil"/>
              <w:bottom w:val="nil"/>
              <w:right w:val="nil"/>
            </w:tcBorders>
            <w:shd w:val="clear" w:color="auto" w:fill="auto"/>
            <w:vAlign w:val="center"/>
            <w:hideMark/>
          </w:tcPr>
          <w:p w14:paraId="777680B6"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260.2</w:t>
            </w:r>
          </w:p>
        </w:tc>
        <w:tc>
          <w:tcPr>
            <w:tcW w:w="1701" w:type="dxa"/>
            <w:tcBorders>
              <w:top w:val="nil"/>
              <w:left w:val="nil"/>
              <w:bottom w:val="nil"/>
              <w:right w:val="nil"/>
            </w:tcBorders>
            <w:shd w:val="clear" w:color="auto" w:fill="auto"/>
            <w:vAlign w:val="center"/>
            <w:hideMark/>
          </w:tcPr>
          <w:p w14:paraId="1834AB20"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322.6</w:t>
            </w:r>
          </w:p>
        </w:tc>
        <w:tc>
          <w:tcPr>
            <w:tcW w:w="1276" w:type="dxa"/>
            <w:tcBorders>
              <w:top w:val="nil"/>
              <w:left w:val="nil"/>
              <w:bottom w:val="nil"/>
              <w:right w:val="nil"/>
            </w:tcBorders>
            <w:shd w:val="clear" w:color="000000" w:fill="E3F1F7"/>
            <w:noWrap/>
            <w:vAlign w:val="center"/>
            <w:hideMark/>
          </w:tcPr>
          <w:p w14:paraId="37959868" w14:textId="77777777" w:rsidR="004A4FA2" w:rsidRPr="00AF7096" w:rsidRDefault="004A4FA2" w:rsidP="004A35D5">
            <w:pPr>
              <w:pStyle w:val="P68B1DB1-Normal7"/>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-19.3%</w:t>
            </w:r>
          </w:p>
        </w:tc>
      </w:tr>
      <w:tr w:rsidR="004A4FA2" w:rsidRPr="00AF7096" w14:paraId="1A777B5A" w14:textId="77777777" w:rsidTr="004A35D5">
        <w:trPr>
          <w:trHeight w:val="255"/>
        </w:trPr>
        <w:tc>
          <w:tcPr>
            <w:tcW w:w="4678" w:type="dxa"/>
            <w:tcBorders>
              <w:top w:val="single" w:sz="4" w:space="0" w:color="auto"/>
              <w:left w:val="nil"/>
              <w:bottom w:val="double" w:sz="6" w:space="0" w:color="auto"/>
              <w:right w:val="nil"/>
            </w:tcBorders>
            <w:shd w:val="clear" w:color="000000" w:fill="FFFFFF"/>
            <w:vAlign w:val="center"/>
            <w:hideMark/>
          </w:tcPr>
          <w:p w14:paraId="2A857199"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lang w:val="en-GB"/>
              </w:rPr>
            </w:pPr>
            <w:r w:rsidRPr="00AF7096">
              <w:rPr>
                <w:rFonts w:asciiTheme="minorHAnsi" w:hAnsiTheme="minorHAnsi" w:cstheme="minorHAnsi"/>
                <w:lang w:val="en-GB"/>
              </w:rPr>
              <w:t>TOTAL feedstocks</w:t>
            </w:r>
          </w:p>
        </w:tc>
        <w:tc>
          <w:tcPr>
            <w:tcW w:w="1559" w:type="dxa"/>
            <w:tcBorders>
              <w:top w:val="single" w:sz="4" w:space="0" w:color="auto"/>
              <w:left w:val="nil"/>
              <w:bottom w:val="double" w:sz="6" w:space="0" w:color="auto"/>
              <w:right w:val="nil"/>
            </w:tcBorders>
            <w:shd w:val="clear" w:color="auto" w:fill="auto"/>
            <w:vAlign w:val="center"/>
            <w:hideMark/>
          </w:tcPr>
          <w:p w14:paraId="5C63D2B3"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13,708.3</w:t>
            </w:r>
          </w:p>
        </w:tc>
        <w:tc>
          <w:tcPr>
            <w:tcW w:w="1701" w:type="dxa"/>
            <w:tcBorders>
              <w:top w:val="single" w:sz="4" w:space="0" w:color="auto"/>
              <w:left w:val="nil"/>
              <w:bottom w:val="double" w:sz="6" w:space="0" w:color="auto"/>
              <w:right w:val="nil"/>
            </w:tcBorders>
            <w:shd w:val="clear" w:color="auto" w:fill="auto"/>
            <w:vAlign w:val="center"/>
            <w:hideMark/>
          </w:tcPr>
          <w:p w14:paraId="7C96F361"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13,427.6</w:t>
            </w:r>
          </w:p>
        </w:tc>
        <w:tc>
          <w:tcPr>
            <w:tcW w:w="1276" w:type="dxa"/>
            <w:tcBorders>
              <w:top w:val="single" w:sz="4" w:space="0" w:color="auto"/>
              <w:left w:val="nil"/>
              <w:bottom w:val="double" w:sz="6" w:space="0" w:color="auto"/>
              <w:right w:val="nil"/>
            </w:tcBorders>
            <w:shd w:val="clear" w:color="000000" w:fill="E3F1F7"/>
            <w:noWrap/>
            <w:vAlign w:val="center"/>
            <w:hideMark/>
          </w:tcPr>
          <w:p w14:paraId="4603CA5F" w14:textId="77777777" w:rsidR="004A4FA2" w:rsidRPr="00AF7096" w:rsidRDefault="004A4FA2" w:rsidP="004A35D5">
            <w:pPr>
              <w:pStyle w:val="P68B1DB1-Normal6"/>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lang w:val="en-GB"/>
              </w:rPr>
            </w:pPr>
            <w:r w:rsidRPr="00AF7096">
              <w:rPr>
                <w:rFonts w:asciiTheme="minorHAnsi" w:hAnsiTheme="minorHAnsi" w:cstheme="minorHAnsi"/>
                <w:lang w:val="en-GB"/>
              </w:rPr>
              <w:t>2.1%</w:t>
            </w:r>
          </w:p>
        </w:tc>
      </w:tr>
    </w:tbl>
    <w:p w14:paraId="74C3E131" w14:textId="77777777" w:rsidR="004A4FA2" w:rsidRPr="00AF7096" w:rsidRDefault="004A4FA2" w:rsidP="004A4FA2">
      <w:pPr>
        <w:pStyle w:val="1"/>
        <w:spacing w:after="120" w:line="240" w:lineRule="auto"/>
        <w:jc w:val="both"/>
        <w:rPr>
          <w:rFonts w:asciiTheme="minorHAnsi" w:hAnsiTheme="minorHAnsi" w:cstheme="minorHAnsi"/>
          <w:b/>
          <w:sz w:val="24"/>
          <w:lang w:val="en-GB"/>
        </w:rPr>
      </w:pPr>
    </w:p>
    <w:p w14:paraId="19A3092B" w14:textId="77777777" w:rsidR="004A4FA2" w:rsidRPr="00AF7096" w:rsidRDefault="004A4FA2" w:rsidP="004A4FA2">
      <w:pPr>
        <w:pStyle w:val="P68B1DB1-13"/>
        <w:spacing w:after="120" w:line="240" w:lineRule="auto"/>
        <w:jc w:val="both"/>
        <w:rPr>
          <w:rFonts w:asciiTheme="minorHAnsi" w:hAnsiTheme="minorHAnsi" w:cstheme="minorHAnsi"/>
          <w:lang w:val="en-GB"/>
        </w:rPr>
      </w:pPr>
      <w:r w:rsidRPr="00AF7096">
        <w:rPr>
          <w:rFonts w:asciiTheme="minorHAnsi" w:hAnsiTheme="minorHAnsi" w:cstheme="minorHAnsi"/>
          <w:lang w:val="en-GB"/>
        </w:rPr>
        <w:t>PhosAgro CEO Mikhail Rybnikov said:</w:t>
      </w:r>
    </w:p>
    <w:p w14:paraId="1EA36D8C"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 xml:space="preserve">“Speaking of our record-setting results from last year, I would once again like to note the efforts on the part our management and workforce to implement our long-term development strategy, which is driving increased production of both high-quality fertilizers and key feedstocks. </w:t>
      </w:r>
    </w:p>
    <w:p w14:paraId="7EAE4CCD"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lastRenderedPageBreak/>
        <w:t>“We saw once again last year that organic growth is the right growth path for us. The gradual modernisation of production facilities using best available technologies, closer integration with sources of key feedstocks and a focus on sustainability enabled us to bolster our position as the largest and most reliable supplier of fertilizers in our priority Russian market and also to strengthen our competitive advantages in global mineral fertilizer markets.</w:t>
      </w:r>
    </w:p>
    <w:p w14:paraId="7FC55678" w14:textId="60F3AE68"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 xml:space="preserve">“In 2023, the commercial output of our production sites reached a record 11.3 million tonnes, including the production of over 11 million tonnes </w:t>
      </w:r>
      <w:r w:rsidR="007B1E7C" w:rsidRPr="00AF7096">
        <w:rPr>
          <w:rFonts w:asciiTheme="minorHAnsi" w:hAnsiTheme="minorHAnsi" w:cstheme="minorHAnsi"/>
          <w:lang w:val="en-GB"/>
        </w:rPr>
        <w:t xml:space="preserve">of </w:t>
      </w:r>
      <w:r w:rsidRPr="00AF7096">
        <w:rPr>
          <w:rFonts w:asciiTheme="minorHAnsi" w:hAnsiTheme="minorHAnsi" w:cstheme="minorHAnsi"/>
          <w:lang w:val="en-GB"/>
        </w:rPr>
        <w:t>mineral fertilizers as well as feed and industrial phosphates.</w:t>
      </w:r>
    </w:p>
    <w:p w14:paraId="50933F7D"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 xml:space="preserve">“Despite the fact that our production of phosphate rock did not increase, we processed more than 9 million tonnes of it in a year for the first time. </w:t>
      </w:r>
    </w:p>
    <w:p w14:paraId="3BF78F07" w14:textId="2E538BA2" w:rsidR="004A4FA2" w:rsidRPr="00AF7096" w:rsidRDefault="004A4FA2" w:rsidP="004A4FA2">
      <w:pPr>
        <w:spacing w:after="120"/>
        <w:jc w:val="both"/>
        <w:rPr>
          <w:rFonts w:asciiTheme="minorHAnsi" w:hAnsiTheme="minorHAnsi" w:cstheme="minorHAnsi"/>
          <w:sz w:val="22"/>
          <w:lang w:val="en-GB"/>
        </w:rPr>
      </w:pPr>
      <w:r w:rsidRPr="00AF7096">
        <w:rPr>
          <w:rFonts w:asciiTheme="minorHAnsi" w:hAnsiTheme="minorHAnsi" w:cstheme="minorHAnsi"/>
          <w:sz w:val="22"/>
          <w:lang w:val="en-GB"/>
        </w:rPr>
        <w:t>“In 2023, we increased production of phosphate-based fertilizers by 2.0% year-on-year, with the output of our main DAP/MAP fertilizers increasing by 8.4% to a record high of over 4.5 million tonnes. I would also like to highlight the 12.9% year-on-year increase in MAP production, which was driven</w:t>
      </w:r>
      <w:r w:rsidR="00CB57AF" w:rsidRPr="00AF7096">
        <w:rPr>
          <w:rFonts w:asciiTheme="minorHAnsi" w:hAnsiTheme="minorHAnsi" w:cstheme="minorHAnsi"/>
          <w:sz w:val="22"/>
          <w:lang w:val="en-GB"/>
        </w:rPr>
        <w:t xml:space="preserve"> in part</w:t>
      </w:r>
      <w:r w:rsidRPr="00AF7096">
        <w:rPr>
          <w:rFonts w:asciiTheme="minorHAnsi" w:hAnsiTheme="minorHAnsi" w:cstheme="minorHAnsi"/>
          <w:sz w:val="22"/>
          <w:lang w:val="en-GB"/>
        </w:rPr>
        <w:t xml:space="preserve"> by our new production complex in Volkhov, which was built as part of our comprehensive long-term development programme</w:t>
      </w:r>
      <w:r w:rsidRPr="00AF7096">
        <w:rPr>
          <w:rFonts w:asciiTheme="minorHAnsi" w:hAnsiTheme="minorHAnsi" w:cstheme="minorHAnsi"/>
          <w:lang w:val="en-GB"/>
        </w:rPr>
        <w:t>.</w:t>
      </w:r>
    </w:p>
    <w:p w14:paraId="2336D99C"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“To drive our increased production of phosphate-based fertilizers, we increased phosphoric and sulphuric acid output while also maintaining ammonia production at a high level.</w:t>
      </w:r>
    </w:p>
    <w:p w14:paraId="0A46F5E4"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 xml:space="preserve">“The production of phosphoric acid, the main feedstock in the production of phosphate-based fertilizers, increased by 4.6% year-on-year in FY 2023 to more than 3.3 million tonnes. This increase was driven by earlier upgrades to production units and more efficient operation of the equipment. </w:t>
      </w:r>
    </w:p>
    <w:p w14:paraId="5F53D27D" w14:textId="77777777" w:rsidR="004A4FA2" w:rsidRPr="00AF7096" w:rsidRDefault="004A4FA2" w:rsidP="004A4FA2">
      <w:pPr>
        <w:pStyle w:val="P68B1DB1-Normal9"/>
        <w:spacing w:after="120"/>
        <w:jc w:val="both"/>
        <w:rPr>
          <w:rFonts w:asciiTheme="minorHAnsi" w:hAnsiTheme="minorHAnsi" w:cstheme="minorHAnsi"/>
          <w:lang w:val="en-GB"/>
        </w:rPr>
      </w:pPr>
      <w:r w:rsidRPr="00AF7096">
        <w:rPr>
          <w:rFonts w:asciiTheme="minorHAnsi" w:hAnsiTheme="minorHAnsi" w:cstheme="minorHAnsi"/>
          <w:lang w:val="en-GB"/>
        </w:rPr>
        <w:t xml:space="preserve">“We continued producing high levels of phosphoric acid in January 2024, exceeding our target by over 2%. </w:t>
      </w:r>
    </w:p>
    <w:p w14:paraId="2DBEFB20" w14:textId="3C98EEDC" w:rsidR="004A4FA2" w:rsidRPr="00AF7096" w:rsidRDefault="004A4FA2" w:rsidP="004A4FA2">
      <w:pPr>
        <w:pStyle w:val="1"/>
        <w:spacing w:after="0" w:line="240" w:lineRule="auto"/>
        <w:jc w:val="both"/>
        <w:rPr>
          <w:rFonts w:asciiTheme="minorHAnsi" w:hAnsiTheme="minorHAnsi" w:cstheme="minorHAnsi"/>
          <w:lang w:val="en-GB"/>
        </w:rPr>
      </w:pPr>
      <w:r w:rsidRPr="00AF7096">
        <w:rPr>
          <w:rFonts w:asciiTheme="minorHAnsi" w:hAnsiTheme="minorHAnsi" w:cstheme="minorHAnsi"/>
          <w:lang w:val="en-GB"/>
        </w:rPr>
        <w:t xml:space="preserve">“Sulphuric acid production increased by 2.5% year-on-year in FY 2023 to </w:t>
      </w:r>
      <w:r w:rsidR="00CB57AF" w:rsidRPr="00AF7096">
        <w:rPr>
          <w:rFonts w:asciiTheme="minorHAnsi" w:hAnsiTheme="minorHAnsi" w:cstheme="minorHAnsi"/>
          <w:lang w:val="en-GB"/>
        </w:rPr>
        <w:t>over</w:t>
      </w:r>
      <w:r w:rsidRPr="00AF7096">
        <w:rPr>
          <w:rFonts w:asciiTheme="minorHAnsi" w:hAnsiTheme="minorHAnsi" w:cstheme="minorHAnsi"/>
          <w:lang w:val="en-GB"/>
        </w:rPr>
        <w:t xml:space="preserve"> 8.1 million tonnes. This increase was the result of</w:t>
      </w:r>
      <w:r w:rsidR="00CB57AF" w:rsidRPr="00AF7096">
        <w:rPr>
          <w:rFonts w:asciiTheme="minorHAnsi" w:hAnsiTheme="minorHAnsi" w:cstheme="minorHAnsi"/>
          <w:lang w:val="en-GB"/>
        </w:rPr>
        <w:t xml:space="preserve"> the improved operating</w:t>
      </w:r>
      <w:r w:rsidRPr="00AF7096">
        <w:rPr>
          <w:rFonts w:asciiTheme="minorHAnsi" w:hAnsiTheme="minorHAnsi" w:cstheme="minorHAnsi"/>
          <w:lang w:val="en-GB"/>
        </w:rPr>
        <w:t xml:space="preserve"> </w:t>
      </w:r>
      <w:r w:rsidR="009A55B0" w:rsidRPr="00AF7096">
        <w:rPr>
          <w:rFonts w:asciiTheme="minorHAnsi" w:hAnsiTheme="minorHAnsi" w:cstheme="minorHAnsi"/>
          <w:lang w:val="en-GB"/>
        </w:rPr>
        <w:t>efficiency</w:t>
      </w:r>
      <w:r w:rsidRPr="00AF7096">
        <w:rPr>
          <w:rFonts w:asciiTheme="minorHAnsi" w:hAnsiTheme="minorHAnsi" w:cstheme="minorHAnsi"/>
          <w:lang w:val="en-GB"/>
        </w:rPr>
        <w:t xml:space="preserve"> of the sulphuric acid </w:t>
      </w:r>
      <w:r w:rsidR="00AF7096" w:rsidRPr="00AF7096">
        <w:rPr>
          <w:rFonts w:asciiTheme="minorHAnsi" w:hAnsiTheme="minorHAnsi" w:cstheme="minorHAnsi"/>
          <w:lang w:val="en-GB"/>
        </w:rPr>
        <w:t>production unit</w:t>
      </w:r>
      <w:r w:rsidRPr="00AF7096">
        <w:rPr>
          <w:rFonts w:asciiTheme="minorHAnsi" w:hAnsiTheme="minorHAnsi" w:cstheme="minorHAnsi"/>
          <w:lang w:val="en-GB"/>
        </w:rPr>
        <w:t xml:space="preserve"> in </w:t>
      </w:r>
      <w:r w:rsidR="009A55B0" w:rsidRPr="00AF7096">
        <w:rPr>
          <w:rFonts w:asciiTheme="minorHAnsi" w:hAnsiTheme="minorHAnsi" w:cstheme="minorHAnsi"/>
          <w:lang w:val="en-GB"/>
        </w:rPr>
        <w:t>Cherep</w:t>
      </w:r>
      <w:r w:rsidR="00757F8E" w:rsidRPr="00AF7096">
        <w:rPr>
          <w:rFonts w:asciiTheme="minorHAnsi" w:hAnsiTheme="minorHAnsi" w:cstheme="minorHAnsi"/>
          <w:lang w:val="en-GB"/>
        </w:rPr>
        <w:t>o</w:t>
      </w:r>
      <w:r w:rsidR="009A55B0" w:rsidRPr="00AF7096">
        <w:rPr>
          <w:rFonts w:asciiTheme="minorHAnsi" w:hAnsiTheme="minorHAnsi" w:cstheme="minorHAnsi"/>
          <w:lang w:val="en-GB"/>
        </w:rPr>
        <w:t xml:space="preserve">vets and </w:t>
      </w:r>
      <w:r w:rsidR="00CB57AF" w:rsidRPr="00AF7096">
        <w:rPr>
          <w:rFonts w:asciiTheme="minorHAnsi" w:hAnsiTheme="minorHAnsi" w:cstheme="minorHAnsi"/>
          <w:lang w:val="en-GB"/>
        </w:rPr>
        <w:t xml:space="preserve">the </w:t>
      </w:r>
      <w:r w:rsidR="009A55B0" w:rsidRPr="00AF7096">
        <w:rPr>
          <w:rFonts w:asciiTheme="minorHAnsi" w:hAnsiTheme="minorHAnsi" w:cstheme="minorHAnsi"/>
          <w:lang w:val="en-GB"/>
        </w:rPr>
        <w:t xml:space="preserve">launch of </w:t>
      </w:r>
      <w:r w:rsidR="00CB57AF" w:rsidRPr="00AF7096">
        <w:rPr>
          <w:rFonts w:asciiTheme="minorHAnsi" w:hAnsiTheme="minorHAnsi" w:cstheme="minorHAnsi"/>
          <w:lang w:val="en-GB"/>
        </w:rPr>
        <w:t xml:space="preserve">a </w:t>
      </w:r>
      <w:r w:rsidR="009A55B0" w:rsidRPr="00AF7096">
        <w:rPr>
          <w:rFonts w:asciiTheme="minorHAnsi" w:hAnsiTheme="minorHAnsi" w:cstheme="minorHAnsi"/>
          <w:lang w:val="en-GB"/>
        </w:rPr>
        <w:t xml:space="preserve">new </w:t>
      </w:r>
      <w:r w:rsidR="00CB57AF" w:rsidRPr="00AF7096">
        <w:rPr>
          <w:rFonts w:asciiTheme="minorHAnsi" w:hAnsiTheme="minorHAnsi" w:cstheme="minorHAnsi"/>
          <w:lang w:val="en-GB"/>
        </w:rPr>
        <w:t xml:space="preserve">sulphuric acid </w:t>
      </w:r>
      <w:r w:rsidR="00AF7096" w:rsidRPr="00AF7096">
        <w:rPr>
          <w:rFonts w:asciiTheme="minorHAnsi" w:hAnsiTheme="minorHAnsi" w:cstheme="minorHAnsi"/>
          <w:lang w:val="en-GB"/>
        </w:rPr>
        <w:t xml:space="preserve">production unit </w:t>
      </w:r>
      <w:r w:rsidR="009A55B0" w:rsidRPr="00AF7096">
        <w:rPr>
          <w:rFonts w:asciiTheme="minorHAnsi" w:hAnsiTheme="minorHAnsi" w:cstheme="minorHAnsi"/>
          <w:lang w:val="en-GB"/>
        </w:rPr>
        <w:t xml:space="preserve">in </w:t>
      </w:r>
      <w:r w:rsidRPr="00AF7096">
        <w:rPr>
          <w:rFonts w:asciiTheme="minorHAnsi" w:hAnsiTheme="minorHAnsi" w:cstheme="minorHAnsi"/>
          <w:lang w:val="en-GB"/>
        </w:rPr>
        <w:t xml:space="preserve">Balakovo </w:t>
      </w:r>
      <w:r w:rsidR="009A55B0" w:rsidRPr="00AF7096">
        <w:rPr>
          <w:rFonts w:asciiTheme="minorHAnsi" w:hAnsiTheme="minorHAnsi" w:cstheme="minorHAnsi"/>
          <w:lang w:val="en-GB"/>
        </w:rPr>
        <w:t>at the end</w:t>
      </w:r>
      <w:r w:rsidRPr="00AF7096">
        <w:rPr>
          <w:rFonts w:asciiTheme="minorHAnsi" w:hAnsiTheme="minorHAnsi" w:cstheme="minorHAnsi"/>
          <w:lang w:val="en-GB"/>
        </w:rPr>
        <w:t xml:space="preserve"> of 2023.”</w:t>
      </w:r>
    </w:p>
    <w:p w14:paraId="3593FB68" w14:textId="092085AC" w:rsidR="004A4FA2" w:rsidRPr="00AF7096" w:rsidRDefault="004A4FA2" w:rsidP="004A4FA2">
      <w:pPr>
        <w:pStyle w:val="1"/>
        <w:spacing w:after="0" w:line="240" w:lineRule="auto"/>
        <w:jc w:val="both"/>
        <w:rPr>
          <w:rFonts w:asciiTheme="minorHAnsi" w:hAnsiTheme="minorHAnsi" w:cstheme="minorHAnsi"/>
          <w:lang w:val="en-GB"/>
        </w:rPr>
      </w:pPr>
    </w:p>
    <w:p w14:paraId="2C507690" w14:textId="77777777" w:rsidR="004A4FA2" w:rsidRPr="00AF7096" w:rsidRDefault="004A4FA2" w:rsidP="004A4FA2">
      <w:pPr>
        <w:pStyle w:val="1"/>
        <w:spacing w:after="0"/>
        <w:rPr>
          <w:rFonts w:asciiTheme="minorHAnsi" w:hAnsiTheme="minorHAnsi" w:cstheme="minorHAnsi"/>
          <w:b/>
          <w:bCs/>
          <w:color w:val="000000" w:themeColor="text1"/>
          <w:lang w:val="en-GB"/>
        </w:rPr>
      </w:pPr>
      <w:r w:rsidRPr="00AF7096">
        <w:rPr>
          <w:rFonts w:asciiTheme="minorHAnsi" w:hAnsiTheme="minorHAnsi" w:cstheme="minorHAnsi"/>
          <w:b/>
          <w:bCs/>
          <w:color w:val="000000" w:themeColor="text1"/>
          <w:lang w:val="en-GB"/>
        </w:rPr>
        <w:t>Contacts</w:t>
      </w:r>
    </w:p>
    <w:p w14:paraId="25E13214" w14:textId="77777777" w:rsidR="004A4FA2" w:rsidRPr="00AF7096" w:rsidRDefault="004A4FA2" w:rsidP="004A4FA2">
      <w:pPr>
        <w:pStyle w:val="1"/>
        <w:spacing w:after="0"/>
        <w:rPr>
          <w:rFonts w:asciiTheme="minorHAnsi" w:hAnsiTheme="minorHAnsi" w:cstheme="minorHAnsi"/>
          <w:color w:val="000000" w:themeColor="text1"/>
          <w:lang w:val="en-GB"/>
        </w:rPr>
      </w:pPr>
    </w:p>
    <w:p w14:paraId="4B4AF2D8" w14:textId="77777777"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PJSC PhosAgro</w:t>
      </w:r>
    </w:p>
    <w:p w14:paraId="1553308C" w14:textId="77777777"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Andrey Serov, Head of Investor Relations</w:t>
      </w:r>
    </w:p>
    <w:p w14:paraId="337A29CD" w14:textId="77777777"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+7 495 231 2747 ext. 2183</w:t>
      </w:r>
    </w:p>
    <w:p w14:paraId="70A26720" w14:textId="77777777"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ir@phosagro.ru</w:t>
      </w:r>
    </w:p>
    <w:p w14:paraId="215B25AC" w14:textId="77777777" w:rsidR="004A4FA2" w:rsidRPr="00AF7096" w:rsidRDefault="004A4FA2" w:rsidP="004A4FA2">
      <w:pPr>
        <w:pStyle w:val="1"/>
        <w:spacing w:after="0"/>
        <w:rPr>
          <w:rFonts w:asciiTheme="minorHAnsi" w:hAnsiTheme="minorHAnsi" w:cstheme="minorHAnsi"/>
          <w:color w:val="000000" w:themeColor="text1"/>
          <w:lang w:val="en-GB"/>
        </w:rPr>
      </w:pPr>
    </w:p>
    <w:p w14:paraId="40C0F274" w14:textId="2B19778F"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Timur Belov, Press secretary</w:t>
      </w:r>
    </w:p>
    <w:p w14:paraId="4522241B" w14:textId="77777777" w:rsidR="004A4FA2" w:rsidRPr="00AF7096" w:rsidRDefault="004A4FA2" w:rsidP="004A4FA2">
      <w:pPr>
        <w:pStyle w:val="1"/>
        <w:spacing w:after="0"/>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+7 495 231 2747 ext. 2652</w:t>
      </w:r>
    </w:p>
    <w:p w14:paraId="12B4BBD1" w14:textId="49D00317" w:rsidR="004A4FA2" w:rsidRPr="00AF7096" w:rsidRDefault="004A4FA2" w:rsidP="004A4FA2">
      <w:pPr>
        <w:pStyle w:val="1"/>
        <w:spacing w:after="0" w:line="240" w:lineRule="auto"/>
        <w:rPr>
          <w:rFonts w:asciiTheme="minorHAnsi" w:hAnsiTheme="minorHAnsi" w:cstheme="minorHAnsi"/>
          <w:color w:val="000000" w:themeColor="text1"/>
          <w:lang w:val="en-GB"/>
        </w:rPr>
      </w:pPr>
      <w:r w:rsidRPr="00AF7096">
        <w:rPr>
          <w:rFonts w:asciiTheme="minorHAnsi" w:hAnsiTheme="minorHAnsi" w:cstheme="minorHAnsi"/>
          <w:color w:val="000000" w:themeColor="text1"/>
          <w:lang w:val="en-GB"/>
        </w:rPr>
        <w:t>pr@phosagro.ru</w:t>
      </w:r>
    </w:p>
    <w:bookmarkEnd w:id="0"/>
    <w:p w14:paraId="3A95F574" w14:textId="77777777" w:rsidR="004A4FA2" w:rsidRPr="00AF7096" w:rsidRDefault="004A4FA2" w:rsidP="004A4FA2">
      <w:pPr>
        <w:pStyle w:val="1"/>
        <w:spacing w:after="0" w:line="240" w:lineRule="auto"/>
        <w:rPr>
          <w:rFonts w:asciiTheme="minorHAnsi" w:hAnsiTheme="minorHAnsi" w:cstheme="minorHAnsi"/>
          <w:b/>
          <w:sz w:val="16"/>
          <w:lang w:val="en-GB"/>
        </w:rPr>
      </w:pPr>
    </w:p>
    <w:p w14:paraId="307EDA97" w14:textId="25F62348" w:rsidR="00D4162A" w:rsidRPr="00AF7096" w:rsidRDefault="00D4162A" w:rsidP="004A4FA2">
      <w:pPr>
        <w:spacing w:after="120"/>
        <w:jc w:val="both"/>
        <w:rPr>
          <w:rFonts w:asciiTheme="minorHAnsi" w:hAnsiTheme="minorHAnsi" w:cstheme="minorHAnsi"/>
          <w:b/>
          <w:sz w:val="22"/>
          <w:szCs w:val="22"/>
          <w:lang w:val="en-GB"/>
        </w:rPr>
      </w:pPr>
      <w:r w:rsidRPr="00AF7096">
        <w:rPr>
          <w:rFonts w:asciiTheme="minorHAnsi" w:hAnsiTheme="minorHAnsi" w:cstheme="minorHAnsi"/>
          <w:b/>
          <w:sz w:val="22"/>
          <w:szCs w:val="22"/>
          <w:lang w:val="en-GB"/>
        </w:rPr>
        <w:t>About the Company</w:t>
      </w:r>
    </w:p>
    <w:p w14:paraId="0D94928C" w14:textId="77777777" w:rsidR="00D4162A" w:rsidRPr="00AF7096" w:rsidRDefault="00D4162A" w:rsidP="00D4162A">
      <w:pPr>
        <w:pStyle w:val="P68B1DB1-Normal4"/>
        <w:spacing w:after="120"/>
        <w:jc w:val="both"/>
        <w:rPr>
          <w:rFonts w:asciiTheme="minorHAnsi" w:hAnsiTheme="minorHAnsi" w:cstheme="minorHAnsi"/>
          <w:b w:val="0"/>
          <w:i/>
          <w:iCs/>
          <w:color w:val="auto"/>
          <w:sz w:val="22"/>
          <w:szCs w:val="22"/>
          <w:lang w:val="en-GB"/>
        </w:rPr>
      </w:pPr>
      <w:r w:rsidRPr="00AF7096">
        <w:rPr>
          <w:rFonts w:asciiTheme="minorHAnsi" w:hAnsiTheme="minorHAnsi" w:cstheme="minorHAnsi"/>
          <w:b w:val="0"/>
          <w:i/>
          <w:iCs/>
          <w:color w:val="auto"/>
          <w:sz w:val="22"/>
          <w:szCs w:val="22"/>
          <w:lang w:val="en-GB"/>
        </w:rPr>
        <w:t>PhosAgro (</w:t>
      </w:r>
      <w:hyperlink r:id="rId9" w:history="1">
        <w:r w:rsidRPr="00AF7096">
          <w:rPr>
            <w:rStyle w:val="af"/>
            <w:rFonts w:asciiTheme="minorHAnsi" w:eastAsia="Calibri" w:hAnsiTheme="minorHAnsi" w:cstheme="minorHAnsi"/>
            <w:b w:val="0"/>
            <w:i/>
            <w:iCs/>
            <w:sz w:val="22"/>
            <w:szCs w:val="22"/>
            <w:lang w:val="en-GB"/>
          </w:rPr>
          <w:t>www.phosagro.ru</w:t>
        </w:r>
      </w:hyperlink>
      <w:r w:rsidRPr="00AF7096">
        <w:rPr>
          <w:rFonts w:asciiTheme="minorHAnsi" w:hAnsiTheme="minorHAnsi" w:cstheme="minorHAnsi"/>
          <w:b w:val="0"/>
          <w:i/>
          <w:iCs/>
          <w:color w:val="auto"/>
          <w:sz w:val="22"/>
          <w:szCs w:val="22"/>
          <w:lang w:val="en-GB"/>
        </w:rPr>
        <w:t>) is a vertically integrated Russian company and one of the world’s leading producers of mineral phosphorous fertilizers and of high-grade apatite concentrate grading 39% P2O5 and higher. PhosAgro’s high-performance fertilizers produce crops with advanced features.</w:t>
      </w:r>
    </w:p>
    <w:p w14:paraId="17C6C779" w14:textId="77777777" w:rsidR="00D4162A" w:rsidRPr="00AF7096" w:rsidRDefault="00D4162A" w:rsidP="00D4162A">
      <w:pPr>
        <w:pStyle w:val="P68B1DB1-Normal4"/>
        <w:spacing w:after="120"/>
        <w:jc w:val="both"/>
        <w:rPr>
          <w:rFonts w:asciiTheme="minorHAnsi" w:hAnsiTheme="minorHAnsi" w:cstheme="minorHAnsi"/>
          <w:b w:val="0"/>
          <w:i/>
          <w:iCs/>
          <w:color w:val="auto"/>
          <w:sz w:val="22"/>
          <w:szCs w:val="22"/>
          <w:lang w:val="en-GB"/>
        </w:rPr>
      </w:pPr>
      <w:r w:rsidRPr="00AF7096">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FDF32CA" w14:textId="77777777" w:rsidR="00D4162A" w:rsidRPr="00AF7096" w:rsidRDefault="00D4162A" w:rsidP="00D4162A">
      <w:pPr>
        <w:pStyle w:val="P68B1DB1-Normal4"/>
        <w:spacing w:after="120"/>
        <w:jc w:val="both"/>
        <w:rPr>
          <w:rFonts w:asciiTheme="minorHAnsi" w:hAnsiTheme="minorHAnsi" w:cstheme="minorHAnsi"/>
          <w:b w:val="0"/>
          <w:i/>
          <w:iCs/>
          <w:color w:val="auto"/>
          <w:sz w:val="22"/>
          <w:szCs w:val="22"/>
          <w:lang w:val="en-GB"/>
        </w:rPr>
      </w:pPr>
      <w:r w:rsidRPr="00AF7096">
        <w:rPr>
          <w:rFonts w:asciiTheme="minorHAnsi" w:hAnsiTheme="minorHAnsi" w:cstheme="minorHAnsi"/>
          <w:b w:val="0"/>
          <w:i/>
          <w:iCs/>
          <w:color w:val="auto"/>
          <w:sz w:val="22"/>
          <w:szCs w:val="22"/>
          <w:lang w:val="en-GB"/>
        </w:rPr>
        <w:lastRenderedPageBreak/>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70AC544F" w14:textId="77777777" w:rsidR="00D4162A" w:rsidRPr="00AF7096" w:rsidRDefault="00D4162A" w:rsidP="00D4162A">
      <w:pPr>
        <w:pStyle w:val="P68B1DB1-Normal4"/>
        <w:spacing w:after="120"/>
        <w:jc w:val="both"/>
        <w:rPr>
          <w:rFonts w:asciiTheme="minorHAnsi" w:hAnsiTheme="minorHAnsi" w:cstheme="minorHAnsi"/>
          <w:b w:val="0"/>
          <w:i/>
          <w:iCs/>
          <w:color w:val="auto"/>
          <w:sz w:val="22"/>
          <w:szCs w:val="22"/>
          <w:lang w:val="en-GB"/>
        </w:rPr>
      </w:pPr>
      <w:r w:rsidRPr="00AF7096">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1E2B4E3E" w14:textId="77777777" w:rsidR="00D4162A" w:rsidRPr="00AF7096" w:rsidRDefault="00D4162A" w:rsidP="00D4162A">
      <w:pPr>
        <w:pStyle w:val="P68B1DB1-Normal4"/>
        <w:spacing w:after="120"/>
        <w:jc w:val="both"/>
        <w:rPr>
          <w:rFonts w:asciiTheme="minorHAnsi" w:hAnsiTheme="minorHAnsi" w:cstheme="minorHAnsi"/>
          <w:b w:val="0"/>
          <w:i/>
          <w:iCs/>
          <w:color w:val="auto"/>
          <w:sz w:val="22"/>
          <w:szCs w:val="22"/>
          <w:lang w:val="en-GB"/>
        </w:rPr>
      </w:pPr>
      <w:r w:rsidRPr="00AF7096">
        <w:rPr>
          <w:rFonts w:asciiTheme="minorHAnsi" w:hAnsiTheme="minorHAnsi" w:cstheme="minorHAnsi"/>
          <w:b w:val="0"/>
          <w:i/>
          <w:iCs/>
          <w:color w:val="auto"/>
          <w:sz w:val="22"/>
          <w:szCs w:val="22"/>
          <w:lang w:val="en-GB"/>
        </w:rPr>
        <w:t xml:space="preserve">More information about PhosAgro PJSC can be found on our site: </w:t>
      </w:r>
      <w:hyperlink r:id="rId10" w:history="1">
        <w:r w:rsidRPr="00AF7096">
          <w:rPr>
            <w:rStyle w:val="af"/>
            <w:rFonts w:asciiTheme="minorHAnsi" w:eastAsia="Calibri" w:hAnsiTheme="minorHAnsi" w:cstheme="minorHAnsi"/>
            <w:b w:val="0"/>
            <w:i/>
            <w:iCs/>
            <w:sz w:val="22"/>
            <w:szCs w:val="22"/>
            <w:lang w:val="en-GB"/>
          </w:rPr>
          <w:t>www.phosagro.ru</w:t>
        </w:r>
      </w:hyperlink>
    </w:p>
    <w:p w14:paraId="5D3F003A" w14:textId="3EC5BE09" w:rsidR="00A34B41" w:rsidRPr="00AF7096" w:rsidRDefault="00A34B41" w:rsidP="00D4162A">
      <w:pPr>
        <w:shd w:val="clear" w:color="auto" w:fill="FFFFFF"/>
        <w:jc w:val="both"/>
        <w:rPr>
          <w:rFonts w:asciiTheme="minorHAnsi" w:hAnsiTheme="minorHAnsi" w:cstheme="minorHAnsi"/>
          <w:lang w:val="en-GB"/>
        </w:rPr>
      </w:pPr>
    </w:p>
    <w:sectPr w:rsidR="00A34B41" w:rsidRPr="00AF7096" w:rsidSect="00893600">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A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D7FD6"/>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0D9F"/>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F52"/>
    <w:rsid w:val="003453CA"/>
    <w:rsid w:val="0034645D"/>
    <w:rsid w:val="00350F0F"/>
    <w:rsid w:val="00356FFA"/>
    <w:rsid w:val="00357674"/>
    <w:rsid w:val="003579BD"/>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4687F"/>
    <w:rsid w:val="004627A5"/>
    <w:rsid w:val="00465C33"/>
    <w:rsid w:val="0047176C"/>
    <w:rsid w:val="00474CD7"/>
    <w:rsid w:val="004842F5"/>
    <w:rsid w:val="00485674"/>
    <w:rsid w:val="00490A6F"/>
    <w:rsid w:val="0049263D"/>
    <w:rsid w:val="0049449D"/>
    <w:rsid w:val="004A0346"/>
    <w:rsid w:val="004A1844"/>
    <w:rsid w:val="004A4FA2"/>
    <w:rsid w:val="004A79D2"/>
    <w:rsid w:val="004B3096"/>
    <w:rsid w:val="004B3E24"/>
    <w:rsid w:val="004B72D8"/>
    <w:rsid w:val="004C1D24"/>
    <w:rsid w:val="004C5D27"/>
    <w:rsid w:val="004C6CF4"/>
    <w:rsid w:val="004D2ED5"/>
    <w:rsid w:val="004D5ED7"/>
    <w:rsid w:val="004E0E8C"/>
    <w:rsid w:val="004E4836"/>
    <w:rsid w:val="00501F69"/>
    <w:rsid w:val="00505749"/>
    <w:rsid w:val="00506BE3"/>
    <w:rsid w:val="0051236D"/>
    <w:rsid w:val="005128DF"/>
    <w:rsid w:val="005276E9"/>
    <w:rsid w:val="005330B1"/>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2604"/>
    <w:rsid w:val="005C6047"/>
    <w:rsid w:val="005C70FC"/>
    <w:rsid w:val="005D4261"/>
    <w:rsid w:val="005D5C58"/>
    <w:rsid w:val="005D687F"/>
    <w:rsid w:val="005E1CB9"/>
    <w:rsid w:val="005E3EF6"/>
    <w:rsid w:val="005E4BCA"/>
    <w:rsid w:val="005F1336"/>
    <w:rsid w:val="005F6591"/>
    <w:rsid w:val="005F7D34"/>
    <w:rsid w:val="0060360B"/>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A08D1"/>
    <w:rsid w:val="006A0FCD"/>
    <w:rsid w:val="006B3273"/>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3BFE"/>
    <w:rsid w:val="00735049"/>
    <w:rsid w:val="007423FD"/>
    <w:rsid w:val="00747987"/>
    <w:rsid w:val="00757F8E"/>
    <w:rsid w:val="00762B8B"/>
    <w:rsid w:val="00764BAD"/>
    <w:rsid w:val="0077065C"/>
    <w:rsid w:val="00771D19"/>
    <w:rsid w:val="00772C9A"/>
    <w:rsid w:val="00775E41"/>
    <w:rsid w:val="0078313A"/>
    <w:rsid w:val="00786654"/>
    <w:rsid w:val="0078714E"/>
    <w:rsid w:val="00797F10"/>
    <w:rsid w:val="007A4877"/>
    <w:rsid w:val="007B1E7C"/>
    <w:rsid w:val="007B294A"/>
    <w:rsid w:val="007B3019"/>
    <w:rsid w:val="007B41B5"/>
    <w:rsid w:val="007C29EE"/>
    <w:rsid w:val="007C3722"/>
    <w:rsid w:val="007D2984"/>
    <w:rsid w:val="007D2F12"/>
    <w:rsid w:val="007E026B"/>
    <w:rsid w:val="007E130F"/>
    <w:rsid w:val="007E27CB"/>
    <w:rsid w:val="007E42BA"/>
    <w:rsid w:val="007E4BD0"/>
    <w:rsid w:val="007E5915"/>
    <w:rsid w:val="007F24D9"/>
    <w:rsid w:val="007F2F43"/>
    <w:rsid w:val="007F525F"/>
    <w:rsid w:val="008067DF"/>
    <w:rsid w:val="00807DA3"/>
    <w:rsid w:val="00823CAE"/>
    <w:rsid w:val="008264DF"/>
    <w:rsid w:val="00830954"/>
    <w:rsid w:val="00831404"/>
    <w:rsid w:val="00835AF8"/>
    <w:rsid w:val="00837CB0"/>
    <w:rsid w:val="008433D0"/>
    <w:rsid w:val="00845B94"/>
    <w:rsid w:val="008467A0"/>
    <w:rsid w:val="008474B5"/>
    <w:rsid w:val="00852A5D"/>
    <w:rsid w:val="00853EC1"/>
    <w:rsid w:val="00855804"/>
    <w:rsid w:val="00855A9A"/>
    <w:rsid w:val="00863167"/>
    <w:rsid w:val="0086401D"/>
    <w:rsid w:val="0086544D"/>
    <w:rsid w:val="0087535B"/>
    <w:rsid w:val="00881022"/>
    <w:rsid w:val="00887722"/>
    <w:rsid w:val="00893600"/>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29B0"/>
    <w:rsid w:val="00976CDA"/>
    <w:rsid w:val="00976EE0"/>
    <w:rsid w:val="00977771"/>
    <w:rsid w:val="00977D38"/>
    <w:rsid w:val="0098411C"/>
    <w:rsid w:val="00986451"/>
    <w:rsid w:val="00995559"/>
    <w:rsid w:val="00996C56"/>
    <w:rsid w:val="009A0CD5"/>
    <w:rsid w:val="009A1C03"/>
    <w:rsid w:val="009A55B0"/>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30AA"/>
    <w:rsid w:val="00A75347"/>
    <w:rsid w:val="00A76FC1"/>
    <w:rsid w:val="00A77320"/>
    <w:rsid w:val="00A824F4"/>
    <w:rsid w:val="00A86F4C"/>
    <w:rsid w:val="00A907E3"/>
    <w:rsid w:val="00A9632E"/>
    <w:rsid w:val="00AA2881"/>
    <w:rsid w:val="00AA79FF"/>
    <w:rsid w:val="00AB07AF"/>
    <w:rsid w:val="00AB5EF9"/>
    <w:rsid w:val="00AC6BE7"/>
    <w:rsid w:val="00AD3902"/>
    <w:rsid w:val="00AD69DC"/>
    <w:rsid w:val="00AF0B65"/>
    <w:rsid w:val="00AF49B4"/>
    <w:rsid w:val="00AF57CB"/>
    <w:rsid w:val="00AF7096"/>
    <w:rsid w:val="00B070BC"/>
    <w:rsid w:val="00B078DA"/>
    <w:rsid w:val="00B1236A"/>
    <w:rsid w:val="00B13E03"/>
    <w:rsid w:val="00B14B91"/>
    <w:rsid w:val="00B15B0A"/>
    <w:rsid w:val="00B231CC"/>
    <w:rsid w:val="00B243F6"/>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52A2"/>
    <w:rsid w:val="00BC24D4"/>
    <w:rsid w:val="00BC61B1"/>
    <w:rsid w:val="00BC6992"/>
    <w:rsid w:val="00BD04CB"/>
    <w:rsid w:val="00BD0DB7"/>
    <w:rsid w:val="00BD3AFE"/>
    <w:rsid w:val="00BD6977"/>
    <w:rsid w:val="00BD783E"/>
    <w:rsid w:val="00BE4F24"/>
    <w:rsid w:val="00BE6627"/>
    <w:rsid w:val="00BF0E2B"/>
    <w:rsid w:val="00BF4DF1"/>
    <w:rsid w:val="00BF7861"/>
    <w:rsid w:val="00C04D69"/>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51EA"/>
    <w:rsid w:val="00CB57AF"/>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A3A05"/>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5AAF"/>
    <w:rsid w:val="00E17296"/>
    <w:rsid w:val="00E20189"/>
    <w:rsid w:val="00E20A43"/>
    <w:rsid w:val="00E20AAF"/>
    <w:rsid w:val="00E24024"/>
    <w:rsid w:val="00E24C31"/>
    <w:rsid w:val="00E42B11"/>
    <w:rsid w:val="00E44479"/>
    <w:rsid w:val="00E44693"/>
    <w:rsid w:val="00E52871"/>
    <w:rsid w:val="00E624FD"/>
    <w:rsid w:val="00E63155"/>
    <w:rsid w:val="00E6362E"/>
    <w:rsid w:val="00E639C6"/>
    <w:rsid w:val="00E74445"/>
    <w:rsid w:val="00E81536"/>
    <w:rsid w:val="00E83860"/>
    <w:rsid w:val="00E84B93"/>
    <w:rsid w:val="00E91682"/>
    <w:rsid w:val="00E95F0E"/>
    <w:rsid w:val="00E96E2B"/>
    <w:rsid w:val="00EA3823"/>
    <w:rsid w:val="00EA3E4F"/>
    <w:rsid w:val="00EA6C38"/>
    <w:rsid w:val="00EB3FE5"/>
    <w:rsid w:val="00EB4C20"/>
    <w:rsid w:val="00EC70F9"/>
    <w:rsid w:val="00ED1284"/>
    <w:rsid w:val="00ED4630"/>
    <w:rsid w:val="00ED4B16"/>
    <w:rsid w:val="00ED4F05"/>
    <w:rsid w:val="00EE2148"/>
    <w:rsid w:val="00EE6906"/>
    <w:rsid w:val="00EF081F"/>
    <w:rsid w:val="00EF2713"/>
    <w:rsid w:val="00EF4A86"/>
    <w:rsid w:val="00EF5134"/>
    <w:rsid w:val="00F00C73"/>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character" w:customStyle="1" w:styleId="20">
    <w:name w:val="Заголовок 2 Знак"/>
    <w:basedOn w:val="a0"/>
    <w:link w:val="2"/>
    <w:uiPriority w:val="9"/>
    <w:rsid w:val="004B3096"/>
    <w:rPr>
      <w:rFonts w:ascii="Times New Roman" w:eastAsia="Times New Roman" w:hAnsi="Times New Roman" w:cs="Times New Roman"/>
      <w:b/>
      <w:bCs/>
      <w:sz w:val="36"/>
      <w:szCs w:val="36"/>
      <w:lang w:eastAsia="ru-RU"/>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character" w:styleId="ae">
    <w:name w:val="Strong"/>
    <w:basedOn w:val="a0"/>
    <w:uiPriority w:val="22"/>
    <w:qFormat/>
    <w:rsid w:val="004B3096"/>
    <w:rPr>
      <w:b/>
      <w:bCs/>
    </w:rPr>
  </w:style>
  <w:style w:type="paragraph" w:customStyle="1" w:styleId="P68B1DB1-Normal4">
    <w:name w:val="P68B1DB1-Normal4"/>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szCs w:val="20"/>
      <w:bdr w:val="none" w:sz="0" w:space="0" w:color="auto"/>
      <w:lang w:val="en-CA" w:eastAsia="en-US"/>
    </w:rPr>
  </w:style>
  <w:style w:type="paragraph" w:customStyle="1" w:styleId="P68B1DB1-Normal22">
    <w:name w:val="P68B1DB1-Normal22"/>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f">
    <w:name w:val="Hyperlink"/>
    <w:basedOn w:val="a0"/>
    <w:uiPriority w:val="99"/>
    <w:unhideWhenUsed/>
    <w:rsid w:val="00D4162A"/>
    <w:rPr>
      <w:color w:val="0000FF" w:themeColor="hyperlink"/>
      <w:u w:val="single"/>
    </w:rPr>
  </w:style>
  <w:style w:type="paragraph" w:styleId="af0">
    <w:name w:val="Revision"/>
    <w:hidden/>
    <w:uiPriority w:val="99"/>
    <w:semiHidden/>
    <w:rsid w:val="00BE6627"/>
    <w:pPr>
      <w:spacing w:after="0" w:line="240" w:lineRule="auto"/>
    </w:pPr>
    <w:rPr>
      <w:rFonts w:ascii="Calibri" w:eastAsia="Calibri" w:hAnsi="Calibri" w:cs="Calibri"/>
      <w:color w:val="000000"/>
      <w:sz w:val="24"/>
      <w:szCs w:val="24"/>
      <w:u w:color="000000"/>
      <w:bdr w:val="nil"/>
      <w:lang w:val="en-US" w:eastAsia="ru-RU"/>
    </w:rPr>
  </w:style>
  <w:style w:type="paragraph" w:customStyle="1" w:styleId="1">
    <w:name w:val="Текст1"/>
    <w:rsid w:val="004A4FA2"/>
    <w:pPr>
      <w:pBdr>
        <w:top w:val="nil"/>
        <w:left w:val="nil"/>
        <w:bottom w:val="nil"/>
        <w:right w:val="nil"/>
        <w:between w:val="nil"/>
        <w:bar w:val="nil"/>
      </w:pBdr>
    </w:pPr>
    <w:rPr>
      <w:rFonts w:ascii="Calibri" w:eastAsia="Calibri" w:hAnsi="Calibri" w:cs="Calibri"/>
      <w:color w:val="000000"/>
      <w:szCs w:val="20"/>
      <w:u w:color="000000"/>
      <w:bdr w:val="nil"/>
      <w:lang w:val="en-CA"/>
    </w:rPr>
  </w:style>
  <w:style w:type="paragraph" w:customStyle="1" w:styleId="o">
    <w:name w:val="o"/>
    <w:rsid w:val="004A4FA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0"/>
      <w:u w:color="000000"/>
      <w:bdr w:val="nil"/>
      <w:lang w:val="en-CA"/>
    </w:rPr>
  </w:style>
  <w:style w:type="paragraph" w:customStyle="1" w:styleId="P68B1DB1-o2">
    <w:name w:val="P68B1DB1-o2"/>
    <w:basedOn w:val="o"/>
    <w:rsid w:val="004A4FA2"/>
    <w:rPr>
      <w:rFonts w:ascii="Calibri" w:eastAsia="Calibri" w:hAnsi="Calibri" w:cs="Calibri"/>
      <w:b/>
      <w:sz w:val="26"/>
    </w:rPr>
  </w:style>
  <w:style w:type="paragraph" w:customStyle="1" w:styleId="P68B1DB1-13">
    <w:name w:val="P68B1DB1-13"/>
    <w:basedOn w:val="1"/>
    <w:rsid w:val="004A4FA2"/>
    <w:rPr>
      <w:b/>
      <w:sz w:val="24"/>
    </w:rPr>
  </w:style>
  <w:style w:type="paragraph" w:customStyle="1" w:styleId="P68B1DB1-Normal5">
    <w:name w:val="P68B1DB1-Normal5"/>
    <w:basedOn w:val="a"/>
    <w:rsid w:val="004A4FA2"/>
    <w:rPr>
      <w:rFonts w:eastAsia="Times New Roman"/>
      <w:b/>
      <w:i/>
      <w:sz w:val="20"/>
      <w:szCs w:val="20"/>
      <w:bdr w:val="none" w:sz="0" w:space="0" w:color="auto"/>
      <w:lang w:val="en-CA" w:eastAsia="en-US"/>
    </w:rPr>
  </w:style>
  <w:style w:type="paragraph" w:customStyle="1" w:styleId="P68B1DB1-Normal6">
    <w:name w:val="P68B1DB1-Normal6"/>
    <w:basedOn w:val="a"/>
    <w:rsid w:val="004A4FA2"/>
    <w:rPr>
      <w:rFonts w:eastAsia="Times New Roman"/>
      <w:b/>
      <w:sz w:val="20"/>
      <w:szCs w:val="20"/>
      <w:bdr w:val="none" w:sz="0" w:space="0" w:color="auto"/>
      <w:lang w:val="en-CA" w:eastAsia="en-US"/>
    </w:rPr>
  </w:style>
  <w:style w:type="paragraph" w:customStyle="1" w:styleId="P68B1DB1-Normal7">
    <w:name w:val="P68B1DB1-Normal7"/>
    <w:basedOn w:val="a"/>
    <w:rsid w:val="004A4FA2"/>
    <w:rPr>
      <w:rFonts w:eastAsia="Times New Roman"/>
      <w:sz w:val="20"/>
      <w:szCs w:val="20"/>
      <w:bdr w:val="none" w:sz="0" w:space="0" w:color="auto"/>
      <w:lang w:val="en-CA" w:eastAsia="en-US"/>
    </w:rPr>
  </w:style>
  <w:style w:type="paragraph" w:customStyle="1" w:styleId="P68B1DB1-Normal8">
    <w:name w:val="P68B1DB1-Normal8"/>
    <w:basedOn w:val="a"/>
    <w:rsid w:val="004A4FA2"/>
    <w:rPr>
      <w:rFonts w:eastAsia="Times New Roman"/>
      <w:b/>
      <w:sz w:val="22"/>
      <w:szCs w:val="20"/>
      <w:bdr w:val="none" w:sz="0" w:space="0" w:color="auto"/>
      <w:lang w:val="en-CA" w:eastAsia="en-US"/>
    </w:rPr>
  </w:style>
  <w:style w:type="paragraph" w:customStyle="1" w:styleId="P68B1DB1-Normal9">
    <w:name w:val="P68B1DB1-Normal9"/>
    <w:basedOn w:val="a"/>
    <w:rsid w:val="004A4FA2"/>
    <w:rPr>
      <w:color w:val="auto"/>
      <w:sz w:val="22"/>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hosagro.ru" TargetMode="External"/><Relationship Id="rId4" Type="http://schemas.openxmlformats.org/officeDocument/2006/relationships/numbering" Target="numbering.xml"/><Relationship Id="rId9"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8" ma:contentTypeDescription="Создание документа." ma:contentTypeScope="" ma:versionID="8a1a885677ce8096a89599ae1568e861">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fdad7631cd1c0d2b6832592580dad3db"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73E24-CE41-451B-89D0-8998F495DB55}">
  <ds:schemaRefs>
    <ds:schemaRef ds:uri="http://schemas.openxmlformats.org/officeDocument/2006/bibliography"/>
  </ds:schemaRefs>
</ds:datastoreItem>
</file>

<file path=customXml/itemProps2.xml><?xml version="1.0" encoding="utf-8"?>
<ds:datastoreItem xmlns:ds="http://schemas.openxmlformats.org/officeDocument/2006/customXml" ds:itemID="{A3356FC7-4169-4083-89E0-EC78112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1ABA8-76B9-45E9-9DBE-E2EFCCE87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4970</Characters>
  <Application>Microsoft Office Word</Application>
  <DocSecurity>0</DocSecurity>
  <Lines>191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Ekaterina Zhilich</cp:lastModifiedBy>
  <cp:revision>2</cp:revision>
  <cp:lastPrinted>2023-02-07T17:07:00Z</cp:lastPrinted>
  <dcterms:created xsi:type="dcterms:W3CDTF">2024-02-06T12:06:00Z</dcterms:created>
  <dcterms:modified xsi:type="dcterms:W3CDTF">2024-02-06T12:06:00Z</dcterms:modified>
</cp:coreProperties>
</file>