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D003E" w14:textId="33B8932A" w:rsidR="008501E5" w:rsidRPr="00335EBE" w:rsidRDefault="00224436" w:rsidP="00AC154A">
      <w:pPr>
        <w:snapToGrid w:val="0"/>
        <w:spacing w:after="0" w:line="240" w:lineRule="auto"/>
        <w:jc w:val="center"/>
        <w:rPr>
          <w:rFonts w:asciiTheme="minorHAnsi" w:hAnsiTheme="minorHAnsi" w:cstheme="minorHAnsi"/>
        </w:rPr>
      </w:pPr>
      <w:bookmarkStart w:id="0" w:name="_GoBack"/>
      <w:bookmarkEnd w:id="0"/>
      <w:r w:rsidRPr="00A56CE1">
        <w:rPr>
          <w:noProof/>
          <w:lang w:val="ru-RU" w:eastAsia="ru-RU"/>
        </w:rPr>
        <w:drawing>
          <wp:inline distT="0" distB="0" distL="0" distR="0" wp14:anchorId="542C0B4E" wp14:editId="38BA8EDF">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213C3602" w14:textId="77777777" w:rsidR="00307B52" w:rsidRPr="00335EBE" w:rsidRDefault="00307B52" w:rsidP="00AC154A">
      <w:pPr>
        <w:snapToGrid w:val="0"/>
        <w:spacing w:after="0" w:line="240" w:lineRule="auto"/>
        <w:jc w:val="center"/>
        <w:rPr>
          <w:rFonts w:asciiTheme="minorHAnsi" w:hAnsiTheme="minorHAnsi" w:cstheme="minorHAnsi"/>
        </w:rPr>
      </w:pPr>
    </w:p>
    <w:p w14:paraId="10A6BEAF" w14:textId="77777777" w:rsidR="009F1171" w:rsidRPr="00335EBE" w:rsidRDefault="009F1171" w:rsidP="009F1171">
      <w:pPr>
        <w:pStyle w:val="P68B1DB1-Normal1"/>
        <w:spacing w:after="0" w:line="240" w:lineRule="auto"/>
        <w:jc w:val="center"/>
        <w:rPr>
          <w:lang w:val="en-GB"/>
        </w:rPr>
      </w:pPr>
      <w:r w:rsidRPr="00335EBE">
        <w:rPr>
          <w:lang w:val="en-GB"/>
        </w:rPr>
        <w:t>PhosAgro Reports Operating and Financial Results for FY 2024</w:t>
      </w:r>
    </w:p>
    <w:p w14:paraId="67EDF6CB" w14:textId="77777777" w:rsidR="009F1171" w:rsidRPr="00335EBE" w:rsidRDefault="009F1171" w:rsidP="009F1171">
      <w:pPr>
        <w:spacing w:after="0" w:line="240" w:lineRule="auto"/>
        <w:jc w:val="center"/>
        <w:rPr>
          <w:rFonts w:asciiTheme="minorHAnsi" w:hAnsiTheme="minorHAnsi" w:cstheme="minorHAnsi"/>
        </w:rPr>
      </w:pPr>
    </w:p>
    <w:p w14:paraId="2F21C4EE" w14:textId="68BD35D3" w:rsidR="009F1171" w:rsidRPr="00BB5D11" w:rsidRDefault="009F1171" w:rsidP="00BB5D11">
      <w:pPr>
        <w:pStyle w:val="P68B1DB1-Normal2"/>
        <w:spacing w:line="240" w:lineRule="auto"/>
        <w:jc w:val="both"/>
        <w:rPr>
          <w:b/>
          <w:lang w:val="en-US"/>
        </w:rPr>
      </w:pPr>
      <w:r w:rsidRPr="00335EBE">
        <w:rPr>
          <w:b/>
          <w:lang w:val="en-GB"/>
        </w:rPr>
        <w:t>Moscow</w:t>
      </w:r>
      <w:r w:rsidR="00BB5D11" w:rsidRPr="00BB5D11">
        <w:rPr>
          <w:b/>
          <w:lang w:val="en-US"/>
        </w:rPr>
        <w:t xml:space="preserve"> –</w:t>
      </w:r>
      <w:r w:rsidRPr="00335EBE">
        <w:rPr>
          <w:b/>
          <w:lang w:val="en-GB"/>
        </w:rPr>
        <w:t xml:space="preserve"> </w:t>
      </w:r>
      <w:r w:rsidRPr="00335EBE">
        <w:rPr>
          <w:lang w:val="en-GB"/>
        </w:rPr>
        <w:t xml:space="preserve">PhosAgro Group (“PhosAgro” or “the Company”) (Moscow Exchange, LSE: PHOR), </w:t>
      </w:r>
      <w:r w:rsidR="00ED28B7" w:rsidRPr="00335EBE">
        <w:rPr>
          <w:lang w:val="en-GB"/>
        </w:rPr>
        <w:t xml:space="preserve">a Russian vertically integrated company that includes </w:t>
      </w:r>
      <w:r w:rsidRPr="00335EBE">
        <w:rPr>
          <w:lang w:val="en-GB"/>
        </w:rPr>
        <w:t xml:space="preserve">one of the world’s leading phosphate-based fertilizer producers, today announces its operating results and consolidated financial results for the full year ended 31 December 2024. </w:t>
      </w:r>
    </w:p>
    <w:p w14:paraId="3D8CA99D" w14:textId="77777777" w:rsidR="009F1171" w:rsidRPr="00335EBE" w:rsidRDefault="009F1171" w:rsidP="00BB5D11">
      <w:pPr>
        <w:pStyle w:val="P68B1DB1-13"/>
        <w:spacing w:after="120" w:line="240" w:lineRule="auto"/>
        <w:jc w:val="both"/>
        <w:rPr>
          <w:lang w:val="en-GB"/>
        </w:rPr>
      </w:pPr>
      <w:r w:rsidRPr="00335EBE">
        <w:rPr>
          <w:lang w:val="en-GB"/>
        </w:rPr>
        <w:t>FY 2024 highlights</w:t>
      </w:r>
    </w:p>
    <w:p w14:paraId="5853CCFE" w14:textId="154EE489" w:rsidR="009F1171" w:rsidRPr="00335EBE" w:rsidRDefault="009F1171" w:rsidP="00224436">
      <w:pPr>
        <w:pStyle w:val="P68B1DB1-ListParagraph4"/>
        <w:numPr>
          <w:ilvl w:val="0"/>
          <w:numId w:val="48"/>
        </w:numPr>
        <w:shd w:val="clear" w:color="auto" w:fill="FFFFFF"/>
        <w:spacing w:before="120" w:after="120" w:line="276" w:lineRule="auto"/>
        <w:ind w:left="567" w:hanging="499"/>
        <w:jc w:val="both"/>
        <w:rPr>
          <w:lang w:val="en-GB"/>
        </w:rPr>
      </w:pPr>
      <w:r w:rsidRPr="00335EBE">
        <w:rPr>
          <w:lang w:val="en-GB"/>
        </w:rPr>
        <w:t>In FY 2024, production of agrochemical products grew 4</w:t>
      </w:r>
      <w:r w:rsidR="00ED28B7" w:rsidRPr="00335EBE">
        <w:rPr>
          <w:lang w:val="en-GB"/>
        </w:rPr>
        <w:t>.3</w:t>
      </w:r>
      <w:r w:rsidRPr="00335EBE">
        <w:rPr>
          <w:lang w:val="en-GB"/>
        </w:rPr>
        <w:t xml:space="preserve">% year-on-year to 11.8 million tonnes, driven mainly by a 5.8% increase in the production of phosphate-based fertilizers and feed phosphates, to 8.9 million tonnes. </w:t>
      </w:r>
    </w:p>
    <w:p w14:paraId="21EC07C3" w14:textId="77777777" w:rsidR="009F1171" w:rsidRPr="00335EBE" w:rsidRDefault="009F1171" w:rsidP="00224436">
      <w:pPr>
        <w:pStyle w:val="P68B1DB1-ListParagraph4"/>
        <w:numPr>
          <w:ilvl w:val="0"/>
          <w:numId w:val="48"/>
        </w:numPr>
        <w:shd w:val="clear" w:color="auto" w:fill="FFFFFF"/>
        <w:spacing w:before="120" w:after="120" w:line="276" w:lineRule="auto"/>
        <w:ind w:left="567" w:hanging="499"/>
        <w:jc w:val="both"/>
        <w:rPr>
          <w:lang w:val="en-GB"/>
        </w:rPr>
      </w:pPr>
      <w:r w:rsidRPr="00335EBE">
        <w:rPr>
          <w:lang w:val="en-GB"/>
        </w:rPr>
        <w:t>Total sales of agrochemical products in FY 2024 increased by 4.1% year-on-year to 11.9 million tonnes, while sales of phosphate-based fertilizers and feed phosphates rose 6.1%.</w:t>
      </w:r>
    </w:p>
    <w:p w14:paraId="76F2955C" w14:textId="77777777" w:rsidR="009F1171" w:rsidRPr="00335EBE" w:rsidRDefault="009F1171" w:rsidP="00224436">
      <w:pPr>
        <w:pStyle w:val="P68B1DB1-ListParagraph4"/>
        <w:numPr>
          <w:ilvl w:val="0"/>
          <w:numId w:val="48"/>
        </w:numPr>
        <w:shd w:val="clear" w:color="auto" w:fill="FFFFFF"/>
        <w:spacing w:before="120" w:after="120" w:line="276" w:lineRule="auto"/>
        <w:ind w:left="567" w:hanging="499"/>
        <w:jc w:val="both"/>
        <w:rPr>
          <w:lang w:val="en-GB"/>
        </w:rPr>
      </w:pPr>
      <w:r w:rsidRPr="00335EBE">
        <w:rPr>
          <w:lang w:val="en-GB"/>
        </w:rPr>
        <w:t xml:space="preserve">Revenue in FY 2024 amounted to RUB 507.7 billion, an increase of 15.3% year-on-year. </w:t>
      </w:r>
    </w:p>
    <w:p w14:paraId="5358DC3D" w14:textId="2E36DD6B" w:rsidR="009F1171" w:rsidRPr="00335EBE" w:rsidRDefault="009F1171" w:rsidP="00224436">
      <w:pPr>
        <w:pStyle w:val="P68B1DB1-ListParagraph4"/>
        <w:numPr>
          <w:ilvl w:val="0"/>
          <w:numId w:val="48"/>
        </w:numPr>
        <w:shd w:val="clear" w:color="auto" w:fill="FFFFFF"/>
        <w:spacing w:before="120" w:after="120" w:line="276" w:lineRule="auto"/>
        <w:ind w:left="567" w:hanging="499"/>
        <w:jc w:val="both"/>
        <w:rPr>
          <w:lang w:val="en-GB"/>
        </w:rPr>
      </w:pPr>
      <w:r w:rsidRPr="00335EBE">
        <w:rPr>
          <w:lang w:val="en-GB"/>
        </w:rPr>
        <w:t>The Company</w:t>
      </w:r>
      <w:r w:rsidR="00ED28B7" w:rsidRPr="00335EBE">
        <w:rPr>
          <w:lang w:val="en-GB"/>
        </w:rPr>
        <w:t>’</w:t>
      </w:r>
      <w:r w:rsidRPr="00335EBE">
        <w:rPr>
          <w:lang w:val="en-GB"/>
        </w:rPr>
        <w:t xml:space="preserve">s EBITDA </w:t>
      </w:r>
      <w:r w:rsidR="00ED28B7" w:rsidRPr="00335EBE">
        <w:rPr>
          <w:lang w:val="en-GB"/>
        </w:rPr>
        <w:t>for</w:t>
      </w:r>
      <w:r w:rsidRPr="00335EBE">
        <w:rPr>
          <w:lang w:val="en-GB"/>
        </w:rPr>
        <w:t xml:space="preserve"> FY 2024 amounted to RUB 177.0 billion, down 3.3% year-on-year.</w:t>
      </w:r>
    </w:p>
    <w:p w14:paraId="1305E6B5" w14:textId="77777777" w:rsidR="009F1171" w:rsidRPr="00335EBE" w:rsidRDefault="009F1171" w:rsidP="00224436">
      <w:pPr>
        <w:pStyle w:val="P68B1DB1-ListParagraph4"/>
        <w:numPr>
          <w:ilvl w:val="0"/>
          <w:numId w:val="48"/>
        </w:numPr>
        <w:shd w:val="clear" w:color="auto" w:fill="FFFFFF"/>
        <w:spacing w:before="120" w:after="120" w:line="276" w:lineRule="auto"/>
        <w:ind w:left="567" w:hanging="499"/>
        <w:jc w:val="both"/>
        <w:rPr>
          <w:lang w:val="en-GB"/>
        </w:rPr>
      </w:pPr>
      <w:r w:rsidRPr="00335EBE">
        <w:rPr>
          <w:lang w:val="en-GB"/>
        </w:rPr>
        <w:t xml:space="preserve">Free cash flow for FY 2024 amounted to RUB 29.0 billion. </w:t>
      </w:r>
    </w:p>
    <w:p w14:paraId="6470595C" w14:textId="661A4615" w:rsidR="009F1171" w:rsidRPr="00335EBE" w:rsidRDefault="009F1171" w:rsidP="00224436">
      <w:pPr>
        <w:pStyle w:val="P68B1DB1-ListParagraph4"/>
        <w:numPr>
          <w:ilvl w:val="0"/>
          <w:numId w:val="48"/>
        </w:numPr>
        <w:shd w:val="clear" w:color="auto" w:fill="FFFFFF"/>
        <w:spacing w:before="120" w:after="120" w:line="276" w:lineRule="auto"/>
        <w:ind w:left="567" w:hanging="499"/>
        <w:jc w:val="both"/>
        <w:rPr>
          <w:lang w:val="en-GB"/>
        </w:rPr>
      </w:pPr>
      <w:r w:rsidRPr="00335EBE">
        <w:rPr>
          <w:lang w:val="en-GB"/>
        </w:rPr>
        <w:t>As</w:t>
      </w:r>
      <w:r w:rsidR="00ED28B7" w:rsidRPr="00335EBE">
        <w:rPr>
          <w:lang w:val="en-GB"/>
        </w:rPr>
        <w:t xml:space="preserve"> of</w:t>
      </w:r>
      <w:r w:rsidRPr="00335EBE">
        <w:rPr>
          <w:lang w:val="en-GB"/>
        </w:rPr>
        <w:t xml:space="preserve"> 31 December 2024, net debt amounted to RUB 325.4 billion, and the net debt/adjusted EBITDA ratio as of the end of the reporting period was a comfortable 1.84x. </w:t>
      </w:r>
    </w:p>
    <w:p w14:paraId="452113AF" w14:textId="77777777" w:rsidR="009F1171" w:rsidRPr="00335EBE" w:rsidRDefault="009F1171" w:rsidP="009F1171">
      <w:pPr>
        <w:pStyle w:val="P68B1DB1-Normal1"/>
        <w:spacing w:line="240" w:lineRule="auto"/>
        <w:ind w:firstLine="574"/>
        <w:jc w:val="both"/>
        <w:rPr>
          <w:lang w:val="en-GB"/>
        </w:rPr>
      </w:pPr>
      <w:r w:rsidRPr="00335EBE">
        <w:rPr>
          <w:lang w:val="en-GB"/>
        </w:rPr>
        <w:t>Financial and operating highlights:</w:t>
      </w:r>
    </w:p>
    <w:tbl>
      <w:tblPr>
        <w:tblW w:w="9356" w:type="dxa"/>
        <w:tblLayout w:type="fixed"/>
        <w:tblLook w:val="04A0" w:firstRow="1" w:lastRow="0" w:firstColumn="1" w:lastColumn="0" w:noHBand="0" w:noVBand="1"/>
      </w:tblPr>
      <w:tblGrid>
        <w:gridCol w:w="4678"/>
        <w:gridCol w:w="1985"/>
        <w:gridCol w:w="1417"/>
        <w:gridCol w:w="1276"/>
      </w:tblGrid>
      <w:tr w:rsidR="009F1171" w:rsidRPr="00335EBE" w14:paraId="25A95477" w14:textId="77777777" w:rsidTr="002436BA">
        <w:trPr>
          <w:trHeight w:val="330"/>
        </w:trPr>
        <w:tc>
          <w:tcPr>
            <w:tcW w:w="9356" w:type="dxa"/>
            <w:gridSpan w:val="4"/>
            <w:tcBorders>
              <w:top w:val="nil"/>
              <w:left w:val="nil"/>
              <w:right w:val="nil"/>
            </w:tcBorders>
            <w:shd w:val="clear" w:color="000000" w:fill="2B87A2"/>
            <w:vAlign w:val="center"/>
            <w:hideMark/>
          </w:tcPr>
          <w:p w14:paraId="20FD04AE" w14:textId="77777777" w:rsidR="009F1171" w:rsidRPr="00335EBE" w:rsidRDefault="009F1171" w:rsidP="002436BA">
            <w:pPr>
              <w:pStyle w:val="P68B1DB1-Normal5"/>
              <w:spacing w:after="0" w:line="240" w:lineRule="auto"/>
              <w:jc w:val="center"/>
              <w:rPr>
                <w:rFonts w:cs="Calibri"/>
                <w:lang w:val="en-GB"/>
              </w:rPr>
            </w:pPr>
            <w:r w:rsidRPr="00335EBE">
              <w:rPr>
                <w:lang w:val="en-GB"/>
              </w:rPr>
              <w:t>Financial highlights</w:t>
            </w:r>
          </w:p>
        </w:tc>
      </w:tr>
      <w:tr w:rsidR="009F1171" w:rsidRPr="00335EBE" w14:paraId="4D70DBA6" w14:textId="77777777" w:rsidTr="002436BA">
        <w:trPr>
          <w:trHeight w:val="480"/>
        </w:trPr>
        <w:tc>
          <w:tcPr>
            <w:tcW w:w="4678" w:type="dxa"/>
            <w:tcBorders>
              <w:top w:val="nil"/>
              <w:left w:val="nil"/>
              <w:bottom w:val="single" w:sz="4" w:space="0" w:color="auto"/>
              <w:right w:val="nil"/>
            </w:tcBorders>
            <w:shd w:val="clear" w:color="auto" w:fill="auto"/>
            <w:vAlign w:val="center"/>
            <w:hideMark/>
          </w:tcPr>
          <w:p w14:paraId="6C1A171E" w14:textId="77777777" w:rsidR="009F1171" w:rsidRPr="00335EBE" w:rsidRDefault="009F1171" w:rsidP="002436BA">
            <w:pPr>
              <w:pStyle w:val="P68B1DB1-Normal6"/>
              <w:spacing w:after="0" w:line="240" w:lineRule="auto"/>
              <w:rPr>
                <w:lang w:val="en-GB"/>
              </w:rPr>
            </w:pPr>
            <w:r w:rsidRPr="00335EBE">
              <w:rPr>
                <w:lang w:val="en-GB"/>
              </w:rPr>
              <w:t xml:space="preserve">(RUB </w:t>
            </w:r>
            <w:proofErr w:type="spellStart"/>
            <w:r w:rsidRPr="00335EBE">
              <w:rPr>
                <w:lang w:val="en-GB"/>
              </w:rPr>
              <w:t>mln</w:t>
            </w:r>
            <w:proofErr w:type="spellEnd"/>
            <w:r w:rsidRPr="00335EBE">
              <w:rPr>
                <w:lang w:val="en-GB"/>
              </w:rPr>
              <w:t>)</w:t>
            </w:r>
          </w:p>
        </w:tc>
        <w:tc>
          <w:tcPr>
            <w:tcW w:w="1985" w:type="dxa"/>
            <w:tcBorders>
              <w:top w:val="nil"/>
              <w:left w:val="nil"/>
              <w:bottom w:val="single" w:sz="4" w:space="0" w:color="auto"/>
              <w:right w:val="nil"/>
            </w:tcBorders>
            <w:shd w:val="clear" w:color="auto" w:fill="auto"/>
            <w:vAlign w:val="center"/>
          </w:tcPr>
          <w:p w14:paraId="3FF5DB73" w14:textId="77777777" w:rsidR="009F1171" w:rsidRPr="00335EBE" w:rsidRDefault="009F1171" w:rsidP="002436BA">
            <w:pPr>
              <w:pStyle w:val="P68B1DB1-Normal7"/>
              <w:spacing w:after="0" w:line="240" w:lineRule="auto"/>
              <w:jc w:val="center"/>
              <w:rPr>
                <w:rFonts w:eastAsia="Times New Roman"/>
                <w:lang w:val="en-GB"/>
              </w:rPr>
            </w:pPr>
            <w:r w:rsidRPr="00335EBE">
              <w:rPr>
                <w:lang w:val="en-GB"/>
              </w:rPr>
              <w:t>FY 2024</w:t>
            </w:r>
          </w:p>
        </w:tc>
        <w:tc>
          <w:tcPr>
            <w:tcW w:w="1417" w:type="dxa"/>
            <w:tcBorders>
              <w:top w:val="nil"/>
              <w:left w:val="nil"/>
              <w:bottom w:val="single" w:sz="4" w:space="0" w:color="auto"/>
              <w:right w:val="nil"/>
            </w:tcBorders>
            <w:shd w:val="clear" w:color="auto" w:fill="auto"/>
            <w:vAlign w:val="center"/>
          </w:tcPr>
          <w:p w14:paraId="55F0A6DD" w14:textId="77777777" w:rsidR="009F1171" w:rsidRPr="00335EBE" w:rsidRDefault="009F1171" w:rsidP="002436BA">
            <w:pPr>
              <w:pStyle w:val="P68B1DB1-Normal7"/>
              <w:spacing w:after="0" w:line="240" w:lineRule="auto"/>
              <w:jc w:val="center"/>
              <w:rPr>
                <w:rFonts w:eastAsia="Times New Roman"/>
                <w:lang w:val="en-GB"/>
              </w:rPr>
            </w:pPr>
            <w:r w:rsidRPr="00335EBE">
              <w:rPr>
                <w:lang w:val="en-GB"/>
              </w:rPr>
              <w:t>FY 2023</w:t>
            </w:r>
          </w:p>
        </w:tc>
        <w:tc>
          <w:tcPr>
            <w:tcW w:w="1276" w:type="dxa"/>
            <w:tcBorders>
              <w:top w:val="nil"/>
              <w:left w:val="nil"/>
              <w:bottom w:val="single" w:sz="4" w:space="0" w:color="auto"/>
              <w:right w:val="nil"/>
            </w:tcBorders>
            <w:shd w:val="clear" w:color="000000" w:fill="E3F1F7"/>
            <w:vAlign w:val="center"/>
          </w:tcPr>
          <w:p w14:paraId="0C3E4F32" w14:textId="18FF83CD" w:rsidR="009F1171" w:rsidRPr="00335EBE" w:rsidRDefault="009F1171" w:rsidP="002436BA">
            <w:pPr>
              <w:pStyle w:val="P68B1DB1-Normal7"/>
              <w:spacing w:after="0" w:line="240" w:lineRule="auto"/>
              <w:jc w:val="center"/>
              <w:rPr>
                <w:rFonts w:eastAsia="Times New Roman"/>
                <w:lang w:val="en-GB"/>
              </w:rPr>
            </w:pPr>
            <w:r w:rsidRPr="00335EBE">
              <w:rPr>
                <w:lang w:val="en-GB"/>
              </w:rPr>
              <w:t>Change</w:t>
            </w:r>
            <w:r w:rsidR="00ED28B7" w:rsidRPr="00335EBE">
              <w:rPr>
                <w:lang w:val="en-GB"/>
              </w:rPr>
              <w:t>,</w:t>
            </w:r>
            <w:r w:rsidRPr="00335EBE">
              <w:rPr>
                <w:lang w:val="en-GB"/>
              </w:rPr>
              <w:t xml:space="preserve"> %</w:t>
            </w:r>
          </w:p>
        </w:tc>
      </w:tr>
      <w:tr w:rsidR="009F1171" w:rsidRPr="00335EBE" w14:paraId="00971DF4" w14:textId="77777777" w:rsidTr="002436BA">
        <w:trPr>
          <w:trHeight w:val="300"/>
        </w:trPr>
        <w:tc>
          <w:tcPr>
            <w:tcW w:w="4678" w:type="dxa"/>
            <w:tcBorders>
              <w:top w:val="single" w:sz="4" w:space="0" w:color="auto"/>
              <w:left w:val="nil"/>
              <w:bottom w:val="nil"/>
              <w:right w:val="nil"/>
            </w:tcBorders>
            <w:shd w:val="clear" w:color="auto" w:fill="auto"/>
            <w:vAlign w:val="center"/>
            <w:hideMark/>
          </w:tcPr>
          <w:p w14:paraId="7DA748C4" w14:textId="1D6FFFBB" w:rsidR="009F1171" w:rsidRPr="00335EBE" w:rsidRDefault="009F1171" w:rsidP="002436BA">
            <w:pPr>
              <w:pStyle w:val="P68B1DB1-Normal8"/>
              <w:spacing w:after="0" w:line="240" w:lineRule="auto"/>
              <w:rPr>
                <w:lang w:val="en-GB"/>
              </w:rPr>
            </w:pPr>
            <w:r w:rsidRPr="00335EBE">
              <w:rPr>
                <w:lang w:val="en-GB"/>
              </w:rPr>
              <w:t>Revenue</w:t>
            </w:r>
          </w:p>
        </w:tc>
        <w:tc>
          <w:tcPr>
            <w:tcW w:w="1985" w:type="dxa"/>
            <w:tcBorders>
              <w:top w:val="single" w:sz="4" w:space="0" w:color="auto"/>
              <w:left w:val="nil"/>
              <w:bottom w:val="nil"/>
              <w:right w:val="nil"/>
            </w:tcBorders>
            <w:shd w:val="clear" w:color="auto" w:fill="auto"/>
            <w:vAlign w:val="center"/>
          </w:tcPr>
          <w:p w14:paraId="159F82C3" w14:textId="77777777" w:rsidR="009F1171" w:rsidRPr="00335EBE" w:rsidRDefault="009F1171" w:rsidP="002436BA">
            <w:pPr>
              <w:pStyle w:val="P68B1DB1-Normal9"/>
              <w:spacing w:after="0" w:line="240" w:lineRule="auto"/>
              <w:jc w:val="center"/>
              <w:rPr>
                <w:lang w:val="en-GB"/>
              </w:rPr>
            </w:pPr>
            <w:r w:rsidRPr="00335EBE">
              <w:rPr>
                <w:lang w:val="en-GB"/>
              </w:rPr>
              <w:t>507,689</w:t>
            </w:r>
          </w:p>
        </w:tc>
        <w:tc>
          <w:tcPr>
            <w:tcW w:w="1417" w:type="dxa"/>
            <w:tcBorders>
              <w:top w:val="single" w:sz="4" w:space="0" w:color="auto"/>
              <w:left w:val="nil"/>
              <w:bottom w:val="nil"/>
              <w:right w:val="nil"/>
            </w:tcBorders>
            <w:shd w:val="clear" w:color="auto" w:fill="auto"/>
            <w:vAlign w:val="center"/>
          </w:tcPr>
          <w:p w14:paraId="23683A8C" w14:textId="77777777" w:rsidR="009F1171" w:rsidRPr="00335EBE" w:rsidRDefault="009F1171" w:rsidP="002436BA">
            <w:pPr>
              <w:pStyle w:val="P68B1DB1-Normal9"/>
              <w:spacing w:after="0" w:line="240" w:lineRule="auto"/>
              <w:jc w:val="center"/>
              <w:rPr>
                <w:lang w:val="en-GB"/>
              </w:rPr>
            </w:pPr>
            <w:r w:rsidRPr="00335EBE">
              <w:rPr>
                <w:lang w:val="en-GB"/>
              </w:rPr>
              <w:t>440,304</w:t>
            </w:r>
          </w:p>
        </w:tc>
        <w:tc>
          <w:tcPr>
            <w:tcW w:w="1276" w:type="dxa"/>
            <w:tcBorders>
              <w:top w:val="single" w:sz="4" w:space="0" w:color="auto"/>
              <w:left w:val="nil"/>
              <w:bottom w:val="nil"/>
              <w:right w:val="nil"/>
            </w:tcBorders>
            <w:shd w:val="clear" w:color="000000" w:fill="E3F1F7"/>
            <w:vAlign w:val="center"/>
          </w:tcPr>
          <w:p w14:paraId="709AE02D" w14:textId="77777777" w:rsidR="009F1171" w:rsidRPr="00335EBE" w:rsidRDefault="009F1171" w:rsidP="002436BA">
            <w:pPr>
              <w:pStyle w:val="P68B1DB1-Normal10"/>
              <w:spacing w:after="0" w:line="240" w:lineRule="auto"/>
              <w:jc w:val="center"/>
              <w:rPr>
                <w:lang w:val="en-GB"/>
              </w:rPr>
            </w:pPr>
            <w:r w:rsidRPr="00335EBE">
              <w:rPr>
                <w:lang w:val="en-GB"/>
              </w:rPr>
              <w:t>15.3%</w:t>
            </w:r>
          </w:p>
        </w:tc>
      </w:tr>
      <w:tr w:rsidR="009F1171" w:rsidRPr="00335EBE" w14:paraId="200CD2EE" w14:textId="77777777" w:rsidTr="002436BA">
        <w:trPr>
          <w:trHeight w:val="300"/>
        </w:trPr>
        <w:tc>
          <w:tcPr>
            <w:tcW w:w="4678" w:type="dxa"/>
            <w:tcBorders>
              <w:top w:val="nil"/>
              <w:left w:val="nil"/>
              <w:bottom w:val="nil"/>
              <w:right w:val="nil"/>
            </w:tcBorders>
            <w:shd w:val="clear" w:color="auto" w:fill="auto"/>
            <w:vAlign w:val="center"/>
            <w:hideMark/>
          </w:tcPr>
          <w:p w14:paraId="4064DA01" w14:textId="77777777" w:rsidR="009F1171" w:rsidRPr="00335EBE" w:rsidRDefault="009F1171" w:rsidP="002436BA">
            <w:pPr>
              <w:pStyle w:val="P68B1DB1-Normal8"/>
              <w:spacing w:after="0" w:line="240" w:lineRule="auto"/>
              <w:rPr>
                <w:lang w:val="en-GB"/>
              </w:rPr>
            </w:pPr>
            <w:r w:rsidRPr="00335EBE">
              <w:rPr>
                <w:lang w:val="en-GB"/>
              </w:rPr>
              <w:t>EBITDA*</w:t>
            </w:r>
          </w:p>
        </w:tc>
        <w:tc>
          <w:tcPr>
            <w:tcW w:w="1985" w:type="dxa"/>
            <w:tcBorders>
              <w:top w:val="nil"/>
              <w:left w:val="nil"/>
              <w:bottom w:val="nil"/>
              <w:right w:val="nil"/>
            </w:tcBorders>
            <w:shd w:val="clear" w:color="auto" w:fill="auto"/>
            <w:vAlign w:val="center"/>
          </w:tcPr>
          <w:p w14:paraId="780C3353" w14:textId="77777777" w:rsidR="009F1171" w:rsidRPr="00335EBE" w:rsidRDefault="009F1171" w:rsidP="002436BA">
            <w:pPr>
              <w:pStyle w:val="P68B1DB1-Normal9"/>
              <w:spacing w:after="0" w:line="240" w:lineRule="auto"/>
              <w:jc w:val="center"/>
              <w:rPr>
                <w:lang w:val="en-GB"/>
              </w:rPr>
            </w:pPr>
            <w:r w:rsidRPr="00335EBE">
              <w:rPr>
                <w:lang w:val="en-GB"/>
              </w:rPr>
              <w:t>177,005</w:t>
            </w:r>
          </w:p>
        </w:tc>
        <w:tc>
          <w:tcPr>
            <w:tcW w:w="1417" w:type="dxa"/>
            <w:tcBorders>
              <w:top w:val="nil"/>
              <w:left w:val="nil"/>
              <w:bottom w:val="nil"/>
              <w:right w:val="nil"/>
            </w:tcBorders>
            <w:shd w:val="clear" w:color="auto" w:fill="auto"/>
            <w:vAlign w:val="center"/>
          </w:tcPr>
          <w:p w14:paraId="0719F017" w14:textId="77777777" w:rsidR="009F1171" w:rsidRPr="00335EBE" w:rsidRDefault="009F1171" w:rsidP="002436BA">
            <w:pPr>
              <w:pStyle w:val="P68B1DB1-Normal9"/>
              <w:spacing w:after="0" w:line="240" w:lineRule="auto"/>
              <w:jc w:val="center"/>
              <w:rPr>
                <w:lang w:val="en-GB"/>
              </w:rPr>
            </w:pPr>
            <w:r w:rsidRPr="00335EBE">
              <w:rPr>
                <w:lang w:val="en-GB"/>
              </w:rPr>
              <w:t>183,038</w:t>
            </w:r>
          </w:p>
        </w:tc>
        <w:tc>
          <w:tcPr>
            <w:tcW w:w="1276" w:type="dxa"/>
            <w:tcBorders>
              <w:top w:val="nil"/>
              <w:left w:val="nil"/>
              <w:bottom w:val="nil"/>
              <w:right w:val="nil"/>
            </w:tcBorders>
            <w:shd w:val="clear" w:color="000000" w:fill="E3F1F7"/>
            <w:vAlign w:val="center"/>
          </w:tcPr>
          <w:p w14:paraId="091C5C47" w14:textId="77777777" w:rsidR="009F1171" w:rsidRPr="00335EBE" w:rsidRDefault="009F1171" w:rsidP="002436BA">
            <w:pPr>
              <w:pStyle w:val="P68B1DB1-Normal11"/>
              <w:spacing w:after="0" w:line="240" w:lineRule="auto"/>
              <w:jc w:val="center"/>
              <w:rPr>
                <w:lang w:val="en-GB"/>
              </w:rPr>
            </w:pPr>
            <w:r w:rsidRPr="00335EBE">
              <w:rPr>
                <w:lang w:val="en-GB"/>
              </w:rPr>
              <w:t>-3.3%</w:t>
            </w:r>
          </w:p>
        </w:tc>
      </w:tr>
      <w:tr w:rsidR="009F1171" w:rsidRPr="00335EBE" w14:paraId="41F8E733" w14:textId="77777777" w:rsidTr="002436BA">
        <w:trPr>
          <w:trHeight w:val="300"/>
        </w:trPr>
        <w:tc>
          <w:tcPr>
            <w:tcW w:w="4678" w:type="dxa"/>
            <w:tcBorders>
              <w:top w:val="nil"/>
              <w:left w:val="nil"/>
              <w:bottom w:val="nil"/>
              <w:right w:val="nil"/>
            </w:tcBorders>
            <w:shd w:val="clear" w:color="auto" w:fill="auto"/>
            <w:vAlign w:val="center"/>
          </w:tcPr>
          <w:p w14:paraId="2704C4B6" w14:textId="77777777" w:rsidR="009F1171" w:rsidRPr="00335EBE" w:rsidRDefault="009F1171" w:rsidP="002436BA">
            <w:pPr>
              <w:pStyle w:val="P68B1DB1-Normal8"/>
              <w:spacing w:after="0" w:line="240" w:lineRule="auto"/>
              <w:rPr>
                <w:lang w:val="en-GB"/>
              </w:rPr>
            </w:pPr>
            <w:r w:rsidRPr="00335EBE">
              <w:rPr>
                <w:lang w:val="en-GB"/>
              </w:rPr>
              <w:t>Adj. EBITDA**</w:t>
            </w:r>
          </w:p>
        </w:tc>
        <w:tc>
          <w:tcPr>
            <w:tcW w:w="1985" w:type="dxa"/>
            <w:tcBorders>
              <w:top w:val="nil"/>
              <w:left w:val="nil"/>
              <w:bottom w:val="nil"/>
              <w:right w:val="nil"/>
            </w:tcBorders>
            <w:shd w:val="clear" w:color="auto" w:fill="auto"/>
            <w:vAlign w:val="center"/>
          </w:tcPr>
          <w:p w14:paraId="7CFB4232" w14:textId="77777777" w:rsidR="009F1171" w:rsidRPr="00335EBE" w:rsidRDefault="009F1171" w:rsidP="002436BA">
            <w:pPr>
              <w:pStyle w:val="P68B1DB1-Normal9"/>
              <w:spacing w:after="0" w:line="240" w:lineRule="auto"/>
              <w:jc w:val="center"/>
              <w:rPr>
                <w:lang w:val="en-GB"/>
              </w:rPr>
            </w:pPr>
            <w:r w:rsidRPr="00335EBE">
              <w:rPr>
                <w:lang w:val="en-GB"/>
              </w:rPr>
              <w:t>170,553</w:t>
            </w:r>
          </w:p>
        </w:tc>
        <w:tc>
          <w:tcPr>
            <w:tcW w:w="1417" w:type="dxa"/>
            <w:tcBorders>
              <w:top w:val="nil"/>
              <w:left w:val="nil"/>
              <w:bottom w:val="nil"/>
              <w:right w:val="nil"/>
            </w:tcBorders>
            <w:shd w:val="clear" w:color="auto" w:fill="auto"/>
            <w:vAlign w:val="center"/>
          </w:tcPr>
          <w:p w14:paraId="4E276E53" w14:textId="77777777" w:rsidR="009F1171" w:rsidRPr="00335EBE" w:rsidRDefault="009F1171" w:rsidP="002436BA">
            <w:pPr>
              <w:pStyle w:val="P68B1DB1-Normal9"/>
              <w:spacing w:after="0" w:line="240" w:lineRule="auto"/>
              <w:jc w:val="center"/>
              <w:rPr>
                <w:lang w:val="en-GB"/>
              </w:rPr>
            </w:pPr>
            <w:r w:rsidRPr="00335EBE">
              <w:rPr>
                <w:lang w:val="en-GB"/>
              </w:rPr>
              <w:t>168,352</w:t>
            </w:r>
          </w:p>
        </w:tc>
        <w:tc>
          <w:tcPr>
            <w:tcW w:w="1276" w:type="dxa"/>
            <w:tcBorders>
              <w:top w:val="nil"/>
              <w:left w:val="nil"/>
              <w:bottom w:val="nil"/>
              <w:right w:val="nil"/>
            </w:tcBorders>
            <w:shd w:val="clear" w:color="000000" w:fill="E3F1F7"/>
            <w:vAlign w:val="center"/>
          </w:tcPr>
          <w:p w14:paraId="59C05139" w14:textId="77777777" w:rsidR="009F1171" w:rsidRPr="00335EBE" w:rsidRDefault="009F1171" w:rsidP="002436BA">
            <w:pPr>
              <w:pStyle w:val="P68B1DB1-Normal11"/>
              <w:spacing w:after="0" w:line="240" w:lineRule="auto"/>
              <w:jc w:val="center"/>
              <w:rPr>
                <w:lang w:val="en-GB"/>
              </w:rPr>
            </w:pPr>
            <w:r w:rsidRPr="00335EBE">
              <w:rPr>
                <w:lang w:val="en-GB"/>
              </w:rPr>
              <w:t>1.3%</w:t>
            </w:r>
          </w:p>
        </w:tc>
      </w:tr>
      <w:tr w:rsidR="009F1171" w:rsidRPr="00335EBE" w14:paraId="5F324B93" w14:textId="77777777" w:rsidTr="002436BA">
        <w:trPr>
          <w:trHeight w:val="300"/>
        </w:trPr>
        <w:tc>
          <w:tcPr>
            <w:tcW w:w="4678" w:type="dxa"/>
            <w:tcBorders>
              <w:top w:val="nil"/>
              <w:left w:val="nil"/>
              <w:bottom w:val="nil"/>
              <w:right w:val="nil"/>
            </w:tcBorders>
            <w:shd w:val="clear" w:color="auto" w:fill="auto"/>
            <w:vAlign w:val="center"/>
          </w:tcPr>
          <w:p w14:paraId="04CA7429" w14:textId="77777777" w:rsidR="009F1171" w:rsidRPr="00335EBE" w:rsidRDefault="009F1171" w:rsidP="002436BA">
            <w:pPr>
              <w:pStyle w:val="P68B1DB1-Normal12"/>
              <w:spacing w:after="0" w:line="240" w:lineRule="auto"/>
              <w:jc w:val="right"/>
              <w:rPr>
                <w:lang w:val="en-GB"/>
              </w:rPr>
            </w:pPr>
            <w:r w:rsidRPr="00335EBE">
              <w:rPr>
                <w:lang w:val="en-GB"/>
              </w:rPr>
              <w:t>EBITDA margin</w:t>
            </w:r>
          </w:p>
        </w:tc>
        <w:tc>
          <w:tcPr>
            <w:tcW w:w="1985" w:type="dxa"/>
            <w:tcBorders>
              <w:top w:val="nil"/>
              <w:left w:val="nil"/>
              <w:bottom w:val="nil"/>
              <w:right w:val="nil"/>
            </w:tcBorders>
            <w:shd w:val="clear" w:color="auto" w:fill="auto"/>
            <w:vAlign w:val="center"/>
          </w:tcPr>
          <w:p w14:paraId="65D6FA32" w14:textId="77777777" w:rsidR="009F1171" w:rsidRPr="00335EBE" w:rsidRDefault="009F1171" w:rsidP="002436BA">
            <w:pPr>
              <w:pStyle w:val="P68B1DB1-Normal10"/>
              <w:spacing w:after="0" w:line="240" w:lineRule="auto"/>
              <w:jc w:val="center"/>
              <w:rPr>
                <w:lang w:val="en-GB"/>
              </w:rPr>
            </w:pPr>
            <w:r w:rsidRPr="00335EBE">
              <w:rPr>
                <w:lang w:val="en-GB"/>
              </w:rPr>
              <w:t>34.9%</w:t>
            </w:r>
          </w:p>
        </w:tc>
        <w:tc>
          <w:tcPr>
            <w:tcW w:w="1417" w:type="dxa"/>
            <w:tcBorders>
              <w:top w:val="nil"/>
              <w:left w:val="nil"/>
              <w:bottom w:val="nil"/>
              <w:right w:val="nil"/>
            </w:tcBorders>
            <w:shd w:val="clear" w:color="auto" w:fill="auto"/>
            <w:vAlign w:val="center"/>
          </w:tcPr>
          <w:p w14:paraId="03493DF0" w14:textId="77777777" w:rsidR="009F1171" w:rsidRPr="00335EBE" w:rsidRDefault="009F1171" w:rsidP="002436BA">
            <w:pPr>
              <w:pStyle w:val="P68B1DB1-Normal10"/>
              <w:spacing w:after="0" w:line="240" w:lineRule="auto"/>
              <w:jc w:val="center"/>
              <w:rPr>
                <w:lang w:val="en-GB"/>
              </w:rPr>
            </w:pPr>
            <w:r w:rsidRPr="00335EBE">
              <w:rPr>
                <w:lang w:val="en-GB"/>
              </w:rPr>
              <w:t>41.6%</w:t>
            </w:r>
          </w:p>
        </w:tc>
        <w:tc>
          <w:tcPr>
            <w:tcW w:w="1276" w:type="dxa"/>
            <w:tcBorders>
              <w:top w:val="nil"/>
              <w:left w:val="nil"/>
              <w:bottom w:val="nil"/>
              <w:right w:val="nil"/>
            </w:tcBorders>
            <w:shd w:val="clear" w:color="000000" w:fill="E3F1F7"/>
            <w:vAlign w:val="center"/>
          </w:tcPr>
          <w:p w14:paraId="2BD9D7A3" w14:textId="77777777" w:rsidR="009F1171" w:rsidRPr="00335EBE" w:rsidRDefault="009F1171" w:rsidP="002436BA">
            <w:pPr>
              <w:spacing w:after="0" w:line="240" w:lineRule="auto"/>
              <w:jc w:val="center"/>
              <w:rPr>
                <w:rFonts w:asciiTheme="minorHAnsi" w:eastAsia="Times New Roman" w:hAnsiTheme="minorHAnsi" w:cstheme="minorHAnsi"/>
                <w:i/>
                <w:color w:val="000000"/>
                <w:sz w:val="20"/>
              </w:rPr>
            </w:pPr>
          </w:p>
        </w:tc>
      </w:tr>
      <w:tr w:rsidR="009F1171" w:rsidRPr="00335EBE" w14:paraId="4D95C22F" w14:textId="77777777" w:rsidTr="002436BA">
        <w:trPr>
          <w:trHeight w:val="300"/>
        </w:trPr>
        <w:tc>
          <w:tcPr>
            <w:tcW w:w="4678" w:type="dxa"/>
            <w:tcBorders>
              <w:top w:val="nil"/>
              <w:left w:val="nil"/>
              <w:bottom w:val="nil"/>
              <w:right w:val="nil"/>
            </w:tcBorders>
            <w:shd w:val="clear" w:color="auto" w:fill="auto"/>
            <w:vAlign w:val="center"/>
            <w:hideMark/>
          </w:tcPr>
          <w:p w14:paraId="278A428F" w14:textId="77777777" w:rsidR="009F1171" w:rsidRPr="00335EBE" w:rsidRDefault="009F1171" w:rsidP="002436BA">
            <w:pPr>
              <w:pStyle w:val="P68B1DB1-Normal8"/>
              <w:spacing w:after="0" w:line="240" w:lineRule="auto"/>
              <w:rPr>
                <w:lang w:val="en-GB"/>
              </w:rPr>
            </w:pPr>
            <w:r w:rsidRPr="00335EBE">
              <w:rPr>
                <w:lang w:val="en-GB"/>
              </w:rPr>
              <w:t>Net profit</w:t>
            </w:r>
          </w:p>
        </w:tc>
        <w:tc>
          <w:tcPr>
            <w:tcW w:w="1985" w:type="dxa"/>
            <w:tcBorders>
              <w:top w:val="nil"/>
              <w:left w:val="nil"/>
              <w:bottom w:val="nil"/>
              <w:right w:val="nil"/>
            </w:tcBorders>
            <w:shd w:val="clear" w:color="auto" w:fill="auto"/>
            <w:vAlign w:val="center"/>
          </w:tcPr>
          <w:p w14:paraId="7E2840F6" w14:textId="77777777" w:rsidR="009F1171" w:rsidRPr="00335EBE" w:rsidRDefault="009F1171" w:rsidP="002436BA">
            <w:pPr>
              <w:pStyle w:val="P68B1DB1-Normal9"/>
              <w:spacing w:after="0" w:line="240" w:lineRule="auto"/>
              <w:jc w:val="center"/>
              <w:rPr>
                <w:lang w:val="en-GB"/>
              </w:rPr>
            </w:pPr>
            <w:r w:rsidRPr="00335EBE">
              <w:rPr>
                <w:lang w:val="en-GB"/>
              </w:rPr>
              <w:t>84,469</w:t>
            </w:r>
          </w:p>
        </w:tc>
        <w:tc>
          <w:tcPr>
            <w:tcW w:w="1417" w:type="dxa"/>
            <w:tcBorders>
              <w:top w:val="nil"/>
              <w:left w:val="nil"/>
              <w:bottom w:val="nil"/>
              <w:right w:val="nil"/>
            </w:tcBorders>
            <w:shd w:val="clear" w:color="auto" w:fill="auto"/>
            <w:vAlign w:val="center"/>
          </w:tcPr>
          <w:p w14:paraId="6951157A" w14:textId="77777777" w:rsidR="009F1171" w:rsidRPr="00335EBE" w:rsidRDefault="009F1171" w:rsidP="002436BA">
            <w:pPr>
              <w:pStyle w:val="P68B1DB1-Normal9"/>
              <w:spacing w:after="0" w:line="240" w:lineRule="auto"/>
              <w:jc w:val="center"/>
              <w:rPr>
                <w:lang w:val="en-GB"/>
              </w:rPr>
            </w:pPr>
            <w:r w:rsidRPr="00335EBE">
              <w:rPr>
                <w:lang w:val="en-GB"/>
              </w:rPr>
              <w:t>86,141</w:t>
            </w:r>
          </w:p>
        </w:tc>
        <w:tc>
          <w:tcPr>
            <w:tcW w:w="1276" w:type="dxa"/>
            <w:tcBorders>
              <w:top w:val="nil"/>
              <w:left w:val="nil"/>
              <w:bottom w:val="nil"/>
              <w:right w:val="nil"/>
            </w:tcBorders>
            <w:shd w:val="clear" w:color="000000" w:fill="E3F1F7"/>
            <w:vAlign w:val="center"/>
          </w:tcPr>
          <w:p w14:paraId="66B1C9C0" w14:textId="77777777" w:rsidR="009F1171" w:rsidRPr="00335EBE" w:rsidRDefault="009F1171" w:rsidP="002436BA">
            <w:pPr>
              <w:pStyle w:val="P68B1DB1-Normal10"/>
              <w:spacing w:after="0" w:line="240" w:lineRule="auto"/>
              <w:jc w:val="center"/>
              <w:rPr>
                <w:lang w:val="en-GB"/>
              </w:rPr>
            </w:pPr>
            <w:r w:rsidRPr="00335EBE">
              <w:rPr>
                <w:lang w:val="en-GB"/>
              </w:rPr>
              <w:t>-1.9%</w:t>
            </w:r>
          </w:p>
        </w:tc>
      </w:tr>
      <w:tr w:rsidR="009F1171" w:rsidRPr="00335EBE" w14:paraId="012F74D9" w14:textId="77777777" w:rsidTr="002436BA">
        <w:trPr>
          <w:trHeight w:val="300"/>
        </w:trPr>
        <w:tc>
          <w:tcPr>
            <w:tcW w:w="4678" w:type="dxa"/>
            <w:tcBorders>
              <w:top w:val="nil"/>
              <w:left w:val="nil"/>
              <w:bottom w:val="nil"/>
              <w:right w:val="nil"/>
            </w:tcBorders>
            <w:shd w:val="clear" w:color="auto" w:fill="auto"/>
            <w:vAlign w:val="center"/>
            <w:hideMark/>
          </w:tcPr>
          <w:p w14:paraId="05477373" w14:textId="77777777" w:rsidR="009F1171" w:rsidRPr="00335EBE" w:rsidRDefault="009F1171" w:rsidP="002436BA">
            <w:pPr>
              <w:pStyle w:val="P68B1DB1-Normal8"/>
              <w:spacing w:after="0" w:line="240" w:lineRule="auto"/>
              <w:rPr>
                <w:lang w:val="en-GB"/>
              </w:rPr>
            </w:pPr>
            <w:r w:rsidRPr="00335EBE">
              <w:rPr>
                <w:lang w:val="en-GB"/>
              </w:rPr>
              <w:t>Adj. net profit***</w:t>
            </w:r>
          </w:p>
        </w:tc>
        <w:tc>
          <w:tcPr>
            <w:tcW w:w="1985" w:type="dxa"/>
            <w:tcBorders>
              <w:top w:val="nil"/>
              <w:left w:val="nil"/>
              <w:bottom w:val="nil"/>
              <w:right w:val="nil"/>
            </w:tcBorders>
            <w:shd w:val="clear" w:color="auto" w:fill="auto"/>
            <w:vAlign w:val="center"/>
          </w:tcPr>
          <w:p w14:paraId="2124A53F" w14:textId="77777777" w:rsidR="009F1171" w:rsidRPr="00335EBE" w:rsidRDefault="009F1171" w:rsidP="002436BA">
            <w:pPr>
              <w:pStyle w:val="P68B1DB1-Normal9"/>
              <w:spacing w:after="0" w:line="240" w:lineRule="auto"/>
              <w:jc w:val="center"/>
              <w:rPr>
                <w:lang w:val="en-GB"/>
              </w:rPr>
            </w:pPr>
            <w:r w:rsidRPr="00335EBE">
              <w:rPr>
                <w:lang w:val="en-GB"/>
              </w:rPr>
              <w:t>100,372</w:t>
            </w:r>
          </w:p>
        </w:tc>
        <w:tc>
          <w:tcPr>
            <w:tcW w:w="1417" w:type="dxa"/>
            <w:tcBorders>
              <w:top w:val="nil"/>
              <w:left w:val="nil"/>
              <w:bottom w:val="nil"/>
              <w:right w:val="nil"/>
            </w:tcBorders>
            <w:shd w:val="clear" w:color="auto" w:fill="auto"/>
            <w:vAlign w:val="center"/>
          </w:tcPr>
          <w:p w14:paraId="15E42AA5" w14:textId="77777777" w:rsidR="009F1171" w:rsidRPr="00335EBE" w:rsidRDefault="009F1171" w:rsidP="002436BA">
            <w:pPr>
              <w:pStyle w:val="P68B1DB1-Normal9"/>
              <w:spacing w:after="0" w:line="240" w:lineRule="auto"/>
              <w:jc w:val="center"/>
              <w:rPr>
                <w:lang w:val="en-GB"/>
              </w:rPr>
            </w:pPr>
            <w:r w:rsidRPr="00335EBE">
              <w:rPr>
                <w:lang w:val="en-GB"/>
              </w:rPr>
              <w:t>104,105</w:t>
            </w:r>
          </w:p>
        </w:tc>
        <w:tc>
          <w:tcPr>
            <w:tcW w:w="1276" w:type="dxa"/>
            <w:tcBorders>
              <w:top w:val="nil"/>
              <w:left w:val="nil"/>
              <w:bottom w:val="nil"/>
              <w:right w:val="nil"/>
            </w:tcBorders>
            <w:shd w:val="clear" w:color="000000" w:fill="E3F1F7"/>
            <w:vAlign w:val="center"/>
          </w:tcPr>
          <w:p w14:paraId="6D44BDBA" w14:textId="77777777" w:rsidR="009F1171" w:rsidRPr="00335EBE" w:rsidRDefault="009F1171" w:rsidP="002436BA">
            <w:pPr>
              <w:pStyle w:val="P68B1DB1-Normal10"/>
              <w:spacing w:after="0" w:line="240" w:lineRule="auto"/>
              <w:jc w:val="center"/>
              <w:rPr>
                <w:lang w:val="en-GB"/>
              </w:rPr>
            </w:pPr>
            <w:r w:rsidRPr="00335EBE">
              <w:rPr>
                <w:lang w:val="en-GB"/>
              </w:rPr>
              <w:t>-3.6%</w:t>
            </w:r>
          </w:p>
        </w:tc>
      </w:tr>
      <w:tr w:rsidR="009F1171" w:rsidRPr="00335EBE" w14:paraId="06FACCCA" w14:textId="77777777" w:rsidTr="002436BA">
        <w:trPr>
          <w:trHeight w:val="315"/>
        </w:trPr>
        <w:tc>
          <w:tcPr>
            <w:tcW w:w="4678" w:type="dxa"/>
            <w:tcBorders>
              <w:top w:val="nil"/>
              <w:left w:val="nil"/>
              <w:bottom w:val="nil"/>
              <w:right w:val="nil"/>
            </w:tcBorders>
            <w:shd w:val="clear" w:color="auto" w:fill="auto"/>
            <w:vAlign w:val="center"/>
            <w:hideMark/>
          </w:tcPr>
          <w:p w14:paraId="14A24815" w14:textId="77777777" w:rsidR="009F1171" w:rsidRPr="00335EBE" w:rsidRDefault="009F1171" w:rsidP="002436BA">
            <w:pPr>
              <w:pStyle w:val="P68B1DB1-Normal8"/>
              <w:spacing w:after="0" w:line="240" w:lineRule="auto"/>
              <w:rPr>
                <w:rFonts w:ascii="Foco" w:hAnsi="Foco" w:cs="Foco"/>
                <w:sz w:val="18"/>
                <w:lang w:val="en-GB"/>
              </w:rPr>
            </w:pPr>
            <w:r w:rsidRPr="00335EBE">
              <w:rPr>
                <w:lang w:val="en-GB"/>
              </w:rPr>
              <w:t>Free cash flow</w:t>
            </w:r>
          </w:p>
        </w:tc>
        <w:tc>
          <w:tcPr>
            <w:tcW w:w="1985" w:type="dxa"/>
            <w:tcBorders>
              <w:top w:val="nil"/>
              <w:left w:val="nil"/>
              <w:bottom w:val="nil"/>
              <w:right w:val="nil"/>
            </w:tcBorders>
            <w:shd w:val="clear" w:color="auto" w:fill="auto"/>
            <w:vAlign w:val="center"/>
          </w:tcPr>
          <w:p w14:paraId="30B3F74B" w14:textId="77777777" w:rsidR="009F1171" w:rsidRPr="00335EBE" w:rsidRDefault="009F1171" w:rsidP="002436BA">
            <w:pPr>
              <w:pStyle w:val="P68B1DB1-Normal9"/>
              <w:spacing w:after="0" w:line="240" w:lineRule="auto"/>
              <w:jc w:val="center"/>
              <w:rPr>
                <w:lang w:val="en-GB"/>
              </w:rPr>
            </w:pPr>
            <w:r w:rsidRPr="00335EBE">
              <w:rPr>
                <w:lang w:val="en-GB"/>
              </w:rPr>
              <w:t>28,986</w:t>
            </w:r>
          </w:p>
        </w:tc>
        <w:tc>
          <w:tcPr>
            <w:tcW w:w="1417" w:type="dxa"/>
            <w:tcBorders>
              <w:top w:val="nil"/>
              <w:left w:val="nil"/>
              <w:bottom w:val="nil"/>
              <w:right w:val="nil"/>
            </w:tcBorders>
            <w:shd w:val="clear" w:color="auto" w:fill="auto"/>
            <w:vAlign w:val="center"/>
          </w:tcPr>
          <w:p w14:paraId="0322B6ED" w14:textId="77777777" w:rsidR="009F1171" w:rsidRPr="00335EBE" w:rsidRDefault="009F1171" w:rsidP="002436BA">
            <w:pPr>
              <w:pStyle w:val="P68B1DB1-Normal9"/>
              <w:spacing w:after="0" w:line="240" w:lineRule="auto"/>
              <w:jc w:val="center"/>
              <w:rPr>
                <w:lang w:val="en-GB"/>
              </w:rPr>
            </w:pPr>
            <w:r w:rsidRPr="00335EBE">
              <w:rPr>
                <w:lang w:val="en-GB"/>
              </w:rPr>
              <w:t>70,208</w:t>
            </w:r>
          </w:p>
        </w:tc>
        <w:tc>
          <w:tcPr>
            <w:tcW w:w="1276" w:type="dxa"/>
            <w:tcBorders>
              <w:top w:val="nil"/>
              <w:left w:val="nil"/>
              <w:bottom w:val="nil"/>
              <w:right w:val="nil"/>
            </w:tcBorders>
            <w:shd w:val="clear" w:color="000000" w:fill="E3F1F7"/>
            <w:vAlign w:val="center"/>
          </w:tcPr>
          <w:p w14:paraId="65D0668B" w14:textId="77777777" w:rsidR="009F1171" w:rsidRPr="00335EBE" w:rsidRDefault="009F1171" w:rsidP="002436BA">
            <w:pPr>
              <w:pStyle w:val="P68B1DB1-Normal10"/>
              <w:spacing w:after="0" w:line="240" w:lineRule="auto"/>
              <w:jc w:val="center"/>
              <w:rPr>
                <w:lang w:val="en-GB"/>
              </w:rPr>
            </w:pPr>
            <w:r w:rsidRPr="00335EBE">
              <w:rPr>
                <w:lang w:val="en-GB"/>
              </w:rPr>
              <w:t>-58.7%</w:t>
            </w:r>
          </w:p>
        </w:tc>
      </w:tr>
      <w:tr w:rsidR="009F1171" w:rsidRPr="00335EBE" w14:paraId="517FB12F" w14:textId="77777777" w:rsidTr="002436BA">
        <w:trPr>
          <w:trHeight w:val="315"/>
        </w:trPr>
        <w:tc>
          <w:tcPr>
            <w:tcW w:w="4678" w:type="dxa"/>
            <w:tcBorders>
              <w:top w:val="single" w:sz="8" w:space="0" w:color="auto"/>
              <w:left w:val="nil"/>
              <w:bottom w:val="single" w:sz="8" w:space="0" w:color="auto"/>
              <w:right w:val="nil"/>
            </w:tcBorders>
            <w:shd w:val="clear" w:color="auto" w:fill="auto"/>
            <w:vAlign w:val="center"/>
            <w:hideMark/>
          </w:tcPr>
          <w:p w14:paraId="5E8F0B7E" w14:textId="77777777" w:rsidR="009F1171" w:rsidRPr="00335EBE" w:rsidRDefault="009F1171" w:rsidP="002436BA">
            <w:pPr>
              <w:pStyle w:val="P68B1DB1-Normal13"/>
              <w:spacing w:after="0" w:line="240" w:lineRule="auto"/>
              <w:rPr>
                <w:lang w:val="en-GB"/>
              </w:rPr>
            </w:pPr>
            <w:r w:rsidRPr="00335EBE">
              <w:rPr>
                <w:lang w:val="en-GB"/>
              </w:rPr>
              <w:t xml:space="preserve"> </w:t>
            </w:r>
          </w:p>
        </w:tc>
        <w:tc>
          <w:tcPr>
            <w:tcW w:w="1985" w:type="dxa"/>
            <w:tcBorders>
              <w:top w:val="single" w:sz="8" w:space="0" w:color="auto"/>
              <w:left w:val="nil"/>
              <w:bottom w:val="single" w:sz="8" w:space="0" w:color="auto"/>
              <w:right w:val="nil"/>
            </w:tcBorders>
            <w:shd w:val="clear" w:color="auto" w:fill="auto"/>
            <w:vAlign w:val="center"/>
          </w:tcPr>
          <w:p w14:paraId="30B8BDC3" w14:textId="77777777" w:rsidR="009F1171" w:rsidRPr="00335EBE" w:rsidRDefault="009F1171" w:rsidP="002436BA">
            <w:pPr>
              <w:pStyle w:val="P68B1DB1-Normal7"/>
              <w:spacing w:after="0" w:line="240" w:lineRule="auto"/>
              <w:jc w:val="center"/>
              <w:rPr>
                <w:rFonts w:eastAsia="Times New Roman"/>
                <w:lang w:val="en-GB"/>
              </w:rPr>
            </w:pPr>
            <w:r w:rsidRPr="00335EBE">
              <w:rPr>
                <w:lang w:val="en-GB"/>
              </w:rPr>
              <w:t>31.12.2024</w:t>
            </w:r>
          </w:p>
        </w:tc>
        <w:tc>
          <w:tcPr>
            <w:tcW w:w="1417" w:type="dxa"/>
            <w:tcBorders>
              <w:top w:val="single" w:sz="8" w:space="0" w:color="auto"/>
              <w:left w:val="nil"/>
              <w:bottom w:val="single" w:sz="8" w:space="0" w:color="auto"/>
              <w:right w:val="nil"/>
            </w:tcBorders>
            <w:shd w:val="clear" w:color="auto" w:fill="auto"/>
            <w:vAlign w:val="center"/>
          </w:tcPr>
          <w:p w14:paraId="3A54A547" w14:textId="77777777" w:rsidR="009F1171" w:rsidRPr="00335EBE" w:rsidRDefault="009F1171" w:rsidP="002436BA">
            <w:pPr>
              <w:pStyle w:val="P68B1DB1-Normal7"/>
              <w:spacing w:after="0" w:line="240" w:lineRule="auto"/>
              <w:jc w:val="center"/>
              <w:rPr>
                <w:rFonts w:eastAsia="Times New Roman"/>
                <w:lang w:val="en-GB"/>
              </w:rPr>
            </w:pPr>
            <w:r w:rsidRPr="00335EBE">
              <w:rPr>
                <w:lang w:val="en-GB"/>
              </w:rPr>
              <w:t>31.12.2023</w:t>
            </w:r>
          </w:p>
        </w:tc>
        <w:tc>
          <w:tcPr>
            <w:tcW w:w="1276" w:type="dxa"/>
            <w:tcBorders>
              <w:top w:val="single" w:sz="8" w:space="0" w:color="auto"/>
              <w:left w:val="nil"/>
              <w:bottom w:val="single" w:sz="8" w:space="0" w:color="auto"/>
              <w:right w:val="nil"/>
            </w:tcBorders>
            <w:shd w:val="clear" w:color="000000" w:fill="E3F1F7"/>
            <w:vAlign w:val="center"/>
            <w:hideMark/>
          </w:tcPr>
          <w:p w14:paraId="5C555A8D" w14:textId="77777777" w:rsidR="009F1171" w:rsidRPr="00335EBE" w:rsidRDefault="009F1171" w:rsidP="002436BA">
            <w:pPr>
              <w:pStyle w:val="P68B1DB1-Normal9"/>
              <w:spacing w:after="0" w:line="240" w:lineRule="auto"/>
              <w:rPr>
                <w:lang w:val="en-GB"/>
              </w:rPr>
            </w:pPr>
            <w:r w:rsidRPr="00335EBE">
              <w:rPr>
                <w:lang w:val="en-GB"/>
              </w:rPr>
              <w:t> </w:t>
            </w:r>
          </w:p>
        </w:tc>
      </w:tr>
      <w:tr w:rsidR="009F1171" w:rsidRPr="00335EBE" w14:paraId="527F4CAC" w14:textId="77777777" w:rsidTr="002436BA">
        <w:trPr>
          <w:trHeight w:val="300"/>
        </w:trPr>
        <w:tc>
          <w:tcPr>
            <w:tcW w:w="4678" w:type="dxa"/>
            <w:tcBorders>
              <w:top w:val="nil"/>
              <w:left w:val="nil"/>
              <w:bottom w:val="nil"/>
              <w:right w:val="nil"/>
            </w:tcBorders>
            <w:shd w:val="clear" w:color="auto" w:fill="auto"/>
            <w:vAlign w:val="center"/>
            <w:hideMark/>
          </w:tcPr>
          <w:p w14:paraId="2ABD295F" w14:textId="77777777" w:rsidR="009F1171" w:rsidRPr="00335EBE" w:rsidRDefault="009F1171" w:rsidP="002436BA">
            <w:pPr>
              <w:pStyle w:val="P68B1DB1-Normal8"/>
              <w:spacing w:after="0" w:line="240" w:lineRule="auto"/>
              <w:rPr>
                <w:lang w:val="en-GB"/>
              </w:rPr>
            </w:pPr>
            <w:r w:rsidRPr="00335EBE">
              <w:rPr>
                <w:lang w:val="en-GB"/>
              </w:rPr>
              <w:t>Net debt</w:t>
            </w:r>
          </w:p>
        </w:tc>
        <w:tc>
          <w:tcPr>
            <w:tcW w:w="1985" w:type="dxa"/>
            <w:tcBorders>
              <w:top w:val="nil"/>
              <w:left w:val="nil"/>
              <w:bottom w:val="nil"/>
              <w:right w:val="nil"/>
            </w:tcBorders>
            <w:shd w:val="clear" w:color="auto" w:fill="auto"/>
            <w:vAlign w:val="center"/>
          </w:tcPr>
          <w:p w14:paraId="35E8FE6C" w14:textId="77777777" w:rsidR="009F1171" w:rsidRPr="00335EBE" w:rsidRDefault="009F1171" w:rsidP="002436BA">
            <w:pPr>
              <w:pStyle w:val="P68B1DB1-Normal9"/>
              <w:spacing w:after="0" w:line="240" w:lineRule="auto"/>
              <w:jc w:val="center"/>
              <w:rPr>
                <w:lang w:val="en-GB"/>
              </w:rPr>
            </w:pPr>
            <w:r w:rsidRPr="00335EBE">
              <w:rPr>
                <w:lang w:val="en-GB"/>
              </w:rPr>
              <w:t>325,356</w:t>
            </w:r>
          </w:p>
        </w:tc>
        <w:tc>
          <w:tcPr>
            <w:tcW w:w="1417" w:type="dxa"/>
            <w:tcBorders>
              <w:top w:val="nil"/>
              <w:left w:val="nil"/>
              <w:bottom w:val="nil"/>
              <w:right w:val="nil"/>
            </w:tcBorders>
            <w:shd w:val="clear" w:color="auto" w:fill="auto"/>
            <w:vAlign w:val="center"/>
          </w:tcPr>
          <w:p w14:paraId="46755811" w14:textId="77777777" w:rsidR="009F1171" w:rsidRPr="00335EBE" w:rsidRDefault="009F1171" w:rsidP="002436BA">
            <w:pPr>
              <w:pStyle w:val="P68B1DB1-Normal14"/>
              <w:spacing w:after="0" w:line="240" w:lineRule="auto"/>
              <w:jc w:val="center"/>
              <w:rPr>
                <w:rFonts w:eastAsia="Times New Roman"/>
                <w:lang w:val="en-GB"/>
              </w:rPr>
            </w:pPr>
            <w:r w:rsidRPr="00335EBE">
              <w:rPr>
                <w:lang w:val="en-GB"/>
              </w:rPr>
              <w:t>223,207</w:t>
            </w:r>
          </w:p>
        </w:tc>
        <w:tc>
          <w:tcPr>
            <w:tcW w:w="1276" w:type="dxa"/>
            <w:tcBorders>
              <w:top w:val="nil"/>
              <w:left w:val="nil"/>
              <w:bottom w:val="nil"/>
              <w:right w:val="nil"/>
            </w:tcBorders>
            <w:shd w:val="clear" w:color="000000" w:fill="E3F1F7"/>
            <w:vAlign w:val="center"/>
            <w:hideMark/>
          </w:tcPr>
          <w:p w14:paraId="1EC04E0F" w14:textId="77777777" w:rsidR="009F1171" w:rsidRPr="00335EBE" w:rsidRDefault="009F1171" w:rsidP="002436BA">
            <w:pPr>
              <w:pStyle w:val="P68B1DB1-Normal9"/>
              <w:spacing w:after="0" w:line="240" w:lineRule="auto"/>
              <w:rPr>
                <w:lang w:val="en-GB"/>
              </w:rPr>
            </w:pPr>
            <w:r w:rsidRPr="00335EBE">
              <w:rPr>
                <w:lang w:val="en-GB"/>
              </w:rPr>
              <w:t> </w:t>
            </w:r>
          </w:p>
        </w:tc>
      </w:tr>
      <w:tr w:rsidR="009F1171" w:rsidRPr="00335EBE" w14:paraId="0715FFA2" w14:textId="77777777" w:rsidTr="002436BA">
        <w:trPr>
          <w:trHeight w:val="315"/>
        </w:trPr>
        <w:tc>
          <w:tcPr>
            <w:tcW w:w="4678" w:type="dxa"/>
            <w:tcBorders>
              <w:top w:val="nil"/>
              <w:left w:val="nil"/>
              <w:bottom w:val="single" w:sz="8" w:space="0" w:color="auto"/>
              <w:right w:val="nil"/>
            </w:tcBorders>
            <w:shd w:val="clear" w:color="auto" w:fill="auto"/>
            <w:vAlign w:val="center"/>
            <w:hideMark/>
          </w:tcPr>
          <w:p w14:paraId="78AD374D" w14:textId="77777777" w:rsidR="009F1171" w:rsidRPr="00335EBE" w:rsidRDefault="009F1171" w:rsidP="002436BA">
            <w:pPr>
              <w:pStyle w:val="P68B1DB1-Normal8"/>
              <w:spacing w:after="0" w:line="240" w:lineRule="auto"/>
              <w:rPr>
                <w:lang w:val="en-GB"/>
              </w:rPr>
            </w:pPr>
            <w:r w:rsidRPr="00335EBE">
              <w:rPr>
                <w:lang w:val="en-GB"/>
              </w:rPr>
              <w:t>ND/LTM EBITDA</w:t>
            </w:r>
          </w:p>
        </w:tc>
        <w:tc>
          <w:tcPr>
            <w:tcW w:w="1985" w:type="dxa"/>
            <w:tcBorders>
              <w:top w:val="nil"/>
              <w:left w:val="nil"/>
              <w:bottom w:val="single" w:sz="8" w:space="0" w:color="auto"/>
              <w:right w:val="nil"/>
            </w:tcBorders>
            <w:shd w:val="clear" w:color="auto" w:fill="auto"/>
            <w:vAlign w:val="center"/>
          </w:tcPr>
          <w:p w14:paraId="282F767E" w14:textId="77777777" w:rsidR="009F1171" w:rsidRPr="00335EBE" w:rsidRDefault="009F1171" w:rsidP="002436BA">
            <w:pPr>
              <w:pStyle w:val="P68B1DB1-Normal9"/>
              <w:spacing w:after="0" w:line="240" w:lineRule="auto"/>
              <w:jc w:val="center"/>
              <w:rPr>
                <w:lang w:val="en-GB"/>
              </w:rPr>
            </w:pPr>
            <w:r w:rsidRPr="00335EBE">
              <w:rPr>
                <w:lang w:val="en-GB"/>
              </w:rPr>
              <w:t>1.84x</w:t>
            </w:r>
          </w:p>
        </w:tc>
        <w:tc>
          <w:tcPr>
            <w:tcW w:w="1417" w:type="dxa"/>
            <w:tcBorders>
              <w:top w:val="nil"/>
              <w:left w:val="nil"/>
              <w:bottom w:val="single" w:sz="8" w:space="0" w:color="auto"/>
              <w:right w:val="nil"/>
            </w:tcBorders>
            <w:shd w:val="clear" w:color="auto" w:fill="auto"/>
            <w:vAlign w:val="center"/>
          </w:tcPr>
          <w:p w14:paraId="3FE17A71" w14:textId="77777777" w:rsidR="009F1171" w:rsidRPr="00335EBE" w:rsidRDefault="009F1171" w:rsidP="002436BA">
            <w:pPr>
              <w:pStyle w:val="P68B1DB1-Normal14"/>
              <w:spacing w:after="0" w:line="240" w:lineRule="auto"/>
              <w:jc w:val="center"/>
              <w:rPr>
                <w:rFonts w:eastAsia="Times New Roman"/>
                <w:lang w:val="en-GB"/>
              </w:rPr>
            </w:pPr>
            <w:r w:rsidRPr="00335EBE">
              <w:rPr>
                <w:lang w:val="en-GB"/>
              </w:rPr>
              <w:t>1.22x</w:t>
            </w:r>
          </w:p>
        </w:tc>
        <w:tc>
          <w:tcPr>
            <w:tcW w:w="1276" w:type="dxa"/>
            <w:tcBorders>
              <w:top w:val="nil"/>
              <w:left w:val="nil"/>
              <w:bottom w:val="single" w:sz="8" w:space="0" w:color="auto"/>
              <w:right w:val="nil"/>
            </w:tcBorders>
            <w:shd w:val="clear" w:color="000000" w:fill="E3F1F7"/>
            <w:vAlign w:val="center"/>
            <w:hideMark/>
          </w:tcPr>
          <w:p w14:paraId="48232382" w14:textId="77777777" w:rsidR="009F1171" w:rsidRPr="00335EBE" w:rsidRDefault="009F1171" w:rsidP="002436BA">
            <w:pPr>
              <w:pStyle w:val="P68B1DB1-Normal9"/>
              <w:spacing w:after="0" w:line="240" w:lineRule="auto"/>
              <w:rPr>
                <w:lang w:val="en-GB"/>
              </w:rPr>
            </w:pPr>
            <w:r w:rsidRPr="00335EBE">
              <w:rPr>
                <w:lang w:val="en-GB"/>
              </w:rPr>
              <w:t> </w:t>
            </w:r>
          </w:p>
        </w:tc>
      </w:tr>
    </w:tbl>
    <w:p w14:paraId="71FC8F50" w14:textId="77777777" w:rsidR="009F1171" w:rsidRPr="00335EBE" w:rsidRDefault="009F1171" w:rsidP="009F1171">
      <w:pPr>
        <w:pStyle w:val="P68B1DB1-Footer15"/>
        <w:rPr>
          <w:lang w:val="en-GB"/>
        </w:rPr>
      </w:pPr>
      <w:r w:rsidRPr="00335EBE">
        <w:rPr>
          <w:lang w:val="en-GB"/>
        </w:rPr>
        <w:t>* EBITDA is calculated as operating profit adjusted for depreciation and amortization.</w:t>
      </w:r>
    </w:p>
    <w:p w14:paraId="0112E960" w14:textId="77777777" w:rsidR="009F1171" w:rsidRPr="00335EBE" w:rsidRDefault="009F1171" w:rsidP="009F1171">
      <w:pPr>
        <w:pStyle w:val="P68B1DB1-Footer15"/>
        <w:rPr>
          <w:lang w:val="en-GB"/>
        </w:rPr>
      </w:pPr>
      <w:r w:rsidRPr="00335EBE">
        <w:rPr>
          <w:lang w:val="en-GB"/>
        </w:rPr>
        <w:t>** Adj. EBITDA is calculated as EBITDA adjusted for FX differences from operating activities.</w:t>
      </w:r>
    </w:p>
    <w:p w14:paraId="4D8FBE59" w14:textId="77777777" w:rsidR="009F1171" w:rsidRPr="00335EBE" w:rsidRDefault="009F1171" w:rsidP="009F1171">
      <w:pPr>
        <w:pStyle w:val="P68B1DB1-Footer15"/>
        <w:tabs>
          <w:tab w:val="clear" w:pos="4513"/>
          <w:tab w:val="clear" w:pos="9026"/>
        </w:tabs>
        <w:snapToGrid w:val="0"/>
        <w:rPr>
          <w:lang w:val="en-GB"/>
        </w:rPr>
      </w:pPr>
      <w:r w:rsidRPr="00335EBE">
        <w:rPr>
          <w:lang w:val="en-GB"/>
        </w:rPr>
        <w:t>*** Adj. net profit is net profit as reported minus FX gain or loss.</w:t>
      </w:r>
    </w:p>
    <w:p w14:paraId="1E26AFA1" w14:textId="7FD42282" w:rsidR="009F1171" w:rsidRPr="00335EBE" w:rsidRDefault="009F1171" w:rsidP="00534655">
      <w:pPr>
        <w:shd w:val="clear" w:color="auto" w:fill="FFFFFF"/>
        <w:spacing w:before="120" w:after="120" w:line="240" w:lineRule="auto"/>
        <w:jc w:val="both"/>
        <w:rPr>
          <w:rFonts w:asciiTheme="minorHAnsi" w:hAnsiTheme="minorHAnsi" w:cstheme="minorHAnsi"/>
        </w:rPr>
      </w:pPr>
    </w:p>
    <w:p w14:paraId="4D2C88AE" w14:textId="77777777" w:rsidR="009F1171" w:rsidRPr="00335EBE" w:rsidRDefault="009F1171" w:rsidP="00BB5D11">
      <w:pPr>
        <w:pStyle w:val="P68B1DB1-Normal1"/>
        <w:shd w:val="clear" w:color="auto" w:fill="FFFFFF"/>
        <w:spacing w:before="120" w:after="120" w:line="240" w:lineRule="auto"/>
        <w:jc w:val="both"/>
        <w:rPr>
          <w:lang w:val="en-GB"/>
        </w:rPr>
      </w:pPr>
      <w:r w:rsidRPr="00335EBE">
        <w:rPr>
          <w:lang w:val="en-GB"/>
        </w:rPr>
        <w:t>Comments on 2024 financial performance</w:t>
      </w:r>
    </w:p>
    <w:p w14:paraId="40846935" w14:textId="4F1EEB55" w:rsidR="009F1171" w:rsidRPr="00335EBE" w:rsidRDefault="009F1171" w:rsidP="00BB5D11">
      <w:pPr>
        <w:pStyle w:val="P68B1DB1-Normal2"/>
        <w:shd w:val="clear" w:color="auto" w:fill="FFFFFF"/>
        <w:spacing w:before="120" w:after="120" w:line="240" w:lineRule="auto"/>
        <w:jc w:val="both"/>
        <w:rPr>
          <w:color w:val="FF0000"/>
          <w:lang w:val="en-GB"/>
        </w:rPr>
      </w:pPr>
      <w:r w:rsidRPr="00335EBE">
        <w:rPr>
          <w:lang w:val="en-GB"/>
        </w:rPr>
        <w:t>The Company</w:t>
      </w:r>
      <w:r w:rsidR="0036103E" w:rsidRPr="00335EBE">
        <w:rPr>
          <w:lang w:val="en-GB"/>
        </w:rPr>
        <w:t>’</w:t>
      </w:r>
      <w:r w:rsidRPr="00335EBE">
        <w:rPr>
          <w:lang w:val="en-GB"/>
        </w:rPr>
        <w:t>s revenue grew 15.3% year-on-year in FY 2024, driven primarily by increased production and sales of phosphate-based fertilizers (mainly NPK, which saw sales rise more than 18% year-on-year)</w:t>
      </w:r>
      <w:r w:rsidR="0036103E" w:rsidRPr="00335EBE">
        <w:rPr>
          <w:lang w:val="en-GB"/>
        </w:rPr>
        <w:t xml:space="preserve"> and</w:t>
      </w:r>
      <w:r w:rsidRPr="00335EBE">
        <w:rPr>
          <w:lang w:val="en-GB"/>
        </w:rPr>
        <w:t xml:space="preserve"> supported by a recovery</w:t>
      </w:r>
      <w:r w:rsidR="0036103E" w:rsidRPr="00335EBE">
        <w:rPr>
          <w:lang w:val="en-GB"/>
        </w:rPr>
        <w:t xml:space="preserve"> </w:t>
      </w:r>
      <w:r w:rsidR="00E10EA4" w:rsidRPr="00335EBE">
        <w:rPr>
          <w:lang w:val="en-GB"/>
        </w:rPr>
        <w:t>from the beginning of</w:t>
      </w:r>
      <w:r w:rsidR="0036103E" w:rsidRPr="00335EBE">
        <w:rPr>
          <w:lang w:val="en-GB"/>
        </w:rPr>
        <w:t xml:space="preserve"> the year</w:t>
      </w:r>
      <w:r w:rsidRPr="00335EBE">
        <w:rPr>
          <w:lang w:val="en-GB"/>
        </w:rPr>
        <w:t xml:space="preserve"> in average sales prices in global markets and exchange rate dynamics. </w:t>
      </w:r>
    </w:p>
    <w:p w14:paraId="32C4E29B" w14:textId="1B33AFE7" w:rsidR="009F1171" w:rsidRPr="00335EBE" w:rsidRDefault="009F1171" w:rsidP="00BB5D11">
      <w:pPr>
        <w:pStyle w:val="P68B1DB1-Normal2"/>
        <w:shd w:val="clear" w:color="auto" w:fill="FFFFFF"/>
        <w:spacing w:before="120" w:after="120" w:line="240" w:lineRule="auto"/>
        <w:jc w:val="both"/>
        <w:rPr>
          <w:lang w:val="en-GB"/>
        </w:rPr>
      </w:pPr>
      <w:r w:rsidRPr="00335EBE">
        <w:rPr>
          <w:lang w:val="en-GB"/>
        </w:rPr>
        <w:lastRenderedPageBreak/>
        <w:t>The Company</w:t>
      </w:r>
      <w:r w:rsidR="00E10EA4" w:rsidRPr="00335EBE">
        <w:rPr>
          <w:lang w:val="en-GB"/>
        </w:rPr>
        <w:t>’</w:t>
      </w:r>
      <w:r w:rsidRPr="00335EBE">
        <w:rPr>
          <w:lang w:val="en-GB"/>
        </w:rPr>
        <w:t xml:space="preserve">s EBITDA for the full year amounted to RUB 177.0 billion, driven by increased sales and higher prices compared with the previous year. At the same time, EBITDA faced pressure from factors such as rising production costs owing to the payment of export duties introduced in 2023, increased consumption of raw materials and higher personnel costs. </w:t>
      </w:r>
    </w:p>
    <w:p w14:paraId="463631AB" w14:textId="51D308A9" w:rsidR="009F1171" w:rsidRPr="00335EBE" w:rsidRDefault="009F1171" w:rsidP="00BB5D11">
      <w:pPr>
        <w:pStyle w:val="P68B1DB1-Normal2"/>
        <w:shd w:val="clear" w:color="auto" w:fill="FFFFFF"/>
        <w:spacing w:before="120" w:after="120" w:line="240" w:lineRule="auto"/>
        <w:jc w:val="both"/>
        <w:rPr>
          <w:lang w:val="en-GB"/>
        </w:rPr>
      </w:pPr>
      <w:r w:rsidRPr="00335EBE">
        <w:rPr>
          <w:lang w:val="en-GB"/>
        </w:rPr>
        <w:t xml:space="preserve">EBITDA rose 9.3% quarter-on-quarter in 4Q 2024, reaching RUB 53.5 billion. In addition to increased sales revenue, </w:t>
      </w:r>
      <w:r w:rsidR="00614D4D" w:rsidRPr="00335EBE">
        <w:rPr>
          <w:lang w:val="en-GB"/>
        </w:rPr>
        <w:t>another factor that</w:t>
      </w:r>
      <w:r w:rsidRPr="00335EBE">
        <w:rPr>
          <w:lang w:val="en-GB"/>
        </w:rPr>
        <w:t xml:space="preserve"> had a positive impact on EBITDA</w:t>
      </w:r>
      <w:r w:rsidR="00614D4D" w:rsidRPr="00335EBE">
        <w:rPr>
          <w:lang w:val="en-GB"/>
        </w:rPr>
        <w:t xml:space="preserve"> was the reduction in export duties at the end of the quarter</w:t>
      </w:r>
      <w:r w:rsidRPr="00335EBE">
        <w:rPr>
          <w:lang w:val="en-GB"/>
        </w:rPr>
        <w:t xml:space="preserve">. </w:t>
      </w:r>
    </w:p>
    <w:p w14:paraId="281C5366" w14:textId="196FCEBC" w:rsidR="009F1171" w:rsidRPr="00335EBE" w:rsidRDefault="009F1171" w:rsidP="00BB5D11">
      <w:pPr>
        <w:pStyle w:val="P68B1DB1-Normal2"/>
        <w:shd w:val="clear" w:color="auto" w:fill="FFFFFF"/>
        <w:spacing w:before="120" w:after="120" w:line="240" w:lineRule="auto"/>
        <w:jc w:val="both"/>
        <w:rPr>
          <w:lang w:val="en-GB"/>
        </w:rPr>
      </w:pPr>
      <w:r w:rsidRPr="00335EBE">
        <w:rPr>
          <w:lang w:val="en-GB"/>
        </w:rPr>
        <w:t>EBITDA margin for FY 2024 was 34.9%, driven by the Company</w:t>
      </w:r>
      <w:r w:rsidR="00614D4D" w:rsidRPr="00335EBE">
        <w:rPr>
          <w:lang w:val="en-GB"/>
        </w:rPr>
        <w:t>’</w:t>
      </w:r>
      <w:r w:rsidRPr="00335EBE">
        <w:rPr>
          <w:lang w:val="en-GB"/>
        </w:rPr>
        <w:t xml:space="preserve">s highly efficient production assets, increased production of high-margin fertilizers and basic </w:t>
      </w:r>
      <w:proofErr w:type="spellStart"/>
      <w:r w:rsidRPr="00335EBE">
        <w:rPr>
          <w:lang w:val="en-GB"/>
        </w:rPr>
        <w:t>feedstocks</w:t>
      </w:r>
      <w:proofErr w:type="spellEnd"/>
      <w:r w:rsidRPr="00335EBE">
        <w:rPr>
          <w:lang w:val="en-GB"/>
        </w:rPr>
        <w:t xml:space="preserve"> as well as its flexible sales policy. </w:t>
      </w:r>
    </w:p>
    <w:p w14:paraId="61B84792" w14:textId="1CDDE1CC" w:rsidR="009F1171" w:rsidRPr="00335EBE" w:rsidRDefault="009F1171" w:rsidP="00BB5D11">
      <w:pPr>
        <w:pStyle w:val="P68B1DB1-Normal2"/>
        <w:shd w:val="clear" w:color="auto" w:fill="FFFFFF"/>
        <w:spacing w:before="120" w:after="120" w:line="240" w:lineRule="auto"/>
        <w:jc w:val="both"/>
        <w:rPr>
          <w:color w:val="FF0000"/>
          <w:lang w:val="en-GB"/>
        </w:rPr>
      </w:pPr>
      <w:r w:rsidRPr="00335EBE">
        <w:rPr>
          <w:lang w:val="en-GB"/>
        </w:rPr>
        <w:t>Free cash flow (FCF) in FY 2024 amounted to RUB 29.0 billion, impacted by a planned increase in capital expenditures (associated with the implementation of major investment projects), higher interest expense due to an increase in the Central Bank</w:t>
      </w:r>
      <w:r w:rsidR="00614D4D" w:rsidRPr="00335EBE">
        <w:rPr>
          <w:lang w:val="en-GB"/>
        </w:rPr>
        <w:t>’</w:t>
      </w:r>
      <w:r w:rsidRPr="00335EBE">
        <w:rPr>
          <w:lang w:val="en-GB"/>
        </w:rPr>
        <w:t xml:space="preserve">s key rate, and cash outflows in the second half of the year to finance working capital (driven by increased shipments to Latin America and longer turnover periods for accounts receivable). </w:t>
      </w:r>
    </w:p>
    <w:p w14:paraId="759E8BDF" w14:textId="2BD60730" w:rsidR="009F1171" w:rsidRPr="00335EBE" w:rsidRDefault="009F1171" w:rsidP="00BB5D11">
      <w:pPr>
        <w:pStyle w:val="P68B1DB1-Normal2"/>
        <w:shd w:val="clear" w:color="auto" w:fill="FFFFFF"/>
        <w:spacing w:before="120" w:after="120" w:line="240" w:lineRule="auto"/>
        <w:jc w:val="both"/>
        <w:rPr>
          <w:lang w:val="en-GB"/>
        </w:rPr>
      </w:pPr>
      <w:r w:rsidRPr="00335EBE">
        <w:rPr>
          <w:lang w:val="en-GB"/>
        </w:rPr>
        <w:t xml:space="preserve">The rating agencies Expert RA and ACRA have assigned the Company their highest-possible credit rating (AAA), </w:t>
      </w:r>
      <w:r w:rsidR="00614D4D" w:rsidRPr="00335EBE">
        <w:rPr>
          <w:lang w:val="en-GB"/>
        </w:rPr>
        <w:t>a testament to</w:t>
      </w:r>
      <w:r w:rsidRPr="00335EBE">
        <w:rPr>
          <w:lang w:val="en-GB"/>
        </w:rPr>
        <w:t xml:space="preserve"> the Company’s solid financial position and its ability service all its debt obligations, including those denominated in foreign currencies, in full and on time. </w:t>
      </w:r>
    </w:p>
    <w:p w14:paraId="5E68D010" w14:textId="57D0B79F" w:rsidR="009F1171" w:rsidRPr="00335EBE" w:rsidRDefault="009F1171" w:rsidP="00BB5D11">
      <w:pPr>
        <w:pStyle w:val="P68B1DB1-Normal2"/>
        <w:shd w:val="clear" w:color="auto" w:fill="FFFFFF"/>
        <w:spacing w:before="120" w:after="120" w:line="240" w:lineRule="auto"/>
        <w:jc w:val="both"/>
        <w:rPr>
          <w:lang w:val="en-GB"/>
        </w:rPr>
      </w:pPr>
      <w:r w:rsidRPr="00335EBE">
        <w:rPr>
          <w:lang w:val="en-GB"/>
        </w:rPr>
        <w:t>As of the end of FY 2024, the Company</w:t>
      </w:r>
      <w:r w:rsidR="00614D4D" w:rsidRPr="00335EBE">
        <w:rPr>
          <w:lang w:val="en-GB"/>
        </w:rPr>
        <w:t>’</w:t>
      </w:r>
      <w:r w:rsidRPr="00335EBE">
        <w:rPr>
          <w:lang w:val="en-GB"/>
        </w:rPr>
        <w:t>s debt position remained at a comfortable level. As of 31 December 2024, net debt amounted to RUB 325.4 billion. The increase in net debt during the fourth quarter was mainly due to a reduction in cash reserves following the Company</w:t>
      </w:r>
      <w:r w:rsidR="00614D4D" w:rsidRPr="00335EBE">
        <w:rPr>
          <w:lang w:val="en-GB"/>
        </w:rPr>
        <w:t>’s</w:t>
      </w:r>
      <w:r w:rsidRPr="00335EBE">
        <w:rPr>
          <w:lang w:val="en-GB"/>
        </w:rPr>
        <w:t xml:space="preserve"> year-end payment of declared dividends for 2Q and 3Q 2024. The net debt/EBITDA ratio as of the end of 2024 was 1.84x. </w:t>
      </w:r>
    </w:p>
    <w:p w14:paraId="7602DEC9" w14:textId="4C7A03A3" w:rsidR="009F1171" w:rsidRPr="00335EBE" w:rsidRDefault="00614D4D" w:rsidP="00BB5D11">
      <w:pPr>
        <w:pStyle w:val="P68B1DB1-Normal2"/>
        <w:shd w:val="clear" w:color="auto" w:fill="FFFFFF"/>
        <w:spacing w:before="120" w:after="120" w:line="240" w:lineRule="auto"/>
        <w:jc w:val="both"/>
        <w:rPr>
          <w:lang w:val="en-GB"/>
        </w:rPr>
      </w:pPr>
      <w:r w:rsidRPr="00335EBE">
        <w:rPr>
          <w:lang w:val="en-GB"/>
        </w:rPr>
        <w:t>E</w:t>
      </w:r>
      <w:r w:rsidR="009F1171" w:rsidRPr="00335EBE">
        <w:rPr>
          <w:lang w:val="en-GB"/>
        </w:rPr>
        <w:t>vents occurr</w:t>
      </w:r>
      <w:r w:rsidRPr="00335EBE">
        <w:rPr>
          <w:lang w:val="en-GB"/>
        </w:rPr>
        <w:t xml:space="preserve">ing </w:t>
      </w:r>
      <w:r w:rsidR="009F1171" w:rsidRPr="00335EBE">
        <w:rPr>
          <w:lang w:val="en-GB"/>
        </w:rPr>
        <w:t>after the reporting period</w:t>
      </w:r>
      <w:r w:rsidRPr="00335EBE">
        <w:rPr>
          <w:lang w:val="en-GB"/>
        </w:rPr>
        <w:t xml:space="preserve"> that had an impact on the Company’s debt position include</w:t>
      </w:r>
      <w:r w:rsidR="009F1171" w:rsidRPr="00335EBE">
        <w:rPr>
          <w:lang w:val="en-GB"/>
        </w:rPr>
        <w:t xml:space="preserve"> the </w:t>
      </w:r>
      <w:r w:rsidRPr="00335EBE">
        <w:rPr>
          <w:lang w:val="en-GB"/>
        </w:rPr>
        <w:t>redemption of</w:t>
      </w:r>
      <w:r w:rsidR="009F1171" w:rsidRPr="00335EBE">
        <w:rPr>
          <w:lang w:val="en-GB"/>
        </w:rPr>
        <w:t xml:space="preserve"> a USD 500 million Eurobond issue in January 2025. </w:t>
      </w:r>
      <w:r w:rsidRPr="00335EBE">
        <w:rPr>
          <w:lang w:val="en-GB"/>
        </w:rPr>
        <w:t xml:space="preserve">The Company redeemed the bonds </w:t>
      </w:r>
      <w:r w:rsidR="009F1171" w:rsidRPr="00335EBE">
        <w:rPr>
          <w:lang w:val="en-GB"/>
        </w:rPr>
        <w:t xml:space="preserve">in full both domestically and internationally. </w:t>
      </w:r>
    </w:p>
    <w:p w14:paraId="6729B137" w14:textId="3AFDCB7B" w:rsidR="009F1171" w:rsidRPr="00335EBE" w:rsidRDefault="009F1171" w:rsidP="00BB5D11">
      <w:pPr>
        <w:pStyle w:val="P68B1DB1-Normal2"/>
        <w:shd w:val="clear" w:color="auto" w:fill="FFFFFF"/>
        <w:spacing w:before="120" w:after="120" w:line="240" w:lineRule="auto"/>
        <w:jc w:val="both"/>
        <w:rPr>
          <w:lang w:val="en-GB"/>
        </w:rPr>
      </w:pPr>
      <w:r w:rsidRPr="00335EBE">
        <w:rPr>
          <w:lang w:val="en-GB"/>
        </w:rPr>
        <w:t xml:space="preserve">Despite the favourable terms available in debt financing markets, the Company plans to prioritize debt repayment this year </w:t>
      </w:r>
      <w:r w:rsidR="005D266C" w:rsidRPr="00335EBE">
        <w:rPr>
          <w:lang w:val="en-GB"/>
        </w:rPr>
        <w:t>over</w:t>
      </w:r>
      <w:r w:rsidRPr="00335EBE">
        <w:rPr>
          <w:lang w:val="en-GB"/>
        </w:rPr>
        <w:t xml:space="preserve"> refinancing. This measure will help reduce future debt servicing costs and further solidify the Company’s position as a high-grade borrower with strong credit ratings.</w:t>
      </w:r>
    </w:p>
    <w:p w14:paraId="45806FE9" w14:textId="77777777" w:rsidR="009F1171" w:rsidRPr="00335EBE" w:rsidRDefault="009F1171" w:rsidP="009F1171">
      <w:pPr>
        <w:shd w:val="clear" w:color="auto" w:fill="FFFFFF"/>
        <w:spacing w:before="120" w:after="120" w:line="240" w:lineRule="auto"/>
        <w:ind w:firstLine="567"/>
        <w:jc w:val="both"/>
        <w:rPr>
          <w:rFonts w:asciiTheme="minorHAnsi" w:hAnsiTheme="minorHAnsi" w:cstheme="minorHAnsi"/>
        </w:rPr>
      </w:pPr>
    </w:p>
    <w:tbl>
      <w:tblPr>
        <w:tblW w:w="9356" w:type="dxa"/>
        <w:tblLook w:val="04A0" w:firstRow="1" w:lastRow="0" w:firstColumn="1" w:lastColumn="0" w:noHBand="0" w:noVBand="1"/>
      </w:tblPr>
      <w:tblGrid>
        <w:gridCol w:w="3969"/>
        <w:gridCol w:w="1418"/>
        <w:gridCol w:w="1843"/>
        <w:gridCol w:w="2126"/>
      </w:tblGrid>
      <w:tr w:rsidR="009F1171" w:rsidRPr="00335EBE" w14:paraId="4575F793" w14:textId="77777777" w:rsidTr="002436BA">
        <w:trPr>
          <w:trHeight w:val="330"/>
        </w:trPr>
        <w:tc>
          <w:tcPr>
            <w:tcW w:w="9356" w:type="dxa"/>
            <w:gridSpan w:val="4"/>
            <w:tcBorders>
              <w:top w:val="nil"/>
              <w:left w:val="nil"/>
              <w:bottom w:val="single" w:sz="8" w:space="0" w:color="auto"/>
              <w:right w:val="nil"/>
            </w:tcBorders>
            <w:shd w:val="clear" w:color="000000" w:fill="2B87A2"/>
            <w:vAlign w:val="center"/>
            <w:hideMark/>
          </w:tcPr>
          <w:p w14:paraId="6B520AD1" w14:textId="77777777" w:rsidR="009F1171" w:rsidRPr="00335EBE" w:rsidRDefault="009F1171" w:rsidP="002436BA">
            <w:pPr>
              <w:pStyle w:val="P68B1DB1-Normal16"/>
              <w:spacing w:after="0" w:line="240" w:lineRule="auto"/>
              <w:jc w:val="center"/>
              <w:rPr>
                <w:lang w:val="en-GB"/>
              </w:rPr>
            </w:pPr>
            <w:r w:rsidRPr="00335EBE">
              <w:rPr>
                <w:lang w:val="en-GB"/>
              </w:rPr>
              <w:t>Operating highlights</w:t>
            </w:r>
          </w:p>
        </w:tc>
      </w:tr>
      <w:tr w:rsidR="009F1171" w:rsidRPr="00335EBE" w14:paraId="0EF67EA1" w14:textId="77777777" w:rsidTr="002436BA">
        <w:trPr>
          <w:trHeight w:val="345"/>
        </w:trPr>
        <w:tc>
          <w:tcPr>
            <w:tcW w:w="9356" w:type="dxa"/>
            <w:gridSpan w:val="4"/>
            <w:tcBorders>
              <w:top w:val="single" w:sz="8" w:space="0" w:color="auto"/>
              <w:left w:val="nil"/>
              <w:right w:val="nil"/>
            </w:tcBorders>
            <w:shd w:val="clear" w:color="000000" w:fill="2B87A2"/>
            <w:vAlign w:val="center"/>
            <w:hideMark/>
          </w:tcPr>
          <w:p w14:paraId="59A7A1C9" w14:textId="77777777" w:rsidR="009F1171" w:rsidRPr="00335EBE" w:rsidRDefault="009F1171" w:rsidP="002436BA">
            <w:pPr>
              <w:pStyle w:val="P68B1DB1-Normal17"/>
              <w:spacing w:after="0" w:line="240" w:lineRule="auto"/>
              <w:jc w:val="center"/>
              <w:rPr>
                <w:lang w:val="en-GB"/>
              </w:rPr>
            </w:pPr>
            <w:r w:rsidRPr="00335EBE">
              <w:rPr>
                <w:lang w:val="en-GB"/>
              </w:rPr>
              <w:t>Production volumes by category</w:t>
            </w:r>
          </w:p>
        </w:tc>
      </w:tr>
      <w:tr w:rsidR="009F1171" w:rsidRPr="00335EBE" w14:paraId="445935BB" w14:textId="77777777" w:rsidTr="002436BA">
        <w:trPr>
          <w:trHeight w:val="299"/>
        </w:trPr>
        <w:tc>
          <w:tcPr>
            <w:tcW w:w="3969" w:type="dxa"/>
            <w:tcBorders>
              <w:top w:val="nil"/>
              <w:left w:val="nil"/>
              <w:bottom w:val="single" w:sz="4" w:space="0" w:color="auto"/>
              <w:right w:val="nil"/>
            </w:tcBorders>
            <w:shd w:val="clear" w:color="auto" w:fill="auto"/>
            <w:vAlign w:val="center"/>
            <w:hideMark/>
          </w:tcPr>
          <w:p w14:paraId="21649B77" w14:textId="77777777" w:rsidR="009F1171" w:rsidRPr="00335EBE" w:rsidRDefault="009F1171" w:rsidP="002436BA">
            <w:pPr>
              <w:pStyle w:val="P68B1DB1-Normal13"/>
              <w:spacing w:after="0" w:line="240" w:lineRule="auto"/>
              <w:rPr>
                <w:lang w:val="en-GB"/>
              </w:rPr>
            </w:pPr>
            <w:proofErr w:type="spellStart"/>
            <w:r w:rsidRPr="00335EBE">
              <w:rPr>
                <w:lang w:val="en-GB"/>
              </w:rPr>
              <w:t>kt</w:t>
            </w:r>
            <w:proofErr w:type="spellEnd"/>
          </w:p>
        </w:tc>
        <w:tc>
          <w:tcPr>
            <w:tcW w:w="1418" w:type="dxa"/>
            <w:tcBorders>
              <w:top w:val="nil"/>
              <w:left w:val="nil"/>
              <w:bottom w:val="single" w:sz="4" w:space="0" w:color="auto"/>
              <w:right w:val="nil"/>
            </w:tcBorders>
            <w:shd w:val="clear" w:color="auto" w:fill="auto"/>
            <w:vAlign w:val="center"/>
            <w:hideMark/>
          </w:tcPr>
          <w:p w14:paraId="2BACE7D1" w14:textId="77777777" w:rsidR="009F1171" w:rsidRPr="00335EBE" w:rsidRDefault="009F1171" w:rsidP="002436BA">
            <w:pPr>
              <w:pStyle w:val="P68B1DB1-Normal7"/>
              <w:spacing w:after="0" w:line="240" w:lineRule="auto"/>
              <w:jc w:val="center"/>
              <w:rPr>
                <w:rFonts w:ascii="Foco" w:eastAsia="Times New Roman" w:hAnsi="Foco" w:cs="Foco"/>
                <w:sz w:val="18"/>
                <w:lang w:val="en-GB"/>
              </w:rPr>
            </w:pPr>
            <w:r w:rsidRPr="00335EBE">
              <w:rPr>
                <w:lang w:val="en-GB"/>
              </w:rPr>
              <w:t>FY 2024</w:t>
            </w:r>
          </w:p>
        </w:tc>
        <w:tc>
          <w:tcPr>
            <w:tcW w:w="1843" w:type="dxa"/>
            <w:tcBorders>
              <w:top w:val="nil"/>
              <w:left w:val="nil"/>
              <w:bottom w:val="single" w:sz="4" w:space="0" w:color="auto"/>
              <w:right w:val="nil"/>
            </w:tcBorders>
            <w:shd w:val="clear" w:color="auto" w:fill="auto"/>
            <w:vAlign w:val="center"/>
            <w:hideMark/>
          </w:tcPr>
          <w:p w14:paraId="2346109F" w14:textId="77777777" w:rsidR="009F1171" w:rsidRPr="00335EBE" w:rsidRDefault="009F1171" w:rsidP="002436BA">
            <w:pPr>
              <w:pStyle w:val="P68B1DB1-Normal7"/>
              <w:spacing w:after="0" w:line="240" w:lineRule="auto"/>
              <w:jc w:val="center"/>
              <w:rPr>
                <w:rFonts w:ascii="Foco" w:eastAsia="Times New Roman" w:hAnsi="Foco" w:cs="Foco"/>
                <w:sz w:val="18"/>
                <w:lang w:val="en-GB"/>
              </w:rPr>
            </w:pPr>
            <w:r w:rsidRPr="00335EBE">
              <w:rPr>
                <w:lang w:val="en-GB"/>
              </w:rPr>
              <w:t>FY 2023</w:t>
            </w:r>
          </w:p>
        </w:tc>
        <w:tc>
          <w:tcPr>
            <w:tcW w:w="2126" w:type="dxa"/>
            <w:tcBorders>
              <w:top w:val="nil"/>
              <w:left w:val="nil"/>
              <w:bottom w:val="single" w:sz="4" w:space="0" w:color="auto"/>
              <w:right w:val="nil"/>
            </w:tcBorders>
            <w:shd w:val="clear" w:color="000000" w:fill="E3F1F7"/>
            <w:vAlign w:val="center"/>
            <w:hideMark/>
          </w:tcPr>
          <w:p w14:paraId="51F8797B" w14:textId="3573F28B" w:rsidR="009F1171" w:rsidRPr="00335EBE" w:rsidRDefault="009F1171" w:rsidP="002436BA">
            <w:pPr>
              <w:pStyle w:val="P68B1DB1-Normal18"/>
              <w:spacing w:after="0" w:line="240" w:lineRule="auto"/>
              <w:jc w:val="center"/>
              <w:rPr>
                <w:rFonts w:cs="Calibri"/>
                <w:sz w:val="18"/>
                <w:lang w:val="en-GB"/>
              </w:rPr>
            </w:pPr>
            <w:r w:rsidRPr="00335EBE">
              <w:rPr>
                <w:lang w:val="en-GB"/>
              </w:rPr>
              <w:t>Change</w:t>
            </w:r>
            <w:r w:rsidR="005D266C" w:rsidRPr="00335EBE">
              <w:rPr>
                <w:lang w:val="en-GB"/>
              </w:rPr>
              <w:t>,</w:t>
            </w:r>
            <w:r w:rsidRPr="00335EBE">
              <w:rPr>
                <w:lang w:val="en-GB"/>
              </w:rPr>
              <w:t xml:space="preserve"> %</w:t>
            </w:r>
          </w:p>
        </w:tc>
      </w:tr>
      <w:tr w:rsidR="009F1171" w:rsidRPr="00335EBE" w14:paraId="1AB0C475" w14:textId="77777777" w:rsidTr="002436BA">
        <w:trPr>
          <w:trHeight w:val="166"/>
        </w:trPr>
        <w:tc>
          <w:tcPr>
            <w:tcW w:w="9356" w:type="dxa"/>
            <w:gridSpan w:val="4"/>
            <w:tcBorders>
              <w:top w:val="single" w:sz="4" w:space="0" w:color="auto"/>
              <w:left w:val="nil"/>
              <w:bottom w:val="nil"/>
              <w:right w:val="nil"/>
            </w:tcBorders>
            <w:shd w:val="clear" w:color="auto" w:fill="auto"/>
            <w:vAlign w:val="center"/>
          </w:tcPr>
          <w:p w14:paraId="2D6F1CCE" w14:textId="77777777" w:rsidR="009F1171" w:rsidRPr="00335EBE" w:rsidRDefault="009F1171" w:rsidP="002436BA">
            <w:pPr>
              <w:pStyle w:val="P68B1DB1-Normal18"/>
              <w:spacing w:after="0" w:line="240" w:lineRule="auto"/>
              <w:jc w:val="center"/>
              <w:rPr>
                <w:rFonts w:cs="Calibri"/>
                <w:sz w:val="18"/>
                <w:lang w:val="en-GB"/>
              </w:rPr>
            </w:pPr>
            <w:r w:rsidRPr="00335EBE">
              <w:rPr>
                <w:lang w:val="en-GB"/>
              </w:rPr>
              <w:t>Mineral fertilizers and feed phosphates</w:t>
            </w:r>
          </w:p>
        </w:tc>
      </w:tr>
      <w:tr w:rsidR="009F1171" w:rsidRPr="00335EBE" w14:paraId="39E05365" w14:textId="77777777" w:rsidTr="002436BA">
        <w:trPr>
          <w:trHeight w:val="480"/>
        </w:trPr>
        <w:tc>
          <w:tcPr>
            <w:tcW w:w="3969" w:type="dxa"/>
            <w:tcBorders>
              <w:top w:val="nil"/>
              <w:left w:val="nil"/>
              <w:right w:val="nil"/>
            </w:tcBorders>
            <w:shd w:val="clear" w:color="auto" w:fill="auto"/>
            <w:vAlign w:val="center"/>
            <w:hideMark/>
          </w:tcPr>
          <w:p w14:paraId="0A6D8A22" w14:textId="77777777" w:rsidR="009F1171" w:rsidRPr="00335EBE" w:rsidRDefault="009F1171" w:rsidP="002436BA">
            <w:pPr>
              <w:pStyle w:val="P68B1DB1-Normal19"/>
              <w:spacing w:after="0" w:line="240" w:lineRule="auto"/>
              <w:rPr>
                <w:lang w:val="en-GB"/>
              </w:rPr>
            </w:pPr>
            <w:r w:rsidRPr="00335EBE">
              <w:rPr>
                <w:lang w:val="en-GB"/>
              </w:rPr>
              <w:t>Phosphate-based fertilizers and feed phosphates</w:t>
            </w:r>
          </w:p>
        </w:tc>
        <w:tc>
          <w:tcPr>
            <w:tcW w:w="1418" w:type="dxa"/>
            <w:tcBorders>
              <w:top w:val="nil"/>
              <w:left w:val="nil"/>
              <w:right w:val="nil"/>
            </w:tcBorders>
            <w:shd w:val="clear" w:color="auto" w:fill="auto"/>
            <w:vAlign w:val="center"/>
          </w:tcPr>
          <w:p w14:paraId="2758F4B9" w14:textId="77777777" w:rsidR="009F1171" w:rsidRPr="00335EBE" w:rsidRDefault="009F1171" w:rsidP="002436BA">
            <w:pPr>
              <w:pStyle w:val="P68B1DB1-Normal20"/>
              <w:spacing w:after="0" w:line="240" w:lineRule="auto"/>
              <w:jc w:val="center"/>
              <w:rPr>
                <w:rFonts w:ascii="Foco" w:hAnsi="Foco" w:cs="Foco"/>
                <w:lang w:val="en-GB"/>
              </w:rPr>
            </w:pPr>
            <w:r w:rsidRPr="00335EBE">
              <w:rPr>
                <w:lang w:val="en-GB"/>
              </w:rPr>
              <w:t>8,874.2</w:t>
            </w:r>
          </w:p>
        </w:tc>
        <w:tc>
          <w:tcPr>
            <w:tcW w:w="1843" w:type="dxa"/>
            <w:tcBorders>
              <w:top w:val="nil"/>
              <w:left w:val="nil"/>
              <w:right w:val="nil"/>
            </w:tcBorders>
            <w:shd w:val="clear" w:color="auto" w:fill="auto"/>
            <w:vAlign w:val="center"/>
          </w:tcPr>
          <w:p w14:paraId="1AB123CB" w14:textId="77777777" w:rsidR="009F1171" w:rsidRPr="00335EBE" w:rsidRDefault="009F1171" w:rsidP="002436BA">
            <w:pPr>
              <w:pStyle w:val="P68B1DB1-Normal20"/>
              <w:spacing w:after="0" w:line="240" w:lineRule="auto"/>
              <w:jc w:val="center"/>
              <w:rPr>
                <w:rFonts w:ascii="Foco" w:hAnsi="Foco" w:cs="Foco"/>
                <w:lang w:val="en-GB"/>
              </w:rPr>
            </w:pPr>
            <w:r w:rsidRPr="00335EBE">
              <w:rPr>
                <w:lang w:val="en-GB"/>
              </w:rPr>
              <w:t>8,388.7</w:t>
            </w:r>
          </w:p>
        </w:tc>
        <w:tc>
          <w:tcPr>
            <w:tcW w:w="2126" w:type="dxa"/>
            <w:tcBorders>
              <w:top w:val="nil"/>
              <w:left w:val="nil"/>
              <w:right w:val="nil"/>
            </w:tcBorders>
            <w:shd w:val="clear" w:color="000000" w:fill="E3F1F7"/>
            <w:vAlign w:val="center"/>
          </w:tcPr>
          <w:p w14:paraId="18B6DA45" w14:textId="77777777" w:rsidR="009F1171" w:rsidRPr="00335EBE" w:rsidRDefault="009F1171" w:rsidP="002436BA">
            <w:pPr>
              <w:pStyle w:val="P68B1DB1-Normal20"/>
              <w:spacing w:after="0" w:line="240" w:lineRule="auto"/>
              <w:jc w:val="center"/>
              <w:rPr>
                <w:rFonts w:ascii="Foco" w:hAnsi="Foco" w:cs="Foco"/>
                <w:i/>
                <w:lang w:val="en-GB"/>
              </w:rPr>
            </w:pPr>
            <w:r w:rsidRPr="00335EBE">
              <w:rPr>
                <w:lang w:val="en-GB"/>
              </w:rPr>
              <w:t>5.8%</w:t>
            </w:r>
          </w:p>
        </w:tc>
      </w:tr>
      <w:tr w:rsidR="009F1171" w:rsidRPr="00335EBE" w14:paraId="51B9CC27" w14:textId="77777777" w:rsidTr="002436BA">
        <w:trPr>
          <w:trHeight w:val="300"/>
        </w:trPr>
        <w:tc>
          <w:tcPr>
            <w:tcW w:w="3969" w:type="dxa"/>
            <w:tcBorders>
              <w:top w:val="nil"/>
              <w:left w:val="nil"/>
              <w:bottom w:val="single" w:sz="4" w:space="0" w:color="auto"/>
              <w:right w:val="nil"/>
            </w:tcBorders>
            <w:shd w:val="clear" w:color="auto" w:fill="auto"/>
            <w:vAlign w:val="center"/>
            <w:hideMark/>
          </w:tcPr>
          <w:p w14:paraId="6DEC2AB9" w14:textId="77777777" w:rsidR="009F1171" w:rsidRPr="00335EBE" w:rsidRDefault="009F1171" w:rsidP="002436BA">
            <w:pPr>
              <w:pStyle w:val="P68B1DB1-Normal19"/>
              <w:spacing w:after="0" w:line="240" w:lineRule="auto"/>
              <w:rPr>
                <w:lang w:val="en-GB"/>
              </w:rPr>
            </w:pPr>
            <w:r w:rsidRPr="00335EBE">
              <w:rPr>
                <w:lang w:val="en-GB"/>
              </w:rPr>
              <w:t>Nitrogen-based fertilizers</w:t>
            </w:r>
          </w:p>
        </w:tc>
        <w:tc>
          <w:tcPr>
            <w:tcW w:w="1418" w:type="dxa"/>
            <w:tcBorders>
              <w:top w:val="nil"/>
              <w:left w:val="nil"/>
              <w:bottom w:val="single" w:sz="4" w:space="0" w:color="auto"/>
              <w:right w:val="nil"/>
            </w:tcBorders>
            <w:shd w:val="clear" w:color="auto" w:fill="auto"/>
            <w:vAlign w:val="center"/>
          </w:tcPr>
          <w:p w14:paraId="182FDDAA" w14:textId="77777777" w:rsidR="009F1171" w:rsidRPr="00335EBE" w:rsidRDefault="009F1171" w:rsidP="002436BA">
            <w:pPr>
              <w:pStyle w:val="P68B1DB1-Normal20"/>
              <w:spacing w:after="0" w:line="240" w:lineRule="auto"/>
              <w:jc w:val="center"/>
              <w:rPr>
                <w:rFonts w:ascii="Foco" w:hAnsi="Foco" w:cs="Foco"/>
                <w:lang w:val="en-GB"/>
              </w:rPr>
            </w:pPr>
            <w:r w:rsidRPr="00335EBE">
              <w:rPr>
                <w:lang w:val="en-GB"/>
              </w:rPr>
              <w:t>2,593.2</w:t>
            </w:r>
          </w:p>
        </w:tc>
        <w:tc>
          <w:tcPr>
            <w:tcW w:w="1843" w:type="dxa"/>
            <w:tcBorders>
              <w:top w:val="nil"/>
              <w:left w:val="nil"/>
              <w:bottom w:val="single" w:sz="4" w:space="0" w:color="auto"/>
              <w:right w:val="nil"/>
            </w:tcBorders>
            <w:shd w:val="clear" w:color="auto" w:fill="auto"/>
            <w:vAlign w:val="center"/>
          </w:tcPr>
          <w:p w14:paraId="7F579028" w14:textId="77777777" w:rsidR="009F1171" w:rsidRPr="00335EBE" w:rsidRDefault="009F1171" w:rsidP="002436BA">
            <w:pPr>
              <w:pStyle w:val="P68B1DB1-Normal20"/>
              <w:spacing w:after="0" w:line="240" w:lineRule="auto"/>
              <w:jc w:val="center"/>
              <w:rPr>
                <w:rFonts w:ascii="Foco" w:hAnsi="Foco" w:cs="Foco"/>
                <w:lang w:val="en-GB"/>
              </w:rPr>
            </w:pPr>
            <w:r w:rsidRPr="00335EBE">
              <w:rPr>
                <w:lang w:val="en-GB"/>
              </w:rPr>
              <w:t>2,605.3</w:t>
            </w:r>
          </w:p>
        </w:tc>
        <w:tc>
          <w:tcPr>
            <w:tcW w:w="2126" w:type="dxa"/>
            <w:tcBorders>
              <w:top w:val="nil"/>
              <w:left w:val="nil"/>
              <w:bottom w:val="single" w:sz="4" w:space="0" w:color="auto"/>
              <w:right w:val="nil"/>
            </w:tcBorders>
            <w:shd w:val="clear" w:color="000000" w:fill="E3F1F7"/>
            <w:vAlign w:val="center"/>
          </w:tcPr>
          <w:p w14:paraId="5D4240B8" w14:textId="77777777" w:rsidR="009F1171" w:rsidRPr="00335EBE" w:rsidRDefault="009F1171" w:rsidP="002436BA">
            <w:pPr>
              <w:pStyle w:val="P68B1DB1-Normal20"/>
              <w:spacing w:after="0" w:line="240" w:lineRule="auto"/>
              <w:jc w:val="center"/>
              <w:rPr>
                <w:rFonts w:ascii="Foco" w:hAnsi="Foco" w:cs="Foco"/>
                <w:i/>
                <w:lang w:val="en-GB"/>
              </w:rPr>
            </w:pPr>
            <w:r w:rsidRPr="00335EBE">
              <w:rPr>
                <w:lang w:val="en-GB"/>
              </w:rPr>
              <w:t>-0.5%</w:t>
            </w:r>
          </w:p>
        </w:tc>
      </w:tr>
      <w:tr w:rsidR="009F1171" w:rsidRPr="00335EBE" w14:paraId="76C91BCB" w14:textId="77777777" w:rsidTr="002436BA">
        <w:trPr>
          <w:trHeight w:val="315"/>
        </w:trPr>
        <w:tc>
          <w:tcPr>
            <w:tcW w:w="3969" w:type="dxa"/>
            <w:tcBorders>
              <w:top w:val="single" w:sz="4" w:space="0" w:color="auto"/>
              <w:left w:val="nil"/>
              <w:bottom w:val="double" w:sz="4" w:space="0" w:color="auto"/>
              <w:right w:val="nil"/>
            </w:tcBorders>
            <w:shd w:val="clear" w:color="auto" w:fill="auto"/>
            <w:vAlign w:val="center"/>
          </w:tcPr>
          <w:p w14:paraId="5FD9D0ED" w14:textId="77777777" w:rsidR="009F1171" w:rsidRPr="00335EBE" w:rsidRDefault="009F1171" w:rsidP="002436BA">
            <w:pPr>
              <w:pStyle w:val="P68B1DB1-Normal21"/>
              <w:spacing w:after="0" w:line="240" w:lineRule="auto"/>
              <w:rPr>
                <w:rFonts w:cs="Calibri"/>
                <w:sz w:val="18"/>
                <w:lang w:val="en-GB"/>
              </w:rPr>
            </w:pPr>
            <w:r w:rsidRPr="00335EBE">
              <w:rPr>
                <w:lang w:val="en-GB"/>
              </w:rPr>
              <w:t>TOTAL fertilizers</w:t>
            </w:r>
          </w:p>
        </w:tc>
        <w:tc>
          <w:tcPr>
            <w:tcW w:w="1418" w:type="dxa"/>
            <w:tcBorders>
              <w:top w:val="single" w:sz="4" w:space="0" w:color="auto"/>
              <w:left w:val="nil"/>
              <w:bottom w:val="double" w:sz="4" w:space="0" w:color="auto"/>
              <w:right w:val="nil"/>
            </w:tcBorders>
            <w:shd w:val="clear" w:color="auto" w:fill="auto"/>
            <w:vAlign w:val="center"/>
          </w:tcPr>
          <w:p w14:paraId="42310F5B" w14:textId="77777777" w:rsidR="009F1171" w:rsidRPr="00335EBE" w:rsidRDefault="009F1171" w:rsidP="002436BA">
            <w:pPr>
              <w:pStyle w:val="P68B1DB1-Normal22"/>
              <w:spacing w:after="0" w:line="240" w:lineRule="auto"/>
              <w:jc w:val="center"/>
              <w:rPr>
                <w:rFonts w:ascii="Foco" w:hAnsi="Foco" w:cs="Foco"/>
                <w:lang w:val="en-GB"/>
              </w:rPr>
            </w:pPr>
            <w:r w:rsidRPr="00335EBE">
              <w:rPr>
                <w:lang w:val="en-GB"/>
              </w:rPr>
              <w:t>11,467.4</w:t>
            </w:r>
          </w:p>
        </w:tc>
        <w:tc>
          <w:tcPr>
            <w:tcW w:w="1843" w:type="dxa"/>
            <w:tcBorders>
              <w:top w:val="single" w:sz="4" w:space="0" w:color="auto"/>
              <w:left w:val="nil"/>
              <w:bottom w:val="double" w:sz="4" w:space="0" w:color="auto"/>
              <w:right w:val="nil"/>
            </w:tcBorders>
            <w:shd w:val="clear" w:color="auto" w:fill="auto"/>
            <w:vAlign w:val="center"/>
          </w:tcPr>
          <w:p w14:paraId="6F26E82D" w14:textId="77777777" w:rsidR="009F1171" w:rsidRPr="00335EBE" w:rsidRDefault="009F1171" w:rsidP="002436BA">
            <w:pPr>
              <w:pStyle w:val="P68B1DB1-Normal22"/>
              <w:spacing w:after="0" w:line="240" w:lineRule="auto"/>
              <w:jc w:val="center"/>
              <w:rPr>
                <w:rFonts w:ascii="Foco" w:hAnsi="Foco" w:cs="Foco"/>
                <w:lang w:val="en-GB"/>
              </w:rPr>
            </w:pPr>
            <w:r w:rsidRPr="00335EBE">
              <w:rPr>
                <w:lang w:val="en-GB"/>
              </w:rPr>
              <w:t>10,994.0</w:t>
            </w:r>
          </w:p>
        </w:tc>
        <w:tc>
          <w:tcPr>
            <w:tcW w:w="2126" w:type="dxa"/>
            <w:tcBorders>
              <w:top w:val="single" w:sz="4" w:space="0" w:color="auto"/>
              <w:left w:val="nil"/>
              <w:bottom w:val="double" w:sz="4" w:space="0" w:color="auto"/>
              <w:right w:val="nil"/>
            </w:tcBorders>
            <w:shd w:val="clear" w:color="000000" w:fill="E3F1F7"/>
            <w:vAlign w:val="center"/>
          </w:tcPr>
          <w:p w14:paraId="42A6098C" w14:textId="77777777" w:rsidR="009F1171" w:rsidRPr="00335EBE" w:rsidRDefault="009F1171" w:rsidP="002436BA">
            <w:pPr>
              <w:pStyle w:val="P68B1DB1-Normal22"/>
              <w:spacing w:after="0" w:line="240" w:lineRule="auto"/>
              <w:jc w:val="center"/>
              <w:rPr>
                <w:rFonts w:ascii="Foco" w:hAnsi="Foco" w:cs="Foco"/>
                <w:i/>
                <w:lang w:val="en-GB"/>
              </w:rPr>
            </w:pPr>
            <w:r w:rsidRPr="00335EBE">
              <w:rPr>
                <w:lang w:val="en-GB"/>
              </w:rPr>
              <w:t>4.3%</w:t>
            </w:r>
          </w:p>
        </w:tc>
      </w:tr>
      <w:tr w:rsidR="009F1171" w:rsidRPr="00335EBE" w14:paraId="5A418519" w14:textId="77777777" w:rsidTr="002436BA">
        <w:trPr>
          <w:trHeight w:val="315"/>
        </w:trPr>
        <w:tc>
          <w:tcPr>
            <w:tcW w:w="3969" w:type="dxa"/>
            <w:tcBorders>
              <w:left w:val="nil"/>
              <w:bottom w:val="single" w:sz="8" w:space="0" w:color="auto"/>
              <w:right w:val="nil"/>
            </w:tcBorders>
            <w:shd w:val="clear" w:color="auto" w:fill="auto"/>
            <w:vAlign w:val="center"/>
            <w:hideMark/>
          </w:tcPr>
          <w:p w14:paraId="1C3C3615" w14:textId="77777777" w:rsidR="009F1171" w:rsidRPr="00335EBE" w:rsidRDefault="009F1171" w:rsidP="002436BA">
            <w:pPr>
              <w:pStyle w:val="P68B1DB1-Normal19"/>
              <w:spacing w:after="0" w:line="240" w:lineRule="auto"/>
              <w:rPr>
                <w:lang w:val="en-GB"/>
              </w:rPr>
            </w:pPr>
            <w:r w:rsidRPr="00335EBE">
              <w:rPr>
                <w:lang w:val="en-GB"/>
              </w:rPr>
              <w:t>Other products</w:t>
            </w:r>
          </w:p>
        </w:tc>
        <w:tc>
          <w:tcPr>
            <w:tcW w:w="1418" w:type="dxa"/>
            <w:tcBorders>
              <w:left w:val="nil"/>
              <w:bottom w:val="single" w:sz="8" w:space="0" w:color="auto"/>
              <w:right w:val="nil"/>
            </w:tcBorders>
            <w:shd w:val="clear" w:color="auto" w:fill="auto"/>
            <w:vAlign w:val="center"/>
          </w:tcPr>
          <w:p w14:paraId="4CF3765B" w14:textId="77777777" w:rsidR="009F1171" w:rsidRPr="00335EBE" w:rsidRDefault="009F1171" w:rsidP="002436BA">
            <w:pPr>
              <w:pStyle w:val="P68B1DB1-Normal20"/>
              <w:spacing w:after="0" w:line="240" w:lineRule="auto"/>
              <w:jc w:val="center"/>
              <w:rPr>
                <w:rFonts w:ascii="Foco" w:hAnsi="Foco" w:cs="Foco"/>
                <w:lang w:val="en-GB"/>
              </w:rPr>
            </w:pPr>
            <w:r w:rsidRPr="00335EBE">
              <w:rPr>
                <w:lang w:val="en-GB"/>
              </w:rPr>
              <w:t>301.7</w:t>
            </w:r>
          </w:p>
        </w:tc>
        <w:tc>
          <w:tcPr>
            <w:tcW w:w="1843" w:type="dxa"/>
            <w:tcBorders>
              <w:left w:val="nil"/>
              <w:bottom w:val="single" w:sz="8" w:space="0" w:color="auto"/>
              <w:right w:val="nil"/>
            </w:tcBorders>
            <w:shd w:val="clear" w:color="auto" w:fill="auto"/>
            <w:vAlign w:val="center"/>
          </w:tcPr>
          <w:p w14:paraId="331059C6" w14:textId="77777777" w:rsidR="009F1171" w:rsidRPr="00335EBE" w:rsidRDefault="009F1171" w:rsidP="002436BA">
            <w:pPr>
              <w:pStyle w:val="P68B1DB1-Normal20"/>
              <w:spacing w:after="0" w:line="240" w:lineRule="auto"/>
              <w:jc w:val="center"/>
              <w:rPr>
                <w:rFonts w:ascii="Foco" w:hAnsi="Foco" w:cs="Foco"/>
                <w:lang w:val="en-GB"/>
              </w:rPr>
            </w:pPr>
            <w:r w:rsidRPr="00335EBE">
              <w:rPr>
                <w:lang w:val="en-GB"/>
              </w:rPr>
              <w:t>286.0</w:t>
            </w:r>
          </w:p>
        </w:tc>
        <w:tc>
          <w:tcPr>
            <w:tcW w:w="2126" w:type="dxa"/>
            <w:tcBorders>
              <w:left w:val="nil"/>
              <w:bottom w:val="single" w:sz="8" w:space="0" w:color="auto"/>
              <w:right w:val="nil"/>
            </w:tcBorders>
            <w:shd w:val="clear" w:color="000000" w:fill="E3F1F7"/>
            <w:vAlign w:val="center"/>
          </w:tcPr>
          <w:p w14:paraId="1550DD2B" w14:textId="77777777" w:rsidR="009F1171" w:rsidRPr="00335EBE" w:rsidRDefault="009F1171" w:rsidP="002436BA">
            <w:pPr>
              <w:pStyle w:val="P68B1DB1-Normal20"/>
              <w:spacing w:after="0" w:line="240" w:lineRule="auto"/>
              <w:jc w:val="center"/>
              <w:rPr>
                <w:rFonts w:ascii="Foco" w:hAnsi="Foco" w:cs="Foco"/>
                <w:i/>
                <w:lang w:val="en-GB"/>
              </w:rPr>
            </w:pPr>
            <w:r w:rsidRPr="00335EBE">
              <w:rPr>
                <w:lang w:val="en-GB"/>
              </w:rPr>
              <w:t>5.5%</w:t>
            </w:r>
          </w:p>
        </w:tc>
      </w:tr>
      <w:tr w:rsidR="009F1171" w:rsidRPr="00335EBE" w14:paraId="79697A6C" w14:textId="77777777" w:rsidTr="002436BA">
        <w:trPr>
          <w:trHeight w:val="315"/>
        </w:trPr>
        <w:tc>
          <w:tcPr>
            <w:tcW w:w="3969" w:type="dxa"/>
            <w:tcBorders>
              <w:top w:val="nil"/>
              <w:left w:val="nil"/>
              <w:bottom w:val="single" w:sz="8" w:space="0" w:color="auto"/>
              <w:right w:val="nil"/>
            </w:tcBorders>
            <w:shd w:val="clear" w:color="auto" w:fill="auto"/>
            <w:vAlign w:val="center"/>
            <w:hideMark/>
          </w:tcPr>
          <w:p w14:paraId="1E9BFF0E" w14:textId="77777777" w:rsidR="009F1171" w:rsidRPr="00335EBE" w:rsidRDefault="009F1171" w:rsidP="002436BA">
            <w:pPr>
              <w:pStyle w:val="P68B1DB1-Normal23"/>
              <w:spacing w:after="0" w:line="240" w:lineRule="auto"/>
              <w:ind w:left="30"/>
              <w:rPr>
                <w:rFonts w:cs="Calibri"/>
                <w:sz w:val="18"/>
                <w:lang w:val="en-GB"/>
              </w:rPr>
            </w:pPr>
            <w:r w:rsidRPr="00335EBE">
              <w:rPr>
                <w:lang w:val="en-GB"/>
              </w:rPr>
              <w:t>TOTAL agrochemicals</w:t>
            </w:r>
          </w:p>
        </w:tc>
        <w:tc>
          <w:tcPr>
            <w:tcW w:w="1418" w:type="dxa"/>
            <w:tcBorders>
              <w:top w:val="nil"/>
              <w:left w:val="nil"/>
              <w:bottom w:val="single" w:sz="8" w:space="0" w:color="auto"/>
              <w:right w:val="nil"/>
            </w:tcBorders>
            <w:shd w:val="clear" w:color="auto" w:fill="auto"/>
            <w:vAlign w:val="center"/>
          </w:tcPr>
          <w:p w14:paraId="61946FEF" w14:textId="77777777" w:rsidR="009F1171" w:rsidRPr="00335EBE" w:rsidRDefault="009F1171" w:rsidP="002436BA">
            <w:pPr>
              <w:pStyle w:val="P68B1DB1-Normal24"/>
              <w:spacing w:after="0" w:line="240" w:lineRule="auto"/>
              <w:jc w:val="center"/>
              <w:rPr>
                <w:rFonts w:ascii="Foco" w:hAnsi="Foco" w:cs="Foco"/>
                <w:lang w:val="en-GB"/>
              </w:rPr>
            </w:pPr>
            <w:r w:rsidRPr="00335EBE">
              <w:rPr>
                <w:lang w:val="en-GB"/>
              </w:rPr>
              <w:t>11,769.1</w:t>
            </w:r>
          </w:p>
        </w:tc>
        <w:tc>
          <w:tcPr>
            <w:tcW w:w="1843" w:type="dxa"/>
            <w:tcBorders>
              <w:top w:val="nil"/>
              <w:left w:val="nil"/>
              <w:bottom w:val="single" w:sz="8" w:space="0" w:color="auto"/>
              <w:right w:val="nil"/>
            </w:tcBorders>
            <w:shd w:val="clear" w:color="auto" w:fill="auto"/>
            <w:vAlign w:val="center"/>
          </w:tcPr>
          <w:p w14:paraId="16971857" w14:textId="77777777" w:rsidR="009F1171" w:rsidRPr="00335EBE" w:rsidRDefault="009F1171" w:rsidP="002436BA">
            <w:pPr>
              <w:pStyle w:val="P68B1DB1-Normal24"/>
              <w:spacing w:after="0" w:line="240" w:lineRule="auto"/>
              <w:jc w:val="center"/>
              <w:rPr>
                <w:rFonts w:ascii="Foco" w:hAnsi="Foco" w:cs="Foco"/>
                <w:lang w:val="en-GB"/>
              </w:rPr>
            </w:pPr>
            <w:r w:rsidRPr="00335EBE">
              <w:rPr>
                <w:lang w:val="en-GB"/>
              </w:rPr>
              <w:t>11,280.0</w:t>
            </w:r>
          </w:p>
        </w:tc>
        <w:tc>
          <w:tcPr>
            <w:tcW w:w="2126" w:type="dxa"/>
            <w:tcBorders>
              <w:top w:val="nil"/>
              <w:left w:val="nil"/>
              <w:bottom w:val="single" w:sz="8" w:space="0" w:color="auto"/>
              <w:right w:val="nil"/>
            </w:tcBorders>
            <w:shd w:val="clear" w:color="000000" w:fill="E3F1F7"/>
            <w:vAlign w:val="center"/>
          </w:tcPr>
          <w:p w14:paraId="3D8D8664" w14:textId="77777777" w:rsidR="009F1171" w:rsidRPr="00335EBE" w:rsidRDefault="009F1171" w:rsidP="002436BA">
            <w:pPr>
              <w:pStyle w:val="P68B1DB1-Normal24"/>
              <w:spacing w:after="0" w:line="240" w:lineRule="auto"/>
              <w:jc w:val="center"/>
              <w:rPr>
                <w:rFonts w:ascii="Foco" w:hAnsi="Foco" w:cs="Foco"/>
                <w:i/>
                <w:lang w:val="en-GB"/>
              </w:rPr>
            </w:pPr>
            <w:r w:rsidRPr="00335EBE">
              <w:rPr>
                <w:lang w:val="en-GB"/>
              </w:rPr>
              <w:t>4.3%</w:t>
            </w:r>
          </w:p>
        </w:tc>
      </w:tr>
      <w:tr w:rsidR="009F1171" w:rsidRPr="00335EBE" w14:paraId="03944BDA" w14:textId="77777777" w:rsidTr="002436BA">
        <w:trPr>
          <w:trHeight w:val="345"/>
        </w:trPr>
        <w:tc>
          <w:tcPr>
            <w:tcW w:w="9356" w:type="dxa"/>
            <w:gridSpan w:val="4"/>
            <w:tcBorders>
              <w:top w:val="single" w:sz="8" w:space="0" w:color="auto"/>
              <w:left w:val="nil"/>
              <w:right w:val="nil"/>
            </w:tcBorders>
            <w:shd w:val="clear" w:color="000000" w:fill="2B87A2"/>
            <w:vAlign w:val="center"/>
            <w:hideMark/>
          </w:tcPr>
          <w:p w14:paraId="5E8A881B" w14:textId="77777777" w:rsidR="009F1171" w:rsidRPr="00335EBE" w:rsidRDefault="009F1171" w:rsidP="002436BA">
            <w:pPr>
              <w:pStyle w:val="P68B1DB1-Normal17"/>
              <w:spacing w:after="0" w:line="240" w:lineRule="auto"/>
              <w:jc w:val="center"/>
              <w:rPr>
                <w:lang w:val="en-GB"/>
              </w:rPr>
            </w:pPr>
            <w:r w:rsidRPr="00335EBE">
              <w:rPr>
                <w:lang w:val="en-GB"/>
              </w:rPr>
              <w:t>Sales volumes by category</w:t>
            </w:r>
          </w:p>
        </w:tc>
      </w:tr>
      <w:tr w:rsidR="009F1171" w:rsidRPr="00335EBE" w14:paraId="2834C3B1" w14:textId="77777777" w:rsidTr="002436BA">
        <w:trPr>
          <w:trHeight w:val="480"/>
        </w:trPr>
        <w:tc>
          <w:tcPr>
            <w:tcW w:w="3969" w:type="dxa"/>
            <w:tcBorders>
              <w:top w:val="nil"/>
              <w:left w:val="nil"/>
              <w:bottom w:val="single" w:sz="4" w:space="0" w:color="auto"/>
              <w:right w:val="nil"/>
            </w:tcBorders>
            <w:shd w:val="clear" w:color="auto" w:fill="auto"/>
            <w:vAlign w:val="center"/>
            <w:hideMark/>
          </w:tcPr>
          <w:p w14:paraId="6B2EAE14" w14:textId="77777777" w:rsidR="009F1171" w:rsidRPr="00335EBE" w:rsidRDefault="009F1171" w:rsidP="002436BA">
            <w:pPr>
              <w:pStyle w:val="P68B1DB1-Normal13"/>
              <w:spacing w:after="0" w:line="240" w:lineRule="auto"/>
              <w:rPr>
                <w:lang w:val="en-GB"/>
              </w:rPr>
            </w:pPr>
            <w:proofErr w:type="spellStart"/>
            <w:r w:rsidRPr="00335EBE">
              <w:rPr>
                <w:lang w:val="en-GB"/>
              </w:rPr>
              <w:t>kt</w:t>
            </w:r>
            <w:proofErr w:type="spellEnd"/>
          </w:p>
        </w:tc>
        <w:tc>
          <w:tcPr>
            <w:tcW w:w="1418" w:type="dxa"/>
            <w:tcBorders>
              <w:top w:val="nil"/>
              <w:left w:val="nil"/>
              <w:bottom w:val="single" w:sz="4" w:space="0" w:color="auto"/>
              <w:right w:val="nil"/>
            </w:tcBorders>
            <w:shd w:val="clear" w:color="auto" w:fill="auto"/>
            <w:vAlign w:val="center"/>
            <w:hideMark/>
          </w:tcPr>
          <w:p w14:paraId="78D924D5" w14:textId="77777777" w:rsidR="009F1171" w:rsidRPr="00335EBE" w:rsidRDefault="009F1171" w:rsidP="002436BA">
            <w:pPr>
              <w:pStyle w:val="P68B1DB1-Normal7"/>
              <w:spacing w:after="0" w:line="240" w:lineRule="auto"/>
              <w:jc w:val="center"/>
              <w:rPr>
                <w:rFonts w:ascii="Foco" w:eastAsia="Times New Roman" w:hAnsi="Foco" w:cs="Foco"/>
                <w:sz w:val="18"/>
                <w:lang w:val="en-GB"/>
              </w:rPr>
            </w:pPr>
            <w:r w:rsidRPr="00335EBE">
              <w:rPr>
                <w:lang w:val="en-GB"/>
              </w:rPr>
              <w:t>FY 2024</w:t>
            </w:r>
          </w:p>
        </w:tc>
        <w:tc>
          <w:tcPr>
            <w:tcW w:w="1843" w:type="dxa"/>
            <w:tcBorders>
              <w:top w:val="nil"/>
              <w:left w:val="nil"/>
              <w:bottom w:val="single" w:sz="4" w:space="0" w:color="auto"/>
              <w:right w:val="nil"/>
            </w:tcBorders>
            <w:shd w:val="clear" w:color="auto" w:fill="auto"/>
            <w:vAlign w:val="center"/>
            <w:hideMark/>
          </w:tcPr>
          <w:p w14:paraId="3D66EB0D" w14:textId="77777777" w:rsidR="009F1171" w:rsidRPr="00335EBE" w:rsidRDefault="009F1171" w:rsidP="002436BA">
            <w:pPr>
              <w:pStyle w:val="P68B1DB1-Normal7"/>
              <w:spacing w:after="0" w:line="240" w:lineRule="auto"/>
              <w:jc w:val="center"/>
              <w:rPr>
                <w:rFonts w:ascii="Foco" w:eastAsia="Times New Roman" w:hAnsi="Foco" w:cs="Foco"/>
                <w:sz w:val="18"/>
                <w:lang w:val="en-GB"/>
              </w:rPr>
            </w:pPr>
            <w:r w:rsidRPr="00335EBE">
              <w:rPr>
                <w:lang w:val="en-GB"/>
              </w:rPr>
              <w:t>FY 2023</w:t>
            </w:r>
          </w:p>
        </w:tc>
        <w:tc>
          <w:tcPr>
            <w:tcW w:w="2126" w:type="dxa"/>
            <w:tcBorders>
              <w:top w:val="nil"/>
              <w:left w:val="nil"/>
              <w:bottom w:val="single" w:sz="4" w:space="0" w:color="auto"/>
              <w:right w:val="nil"/>
            </w:tcBorders>
            <w:shd w:val="clear" w:color="000000" w:fill="E3F1F7"/>
            <w:vAlign w:val="center"/>
            <w:hideMark/>
          </w:tcPr>
          <w:p w14:paraId="30542C50" w14:textId="375A2DB8" w:rsidR="009F1171" w:rsidRPr="00335EBE" w:rsidRDefault="009F1171" w:rsidP="002436BA">
            <w:pPr>
              <w:pStyle w:val="P68B1DB1-Normal18"/>
              <w:spacing w:after="0" w:line="240" w:lineRule="auto"/>
              <w:jc w:val="center"/>
              <w:rPr>
                <w:rFonts w:cs="Calibri"/>
                <w:sz w:val="18"/>
                <w:lang w:val="en-GB"/>
              </w:rPr>
            </w:pPr>
            <w:r w:rsidRPr="00335EBE">
              <w:rPr>
                <w:lang w:val="en-GB"/>
              </w:rPr>
              <w:t>Change</w:t>
            </w:r>
            <w:r w:rsidR="00C94211" w:rsidRPr="00335EBE">
              <w:rPr>
                <w:lang w:val="en-GB"/>
              </w:rPr>
              <w:t>,</w:t>
            </w:r>
            <w:r w:rsidRPr="00335EBE">
              <w:rPr>
                <w:lang w:val="en-GB"/>
              </w:rPr>
              <w:t xml:space="preserve"> %</w:t>
            </w:r>
          </w:p>
        </w:tc>
      </w:tr>
      <w:tr w:rsidR="009F1171" w:rsidRPr="00335EBE" w14:paraId="780FCAD9" w14:textId="77777777" w:rsidTr="002436BA">
        <w:trPr>
          <w:trHeight w:val="480"/>
        </w:trPr>
        <w:tc>
          <w:tcPr>
            <w:tcW w:w="3969" w:type="dxa"/>
            <w:tcBorders>
              <w:top w:val="single" w:sz="4" w:space="0" w:color="auto"/>
              <w:left w:val="nil"/>
              <w:right w:val="nil"/>
            </w:tcBorders>
            <w:shd w:val="clear" w:color="auto" w:fill="auto"/>
            <w:vAlign w:val="center"/>
            <w:hideMark/>
          </w:tcPr>
          <w:p w14:paraId="0B4433D9" w14:textId="77777777" w:rsidR="009F1171" w:rsidRPr="00335EBE" w:rsidRDefault="009F1171" w:rsidP="002436BA">
            <w:pPr>
              <w:pStyle w:val="P68B1DB1-Normal19"/>
              <w:spacing w:after="0" w:line="240" w:lineRule="auto"/>
              <w:rPr>
                <w:lang w:val="en-GB"/>
              </w:rPr>
            </w:pPr>
            <w:r w:rsidRPr="00335EBE">
              <w:rPr>
                <w:lang w:val="en-GB"/>
              </w:rPr>
              <w:t>Phosphate-based fertilizers and feed phosphates</w:t>
            </w:r>
          </w:p>
        </w:tc>
        <w:tc>
          <w:tcPr>
            <w:tcW w:w="1418" w:type="dxa"/>
            <w:tcBorders>
              <w:top w:val="single" w:sz="4" w:space="0" w:color="auto"/>
              <w:left w:val="nil"/>
              <w:right w:val="nil"/>
            </w:tcBorders>
            <w:shd w:val="clear" w:color="auto" w:fill="auto"/>
            <w:vAlign w:val="center"/>
          </w:tcPr>
          <w:p w14:paraId="5285B771" w14:textId="77777777" w:rsidR="009F1171" w:rsidRPr="00335EBE" w:rsidRDefault="009F1171" w:rsidP="002436BA">
            <w:pPr>
              <w:pStyle w:val="P68B1DB1-Normal20"/>
              <w:spacing w:after="0" w:line="240" w:lineRule="auto"/>
              <w:jc w:val="center"/>
              <w:rPr>
                <w:rFonts w:ascii="Foco" w:hAnsi="Foco" w:cs="Foco"/>
                <w:lang w:val="en-GB"/>
              </w:rPr>
            </w:pPr>
            <w:r w:rsidRPr="00335EBE">
              <w:rPr>
                <w:lang w:val="en-GB"/>
              </w:rPr>
              <w:t>9,104.7</w:t>
            </w:r>
          </w:p>
        </w:tc>
        <w:tc>
          <w:tcPr>
            <w:tcW w:w="1843" w:type="dxa"/>
            <w:tcBorders>
              <w:top w:val="single" w:sz="4" w:space="0" w:color="auto"/>
              <w:left w:val="nil"/>
              <w:right w:val="nil"/>
            </w:tcBorders>
            <w:shd w:val="clear" w:color="auto" w:fill="auto"/>
            <w:vAlign w:val="center"/>
          </w:tcPr>
          <w:p w14:paraId="6EDB38F3" w14:textId="77777777" w:rsidR="009F1171" w:rsidRPr="00335EBE" w:rsidRDefault="009F1171" w:rsidP="002436BA">
            <w:pPr>
              <w:pStyle w:val="P68B1DB1-Normal20"/>
              <w:spacing w:after="0" w:line="240" w:lineRule="auto"/>
              <w:jc w:val="center"/>
              <w:rPr>
                <w:rFonts w:ascii="Foco" w:hAnsi="Foco" w:cs="Foco"/>
                <w:lang w:val="en-GB"/>
              </w:rPr>
            </w:pPr>
            <w:r w:rsidRPr="00335EBE">
              <w:rPr>
                <w:lang w:val="en-GB"/>
              </w:rPr>
              <w:t>8,578.2</w:t>
            </w:r>
          </w:p>
        </w:tc>
        <w:tc>
          <w:tcPr>
            <w:tcW w:w="2126" w:type="dxa"/>
            <w:tcBorders>
              <w:top w:val="single" w:sz="4" w:space="0" w:color="auto"/>
              <w:left w:val="nil"/>
              <w:right w:val="nil"/>
            </w:tcBorders>
            <w:shd w:val="clear" w:color="000000" w:fill="E3F1F7"/>
            <w:vAlign w:val="center"/>
          </w:tcPr>
          <w:p w14:paraId="6B24A661" w14:textId="77777777" w:rsidR="009F1171" w:rsidRPr="00335EBE" w:rsidRDefault="009F1171" w:rsidP="002436BA">
            <w:pPr>
              <w:pStyle w:val="P68B1DB1-Normal20"/>
              <w:spacing w:after="0" w:line="240" w:lineRule="auto"/>
              <w:jc w:val="center"/>
              <w:rPr>
                <w:rFonts w:ascii="Foco" w:hAnsi="Foco" w:cs="Foco"/>
                <w:i/>
                <w:lang w:val="en-GB"/>
              </w:rPr>
            </w:pPr>
            <w:r w:rsidRPr="00335EBE">
              <w:rPr>
                <w:lang w:val="en-GB"/>
              </w:rPr>
              <w:t>6.1%</w:t>
            </w:r>
          </w:p>
        </w:tc>
      </w:tr>
      <w:tr w:rsidR="009F1171" w:rsidRPr="00335EBE" w14:paraId="4CDCA3E8" w14:textId="77777777" w:rsidTr="002436BA">
        <w:trPr>
          <w:trHeight w:val="300"/>
        </w:trPr>
        <w:tc>
          <w:tcPr>
            <w:tcW w:w="3969" w:type="dxa"/>
            <w:tcBorders>
              <w:top w:val="nil"/>
              <w:left w:val="nil"/>
              <w:bottom w:val="single" w:sz="4" w:space="0" w:color="auto"/>
              <w:right w:val="nil"/>
            </w:tcBorders>
            <w:shd w:val="clear" w:color="auto" w:fill="auto"/>
            <w:vAlign w:val="center"/>
            <w:hideMark/>
          </w:tcPr>
          <w:p w14:paraId="10E5F187" w14:textId="77777777" w:rsidR="009F1171" w:rsidRPr="00335EBE" w:rsidRDefault="009F1171" w:rsidP="002436BA">
            <w:pPr>
              <w:pStyle w:val="P68B1DB1-Normal19"/>
              <w:spacing w:after="0" w:line="240" w:lineRule="auto"/>
              <w:rPr>
                <w:lang w:val="en-GB"/>
              </w:rPr>
            </w:pPr>
            <w:r w:rsidRPr="00335EBE">
              <w:rPr>
                <w:lang w:val="en-GB"/>
              </w:rPr>
              <w:t>Nitrogen-based fertilizers</w:t>
            </w:r>
          </w:p>
        </w:tc>
        <w:tc>
          <w:tcPr>
            <w:tcW w:w="1418" w:type="dxa"/>
            <w:tcBorders>
              <w:top w:val="nil"/>
              <w:left w:val="nil"/>
              <w:bottom w:val="single" w:sz="4" w:space="0" w:color="auto"/>
              <w:right w:val="nil"/>
            </w:tcBorders>
            <w:shd w:val="clear" w:color="auto" w:fill="auto"/>
            <w:vAlign w:val="center"/>
          </w:tcPr>
          <w:p w14:paraId="606F83E9" w14:textId="77777777" w:rsidR="009F1171" w:rsidRPr="00335EBE" w:rsidRDefault="009F1171" w:rsidP="002436BA">
            <w:pPr>
              <w:pStyle w:val="P68B1DB1-Normal20"/>
              <w:spacing w:after="0" w:line="240" w:lineRule="auto"/>
              <w:jc w:val="center"/>
              <w:rPr>
                <w:rFonts w:ascii="Foco" w:hAnsi="Foco" w:cs="Foco"/>
                <w:lang w:val="en-GB"/>
              </w:rPr>
            </w:pPr>
            <w:r w:rsidRPr="00335EBE">
              <w:rPr>
                <w:lang w:val="en-GB"/>
              </w:rPr>
              <w:t>2,499.6</w:t>
            </w:r>
          </w:p>
        </w:tc>
        <w:tc>
          <w:tcPr>
            <w:tcW w:w="1843" w:type="dxa"/>
            <w:tcBorders>
              <w:top w:val="nil"/>
              <w:left w:val="nil"/>
              <w:bottom w:val="single" w:sz="4" w:space="0" w:color="auto"/>
              <w:right w:val="nil"/>
            </w:tcBorders>
            <w:shd w:val="clear" w:color="auto" w:fill="auto"/>
            <w:vAlign w:val="center"/>
          </w:tcPr>
          <w:p w14:paraId="31246081" w14:textId="77777777" w:rsidR="009F1171" w:rsidRPr="00335EBE" w:rsidRDefault="009F1171" w:rsidP="002436BA">
            <w:pPr>
              <w:pStyle w:val="P68B1DB1-Normal20"/>
              <w:spacing w:after="0" w:line="240" w:lineRule="auto"/>
              <w:jc w:val="center"/>
              <w:rPr>
                <w:rFonts w:ascii="Foco" w:hAnsi="Foco" w:cs="Foco"/>
                <w:lang w:val="en-GB"/>
              </w:rPr>
            </w:pPr>
            <w:r w:rsidRPr="00335EBE">
              <w:rPr>
                <w:lang w:val="en-GB"/>
              </w:rPr>
              <w:t>2,560.5</w:t>
            </w:r>
          </w:p>
        </w:tc>
        <w:tc>
          <w:tcPr>
            <w:tcW w:w="2126" w:type="dxa"/>
            <w:tcBorders>
              <w:top w:val="nil"/>
              <w:left w:val="nil"/>
              <w:bottom w:val="single" w:sz="4" w:space="0" w:color="auto"/>
              <w:right w:val="nil"/>
            </w:tcBorders>
            <w:shd w:val="clear" w:color="000000" w:fill="E3F1F7"/>
            <w:vAlign w:val="center"/>
          </w:tcPr>
          <w:p w14:paraId="5B970D0D" w14:textId="77777777" w:rsidR="009F1171" w:rsidRPr="00335EBE" w:rsidRDefault="009F1171" w:rsidP="002436BA">
            <w:pPr>
              <w:pStyle w:val="P68B1DB1-Normal20"/>
              <w:spacing w:after="0" w:line="240" w:lineRule="auto"/>
              <w:jc w:val="center"/>
              <w:rPr>
                <w:rFonts w:ascii="Foco" w:hAnsi="Foco" w:cs="Foco"/>
                <w:i/>
                <w:lang w:val="en-GB"/>
              </w:rPr>
            </w:pPr>
            <w:r w:rsidRPr="00335EBE">
              <w:rPr>
                <w:lang w:val="en-GB"/>
              </w:rPr>
              <w:t>-2.4%</w:t>
            </w:r>
          </w:p>
        </w:tc>
      </w:tr>
      <w:tr w:rsidR="009F1171" w:rsidRPr="00335EBE" w14:paraId="5941346D" w14:textId="77777777" w:rsidTr="002436BA">
        <w:trPr>
          <w:trHeight w:val="315"/>
        </w:trPr>
        <w:tc>
          <w:tcPr>
            <w:tcW w:w="3969" w:type="dxa"/>
            <w:tcBorders>
              <w:top w:val="single" w:sz="4" w:space="0" w:color="auto"/>
              <w:left w:val="nil"/>
              <w:bottom w:val="double" w:sz="4" w:space="0" w:color="auto"/>
              <w:right w:val="nil"/>
            </w:tcBorders>
            <w:shd w:val="clear" w:color="auto" w:fill="auto"/>
            <w:vAlign w:val="center"/>
          </w:tcPr>
          <w:p w14:paraId="4788E29B" w14:textId="77777777" w:rsidR="009F1171" w:rsidRPr="00335EBE" w:rsidRDefault="009F1171" w:rsidP="002436BA">
            <w:pPr>
              <w:pStyle w:val="P68B1DB1-Normal21"/>
              <w:spacing w:after="0" w:line="240" w:lineRule="auto"/>
              <w:rPr>
                <w:rFonts w:cs="Calibri"/>
                <w:sz w:val="18"/>
                <w:lang w:val="en-GB"/>
              </w:rPr>
            </w:pPr>
            <w:r w:rsidRPr="00335EBE">
              <w:rPr>
                <w:lang w:val="en-GB"/>
              </w:rPr>
              <w:t>TOTAL fertilizers</w:t>
            </w:r>
          </w:p>
        </w:tc>
        <w:tc>
          <w:tcPr>
            <w:tcW w:w="1418" w:type="dxa"/>
            <w:tcBorders>
              <w:top w:val="single" w:sz="4" w:space="0" w:color="auto"/>
              <w:left w:val="nil"/>
              <w:bottom w:val="double" w:sz="4" w:space="0" w:color="auto"/>
              <w:right w:val="nil"/>
            </w:tcBorders>
            <w:shd w:val="clear" w:color="auto" w:fill="auto"/>
            <w:vAlign w:val="center"/>
          </w:tcPr>
          <w:p w14:paraId="696A40A7" w14:textId="77777777" w:rsidR="009F1171" w:rsidRPr="00335EBE" w:rsidRDefault="009F1171" w:rsidP="002436BA">
            <w:pPr>
              <w:pStyle w:val="P68B1DB1-Normal22"/>
              <w:spacing w:after="0" w:line="240" w:lineRule="auto"/>
              <w:jc w:val="center"/>
              <w:rPr>
                <w:rFonts w:ascii="Foco" w:hAnsi="Foco" w:cs="Foco"/>
                <w:lang w:val="en-GB"/>
              </w:rPr>
            </w:pPr>
            <w:r w:rsidRPr="00335EBE">
              <w:rPr>
                <w:lang w:val="en-GB"/>
              </w:rPr>
              <w:t>11,604.3</w:t>
            </w:r>
          </w:p>
        </w:tc>
        <w:tc>
          <w:tcPr>
            <w:tcW w:w="1843" w:type="dxa"/>
            <w:tcBorders>
              <w:top w:val="single" w:sz="4" w:space="0" w:color="auto"/>
              <w:left w:val="nil"/>
              <w:bottom w:val="double" w:sz="4" w:space="0" w:color="auto"/>
              <w:right w:val="nil"/>
            </w:tcBorders>
            <w:shd w:val="clear" w:color="auto" w:fill="auto"/>
            <w:vAlign w:val="center"/>
          </w:tcPr>
          <w:p w14:paraId="2C3F3989" w14:textId="77777777" w:rsidR="009F1171" w:rsidRPr="00335EBE" w:rsidRDefault="009F1171" w:rsidP="002436BA">
            <w:pPr>
              <w:pStyle w:val="P68B1DB1-Normal22"/>
              <w:spacing w:after="0" w:line="240" w:lineRule="auto"/>
              <w:jc w:val="center"/>
              <w:rPr>
                <w:rFonts w:ascii="Foco" w:hAnsi="Foco" w:cs="Foco"/>
                <w:lang w:val="en-GB"/>
              </w:rPr>
            </w:pPr>
            <w:r w:rsidRPr="00335EBE">
              <w:rPr>
                <w:lang w:val="en-GB"/>
              </w:rPr>
              <w:t>11,138.7</w:t>
            </w:r>
          </w:p>
        </w:tc>
        <w:tc>
          <w:tcPr>
            <w:tcW w:w="2126" w:type="dxa"/>
            <w:tcBorders>
              <w:top w:val="single" w:sz="4" w:space="0" w:color="auto"/>
              <w:left w:val="nil"/>
              <w:bottom w:val="double" w:sz="4" w:space="0" w:color="auto"/>
              <w:right w:val="nil"/>
            </w:tcBorders>
            <w:shd w:val="clear" w:color="000000" w:fill="E3F1F7"/>
            <w:vAlign w:val="center"/>
          </w:tcPr>
          <w:p w14:paraId="108F01B5" w14:textId="77777777" w:rsidR="009F1171" w:rsidRPr="00335EBE" w:rsidRDefault="009F1171" w:rsidP="002436BA">
            <w:pPr>
              <w:pStyle w:val="P68B1DB1-Normal22"/>
              <w:spacing w:after="0" w:line="240" w:lineRule="auto"/>
              <w:jc w:val="center"/>
              <w:rPr>
                <w:rFonts w:ascii="Foco" w:hAnsi="Foco" w:cs="Foco"/>
                <w:i/>
                <w:lang w:val="en-GB"/>
              </w:rPr>
            </w:pPr>
            <w:r w:rsidRPr="00335EBE">
              <w:rPr>
                <w:lang w:val="en-GB"/>
              </w:rPr>
              <w:t>4.2%</w:t>
            </w:r>
          </w:p>
        </w:tc>
      </w:tr>
      <w:tr w:rsidR="009F1171" w:rsidRPr="00335EBE" w14:paraId="77999262" w14:textId="77777777" w:rsidTr="002436BA">
        <w:trPr>
          <w:trHeight w:val="315"/>
        </w:trPr>
        <w:tc>
          <w:tcPr>
            <w:tcW w:w="3969" w:type="dxa"/>
            <w:tcBorders>
              <w:top w:val="double" w:sz="4" w:space="0" w:color="auto"/>
              <w:left w:val="nil"/>
              <w:bottom w:val="single" w:sz="8" w:space="0" w:color="auto"/>
              <w:right w:val="nil"/>
            </w:tcBorders>
            <w:shd w:val="clear" w:color="auto" w:fill="auto"/>
            <w:vAlign w:val="center"/>
            <w:hideMark/>
          </w:tcPr>
          <w:p w14:paraId="358511DD" w14:textId="77777777" w:rsidR="009F1171" w:rsidRPr="00335EBE" w:rsidRDefault="009F1171" w:rsidP="002436BA">
            <w:pPr>
              <w:pStyle w:val="P68B1DB1-Normal19"/>
              <w:spacing w:after="0" w:line="240" w:lineRule="auto"/>
              <w:rPr>
                <w:lang w:val="en-GB"/>
              </w:rPr>
            </w:pPr>
            <w:r w:rsidRPr="00335EBE">
              <w:rPr>
                <w:lang w:val="en-GB"/>
              </w:rPr>
              <w:t>Other products</w:t>
            </w:r>
          </w:p>
        </w:tc>
        <w:tc>
          <w:tcPr>
            <w:tcW w:w="1418" w:type="dxa"/>
            <w:tcBorders>
              <w:top w:val="double" w:sz="4" w:space="0" w:color="auto"/>
              <w:left w:val="nil"/>
              <w:bottom w:val="single" w:sz="8" w:space="0" w:color="auto"/>
              <w:right w:val="nil"/>
            </w:tcBorders>
            <w:shd w:val="clear" w:color="auto" w:fill="auto"/>
            <w:vAlign w:val="center"/>
          </w:tcPr>
          <w:p w14:paraId="4D0B2413" w14:textId="77777777" w:rsidR="009F1171" w:rsidRPr="00335EBE" w:rsidRDefault="009F1171" w:rsidP="002436BA">
            <w:pPr>
              <w:pStyle w:val="P68B1DB1-Normal20"/>
              <w:spacing w:after="0" w:line="240" w:lineRule="auto"/>
              <w:jc w:val="center"/>
              <w:rPr>
                <w:rFonts w:ascii="Foco" w:hAnsi="Foco" w:cs="Foco"/>
                <w:lang w:val="en-GB"/>
              </w:rPr>
            </w:pPr>
            <w:r w:rsidRPr="00335EBE">
              <w:rPr>
                <w:lang w:val="en-GB"/>
              </w:rPr>
              <w:t>294.4</w:t>
            </w:r>
          </w:p>
        </w:tc>
        <w:tc>
          <w:tcPr>
            <w:tcW w:w="1843" w:type="dxa"/>
            <w:tcBorders>
              <w:top w:val="double" w:sz="4" w:space="0" w:color="auto"/>
              <w:left w:val="nil"/>
              <w:bottom w:val="single" w:sz="8" w:space="0" w:color="auto"/>
              <w:right w:val="nil"/>
            </w:tcBorders>
            <w:shd w:val="clear" w:color="auto" w:fill="auto"/>
            <w:vAlign w:val="center"/>
          </w:tcPr>
          <w:p w14:paraId="3F73D01C" w14:textId="77777777" w:rsidR="009F1171" w:rsidRPr="00335EBE" w:rsidRDefault="009F1171" w:rsidP="002436BA">
            <w:pPr>
              <w:pStyle w:val="P68B1DB1-Normal20"/>
              <w:spacing w:after="0" w:line="240" w:lineRule="auto"/>
              <w:jc w:val="center"/>
              <w:rPr>
                <w:rFonts w:ascii="Foco" w:hAnsi="Foco" w:cs="Foco"/>
                <w:lang w:val="en-GB"/>
              </w:rPr>
            </w:pPr>
            <w:r w:rsidRPr="00335EBE">
              <w:rPr>
                <w:lang w:val="en-GB"/>
              </w:rPr>
              <w:t>287.0</w:t>
            </w:r>
          </w:p>
        </w:tc>
        <w:tc>
          <w:tcPr>
            <w:tcW w:w="2126" w:type="dxa"/>
            <w:tcBorders>
              <w:top w:val="double" w:sz="4" w:space="0" w:color="auto"/>
              <w:left w:val="nil"/>
              <w:bottom w:val="single" w:sz="8" w:space="0" w:color="auto"/>
              <w:right w:val="nil"/>
            </w:tcBorders>
            <w:shd w:val="clear" w:color="000000" w:fill="E3F1F7"/>
            <w:vAlign w:val="center"/>
          </w:tcPr>
          <w:p w14:paraId="59038887" w14:textId="77777777" w:rsidR="009F1171" w:rsidRPr="00335EBE" w:rsidRDefault="009F1171" w:rsidP="002436BA">
            <w:pPr>
              <w:pStyle w:val="P68B1DB1-Normal20"/>
              <w:spacing w:after="0" w:line="240" w:lineRule="auto"/>
              <w:jc w:val="center"/>
              <w:rPr>
                <w:rFonts w:ascii="Foco" w:hAnsi="Foco" w:cs="Foco"/>
                <w:i/>
                <w:lang w:val="en-GB"/>
              </w:rPr>
            </w:pPr>
            <w:r w:rsidRPr="00335EBE">
              <w:rPr>
                <w:lang w:val="en-GB"/>
              </w:rPr>
              <w:t>2.6%</w:t>
            </w:r>
          </w:p>
        </w:tc>
      </w:tr>
      <w:tr w:rsidR="009F1171" w:rsidRPr="00335EBE" w14:paraId="3FB7DC95" w14:textId="77777777" w:rsidTr="002436BA">
        <w:trPr>
          <w:trHeight w:val="315"/>
        </w:trPr>
        <w:tc>
          <w:tcPr>
            <w:tcW w:w="3969" w:type="dxa"/>
            <w:tcBorders>
              <w:top w:val="single" w:sz="8" w:space="0" w:color="auto"/>
              <w:left w:val="nil"/>
              <w:bottom w:val="double" w:sz="4" w:space="0" w:color="auto"/>
              <w:right w:val="nil"/>
            </w:tcBorders>
            <w:shd w:val="clear" w:color="auto" w:fill="auto"/>
            <w:vAlign w:val="center"/>
            <w:hideMark/>
          </w:tcPr>
          <w:p w14:paraId="5991B6A8" w14:textId="77777777" w:rsidR="009F1171" w:rsidRPr="00335EBE" w:rsidRDefault="009F1171" w:rsidP="002436BA">
            <w:pPr>
              <w:pStyle w:val="P68B1DB1-Normal23"/>
              <w:spacing w:after="0" w:line="240" w:lineRule="auto"/>
              <w:ind w:left="30"/>
              <w:rPr>
                <w:rFonts w:cs="Calibri"/>
                <w:sz w:val="18"/>
                <w:lang w:val="en-GB"/>
              </w:rPr>
            </w:pPr>
            <w:r w:rsidRPr="00335EBE">
              <w:rPr>
                <w:lang w:val="en-GB"/>
              </w:rPr>
              <w:t>TOTAL agrochemicals</w:t>
            </w:r>
          </w:p>
        </w:tc>
        <w:tc>
          <w:tcPr>
            <w:tcW w:w="1418" w:type="dxa"/>
            <w:tcBorders>
              <w:top w:val="single" w:sz="8" w:space="0" w:color="auto"/>
              <w:left w:val="nil"/>
              <w:bottom w:val="double" w:sz="4" w:space="0" w:color="auto"/>
              <w:right w:val="nil"/>
            </w:tcBorders>
            <w:shd w:val="clear" w:color="auto" w:fill="auto"/>
            <w:vAlign w:val="center"/>
          </w:tcPr>
          <w:p w14:paraId="46192B04" w14:textId="77777777" w:rsidR="009F1171" w:rsidRPr="00335EBE" w:rsidRDefault="009F1171" w:rsidP="002436BA">
            <w:pPr>
              <w:pStyle w:val="P68B1DB1-Normal24"/>
              <w:spacing w:after="0" w:line="240" w:lineRule="auto"/>
              <w:jc w:val="center"/>
              <w:rPr>
                <w:rFonts w:ascii="Foco" w:hAnsi="Foco" w:cs="Foco"/>
                <w:lang w:val="en-GB"/>
              </w:rPr>
            </w:pPr>
            <w:r w:rsidRPr="00335EBE">
              <w:rPr>
                <w:lang w:val="en-GB"/>
              </w:rPr>
              <w:t>11,898.7</w:t>
            </w:r>
          </w:p>
        </w:tc>
        <w:tc>
          <w:tcPr>
            <w:tcW w:w="1843" w:type="dxa"/>
            <w:tcBorders>
              <w:top w:val="single" w:sz="8" w:space="0" w:color="auto"/>
              <w:left w:val="nil"/>
              <w:bottom w:val="double" w:sz="4" w:space="0" w:color="auto"/>
              <w:right w:val="nil"/>
            </w:tcBorders>
            <w:shd w:val="clear" w:color="auto" w:fill="auto"/>
            <w:vAlign w:val="center"/>
          </w:tcPr>
          <w:p w14:paraId="4E940614" w14:textId="77777777" w:rsidR="009F1171" w:rsidRPr="00335EBE" w:rsidRDefault="009F1171" w:rsidP="002436BA">
            <w:pPr>
              <w:pStyle w:val="P68B1DB1-Normal24"/>
              <w:spacing w:after="0" w:line="240" w:lineRule="auto"/>
              <w:jc w:val="center"/>
              <w:rPr>
                <w:rFonts w:ascii="Foco" w:hAnsi="Foco" w:cs="Foco"/>
                <w:lang w:val="en-GB"/>
              </w:rPr>
            </w:pPr>
            <w:r w:rsidRPr="00335EBE">
              <w:rPr>
                <w:lang w:val="en-GB"/>
              </w:rPr>
              <w:t>11,425.7</w:t>
            </w:r>
          </w:p>
        </w:tc>
        <w:tc>
          <w:tcPr>
            <w:tcW w:w="2126" w:type="dxa"/>
            <w:tcBorders>
              <w:top w:val="single" w:sz="8" w:space="0" w:color="auto"/>
              <w:left w:val="nil"/>
              <w:bottom w:val="double" w:sz="4" w:space="0" w:color="auto"/>
              <w:right w:val="nil"/>
            </w:tcBorders>
            <w:shd w:val="clear" w:color="000000" w:fill="E3F1F7"/>
            <w:vAlign w:val="center"/>
          </w:tcPr>
          <w:p w14:paraId="1FBA0E00" w14:textId="77777777" w:rsidR="009F1171" w:rsidRPr="00335EBE" w:rsidRDefault="009F1171" w:rsidP="002436BA">
            <w:pPr>
              <w:pStyle w:val="P68B1DB1-Normal24"/>
              <w:spacing w:after="0" w:line="240" w:lineRule="auto"/>
              <w:jc w:val="center"/>
              <w:rPr>
                <w:rFonts w:ascii="Foco" w:hAnsi="Foco" w:cs="Foco"/>
                <w:i/>
                <w:lang w:val="en-GB"/>
              </w:rPr>
            </w:pPr>
            <w:r w:rsidRPr="00335EBE">
              <w:rPr>
                <w:lang w:val="en-GB"/>
              </w:rPr>
              <w:t>4.1%</w:t>
            </w:r>
          </w:p>
        </w:tc>
      </w:tr>
    </w:tbl>
    <w:p w14:paraId="190A49C9" w14:textId="77777777" w:rsidR="009F1171" w:rsidRPr="00335EBE" w:rsidRDefault="009F1171" w:rsidP="00BB5D11">
      <w:pPr>
        <w:pStyle w:val="P68B1DB1-Normal1"/>
        <w:shd w:val="clear" w:color="auto" w:fill="FFFFFF"/>
        <w:spacing w:before="120" w:after="120" w:line="240" w:lineRule="auto"/>
        <w:jc w:val="both"/>
        <w:rPr>
          <w:lang w:val="en-GB"/>
        </w:rPr>
      </w:pPr>
      <w:r w:rsidRPr="00335EBE">
        <w:rPr>
          <w:lang w:val="en-GB"/>
        </w:rPr>
        <w:lastRenderedPageBreak/>
        <w:t>Comments on 2024 operating performance</w:t>
      </w:r>
    </w:p>
    <w:p w14:paraId="3ABD5EB0" w14:textId="0BB8CA38" w:rsidR="009F1171" w:rsidRPr="00335EBE" w:rsidRDefault="009F1171" w:rsidP="00BB5D11">
      <w:pPr>
        <w:pStyle w:val="P68B1DB1-Normal2"/>
        <w:shd w:val="clear" w:color="auto" w:fill="FFFFFF"/>
        <w:spacing w:before="120" w:after="120" w:line="240" w:lineRule="auto"/>
        <w:jc w:val="both"/>
        <w:rPr>
          <w:lang w:val="en-GB"/>
        </w:rPr>
      </w:pPr>
      <w:r w:rsidRPr="00335EBE">
        <w:rPr>
          <w:lang w:val="en-GB"/>
        </w:rPr>
        <w:t xml:space="preserve">The </w:t>
      </w:r>
      <w:r w:rsidR="0025115F" w:rsidRPr="00335EBE">
        <w:rPr>
          <w:lang w:val="en-GB"/>
        </w:rPr>
        <w:t>output</w:t>
      </w:r>
      <w:r w:rsidRPr="00335EBE">
        <w:rPr>
          <w:lang w:val="en-GB"/>
        </w:rPr>
        <w:t xml:space="preserve"> of agrochemical products increased by 4.3% in 2024, reaching 11.8 million tonnes, driven by the </w:t>
      </w:r>
      <w:r w:rsidR="0025115F" w:rsidRPr="00335EBE">
        <w:rPr>
          <w:lang w:val="en-GB"/>
        </w:rPr>
        <w:t>consistent</w:t>
      </w:r>
      <w:r w:rsidRPr="00335EBE">
        <w:rPr>
          <w:lang w:val="en-GB"/>
        </w:rPr>
        <w:t xml:space="preserve"> implementation of the Company’s long-term programme, launched in 2019, to develop its production assets.</w:t>
      </w:r>
    </w:p>
    <w:p w14:paraId="0DE66866" w14:textId="2DD108A5" w:rsidR="009F1171" w:rsidRPr="00335EBE" w:rsidRDefault="009F1171" w:rsidP="00BB5D11">
      <w:pPr>
        <w:pStyle w:val="P68B1DB1-Normal2"/>
        <w:shd w:val="clear" w:color="auto" w:fill="FFFFFF"/>
        <w:spacing w:before="120" w:after="120" w:line="240" w:lineRule="auto"/>
        <w:jc w:val="both"/>
        <w:rPr>
          <w:lang w:val="en-GB"/>
        </w:rPr>
      </w:pPr>
      <w:r w:rsidRPr="00335EBE">
        <w:rPr>
          <w:lang w:val="en-GB"/>
        </w:rPr>
        <w:t xml:space="preserve">Phosphate-based fertilizers accounted for the bulk of the production increase (output of DAP/MAP rose 1.0%; NPK, 23.3%; and MCP, 10.0%). These growth figures were attributed to the fact that the Company’s </w:t>
      </w:r>
      <w:proofErr w:type="spellStart"/>
      <w:r w:rsidRPr="00335EBE">
        <w:rPr>
          <w:lang w:val="en-GB"/>
        </w:rPr>
        <w:t>Volkhov</w:t>
      </w:r>
      <w:proofErr w:type="spellEnd"/>
      <w:r w:rsidRPr="00335EBE">
        <w:rPr>
          <w:lang w:val="en-GB"/>
        </w:rPr>
        <w:t xml:space="preserve"> production plant reached its design capacity </w:t>
      </w:r>
      <w:r w:rsidR="004D6D99" w:rsidRPr="00335EBE">
        <w:rPr>
          <w:lang w:val="en-GB"/>
        </w:rPr>
        <w:t>and to</w:t>
      </w:r>
      <w:r w:rsidRPr="00335EBE">
        <w:rPr>
          <w:lang w:val="en-GB"/>
        </w:rPr>
        <w:t xml:space="preserve"> increased production of key </w:t>
      </w:r>
      <w:proofErr w:type="spellStart"/>
      <w:r w:rsidRPr="00335EBE">
        <w:rPr>
          <w:lang w:val="en-GB"/>
        </w:rPr>
        <w:t>feedstocks</w:t>
      </w:r>
      <w:proofErr w:type="spellEnd"/>
      <w:r w:rsidRPr="00335EBE">
        <w:rPr>
          <w:lang w:val="en-GB"/>
        </w:rPr>
        <w:t xml:space="preserve">, such as phosphoric </w:t>
      </w:r>
      <w:r w:rsidR="004D6D99" w:rsidRPr="00335EBE">
        <w:rPr>
          <w:lang w:val="en-GB"/>
        </w:rPr>
        <w:t xml:space="preserve">acid </w:t>
      </w:r>
      <w:r w:rsidRPr="00335EBE">
        <w:rPr>
          <w:lang w:val="en-GB"/>
        </w:rPr>
        <w:t>and sul</w:t>
      </w:r>
      <w:r w:rsidR="004D6D99" w:rsidRPr="00335EBE">
        <w:rPr>
          <w:lang w:val="en-GB"/>
        </w:rPr>
        <w:t>ph</w:t>
      </w:r>
      <w:r w:rsidRPr="00335EBE">
        <w:rPr>
          <w:lang w:val="en-GB"/>
        </w:rPr>
        <w:t>uric acid.</w:t>
      </w:r>
    </w:p>
    <w:p w14:paraId="5B3FB817" w14:textId="01A00985" w:rsidR="009F1171" w:rsidRPr="00335EBE" w:rsidRDefault="009F1171" w:rsidP="00BB5D11">
      <w:pPr>
        <w:pStyle w:val="P68B1DB1-Normal2"/>
        <w:shd w:val="clear" w:color="auto" w:fill="FFFFFF"/>
        <w:spacing w:before="120" w:after="120" w:line="240" w:lineRule="auto"/>
        <w:jc w:val="both"/>
        <w:rPr>
          <w:lang w:val="en-GB"/>
        </w:rPr>
      </w:pPr>
      <w:r w:rsidRPr="00335EBE">
        <w:rPr>
          <w:lang w:val="en-GB"/>
        </w:rPr>
        <w:t>Sales of the Company</w:t>
      </w:r>
      <w:r w:rsidR="004D6D99" w:rsidRPr="00335EBE">
        <w:rPr>
          <w:lang w:val="en-GB"/>
        </w:rPr>
        <w:t>’</w:t>
      </w:r>
      <w:r w:rsidRPr="00335EBE">
        <w:rPr>
          <w:lang w:val="en-GB"/>
        </w:rPr>
        <w:t>s agrochemical products rose 4.1% in 202</w:t>
      </w:r>
      <w:r w:rsidR="004D6D99" w:rsidRPr="00335EBE">
        <w:rPr>
          <w:lang w:val="en-GB"/>
        </w:rPr>
        <w:t>4</w:t>
      </w:r>
      <w:r w:rsidRPr="00335EBE">
        <w:rPr>
          <w:lang w:val="en-GB"/>
        </w:rPr>
        <w:t>, driven by increased production, the strong performance of the Group</w:t>
      </w:r>
      <w:r w:rsidR="004D6D99" w:rsidRPr="00335EBE">
        <w:rPr>
          <w:lang w:val="en-GB"/>
        </w:rPr>
        <w:t>’</w:t>
      </w:r>
      <w:r w:rsidRPr="00335EBE">
        <w:rPr>
          <w:lang w:val="en-GB"/>
        </w:rPr>
        <w:t>s sales network in the Russian market and the solid positions enjoyed by the Company</w:t>
      </w:r>
      <w:r w:rsidR="004D6D99" w:rsidRPr="00335EBE">
        <w:rPr>
          <w:lang w:val="en-GB"/>
        </w:rPr>
        <w:t>’s</w:t>
      </w:r>
      <w:r w:rsidRPr="00335EBE">
        <w:rPr>
          <w:lang w:val="en-GB"/>
        </w:rPr>
        <w:t xml:space="preserve"> products in global markets. </w:t>
      </w:r>
    </w:p>
    <w:p w14:paraId="36863C8C" w14:textId="52A0DAF0" w:rsidR="009F1171" w:rsidRPr="00335EBE" w:rsidRDefault="009F1171" w:rsidP="00BB5D11">
      <w:pPr>
        <w:pStyle w:val="P68B1DB1-Normal2"/>
        <w:shd w:val="clear" w:color="auto" w:fill="FFFFFF"/>
        <w:spacing w:before="120" w:after="120" w:line="240" w:lineRule="auto"/>
        <w:jc w:val="both"/>
        <w:rPr>
          <w:lang w:val="en-GB"/>
        </w:rPr>
      </w:pPr>
      <w:r w:rsidRPr="00335EBE">
        <w:rPr>
          <w:lang w:val="en-GB"/>
        </w:rPr>
        <w:t xml:space="preserve">Sales growth was largely </w:t>
      </w:r>
      <w:r w:rsidR="004D6D99" w:rsidRPr="00335EBE">
        <w:rPr>
          <w:lang w:val="en-GB"/>
        </w:rPr>
        <w:t xml:space="preserve">driven </w:t>
      </w:r>
      <w:r w:rsidRPr="00335EBE">
        <w:rPr>
          <w:lang w:val="en-GB"/>
        </w:rPr>
        <w:t xml:space="preserve">by a 6.1% year-on-year increase in sales of phosphate-based fertilizers, while the rapid growth in sales three-element fertilizers was due to </w:t>
      </w:r>
      <w:r w:rsidR="004D6D99" w:rsidRPr="00335EBE">
        <w:rPr>
          <w:lang w:val="en-GB"/>
        </w:rPr>
        <w:t xml:space="preserve">an </w:t>
      </w:r>
      <w:r w:rsidRPr="00335EBE">
        <w:rPr>
          <w:lang w:val="en-GB"/>
        </w:rPr>
        <w:t xml:space="preserve">increase in </w:t>
      </w:r>
      <w:r w:rsidR="004D6D99" w:rsidRPr="00335EBE">
        <w:rPr>
          <w:lang w:val="en-GB"/>
        </w:rPr>
        <w:t xml:space="preserve">sales of </w:t>
      </w:r>
      <w:r w:rsidRPr="00335EBE">
        <w:rPr>
          <w:lang w:val="en-GB"/>
        </w:rPr>
        <w:t xml:space="preserve">agrochemical </w:t>
      </w:r>
      <w:r w:rsidR="004D6D99" w:rsidRPr="00335EBE">
        <w:rPr>
          <w:lang w:val="en-GB"/>
        </w:rPr>
        <w:t>products</w:t>
      </w:r>
      <w:r w:rsidRPr="00335EBE">
        <w:rPr>
          <w:lang w:val="en-GB"/>
        </w:rPr>
        <w:t xml:space="preserve"> in the Company’s priority domestic market.</w:t>
      </w:r>
    </w:p>
    <w:p w14:paraId="56CD99CE" w14:textId="7F06A9BA" w:rsidR="009F1171" w:rsidRPr="00335EBE" w:rsidRDefault="009F1171" w:rsidP="00BB5D11">
      <w:pPr>
        <w:pStyle w:val="P68B1DB1-Normal2"/>
        <w:shd w:val="clear" w:color="auto" w:fill="FFFFFF"/>
        <w:spacing w:before="120" w:after="120" w:line="240" w:lineRule="auto"/>
        <w:jc w:val="both"/>
        <w:rPr>
          <w:lang w:val="en-GB"/>
        </w:rPr>
      </w:pPr>
      <w:proofErr w:type="spellStart"/>
      <w:r w:rsidRPr="00335EBE">
        <w:rPr>
          <w:lang w:val="en-GB"/>
        </w:rPr>
        <w:t>PhosAgro</w:t>
      </w:r>
      <w:r w:rsidR="004D6D99" w:rsidRPr="00335EBE">
        <w:rPr>
          <w:lang w:val="en-GB"/>
        </w:rPr>
        <w:t>’s</w:t>
      </w:r>
      <w:proofErr w:type="spellEnd"/>
      <w:r w:rsidRPr="00335EBE">
        <w:rPr>
          <w:lang w:val="en-GB"/>
        </w:rPr>
        <w:t xml:space="preserve"> leading position in the Russian market enabled further </w:t>
      </w:r>
      <w:r w:rsidR="004D6D99" w:rsidRPr="00335EBE">
        <w:rPr>
          <w:lang w:val="en-GB"/>
        </w:rPr>
        <w:t>growth in</w:t>
      </w:r>
      <w:r w:rsidRPr="00335EBE">
        <w:rPr>
          <w:lang w:val="en-GB"/>
        </w:rPr>
        <w:t xml:space="preserve"> domestic fertilizer sales in 2024. As a result, total sales of agrochemical products to Russian farmers increased to 3.34 million tonnes. </w:t>
      </w:r>
    </w:p>
    <w:p w14:paraId="28925099" w14:textId="3A11A3A7" w:rsidR="009F1171" w:rsidRPr="00335EBE" w:rsidRDefault="009F1171" w:rsidP="00BB5D11">
      <w:pPr>
        <w:pStyle w:val="P68B1DB1-Normal2"/>
        <w:shd w:val="clear" w:color="auto" w:fill="FFFFFF"/>
        <w:spacing w:before="120" w:after="120" w:line="240" w:lineRule="auto"/>
        <w:jc w:val="both"/>
        <w:rPr>
          <w:lang w:val="en-GB"/>
        </w:rPr>
      </w:pPr>
      <w:r w:rsidRPr="00335EBE">
        <w:rPr>
          <w:lang w:val="en-GB"/>
        </w:rPr>
        <w:t xml:space="preserve">The markets </w:t>
      </w:r>
      <w:r w:rsidR="004D6D99" w:rsidRPr="00335EBE">
        <w:rPr>
          <w:lang w:val="en-GB"/>
        </w:rPr>
        <w:t>showing</w:t>
      </w:r>
      <w:r w:rsidRPr="00335EBE">
        <w:rPr>
          <w:lang w:val="en-GB"/>
        </w:rPr>
        <w:t xml:space="preserve"> the highest growth rates in terms of shipments in 2024 were Russia, Latin America and Africa.</w:t>
      </w:r>
    </w:p>
    <w:p w14:paraId="102AD27B" w14:textId="77777777" w:rsidR="009F1171" w:rsidRPr="00335EBE" w:rsidRDefault="009F1171" w:rsidP="00BB5D11">
      <w:pPr>
        <w:pStyle w:val="P68B1DB1-Normal1"/>
        <w:spacing w:line="240" w:lineRule="auto"/>
        <w:jc w:val="both"/>
        <w:rPr>
          <w:lang w:val="en-GB"/>
        </w:rPr>
      </w:pPr>
      <w:r w:rsidRPr="00335EBE">
        <w:rPr>
          <w:lang w:val="en-GB"/>
        </w:rPr>
        <w:t>Fertilizer market in 4Q 2024</w:t>
      </w:r>
    </w:p>
    <w:p w14:paraId="55D96471" w14:textId="1517D146" w:rsidR="009F1171" w:rsidRPr="00335EBE" w:rsidRDefault="009F1171" w:rsidP="00BB5D11">
      <w:pPr>
        <w:pStyle w:val="P68B1DB1-Normal2"/>
        <w:shd w:val="clear" w:color="auto" w:fill="FFFFFF"/>
        <w:spacing w:before="120" w:after="120" w:line="240" w:lineRule="auto"/>
        <w:jc w:val="both"/>
        <w:rPr>
          <w:lang w:val="en-GB"/>
        </w:rPr>
      </w:pPr>
      <w:r w:rsidRPr="00335EBE">
        <w:rPr>
          <w:lang w:val="en-GB"/>
        </w:rPr>
        <w:t>Price dynamics in global fertilizer markets were mixed throughout 4Q 2024: prices for phosphate</w:t>
      </w:r>
      <w:r w:rsidR="004D6D99" w:rsidRPr="00335EBE">
        <w:rPr>
          <w:lang w:val="en-GB"/>
        </w:rPr>
        <w:t>-based</w:t>
      </w:r>
      <w:r w:rsidRPr="00335EBE">
        <w:rPr>
          <w:lang w:val="en-GB"/>
        </w:rPr>
        <w:t xml:space="preserve"> and potash fertilizers remained stable, while </w:t>
      </w:r>
      <w:r w:rsidR="004D6D99" w:rsidRPr="00335EBE">
        <w:rPr>
          <w:lang w:val="en-GB"/>
        </w:rPr>
        <w:t xml:space="preserve">prices for </w:t>
      </w:r>
      <w:r w:rsidRPr="00335EBE">
        <w:rPr>
          <w:lang w:val="en-GB"/>
        </w:rPr>
        <w:t>nitrogen</w:t>
      </w:r>
      <w:r w:rsidR="004D6D99" w:rsidRPr="00335EBE">
        <w:rPr>
          <w:lang w:val="en-GB"/>
        </w:rPr>
        <w:t>-based</w:t>
      </w:r>
      <w:r w:rsidRPr="00335EBE">
        <w:rPr>
          <w:lang w:val="en-GB"/>
        </w:rPr>
        <w:t xml:space="preserve"> fertilizer</w:t>
      </w:r>
      <w:r w:rsidR="004D6D99" w:rsidRPr="00335EBE">
        <w:rPr>
          <w:lang w:val="en-GB"/>
        </w:rPr>
        <w:t>s</w:t>
      </w:r>
      <w:r w:rsidRPr="00335EBE">
        <w:rPr>
          <w:lang w:val="en-GB"/>
        </w:rPr>
        <w:t xml:space="preserve"> gradual</w:t>
      </w:r>
      <w:r w:rsidR="00335EBE" w:rsidRPr="00335EBE">
        <w:rPr>
          <w:lang w:val="en-GB"/>
        </w:rPr>
        <w:t>ly</w:t>
      </w:r>
      <w:r w:rsidRPr="00335EBE">
        <w:rPr>
          <w:lang w:val="en-GB"/>
        </w:rPr>
        <w:t xml:space="preserve"> decline</w:t>
      </w:r>
      <w:r w:rsidR="00335EBE" w:rsidRPr="00335EBE">
        <w:rPr>
          <w:lang w:val="en-GB"/>
        </w:rPr>
        <w:t>d</w:t>
      </w:r>
      <w:r w:rsidRPr="00335EBE">
        <w:rPr>
          <w:lang w:val="en-GB"/>
        </w:rPr>
        <w:t xml:space="preserve"> due to oversupply. </w:t>
      </w:r>
    </w:p>
    <w:p w14:paraId="0FEF1FE4" w14:textId="14812E45" w:rsidR="009F1171" w:rsidRPr="00335EBE" w:rsidRDefault="009F1171" w:rsidP="00BB5D11">
      <w:pPr>
        <w:pStyle w:val="P68B1DB1-Normal2"/>
        <w:shd w:val="clear" w:color="auto" w:fill="FFFFFF"/>
        <w:spacing w:before="120" w:after="120" w:line="240" w:lineRule="auto"/>
        <w:jc w:val="both"/>
        <w:rPr>
          <w:lang w:val="en-GB"/>
        </w:rPr>
      </w:pPr>
      <w:r w:rsidRPr="00335EBE">
        <w:rPr>
          <w:lang w:val="en-GB"/>
        </w:rPr>
        <w:t>Prices for phosphate</w:t>
      </w:r>
      <w:r w:rsidR="00335EBE" w:rsidRPr="00335EBE">
        <w:rPr>
          <w:lang w:val="en-GB"/>
        </w:rPr>
        <w:t>-based</w:t>
      </w:r>
      <w:r w:rsidRPr="00335EBE">
        <w:rPr>
          <w:lang w:val="en-GB"/>
        </w:rPr>
        <w:t xml:space="preserve"> fertilizers have remained stable since mid-2024. Seasonal demand from Latin American markets decreased but was offset </w:t>
      </w:r>
      <w:r w:rsidR="00335EBE" w:rsidRPr="00335EBE">
        <w:rPr>
          <w:lang w:val="en-GB"/>
        </w:rPr>
        <w:t xml:space="preserve">by </w:t>
      </w:r>
      <w:r w:rsidRPr="00335EBE">
        <w:rPr>
          <w:lang w:val="en-GB"/>
        </w:rPr>
        <w:t xml:space="preserve">export restrictions in China, which </w:t>
      </w:r>
      <w:r w:rsidR="00335EBE" w:rsidRPr="00335EBE">
        <w:rPr>
          <w:lang w:val="en-GB"/>
        </w:rPr>
        <w:t>are</w:t>
      </w:r>
      <w:r w:rsidRPr="00335EBE">
        <w:rPr>
          <w:lang w:val="en-GB"/>
        </w:rPr>
        <w:t xml:space="preserve"> customary at this time of year. Critically low carryover stocks of DAP fertilizers in India prolonged import demand practically until the end of the year</w:t>
      </w:r>
      <w:r w:rsidR="00335EBE" w:rsidRPr="00335EBE">
        <w:rPr>
          <w:lang w:val="en-GB"/>
        </w:rPr>
        <w:t>,</w:t>
      </w:r>
      <w:r w:rsidRPr="00335EBE">
        <w:rPr>
          <w:lang w:val="en-GB"/>
        </w:rPr>
        <w:t xml:space="preserve"> despite unresolved issues with government support for importers (low subsidies). </w:t>
      </w:r>
    </w:p>
    <w:p w14:paraId="63A72353" w14:textId="7729D717" w:rsidR="009F1171" w:rsidRPr="00335EBE" w:rsidRDefault="009F1171" w:rsidP="00BB5D11">
      <w:pPr>
        <w:pStyle w:val="P68B1DB1-Normal2"/>
        <w:shd w:val="clear" w:color="auto" w:fill="FFFFFF"/>
        <w:spacing w:before="120" w:after="120" w:line="240" w:lineRule="auto"/>
        <w:jc w:val="both"/>
        <w:rPr>
          <w:lang w:val="en-GB"/>
        </w:rPr>
      </w:pPr>
      <w:r w:rsidRPr="00335EBE">
        <w:rPr>
          <w:lang w:val="en-GB"/>
        </w:rPr>
        <w:t xml:space="preserve">The average price for MAP in 4Q 2024 was USD 582 per tonne (FOB Baltic). For the full year, the average price rose to USD 555 per tonne (FOB Baltic), up from USD 517 per tonne (FOB Baltic) in 2023, reflecting stronger demand growth relative to supply in the </w:t>
      </w:r>
      <w:r w:rsidR="00335EBE" w:rsidRPr="00335EBE">
        <w:rPr>
          <w:lang w:val="en-GB"/>
        </w:rPr>
        <w:t xml:space="preserve">market for </w:t>
      </w:r>
      <w:r w:rsidRPr="00335EBE">
        <w:rPr>
          <w:lang w:val="en-GB"/>
        </w:rPr>
        <w:t>phosphate</w:t>
      </w:r>
      <w:r w:rsidR="00335EBE" w:rsidRPr="00335EBE">
        <w:rPr>
          <w:lang w:val="en-GB"/>
        </w:rPr>
        <w:t>-based</w:t>
      </w:r>
      <w:r w:rsidRPr="00335EBE">
        <w:rPr>
          <w:lang w:val="en-GB"/>
        </w:rPr>
        <w:t xml:space="preserve"> fertilizer</w:t>
      </w:r>
      <w:r w:rsidR="00335EBE" w:rsidRPr="00335EBE">
        <w:rPr>
          <w:lang w:val="en-GB"/>
        </w:rPr>
        <w:t>s</w:t>
      </w:r>
      <w:r w:rsidRPr="00335EBE">
        <w:rPr>
          <w:lang w:val="en-GB"/>
        </w:rPr>
        <w:t xml:space="preserve"> throughout 2024.</w:t>
      </w:r>
    </w:p>
    <w:p w14:paraId="1E031B85" w14:textId="48A5953D" w:rsidR="009F1171" w:rsidRPr="00335EBE" w:rsidRDefault="00335EBE" w:rsidP="00BB5D11">
      <w:pPr>
        <w:pStyle w:val="P68B1DB1-Normal2"/>
        <w:shd w:val="clear" w:color="auto" w:fill="FFFFFF"/>
        <w:spacing w:before="120" w:after="120" w:line="240" w:lineRule="auto"/>
        <w:jc w:val="both"/>
        <w:rPr>
          <w:lang w:val="en-GB"/>
        </w:rPr>
      </w:pPr>
      <w:r w:rsidRPr="00335EBE">
        <w:rPr>
          <w:lang w:val="en-GB"/>
        </w:rPr>
        <w:t>Prices for n</w:t>
      </w:r>
      <w:r w:rsidR="009F1171" w:rsidRPr="00335EBE">
        <w:rPr>
          <w:lang w:val="en-GB"/>
        </w:rPr>
        <w:t>itrogen</w:t>
      </w:r>
      <w:r w:rsidRPr="00335EBE">
        <w:rPr>
          <w:lang w:val="en-GB"/>
        </w:rPr>
        <w:t>-based</w:t>
      </w:r>
      <w:r w:rsidR="009F1171" w:rsidRPr="00335EBE">
        <w:rPr>
          <w:lang w:val="en-GB"/>
        </w:rPr>
        <w:t xml:space="preserve"> fertilizer</w:t>
      </w:r>
      <w:r w:rsidRPr="00335EBE">
        <w:rPr>
          <w:lang w:val="en-GB"/>
        </w:rPr>
        <w:t>s</w:t>
      </w:r>
      <w:r w:rsidR="009F1171" w:rsidRPr="00335EBE">
        <w:rPr>
          <w:lang w:val="en-GB"/>
        </w:rPr>
        <w:t xml:space="preserve"> in Q4 2024 faced pressure from excess supply in the market owing to the early end of seasonal demand in South America and weak seasonal activity in Europe. However, robust domestic urea sales in India and lower carryover stocks led to the announcement of major tenders late in the year, boosting optimism for market</w:t>
      </w:r>
      <w:r w:rsidRPr="00335EBE">
        <w:rPr>
          <w:lang w:val="en-GB"/>
        </w:rPr>
        <w:t xml:space="preserve"> growth</w:t>
      </w:r>
      <w:r w:rsidR="009F1171" w:rsidRPr="00335EBE">
        <w:rPr>
          <w:lang w:val="en-GB"/>
        </w:rPr>
        <w:t xml:space="preserve"> in late Q4 2024 and early 2025.</w:t>
      </w:r>
    </w:p>
    <w:p w14:paraId="78437429" w14:textId="5BF85A6A" w:rsidR="009F1171" w:rsidRPr="00335EBE" w:rsidRDefault="009F1171" w:rsidP="00BB5D11">
      <w:pPr>
        <w:pStyle w:val="P68B1DB1-Normal2"/>
        <w:shd w:val="clear" w:color="auto" w:fill="FFFFFF"/>
        <w:spacing w:before="120" w:after="120" w:line="240" w:lineRule="auto"/>
        <w:jc w:val="both"/>
        <w:rPr>
          <w:rFonts w:asciiTheme="majorHAnsi" w:hAnsiTheme="majorHAnsi" w:cstheme="majorHAnsi"/>
          <w:sz w:val="24"/>
          <w:lang w:val="en-GB"/>
        </w:rPr>
      </w:pPr>
      <w:r w:rsidRPr="00335EBE">
        <w:rPr>
          <w:lang w:val="en-GB"/>
        </w:rPr>
        <w:t xml:space="preserve">The average price of urea in 4Q 2024 was USD 319 per tonne (FOB Baltic). </w:t>
      </w:r>
      <w:r w:rsidR="00335EBE" w:rsidRPr="00335EBE">
        <w:rPr>
          <w:lang w:val="en-GB"/>
        </w:rPr>
        <w:t>F</w:t>
      </w:r>
      <w:r w:rsidRPr="00335EBE">
        <w:rPr>
          <w:lang w:val="en-GB"/>
        </w:rPr>
        <w:t>or the full year</w:t>
      </w:r>
      <w:r w:rsidR="00335EBE" w:rsidRPr="00335EBE">
        <w:rPr>
          <w:lang w:val="en-GB"/>
        </w:rPr>
        <w:t>, the average price</w:t>
      </w:r>
      <w:r w:rsidRPr="00335EBE">
        <w:rPr>
          <w:lang w:val="en-GB"/>
        </w:rPr>
        <w:t xml:space="preserve"> was USD 300 per tonne (FOB Baltic), down slightly from the 2023 average of USD 309 per tonne (FOB Baltic), </w:t>
      </w:r>
      <w:r w:rsidR="00335EBE" w:rsidRPr="00335EBE">
        <w:rPr>
          <w:lang w:val="en-GB"/>
        </w:rPr>
        <w:t xml:space="preserve">reflecting </w:t>
      </w:r>
      <w:r w:rsidRPr="00335EBE">
        <w:rPr>
          <w:lang w:val="en-GB"/>
        </w:rPr>
        <w:t xml:space="preserve">a </w:t>
      </w:r>
      <w:r w:rsidR="00335EBE" w:rsidRPr="00335EBE">
        <w:rPr>
          <w:lang w:val="en-GB"/>
        </w:rPr>
        <w:t>slight</w:t>
      </w:r>
      <w:r w:rsidRPr="00335EBE">
        <w:rPr>
          <w:lang w:val="en-GB"/>
        </w:rPr>
        <w:t xml:space="preserve"> surplus </w:t>
      </w:r>
      <w:r w:rsidR="00335EBE" w:rsidRPr="00335EBE">
        <w:rPr>
          <w:lang w:val="en-GB"/>
        </w:rPr>
        <w:t xml:space="preserve">in the market </w:t>
      </w:r>
      <w:r w:rsidRPr="00335EBE">
        <w:rPr>
          <w:lang w:val="en-GB"/>
        </w:rPr>
        <w:t>due in part to India</w:t>
      </w:r>
      <w:r w:rsidR="00335EBE" w:rsidRPr="00335EBE">
        <w:rPr>
          <w:lang w:val="en-GB"/>
        </w:rPr>
        <w:t>’s reduced</w:t>
      </w:r>
      <w:r w:rsidRPr="00335EBE">
        <w:rPr>
          <w:lang w:val="en-GB"/>
        </w:rPr>
        <w:t xml:space="preserve"> imports during the year and seasonal fluctuations in other markets.</w:t>
      </w:r>
    </w:p>
    <w:p w14:paraId="4ECC4799" w14:textId="77777777" w:rsidR="009F1171" w:rsidRPr="00335EBE" w:rsidRDefault="009F1171" w:rsidP="00BB5D11">
      <w:pPr>
        <w:pStyle w:val="P68B1DB1-Normal1"/>
        <w:spacing w:line="240" w:lineRule="auto"/>
        <w:jc w:val="both"/>
        <w:rPr>
          <w:lang w:val="en-GB"/>
        </w:rPr>
      </w:pPr>
      <w:r w:rsidRPr="00335EBE">
        <w:rPr>
          <w:lang w:val="en-GB"/>
        </w:rPr>
        <w:t>Outlook for 1Q 2025</w:t>
      </w:r>
    </w:p>
    <w:p w14:paraId="0DE3986B" w14:textId="789C66C4" w:rsidR="009F1171" w:rsidRPr="00335EBE" w:rsidRDefault="009F1171" w:rsidP="00BB5D11">
      <w:pPr>
        <w:pStyle w:val="P68B1DB1-Normal2"/>
        <w:shd w:val="clear" w:color="auto" w:fill="FFFFFF"/>
        <w:spacing w:before="120" w:after="120" w:line="240" w:lineRule="auto"/>
        <w:jc w:val="both"/>
        <w:rPr>
          <w:lang w:val="en-GB"/>
        </w:rPr>
      </w:pPr>
      <w:r w:rsidRPr="00335EBE">
        <w:rPr>
          <w:lang w:val="en-GB"/>
        </w:rPr>
        <w:t xml:space="preserve">Growth in seasonal demand in Europe, Central America and North America will shape </w:t>
      </w:r>
      <w:r w:rsidR="00335EBE" w:rsidRPr="00335EBE">
        <w:rPr>
          <w:lang w:val="en-GB"/>
        </w:rPr>
        <w:t xml:space="preserve">conditions in </w:t>
      </w:r>
      <w:r w:rsidRPr="00335EBE">
        <w:rPr>
          <w:lang w:val="en-GB"/>
        </w:rPr>
        <w:t xml:space="preserve">mineral fertilizer markets </w:t>
      </w:r>
      <w:r w:rsidR="00335EBE" w:rsidRPr="00335EBE">
        <w:rPr>
          <w:lang w:val="en-GB"/>
        </w:rPr>
        <w:t>as a whole</w:t>
      </w:r>
      <w:r w:rsidRPr="00335EBE">
        <w:rPr>
          <w:lang w:val="en-GB"/>
        </w:rPr>
        <w:t xml:space="preserve">. Declining carryover stocks across all fertilizer types in India combined with a lack of Chinese exports will provide additional price support. </w:t>
      </w:r>
    </w:p>
    <w:p w14:paraId="6F5B008F" w14:textId="77777777" w:rsidR="009F1171" w:rsidRPr="00335EBE" w:rsidRDefault="009F1171" w:rsidP="009F1171">
      <w:pPr>
        <w:shd w:val="clear" w:color="auto" w:fill="FFFFFF"/>
        <w:spacing w:before="120" w:after="120" w:line="240" w:lineRule="auto"/>
        <w:ind w:firstLine="567"/>
        <w:jc w:val="both"/>
        <w:rPr>
          <w:rFonts w:asciiTheme="minorHAnsi" w:hAnsiTheme="minorHAnsi" w:cstheme="minorHAnsi"/>
        </w:rPr>
      </w:pPr>
    </w:p>
    <w:p w14:paraId="113156ED" w14:textId="77777777" w:rsidR="009F1171" w:rsidRPr="00335EBE" w:rsidRDefault="009F1171" w:rsidP="009F1171">
      <w:pPr>
        <w:pStyle w:val="P68B1DB1-Normal1"/>
        <w:spacing w:after="0" w:line="240" w:lineRule="auto"/>
        <w:rPr>
          <w:lang w:val="en-GB"/>
        </w:rPr>
      </w:pPr>
      <w:r w:rsidRPr="00335EBE">
        <w:rPr>
          <w:lang w:val="en-GB"/>
        </w:rPr>
        <w:t>For further information, please contact:</w:t>
      </w:r>
    </w:p>
    <w:p w14:paraId="2CE08802" w14:textId="77777777" w:rsidR="009F1171" w:rsidRPr="00335EBE" w:rsidRDefault="009F1171" w:rsidP="009F1171">
      <w:pPr>
        <w:spacing w:after="0" w:line="240" w:lineRule="auto"/>
        <w:rPr>
          <w:rFonts w:asciiTheme="minorHAnsi" w:hAnsiTheme="minorHAnsi" w:cstheme="minorHAnsi"/>
        </w:rPr>
      </w:pPr>
    </w:p>
    <w:p w14:paraId="3CCE7A43" w14:textId="77777777" w:rsidR="009F1171" w:rsidRPr="00335EBE" w:rsidRDefault="009F1171" w:rsidP="009F1171">
      <w:pPr>
        <w:pStyle w:val="P68B1DB1-Normal2"/>
        <w:snapToGrid w:val="0"/>
        <w:spacing w:after="0" w:line="240" w:lineRule="auto"/>
        <w:rPr>
          <w:lang w:val="en-GB"/>
        </w:rPr>
      </w:pPr>
      <w:r w:rsidRPr="00335EBE">
        <w:rPr>
          <w:lang w:val="en-GB"/>
        </w:rPr>
        <w:t>PJSC PhosAgro</w:t>
      </w:r>
    </w:p>
    <w:p w14:paraId="58352565" w14:textId="77777777" w:rsidR="009F1171" w:rsidRPr="00335EBE" w:rsidRDefault="009F1171" w:rsidP="009F1171">
      <w:pPr>
        <w:pStyle w:val="P68B1DB1-Normal2"/>
        <w:snapToGrid w:val="0"/>
        <w:spacing w:after="0" w:line="240" w:lineRule="auto"/>
        <w:rPr>
          <w:lang w:val="en-GB"/>
        </w:rPr>
      </w:pPr>
      <w:r w:rsidRPr="00335EBE">
        <w:rPr>
          <w:lang w:val="en-GB"/>
        </w:rPr>
        <w:lastRenderedPageBreak/>
        <w:t>Andrey Serov, Head of the Investor Relations Department</w:t>
      </w:r>
    </w:p>
    <w:p w14:paraId="09E8715B" w14:textId="77777777" w:rsidR="009F1171" w:rsidRPr="00335EBE" w:rsidRDefault="009F1171" w:rsidP="009F1171">
      <w:pPr>
        <w:pStyle w:val="P68B1DB1-Normal2"/>
        <w:snapToGrid w:val="0"/>
        <w:spacing w:after="0" w:line="240" w:lineRule="auto"/>
        <w:rPr>
          <w:lang w:val="en-GB"/>
        </w:rPr>
      </w:pPr>
      <w:r w:rsidRPr="00335EBE">
        <w:rPr>
          <w:lang w:val="en-GB"/>
        </w:rPr>
        <w:t>+7 495 231 2747 ext. 2183</w:t>
      </w:r>
    </w:p>
    <w:p w14:paraId="3551657C" w14:textId="77777777" w:rsidR="009F1171" w:rsidRPr="00335EBE" w:rsidRDefault="004156D4" w:rsidP="009F1171">
      <w:pPr>
        <w:spacing w:after="0" w:line="240" w:lineRule="auto"/>
        <w:rPr>
          <w:rFonts w:asciiTheme="minorHAnsi" w:hAnsiTheme="minorHAnsi" w:cstheme="minorHAnsi"/>
        </w:rPr>
      </w:pPr>
      <w:hyperlink r:id="rId23" w:history="1">
        <w:r w:rsidR="009F1171" w:rsidRPr="00335EBE">
          <w:rPr>
            <w:rStyle w:val="a7"/>
            <w:rFonts w:asciiTheme="minorHAnsi" w:hAnsiTheme="minorHAnsi" w:cstheme="minorHAnsi"/>
          </w:rPr>
          <w:t>ir@phosagro.ru</w:t>
        </w:r>
      </w:hyperlink>
    </w:p>
    <w:p w14:paraId="0EAF0D15" w14:textId="77777777" w:rsidR="009F1171" w:rsidRPr="00335EBE" w:rsidRDefault="009F1171" w:rsidP="009F1171">
      <w:pPr>
        <w:spacing w:after="0" w:line="240" w:lineRule="auto"/>
        <w:rPr>
          <w:rFonts w:asciiTheme="minorHAnsi" w:hAnsiTheme="minorHAnsi" w:cstheme="minorHAnsi"/>
        </w:rPr>
      </w:pPr>
    </w:p>
    <w:p w14:paraId="6C959998" w14:textId="77777777" w:rsidR="009F1171" w:rsidRPr="00335EBE" w:rsidRDefault="009F1171" w:rsidP="009F1171">
      <w:pPr>
        <w:pStyle w:val="P68B1DB1-Normal2"/>
        <w:snapToGrid w:val="0"/>
        <w:spacing w:after="0" w:line="240" w:lineRule="auto"/>
        <w:rPr>
          <w:lang w:val="en-GB"/>
        </w:rPr>
      </w:pPr>
      <w:r w:rsidRPr="00335EBE">
        <w:rPr>
          <w:lang w:val="en-GB"/>
        </w:rPr>
        <w:t xml:space="preserve">Timur </w:t>
      </w:r>
      <w:proofErr w:type="spellStart"/>
      <w:r w:rsidRPr="00335EBE">
        <w:rPr>
          <w:lang w:val="en-GB"/>
        </w:rPr>
        <w:t>Belov</w:t>
      </w:r>
      <w:proofErr w:type="spellEnd"/>
      <w:r w:rsidRPr="00335EBE">
        <w:rPr>
          <w:lang w:val="en-GB"/>
        </w:rPr>
        <w:t xml:space="preserve">, Press Officer </w:t>
      </w:r>
    </w:p>
    <w:p w14:paraId="42325A8C" w14:textId="77777777" w:rsidR="009F1171" w:rsidRPr="00A90FED" w:rsidRDefault="009F1171" w:rsidP="009F1171">
      <w:pPr>
        <w:pStyle w:val="P68B1DB1-Normal2"/>
        <w:snapToGrid w:val="0"/>
        <w:spacing w:after="0" w:line="240" w:lineRule="auto"/>
        <w:rPr>
          <w:lang w:val="en-US"/>
        </w:rPr>
      </w:pPr>
      <w:r w:rsidRPr="00A90FED">
        <w:rPr>
          <w:lang w:val="en-US"/>
        </w:rPr>
        <w:t xml:space="preserve">+7 495 231 2747 </w:t>
      </w:r>
      <w:proofErr w:type="spellStart"/>
      <w:r w:rsidRPr="00335EBE">
        <w:rPr>
          <w:lang w:val="en-GB"/>
        </w:rPr>
        <w:t>ext</w:t>
      </w:r>
      <w:proofErr w:type="spellEnd"/>
      <w:r w:rsidRPr="00A90FED">
        <w:rPr>
          <w:lang w:val="en-US"/>
        </w:rPr>
        <w:t>. 2652</w:t>
      </w:r>
    </w:p>
    <w:p w14:paraId="494E8267" w14:textId="58675F4F" w:rsidR="009F1171" w:rsidRPr="00A90FED" w:rsidRDefault="009F1171" w:rsidP="00224436">
      <w:pPr>
        <w:spacing w:after="0" w:line="240" w:lineRule="auto"/>
        <w:rPr>
          <w:rFonts w:cstheme="minorHAnsi"/>
          <w:color w:val="0000FF"/>
          <w:u w:val="single"/>
          <w:lang w:val="en-US"/>
        </w:rPr>
      </w:pPr>
      <w:proofErr w:type="spellStart"/>
      <w:r w:rsidRPr="00335EBE">
        <w:rPr>
          <w:rStyle w:val="a7"/>
          <w:rFonts w:cstheme="minorHAnsi"/>
        </w:rPr>
        <w:t>pr</w:t>
      </w:r>
      <w:proofErr w:type="spellEnd"/>
      <w:r w:rsidRPr="00A90FED">
        <w:rPr>
          <w:rStyle w:val="a7"/>
          <w:rFonts w:cstheme="minorHAnsi"/>
          <w:lang w:val="en-US"/>
        </w:rPr>
        <w:t>@</w:t>
      </w:r>
      <w:proofErr w:type="spellStart"/>
      <w:r w:rsidRPr="00335EBE">
        <w:rPr>
          <w:rStyle w:val="a7"/>
          <w:rFonts w:cstheme="minorHAnsi"/>
        </w:rPr>
        <w:t>phosagro</w:t>
      </w:r>
      <w:proofErr w:type="spellEnd"/>
      <w:r w:rsidRPr="00A90FED">
        <w:rPr>
          <w:rStyle w:val="a7"/>
          <w:rFonts w:cstheme="minorHAnsi"/>
          <w:lang w:val="en-US"/>
        </w:rPr>
        <w:t>.</w:t>
      </w:r>
      <w:proofErr w:type="spellStart"/>
      <w:r w:rsidRPr="00335EBE">
        <w:rPr>
          <w:rStyle w:val="a7"/>
          <w:rFonts w:cstheme="minorHAnsi"/>
        </w:rPr>
        <w:t>ru</w:t>
      </w:r>
      <w:proofErr w:type="spellEnd"/>
      <w:r w:rsidRPr="00A90FED">
        <w:rPr>
          <w:lang w:val="en-US"/>
        </w:rPr>
        <w:t xml:space="preserve"> </w:t>
      </w:r>
    </w:p>
    <w:p w14:paraId="40A5F751" w14:textId="77777777" w:rsidR="00224436" w:rsidRDefault="00224436" w:rsidP="00224436">
      <w:pPr>
        <w:pStyle w:val="P68B1DB1-Normal22"/>
        <w:spacing w:before="240"/>
        <w:rPr>
          <w:rFonts w:asciiTheme="minorHAnsi" w:hAnsiTheme="minorHAnsi" w:cstheme="minorBidi"/>
          <w:sz w:val="22"/>
          <w:szCs w:val="22"/>
          <w:lang w:val="en-GB"/>
        </w:rPr>
      </w:pPr>
      <w:bookmarkStart w:id="1" w:name="_30j0zll"/>
      <w:bookmarkEnd w:id="1"/>
      <w:r w:rsidRPr="7C16E36C">
        <w:rPr>
          <w:rFonts w:asciiTheme="minorHAnsi" w:hAnsiTheme="minorHAnsi" w:cstheme="minorBidi"/>
          <w:sz w:val="22"/>
          <w:szCs w:val="22"/>
          <w:lang w:val="en-GB"/>
        </w:rPr>
        <w:t>About the Company</w:t>
      </w:r>
    </w:p>
    <w:p w14:paraId="3A0DBDE3" w14:textId="10C04CCB" w:rsidR="00224436" w:rsidRDefault="00224436" w:rsidP="00224436">
      <w:pPr>
        <w:spacing w:before="60" w:after="60"/>
        <w:jc w:val="both"/>
        <w:rPr>
          <w:rFonts w:asciiTheme="minorHAnsi" w:eastAsiaTheme="minorEastAsia" w:hAnsiTheme="minorHAnsi" w:cstheme="minorBidi"/>
          <w:i/>
          <w:iCs/>
        </w:rPr>
      </w:pPr>
      <w:r w:rsidRPr="7C16E36C">
        <w:rPr>
          <w:rFonts w:asciiTheme="minorHAnsi" w:eastAsiaTheme="minorEastAsia" w:hAnsiTheme="minorHAnsi" w:cstheme="minorBidi"/>
          <w:i/>
          <w:iCs/>
        </w:rPr>
        <w:t>PhosAgro (</w:t>
      </w:r>
      <w:hyperlink>
        <w:r w:rsidRPr="7C16E36C">
          <w:rPr>
            <w:rFonts w:asciiTheme="minorHAnsi" w:eastAsiaTheme="minorEastAsia" w:hAnsiTheme="minorHAnsi" w:cstheme="minorBidi"/>
            <w:i/>
            <w:iCs/>
          </w:rPr>
          <w:t>www.phosagro.ru</w:t>
        </w:r>
      </w:hyperlink>
      <w:r w:rsidRPr="7C16E36C">
        <w:rPr>
          <w:rFonts w:asciiTheme="minorHAnsi" w:eastAsiaTheme="minorEastAsia" w:hAnsiTheme="minorHAnsi" w:cstheme="minorBidi"/>
          <w:i/>
          <w:iCs/>
        </w:rPr>
        <w:t>) is a vertically integrated Russian company and one of the world’s leading producers of phosphate-based fertilizers and high-grade phosphate rock with P2O5 content of 39%</w:t>
      </w:r>
      <w:r>
        <w:rPr>
          <w:rFonts w:asciiTheme="minorHAnsi" w:eastAsiaTheme="minorEastAsia" w:hAnsiTheme="minorHAnsi" w:cstheme="minorBidi"/>
          <w:i/>
          <w:iCs/>
        </w:rPr>
        <w:t xml:space="preserve"> (according to the IFA)</w:t>
      </w:r>
      <w:r w:rsidRPr="7C16E36C">
        <w:rPr>
          <w:rFonts w:asciiTheme="minorHAnsi" w:eastAsiaTheme="minorEastAsia" w:hAnsiTheme="minorHAnsi" w:cstheme="minorBidi"/>
          <w:i/>
          <w:iCs/>
        </w:rPr>
        <w:t xml:space="preserve">. </w:t>
      </w:r>
      <w:proofErr w:type="spellStart"/>
      <w:r w:rsidRPr="7C16E36C">
        <w:rPr>
          <w:rFonts w:asciiTheme="minorHAnsi" w:eastAsiaTheme="minorEastAsia" w:hAnsiTheme="minorHAnsi" w:cstheme="minorBidi"/>
          <w:i/>
          <w:iCs/>
        </w:rPr>
        <w:t>PhosAgro’s</w:t>
      </w:r>
      <w:proofErr w:type="spellEnd"/>
      <w:r w:rsidRPr="7C16E36C">
        <w:rPr>
          <w:rFonts w:asciiTheme="minorHAnsi" w:eastAsiaTheme="minorEastAsia" w:hAnsiTheme="minorHAnsi" w:cstheme="minorBidi"/>
          <w:i/>
          <w:iCs/>
        </w:rPr>
        <w:t xml:space="preserve"> high-performance fertilizers produce crops with advanced features.</w:t>
      </w:r>
    </w:p>
    <w:p w14:paraId="3C3A70AD" w14:textId="77777777" w:rsidR="00224436" w:rsidRDefault="00224436" w:rsidP="00224436">
      <w:pPr>
        <w:spacing w:before="60" w:after="60"/>
        <w:jc w:val="both"/>
        <w:rPr>
          <w:rFonts w:asciiTheme="minorHAnsi" w:eastAsiaTheme="minorEastAsia" w:hAnsiTheme="minorHAnsi" w:cstheme="minorBidi"/>
          <w:i/>
          <w:iCs/>
        </w:rPr>
      </w:pPr>
      <w:r w:rsidRPr="7C16E36C">
        <w:rPr>
          <w:rFonts w:asciiTheme="minorHAnsi" w:eastAsiaTheme="minorEastAsia" w:hAnsiTheme="minorHAnsi" w:cstheme="minorBidi"/>
          <w:i/>
          <w:iCs/>
        </w:rPr>
        <w:t>PhosAgro Group is the largest producer of phosphate-based fertilizers in Europe (by total combined capacity for the production of DAP, MAP, NP, NPK and NPS fertilizers</w:t>
      </w:r>
      <w:r>
        <w:rPr>
          <w:rFonts w:asciiTheme="minorHAnsi" w:eastAsiaTheme="minorEastAsia" w:hAnsiTheme="minorHAnsi" w:cstheme="minorBidi"/>
          <w:i/>
          <w:iCs/>
        </w:rPr>
        <w:t>, according to the CRU</w:t>
      </w:r>
      <w:r w:rsidRPr="7C16E36C">
        <w:rPr>
          <w:rFonts w:asciiTheme="minorHAnsi" w:eastAsiaTheme="minorEastAsia" w:hAnsiTheme="minorHAnsi" w:cstheme="minorBidi"/>
          <w:i/>
          <w:iCs/>
        </w:rPr>
        <w:t xml:space="preserve">), </w:t>
      </w:r>
      <w:r>
        <w:rPr>
          <w:rFonts w:asciiTheme="minorHAnsi" w:eastAsiaTheme="minorEastAsia" w:hAnsiTheme="minorHAnsi" w:cstheme="minorBidi"/>
          <w:i/>
          <w:iCs/>
        </w:rPr>
        <w:t xml:space="preserve">the largest global producer of </w:t>
      </w:r>
      <w:r w:rsidRPr="7C16E36C">
        <w:rPr>
          <w:rFonts w:asciiTheme="minorHAnsi" w:eastAsiaTheme="minorEastAsia" w:hAnsiTheme="minorHAnsi" w:cstheme="minorBidi"/>
          <w:i/>
          <w:iCs/>
        </w:rPr>
        <w:t>high-grade phosphate rock with P2O5 content of 39%</w:t>
      </w:r>
      <w:r>
        <w:rPr>
          <w:rFonts w:asciiTheme="minorHAnsi" w:eastAsiaTheme="minorEastAsia" w:hAnsiTheme="minorHAnsi" w:cstheme="minorBidi"/>
          <w:i/>
          <w:iCs/>
        </w:rPr>
        <w:t xml:space="preserve"> (according to the IFA), </w:t>
      </w:r>
      <w:r w:rsidRPr="7C16E36C">
        <w:rPr>
          <w:rFonts w:asciiTheme="minorHAnsi" w:eastAsiaTheme="minorEastAsia" w:hAnsiTheme="minorHAnsi" w:cstheme="minorBidi"/>
          <w:i/>
          <w:iCs/>
        </w:rPr>
        <w:t xml:space="preserve">one of the leading producers of MAP and DAP fertilizers globally, one of the leading producers of </w:t>
      </w:r>
      <w:proofErr w:type="spellStart"/>
      <w:r w:rsidRPr="7C16E36C">
        <w:rPr>
          <w:rFonts w:asciiTheme="minorHAnsi" w:eastAsiaTheme="minorEastAsia" w:hAnsiTheme="minorHAnsi" w:cstheme="minorBidi"/>
          <w:i/>
          <w:iCs/>
        </w:rPr>
        <w:t>monocalcium</w:t>
      </w:r>
      <w:proofErr w:type="spellEnd"/>
      <w:r w:rsidRPr="7C16E36C">
        <w:rPr>
          <w:rFonts w:asciiTheme="minorHAnsi" w:eastAsiaTheme="minorEastAsia" w:hAnsiTheme="minorHAnsi" w:cstheme="minorBidi"/>
          <w:i/>
          <w:iCs/>
        </w:rPr>
        <w:t xml:space="preserve"> feed phosphates (MCP) in Europe – and the only such producer in Russia – and Russia’s only producer of </w:t>
      </w:r>
      <w:proofErr w:type="gramStart"/>
      <w:r w:rsidRPr="7C16E36C">
        <w:rPr>
          <w:rFonts w:asciiTheme="minorHAnsi" w:eastAsiaTheme="minorEastAsia" w:hAnsiTheme="minorHAnsi" w:cstheme="minorBidi"/>
          <w:i/>
          <w:iCs/>
        </w:rPr>
        <w:t>nepheline</w:t>
      </w:r>
      <w:proofErr w:type="gramEnd"/>
      <w:r w:rsidRPr="7C16E36C">
        <w:rPr>
          <w:rFonts w:asciiTheme="minorHAnsi" w:eastAsiaTheme="minorEastAsia" w:hAnsiTheme="minorHAnsi" w:cstheme="minorBidi"/>
          <w:i/>
          <w:iCs/>
        </w:rPr>
        <w:t xml:space="preserve"> concentrate.</w:t>
      </w:r>
    </w:p>
    <w:p w14:paraId="29017411" w14:textId="77777777" w:rsidR="00224436" w:rsidRDefault="00224436" w:rsidP="00224436">
      <w:pPr>
        <w:spacing w:before="60" w:after="60"/>
        <w:jc w:val="both"/>
        <w:rPr>
          <w:rFonts w:asciiTheme="minorHAnsi" w:eastAsiaTheme="minorEastAsia" w:hAnsiTheme="minorHAnsi" w:cstheme="minorBidi"/>
          <w:i/>
          <w:iCs/>
        </w:rPr>
      </w:pPr>
      <w:proofErr w:type="spellStart"/>
      <w:r w:rsidRPr="7C16E36C">
        <w:rPr>
          <w:rFonts w:asciiTheme="minorHAnsi" w:eastAsiaTheme="minorEastAsia" w:hAnsiTheme="minorHAnsi" w:cstheme="minorBidi"/>
          <w:i/>
          <w:iCs/>
        </w:rPr>
        <w:t>PhosAgro’s</w:t>
      </w:r>
      <w:proofErr w:type="spellEnd"/>
      <w:r w:rsidRPr="7C16E36C">
        <w:rPr>
          <w:rFonts w:asciiTheme="minorHAnsi" w:eastAsiaTheme="minorEastAsia" w:hAnsiTheme="minorHAnsi" w:cstheme="minorBidi"/>
          <w:i/>
          <w:iCs/>
        </w:rPr>
        <w:t xml:space="preserve"> main products, including phosphate rock, 58 grades of fertilizers, feed phosphates, ammonia and sodium </w:t>
      </w:r>
      <w:proofErr w:type="spellStart"/>
      <w:r w:rsidRPr="7C16E36C">
        <w:rPr>
          <w:rFonts w:asciiTheme="minorHAnsi" w:eastAsiaTheme="minorEastAsia" w:hAnsiTheme="minorHAnsi" w:cstheme="minorBidi"/>
          <w:i/>
          <w:iCs/>
        </w:rPr>
        <w:t>tripolyphosphate</w:t>
      </w:r>
      <w:proofErr w:type="spellEnd"/>
      <w:r w:rsidRPr="7C16E36C">
        <w:rPr>
          <w:rFonts w:asciiTheme="minorHAnsi" w:eastAsiaTheme="minorEastAsia" w:hAnsiTheme="minorHAnsi" w:cstheme="minorBidi"/>
          <w:i/>
          <w:iCs/>
        </w:rPr>
        <w:t xml:space="preserve">, are used by customers in </w:t>
      </w:r>
      <w:r>
        <w:rPr>
          <w:rFonts w:asciiTheme="minorHAnsi" w:eastAsiaTheme="minorEastAsia" w:hAnsiTheme="minorHAnsi" w:cstheme="minorBidi"/>
          <w:i/>
          <w:iCs/>
        </w:rPr>
        <w:t xml:space="preserve">around </w:t>
      </w:r>
      <w:r w:rsidRPr="7C16E36C">
        <w:rPr>
          <w:rFonts w:asciiTheme="minorHAnsi" w:eastAsiaTheme="minorEastAsia" w:hAnsiTheme="minorHAnsi" w:cstheme="minorBidi"/>
          <w:i/>
          <w:iCs/>
        </w:rPr>
        <w:t xml:space="preserve">100 countries spanning all the world’s inhabited continents. The Company’s priority markets beyond Russia and the CIS are Latin America, Europe and Asia. </w:t>
      </w:r>
    </w:p>
    <w:p w14:paraId="37CE7423" w14:textId="77777777" w:rsidR="00224436" w:rsidRDefault="00224436" w:rsidP="00224436">
      <w:pPr>
        <w:spacing w:before="60" w:after="60"/>
        <w:jc w:val="both"/>
        <w:rPr>
          <w:rFonts w:asciiTheme="minorHAnsi" w:eastAsiaTheme="minorEastAsia" w:hAnsiTheme="minorHAnsi" w:cstheme="minorBidi"/>
          <w:i/>
          <w:iCs/>
        </w:rPr>
      </w:pPr>
      <w:r w:rsidRPr="7C16E36C">
        <w:rPr>
          <w:rFonts w:asciiTheme="minorHAnsi" w:eastAsiaTheme="minorEastAsia" w:hAnsiTheme="minorHAnsi" w:cstheme="minorBidi"/>
          <w:i/>
          <w:iCs/>
        </w:rPr>
        <w:t xml:space="preserve">The Company’s shares are listed on the Moscow Exchange and its global depositary receipts (GDRs) are listed on the London Stock Exchange (MOEX and LSE ticker: PHOR). </w:t>
      </w:r>
    </w:p>
    <w:p w14:paraId="54E04EE6" w14:textId="6A369737" w:rsidR="00C246DE" w:rsidRPr="00224436" w:rsidRDefault="00C246DE" w:rsidP="00224436">
      <w:pPr>
        <w:shd w:val="clear" w:color="auto" w:fill="FFFFFF"/>
        <w:jc w:val="both"/>
        <w:rPr>
          <w:i/>
          <w:iCs/>
          <w:color w:val="000000"/>
          <w:sz w:val="18"/>
          <w:szCs w:val="18"/>
          <w:lang w:val="en-US"/>
        </w:rPr>
      </w:pPr>
      <w:r w:rsidRPr="00224436">
        <w:rPr>
          <w:i/>
          <w:iCs/>
          <w:color w:val="000000"/>
          <w:sz w:val="18"/>
          <w:szCs w:val="18"/>
          <w:lang w:val="en-US"/>
        </w:rPr>
        <w:tab/>
      </w:r>
    </w:p>
    <w:p w14:paraId="3C3FA944" w14:textId="77777777" w:rsidR="00C246DE" w:rsidRPr="00224436" w:rsidRDefault="00C246DE" w:rsidP="003B6ED0">
      <w:pPr>
        <w:ind w:firstLine="567"/>
        <w:rPr>
          <w:sz w:val="18"/>
          <w:szCs w:val="18"/>
          <w:lang w:val="en-US"/>
        </w:rPr>
        <w:sectPr w:rsidR="00C246DE" w:rsidRPr="00224436" w:rsidSect="004C3B91">
          <w:headerReference w:type="default" r:id="rId24"/>
          <w:headerReference w:type="first" r:id="rId25"/>
          <w:footnotePr>
            <w:numRestart w:val="eachPage"/>
          </w:footnotePr>
          <w:pgSz w:w="11907" w:h="16840" w:code="9"/>
          <w:pgMar w:top="1440" w:right="1077" w:bottom="1077" w:left="1440" w:header="567" w:footer="567" w:gutter="0"/>
          <w:pgNumType w:start="1"/>
          <w:cols w:space="708"/>
          <w:docGrid w:linePitch="360"/>
        </w:sectPr>
      </w:pPr>
    </w:p>
    <w:tbl>
      <w:tblPr>
        <w:tblW w:w="9356" w:type="dxa"/>
        <w:tblLayout w:type="fixed"/>
        <w:tblCellMar>
          <w:left w:w="85" w:type="dxa"/>
          <w:right w:w="85" w:type="dxa"/>
        </w:tblCellMar>
        <w:tblLook w:val="0000" w:firstRow="0" w:lastRow="0" w:firstColumn="0" w:lastColumn="0" w:noHBand="0" w:noVBand="0"/>
      </w:tblPr>
      <w:tblGrid>
        <w:gridCol w:w="5556"/>
        <w:gridCol w:w="2099"/>
        <w:gridCol w:w="1701"/>
      </w:tblGrid>
      <w:tr w:rsidR="00A90FED" w:rsidRPr="00A90FED" w14:paraId="4E3BAF56" w14:textId="77777777" w:rsidTr="00A90FED">
        <w:trPr>
          <w:cantSplit/>
        </w:trPr>
        <w:tc>
          <w:tcPr>
            <w:tcW w:w="5556" w:type="dxa"/>
            <w:tcBorders>
              <w:top w:val="nil"/>
              <w:left w:val="nil"/>
              <w:bottom w:val="single" w:sz="4" w:space="0" w:color="auto"/>
              <w:right w:val="nil"/>
            </w:tcBorders>
            <w:vAlign w:val="bottom"/>
          </w:tcPr>
          <w:p w14:paraId="43928CA5" w14:textId="77777777" w:rsidR="00A90FED" w:rsidRPr="00A90FED" w:rsidRDefault="00A90FED" w:rsidP="00A90FED">
            <w:pPr>
              <w:widowControl w:val="0"/>
              <w:autoSpaceDE w:val="0"/>
              <w:autoSpaceDN w:val="0"/>
              <w:adjustRightInd w:val="0"/>
              <w:spacing w:after="0" w:line="240" w:lineRule="auto"/>
              <w:ind w:left="113" w:hanging="113"/>
              <w:rPr>
                <w:rFonts w:ascii="Arial" w:eastAsia="Times New Roman" w:hAnsi="Arial" w:cs="Arial"/>
                <w:i/>
                <w:iCs/>
                <w:spacing w:val="-2"/>
                <w:sz w:val="18"/>
                <w:szCs w:val="18"/>
                <w:lang w:eastAsia="ru-RU"/>
              </w:rPr>
            </w:pPr>
            <w:r w:rsidRPr="00A90FED">
              <w:rPr>
                <w:rFonts w:ascii="Arial" w:eastAsia="Times New Roman" w:hAnsi="Arial" w:cs="Arial"/>
                <w:i/>
                <w:iCs/>
                <w:spacing w:val="-2"/>
                <w:sz w:val="18"/>
                <w:szCs w:val="18"/>
                <w:lang w:eastAsia="ru-RU"/>
              </w:rPr>
              <w:lastRenderedPageBreak/>
              <w:t xml:space="preserve">RUB </w:t>
            </w:r>
            <w:r w:rsidRPr="00A90FED">
              <w:rPr>
                <w:rFonts w:ascii="Arial" w:eastAsia="Times New Roman" w:hAnsi="Arial" w:cs="Arial"/>
                <w:i/>
                <w:iCs/>
                <w:spacing w:val="-2"/>
                <w:sz w:val="18"/>
                <w:szCs w:val="18"/>
                <w:lang w:val="en-US" w:eastAsia="ru-RU"/>
              </w:rPr>
              <w:t>m</w:t>
            </w:r>
            <w:proofErr w:type="spellStart"/>
            <w:r w:rsidRPr="00A90FED">
              <w:rPr>
                <w:rFonts w:ascii="Arial" w:eastAsia="Times New Roman" w:hAnsi="Arial" w:cs="Arial"/>
                <w:i/>
                <w:iCs/>
                <w:spacing w:val="-2"/>
                <w:sz w:val="18"/>
                <w:szCs w:val="18"/>
                <w:lang w:eastAsia="ru-RU"/>
              </w:rPr>
              <w:t>illion</w:t>
            </w:r>
            <w:proofErr w:type="spellEnd"/>
          </w:p>
        </w:tc>
        <w:tc>
          <w:tcPr>
            <w:tcW w:w="2099" w:type="dxa"/>
            <w:tcBorders>
              <w:top w:val="nil"/>
              <w:left w:val="nil"/>
              <w:bottom w:val="single" w:sz="4" w:space="0" w:color="auto"/>
              <w:right w:val="nil"/>
            </w:tcBorders>
            <w:vAlign w:val="bottom"/>
          </w:tcPr>
          <w:p w14:paraId="3D8DEEA9"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bCs/>
                <w:spacing w:val="-2"/>
                <w:sz w:val="18"/>
                <w:szCs w:val="18"/>
                <w:lang w:val="ru-RU" w:eastAsia="ru-RU"/>
              </w:rPr>
            </w:pPr>
            <w:r w:rsidRPr="00A90FED">
              <w:rPr>
                <w:rFonts w:ascii="Arial" w:eastAsia="Times New Roman" w:hAnsi="Arial" w:cs="Arial"/>
                <w:b/>
                <w:bCs/>
                <w:spacing w:val="-2"/>
                <w:sz w:val="18"/>
                <w:szCs w:val="18"/>
                <w:lang w:eastAsia="ru-RU"/>
              </w:rPr>
              <w:t>202</w:t>
            </w:r>
            <w:r w:rsidRPr="00A90FED">
              <w:rPr>
                <w:rFonts w:ascii="Arial" w:eastAsia="Times New Roman" w:hAnsi="Arial" w:cs="Arial"/>
                <w:b/>
                <w:bCs/>
                <w:spacing w:val="-2"/>
                <w:sz w:val="18"/>
                <w:szCs w:val="18"/>
                <w:lang w:val="ru-RU" w:eastAsia="ru-RU"/>
              </w:rPr>
              <w:t>4</w:t>
            </w:r>
          </w:p>
        </w:tc>
        <w:tc>
          <w:tcPr>
            <w:tcW w:w="1701" w:type="dxa"/>
            <w:tcBorders>
              <w:top w:val="nil"/>
              <w:left w:val="nil"/>
              <w:bottom w:val="single" w:sz="4" w:space="0" w:color="auto"/>
              <w:right w:val="nil"/>
            </w:tcBorders>
            <w:vAlign w:val="bottom"/>
          </w:tcPr>
          <w:p w14:paraId="09098B8F"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bCs/>
                <w:spacing w:val="-2"/>
                <w:sz w:val="18"/>
                <w:szCs w:val="18"/>
                <w:lang w:val="ru-RU" w:eastAsia="ru-RU"/>
              </w:rPr>
            </w:pPr>
            <w:r w:rsidRPr="00A90FED">
              <w:rPr>
                <w:rFonts w:ascii="Arial" w:eastAsia="Times New Roman" w:hAnsi="Arial" w:cs="Arial"/>
                <w:b/>
                <w:bCs/>
                <w:spacing w:val="-2"/>
                <w:sz w:val="18"/>
                <w:szCs w:val="18"/>
                <w:lang w:eastAsia="ru-RU"/>
              </w:rPr>
              <w:t>202</w:t>
            </w:r>
            <w:r w:rsidRPr="00A90FED">
              <w:rPr>
                <w:rFonts w:ascii="Arial" w:eastAsia="Times New Roman" w:hAnsi="Arial" w:cs="Arial"/>
                <w:b/>
                <w:bCs/>
                <w:spacing w:val="-2"/>
                <w:sz w:val="18"/>
                <w:szCs w:val="18"/>
                <w:lang w:val="ru-RU" w:eastAsia="ru-RU"/>
              </w:rPr>
              <w:t>3</w:t>
            </w:r>
          </w:p>
        </w:tc>
      </w:tr>
      <w:tr w:rsidR="00A90FED" w:rsidRPr="00A90FED" w14:paraId="12F3884D" w14:textId="77777777" w:rsidTr="00A90FED">
        <w:trPr>
          <w:cantSplit/>
        </w:trPr>
        <w:tc>
          <w:tcPr>
            <w:tcW w:w="5556" w:type="dxa"/>
            <w:tcBorders>
              <w:top w:val="single" w:sz="4" w:space="0" w:color="auto"/>
              <w:left w:val="nil"/>
              <w:right w:val="nil"/>
            </w:tcBorders>
            <w:vAlign w:val="bottom"/>
          </w:tcPr>
          <w:p w14:paraId="62C24D88" w14:textId="77777777" w:rsidR="00A90FED" w:rsidRPr="00A90FED" w:rsidRDefault="00A90FED" w:rsidP="00A90FED">
            <w:pPr>
              <w:widowControl w:val="0"/>
              <w:autoSpaceDE w:val="0"/>
              <w:autoSpaceDN w:val="0"/>
              <w:adjustRightInd w:val="0"/>
              <w:spacing w:after="0" w:line="240" w:lineRule="auto"/>
              <w:ind w:left="113" w:hanging="113"/>
              <w:jc w:val="right"/>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099" w:type="dxa"/>
            <w:tcBorders>
              <w:top w:val="single" w:sz="4" w:space="0" w:color="auto"/>
              <w:left w:val="nil"/>
              <w:right w:val="nil"/>
            </w:tcBorders>
            <w:vAlign w:val="bottom"/>
          </w:tcPr>
          <w:p w14:paraId="58D5DE14"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1701" w:type="dxa"/>
            <w:tcBorders>
              <w:top w:val="single" w:sz="4" w:space="0" w:color="auto"/>
              <w:left w:val="nil"/>
              <w:right w:val="nil"/>
            </w:tcBorders>
            <w:vAlign w:val="bottom"/>
          </w:tcPr>
          <w:p w14:paraId="1FB58D1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A90FED" w:rsidRPr="00A90FED" w14:paraId="3101BEC4" w14:textId="77777777" w:rsidTr="00A90FED">
        <w:trPr>
          <w:cantSplit/>
        </w:trPr>
        <w:tc>
          <w:tcPr>
            <w:tcW w:w="5556" w:type="dxa"/>
            <w:tcBorders>
              <w:left w:val="nil"/>
              <w:bottom w:val="nil"/>
              <w:right w:val="nil"/>
            </w:tcBorders>
            <w:vAlign w:val="bottom"/>
          </w:tcPr>
          <w:p w14:paraId="23C0A1A1"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Revenues</w:t>
            </w:r>
          </w:p>
        </w:tc>
        <w:tc>
          <w:tcPr>
            <w:tcW w:w="2099" w:type="dxa"/>
            <w:tcBorders>
              <w:left w:val="nil"/>
              <w:bottom w:val="nil"/>
              <w:right w:val="nil"/>
            </w:tcBorders>
            <w:shd w:val="clear" w:color="auto" w:fill="auto"/>
            <w:vAlign w:val="bottom"/>
          </w:tcPr>
          <w:p w14:paraId="5A0242BE" w14:textId="77777777" w:rsidR="00A90FED" w:rsidRPr="00A90FED" w:rsidRDefault="00A90FED" w:rsidP="00A90FED">
            <w:pPr>
              <w:widowControl w:val="0"/>
              <w:spacing w:after="0" w:line="240" w:lineRule="auto"/>
              <w:jc w:val="right"/>
              <w:rPr>
                <w:rFonts w:ascii="Arial" w:eastAsia="Times New Roman" w:hAnsi="Arial" w:cs="Arial"/>
                <w:color w:val="000000"/>
                <w:spacing w:val="-2"/>
                <w:sz w:val="18"/>
                <w:szCs w:val="18"/>
                <w:lang w:val="ru-RU" w:eastAsia="en-US"/>
              </w:rPr>
            </w:pPr>
            <w:r w:rsidRPr="00A90FED">
              <w:rPr>
                <w:rFonts w:ascii="Arial" w:eastAsia="Times New Roman" w:hAnsi="Arial" w:cs="Arial"/>
                <w:spacing w:val="-2"/>
                <w:sz w:val="18"/>
                <w:szCs w:val="18"/>
                <w:lang w:val="ru-RU" w:eastAsia="ru-RU"/>
              </w:rPr>
              <w:t>507</w:t>
            </w:r>
            <w:r w:rsidRPr="00A90FED">
              <w:rPr>
                <w:rFonts w:ascii="Arial" w:eastAsia="Times New Roman" w:hAnsi="Arial" w:cs="Arial"/>
                <w:spacing w:val="-2"/>
                <w:sz w:val="18"/>
                <w:szCs w:val="18"/>
                <w:lang w:val="en-US" w:eastAsia="ru-RU"/>
              </w:rPr>
              <w:t>,</w:t>
            </w:r>
            <w:r w:rsidRPr="00A90FED">
              <w:rPr>
                <w:rFonts w:ascii="Arial" w:eastAsia="Times New Roman" w:hAnsi="Arial" w:cs="Arial"/>
                <w:spacing w:val="-2"/>
                <w:sz w:val="18"/>
                <w:szCs w:val="18"/>
                <w:lang w:val="ru-RU" w:eastAsia="ru-RU"/>
              </w:rPr>
              <w:t>689</w:t>
            </w:r>
          </w:p>
        </w:tc>
        <w:tc>
          <w:tcPr>
            <w:tcW w:w="1701" w:type="dxa"/>
            <w:tcBorders>
              <w:left w:val="nil"/>
              <w:bottom w:val="nil"/>
              <w:right w:val="nil"/>
            </w:tcBorders>
            <w:vAlign w:val="bottom"/>
          </w:tcPr>
          <w:p w14:paraId="23C7548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color w:val="000000"/>
                <w:spacing w:val="-2"/>
                <w:sz w:val="18"/>
                <w:szCs w:val="18"/>
                <w:lang w:val="en-US" w:eastAsia="en-US"/>
              </w:rPr>
            </w:pPr>
            <w:r w:rsidRPr="00A90FED">
              <w:rPr>
                <w:rFonts w:ascii="Arial" w:eastAsia="Times New Roman" w:hAnsi="Arial" w:cs="Arial"/>
                <w:spacing w:val="-2"/>
                <w:sz w:val="18"/>
                <w:szCs w:val="18"/>
                <w:lang w:val="en-US" w:eastAsia="ru-RU"/>
              </w:rPr>
              <w:t>440,</w:t>
            </w:r>
            <w:r w:rsidRPr="00A90FED">
              <w:rPr>
                <w:rFonts w:ascii="Arial" w:eastAsia="Times New Roman" w:hAnsi="Arial" w:cs="Arial"/>
                <w:spacing w:val="-2"/>
                <w:sz w:val="18"/>
                <w:szCs w:val="18"/>
                <w:lang w:val="ru-RU" w:eastAsia="ru-RU"/>
              </w:rPr>
              <w:t>304</w:t>
            </w:r>
          </w:p>
        </w:tc>
      </w:tr>
      <w:tr w:rsidR="00A90FED" w:rsidRPr="00A90FED" w14:paraId="2DD2A995" w14:textId="77777777" w:rsidTr="00A90FED">
        <w:trPr>
          <w:cantSplit/>
        </w:trPr>
        <w:tc>
          <w:tcPr>
            <w:tcW w:w="5556" w:type="dxa"/>
            <w:tcBorders>
              <w:top w:val="nil"/>
              <w:left w:val="nil"/>
              <w:right w:val="nil"/>
            </w:tcBorders>
            <w:vAlign w:val="bottom"/>
          </w:tcPr>
          <w:p w14:paraId="2B00403E"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Cost of Group products sold</w:t>
            </w:r>
          </w:p>
        </w:tc>
        <w:tc>
          <w:tcPr>
            <w:tcW w:w="2099" w:type="dxa"/>
            <w:tcBorders>
              <w:top w:val="nil"/>
              <w:left w:val="nil"/>
              <w:right w:val="nil"/>
            </w:tcBorders>
            <w:shd w:val="clear" w:color="auto" w:fill="auto"/>
            <w:vAlign w:val="bottom"/>
          </w:tcPr>
          <w:p w14:paraId="6C2CC9C2" w14:textId="77777777" w:rsidR="00A90FED" w:rsidRPr="00A90FED" w:rsidRDefault="00A90FED" w:rsidP="00A90FED">
            <w:pPr>
              <w:widowControl w:val="0"/>
              <w:spacing w:after="0" w:line="240" w:lineRule="auto"/>
              <w:ind w:right="-57"/>
              <w:jc w:val="right"/>
              <w:rPr>
                <w:rFonts w:ascii="Arial" w:eastAsia="Times New Roman" w:hAnsi="Arial" w:cs="Arial"/>
                <w:spacing w:val="-2"/>
                <w:sz w:val="18"/>
                <w:szCs w:val="18"/>
                <w:lang w:val="en-US" w:eastAsia="ru-RU"/>
              </w:rPr>
            </w:pPr>
            <w:r w:rsidRPr="00A90FED">
              <w:rPr>
                <w:rFonts w:ascii="Arial" w:eastAsia="Times New Roman" w:hAnsi="Arial" w:cs="Arial"/>
                <w:color w:val="000000"/>
                <w:spacing w:val="-2"/>
                <w:sz w:val="18"/>
                <w:szCs w:val="18"/>
                <w:lang w:val="en-US" w:eastAsia="en-US"/>
              </w:rPr>
              <w:t>(</w:t>
            </w:r>
            <w:r w:rsidRPr="00A90FED">
              <w:rPr>
                <w:rFonts w:ascii="Arial" w:eastAsia="Times New Roman" w:hAnsi="Arial" w:cs="Arial"/>
                <w:spacing w:val="-2"/>
                <w:sz w:val="18"/>
                <w:szCs w:val="18"/>
                <w:lang w:val="ru-RU" w:eastAsia="ru-RU"/>
              </w:rPr>
              <w:t>293</w:t>
            </w:r>
            <w:r w:rsidRPr="00A90FED">
              <w:rPr>
                <w:rFonts w:ascii="Arial" w:eastAsia="Times New Roman" w:hAnsi="Arial" w:cs="Arial"/>
                <w:spacing w:val="-2"/>
                <w:sz w:val="18"/>
                <w:szCs w:val="18"/>
                <w:lang w:val="en-US" w:eastAsia="ru-RU"/>
              </w:rPr>
              <w:t>,</w:t>
            </w:r>
            <w:r w:rsidRPr="00A90FED">
              <w:rPr>
                <w:rFonts w:ascii="Arial" w:eastAsia="Times New Roman" w:hAnsi="Arial" w:cs="Arial"/>
                <w:spacing w:val="-2"/>
                <w:sz w:val="18"/>
                <w:szCs w:val="18"/>
                <w:lang w:val="ru-RU" w:eastAsia="ru-RU"/>
              </w:rPr>
              <w:t>484</w:t>
            </w:r>
            <w:r w:rsidRPr="00A90FED">
              <w:rPr>
                <w:rFonts w:ascii="Arial" w:eastAsia="Times New Roman" w:hAnsi="Arial" w:cs="Arial"/>
                <w:color w:val="000000"/>
                <w:spacing w:val="-2"/>
                <w:sz w:val="18"/>
                <w:szCs w:val="18"/>
                <w:lang w:val="en-US" w:eastAsia="en-US"/>
              </w:rPr>
              <w:t>)</w:t>
            </w:r>
          </w:p>
        </w:tc>
        <w:tc>
          <w:tcPr>
            <w:tcW w:w="1701" w:type="dxa"/>
            <w:tcBorders>
              <w:top w:val="nil"/>
              <w:left w:val="nil"/>
              <w:right w:val="nil"/>
            </w:tcBorders>
            <w:vAlign w:val="bottom"/>
          </w:tcPr>
          <w:p w14:paraId="0D451210"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eastAsia="ru-RU"/>
              </w:rPr>
            </w:pPr>
            <w:r w:rsidRPr="00A90FED">
              <w:rPr>
                <w:rFonts w:ascii="Arial" w:eastAsia="Times New Roman" w:hAnsi="Arial" w:cs="Arial"/>
                <w:color w:val="000000"/>
                <w:spacing w:val="-2"/>
                <w:sz w:val="18"/>
                <w:szCs w:val="18"/>
                <w:lang w:val="en-US" w:eastAsia="en-US"/>
              </w:rPr>
              <w:t>(</w:t>
            </w:r>
            <w:r w:rsidRPr="00A90FED">
              <w:rPr>
                <w:rFonts w:ascii="Arial" w:eastAsia="Times New Roman" w:hAnsi="Arial" w:cs="Arial"/>
                <w:spacing w:val="-2"/>
                <w:sz w:val="18"/>
                <w:szCs w:val="18"/>
                <w:lang w:val="en-US" w:eastAsia="ru-RU"/>
              </w:rPr>
              <w:t>235,</w:t>
            </w:r>
            <w:r w:rsidRPr="00A90FED">
              <w:rPr>
                <w:rFonts w:ascii="Arial" w:eastAsia="Times New Roman" w:hAnsi="Arial" w:cs="Arial"/>
                <w:spacing w:val="-2"/>
                <w:sz w:val="18"/>
                <w:szCs w:val="18"/>
                <w:lang w:val="ru-RU" w:eastAsia="ru-RU"/>
              </w:rPr>
              <w:t>560</w:t>
            </w:r>
            <w:r w:rsidRPr="00A90FED">
              <w:rPr>
                <w:rFonts w:ascii="Arial" w:eastAsia="Times New Roman" w:hAnsi="Arial" w:cs="Arial"/>
                <w:color w:val="000000"/>
                <w:spacing w:val="-2"/>
                <w:sz w:val="18"/>
                <w:szCs w:val="18"/>
                <w:lang w:val="en-US" w:eastAsia="en-US"/>
              </w:rPr>
              <w:t>)</w:t>
            </w:r>
          </w:p>
        </w:tc>
      </w:tr>
      <w:tr w:rsidR="00A90FED" w:rsidRPr="00A90FED" w14:paraId="01216CBC" w14:textId="77777777" w:rsidTr="00A90FED">
        <w:trPr>
          <w:cantSplit/>
        </w:trPr>
        <w:tc>
          <w:tcPr>
            <w:tcW w:w="5556" w:type="dxa"/>
            <w:tcBorders>
              <w:top w:val="nil"/>
              <w:left w:val="nil"/>
              <w:right w:val="nil"/>
            </w:tcBorders>
            <w:vAlign w:val="bottom"/>
          </w:tcPr>
          <w:p w14:paraId="05C094B2"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Cost of products for resale</w:t>
            </w:r>
          </w:p>
        </w:tc>
        <w:tc>
          <w:tcPr>
            <w:tcW w:w="2099" w:type="dxa"/>
            <w:tcBorders>
              <w:top w:val="nil"/>
              <w:left w:val="nil"/>
              <w:right w:val="nil"/>
            </w:tcBorders>
            <w:shd w:val="clear" w:color="auto" w:fill="auto"/>
            <w:vAlign w:val="bottom"/>
          </w:tcPr>
          <w:p w14:paraId="6DE48D13" w14:textId="77777777" w:rsidR="00A90FED" w:rsidRPr="00A90FED" w:rsidRDefault="00A90FED" w:rsidP="00A90FED">
            <w:pPr>
              <w:widowControl w:val="0"/>
              <w:spacing w:after="0" w:line="240" w:lineRule="auto"/>
              <w:ind w:right="-57"/>
              <w:jc w:val="right"/>
              <w:rPr>
                <w:rFonts w:ascii="Arial" w:eastAsia="Times New Roman" w:hAnsi="Arial" w:cs="Arial"/>
                <w:spacing w:val="-2"/>
                <w:sz w:val="18"/>
                <w:szCs w:val="18"/>
                <w:lang w:val="en-US" w:eastAsia="ru-RU"/>
              </w:rPr>
            </w:pPr>
            <w:r w:rsidRPr="00A90FED">
              <w:rPr>
                <w:rFonts w:ascii="Arial" w:eastAsia="Times New Roman" w:hAnsi="Arial" w:cs="Arial"/>
                <w:color w:val="000000"/>
                <w:spacing w:val="-2"/>
                <w:sz w:val="18"/>
                <w:szCs w:val="18"/>
                <w:lang w:val="en-US" w:eastAsia="en-US"/>
              </w:rPr>
              <w:t>(</w:t>
            </w:r>
            <w:r w:rsidRPr="00A90FED">
              <w:rPr>
                <w:rFonts w:ascii="Arial" w:eastAsia="Times New Roman" w:hAnsi="Arial" w:cs="Arial"/>
                <w:spacing w:val="-2"/>
                <w:sz w:val="18"/>
                <w:szCs w:val="18"/>
                <w:lang w:val="ru-RU" w:eastAsia="ru-RU"/>
              </w:rPr>
              <w:t>12</w:t>
            </w:r>
            <w:r w:rsidRPr="00A90FED">
              <w:rPr>
                <w:rFonts w:ascii="Arial" w:eastAsia="Times New Roman" w:hAnsi="Arial" w:cs="Arial"/>
                <w:spacing w:val="-2"/>
                <w:sz w:val="18"/>
                <w:szCs w:val="18"/>
                <w:lang w:val="en-US" w:eastAsia="ru-RU"/>
              </w:rPr>
              <w:t>,</w:t>
            </w:r>
            <w:r w:rsidRPr="00A90FED">
              <w:rPr>
                <w:rFonts w:ascii="Arial" w:eastAsia="Times New Roman" w:hAnsi="Arial" w:cs="Arial"/>
                <w:spacing w:val="-2"/>
                <w:sz w:val="18"/>
                <w:szCs w:val="18"/>
                <w:lang w:val="ru-RU" w:eastAsia="ru-RU"/>
              </w:rPr>
              <w:t>675</w:t>
            </w:r>
            <w:r w:rsidRPr="00A90FED">
              <w:rPr>
                <w:rFonts w:ascii="Arial" w:eastAsia="Times New Roman" w:hAnsi="Arial" w:cs="Arial"/>
                <w:color w:val="000000"/>
                <w:spacing w:val="-2"/>
                <w:sz w:val="18"/>
                <w:szCs w:val="18"/>
                <w:lang w:val="en-US" w:eastAsia="en-US"/>
              </w:rPr>
              <w:t>)</w:t>
            </w:r>
          </w:p>
        </w:tc>
        <w:tc>
          <w:tcPr>
            <w:tcW w:w="1701" w:type="dxa"/>
            <w:tcBorders>
              <w:top w:val="nil"/>
              <w:left w:val="nil"/>
              <w:right w:val="nil"/>
            </w:tcBorders>
            <w:vAlign w:val="bottom"/>
          </w:tcPr>
          <w:p w14:paraId="74050F1B"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color w:val="000000"/>
                <w:spacing w:val="-2"/>
                <w:sz w:val="18"/>
                <w:szCs w:val="18"/>
                <w:lang w:val="en-US" w:eastAsia="en-US"/>
              </w:rPr>
            </w:pPr>
            <w:r w:rsidRPr="00A90FED">
              <w:rPr>
                <w:rFonts w:ascii="Arial" w:eastAsia="Times New Roman" w:hAnsi="Arial" w:cs="Arial"/>
                <w:color w:val="000000"/>
                <w:spacing w:val="-2"/>
                <w:sz w:val="18"/>
                <w:szCs w:val="18"/>
                <w:lang w:val="en-US" w:eastAsia="en-US"/>
              </w:rPr>
              <w:t>(16,056)</w:t>
            </w:r>
          </w:p>
        </w:tc>
      </w:tr>
      <w:tr w:rsidR="00A90FED" w:rsidRPr="00A90FED" w14:paraId="75338423" w14:textId="77777777" w:rsidTr="00A90FED">
        <w:trPr>
          <w:cantSplit/>
        </w:trPr>
        <w:tc>
          <w:tcPr>
            <w:tcW w:w="5556" w:type="dxa"/>
            <w:tcBorders>
              <w:top w:val="nil"/>
              <w:left w:val="nil"/>
              <w:bottom w:val="single" w:sz="4" w:space="0" w:color="auto"/>
              <w:right w:val="nil"/>
            </w:tcBorders>
            <w:vAlign w:val="bottom"/>
          </w:tcPr>
          <w:p w14:paraId="7A550764"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099" w:type="dxa"/>
            <w:tcBorders>
              <w:top w:val="nil"/>
              <w:left w:val="nil"/>
              <w:bottom w:val="single" w:sz="4" w:space="0" w:color="auto"/>
              <w:right w:val="nil"/>
            </w:tcBorders>
            <w:vAlign w:val="bottom"/>
          </w:tcPr>
          <w:p w14:paraId="2412129E" w14:textId="77777777" w:rsidR="00A90FED" w:rsidRPr="00A90FED" w:rsidRDefault="00A90FED" w:rsidP="00A90FED">
            <w:pPr>
              <w:widowControl w:val="0"/>
              <w:spacing w:after="0" w:line="240" w:lineRule="auto"/>
              <w:jc w:val="right"/>
              <w:rPr>
                <w:rFonts w:ascii="Arial" w:eastAsia="Times New Roman" w:hAnsi="Arial" w:cs="Arial"/>
                <w:color w:val="000000"/>
                <w:spacing w:val="-2"/>
                <w:sz w:val="10"/>
                <w:szCs w:val="10"/>
                <w:lang w:val="en-US" w:eastAsia="en-US"/>
              </w:rPr>
            </w:pPr>
          </w:p>
        </w:tc>
        <w:tc>
          <w:tcPr>
            <w:tcW w:w="1701" w:type="dxa"/>
            <w:tcBorders>
              <w:top w:val="nil"/>
              <w:left w:val="nil"/>
              <w:bottom w:val="single" w:sz="4" w:space="0" w:color="auto"/>
              <w:right w:val="nil"/>
            </w:tcBorders>
            <w:vAlign w:val="bottom"/>
          </w:tcPr>
          <w:p w14:paraId="6460EB66"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A90FED" w:rsidRPr="00A90FED" w14:paraId="1C113934" w14:textId="77777777" w:rsidTr="00A90FED">
        <w:trPr>
          <w:cantSplit/>
        </w:trPr>
        <w:tc>
          <w:tcPr>
            <w:tcW w:w="5556" w:type="dxa"/>
            <w:tcBorders>
              <w:top w:val="single" w:sz="4" w:space="0" w:color="auto"/>
              <w:left w:val="nil"/>
              <w:right w:val="nil"/>
            </w:tcBorders>
            <w:vAlign w:val="bottom"/>
          </w:tcPr>
          <w:p w14:paraId="54613BFC"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099" w:type="dxa"/>
            <w:tcBorders>
              <w:top w:val="single" w:sz="4" w:space="0" w:color="auto"/>
              <w:left w:val="nil"/>
              <w:right w:val="nil"/>
            </w:tcBorders>
            <w:vAlign w:val="bottom"/>
          </w:tcPr>
          <w:p w14:paraId="0C5A1329" w14:textId="77777777" w:rsidR="00A90FED" w:rsidRPr="00A90FED" w:rsidRDefault="00A90FED" w:rsidP="00A90FED">
            <w:pPr>
              <w:widowControl w:val="0"/>
              <w:spacing w:after="0" w:line="240" w:lineRule="auto"/>
              <w:jc w:val="right"/>
              <w:rPr>
                <w:rFonts w:ascii="Arial" w:eastAsia="Times New Roman" w:hAnsi="Arial" w:cs="Arial"/>
                <w:color w:val="000000"/>
                <w:spacing w:val="-2"/>
                <w:sz w:val="10"/>
                <w:szCs w:val="10"/>
                <w:lang w:val="en-US" w:eastAsia="en-US"/>
              </w:rPr>
            </w:pPr>
          </w:p>
        </w:tc>
        <w:tc>
          <w:tcPr>
            <w:tcW w:w="1701" w:type="dxa"/>
            <w:tcBorders>
              <w:top w:val="single" w:sz="4" w:space="0" w:color="auto"/>
              <w:left w:val="nil"/>
              <w:right w:val="nil"/>
            </w:tcBorders>
            <w:vAlign w:val="bottom"/>
          </w:tcPr>
          <w:p w14:paraId="769DBAB9"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A90FED" w:rsidRPr="00A90FED" w14:paraId="3E0C5EF2" w14:textId="77777777" w:rsidTr="00A90FED">
        <w:trPr>
          <w:cantSplit/>
        </w:trPr>
        <w:tc>
          <w:tcPr>
            <w:tcW w:w="5556" w:type="dxa"/>
            <w:tcBorders>
              <w:left w:val="nil"/>
              <w:right w:val="nil"/>
            </w:tcBorders>
            <w:vAlign w:val="bottom"/>
          </w:tcPr>
          <w:p w14:paraId="5BCC4C3E"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A90FED">
              <w:rPr>
                <w:rFonts w:ascii="Arial" w:eastAsia="Times New Roman" w:hAnsi="Arial" w:cs="Arial"/>
                <w:b/>
                <w:spacing w:val="-2"/>
                <w:sz w:val="18"/>
                <w:szCs w:val="18"/>
                <w:lang w:eastAsia="ru-RU"/>
              </w:rPr>
              <w:t>Gross profit</w:t>
            </w:r>
          </w:p>
        </w:tc>
        <w:tc>
          <w:tcPr>
            <w:tcW w:w="2099" w:type="dxa"/>
            <w:tcBorders>
              <w:left w:val="nil"/>
              <w:right w:val="nil"/>
            </w:tcBorders>
            <w:vAlign w:val="bottom"/>
          </w:tcPr>
          <w:p w14:paraId="57889B61"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bCs/>
                <w:spacing w:val="-2"/>
                <w:sz w:val="18"/>
                <w:szCs w:val="18"/>
                <w:lang w:val="ru-RU" w:eastAsia="ru-RU"/>
              </w:rPr>
            </w:pPr>
            <w:r w:rsidRPr="00A90FED">
              <w:rPr>
                <w:rFonts w:ascii="Arial" w:eastAsia="Times New Roman" w:hAnsi="Arial" w:cs="Arial"/>
                <w:b/>
                <w:spacing w:val="-2"/>
                <w:sz w:val="18"/>
                <w:szCs w:val="18"/>
                <w:lang w:val="en-US" w:eastAsia="ru-RU"/>
              </w:rPr>
              <w:t>201,530</w:t>
            </w:r>
          </w:p>
        </w:tc>
        <w:tc>
          <w:tcPr>
            <w:tcW w:w="1701" w:type="dxa"/>
            <w:tcBorders>
              <w:left w:val="nil"/>
              <w:right w:val="nil"/>
            </w:tcBorders>
            <w:vAlign w:val="bottom"/>
          </w:tcPr>
          <w:p w14:paraId="2EBDAFC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A90FED">
              <w:rPr>
                <w:rFonts w:ascii="Arial" w:eastAsia="Times New Roman" w:hAnsi="Arial" w:cs="Arial"/>
                <w:b/>
                <w:spacing w:val="-2"/>
                <w:sz w:val="18"/>
                <w:szCs w:val="18"/>
                <w:lang w:val="en-US" w:eastAsia="ru-RU"/>
              </w:rPr>
              <w:t>188,</w:t>
            </w:r>
            <w:r w:rsidRPr="00A90FED">
              <w:rPr>
                <w:rFonts w:ascii="Arial" w:eastAsia="Times New Roman" w:hAnsi="Arial" w:cs="Arial"/>
                <w:b/>
                <w:spacing w:val="-2"/>
                <w:sz w:val="18"/>
                <w:szCs w:val="18"/>
                <w:lang w:val="ru-RU" w:eastAsia="ru-RU"/>
              </w:rPr>
              <w:t>688</w:t>
            </w:r>
          </w:p>
        </w:tc>
      </w:tr>
      <w:tr w:rsidR="00A90FED" w:rsidRPr="00A90FED" w14:paraId="5830D14D" w14:textId="77777777" w:rsidTr="00A90FED">
        <w:trPr>
          <w:cantSplit/>
        </w:trPr>
        <w:tc>
          <w:tcPr>
            <w:tcW w:w="5556" w:type="dxa"/>
            <w:tcBorders>
              <w:left w:val="nil"/>
              <w:right w:val="nil"/>
            </w:tcBorders>
            <w:vAlign w:val="bottom"/>
          </w:tcPr>
          <w:p w14:paraId="7BA34FF7"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A90FED">
              <w:rPr>
                <w:rFonts w:ascii="Arial" w:eastAsia="Times New Roman" w:hAnsi="Arial" w:cs="Arial"/>
                <w:b/>
                <w:spacing w:val="-2"/>
                <w:sz w:val="10"/>
                <w:szCs w:val="10"/>
                <w:lang w:eastAsia="ru-RU"/>
              </w:rPr>
              <w:t> </w:t>
            </w:r>
          </w:p>
        </w:tc>
        <w:tc>
          <w:tcPr>
            <w:tcW w:w="2099" w:type="dxa"/>
            <w:tcBorders>
              <w:left w:val="nil"/>
              <w:right w:val="nil"/>
            </w:tcBorders>
            <w:vAlign w:val="bottom"/>
          </w:tcPr>
          <w:p w14:paraId="7ADEA8A9"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c>
          <w:tcPr>
            <w:tcW w:w="1701" w:type="dxa"/>
            <w:tcBorders>
              <w:left w:val="nil"/>
              <w:right w:val="nil"/>
            </w:tcBorders>
            <w:vAlign w:val="bottom"/>
          </w:tcPr>
          <w:p w14:paraId="4AF9474A"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r>
      <w:tr w:rsidR="00A90FED" w:rsidRPr="00A90FED" w14:paraId="501EE054" w14:textId="77777777" w:rsidTr="00A90FED">
        <w:trPr>
          <w:cantSplit/>
        </w:trPr>
        <w:tc>
          <w:tcPr>
            <w:tcW w:w="5556" w:type="dxa"/>
            <w:tcBorders>
              <w:top w:val="nil"/>
              <w:left w:val="nil"/>
              <w:bottom w:val="nil"/>
              <w:right w:val="nil"/>
            </w:tcBorders>
            <w:vAlign w:val="bottom"/>
          </w:tcPr>
          <w:p w14:paraId="63DA54A2"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Administrative and selling expenses</w:t>
            </w:r>
          </w:p>
        </w:tc>
        <w:tc>
          <w:tcPr>
            <w:tcW w:w="2099" w:type="dxa"/>
            <w:tcBorders>
              <w:top w:val="nil"/>
              <w:left w:val="nil"/>
              <w:bottom w:val="nil"/>
              <w:right w:val="nil"/>
            </w:tcBorders>
            <w:vAlign w:val="bottom"/>
          </w:tcPr>
          <w:p w14:paraId="3D1EA89C"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(41,620)</w:t>
            </w:r>
          </w:p>
        </w:tc>
        <w:tc>
          <w:tcPr>
            <w:tcW w:w="1701" w:type="dxa"/>
            <w:tcBorders>
              <w:top w:val="nil"/>
              <w:left w:val="nil"/>
              <w:bottom w:val="nil"/>
              <w:right w:val="nil"/>
            </w:tcBorders>
            <w:vAlign w:val="bottom"/>
          </w:tcPr>
          <w:p w14:paraId="5C374A01"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ru-RU"/>
              </w:rPr>
              <w:t>(32,</w:t>
            </w:r>
            <w:r w:rsidRPr="00A90FED">
              <w:rPr>
                <w:rFonts w:ascii="Arial" w:eastAsia="Times New Roman" w:hAnsi="Arial" w:cs="Arial"/>
                <w:spacing w:val="-2"/>
                <w:sz w:val="18"/>
                <w:szCs w:val="18"/>
                <w:lang w:val="ru-RU" w:eastAsia="ru-RU"/>
              </w:rPr>
              <w:t>282</w:t>
            </w:r>
            <w:r w:rsidRPr="00A90FED">
              <w:rPr>
                <w:rFonts w:ascii="Arial" w:eastAsia="Times New Roman" w:hAnsi="Arial" w:cs="Arial"/>
                <w:spacing w:val="-2"/>
                <w:sz w:val="18"/>
                <w:szCs w:val="18"/>
                <w:lang w:val="en-US" w:eastAsia="ru-RU"/>
              </w:rPr>
              <w:t>)</w:t>
            </w:r>
          </w:p>
        </w:tc>
      </w:tr>
      <w:tr w:rsidR="00A90FED" w:rsidRPr="00A90FED" w14:paraId="196D067D" w14:textId="77777777" w:rsidTr="00A90FED">
        <w:trPr>
          <w:cantSplit/>
        </w:trPr>
        <w:tc>
          <w:tcPr>
            <w:tcW w:w="5556" w:type="dxa"/>
            <w:tcBorders>
              <w:top w:val="nil"/>
              <w:left w:val="nil"/>
              <w:bottom w:val="nil"/>
              <w:right w:val="nil"/>
            </w:tcBorders>
            <w:vAlign w:val="bottom"/>
          </w:tcPr>
          <w:p w14:paraId="4B90D9CC"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Taxes, other than income tax</w:t>
            </w:r>
          </w:p>
        </w:tc>
        <w:tc>
          <w:tcPr>
            <w:tcW w:w="2099" w:type="dxa"/>
            <w:tcBorders>
              <w:top w:val="nil"/>
              <w:left w:val="nil"/>
              <w:right w:val="nil"/>
            </w:tcBorders>
            <w:vAlign w:val="bottom"/>
          </w:tcPr>
          <w:p w14:paraId="15E8718D"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(15,489)</w:t>
            </w:r>
          </w:p>
        </w:tc>
        <w:tc>
          <w:tcPr>
            <w:tcW w:w="1701" w:type="dxa"/>
            <w:tcBorders>
              <w:top w:val="nil"/>
              <w:left w:val="nil"/>
              <w:bottom w:val="nil"/>
              <w:right w:val="nil"/>
            </w:tcBorders>
            <w:vAlign w:val="bottom"/>
          </w:tcPr>
          <w:p w14:paraId="1158DEEE"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ru-RU"/>
              </w:rPr>
              <w:t>(12,779)</w:t>
            </w:r>
          </w:p>
        </w:tc>
      </w:tr>
      <w:tr w:rsidR="00A90FED" w:rsidRPr="00A90FED" w14:paraId="30E1BD16" w14:textId="77777777" w:rsidTr="00A90FED">
        <w:trPr>
          <w:cantSplit/>
        </w:trPr>
        <w:tc>
          <w:tcPr>
            <w:tcW w:w="5556" w:type="dxa"/>
            <w:tcBorders>
              <w:top w:val="nil"/>
              <w:left w:val="nil"/>
              <w:right w:val="nil"/>
            </w:tcBorders>
            <w:vAlign w:val="bottom"/>
          </w:tcPr>
          <w:p w14:paraId="069E9B77"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Other expenses, net</w:t>
            </w:r>
          </w:p>
        </w:tc>
        <w:tc>
          <w:tcPr>
            <w:tcW w:w="2099" w:type="dxa"/>
            <w:tcBorders>
              <w:top w:val="nil"/>
              <w:left w:val="nil"/>
              <w:right w:val="nil"/>
            </w:tcBorders>
            <w:vAlign w:val="bottom"/>
          </w:tcPr>
          <w:p w14:paraId="6F54762E"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(10,414)</w:t>
            </w:r>
          </w:p>
        </w:tc>
        <w:tc>
          <w:tcPr>
            <w:tcW w:w="1701" w:type="dxa"/>
            <w:tcBorders>
              <w:top w:val="nil"/>
              <w:left w:val="nil"/>
              <w:right w:val="nil"/>
            </w:tcBorders>
            <w:vAlign w:val="bottom"/>
          </w:tcPr>
          <w:p w14:paraId="1646B02F"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ru-RU"/>
              </w:rPr>
              <w:t>(7,557)</w:t>
            </w:r>
          </w:p>
        </w:tc>
      </w:tr>
      <w:tr w:rsidR="00A90FED" w:rsidRPr="00A90FED" w14:paraId="28CECD64" w14:textId="77777777" w:rsidTr="00A90FED">
        <w:trPr>
          <w:cantSplit/>
        </w:trPr>
        <w:tc>
          <w:tcPr>
            <w:tcW w:w="5556" w:type="dxa"/>
            <w:tcBorders>
              <w:top w:val="nil"/>
              <w:left w:val="nil"/>
              <w:right w:val="nil"/>
            </w:tcBorders>
            <w:vAlign w:val="bottom"/>
          </w:tcPr>
          <w:p w14:paraId="5F1FCFCE"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 xml:space="preserve">Foreign exchange </w:t>
            </w:r>
            <w:r w:rsidRPr="00A90FED">
              <w:rPr>
                <w:rFonts w:ascii="Arial" w:eastAsia="Times New Roman" w:hAnsi="Arial" w:cs="Arial"/>
                <w:spacing w:val="-2"/>
                <w:sz w:val="18"/>
                <w:szCs w:val="18"/>
                <w:lang w:val="en-US" w:eastAsia="ru-RU"/>
              </w:rPr>
              <w:t xml:space="preserve">gain </w:t>
            </w:r>
            <w:r w:rsidRPr="00A90FED">
              <w:rPr>
                <w:rFonts w:ascii="Arial" w:eastAsia="Times New Roman" w:hAnsi="Arial" w:cs="Arial"/>
                <w:spacing w:val="-2"/>
                <w:sz w:val="18"/>
                <w:szCs w:val="18"/>
                <w:lang w:eastAsia="ru-RU"/>
              </w:rPr>
              <w:t>from operating activities, net</w:t>
            </w:r>
          </w:p>
        </w:tc>
        <w:tc>
          <w:tcPr>
            <w:tcW w:w="2099" w:type="dxa"/>
            <w:tcBorders>
              <w:top w:val="nil"/>
              <w:left w:val="nil"/>
              <w:right w:val="nil"/>
            </w:tcBorders>
            <w:vAlign w:val="bottom"/>
          </w:tcPr>
          <w:p w14:paraId="14FF93B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ru-RU"/>
              </w:rPr>
              <w:t>6,452</w:t>
            </w:r>
          </w:p>
        </w:tc>
        <w:tc>
          <w:tcPr>
            <w:tcW w:w="1701" w:type="dxa"/>
            <w:tcBorders>
              <w:top w:val="nil"/>
              <w:left w:val="nil"/>
              <w:right w:val="nil"/>
            </w:tcBorders>
            <w:vAlign w:val="bottom"/>
          </w:tcPr>
          <w:p w14:paraId="2BD1C066"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14,68</w:t>
            </w:r>
            <w:r w:rsidRPr="00A90FED">
              <w:rPr>
                <w:rFonts w:ascii="Arial" w:eastAsia="Times New Roman" w:hAnsi="Arial" w:cs="Arial"/>
                <w:spacing w:val="-2"/>
                <w:sz w:val="18"/>
                <w:szCs w:val="18"/>
                <w:lang w:val="ru-RU" w:eastAsia="ru-RU"/>
              </w:rPr>
              <w:t>6</w:t>
            </w:r>
          </w:p>
        </w:tc>
      </w:tr>
      <w:tr w:rsidR="00A90FED" w:rsidRPr="00A90FED" w14:paraId="45852CDC" w14:textId="77777777" w:rsidTr="00A90FED">
        <w:trPr>
          <w:cantSplit/>
        </w:trPr>
        <w:tc>
          <w:tcPr>
            <w:tcW w:w="5556" w:type="dxa"/>
            <w:tcBorders>
              <w:top w:val="nil"/>
              <w:left w:val="nil"/>
              <w:bottom w:val="single" w:sz="4" w:space="0" w:color="auto"/>
              <w:right w:val="nil"/>
            </w:tcBorders>
            <w:vAlign w:val="bottom"/>
          </w:tcPr>
          <w:p w14:paraId="20AA41FB"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099" w:type="dxa"/>
            <w:tcBorders>
              <w:top w:val="nil"/>
              <w:left w:val="nil"/>
              <w:bottom w:val="single" w:sz="4" w:space="0" w:color="auto"/>
              <w:right w:val="nil"/>
            </w:tcBorders>
            <w:vAlign w:val="bottom"/>
          </w:tcPr>
          <w:p w14:paraId="4FABA7E1"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1701" w:type="dxa"/>
            <w:tcBorders>
              <w:top w:val="nil"/>
              <w:left w:val="nil"/>
              <w:bottom w:val="single" w:sz="4" w:space="0" w:color="auto"/>
              <w:right w:val="nil"/>
            </w:tcBorders>
            <w:vAlign w:val="bottom"/>
          </w:tcPr>
          <w:p w14:paraId="07543BC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A90FED" w:rsidRPr="00A90FED" w14:paraId="7344F112" w14:textId="77777777" w:rsidTr="00A90FED">
        <w:trPr>
          <w:cantSplit/>
        </w:trPr>
        <w:tc>
          <w:tcPr>
            <w:tcW w:w="5556" w:type="dxa"/>
            <w:tcBorders>
              <w:top w:val="single" w:sz="4" w:space="0" w:color="auto"/>
              <w:left w:val="nil"/>
              <w:right w:val="nil"/>
            </w:tcBorders>
            <w:vAlign w:val="bottom"/>
          </w:tcPr>
          <w:p w14:paraId="2116D448"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099" w:type="dxa"/>
            <w:tcBorders>
              <w:top w:val="single" w:sz="4" w:space="0" w:color="auto"/>
              <w:left w:val="nil"/>
              <w:right w:val="nil"/>
            </w:tcBorders>
            <w:vAlign w:val="bottom"/>
          </w:tcPr>
          <w:p w14:paraId="74100E77"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1701" w:type="dxa"/>
            <w:tcBorders>
              <w:top w:val="single" w:sz="4" w:space="0" w:color="auto"/>
              <w:left w:val="nil"/>
              <w:right w:val="nil"/>
            </w:tcBorders>
            <w:vAlign w:val="bottom"/>
          </w:tcPr>
          <w:p w14:paraId="2707DA0D"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A90FED" w:rsidRPr="00A90FED" w14:paraId="73C4B54D" w14:textId="77777777" w:rsidTr="00A90FED">
        <w:trPr>
          <w:cantSplit/>
        </w:trPr>
        <w:tc>
          <w:tcPr>
            <w:tcW w:w="5556" w:type="dxa"/>
            <w:tcBorders>
              <w:left w:val="nil"/>
              <w:right w:val="nil"/>
            </w:tcBorders>
            <w:vAlign w:val="bottom"/>
          </w:tcPr>
          <w:p w14:paraId="36E14344"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A90FED">
              <w:rPr>
                <w:rFonts w:ascii="Arial" w:eastAsia="Times New Roman" w:hAnsi="Arial" w:cs="Arial"/>
                <w:b/>
                <w:spacing w:val="-2"/>
                <w:sz w:val="18"/>
                <w:szCs w:val="18"/>
                <w:lang w:eastAsia="ru-RU"/>
              </w:rPr>
              <w:t>Operating profit</w:t>
            </w:r>
          </w:p>
        </w:tc>
        <w:tc>
          <w:tcPr>
            <w:tcW w:w="2099" w:type="dxa"/>
            <w:tcBorders>
              <w:left w:val="nil"/>
              <w:right w:val="nil"/>
            </w:tcBorders>
            <w:vAlign w:val="bottom"/>
          </w:tcPr>
          <w:p w14:paraId="3C740FA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bCs/>
                <w:spacing w:val="-2"/>
                <w:sz w:val="18"/>
                <w:szCs w:val="18"/>
                <w:lang w:val="ru-RU" w:eastAsia="ru-RU"/>
              </w:rPr>
            </w:pPr>
            <w:r w:rsidRPr="00A90FED">
              <w:rPr>
                <w:rFonts w:ascii="Arial" w:eastAsia="Times New Roman" w:hAnsi="Arial" w:cs="Arial"/>
                <w:b/>
                <w:spacing w:val="-2"/>
                <w:sz w:val="18"/>
                <w:szCs w:val="18"/>
                <w:lang w:val="en-US" w:eastAsia="ru-RU"/>
              </w:rPr>
              <w:t>140,459</w:t>
            </w:r>
          </w:p>
        </w:tc>
        <w:tc>
          <w:tcPr>
            <w:tcW w:w="1701" w:type="dxa"/>
            <w:tcBorders>
              <w:left w:val="nil"/>
              <w:right w:val="nil"/>
            </w:tcBorders>
            <w:vAlign w:val="bottom"/>
          </w:tcPr>
          <w:p w14:paraId="4B8977C6"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eastAsia="ru-RU"/>
              </w:rPr>
            </w:pPr>
            <w:r w:rsidRPr="00A90FED">
              <w:rPr>
                <w:rFonts w:ascii="Arial" w:eastAsia="Times New Roman" w:hAnsi="Arial" w:cs="Arial"/>
                <w:b/>
                <w:spacing w:val="-2"/>
                <w:sz w:val="18"/>
                <w:szCs w:val="18"/>
                <w:lang w:val="en-US" w:eastAsia="ru-RU"/>
              </w:rPr>
              <w:t>150,</w:t>
            </w:r>
            <w:r w:rsidRPr="00A90FED">
              <w:rPr>
                <w:rFonts w:ascii="Arial" w:eastAsia="Times New Roman" w:hAnsi="Arial" w:cs="Arial"/>
                <w:b/>
                <w:spacing w:val="-2"/>
                <w:sz w:val="18"/>
                <w:szCs w:val="18"/>
                <w:lang w:val="ru-RU" w:eastAsia="ru-RU"/>
              </w:rPr>
              <w:t>756</w:t>
            </w:r>
          </w:p>
        </w:tc>
      </w:tr>
      <w:tr w:rsidR="00A90FED" w:rsidRPr="00A90FED" w14:paraId="51276AFA" w14:textId="77777777" w:rsidTr="00A90FED">
        <w:trPr>
          <w:cantSplit/>
        </w:trPr>
        <w:tc>
          <w:tcPr>
            <w:tcW w:w="5556" w:type="dxa"/>
            <w:tcBorders>
              <w:left w:val="nil"/>
              <w:right w:val="nil"/>
            </w:tcBorders>
            <w:vAlign w:val="bottom"/>
          </w:tcPr>
          <w:p w14:paraId="5C6C4B06"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A90FED">
              <w:rPr>
                <w:rFonts w:ascii="Arial" w:eastAsia="Times New Roman" w:hAnsi="Arial" w:cs="Arial"/>
                <w:b/>
                <w:spacing w:val="-2"/>
                <w:sz w:val="10"/>
                <w:szCs w:val="10"/>
                <w:lang w:eastAsia="ru-RU"/>
              </w:rPr>
              <w:t> </w:t>
            </w:r>
          </w:p>
        </w:tc>
        <w:tc>
          <w:tcPr>
            <w:tcW w:w="2099" w:type="dxa"/>
            <w:tcBorders>
              <w:left w:val="nil"/>
              <w:right w:val="nil"/>
            </w:tcBorders>
            <w:vAlign w:val="bottom"/>
          </w:tcPr>
          <w:p w14:paraId="7564D84B"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c>
          <w:tcPr>
            <w:tcW w:w="1701" w:type="dxa"/>
            <w:tcBorders>
              <w:left w:val="nil"/>
              <w:right w:val="nil"/>
            </w:tcBorders>
            <w:vAlign w:val="bottom"/>
          </w:tcPr>
          <w:p w14:paraId="38CAA4F7"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r>
      <w:tr w:rsidR="00A90FED" w:rsidRPr="00A90FED" w14:paraId="44A2BB4B" w14:textId="77777777" w:rsidTr="00A90FED">
        <w:trPr>
          <w:cantSplit/>
        </w:trPr>
        <w:tc>
          <w:tcPr>
            <w:tcW w:w="5556" w:type="dxa"/>
            <w:tcBorders>
              <w:top w:val="nil"/>
              <w:left w:val="nil"/>
              <w:bottom w:val="nil"/>
              <w:right w:val="nil"/>
            </w:tcBorders>
            <w:vAlign w:val="bottom"/>
          </w:tcPr>
          <w:p w14:paraId="703FCB17"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Finance income</w:t>
            </w:r>
          </w:p>
        </w:tc>
        <w:tc>
          <w:tcPr>
            <w:tcW w:w="2099" w:type="dxa"/>
            <w:tcBorders>
              <w:top w:val="nil"/>
              <w:left w:val="nil"/>
              <w:bottom w:val="nil"/>
              <w:right w:val="nil"/>
            </w:tcBorders>
            <w:vAlign w:val="bottom"/>
          </w:tcPr>
          <w:p w14:paraId="0DC6F1B0"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6,497</w:t>
            </w:r>
          </w:p>
        </w:tc>
        <w:tc>
          <w:tcPr>
            <w:tcW w:w="1701" w:type="dxa"/>
            <w:tcBorders>
              <w:top w:val="nil"/>
              <w:left w:val="nil"/>
              <w:bottom w:val="nil"/>
              <w:right w:val="nil"/>
            </w:tcBorders>
            <w:vAlign w:val="bottom"/>
          </w:tcPr>
          <w:p w14:paraId="24329C4B"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en-US"/>
              </w:rPr>
              <w:t>3,353</w:t>
            </w:r>
          </w:p>
        </w:tc>
      </w:tr>
      <w:tr w:rsidR="00A90FED" w:rsidRPr="00A90FED" w14:paraId="34B78A1A" w14:textId="77777777" w:rsidTr="00A90FED">
        <w:trPr>
          <w:cantSplit/>
        </w:trPr>
        <w:tc>
          <w:tcPr>
            <w:tcW w:w="5556" w:type="dxa"/>
            <w:tcBorders>
              <w:top w:val="nil"/>
              <w:left w:val="nil"/>
              <w:bottom w:val="nil"/>
              <w:right w:val="nil"/>
            </w:tcBorders>
            <w:vAlign w:val="bottom"/>
          </w:tcPr>
          <w:p w14:paraId="31F8021D"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Finance costs</w:t>
            </w:r>
          </w:p>
        </w:tc>
        <w:tc>
          <w:tcPr>
            <w:tcW w:w="2099" w:type="dxa"/>
            <w:tcBorders>
              <w:top w:val="nil"/>
              <w:left w:val="nil"/>
              <w:bottom w:val="nil"/>
              <w:right w:val="nil"/>
            </w:tcBorders>
            <w:vAlign w:val="bottom"/>
          </w:tcPr>
          <w:p w14:paraId="51E5A5F1"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(15,694)</w:t>
            </w:r>
          </w:p>
        </w:tc>
        <w:tc>
          <w:tcPr>
            <w:tcW w:w="1701" w:type="dxa"/>
            <w:tcBorders>
              <w:top w:val="nil"/>
              <w:left w:val="nil"/>
              <w:bottom w:val="nil"/>
              <w:right w:val="nil"/>
            </w:tcBorders>
            <w:vAlign w:val="bottom"/>
          </w:tcPr>
          <w:p w14:paraId="721BEF48"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ru-RU"/>
              </w:rPr>
              <w:t>(7,881)</w:t>
            </w:r>
          </w:p>
        </w:tc>
      </w:tr>
      <w:tr w:rsidR="00A90FED" w:rsidRPr="00A90FED" w14:paraId="34309E21" w14:textId="77777777" w:rsidTr="00A90FED">
        <w:trPr>
          <w:cantSplit/>
        </w:trPr>
        <w:tc>
          <w:tcPr>
            <w:tcW w:w="5556" w:type="dxa"/>
            <w:tcBorders>
              <w:top w:val="nil"/>
              <w:left w:val="nil"/>
              <w:bottom w:val="nil"/>
              <w:right w:val="nil"/>
            </w:tcBorders>
            <w:shd w:val="clear" w:color="auto" w:fill="FFFFFF"/>
            <w:vAlign w:val="bottom"/>
          </w:tcPr>
          <w:p w14:paraId="0039E57C"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 xml:space="preserve">Gain from revaluation of </w:t>
            </w:r>
            <w:r w:rsidRPr="00A90FED">
              <w:rPr>
                <w:rFonts w:ascii="Arial" w:eastAsia="Times New Roman" w:hAnsi="Arial" w:cs="Arial"/>
                <w:spacing w:val="-2"/>
                <w:sz w:val="18"/>
                <w:szCs w:val="18"/>
                <w:lang w:val="en-US" w:eastAsia="ru-RU"/>
              </w:rPr>
              <w:t>investments in equity instruments</w:t>
            </w:r>
            <w:r w:rsidRPr="00A90FED">
              <w:rPr>
                <w:rFonts w:ascii="Arial" w:eastAsia="Times New Roman" w:hAnsi="Arial" w:cs="Arial"/>
                <w:spacing w:val="-2"/>
                <w:sz w:val="18"/>
                <w:szCs w:val="18"/>
                <w:lang w:eastAsia="ru-RU"/>
              </w:rPr>
              <w:t xml:space="preserve"> measured at fair value through profit or loss</w:t>
            </w:r>
          </w:p>
        </w:tc>
        <w:tc>
          <w:tcPr>
            <w:tcW w:w="2099" w:type="dxa"/>
            <w:tcBorders>
              <w:top w:val="nil"/>
              <w:left w:val="nil"/>
              <w:right w:val="nil"/>
            </w:tcBorders>
            <w:vAlign w:val="bottom"/>
          </w:tcPr>
          <w:p w14:paraId="60777E11"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ru-RU" w:eastAsia="ru-RU"/>
              </w:rPr>
              <w:t>137</w:t>
            </w:r>
          </w:p>
        </w:tc>
        <w:tc>
          <w:tcPr>
            <w:tcW w:w="1701" w:type="dxa"/>
            <w:tcBorders>
              <w:top w:val="nil"/>
              <w:left w:val="nil"/>
              <w:right w:val="nil"/>
            </w:tcBorders>
            <w:vAlign w:val="bottom"/>
          </w:tcPr>
          <w:p w14:paraId="632C43C4"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1,025</w:t>
            </w:r>
          </w:p>
        </w:tc>
      </w:tr>
      <w:tr w:rsidR="00A90FED" w:rsidRPr="00A90FED" w14:paraId="35AC85AD" w14:textId="77777777" w:rsidTr="00A90FED">
        <w:trPr>
          <w:cantSplit/>
        </w:trPr>
        <w:tc>
          <w:tcPr>
            <w:tcW w:w="5556" w:type="dxa"/>
            <w:tcBorders>
              <w:top w:val="nil"/>
              <w:left w:val="nil"/>
              <w:bottom w:val="nil"/>
              <w:right w:val="nil"/>
            </w:tcBorders>
            <w:shd w:val="clear" w:color="auto" w:fill="FFFFFF"/>
            <w:vAlign w:val="bottom"/>
          </w:tcPr>
          <w:p w14:paraId="482F2F5B"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Foreign exchange</w:t>
            </w:r>
            <w:r w:rsidRPr="00A90FED">
              <w:rPr>
                <w:rFonts w:ascii="Arial" w:eastAsia="Times New Roman" w:hAnsi="Arial" w:cs="Arial"/>
                <w:spacing w:val="-2"/>
                <w:sz w:val="18"/>
                <w:szCs w:val="18"/>
                <w:lang w:val="en-US" w:eastAsia="ru-RU"/>
              </w:rPr>
              <w:t xml:space="preserve"> loss </w:t>
            </w:r>
            <w:r w:rsidRPr="00A90FED">
              <w:rPr>
                <w:rFonts w:ascii="Arial" w:eastAsia="Times New Roman" w:hAnsi="Arial" w:cs="Arial"/>
                <w:spacing w:val="-2"/>
                <w:sz w:val="18"/>
                <w:szCs w:val="18"/>
                <w:lang w:eastAsia="ru-RU"/>
              </w:rPr>
              <w:t>from financing activities, net</w:t>
            </w:r>
          </w:p>
        </w:tc>
        <w:tc>
          <w:tcPr>
            <w:tcW w:w="2099" w:type="dxa"/>
            <w:tcBorders>
              <w:top w:val="nil"/>
              <w:left w:val="nil"/>
              <w:right w:val="nil"/>
            </w:tcBorders>
            <w:vAlign w:val="bottom"/>
          </w:tcPr>
          <w:p w14:paraId="74C489EF"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(22,</w:t>
            </w:r>
            <w:r w:rsidRPr="00A90FED">
              <w:rPr>
                <w:rFonts w:ascii="Arial" w:eastAsia="Times New Roman" w:hAnsi="Arial" w:cs="Arial"/>
                <w:spacing w:val="-2"/>
                <w:sz w:val="18"/>
                <w:szCs w:val="18"/>
                <w:lang w:val="ru-RU" w:eastAsia="ru-RU"/>
              </w:rPr>
              <w:t>355</w:t>
            </w:r>
            <w:r w:rsidRPr="00A90FED">
              <w:rPr>
                <w:rFonts w:ascii="Arial" w:eastAsia="Times New Roman" w:hAnsi="Arial" w:cs="Arial"/>
                <w:spacing w:val="-2"/>
                <w:sz w:val="18"/>
                <w:szCs w:val="18"/>
                <w:lang w:val="en-US" w:eastAsia="ru-RU"/>
              </w:rPr>
              <w:t>)</w:t>
            </w:r>
          </w:p>
        </w:tc>
        <w:tc>
          <w:tcPr>
            <w:tcW w:w="1701" w:type="dxa"/>
            <w:tcBorders>
              <w:top w:val="nil"/>
              <w:left w:val="nil"/>
              <w:right w:val="nil"/>
            </w:tcBorders>
            <w:vAlign w:val="bottom"/>
          </w:tcPr>
          <w:p w14:paraId="32EC7E0D"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ru-RU"/>
              </w:rPr>
              <w:t>(32,650)</w:t>
            </w:r>
          </w:p>
        </w:tc>
      </w:tr>
      <w:tr w:rsidR="00A90FED" w:rsidRPr="00A90FED" w14:paraId="52EC7069" w14:textId="77777777" w:rsidTr="00A90FED">
        <w:trPr>
          <w:cantSplit/>
        </w:trPr>
        <w:tc>
          <w:tcPr>
            <w:tcW w:w="5556" w:type="dxa"/>
            <w:tcBorders>
              <w:top w:val="nil"/>
              <w:left w:val="nil"/>
              <w:bottom w:val="single" w:sz="4" w:space="0" w:color="auto"/>
              <w:right w:val="nil"/>
            </w:tcBorders>
            <w:vAlign w:val="bottom"/>
          </w:tcPr>
          <w:p w14:paraId="3691063B"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099" w:type="dxa"/>
            <w:tcBorders>
              <w:top w:val="nil"/>
              <w:left w:val="nil"/>
              <w:bottom w:val="single" w:sz="4" w:space="0" w:color="auto"/>
              <w:right w:val="nil"/>
            </w:tcBorders>
            <w:vAlign w:val="bottom"/>
          </w:tcPr>
          <w:p w14:paraId="0A76B58A"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701" w:type="dxa"/>
            <w:tcBorders>
              <w:top w:val="nil"/>
              <w:left w:val="nil"/>
              <w:bottom w:val="single" w:sz="4" w:space="0" w:color="auto"/>
              <w:right w:val="nil"/>
            </w:tcBorders>
            <w:vAlign w:val="bottom"/>
          </w:tcPr>
          <w:p w14:paraId="071F32CC"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A90FED" w:rsidRPr="00A90FED" w14:paraId="4E8D2AB6" w14:textId="77777777" w:rsidTr="00A90FED">
        <w:trPr>
          <w:cantSplit/>
        </w:trPr>
        <w:tc>
          <w:tcPr>
            <w:tcW w:w="5556" w:type="dxa"/>
            <w:tcBorders>
              <w:top w:val="single" w:sz="4" w:space="0" w:color="auto"/>
              <w:left w:val="nil"/>
              <w:bottom w:val="nil"/>
              <w:right w:val="nil"/>
            </w:tcBorders>
            <w:vAlign w:val="bottom"/>
          </w:tcPr>
          <w:p w14:paraId="53A13DBE"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099" w:type="dxa"/>
            <w:tcBorders>
              <w:top w:val="single" w:sz="4" w:space="0" w:color="auto"/>
              <w:left w:val="nil"/>
              <w:right w:val="nil"/>
            </w:tcBorders>
            <w:vAlign w:val="bottom"/>
          </w:tcPr>
          <w:p w14:paraId="50E20BC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701" w:type="dxa"/>
            <w:tcBorders>
              <w:top w:val="single" w:sz="4" w:space="0" w:color="auto"/>
              <w:left w:val="nil"/>
              <w:right w:val="nil"/>
            </w:tcBorders>
            <w:vAlign w:val="bottom"/>
          </w:tcPr>
          <w:p w14:paraId="0AEA034C"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A90FED" w:rsidRPr="00A90FED" w14:paraId="72E20494" w14:textId="77777777" w:rsidTr="00A90FED">
        <w:trPr>
          <w:cantSplit/>
        </w:trPr>
        <w:tc>
          <w:tcPr>
            <w:tcW w:w="5556" w:type="dxa"/>
            <w:tcBorders>
              <w:top w:val="nil"/>
              <w:left w:val="nil"/>
              <w:right w:val="nil"/>
            </w:tcBorders>
            <w:vAlign w:val="bottom"/>
          </w:tcPr>
          <w:p w14:paraId="18AC797D"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A90FED">
              <w:rPr>
                <w:rFonts w:ascii="Arial" w:eastAsia="Times New Roman" w:hAnsi="Arial" w:cs="Arial"/>
                <w:b/>
                <w:spacing w:val="-2"/>
                <w:sz w:val="18"/>
                <w:szCs w:val="18"/>
                <w:lang w:eastAsia="ru-RU"/>
              </w:rPr>
              <w:t>Profit before tax</w:t>
            </w:r>
          </w:p>
        </w:tc>
        <w:tc>
          <w:tcPr>
            <w:tcW w:w="2099" w:type="dxa"/>
            <w:tcBorders>
              <w:left w:val="nil"/>
              <w:right w:val="nil"/>
            </w:tcBorders>
            <w:vAlign w:val="bottom"/>
          </w:tcPr>
          <w:p w14:paraId="1AA838E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bCs/>
                <w:spacing w:val="-2"/>
                <w:sz w:val="18"/>
                <w:szCs w:val="18"/>
                <w:lang w:val="ru-RU" w:eastAsia="ru-RU"/>
              </w:rPr>
            </w:pPr>
            <w:r w:rsidRPr="00A90FED">
              <w:rPr>
                <w:rFonts w:ascii="Arial" w:eastAsia="Times New Roman" w:hAnsi="Arial" w:cs="Arial"/>
                <w:b/>
                <w:spacing w:val="-2"/>
                <w:sz w:val="18"/>
                <w:szCs w:val="18"/>
                <w:lang w:val="en-US" w:eastAsia="ru-RU"/>
              </w:rPr>
              <w:t>109,044</w:t>
            </w:r>
          </w:p>
        </w:tc>
        <w:tc>
          <w:tcPr>
            <w:tcW w:w="1701" w:type="dxa"/>
            <w:tcBorders>
              <w:left w:val="nil"/>
              <w:right w:val="nil"/>
            </w:tcBorders>
            <w:vAlign w:val="bottom"/>
          </w:tcPr>
          <w:p w14:paraId="429BED0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eastAsia="ru-RU"/>
              </w:rPr>
            </w:pPr>
            <w:r w:rsidRPr="00A90FED">
              <w:rPr>
                <w:rFonts w:ascii="Arial" w:eastAsia="Times New Roman" w:hAnsi="Arial" w:cs="Arial"/>
                <w:b/>
                <w:spacing w:val="-2"/>
                <w:sz w:val="18"/>
                <w:szCs w:val="18"/>
                <w:lang w:val="en-US" w:eastAsia="ru-RU"/>
              </w:rPr>
              <w:t>114,</w:t>
            </w:r>
            <w:r w:rsidRPr="00A90FED">
              <w:rPr>
                <w:rFonts w:ascii="Arial" w:eastAsia="Times New Roman" w:hAnsi="Arial" w:cs="Arial"/>
                <w:b/>
                <w:spacing w:val="-2"/>
                <w:sz w:val="18"/>
                <w:szCs w:val="18"/>
                <w:lang w:val="ru-RU" w:eastAsia="ru-RU"/>
              </w:rPr>
              <w:t>603</w:t>
            </w:r>
          </w:p>
        </w:tc>
      </w:tr>
      <w:tr w:rsidR="00A90FED" w:rsidRPr="00A90FED" w14:paraId="4A536E95" w14:textId="77777777" w:rsidTr="00A90FED">
        <w:trPr>
          <w:cantSplit/>
        </w:trPr>
        <w:tc>
          <w:tcPr>
            <w:tcW w:w="5556" w:type="dxa"/>
            <w:tcBorders>
              <w:top w:val="nil"/>
              <w:left w:val="nil"/>
              <w:right w:val="nil"/>
            </w:tcBorders>
            <w:vAlign w:val="bottom"/>
          </w:tcPr>
          <w:p w14:paraId="63D6A171"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099" w:type="dxa"/>
            <w:tcBorders>
              <w:top w:val="nil"/>
              <w:left w:val="nil"/>
              <w:right w:val="nil"/>
            </w:tcBorders>
            <w:vAlign w:val="bottom"/>
          </w:tcPr>
          <w:p w14:paraId="5B08EB5B"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1701" w:type="dxa"/>
            <w:tcBorders>
              <w:top w:val="nil"/>
              <w:left w:val="nil"/>
              <w:right w:val="nil"/>
            </w:tcBorders>
            <w:vAlign w:val="bottom"/>
          </w:tcPr>
          <w:p w14:paraId="0039F407"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A90FED" w:rsidRPr="00A90FED" w14:paraId="60850E4D" w14:textId="77777777" w:rsidTr="00A90FED">
        <w:trPr>
          <w:cantSplit/>
        </w:trPr>
        <w:tc>
          <w:tcPr>
            <w:tcW w:w="5556" w:type="dxa"/>
            <w:tcBorders>
              <w:top w:val="nil"/>
              <w:left w:val="nil"/>
              <w:right w:val="nil"/>
            </w:tcBorders>
            <w:vAlign w:val="bottom"/>
          </w:tcPr>
          <w:p w14:paraId="7DC63340"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Income tax expense</w:t>
            </w:r>
          </w:p>
        </w:tc>
        <w:tc>
          <w:tcPr>
            <w:tcW w:w="2099" w:type="dxa"/>
            <w:tcBorders>
              <w:top w:val="nil"/>
              <w:left w:val="nil"/>
              <w:right w:val="nil"/>
            </w:tcBorders>
            <w:vAlign w:val="bottom"/>
          </w:tcPr>
          <w:p w14:paraId="6F412B9B"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(24,575)</w:t>
            </w:r>
          </w:p>
        </w:tc>
        <w:tc>
          <w:tcPr>
            <w:tcW w:w="1701" w:type="dxa"/>
            <w:tcBorders>
              <w:top w:val="nil"/>
              <w:left w:val="nil"/>
              <w:right w:val="nil"/>
            </w:tcBorders>
            <w:vAlign w:val="bottom"/>
          </w:tcPr>
          <w:p w14:paraId="3232C38F"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ru-RU"/>
              </w:rPr>
              <w:t>(28,4</w:t>
            </w:r>
            <w:r w:rsidRPr="00A90FED">
              <w:rPr>
                <w:rFonts w:ascii="Arial" w:eastAsia="Times New Roman" w:hAnsi="Arial" w:cs="Arial"/>
                <w:spacing w:val="-2"/>
                <w:sz w:val="18"/>
                <w:szCs w:val="18"/>
                <w:lang w:val="ru-RU" w:eastAsia="ru-RU"/>
              </w:rPr>
              <w:t>62</w:t>
            </w:r>
            <w:r w:rsidRPr="00A90FED">
              <w:rPr>
                <w:rFonts w:ascii="Arial" w:eastAsia="Times New Roman" w:hAnsi="Arial" w:cs="Arial"/>
                <w:spacing w:val="-2"/>
                <w:sz w:val="18"/>
                <w:szCs w:val="18"/>
                <w:lang w:val="en-US" w:eastAsia="ru-RU"/>
              </w:rPr>
              <w:t>)</w:t>
            </w:r>
          </w:p>
        </w:tc>
      </w:tr>
      <w:tr w:rsidR="00A90FED" w:rsidRPr="00A90FED" w14:paraId="68E6B87C" w14:textId="77777777" w:rsidTr="00A90FED">
        <w:trPr>
          <w:cantSplit/>
        </w:trPr>
        <w:tc>
          <w:tcPr>
            <w:tcW w:w="5556" w:type="dxa"/>
            <w:tcBorders>
              <w:top w:val="nil"/>
              <w:left w:val="nil"/>
              <w:bottom w:val="single" w:sz="4" w:space="0" w:color="auto"/>
              <w:right w:val="nil"/>
            </w:tcBorders>
            <w:vAlign w:val="bottom"/>
          </w:tcPr>
          <w:p w14:paraId="6B829981"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099" w:type="dxa"/>
            <w:tcBorders>
              <w:top w:val="nil"/>
              <w:left w:val="nil"/>
              <w:bottom w:val="single" w:sz="4" w:space="0" w:color="auto"/>
              <w:right w:val="nil"/>
            </w:tcBorders>
            <w:vAlign w:val="bottom"/>
          </w:tcPr>
          <w:p w14:paraId="3BBDB903"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701" w:type="dxa"/>
            <w:tcBorders>
              <w:top w:val="nil"/>
              <w:left w:val="nil"/>
              <w:bottom w:val="single" w:sz="4" w:space="0" w:color="auto"/>
              <w:right w:val="nil"/>
            </w:tcBorders>
            <w:vAlign w:val="bottom"/>
          </w:tcPr>
          <w:p w14:paraId="786F824D"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A90FED" w:rsidRPr="00A90FED" w14:paraId="7B838468" w14:textId="77777777" w:rsidTr="00A90FED">
        <w:trPr>
          <w:cantSplit/>
        </w:trPr>
        <w:tc>
          <w:tcPr>
            <w:tcW w:w="5556" w:type="dxa"/>
            <w:tcBorders>
              <w:top w:val="single" w:sz="4" w:space="0" w:color="auto"/>
              <w:left w:val="nil"/>
              <w:right w:val="nil"/>
            </w:tcBorders>
            <w:vAlign w:val="bottom"/>
          </w:tcPr>
          <w:p w14:paraId="76405844"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099" w:type="dxa"/>
            <w:tcBorders>
              <w:top w:val="single" w:sz="4" w:space="0" w:color="auto"/>
              <w:left w:val="nil"/>
              <w:right w:val="nil"/>
            </w:tcBorders>
            <w:vAlign w:val="bottom"/>
          </w:tcPr>
          <w:p w14:paraId="64CEC2E3"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701" w:type="dxa"/>
            <w:tcBorders>
              <w:top w:val="single" w:sz="4" w:space="0" w:color="auto"/>
              <w:left w:val="nil"/>
              <w:right w:val="nil"/>
            </w:tcBorders>
            <w:vAlign w:val="bottom"/>
          </w:tcPr>
          <w:p w14:paraId="6B1764D1"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A90FED" w:rsidRPr="00A90FED" w14:paraId="641CF31E" w14:textId="77777777" w:rsidTr="00A90FED">
        <w:trPr>
          <w:cantSplit/>
        </w:trPr>
        <w:tc>
          <w:tcPr>
            <w:tcW w:w="5556" w:type="dxa"/>
            <w:tcBorders>
              <w:left w:val="nil"/>
              <w:right w:val="nil"/>
            </w:tcBorders>
            <w:vAlign w:val="bottom"/>
          </w:tcPr>
          <w:p w14:paraId="7F7B8BEE"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A90FED">
              <w:rPr>
                <w:rFonts w:ascii="Arial" w:eastAsia="Times New Roman" w:hAnsi="Arial" w:cs="Arial"/>
                <w:b/>
                <w:spacing w:val="-2"/>
                <w:sz w:val="18"/>
                <w:szCs w:val="18"/>
                <w:lang w:eastAsia="ru-RU"/>
              </w:rPr>
              <w:t>Profit for the year</w:t>
            </w:r>
          </w:p>
        </w:tc>
        <w:tc>
          <w:tcPr>
            <w:tcW w:w="2099" w:type="dxa"/>
            <w:tcBorders>
              <w:left w:val="nil"/>
              <w:right w:val="nil"/>
            </w:tcBorders>
            <w:vAlign w:val="bottom"/>
          </w:tcPr>
          <w:p w14:paraId="34E090D6"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bCs/>
                <w:spacing w:val="-2"/>
                <w:sz w:val="18"/>
                <w:szCs w:val="18"/>
                <w:lang w:val="ru-RU" w:eastAsia="ru-RU"/>
              </w:rPr>
            </w:pPr>
            <w:r w:rsidRPr="00A90FED">
              <w:rPr>
                <w:rFonts w:ascii="Arial" w:eastAsia="Times New Roman" w:hAnsi="Arial" w:cs="Arial"/>
                <w:b/>
                <w:spacing w:val="-2"/>
                <w:sz w:val="18"/>
                <w:szCs w:val="18"/>
                <w:lang w:val="en-US" w:eastAsia="ru-RU"/>
              </w:rPr>
              <w:t>84,469</w:t>
            </w:r>
          </w:p>
        </w:tc>
        <w:tc>
          <w:tcPr>
            <w:tcW w:w="1701" w:type="dxa"/>
            <w:tcBorders>
              <w:left w:val="nil"/>
              <w:right w:val="nil"/>
            </w:tcBorders>
            <w:vAlign w:val="bottom"/>
          </w:tcPr>
          <w:p w14:paraId="26213C8F"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eastAsia="ru-RU"/>
              </w:rPr>
            </w:pPr>
            <w:r w:rsidRPr="00A90FED">
              <w:rPr>
                <w:rFonts w:ascii="Arial" w:eastAsia="Times New Roman" w:hAnsi="Arial" w:cs="Arial"/>
                <w:b/>
                <w:spacing w:val="-2"/>
                <w:sz w:val="18"/>
                <w:szCs w:val="18"/>
                <w:lang w:val="en-US" w:eastAsia="ru-RU"/>
              </w:rPr>
              <w:t>86,</w:t>
            </w:r>
            <w:r w:rsidRPr="00A90FED">
              <w:rPr>
                <w:rFonts w:ascii="Arial" w:eastAsia="Times New Roman" w:hAnsi="Arial" w:cs="Arial"/>
                <w:b/>
                <w:spacing w:val="-2"/>
                <w:sz w:val="18"/>
                <w:szCs w:val="18"/>
                <w:lang w:val="ru-RU" w:eastAsia="ru-RU"/>
              </w:rPr>
              <w:t>141</w:t>
            </w:r>
          </w:p>
        </w:tc>
      </w:tr>
      <w:tr w:rsidR="00A90FED" w:rsidRPr="00A90FED" w14:paraId="55F1ABCE" w14:textId="77777777" w:rsidTr="00A90FED">
        <w:trPr>
          <w:cantSplit/>
        </w:trPr>
        <w:tc>
          <w:tcPr>
            <w:tcW w:w="5556" w:type="dxa"/>
            <w:tcBorders>
              <w:left w:val="nil"/>
              <w:bottom w:val="nil"/>
              <w:right w:val="nil"/>
            </w:tcBorders>
            <w:vAlign w:val="bottom"/>
          </w:tcPr>
          <w:p w14:paraId="45A7B671"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099" w:type="dxa"/>
            <w:tcBorders>
              <w:left w:val="nil"/>
              <w:bottom w:val="nil"/>
              <w:right w:val="nil"/>
            </w:tcBorders>
            <w:vAlign w:val="bottom"/>
          </w:tcPr>
          <w:p w14:paraId="2BB9D624"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1701" w:type="dxa"/>
            <w:tcBorders>
              <w:left w:val="nil"/>
              <w:bottom w:val="nil"/>
              <w:right w:val="nil"/>
            </w:tcBorders>
            <w:vAlign w:val="bottom"/>
          </w:tcPr>
          <w:p w14:paraId="1358EFBC"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A90FED" w:rsidRPr="00A90FED" w14:paraId="68D86FE1" w14:textId="77777777" w:rsidTr="00A90FED">
        <w:trPr>
          <w:cantSplit/>
        </w:trPr>
        <w:tc>
          <w:tcPr>
            <w:tcW w:w="5556" w:type="dxa"/>
            <w:tcBorders>
              <w:top w:val="nil"/>
              <w:left w:val="nil"/>
              <w:bottom w:val="nil"/>
              <w:right w:val="nil"/>
            </w:tcBorders>
            <w:vAlign w:val="bottom"/>
          </w:tcPr>
          <w:p w14:paraId="3358D3A1"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Attributable to:</w:t>
            </w:r>
          </w:p>
        </w:tc>
        <w:tc>
          <w:tcPr>
            <w:tcW w:w="2099" w:type="dxa"/>
            <w:tcBorders>
              <w:top w:val="nil"/>
              <w:left w:val="nil"/>
              <w:right w:val="nil"/>
            </w:tcBorders>
            <w:vAlign w:val="bottom"/>
          </w:tcPr>
          <w:p w14:paraId="4609469C"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1701" w:type="dxa"/>
            <w:tcBorders>
              <w:top w:val="nil"/>
              <w:left w:val="nil"/>
              <w:bottom w:val="nil"/>
              <w:right w:val="nil"/>
            </w:tcBorders>
            <w:vAlign w:val="bottom"/>
          </w:tcPr>
          <w:p w14:paraId="6CE6AF1A"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r>
      <w:tr w:rsidR="00A90FED" w:rsidRPr="00A90FED" w14:paraId="03B6A95F" w14:textId="77777777" w:rsidTr="00A90FED">
        <w:trPr>
          <w:cantSplit/>
        </w:trPr>
        <w:tc>
          <w:tcPr>
            <w:tcW w:w="5556" w:type="dxa"/>
            <w:tcBorders>
              <w:top w:val="nil"/>
              <w:left w:val="nil"/>
              <w:right w:val="nil"/>
            </w:tcBorders>
            <w:vAlign w:val="bottom"/>
          </w:tcPr>
          <w:p w14:paraId="5248F942" w14:textId="77777777" w:rsidR="00A90FED" w:rsidRPr="00A90FED" w:rsidRDefault="00A90FED" w:rsidP="00A90FED">
            <w:pPr>
              <w:widowControl w:val="0"/>
              <w:autoSpaceDE w:val="0"/>
              <w:autoSpaceDN w:val="0"/>
              <w:adjustRightInd w:val="0"/>
              <w:spacing w:after="0" w:line="240" w:lineRule="auto"/>
              <w:ind w:left="113"/>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Shareholders of the Company</w:t>
            </w:r>
          </w:p>
        </w:tc>
        <w:tc>
          <w:tcPr>
            <w:tcW w:w="2099" w:type="dxa"/>
            <w:tcBorders>
              <w:top w:val="nil"/>
              <w:left w:val="nil"/>
              <w:right w:val="nil"/>
            </w:tcBorders>
            <w:vAlign w:val="bottom"/>
          </w:tcPr>
          <w:p w14:paraId="142772E7"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84,430</w:t>
            </w:r>
          </w:p>
        </w:tc>
        <w:tc>
          <w:tcPr>
            <w:tcW w:w="1701" w:type="dxa"/>
            <w:tcBorders>
              <w:top w:val="nil"/>
              <w:left w:val="nil"/>
              <w:right w:val="nil"/>
            </w:tcBorders>
            <w:vAlign w:val="bottom"/>
          </w:tcPr>
          <w:p w14:paraId="486FCA74"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8</w:t>
            </w:r>
            <w:r w:rsidRPr="00A90FED">
              <w:rPr>
                <w:rFonts w:ascii="Arial" w:eastAsia="Times New Roman" w:hAnsi="Arial" w:cs="Arial"/>
                <w:spacing w:val="-2"/>
                <w:sz w:val="18"/>
                <w:szCs w:val="18"/>
                <w:lang w:val="ru-RU" w:eastAsia="ru-RU"/>
              </w:rPr>
              <w:t>6</w:t>
            </w:r>
            <w:r w:rsidRPr="00A90FED">
              <w:rPr>
                <w:rFonts w:ascii="Arial" w:eastAsia="Times New Roman" w:hAnsi="Arial" w:cs="Arial"/>
                <w:spacing w:val="-2"/>
                <w:sz w:val="18"/>
                <w:szCs w:val="18"/>
                <w:lang w:val="en-US" w:eastAsia="ru-RU"/>
              </w:rPr>
              <w:t>,</w:t>
            </w:r>
            <w:r w:rsidRPr="00A90FED">
              <w:rPr>
                <w:rFonts w:ascii="Arial" w:eastAsia="Times New Roman" w:hAnsi="Arial" w:cs="Arial"/>
                <w:spacing w:val="-2"/>
                <w:sz w:val="18"/>
                <w:szCs w:val="18"/>
                <w:lang w:val="ru-RU" w:eastAsia="ru-RU"/>
              </w:rPr>
              <w:t>084</w:t>
            </w:r>
          </w:p>
        </w:tc>
      </w:tr>
      <w:tr w:rsidR="00A90FED" w:rsidRPr="00A90FED" w14:paraId="01C24429" w14:textId="77777777" w:rsidTr="00A90FED">
        <w:trPr>
          <w:cantSplit/>
        </w:trPr>
        <w:tc>
          <w:tcPr>
            <w:tcW w:w="5556" w:type="dxa"/>
            <w:tcBorders>
              <w:top w:val="nil"/>
              <w:left w:val="nil"/>
              <w:right w:val="nil"/>
            </w:tcBorders>
            <w:vAlign w:val="bottom"/>
          </w:tcPr>
          <w:p w14:paraId="118C6433" w14:textId="77777777" w:rsidR="00A90FED" w:rsidRPr="00A90FED" w:rsidRDefault="00A90FED" w:rsidP="00A90FED">
            <w:pPr>
              <w:widowControl w:val="0"/>
              <w:autoSpaceDE w:val="0"/>
              <w:autoSpaceDN w:val="0"/>
              <w:adjustRightInd w:val="0"/>
              <w:spacing w:after="0" w:line="240" w:lineRule="auto"/>
              <w:ind w:left="113"/>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Non-controlling interests*</w:t>
            </w:r>
          </w:p>
        </w:tc>
        <w:tc>
          <w:tcPr>
            <w:tcW w:w="2099" w:type="dxa"/>
            <w:tcBorders>
              <w:top w:val="nil"/>
              <w:left w:val="nil"/>
              <w:right w:val="nil"/>
            </w:tcBorders>
            <w:vAlign w:val="bottom"/>
          </w:tcPr>
          <w:p w14:paraId="035B0854"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39</w:t>
            </w:r>
          </w:p>
        </w:tc>
        <w:tc>
          <w:tcPr>
            <w:tcW w:w="1701" w:type="dxa"/>
            <w:tcBorders>
              <w:top w:val="nil"/>
              <w:left w:val="nil"/>
              <w:right w:val="nil"/>
            </w:tcBorders>
            <w:vAlign w:val="bottom"/>
          </w:tcPr>
          <w:p w14:paraId="565B25B4"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18"/>
                <w:lang w:val="en-US" w:eastAsia="ru-RU"/>
              </w:rPr>
              <w:t>57</w:t>
            </w:r>
          </w:p>
        </w:tc>
      </w:tr>
      <w:tr w:rsidR="00A90FED" w:rsidRPr="00A90FED" w14:paraId="79752D26" w14:textId="77777777" w:rsidTr="00A90FED">
        <w:trPr>
          <w:cantSplit/>
        </w:trPr>
        <w:tc>
          <w:tcPr>
            <w:tcW w:w="5556" w:type="dxa"/>
            <w:tcBorders>
              <w:left w:val="nil"/>
              <w:right w:val="nil"/>
            </w:tcBorders>
            <w:vAlign w:val="bottom"/>
          </w:tcPr>
          <w:p w14:paraId="14BD7D3D"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099" w:type="dxa"/>
            <w:tcBorders>
              <w:left w:val="nil"/>
              <w:right w:val="nil"/>
            </w:tcBorders>
            <w:vAlign w:val="bottom"/>
          </w:tcPr>
          <w:p w14:paraId="219B6F8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701" w:type="dxa"/>
            <w:tcBorders>
              <w:left w:val="nil"/>
              <w:right w:val="nil"/>
            </w:tcBorders>
            <w:vAlign w:val="bottom"/>
          </w:tcPr>
          <w:p w14:paraId="631360CB"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A90FED" w:rsidRPr="00A90FED" w14:paraId="0C029EA1" w14:textId="77777777" w:rsidTr="00A90FED">
        <w:trPr>
          <w:cantSplit/>
        </w:trPr>
        <w:tc>
          <w:tcPr>
            <w:tcW w:w="5556" w:type="dxa"/>
            <w:tcBorders>
              <w:left w:val="nil"/>
              <w:right w:val="nil"/>
            </w:tcBorders>
            <w:vAlign w:val="bottom"/>
          </w:tcPr>
          <w:p w14:paraId="1F52101B"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Basic and diluted earnings per share (in RUB)</w:t>
            </w:r>
          </w:p>
        </w:tc>
        <w:tc>
          <w:tcPr>
            <w:tcW w:w="2099" w:type="dxa"/>
            <w:tcBorders>
              <w:left w:val="nil"/>
              <w:right w:val="nil"/>
            </w:tcBorders>
            <w:vAlign w:val="bottom"/>
          </w:tcPr>
          <w:p w14:paraId="0A94ABE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ru-RU"/>
              </w:rPr>
              <w:t>652</w:t>
            </w:r>
          </w:p>
        </w:tc>
        <w:tc>
          <w:tcPr>
            <w:tcW w:w="1701" w:type="dxa"/>
            <w:tcBorders>
              <w:left w:val="nil"/>
              <w:right w:val="nil"/>
            </w:tcBorders>
            <w:shd w:val="clear" w:color="auto" w:fill="auto"/>
            <w:vAlign w:val="bottom"/>
          </w:tcPr>
          <w:p w14:paraId="0492BA5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18"/>
                <w:lang w:val="en-US" w:eastAsia="ru-RU"/>
              </w:rPr>
              <w:t>66</w:t>
            </w:r>
            <w:r w:rsidRPr="00A90FED">
              <w:rPr>
                <w:rFonts w:ascii="Arial" w:eastAsia="Times New Roman" w:hAnsi="Arial" w:cs="Arial"/>
                <w:spacing w:val="-2"/>
                <w:sz w:val="18"/>
                <w:szCs w:val="18"/>
                <w:lang w:val="ru-RU" w:eastAsia="ru-RU"/>
              </w:rPr>
              <w:t>5</w:t>
            </w:r>
          </w:p>
        </w:tc>
      </w:tr>
      <w:tr w:rsidR="00A90FED" w:rsidRPr="00A90FED" w14:paraId="7B0C1AC6" w14:textId="77777777" w:rsidTr="00A90FED">
        <w:trPr>
          <w:cantSplit/>
        </w:trPr>
        <w:tc>
          <w:tcPr>
            <w:tcW w:w="5556" w:type="dxa"/>
            <w:tcBorders>
              <w:left w:val="nil"/>
              <w:bottom w:val="single" w:sz="4" w:space="0" w:color="auto"/>
              <w:right w:val="nil"/>
            </w:tcBorders>
            <w:vAlign w:val="bottom"/>
          </w:tcPr>
          <w:p w14:paraId="5B8C3ADD"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099" w:type="dxa"/>
            <w:tcBorders>
              <w:left w:val="nil"/>
              <w:bottom w:val="single" w:sz="4" w:space="0" w:color="auto"/>
              <w:right w:val="nil"/>
            </w:tcBorders>
            <w:vAlign w:val="bottom"/>
          </w:tcPr>
          <w:p w14:paraId="7B4F617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701" w:type="dxa"/>
            <w:tcBorders>
              <w:left w:val="nil"/>
              <w:bottom w:val="single" w:sz="4" w:space="0" w:color="auto"/>
              <w:right w:val="nil"/>
            </w:tcBorders>
            <w:vAlign w:val="bottom"/>
          </w:tcPr>
          <w:p w14:paraId="2F5C17DC"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A90FED" w:rsidRPr="00A90FED" w14:paraId="4EC48064" w14:textId="77777777" w:rsidTr="00A90FED">
        <w:trPr>
          <w:cantSplit/>
        </w:trPr>
        <w:tc>
          <w:tcPr>
            <w:tcW w:w="5556" w:type="dxa"/>
            <w:tcBorders>
              <w:top w:val="single" w:sz="4" w:space="0" w:color="auto"/>
              <w:left w:val="nil"/>
              <w:bottom w:val="nil"/>
              <w:right w:val="nil"/>
            </w:tcBorders>
            <w:vAlign w:val="bottom"/>
          </w:tcPr>
          <w:p w14:paraId="1A6C258D"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099" w:type="dxa"/>
            <w:tcBorders>
              <w:top w:val="single" w:sz="4" w:space="0" w:color="auto"/>
              <w:left w:val="nil"/>
              <w:bottom w:val="nil"/>
              <w:right w:val="nil"/>
            </w:tcBorders>
            <w:vAlign w:val="bottom"/>
          </w:tcPr>
          <w:p w14:paraId="3196027D"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1701" w:type="dxa"/>
            <w:tcBorders>
              <w:top w:val="single" w:sz="4" w:space="0" w:color="auto"/>
              <w:left w:val="nil"/>
              <w:bottom w:val="nil"/>
              <w:right w:val="nil"/>
            </w:tcBorders>
            <w:vAlign w:val="bottom"/>
          </w:tcPr>
          <w:p w14:paraId="62EA3A1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A90FED" w:rsidRPr="00A90FED" w14:paraId="4C7D30F1" w14:textId="77777777" w:rsidTr="00A90FED">
        <w:trPr>
          <w:cantSplit/>
        </w:trPr>
        <w:tc>
          <w:tcPr>
            <w:tcW w:w="5556" w:type="dxa"/>
            <w:tcBorders>
              <w:top w:val="nil"/>
              <w:left w:val="nil"/>
              <w:bottom w:val="nil"/>
              <w:right w:val="nil"/>
            </w:tcBorders>
            <w:vAlign w:val="bottom"/>
          </w:tcPr>
          <w:p w14:paraId="637E60F4"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i/>
                <w:spacing w:val="-2"/>
                <w:sz w:val="18"/>
                <w:szCs w:val="18"/>
                <w:lang w:val="en-US" w:eastAsia="ru-RU"/>
              </w:rPr>
            </w:pPr>
            <w:r w:rsidRPr="00A90FED">
              <w:rPr>
                <w:rFonts w:ascii="Arial" w:eastAsia="Times New Roman" w:hAnsi="Arial" w:cs="Arial"/>
                <w:b/>
                <w:i/>
                <w:spacing w:val="-2"/>
                <w:sz w:val="18"/>
                <w:szCs w:val="18"/>
                <w:lang w:eastAsia="ru-RU"/>
              </w:rPr>
              <w:t>Other comprehensive</w:t>
            </w:r>
            <w:r w:rsidRPr="00A90FED">
              <w:rPr>
                <w:rFonts w:ascii="Arial" w:eastAsia="Times New Roman" w:hAnsi="Arial" w:cs="Arial"/>
                <w:b/>
                <w:i/>
                <w:spacing w:val="-2"/>
                <w:sz w:val="18"/>
                <w:szCs w:val="18"/>
                <w:lang w:val="en-US" w:eastAsia="ru-RU"/>
              </w:rPr>
              <w:t xml:space="preserve"> income/(loss)</w:t>
            </w:r>
          </w:p>
        </w:tc>
        <w:tc>
          <w:tcPr>
            <w:tcW w:w="2099" w:type="dxa"/>
            <w:tcBorders>
              <w:top w:val="nil"/>
              <w:left w:val="nil"/>
              <w:bottom w:val="nil"/>
              <w:right w:val="nil"/>
            </w:tcBorders>
            <w:vAlign w:val="bottom"/>
          </w:tcPr>
          <w:p w14:paraId="625483E4"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1701" w:type="dxa"/>
            <w:tcBorders>
              <w:top w:val="nil"/>
              <w:left w:val="nil"/>
              <w:bottom w:val="nil"/>
              <w:right w:val="nil"/>
            </w:tcBorders>
            <w:vAlign w:val="bottom"/>
          </w:tcPr>
          <w:p w14:paraId="5F549FA4"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r>
      <w:tr w:rsidR="00A90FED" w:rsidRPr="00A90FED" w14:paraId="2B563069" w14:textId="77777777" w:rsidTr="00A90FED">
        <w:trPr>
          <w:cantSplit/>
        </w:trPr>
        <w:tc>
          <w:tcPr>
            <w:tcW w:w="5556" w:type="dxa"/>
            <w:tcBorders>
              <w:top w:val="nil"/>
              <w:left w:val="nil"/>
              <w:bottom w:val="nil"/>
            </w:tcBorders>
            <w:vAlign w:val="bottom"/>
          </w:tcPr>
          <w:p w14:paraId="79CB69A2"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b/>
                <w:i/>
                <w:spacing w:val="-2"/>
                <w:sz w:val="18"/>
                <w:szCs w:val="18"/>
                <w:lang w:eastAsia="ru-RU"/>
              </w:rPr>
              <w:t>Items that will never be reclassified to profit or loss</w:t>
            </w:r>
          </w:p>
        </w:tc>
        <w:tc>
          <w:tcPr>
            <w:tcW w:w="2099" w:type="dxa"/>
            <w:tcBorders>
              <w:top w:val="nil"/>
              <w:left w:val="nil"/>
              <w:right w:val="nil"/>
            </w:tcBorders>
            <w:vAlign w:val="bottom"/>
          </w:tcPr>
          <w:p w14:paraId="25B9F71C" w14:textId="77777777" w:rsidR="00A90FED" w:rsidRPr="00A90FED" w:rsidDel="00667381"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p>
        </w:tc>
        <w:tc>
          <w:tcPr>
            <w:tcW w:w="1701" w:type="dxa"/>
            <w:tcBorders>
              <w:top w:val="nil"/>
              <w:left w:val="nil"/>
              <w:bottom w:val="nil"/>
              <w:right w:val="nil"/>
            </w:tcBorders>
            <w:vAlign w:val="bottom"/>
          </w:tcPr>
          <w:p w14:paraId="6A49C6A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p>
        </w:tc>
      </w:tr>
      <w:tr w:rsidR="00A90FED" w:rsidRPr="00A90FED" w14:paraId="5FE126C4" w14:textId="77777777" w:rsidTr="00A90FED">
        <w:trPr>
          <w:cantSplit/>
        </w:trPr>
        <w:tc>
          <w:tcPr>
            <w:tcW w:w="5556" w:type="dxa"/>
            <w:tcBorders>
              <w:top w:val="nil"/>
              <w:left w:val="nil"/>
              <w:bottom w:val="nil"/>
            </w:tcBorders>
            <w:vAlign w:val="bottom"/>
          </w:tcPr>
          <w:p w14:paraId="248BF3C7"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Actuarial gains/(losses)</w:t>
            </w:r>
          </w:p>
        </w:tc>
        <w:tc>
          <w:tcPr>
            <w:tcW w:w="2099" w:type="dxa"/>
            <w:tcBorders>
              <w:top w:val="nil"/>
              <w:left w:val="nil"/>
              <w:right w:val="nil"/>
            </w:tcBorders>
            <w:vAlign w:val="bottom"/>
          </w:tcPr>
          <w:p w14:paraId="1E5DC84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ru-RU"/>
              </w:rPr>
              <w:t>132</w:t>
            </w:r>
          </w:p>
        </w:tc>
        <w:tc>
          <w:tcPr>
            <w:tcW w:w="1701" w:type="dxa"/>
            <w:tcBorders>
              <w:top w:val="nil"/>
              <w:left w:val="nil"/>
              <w:right w:val="nil"/>
            </w:tcBorders>
            <w:vAlign w:val="bottom"/>
          </w:tcPr>
          <w:p w14:paraId="0EDA1841"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18"/>
                <w:lang w:val="ru-RU" w:eastAsia="ru-RU"/>
              </w:rPr>
              <w:t>(</w:t>
            </w:r>
            <w:r w:rsidRPr="00A90FED">
              <w:rPr>
                <w:rFonts w:ascii="Arial" w:eastAsia="Times New Roman" w:hAnsi="Arial" w:cs="Arial"/>
                <w:spacing w:val="-2"/>
                <w:sz w:val="18"/>
                <w:szCs w:val="18"/>
                <w:lang w:val="en-US" w:eastAsia="ru-RU"/>
              </w:rPr>
              <w:t>35</w:t>
            </w:r>
            <w:r w:rsidRPr="00A90FED">
              <w:rPr>
                <w:rFonts w:ascii="Arial" w:eastAsia="Times New Roman" w:hAnsi="Arial" w:cs="Arial"/>
                <w:spacing w:val="-2"/>
                <w:sz w:val="18"/>
                <w:szCs w:val="18"/>
                <w:lang w:val="ru-RU" w:eastAsia="ru-RU"/>
              </w:rPr>
              <w:t>)</w:t>
            </w:r>
          </w:p>
        </w:tc>
      </w:tr>
      <w:tr w:rsidR="00A90FED" w:rsidRPr="00A90FED" w14:paraId="7B3BC932" w14:textId="77777777" w:rsidTr="00A90FED">
        <w:trPr>
          <w:cantSplit/>
        </w:trPr>
        <w:tc>
          <w:tcPr>
            <w:tcW w:w="5556" w:type="dxa"/>
            <w:tcBorders>
              <w:top w:val="nil"/>
              <w:left w:val="nil"/>
              <w:bottom w:val="single" w:sz="4" w:space="0" w:color="auto"/>
            </w:tcBorders>
            <w:vAlign w:val="bottom"/>
          </w:tcPr>
          <w:p w14:paraId="5B990D09"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099" w:type="dxa"/>
            <w:tcBorders>
              <w:left w:val="nil"/>
              <w:bottom w:val="single" w:sz="4" w:space="0" w:color="auto"/>
              <w:right w:val="nil"/>
            </w:tcBorders>
            <w:vAlign w:val="bottom"/>
          </w:tcPr>
          <w:p w14:paraId="29644AC4"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1701" w:type="dxa"/>
            <w:tcBorders>
              <w:left w:val="nil"/>
              <w:bottom w:val="single" w:sz="4" w:space="0" w:color="auto"/>
              <w:right w:val="nil"/>
            </w:tcBorders>
            <w:vAlign w:val="bottom"/>
          </w:tcPr>
          <w:p w14:paraId="0795070A"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A90FED" w:rsidRPr="00A90FED" w14:paraId="0806D37D" w14:textId="77777777" w:rsidTr="00A90FED">
        <w:trPr>
          <w:cantSplit/>
        </w:trPr>
        <w:tc>
          <w:tcPr>
            <w:tcW w:w="5556" w:type="dxa"/>
            <w:tcBorders>
              <w:top w:val="single" w:sz="4" w:space="0" w:color="auto"/>
              <w:left w:val="nil"/>
            </w:tcBorders>
            <w:vAlign w:val="bottom"/>
          </w:tcPr>
          <w:p w14:paraId="3FA276B4"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099" w:type="dxa"/>
            <w:tcBorders>
              <w:top w:val="single" w:sz="4" w:space="0" w:color="auto"/>
              <w:left w:val="nil"/>
              <w:right w:val="nil"/>
            </w:tcBorders>
            <w:vAlign w:val="bottom"/>
          </w:tcPr>
          <w:p w14:paraId="5415EFE6"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1701" w:type="dxa"/>
            <w:tcBorders>
              <w:top w:val="single" w:sz="4" w:space="0" w:color="auto"/>
              <w:left w:val="nil"/>
              <w:right w:val="nil"/>
            </w:tcBorders>
            <w:vAlign w:val="bottom"/>
          </w:tcPr>
          <w:p w14:paraId="68A11DF3"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A90FED" w:rsidRPr="00A90FED" w14:paraId="5CA218D3" w14:textId="77777777" w:rsidTr="00A90FED">
        <w:trPr>
          <w:cantSplit/>
        </w:trPr>
        <w:tc>
          <w:tcPr>
            <w:tcW w:w="5556" w:type="dxa"/>
            <w:tcBorders>
              <w:left w:val="nil"/>
              <w:right w:val="nil"/>
            </w:tcBorders>
            <w:vAlign w:val="bottom"/>
          </w:tcPr>
          <w:p w14:paraId="08EC1E95"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A90FED">
              <w:rPr>
                <w:rFonts w:ascii="Arial" w:eastAsia="Times New Roman" w:hAnsi="Arial" w:cs="Arial"/>
                <w:b/>
                <w:spacing w:val="-2"/>
                <w:sz w:val="18"/>
                <w:szCs w:val="18"/>
                <w:lang w:eastAsia="ru-RU"/>
              </w:rPr>
              <w:t>Other comprehensive income/(loss) for the year</w:t>
            </w:r>
          </w:p>
        </w:tc>
        <w:tc>
          <w:tcPr>
            <w:tcW w:w="2099" w:type="dxa"/>
            <w:tcBorders>
              <w:left w:val="nil"/>
              <w:right w:val="nil"/>
            </w:tcBorders>
            <w:vAlign w:val="bottom"/>
          </w:tcPr>
          <w:p w14:paraId="5E9F4E6B"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bCs/>
                <w:spacing w:val="-2"/>
                <w:sz w:val="18"/>
                <w:szCs w:val="18"/>
                <w:lang w:val="en-US" w:eastAsia="ru-RU"/>
              </w:rPr>
            </w:pPr>
            <w:r w:rsidRPr="00A90FED">
              <w:rPr>
                <w:rFonts w:ascii="Arial" w:eastAsia="Times New Roman" w:hAnsi="Arial" w:cs="Arial"/>
                <w:b/>
                <w:spacing w:val="-2"/>
                <w:sz w:val="18"/>
                <w:szCs w:val="18"/>
                <w:lang w:val="en-US" w:eastAsia="ru-RU"/>
              </w:rPr>
              <w:t>132</w:t>
            </w:r>
          </w:p>
        </w:tc>
        <w:tc>
          <w:tcPr>
            <w:tcW w:w="1701" w:type="dxa"/>
            <w:tcBorders>
              <w:left w:val="nil"/>
              <w:right w:val="nil"/>
            </w:tcBorders>
            <w:vAlign w:val="bottom"/>
          </w:tcPr>
          <w:p w14:paraId="2090588F"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b/>
                <w:bCs/>
                <w:spacing w:val="-2"/>
                <w:sz w:val="18"/>
                <w:szCs w:val="18"/>
                <w:lang w:eastAsia="ru-RU"/>
              </w:rPr>
            </w:pPr>
            <w:r w:rsidRPr="00A90FED">
              <w:rPr>
                <w:rFonts w:ascii="Arial" w:eastAsia="Times New Roman" w:hAnsi="Arial" w:cs="Arial"/>
                <w:b/>
                <w:spacing w:val="-2"/>
                <w:sz w:val="18"/>
                <w:szCs w:val="18"/>
                <w:lang w:val="en-US" w:eastAsia="ru-RU"/>
              </w:rPr>
              <w:t>(35)</w:t>
            </w:r>
          </w:p>
        </w:tc>
      </w:tr>
      <w:tr w:rsidR="00A90FED" w:rsidRPr="00A90FED" w14:paraId="5BFD73A9" w14:textId="77777777" w:rsidTr="00A90FED">
        <w:trPr>
          <w:cantSplit/>
        </w:trPr>
        <w:tc>
          <w:tcPr>
            <w:tcW w:w="5556" w:type="dxa"/>
            <w:tcBorders>
              <w:left w:val="nil"/>
              <w:bottom w:val="single" w:sz="4" w:space="0" w:color="auto"/>
              <w:right w:val="nil"/>
            </w:tcBorders>
            <w:vAlign w:val="bottom"/>
          </w:tcPr>
          <w:p w14:paraId="519F3D4E"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A90FED">
              <w:rPr>
                <w:rFonts w:ascii="Arial" w:eastAsia="Times New Roman" w:hAnsi="Arial" w:cs="Arial"/>
                <w:b/>
                <w:spacing w:val="-2"/>
                <w:sz w:val="10"/>
                <w:szCs w:val="10"/>
                <w:lang w:eastAsia="ru-RU"/>
              </w:rPr>
              <w:t> </w:t>
            </w:r>
          </w:p>
        </w:tc>
        <w:tc>
          <w:tcPr>
            <w:tcW w:w="2099" w:type="dxa"/>
            <w:tcBorders>
              <w:left w:val="nil"/>
              <w:bottom w:val="single" w:sz="4" w:space="0" w:color="auto"/>
              <w:right w:val="nil"/>
            </w:tcBorders>
            <w:vAlign w:val="bottom"/>
          </w:tcPr>
          <w:p w14:paraId="3FA9611B"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c>
          <w:tcPr>
            <w:tcW w:w="1701" w:type="dxa"/>
            <w:tcBorders>
              <w:left w:val="nil"/>
              <w:bottom w:val="single" w:sz="4" w:space="0" w:color="auto"/>
              <w:right w:val="nil"/>
            </w:tcBorders>
            <w:vAlign w:val="bottom"/>
          </w:tcPr>
          <w:p w14:paraId="5FFF30BC"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r>
      <w:tr w:rsidR="00A90FED" w:rsidRPr="00A90FED" w14:paraId="035F6780" w14:textId="77777777" w:rsidTr="00A90FED">
        <w:trPr>
          <w:cantSplit/>
        </w:trPr>
        <w:tc>
          <w:tcPr>
            <w:tcW w:w="5556" w:type="dxa"/>
            <w:tcBorders>
              <w:top w:val="single" w:sz="4" w:space="0" w:color="auto"/>
              <w:left w:val="nil"/>
              <w:right w:val="nil"/>
            </w:tcBorders>
            <w:vAlign w:val="bottom"/>
          </w:tcPr>
          <w:p w14:paraId="254B12A8"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A90FED">
              <w:rPr>
                <w:rFonts w:ascii="Arial" w:eastAsia="Times New Roman" w:hAnsi="Arial" w:cs="Arial"/>
                <w:b/>
                <w:spacing w:val="-2"/>
                <w:sz w:val="10"/>
                <w:szCs w:val="10"/>
                <w:lang w:eastAsia="ru-RU"/>
              </w:rPr>
              <w:t> </w:t>
            </w:r>
          </w:p>
        </w:tc>
        <w:tc>
          <w:tcPr>
            <w:tcW w:w="2099" w:type="dxa"/>
            <w:tcBorders>
              <w:top w:val="single" w:sz="4" w:space="0" w:color="auto"/>
              <w:left w:val="nil"/>
              <w:right w:val="nil"/>
            </w:tcBorders>
            <w:vAlign w:val="bottom"/>
          </w:tcPr>
          <w:p w14:paraId="3C6E8B9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c>
          <w:tcPr>
            <w:tcW w:w="1701" w:type="dxa"/>
            <w:tcBorders>
              <w:top w:val="single" w:sz="4" w:space="0" w:color="auto"/>
              <w:left w:val="nil"/>
              <w:right w:val="nil"/>
            </w:tcBorders>
            <w:vAlign w:val="bottom"/>
          </w:tcPr>
          <w:p w14:paraId="77EE131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r>
      <w:tr w:rsidR="00A90FED" w:rsidRPr="00A90FED" w14:paraId="5186565C" w14:textId="77777777" w:rsidTr="00A90FED">
        <w:trPr>
          <w:cantSplit/>
        </w:trPr>
        <w:tc>
          <w:tcPr>
            <w:tcW w:w="5556" w:type="dxa"/>
            <w:tcBorders>
              <w:left w:val="nil"/>
              <w:right w:val="nil"/>
            </w:tcBorders>
            <w:vAlign w:val="bottom"/>
          </w:tcPr>
          <w:p w14:paraId="7E123CA3"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A90FED">
              <w:rPr>
                <w:rFonts w:ascii="Arial" w:eastAsia="Times New Roman" w:hAnsi="Arial" w:cs="Arial"/>
                <w:b/>
                <w:spacing w:val="-2"/>
                <w:sz w:val="18"/>
                <w:szCs w:val="18"/>
                <w:lang w:eastAsia="ru-RU"/>
              </w:rPr>
              <w:t>Total comprehensive income for the year</w:t>
            </w:r>
          </w:p>
        </w:tc>
        <w:tc>
          <w:tcPr>
            <w:tcW w:w="2099" w:type="dxa"/>
            <w:tcBorders>
              <w:left w:val="nil"/>
              <w:right w:val="nil"/>
            </w:tcBorders>
            <w:vAlign w:val="bottom"/>
          </w:tcPr>
          <w:p w14:paraId="3D976300"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A90FED">
              <w:rPr>
                <w:rFonts w:ascii="Arial" w:eastAsia="Times New Roman" w:hAnsi="Arial" w:cs="Arial"/>
                <w:b/>
                <w:spacing w:val="-2"/>
                <w:sz w:val="18"/>
                <w:szCs w:val="18"/>
                <w:lang w:val="en-US" w:eastAsia="ru-RU"/>
              </w:rPr>
              <w:t>84,601</w:t>
            </w:r>
          </w:p>
        </w:tc>
        <w:tc>
          <w:tcPr>
            <w:tcW w:w="1701" w:type="dxa"/>
            <w:tcBorders>
              <w:left w:val="nil"/>
              <w:right w:val="nil"/>
            </w:tcBorders>
            <w:vAlign w:val="bottom"/>
          </w:tcPr>
          <w:p w14:paraId="73BDC047"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bCs/>
                <w:spacing w:val="-2"/>
                <w:sz w:val="18"/>
                <w:szCs w:val="18"/>
                <w:lang w:val="en-US" w:eastAsia="ru-RU"/>
              </w:rPr>
            </w:pPr>
            <w:r w:rsidRPr="00A90FED">
              <w:rPr>
                <w:rFonts w:ascii="Arial" w:eastAsia="Times New Roman" w:hAnsi="Arial" w:cs="Arial"/>
                <w:b/>
                <w:spacing w:val="-2"/>
                <w:sz w:val="18"/>
                <w:szCs w:val="18"/>
                <w:lang w:val="en-US" w:eastAsia="ru-RU"/>
              </w:rPr>
              <w:t>86,</w:t>
            </w:r>
            <w:r w:rsidRPr="00A90FED">
              <w:rPr>
                <w:rFonts w:ascii="Arial" w:eastAsia="Times New Roman" w:hAnsi="Arial" w:cs="Arial"/>
                <w:b/>
                <w:spacing w:val="-2"/>
                <w:sz w:val="18"/>
                <w:szCs w:val="18"/>
                <w:lang w:val="ru-RU" w:eastAsia="ru-RU"/>
              </w:rPr>
              <w:t>106</w:t>
            </w:r>
          </w:p>
        </w:tc>
      </w:tr>
      <w:tr w:rsidR="00A90FED" w:rsidRPr="00A90FED" w14:paraId="4C75127A" w14:textId="77777777" w:rsidTr="00A90FED">
        <w:trPr>
          <w:cantSplit/>
        </w:trPr>
        <w:tc>
          <w:tcPr>
            <w:tcW w:w="5556" w:type="dxa"/>
            <w:tcBorders>
              <w:left w:val="nil"/>
              <w:bottom w:val="single" w:sz="12" w:space="0" w:color="auto"/>
              <w:right w:val="nil"/>
            </w:tcBorders>
            <w:vAlign w:val="bottom"/>
          </w:tcPr>
          <w:p w14:paraId="29ABD6EC"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A90FED">
              <w:rPr>
                <w:rFonts w:ascii="Arial" w:eastAsia="Times New Roman" w:hAnsi="Arial" w:cs="Arial"/>
                <w:b/>
                <w:spacing w:val="-2"/>
                <w:sz w:val="10"/>
                <w:szCs w:val="10"/>
                <w:lang w:eastAsia="ru-RU"/>
              </w:rPr>
              <w:t> </w:t>
            </w:r>
          </w:p>
        </w:tc>
        <w:tc>
          <w:tcPr>
            <w:tcW w:w="2099" w:type="dxa"/>
            <w:tcBorders>
              <w:left w:val="nil"/>
              <w:bottom w:val="single" w:sz="12" w:space="0" w:color="auto"/>
              <w:right w:val="nil"/>
            </w:tcBorders>
            <w:vAlign w:val="bottom"/>
          </w:tcPr>
          <w:p w14:paraId="611ECC91"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bCs/>
                <w:spacing w:val="-2"/>
                <w:sz w:val="10"/>
                <w:szCs w:val="10"/>
                <w:lang w:val="ru-RU" w:eastAsia="ru-RU"/>
              </w:rPr>
            </w:pPr>
          </w:p>
        </w:tc>
        <w:tc>
          <w:tcPr>
            <w:tcW w:w="1701" w:type="dxa"/>
            <w:tcBorders>
              <w:left w:val="nil"/>
              <w:bottom w:val="single" w:sz="12" w:space="0" w:color="auto"/>
              <w:right w:val="nil"/>
            </w:tcBorders>
            <w:vAlign w:val="bottom"/>
          </w:tcPr>
          <w:p w14:paraId="759ABDED"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r>
      <w:tr w:rsidR="00A90FED" w:rsidRPr="00A90FED" w14:paraId="52139806" w14:textId="77777777" w:rsidTr="00A90FED">
        <w:trPr>
          <w:cantSplit/>
        </w:trPr>
        <w:tc>
          <w:tcPr>
            <w:tcW w:w="5556" w:type="dxa"/>
            <w:tcBorders>
              <w:top w:val="single" w:sz="12" w:space="0" w:color="auto"/>
              <w:left w:val="nil"/>
              <w:bottom w:val="nil"/>
              <w:right w:val="nil"/>
            </w:tcBorders>
            <w:vAlign w:val="bottom"/>
          </w:tcPr>
          <w:p w14:paraId="4252A305"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099" w:type="dxa"/>
            <w:tcBorders>
              <w:top w:val="single" w:sz="12" w:space="0" w:color="auto"/>
              <w:left w:val="nil"/>
              <w:right w:val="nil"/>
            </w:tcBorders>
            <w:vAlign w:val="bottom"/>
          </w:tcPr>
          <w:p w14:paraId="23E0876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1701" w:type="dxa"/>
            <w:tcBorders>
              <w:top w:val="single" w:sz="12" w:space="0" w:color="auto"/>
              <w:left w:val="nil"/>
              <w:right w:val="nil"/>
            </w:tcBorders>
            <w:vAlign w:val="bottom"/>
          </w:tcPr>
          <w:p w14:paraId="77B767BC"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A90FED" w:rsidRPr="00A90FED" w14:paraId="3DCEB997" w14:textId="77777777" w:rsidTr="00A90FED">
        <w:trPr>
          <w:cantSplit/>
        </w:trPr>
        <w:tc>
          <w:tcPr>
            <w:tcW w:w="5556" w:type="dxa"/>
            <w:tcBorders>
              <w:top w:val="nil"/>
              <w:left w:val="nil"/>
              <w:bottom w:val="nil"/>
              <w:right w:val="nil"/>
            </w:tcBorders>
            <w:vAlign w:val="bottom"/>
          </w:tcPr>
          <w:p w14:paraId="54BBFA6A"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Attributable to:</w:t>
            </w:r>
          </w:p>
        </w:tc>
        <w:tc>
          <w:tcPr>
            <w:tcW w:w="2099" w:type="dxa"/>
            <w:tcBorders>
              <w:left w:val="nil"/>
              <w:right w:val="nil"/>
            </w:tcBorders>
            <w:vAlign w:val="bottom"/>
          </w:tcPr>
          <w:p w14:paraId="110E364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1701" w:type="dxa"/>
            <w:tcBorders>
              <w:left w:val="nil"/>
              <w:bottom w:val="nil"/>
              <w:right w:val="nil"/>
            </w:tcBorders>
            <w:vAlign w:val="bottom"/>
          </w:tcPr>
          <w:p w14:paraId="6946022F"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r>
      <w:tr w:rsidR="00A90FED" w:rsidRPr="00A90FED" w14:paraId="6D99F654" w14:textId="77777777" w:rsidTr="00A90FED">
        <w:trPr>
          <w:cantSplit/>
        </w:trPr>
        <w:tc>
          <w:tcPr>
            <w:tcW w:w="5556" w:type="dxa"/>
            <w:tcBorders>
              <w:top w:val="nil"/>
              <w:left w:val="nil"/>
              <w:right w:val="nil"/>
            </w:tcBorders>
            <w:vAlign w:val="bottom"/>
          </w:tcPr>
          <w:p w14:paraId="3EB29AA4" w14:textId="77777777" w:rsidR="00A90FED" w:rsidRPr="00A90FED" w:rsidRDefault="00A90FED" w:rsidP="00A90FED">
            <w:pPr>
              <w:widowControl w:val="0"/>
              <w:autoSpaceDE w:val="0"/>
              <w:autoSpaceDN w:val="0"/>
              <w:adjustRightInd w:val="0"/>
              <w:spacing w:after="0" w:line="240" w:lineRule="auto"/>
              <w:ind w:left="113"/>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Shareholders of the Company</w:t>
            </w:r>
          </w:p>
        </w:tc>
        <w:tc>
          <w:tcPr>
            <w:tcW w:w="2099" w:type="dxa"/>
            <w:tcBorders>
              <w:top w:val="nil"/>
              <w:left w:val="nil"/>
              <w:right w:val="nil"/>
            </w:tcBorders>
            <w:vAlign w:val="bottom"/>
          </w:tcPr>
          <w:p w14:paraId="005AAE5C"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ru-RU"/>
              </w:rPr>
              <w:t>84</w:t>
            </w:r>
            <w:r w:rsidRPr="00A90FED">
              <w:rPr>
                <w:rFonts w:ascii="Arial" w:eastAsia="Times New Roman" w:hAnsi="Arial" w:cs="Arial"/>
                <w:spacing w:val="-2"/>
                <w:sz w:val="18"/>
                <w:szCs w:val="18"/>
                <w:lang w:val="ru-RU" w:eastAsia="ru-RU"/>
              </w:rPr>
              <w:t>,562</w:t>
            </w:r>
          </w:p>
        </w:tc>
        <w:tc>
          <w:tcPr>
            <w:tcW w:w="1701" w:type="dxa"/>
            <w:tcBorders>
              <w:top w:val="nil"/>
              <w:left w:val="nil"/>
              <w:right w:val="nil"/>
            </w:tcBorders>
            <w:vAlign w:val="bottom"/>
          </w:tcPr>
          <w:p w14:paraId="31DFB11A"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8</w:t>
            </w:r>
            <w:r w:rsidRPr="00A90FED">
              <w:rPr>
                <w:rFonts w:ascii="Arial" w:eastAsia="Times New Roman" w:hAnsi="Arial" w:cs="Arial"/>
                <w:spacing w:val="-2"/>
                <w:sz w:val="18"/>
                <w:szCs w:val="18"/>
                <w:lang w:val="ru-RU" w:eastAsia="ru-RU"/>
              </w:rPr>
              <w:t>6</w:t>
            </w:r>
            <w:r w:rsidRPr="00A90FED">
              <w:rPr>
                <w:rFonts w:ascii="Arial" w:eastAsia="Times New Roman" w:hAnsi="Arial" w:cs="Arial"/>
                <w:spacing w:val="-2"/>
                <w:sz w:val="18"/>
                <w:szCs w:val="18"/>
                <w:lang w:val="en-US" w:eastAsia="ru-RU"/>
              </w:rPr>
              <w:t>,</w:t>
            </w:r>
            <w:r w:rsidRPr="00A90FED">
              <w:rPr>
                <w:rFonts w:ascii="Arial" w:eastAsia="Times New Roman" w:hAnsi="Arial" w:cs="Arial"/>
                <w:spacing w:val="-2"/>
                <w:sz w:val="18"/>
                <w:szCs w:val="18"/>
                <w:lang w:val="ru-RU" w:eastAsia="ru-RU"/>
              </w:rPr>
              <w:t>049</w:t>
            </w:r>
          </w:p>
        </w:tc>
      </w:tr>
      <w:tr w:rsidR="00A90FED" w:rsidRPr="00A90FED" w14:paraId="77804B0D" w14:textId="77777777" w:rsidTr="00A90FED">
        <w:trPr>
          <w:cantSplit/>
        </w:trPr>
        <w:tc>
          <w:tcPr>
            <w:tcW w:w="5556" w:type="dxa"/>
            <w:tcBorders>
              <w:top w:val="nil"/>
              <w:left w:val="nil"/>
              <w:right w:val="nil"/>
            </w:tcBorders>
            <w:vAlign w:val="bottom"/>
          </w:tcPr>
          <w:p w14:paraId="468BF278" w14:textId="77777777" w:rsidR="00A90FED" w:rsidRPr="00A90FED" w:rsidRDefault="00A90FED" w:rsidP="00A90FED">
            <w:pPr>
              <w:widowControl w:val="0"/>
              <w:autoSpaceDE w:val="0"/>
              <w:autoSpaceDN w:val="0"/>
              <w:adjustRightInd w:val="0"/>
              <w:spacing w:after="0" w:line="240" w:lineRule="auto"/>
              <w:ind w:left="113"/>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Non-controlling interests*</w:t>
            </w:r>
          </w:p>
        </w:tc>
        <w:tc>
          <w:tcPr>
            <w:tcW w:w="2099" w:type="dxa"/>
            <w:tcBorders>
              <w:top w:val="nil"/>
              <w:left w:val="nil"/>
              <w:right w:val="nil"/>
            </w:tcBorders>
            <w:vAlign w:val="bottom"/>
          </w:tcPr>
          <w:p w14:paraId="4E6E007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39</w:t>
            </w:r>
          </w:p>
        </w:tc>
        <w:tc>
          <w:tcPr>
            <w:tcW w:w="1701" w:type="dxa"/>
            <w:tcBorders>
              <w:top w:val="nil"/>
              <w:left w:val="nil"/>
              <w:right w:val="nil"/>
            </w:tcBorders>
            <w:vAlign w:val="bottom"/>
          </w:tcPr>
          <w:p w14:paraId="6D15C700"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18"/>
                <w:lang w:val="en-US" w:eastAsia="ru-RU"/>
              </w:rPr>
              <w:t>57</w:t>
            </w:r>
          </w:p>
        </w:tc>
      </w:tr>
      <w:tr w:rsidR="00A90FED" w:rsidRPr="00A90FED" w14:paraId="00D465E9" w14:textId="77777777" w:rsidTr="00A90FED">
        <w:trPr>
          <w:cantSplit/>
        </w:trPr>
        <w:tc>
          <w:tcPr>
            <w:tcW w:w="5556" w:type="dxa"/>
            <w:tcBorders>
              <w:left w:val="nil"/>
              <w:bottom w:val="single" w:sz="4" w:space="0" w:color="auto"/>
              <w:right w:val="nil"/>
            </w:tcBorders>
            <w:vAlign w:val="bottom"/>
          </w:tcPr>
          <w:p w14:paraId="0FCC1BE6" w14:textId="77777777" w:rsidR="00A90FED" w:rsidRPr="00A90FED" w:rsidRDefault="00A90FED" w:rsidP="00A90FED">
            <w:pPr>
              <w:widowControl w:val="0"/>
              <w:autoSpaceDE w:val="0"/>
              <w:autoSpaceDN w:val="0"/>
              <w:adjustRightInd w:val="0"/>
              <w:spacing w:after="0" w:line="240" w:lineRule="auto"/>
              <w:ind w:left="113" w:hanging="113"/>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099" w:type="dxa"/>
            <w:tcBorders>
              <w:left w:val="nil"/>
              <w:bottom w:val="single" w:sz="4" w:space="0" w:color="auto"/>
              <w:right w:val="nil"/>
            </w:tcBorders>
            <w:vAlign w:val="bottom"/>
          </w:tcPr>
          <w:p w14:paraId="39FBFCF9"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701" w:type="dxa"/>
            <w:tcBorders>
              <w:left w:val="nil"/>
              <w:bottom w:val="single" w:sz="4" w:space="0" w:color="auto"/>
              <w:right w:val="nil"/>
            </w:tcBorders>
            <w:vAlign w:val="bottom"/>
          </w:tcPr>
          <w:p w14:paraId="1324AB8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bl>
    <w:p w14:paraId="4FC63422" w14:textId="77777777" w:rsidR="00F45535" w:rsidRPr="00335EBE" w:rsidRDefault="00F45535" w:rsidP="00965003">
      <w:pPr>
        <w:widowControl w:val="0"/>
        <w:spacing w:before="120"/>
        <w:rPr>
          <w:rFonts w:ascii="Arial" w:hAnsi="Arial" w:cs="Arial"/>
          <w:i/>
          <w:iCs/>
          <w:sz w:val="16"/>
          <w:szCs w:val="16"/>
        </w:rPr>
      </w:pPr>
    </w:p>
    <w:p w14:paraId="15AD31FD" w14:textId="13A3C691" w:rsidR="00965003" w:rsidRPr="00A90FED" w:rsidRDefault="00A90FED" w:rsidP="00A90FED">
      <w:pPr>
        <w:widowControl w:val="0"/>
        <w:autoSpaceDE w:val="0"/>
        <w:autoSpaceDN w:val="0"/>
        <w:adjustRightInd w:val="0"/>
        <w:spacing w:before="120" w:after="120"/>
        <w:jc w:val="both"/>
        <w:rPr>
          <w:rFonts w:ascii="Arial" w:hAnsi="Arial" w:cs="Arial"/>
          <w:i/>
          <w:iCs/>
          <w:sz w:val="18"/>
          <w:szCs w:val="16"/>
          <w:lang w:val="en-US"/>
        </w:rPr>
        <w:sectPr w:rsidR="00965003" w:rsidRPr="00A90FED" w:rsidSect="00CB6682">
          <w:headerReference w:type="default" r:id="rId26"/>
          <w:footnotePr>
            <w:numRestart w:val="eachPage"/>
          </w:footnotePr>
          <w:pgSz w:w="11907" w:h="16840" w:code="9"/>
          <w:pgMar w:top="1134" w:right="1021" w:bottom="1134" w:left="1531" w:header="567" w:footer="567" w:gutter="0"/>
          <w:pgNumType w:start="1"/>
          <w:cols w:space="708"/>
          <w:docGrid w:linePitch="360"/>
        </w:sectPr>
      </w:pPr>
      <w:r w:rsidRPr="00F0713B">
        <w:rPr>
          <w:rFonts w:ascii="Arial" w:hAnsi="Arial" w:cs="Arial"/>
          <w:i/>
          <w:iCs/>
          <w:sz w:val="18"/>
          <w:szCs w:val="16"/>
        </w:rPr>
        <w:t>*Non-controlling interests are the minority shareholders of the subsidiaries of PJSC “PhosAgro”</w:t>
      </w:r>
    </w:p>
    <w:tbl>
      <w:tblPr>
        <w:tblW w:w="9356" w:type="dxa"/>
        <w:tblLayout w:type="fixed"/>
        <w:tblCellMar>
          <w:left w:w="85" w:type="dxa"/>
          <w:right w:w="85" w:type="dxa"/>
        </w:tblCellMar>
        <w:tblLook w:val="0000" w:firstRow="0" w:lastRow="0" w:firstColumn="0" w:lastColumn="0" w:noHBand="0" w:noVBand="0"/>
      </w:tblPr>
      <w:tblGrid>
        <w:gridCol w:w="5272"/>
        <w:gridCol w:w="2666"/>
        <w:gridCol w:w="1418"/>
      </w:tblGrid>
      <w:tr w:rsidR="00A90FED" w:rsidRPr="00A90FED" w14:paraId="2837EFB8" w14:textId="77777777" w:rsidTr="00A90FED">
        <w:trPr>
          <w:cantSplit/>
        </w:trPr>
        <w:tc>
          <w:tcPr>
            <w:tcW w:w="5272" w:type="dxa"/>
            <w:tcBorders>
              <w:top w:val="nil"/>
              <w:left w:val="nil"/>
              <w:bottom w:val="single" w:sz="4" w:space="0" w:color="auto"/>
              <w:right w:val="nil"/>
            </w:tcBorders>
            <w:vAlign w:val="bottom"/>
          </w:tcPr>
          <w:p w14:paraId="0B20C5D5"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i/>
                <w:iCs/>
                <w:spacing w:val="-2"/>
                <w:sz w:val="18"/>
                <w:szCs w:val="18"/>
                <w:lang w:eastAsia="ru-RU"/>
              </w:rPr>
            </w:pPr>
            <w:r w:rsidRPr="00A90FED">
              <w:rPr>
                <w:rFonts w:ascii="Arial" w:eastAsia="Times New Roman" w:hAnsi="Arial" w:cs="Arial"/>
                <w:i/>
                <w:iCs/>
                <w:spacing w:val="-2"/>
                <w:sz w:val="18"/>
                <w:szCs w:val="18"/>
                <w:lang w:eastAsia="ru-RU"/>
              </w:rPr>
              <w:lastRenderedPageBreak/>
              <w:t>RUB million</w:t>
            </w:r>
          </w:p>
        </w:tc>
        <w:tc>
          <w:tcPr>
            <w:tcW w:w="2666" w:type="dxa"/>
            <w:tcBorders>
              <w:top w:val="nil"/>
              <w:left w:val="nil"/>
              <w:bottom w:val="single" w:sz="4" w:space="0" w:color="auto"/>
              <w:right w:val="nil"/>
            </w:tcBorders>
            <w:vAlign w:val="bottom"/>
          </w:tcPr>
          <w:p w14:paraId="018FE6EB"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bCs/>
                <w:spacing w:val="-2"/>
                <w:sz w:val="18"/>
                <w:szCs w:val="18"/>
                <w:lang w:val="en-US" w:eastAsia="ru-RU"/>
              </w:rPr>
            </w:pPr>
            <w:r w:rsidRPr="00A90FED">
              <w:rPr>
                <w:rFonts w:ascii="Arial" w:eastAsia="Times New Roman" w:hAnsi="Arial" w:cs="Arial"/>
                <w:b/>
                <w:bCs/>
                <w:spacing w:val="-2"/>
                <w:sz w:val="18"/>
                <w:szCs w:val="18"/>
                <w:lang w:eastAsia="ru-RU"/>
              </w:rPr>
              <w:t xml:space="preserve">31 December </w:t>
            </w:r>
            <w:r w:rsidRPr="00A90FED">
              <w:rPr>
                <w:rFonts w:ascii="Arial" w:eastAsia="Times New Roman" w:hAnsi="Arial" w:cs="Arial"/>
                <w:b/>
                <w:bCs/>
                <w:spacing w:val="-2"/>
                <w:sz w:val="18"/>
                <w:szCs w:val="18"/>
                <w:lang w:eastAsia="ru-RU"/>
              </w:rPr>
              <w:br/>
              <w:t>20</w:t>
            </w:r>
            <w:r w:rsidRPr="00A90FED">
              <w:rPr>
                <w:rFonts w:ascii="Arial" w:eastAsia="Times New Roman" w:hAnsi="Arial" w:cs="Arial"/>
                <w:b/>
                <w:bCs/>
                <w:spacing w:val="-2"/>
                <w:sz w:val="18"/>
                <w:szCs w:val="18"/>
                <w:lang w:val="ru-RU" w:eastAsia="ru-RU"/>
              </w:rPr>
              <w:t>2</w:t>
            </w:r>
            <w:r w:rsidRPr="00A90FED">
              <w:rPr>
                <w:rFonts w:ascii="Arial" w:eastAsia="Times New Roman" w:hAnsi="Arial" w:cs="Arial"/>
                <w:b/>
                <w:bCs/>
                <w:spacing w:val="-2"/>
                <w:sz w:val="18"/>
                <w:szCs w:val="18"/>
                <w:lang w:val="en-US" w:eastAsia="ru-RU"/>
              </w:rPr>
              <w:t>4</w:t>
            </w:r>
          </w:p>
        </w:tc>
        <w:tc>
          <w:tcPr>
            <w:tcW w:w="1418" w:type="dxa"/>
            <w:tcBorders>
              <w:top w:val="nil"/>
              <w:left w:val="nil"/>
              <w:bottom w:val="single" w:sz="4" w:space="0" w:color="auto"/>
              <w:right w:val="nil"/>
            </w:tcBorders>
            <w:vAlign w:val="bottom"/>
          </w:tcPr>
          <w:p w14:paraId="089A72EF"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bCs/>
                <w:spacing w:val="-2"/>
                <w:sz w:val="18"/>
                <w:szCs w:val="18"/>
                <w:lang w:val="ru-RU" w:eastAsia="ru-RU"/>
              </w:rPr>
            </w:pPr>
            <w:r w:rsidRPr="00A90FED">
              <w:rPr>
                <w:rFonts w:ascii="Arial" w:eastAsia="Times New Roman" w:hAnsi="Arial" w:cs="Arial"/>
                <w:b/>
                <w:bCs/>
                <w:spacing w:val="-2"/>
                <w:sz w:val="18"/>
                <w:szCs w:val="18"/>
                <w:lang w:eastAsia="ru-RU"/>
              </w:rPr>
              <w:t xml:space="preserve">31 December </w:t>
            </w:r>
            <w:r w:rsidRPr="00A90FED">
              <w:rPr>
                <w:rFonts w:ascii="Arial" w:eastAsia="Times New Roman" w:hAnsi="Arial" w:cs="Arial"/>
                <w:b/>
                <w:bCs/>
                <w:spacing w:val="-2"/>
                <w:sz w:val="18"/>
                <w:szCs w:val="18"/>
                <w:lang w:eastAsia="ru-RU"/>
              </w:rPr>
              <w:br/>
              <w:t>20</w:t>
            </w:r>
            <w:r w:rsidRPr="00A90FED">
              <w:rPr>
                <w:rFonts w:ascii="Arial" w:eastAsia="Times New Roman" w:hAnsi="Arial" w:cs="Arial"/>
                <w:b/>
                <w:bCs/>
                <w:spacing w:val="-2"/>
                <w:sz w:val="18"/>
                <w:szCs w:val="18"/>
                <w:lang w:val="ru-RU" w:eastAsia="ru-RU"/>
              </w:rPr>
              <w:t>23</w:t>
            </w:r>
          </w:p>
        </w:tc>
      </w:tr>
      <w:tr w:rsidR="00A90FED" w:rsidRPr="00A90FED" w14:paraId="1456AFB4" w14:textId="77777777" w:rsidTr="00A90FED">
        <w:trPr>
          <w:cantSplit/>
        </w:trPr>
        <w:tc>
          <w:tcPr>
            <w:tcW w:w="5272" w:type="dxa"/>
            <w:tcBorders>
              <w:top w:val="single" w:sz="4" w:space="0" w:color="auto"/>
              <w:left w:val="nil"/>
              <w:right w:val="nil"/>
            </w:tcBorders>
            <w:vAlign w:val="bottom"/>
          </w:tcPr>
          <w:p w14:paraId="04F435B4" w14:textId="77777777" w:rsidR="00A90FED" w:rsidRPr="00A90FED" w:rsidRDefault="00A90FED" w:rsidP="00A90FED">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666" w:type="dxa"/>
            <w:tcBorders>
              <w:top w:val="single" w:sz="4" w:space="0" w:color="auto"/>
              <w:left w:val="nil"/>
              <w:right w:val="nil"/>
            </w:tcBorders>
            <w:vAlign w:val="bottom"/>
          </w:tcPr>
          <w:p w14:paraId="1509DA51" w14:textId="77777777" w:rsidR="00A90FED" w:rsidRPr="00A90FED" w:rsidRDefault="00A90FED" w:rsidP="00A90FED">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1418" w:type="dxa"/>
            <w:tcBorders>
              <w:top w:val="single" w:sz="4" w:space="0" w:color="auto"/>
              <w:left w:val="nil"/>
              <w:right w:val="nil"/>
            </w:tcBorders>
            <w:vAlign w:val="bottom"/>
          </w:tcPr>
          <w:p w14:paraId="36090D79" w14:textId="77777777" w:rsidR="00A90FED" w:rsidRPr="00A90FED" w:rsidRDefault="00A90FED" w:rsidP="00A90FED">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r>
      <w:tr w:rsidR="00A90FED" w:rsidRPr="00A90FED" w14:paraId="51E5603A" w14:textId="77777777" w:rsidTr="00A90FED">
        <w:trPr>
          <w:cantSplit/>
        </w:trPr>
        <w:tc>
          <w:tcPr>
            <w:tcW w:w="5272" w:type="dxa"/>
            <w:tcBorders>
              <w:left w:val="nil"/>
              <w:bottom w:val="nil"/>
              <w:right w:val="nil"/>
            </w:tcBorders>
            <w:vAlign w:val="bottom"/>
          </w:tcPr>
          <w:p w14:paraId="5C9F5093"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i/>
                <w:spacing w:val="-2"/>
                <w:sz w:val="18"/>
                <w:szCs w:val="18"/>
                <w:lang w:eastAsia="ru-RU"/>
              </w:rPr>
            </w:pPr>
            <w:r w:rsidRPr="00A90FED">
              <w:rPr>
                <w:rFonts w:ascii="Arial" w:eastAsia="Times New Roman" w:hAnsi="Arial" w:cs="Arial"/>
                <w:b/>
                <w:i/>
                <w:spacing w:val="-2"/>
                <w:sz w:val="18"/>
                <w:szCs w:val="18"/>
                <w:lang w:eastAsia="ru-RU"/>
              </w:rPr>
              <w:t>Assets</w:t>
            </w:r>
          </w:p>
        </w:tc>
        <w:tc>
          <w:tcPr>
            <w:tcW w:w="2666" w:type="dxa"/>
            <w:tcBorders>
              <w:left w:val="nil"/>
              <w:bottom w:val="nil"/>
              <w:right w:val="nil"/>
            </w:tcBorders>
            <w:vAlign w:val="bottom"/>
          </w:tcPr>
          <w:p w14:paraId="2CFCD5CC"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1418" w:type="dxa"/>
            <w:tcBorders>
              <w:left w:val="nil"/>
              <w:bottom w:val="nil"/>
              <w:right w:val="nil"/>
            </w:tcBorders>
            <w:vAlign w:val="bottom"/>
          </w:tcPr>
          <w:p w14:paraId="7AA2C826"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r>
      <w:tr w:rsidR="00A90FED" w:rsidRPr="00A90FED" w14:paraId="528F20D4" w14:textId="77777777" w:rsidTr="00A90FED">
        <w:trPr>
          <w:cantSplit/>
        </w:trPr>
        <w:tc>
          <w:tcPr>
            <w:tcW w:w="5272" w:type="dxa"/>
            <w:tcBorders>
              <w:top w:val="nil"/>
              <w:left w:val="nil"/>
              <w:bottom w:val="nil"/>
              <w:right w:val="nil"/>
            </w:tcBorders>
            <w:vAlign w:val="bottom"/>
          </w:tcPr>
          <w:p w14:paraId="67A965D0"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Property, plant and equipment</w:t>
            </w:r>
          </w:p>
        </w:tc>
        <w:tc>
          <w:tcPr>
            <w:tcW w:w="2666" w:type="dxa"/>
            <w:tcBorders>
              <w:top w:val="nil"/>
              <w:left w:val="nil"/>
              <w:bottom w:val="nil"/>
              <w:right w:val="nil"/>
            </w:tcBorders>
            <w:vAlign w:val="bottom"/>
          </w:tcPr>
          <w:p w14:paraId="53EA6240"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357,577</w:t>
            </w:r>
          </w:p>
        </w:tc>
        <w:tc>
          <w:tcPr>
            <w:tcW w:w="1418" w:type="dxa"/>
            <w:tcBorders>
              <w:top w:val="nil"/>
              <w:left w:val="nil"/>
              <w:bottom w:val="nil"/>
              <w:right w:val="nil"/>
            </w:tcBorders>
            <w:vAlign w:val="bottom"/>
          </w:tcPr>
          <w:p w14:paraId="61C80C5C"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308,663</w:t>
            </w:r>
          </w:p>
        </w:tc>
      </w:tr>
      <w:tr w:rsidR="00A90FED" w:rsidRPr="00A90FED" w14:paraId="04B29032" w14:textId="77777777" w:rsidTr="00A90FED">
        <w:trPr>
          <w:cantSplit/>
        </w:trPr>
        <w:tc>
          <w:tcPr>
            <w:tcW w:w="5272" w:type="dxa"/>
            <w:tcBorders>
              <w:top w:val="nil"/>
              <w:left w:val="nil"/>
              <w:bottom w:val="nil"/>
              <w:right w:val="nil"/>
            </w:tcBorders>
            <w:vAlign w:val="bottom"/>
          </w:tcPr>
          <w:p w14:paraId="57EB4513"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 xml:space="preserve">Deferred tax assets </w:t>
            </w:r>
          </w:p>
        </w:tc>
        <w:tc>
          <w:tcPr>
            <w:tcW w:w="2666" w:type="dxa"/>
            <w:tcBorders>
              <w:top w:val="nil"/>
              <w:left w:val="nil"/>
              <w:bottom w:val="nil"/>
              <w:right w:val="nil"/>
            </w:tcBorders>
          </w:tcPr>
          <w:p w14:paraId="7829EABF"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14,081</w:t>
            </w:r>
          </w:p>
        </w:tc>
        <w:tc>
          <w:tcPr>
            <w:tcW w:w="1418" w:type="dxa"/>
            <w:tcBorders>
              <w:top w:val="nil"/>
              <w:left w:val="nil"/>
              <w:bottom w:val="nil"/>
              <w:right w:val="nil"/>
            </w:tcBorders>
          </w:tcPr>
          <w:p w14:paraId="7B1F8EB4"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9,751</w:t>
            </w:r>
          </w:p>
        </w:tc>
      </w:tr>
      <w:tr w:rsidR="00A90FED" w:rsidRPr="00A90FED" w14:paraId="53417358" w14:textId="77777777" w:rsidTr="00A90FED">
        <w:trPr>
          <w:cantSplit/>
        </w:trPr>
        <w:tc>
          <w:tcPr>
            <w:tcW w:w="5272" w:type="dxa"/>
            <w:tcBorders>
              <w:top w:val="nil"/>
              <w:left w:val="nil"/>
              <w:bottom w:val="nil"/>
              <w:right w:val="nil"/>
            </w:tcBorders>
            <w:vAlign w:val="bottom"/>
          </w:tcPr>
          <w:p w14:paraId="51528AEE"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val="en-US" w:eastAsia="ru-RU"/>
              </w:rPr>
              <w:t>Non-current</w:t>
            </w:r>
            <w:r w:rsidRPr="00A90FED">
              <w:rPr>
                <w:rFonts w:ascii="Arial" w:eastAsia="Times New Roman" w:hAnsi="Arial" w:cs="Arial"/>
                <w:spacing w:val="-2"/>
                <w:sz w:val="18"/>
                <w:szCs w:val="18"/>
                <w:lang w:eastAsia="ru-RU"/>
              </w:rPr>
              <w:t xml:space="preserve"> spare parts</w:t>
            </w:r>
          </w:p>
        </w:tc>
        <w:tc>
          <w:tcPr>
            <w:tcW w:w="2666" w:type="dxa"/>
            <w:tcBorders>
              <w:top w:val="nil"/>
              <w:left w:val="nil"/>
              <w:bottom w:val="nil"/>
              <w:right w:val="nil"/>
            </w:tcBorders>
          </w:tcPr>
          <w:p w14:paraId="70C9B514"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13,564</w:t>
            </w:r>
          </w:p>
        </w:tc>
        <w:tc>
          <w:tcPr>
            <w:tcW w:w="1418" w:type="dxa"/>
            <w:tcBorders>
              <w:top w:val="nil"/>
              <w:left w:val="nil"/>
              <w:bottom w:val="nil"/>
              <w:right w:val="nil"/>
            </w:tcBorders>
          </w:tcPr>
          <w:p w14:paraId="0534BCF3"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8,059</w:t>
            </w:r>
          </w:p>
        </w:tc>
      </w:tr>
      <w:tr w:rsidR="00A90FED" w:rsidRPr="00A90FED" w14:paraId="0FE40CC8" w14:textId="77777777" w:rsidTr="00A90FED">
        <w:trPr>
          <w:cantSplit/>
        </w:trPr>
        <w:tc>
          <w:tcPr>
            <w:tcW w:w="5272" w:type="dxa"/>
            <w:tcBorders>
              <w:top w:val="nil"/>
              <w:left w:val="nil"/>
              <w:bottom w:val="nil"/>
              <w:right w:val="nil"/>
            </w:tcBorders>
            <w:vAlign w:val="bottom"/>
          </w:tcPr>
          <w:p w14:paraId="10F2D23C"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val="en-US" w:eastAsia="en-US"/>
              </w:rPr>
              <w:t>Advances issued for property, plant and equipment</w:t>
            </w:r>
          </w:p>
        </w:tc>
        <w:tc>
          <w:tcPr>
            <w:tcW w:w="2666" w:type="dxa"/>
            <w:tcBorders>
              <w:top w:val="nil"/>
              <w:left w:val="nil"/>
              <w:bottom w:val="nil"/>
              <w:right w:val="nil"/>
            </w:tcBorders>
            <w:vAlign w:val="bottom"/>
          </w:tcPr>
          <w:p w14:paraId="6D4E2E5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8,818</w:t>
            </w:r>
          </w:p>
        </w:tc>
        <w:tc>
          <w:tcPr>
            <w:tcW w:w="1418" w:type="dxa"/>
            <w:tcBorders>
              <w:top w:val="nil"/>
              <w:left w:val="nil"/>
              <w:bottom w:val="nil"/>
              <w:right w:val="nil"/>
            </w:tcBorders>
            <w:vAlign w:val="bottom"/>
          </w:tcPr>
          <w:p w14:paraId="6B53FB7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10,140</w:t>
            </w:r>
          </w:p>
        </w:tc>
      </w:tr>
      <w:tr w:rsidR="00A90FED" w:rsidRPr="00A90FED" w14:paraId="4425790F" w14:textId="77777777" w:rsidTr="00A90FED">
        <w:trPr>
          <w:cantSplit/>
        </w:trPr>
        <w:tc>
          <w:tcPr>
            <w:tcW w:w="5272" w:type="dxa"/>
            <w:tcBorders>
              <w:top w:val="nil"/>
              <w:left w:val="nil"/>
              <w:bottom w:val="nil"/>
              <w:right w:val="nil"/>
            </w:tcBorders>
            <w:vAlign w:val="bottom"/>
          </w:tcPr>
          <w:p w14:paraId="3ACB1FCF"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Right-of-use assets</w:t>
            </w:r>
          </w:p>
        </w:tc>
        <w:tc>
          <w:tcPr>
            <w:tcW w:w="2666" w:type="dxa"/>
            <w:tcBorders>
              <w:top w:val="nil"/>
              <w:left w:val="nil"/>
              <w:bottom w:val="nil"/>
              <w:right w:val="nil"/>
            </w:tcBorders>
          </w:tcPr>
          <w:p w14:paraId="3E87BF05"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6,419</w:t>
            </w:r>
          </w:p>
        </w:tc>
        <w:tc>
          <w:tcPr>
            <w:tcW w:w="1418" w:type="dxa"/>
            <w:tcBorders>
              <w:top w:val="nil"/>
              <w:left w:val="nil"/>
              <w:bottom w:val="nil"/>
              <w:right w:val="nil"/>
            </w:tcBorders>
          </w:tcPr>
          <w:p w14:paraId="78B7F456"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20"/>
                <w:lang w:val="en-US" w:eastAsia="ru-RU"/>
              </w:rPr>
              <w:t>7,240</w:t>
            </w:r>
          </w:p>
        </w:tc>
      </w:tr>
      <w:tr w:rsidR="00A90FED" w:rsidRPr="00A90FED" w14:paraId="1B898ECF" w14:textId="77777777" w:rsidTr="00A90FED">
        <w:trPr>
          <w:cantSplit/>
        </w:trPr>
        <w:tc>
          <w:tcPr>
            <w:tcW w:w="5272" w:type="dxa"/>
            <w:tcBorders>
              <w:top w:val="nil"/>
              <w:left w:val="nil"/>
              <w:bottom w:val="nil"/>
              <w:right w:val="nil"/>
            </w:tcBorders>
            <w:vAlign w:val="bottom"/>
          </w:tcPr>
          <w:p w14:paraId="6CA20AFD"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Intangible assets</w:t>
            </w:r>
          </w:p>
        </w:tc>
        <w:tc>
          <w:tcPr>
            <w:tcW w:w="2666" w:type="dxa"/>
            <w:tcBorders>
              <w:top w:val="nil"/>
              <w:left w:val="nil"/>
              <w:bottom w:val="nil"/>
              <w:right w:val="nil"/>
            </w:tcBorders>
          </w:tcPr>
          <w:p w14:paraId="6CBA33EF"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2,991</w:t>
            </w:r>
          </w:p>
        </w:tc>
        <w:tc>
          <w:tcPr>
            <w:tcW w:w="1418" w:type="dxa"/>
            <w:tcBorders>
              <w:top w:val="nil"/>
              <w:left w:val="nil"/>
              <w:bottom w:val="nil"/>
              <w:right w:val="nil"/>
            </w:tcBorders>
          </w:tcPr>
          <w:p w14:paraId="3E6749D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2,773</w:t>
            </w:r>
          </w:p>
        </w:tc>
      </w:tr>
      <w:tr w:rsidR="00A90FED" w:rsidRPr="00A90FED" w14:paraId="3D8DF9A0" w14:textId="77777777" w:rsidTr="00A90FED">
        <w:trPr>
          <w:cantSplit/>
        </w:trPr>
        <w:tc>
          <w:tcPr>
            <w:tcW w:w="5272" w:type="dxa"/>
            <w:tcBorders>
              <w:top w:val="nil"/>
              <w:left w:val="nil"/>
              <w:bottom w:val="nil"/>
              <w:right w:val="nil"/>
            </w:tcBorders>
            <w:vAlign w:val="bottom"/>
          </w:tcPr>
          <w:p w14:paraId="073867C8"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 xml:space="preserve">Catalysts </w:t>
            </w:r>
          </w:p>
        </w:tc>
        <w:tc>
          <w:tcPr>
            <w:tcW w:w="2666" w:type="dxa"/>
            <w:tcBorders>
              <w:top w:val="nil"/>
              <w:left w:val="nil"/>
              <w:bottom w:val="nil"/>
              <w:right w:val="nil"/>
            </w:tcBorders>
          </w:tcPr>
          <w:p w14:paraId="75579D13"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2,987</w:t>
            </w:r>
          </w:p>
        </w:tc>
        <w:tc>
          <w:tcPr>
            <w:tcW w:w="1418" w:type="dxa"/>
            <w:tcBorders>
              <w:top w:val="nil"/>
              <w:left w:val="nil"/>
              <w:bottom w:val="nil"/>
              <w:right w:val="nil"/>
            </w:tcBorders>
          </w:tcPr>
          <w:p w14:paraId="3D31E0E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20"/>
                <w:lang w:val="en-US" w:eastAsia="ru-RU"/>
              </w:rPr>
              <w:t>2,667</w:t>
            </w:r>
          </w:p>
        </w:tc>
      </w:tr>
      <w:tr w:rsidR="00A90FED" w:rsidRPr="00A90FED" w14:paraId="40894D51" w14:textId="77777777" w:rsidTr="00A90FED">
        <w:trPr>
          <w:cantSplit/>
        </w:trPr>
        <w:tc>
          <w:tcPr>
            <w:tcW w:w="5272" w:type="dxa"/>
            <w:tcBorders>
              <w:top w:val="nil"/>
              <w:left w:val="nil"/>
              <w:bottom w:val="nil"/>
              <w:right w:val="nil"/>
            </w:tcBorders>
            <w:vAlign w:val="bottom"/>
          </w:tcPr>
          <w:p w14:paraId="0AAE44B2"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Other non-current assets</w:t>
            </w:r>
          </w:p>
        </w:tc>
        <w:tc>
          <w:tcPr>
            <w:tcW w:w="2666" w:type="dxa"/>
            <w:tcBorders>
              <w:top w:val="nil"/>
              <w:left w:val="nil"/>
              <w:bottom w:val="nil"/>
              <w:right w:val="nil"/>
            </w:tcBorders>
          </w:tcPr>
          <w:p w14:paraId="1A259E0B"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1,310</w:t>
            </w:r>
          </w:p>
        </w:tc>
        <w:tc>
          <w:tcPr>
            <w:tcW w:w="1418" w:type="dxa"/>
            <w:tcBorders>
              <w:top w:val="nil"/>
              <w:left w:val="nil"/>
              <w:bottom w:val="nil"/>
              <w:right w:val="nil"/>
            </w:tcBorders>
          </w:tcPr>
          <w:p w14:paraId="302CC4D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20"/>
                <w:lang w:val="en-US" w:eastAsia="ru-RU"/>
              </w:rPr>
              <w:t>8,262</w:t>
            </w:r>
          </w:p>
        </w:tc>
      </w:tr>
      <w:tr w:rsidR="00A90FED" w:rsidRPr="00A90FED" w14:paraId="3F77162F" w14:textId="77777777" w:rsidTr="00A90FED">
        <w:trPr>
          <w:cantSplit/>
        </w:trPr>
        <w:tc>
          <w:tcPr>
            <w:tcW w:w="5272" w:type="dxa"/>
            <w:tcBorders>
              <w:top w:val="nil"/>
              <w:left w:val="nil"/>
              <w:bottom w:val="nil"/>
              <w:right w:val="nil"/>
            </w:tcBorders>
            <w:vAlign w:val="bottom"/>
          </w:tcPr>
          <w:p w14:paraId="6E680001"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Investments in associates and joint ventures</w:t>
            </w:r>
          </w:p>
        </w:tc>
        <w:tc>
          <w:tcPr>
            <w:tcW w:w="2666" w:type="dxa"/>
            <w:tcBorders>
              <w:top w:val="nil"/>
              <w:left w:val="nil"/>
              <w:bottom w:val="nil"/>
              <w:right w:val="nil"/>
            </w:tcBorders>
            <w:vAlign w:val="bottom"/>
          </w:tcPr>
          <w:p w14:paraId="56C2E20D"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715</w:t>
            </w:r>
          </w:p>
        </w:tc>
        <w:tc>
          <w:tcPr>
            <w:tcW w:w="1418" w:type="dxa"/>
            <w:tcBorders>
              <w:top w:val="nil"/>
              <w:left w:val="nil"/>
              <w:bottom w:val="nil"/>
              <w:right w:val="nil"/>
            </w:tcBorders>
            <w:vAlign w:val="bottom"/>
          </w:tcPr>
          <w:p w14:paraId="0D66E54B"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636</w:t>
            </w:r>
          </w:p>
        </w:tc>
      </w:tr>
      <w:tr w:rsidR="00A90FED" w:rsidRPr="00A90FED" w14:paraId="72A3C9AE" w14:textId="77777777" w:rsidTr="00A90FED">
        <w:trPr>
          <w:cantSplit/>
        </w:trPr>
        <w:tc>
          <w:tcPr>
            <w:tcW w:w="5272" w:type="dxa"/>
            <w:tcBorders>
              <w:top w:val="nil"/>
              <w:left w:val="nil"/>
              <w:bottom w:val="single" w:sz="4" w:space="0" w:color="auto"/>
              <w:right w:val="nil"/>
            </w:tcBorders>
            <w:vAlign w:val="bottom"/>
          </w:tcPr>
          <w:p w14:paraId="569ADBCB"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666" w:type="dxa"/>
            <w:tcBorders>
              <w:top w:val="nil"/>
              <w:left w:val="nil"/>
              <w:bottom w:val="single" w:sz="4" w:space="0" w:color="auto"/>
              <w:right w:val="nil"/>
            </w:tcBorders>
            <w:vAlign w:val="bottom"/>
          </w:tcPr>
          <w:p w14:paraId="216C2CFD"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8" w:type="dxa"/>
            <w:tcBorders>
              <w:top w:val="nil"/>
              <w:left w:val="nil"/>
              <w:bottom w:val="single" w:sz="4" w:space="0" w:color="auto"/>
              <w:right w:val="nil"/>
            </w:tcBorders>
            <w:vAlign w:val="bottom"/>
          </w:tcPr>
          <w:p w14:paraId="4E06B6E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A90FED" w:rsidRPr="00A90FED" w14:paraId="2CC37FF9" w14:textId="77777777" w:rsidTr="00A90FED">
        <w:trPr>
          <w:cantSplit/>
        </w:trPr>
        <w:tc>
          <w:tcPr>
            <w:tcW w:w="5272" w:type="dxa"/>
            <w:tcBorders>
              <w:top w:val="single" w:sz="4" w:space="0" w:color="auto"/>
              <w:left w:val="nil"/>
              <w:right w:val="nil"/>
            </w:tcBorders>
            <w:vAlign w:val="bottom"/>
          </w:tcPr>
          <w:p w14:paraId="107D0B87"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666" w:type="dxa"/>
            <w:tcBorders>
              <w:top w:val="single" w:sz="4" w:space="0" w:color="auto"/>
              <w:left w:val="nil"/>
              <w:right w:val="nil"/>
            </w:tcBorders>
            <w:vAlign w:val="bottom"/>
          </w:tcPr>
          <w:p w14:paraId="54DCB4C7"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8" w:type="dxa"/>
            <w:tcBorders>
              <w:top w:val="single" w:sz="4" w:space="0" w:color="auto"/>
              <w:left w:val="nil"/>
              <w:right w:val="nil"/>
            </w:tcBorders>
            <w:vAlign w:val="bottom"/>
          </w:tcPr>
          <w:p w14:paraId="32100CB0"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A90FED" w:rsidRPr="00A90FED" w14:paraId="786FB475" w14:textId="77777777" w:rsidTr="00A90FED">
        <w:trPr>
          <w:cantSplit/>
        </w:trPr>
        <w:tc>
          <w:tcPr>
            <w:tcW w:w="5272" w:type="dxa"/>
            <w:tcBorders>
              <w:left w:val="nil"/>
              <w:right w:val="nil"/>
            </w:tcBorders>
            <w:vAlign w:val="bottom"/>
          </w:tcPr>
          <w:p w14:paraId="63114A99"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A90FED">
              <w:rPr>
                <w:rFonts w:ascii="Arial" w:eastAsia="Times New Roman" w:hAnsi="Arial" w:cs="Arial"/>
                <w:b/>
                <w:spacing w:val="-2"/>
                <w:sz w:val="18"/>
                <w:szCs w:val="18"/>
                <w:lang w:eastAsia="ru-RU"/>
              </w:rPr>
              <w:t>Non-current assets</w:t>
            </w:r>
          </w:p>
        </w:tc>
        <w:tc>
          <w:tcPr>
            <w:tcW w:w="2666" w:type="dxa"/>
            <w:tcBorders>
              <w:left w:val="nil"/>
              <w:right w:val="nil"/>
            </w:tcBorders>
            <w:vAlign w:val="bottom"/>
          </w:tcPr>
          <w:p w14:paraId="0A48757C"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A90FED">
              <w:rPr>
                <w:rFonts w:ascii="Arial" w:eastAsia="Times New Roman" w:hAnsi="Arial" w:cs="Arial"/>
                <w:b/>
                <w:spacing w:val="-2"/>
                <w:sz w:val="18"/>
                <w:szCs w:val="20"/>
                <w:lang w:val="en-US" w:eastAsia="ru-RU"/>
              </w:rPr>
              <w:t>408,462</w:t>
            </w:r>
          </w:p>
        </w:tc>
        <w:tc>
          <w:tcPr>
            <w:tcW w:w="1418" w:type="dxa"/>
            <w:tcBorders>
              <w:left w:val="nil"/>
              <w:right w:val="nil"/>
            </w:tcBorders>
            <w:vAlign w:val="bottom"/>
          </w:tcPr>
          <w:p w14:paraId="18CFD6CA"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A90FED">
              <w:rPr>
                <w:rFonts w:ascii="Arial" w:eastAsia="Times New Roman" w:hAnsi="Arial" w:cs="Arial"/>
                <w:b/>
                <w:spacing w:val="-2"/>
                <w:sz w:val="18"/>
                <w:szCs w:val="20"/>
                <w:lang w:val="en-US" w:eastAsia="ru-RU"/>
              </w:rPr>
              <w:t>358,191</w:t>
            </w:r>
          </w:p>
        </w:tc>
      </w:tr>
      <w:tr w:rsidR="00A90FED" w:rsidRPr="00A90FED" w14:paraId="74B07BF7" w14:textId="77777777" w:rsidTr="00A90FED">
        <w:trPr>
          <w:cantSplit/>
        </w:trPr>
        <w:tc>
          <w:tcPr>
            <w:tcW w:w="5272" w:type="dxa"/>
            <w:tcBorders>
              <w:left w:val="nil"/>
              <w:bottom w:val="single" w:sz="4" w:space="0" w:color="auto"/>
              <w:right w:val="nil"/>
            </w:tcBorders>
            <w:vAlign w:val="bottom"/>
          </w:tcPr>
          <w:p w14:paraId="706AEBBB"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A90FED">
              <w:rPr>
                <w:rFonts w:ascii="Arial" w:eastAsia="Times New Roman" w:hAnsi="Arial" w:cs="Arial"/>
                <w:b/>
                <w:spacing w:val="-2"/>
                <w:sz w:val="10"/>
                <w:szCs w:val="10"/>
                <w:lang w:eastAsia="ru-RU"/>
              </w:rPr>
              <w:t> </w:t>
            </w:r>
          </w:p>
        </w:tc>
        <w:tc>
          <w:tcPr>
            <w:tcW w:w="2666" w:type="dxa"/>
            <w:tcBorders>
              <w:left w:val="nil"/>
              <w:bottom w:val="single" w:sz="4" w:space="0" w:color="auto"/>
              <w:right w:val="nil"/>
            </w:tcBorders>
            <w:vAlign w:val="bottom"/>
          </w:tcPr>
          <w:p w14:paraId="1507673A"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418" w:type="dxa"/>
            <w:tcBorders>
              <w:left w:val="nil"/>
              <w:bottom w:val="single" w:sz="4" w:space="0" w:color="auto"/>
              <w:right w:val="nil"/>
            </w:tcBorders>
            <w:vAlign w:val="bottom"/>
          </w:tcPr>
          <w:p w14:paraId="580FE426"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A90FED" w:rsidRPr="00A90FED" w14:paraId="39067765" w14:textId="77777777" w:rsidTr="00A90FED">
        <w:trPr>
          <w:cantSplit/>
        </w:trPr>
        <w:tc>
          <w:tcPr>
            <w:tcW w:w="5272" w:type="dxa"/>
            <w:tcBorders>
              <w:top w:val="single" w:sz="4" w:space="0" w:color="auto"/>
              <w:left w:val="nil"/>
              <w:right w:val="nil"/>
            </w:tcBorders>
            <w:vAlign w:val="bottom"/>
          </w:tcPr>
          <w:p w14:paraId="31909DBB"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i/>
                <w:iCs/>
                <w:spacing w:val="-2"/>
                <w:sz w:val="10"/>
                <w:szCs w:val="10"/>
                <w:lang w:eastAsia="ru-RU"/>
              </w:rPr>
            </w:pPr>
            <w:r w:rsidRPr="00A90FED">
              <w:rPr>
                <w:rFonts w:ascii="Arial" w:eastAsia="Times New Roman" w:hAnsi="Arial" w:cs="Arial"/>
                <w:i/>
                <w:iCs/>
                <w:spacing w:val="-2"/>
                <w:sz w:val="10"/>
                <w:szCs w:val="10"/>
                <w:lang w:eastAsia="ru-RU"/>
              </w:rPr>
              <w:t> </w:t>
            </w:r>
          </w:p>
        </w:tc>
        <w:tc>
          <w:tcPr>
            <w:tcW w:w="2666" w:type="dxa"/>
            <w:tcBorders>
              <w:top w:val="single" w:sz="4" w:space="0" w:color="auto"/>
              <w:left w:val="nil"/>
              <w:right w:val="nil"/>
            </w:tcBorders>
            <w:vAlign w:val="bottom"/>
          </w:tcPr>
          <w:p w14:paraId="58056E7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1418" w:type="dxa"/>
            <w:tcBorders>
              <w:top w:val="single" w:sz="4" w:space="0" w:color="auto"/>
              <w:left w:val="nil"/>
              <w:right w:val="nil"/>
            </w:tcBorders>
            <w:vAlign w:val="bottom"/>
          </w:tcPr>
          <w:p w14:paraId="636BC8E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A90FED" w:rsidRPr="00A90FED" w14:paraId="429070B4" w14:textId="77777777" w:rsidTr="00A90FED">
        <w:trPr>
          <w:cantSplit/>
        </w:trPr>
        <w:tc>
          <w:tcPr>
            <w:tcW w:w="5272" w:type="dxa"/>
            <w:tcBorders>
              <w:top w:val="nil"/>
              <w:left w:val="nil"/>
              <w:bottom w:val="nil"/>
              <w:right w:val="nil"/>
            </w:tcBorders>
            <w:vAlign w:val="bottom"/>
          </w:tcPr>
          <w:p w14:paraId="481F29BE"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Trade and other receivables</w:t>
            </w:r>
          </w:p>
        </w:tc>
        <w:tc>
          <w:tcPr>
            <w:tcW w:w="2666" w:type="dxa"/>
            <w:tcBorders>
              <w:top w:val="nil"/>
              <w:left w:val="nil"/>
              <w:bottom w:val="nil"/>
              <w:right w:val="nil"/>
            </w:tcBorders>
          </w:tcPr>
          <w:p w14:paraId="563272C6"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ru-RU"/>
              </w:rPr>
              <w:t>104,653</w:t>
            </w:r>
          </w:p>
        </w:tc>
        <w:tc>
          <w:tcPr>
            <w:tcW w:w="1418" w:type="dxa"/>
            <w:tcBorders>
              <w:top w:val="nil"/>
              <w:left w:val="nil"/>
              <w:bottom w:val="nil"/>
              <w:right w:val="nil"/>
            </w:tcBorders>
            <w:vAlign w:val="bottom"/>
          </w:tcPr>
          <w:p w14:paraId="6869EC05"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66,274</w:t>
            </w:r>
          </w:p>
        </w:tc>
      </w:tr>
      <w:tr w:rsidR="00A90FED" w:rsidRPr="00A90FED" w14:paraId="7446FAC2" w14:textId="77777777" w:rsidTr="00A90FED">
        <w:trPr>
          <w:cantSplit/>
        </w:trPr>
        <w:tc>
          <w:tcPr>
            <w:tcW w:w="5272" w:type="dxa"/>
            <w:tcBorders>
              <w:left w:val="nil"/>
              <w:bottom w:val="nil"/>
              <w:right w:val="nil"/>
            </w:tcBorders>
            <w:vAlign w:val="bottom"/>
          </w:tcPr>
          <w:p w14:paraId="3A409104"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i/>
                <w:iCs/>
                <w:spacing w:val="-2"/>
                <w:sz w:val="18"/>
                <w:szCs w:val="18"/>
                <w:lang w:eastAsia="ru-RU"/>
              </w:rPr>
            </w:pPr>
            <w:r w:rsidRPr="00A90FED">
              <w:rPr>
                <w:rFonts w:ascii="Arial" w:eastAsia="Times New Roman" w:hAnsi="Arial" w:cs="Arial"/>
                <w:spacing w:val="-2"/>
                <w:sz w:val="18"/>
                <w:szCs w:val="18"/>
                <w:lang w:eastAsia="ru-RU"/>
              </w:rPr>
              <w:t>Inventories</w:t>
            </w:r>
          </w:p>
        </w:tc>
        <w:tc>
          <w:tcPr>
            <w:tcW w:w="2666" w:type="dxa"/>
            <w:tcBorders>
              <w:left w:val="nil"/>
              <w:bottom w:val="nil"/>
              <w:right w:val="nil"/>
            </w:tcBorders>
          </w:tcPr>
          <w:p w14:paraId="05FF4115"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ru-RU"/>
              </w:rPr>
              <w:t>56,105</w:t>
            </w:r>
          </w:p>
        </w:tc>
        <w:tc>
          <w:tcPr>
            <w:tcW w:w="1418" w:type="dxa"/>
            <w:tcBorders>
              <w:left w:val="nil"/>
              <w:bottom w:val="nil"/>
              <w:right w:val="nil"/>
            </w:tcBorders>
          </w:tcPr>
          <w:p w14:paraId="2C708910"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48,468</w:t>
            </w:r>
          </w:p>
        </w:tc>
      </w:tr>
      <w:tr w:rsidR="00A90FED" w:rsidRPr="00A90FED" w14:paraId="6CEBC81B" w14:textId="77777777" w:rsidTr="00A90FED">
        <w:trPr>
          <w:cantSplit/>
        </w:trPr>
        <w:tc>
          <w:tcPr>
            <w:tcW w:w="5272" w:type="dxa"/>
            <w:tcBorders>
              <w:top w:val="nil"/>
              <w:left w:val="nil"/>
              <w:bottom w:val="nil"/>
              <w:right w:val="nil"/>
            </w:tcBorders>
            <w:vAlign w:val="bottom"/>
          </w:tcPr>
          <w:p w14:paraId="620EDD69"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 xml:space="preserve">Cash and cash equivalents </w:t>
            </w:r>
          </w:p>
        </w:tc>
        <w:tc>
          <w:tcPr>
            <w:tcW w:w="2666" w:type="dxa"/>
            <w:tcBorders>
              <w:top w:val="nil"/>
              <w:left w:val="nil"/>
              <w:bottom w:val="nil"/>
              <w:right w:val="nil"/>
            </w:tcBorders>
          </w:tcPr>
          <w:p w14:paraId="0D842FD7"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ru-RU"/>
              </w:rPr>
              <w:t>10,398</w:t>
            </w:r>
          </w:p>
        </w:tc>
        <w:tc>
          <w:tcPr>
            <w:tcW w:w="1418" w:type="dxa"/>
            <w:tcBorders>
              <w:top w:val="nil"/>
              <w:left w:val="nil"/>
              <w:bottom w:val="nil"/>
              <w:right w:val="nil"/>
            </w:tcBorders>
          </w:tcPr>
          <w:p w14:paraId="232C1343"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29,163</w:t>
            </w:r>
          </w:p>
        </w:tc>
      </w:tr>
      <w:tr w:rsidR="00A90FED" w:rsidRPr="00A90FED" w14:paraId="0F0C6FA2" w14:textId="77777777" w:rsidTr="00A90FED">
        <w:trPr>
          <w:cantSplit/>
        </w:trPr>
        <w:tc>
          <w:tcPr>
            <w:tcW w:w="5272" w:type="dxa"/>
            <w:tcBorders>
              <w:top w:val="nil"/>
              <w:left w:val="nil"/>
              <w:bottom w:val="nil"/>
              <w:right w:val="nil"/>
            </w:tcBorders>
            <w:vAlign w:val="bottom"/>
          </w:tcPr>
          <w:p w14:paraId="2C689AB0"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VAT and other taxes receivable</w:t>
            </w:r>
          </w:p>
        </w:tc>
        <w:tc>
          <w:tcPr>
            <w:tcW w:w="2666" w:type="dxa"/>
            <w:tcBorders>
              <w:top w:val="nil"/>
              <w:left w:val="nil"/>
              <w:bottom w:val="nil"/>
              <w:right w:val="nil"/>
            </w:tcBorders>
          </w:tcPr>
          <w:p w14:paraId="45382B0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9,628</w:t>
            </w:r>
          </w:p>
        </w:tc>
        <w:tc>
          <w:tcPr>
            <w:tcW w:w="1418" w:type="dxa"/>
            <w:tcBorders>
              <w:top w:val="nil"/>
              <w:left w:val="nil"/>
              <w:bottom w:val="nil"/>
              <w:right w:val="nil"/>
            </w:tcBorders>
          </w:tcPr>
          <w:p w14:paraId="16D89D04"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7,611</w:t>
            </w:r>
          </w:p>
        </w:tc>
      </w:tr>
      <w:tr w:rsidR="00A90FED" w:rsidRPr="00A90FED" w14:paraId="31A9EF40" w14:textId="77777777" w:rsidTr="00A90FED">
        <w:trPr>
          <w:cantSplit/>
        </w:trPr>
        <w:tc>
          <w:tcPr>
            <w:tcW w:w="5272" w:type="dxa"/>
            <w:tcBorders>
              <w:top w:val="nil"/>
              <w:left w:val="nil"/>
              <w:bottom w:val="nil"/>
              <w:right w:val="nil"/>
            </w:tcBorders>
            <w:vAlign w:val="bottom"/>
          </w:tcPr>
          <w:p w14:paraId="6B2350C6"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 xml:space="preserve">Other </w:t>
            </w:r>
            <w:r w:rsidRPr="00A90FED">
              <w:rPr>
                <w:rFonts w:ascii="Arial" w:eastAsia="Times New Roman" w:hAnsi="Arial" w:cs="Arial"/>
                <w:spacing w:val="-2"/>
                <w:sz w:val="18"/>
                <w:szCs w:val="18"/>
                <w:lang w:val="en-US" w:eastAsia="ru-RU"/>
              </w:rPr>
              <w:t>short-term assets</w:t>
            </w:r>
            <w:r w:rsidRPr="00A90FED">
              <w:rPr>
                <w:rFonts w:ascii="Arial" w:eastAsia="Times New Roman" w:hAnsi="Arial" w:cs="Arial"/>
                <w:spacing w:val="-2"/>
                <w:sz w:val="18"/>
                <w:szCs w:val="18"/>
                <w:lang w:eastAsia="ru-RU"/>
              </w:rPr>
              <w:t xml:space="preserve"> </w:t>
            </w:r>
          </w:p>
        </w:tc>
        <w:tc>
          <w:tcPr>
            <w:tcW w:w="2666" w:type="dxa"/>
            <w:tcBorders>
              <w:top w:val="nil"/>
              <w:left w:val="nil"/>
              <w:bottom w:val="nil"/>
              <w:right w:val="nil"/>
            </w:tcBorders>
          </w:tcPr>
          <w:p w14:paraId="2AF64ECD"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ru-RU"/>
              </w:rPr>
              <w:t>3,125</w:t>
            </w:r>
          </w:p>
        </w:tc>
        <w:tc>
          <w:tcPr>
            <w:tcW w:w="1418" w:type="dxa"/>
            <w:tcBorders>
              <w:top w:val="nil"/>
              <w:left w:val="nil"/>
              <w:bottom w:val="nil"/>
              <w:right w:val="nil"/>
            </w:tcBorders>
            <w:vAlign w:val="bottom"/>
          </w:tcPr>
          <w:p w14:paraId="4639C791"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5,083</w:t>
            </w:r>
          </w:p>
        </w:tc>
      </w:tr>
      <w:tr w:rsidR="00A90FED" w:rsidRPr="00A90FED" w14:paraId="6B5FB48F" w14:textId="77777777" w:rsidTr="00A90FED">
        <w:trPr>
          <w:cantSplit/>
        </w:trPr>
        <w:tc>
          <w:tcPr>
            <w:tcW w:w="5272" w:type="dxa"/>
            <w:tcBorders>
              <w:top w:val="nil"/>
              <w:left w:val="nil"/>
              <w:bottom w:val="nil"/>
              <w:right w:val="nil"/>
            </w:tcBorders>
            <w:vAlign w:val="bottom"/>
          </w:tcPr>
          <w:p w14:paraId="5F4C4177"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eastAsia="ru-RU"/>
              </w:rPr>
              <w:t>Income tax receivable</w:t>
            </w:r>
          </w:p>
        </w:tc>
        <w:tc>
          <w:tcPr>
            <w:tcW w:w="2666" w:type="dxa"/>
            <w:tcBorders>
              <w:top w:val="nil"/>
              <w:left w:val="nil"/>
              <w:bottom w:val="nil"/>
              <w:right w:val="nil"/>
            </w:tcBorders>
          </w:tcPr>
          <w:p w14:paraId="238383C3"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99</w:t>
            </w:r>
          </w:p>
        </w:tc>
        <w:tc>
          <w:tcPr>
            <w:tcW w:w="1418" w:type="dxa"/>
            <w:tcBorders>
              <w:top w:val="nil"/>
              <w:left w:val="nil"/>
              <w:bottom w:val="nil"/>
              <w:right w:val="nil"/>
            </w:tcBorders>
            <w:vAlign w:val="bottom"/>
          </w:tcPr>
          <w:p w14:paraId="076290F5"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1,703</w:t>
            </w:r>
          </w:p>
        </w:tc>
      </w:tr>
      <w:tr w:rsidR="00A90FED" w:rsidRPr="00A90FED" w14:paraId="38459778" w14:textId="77777777" w:rsidTr="00A90FED">
        <w:trPr>
          <w:cantSplit/>
        </w:trPr>
        <w:tc>
          <w:tcPr>
            <w:tcW w:w="5272" w:type="dxa"/>
            <w:tcBorders>
              <w:left w:val="nil"/>
              <w:bottom w:val="nil"/>
              <w:right w:val="nil"/>
            </w:tcBorders>
            <w:vAlign w:val="bottom"/>
          </w:tcPr>
          <w:p w14:paraId="519EBC92"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Security payment for windfall tax</w:t>
            </w:r>
          </w:p>
        </w:tc>
        <w:tc>
          <w:tcPr>
            <w:tcW w:w="2666" w:type="dxa"/>
            <w:tcBorders>
              <w:left w:val="nil"/>
              <w:bottom w:val="nil"/>
              <w:right w:val="nil"/>
            </w:tcBorders>
          </w:tcPr>
          <w:p w14:paraId="2B9317DB"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18"/>
                <w:lang w:val="en-US" w:eastAsia="ru-RU"/>
              </w:rPr>
              <w:t>-</w:t>
            </w:r>
          </w:p>
        </w:tc>
        <w:tc>
          <w:tcPr>
            <w:tcW w:w="1418" w:type="dxa"/>
            <w:tcBorders>
              <w:left w:val="nil"/>
              <w:bottom w:val="nil"/>
              <w:right w:val="nil"/>
            </w:tcBorders>
            <w:vAlign w:val="bottom"/>
          </w:tcPr>
          <w:p w14:paraId="4506FDDB"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20"/>
                <w:lang w:val="en-US" w:eastAsia="ru-RU"/>
              </w:rPr>
              <w:t>6,355</w:t>
            </w:r>
          </w:p>
        </w:tc>
      </w:tr>
      <w:tr w:rsidR="00A90FED" w:rsidRPr="00A90FED" w14:paraId="6A75F699" w14:textId="77777777" w:rsidTr="00A90FED">
        <w:trPr>
          <w:cantSplit/>
        </w:trPr>
        <w:tc>
          <w:tcPr>
            <w:tcW w:w="5272" w:type="dxa"/>
            <w:tcBorders>
              <w:top w:val="nil"/>
              <w:left w:val="nil"/>
              <w:bottom w:val="single" w:sz="4" w:space="0" w:color="auto"/>
              <w:right w:val="nil"/>
            </w:tcBorders>
            <w:vAlign w:val="bottom"/>
          </w:tcPr>
          <w:p w14:paraId="60D0B96C"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666" w:type="dxa"/>
            <w:tcBorders>
              <w:top w:val="nil"/>
              <w:left w:val="nil"/>
              <w:bottom w:val="single" w:sz="4" w:space="0" w:color="auto"/>
              <w:right w:val="nil"/>
            </w:tcBorders>
            <w:vAlign w:val="bottom"/>
          </w:tcPr>
          <w:p w14:paraId="6AC3A9E7"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8" w:type="dxa"/>
            <w:tcBorders>
              <w:top w:val="nil"/>
              <w:left w:val="nil"/>
              <w:bottom w:val="single" w:sz="4" w:space="0" w:color="auto"/>
              <w:right w:val="nil"/>
            </w:tcBorders>
            <w:vAlign w:val="bottom"/>
          </w:tcPr>
          <w:p w14:paraId="6F59FE19"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A90FED" w:rsidRPr="00A90FED" w14:paraId="5176F32A" w14:textId="77777777" w:rsidTr="00A90FED">
        <w:trPr>
          <w:cantSplit/>
        </w:trPr>
        <w:tc>
          <w:tcPr>
            <w:tcW w:w="5272" w:type="dxa"/>
            <w:tcBorders>
              <w:top w:val="single" w:sz="4" w:space="0" w:color="auto"/>
              <w:left w:val="nil"/>
              <w:bottom w:val="nil"/>
              <w:right w:val="nil"/>
            </w:tcBorders>
            <w:vAlign w:val="bottom"/>
          </w:tcPr>
          <w:p w14:paraId="4A822C9D"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666" w:type="dxa"/>
            <w:tcBorders>
              <w:top w:val="single" w:sz="4" w:space="0" w:color="auto"/>
              <w:left w:val="nil"/>
              <w:right w:val="nil"/>
            </w:tcBorders>
            <w:vAlign w:val="bottom"/>
          </w:tcPr>
          <w:p w14:paraId="4DA0602D"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8" w:type="dxa"/>
            <w:tcBorders>
              <w:top w:val="single" w:sz="4" w:space="0" w:color="auto"/>
              <w:left w:val="nil"/>
              <w:right w:val="nil"/>
            </w:tcBorders>
            <w:vAlign w:val="bottom"/>
          </w:tcPr>
          <w:p w14:paraId="1C966A41"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A90FED" w:rsidRPr="00A90FED" w14:paraId="7C082833" w14:textId="77777777" w:rsidTr="00A90FED">
        <w:trPr>
          <w:cantSplit/>
        </w:trPr>
        <w:tc>
          <w:tcPr>
            <w:tcW w:w="5272" w:type="dxa"/>
            <w:tcBorders>
              <w:top w:val="nil"/>
              <w:left w:val="nil"/>
              <w:right w:val="nil"/>
            </w:tcBorders>
            <w:vAlign w:val="bottom"/>
          </w:tcPr>
          <w:p w14:paraId="5B5B6AE6"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A90FED">
              <w:rPr>
                <w:rFonts w:ascii="Arial" w:eastAsia="Times New Roman" w:hAnsi="Arial" w:cs="Arial"/>
                <w:b/>
                <w:spacing w:val="-2"/>
                <w:sz w:val="18"/>
                <w:szCs w:val="18"/>
                <w:lang w:eastAsia="ru-RU"/>
              </w:rPr>
              <w:t>Current assets</w:t>
            </w:r>
          </w:p>
        </w:tc>
        <w:tc>
          <w:tcPr>
            <w:tcW w:w="2666" w:type="dxa"/>
            <w:tcBorders>
              <w:left w:val="nil"/>
              <w:right w:val="nil"/>
            </w:tcBorders>
            <w:vAlign w:val="bottom"/>
          </w:tcPr>
          <w:p w14:paraId="4EAB4340"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A90FED">
              <w:rPr>
                <w:rFonts w:ascii="Arial" w:eastAsia="Times New Roman" w:hAnsi="Arial" w:cs="Arial"/>
                <w:b/>
                <w:spacing w:val="-2"/>
                <w:sz w:val="18"/>
                <w:szCs w:val="20"/>
                <w:lang w:val="en-US" w:eastAsia="ru-RU"/>
              </w:rPr>
              <w:t>184,008</w:t>
            </w:r>
          </w:p>
        </w:tc>
        <w:tc>
          <w:tcPr>
            <w:tcW w:w="1418" w:type="dxa"/>
            <w:tcBorders>
              <w:left w:val="nil"/>
              <w:right w:val="nil"/>
            </w:tcBorders>
            <w:vAlign w:val="bottom"/>
          </w:tcPr>
          <w:p w14:paraId="1B3FDCD9"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A90FED">
              <w:rPr>
                <w:rFonts w:ascii="Arial" w:eastAsia="Times New Roman" w:hAnsi="Arial" w:cs="Arial"/>
                <w:b/>
                <w:spacing w:val="-2"/>
                <w:sz w:val="18"/>
                <w:szCs w:val="20"/>
                <w:lang w:val="en-US" w:eastAsia="ru-RU"/>
              </w:rPr>
              <w:t>164,657</w:t>
            </w:r>
          </w:p>
        </w:tc>
      </w:tr>
      <w:tr w:rsidR="00A90FED" w:rsidRPr="00A90FED" w14:paraId="239FCDC2" w14:textId="77777777" w:rsidTr="00A90FED">
        <w:trPr>
          <w:cantSplit/>
        </w:trPr>
        <w:tc>
          <w:tcPr>
            <w:tcW w:w="5272" w:type="dxa"/>
            <w:tcBorders>
              <w:left w:val="nil"/>
              <w:bottom w:val="single" w:sz="4" w:space="0" w:color="auto"/>
              <w:right w:val="nil"/>
            </w:tcBorders>
            <w:vAlign w:val="bottom"/>
          </w:tcPr>
          <w:p w14:paraId="5FFB35A5"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A90FED">
              <w:rPr>
                <w:rFonts w:ascii="Arial" w:eastAsia="Times New Roman" w:hAnsi="Arial" w:cs="Arial"/>
                <w:b/>
                <w:spacing w:val="-2"/>
                <w:sz w:val="10"/>
                <w:szCs w:val="10"/>
                <w:lang w:eastAsia="ru-RU"/>
              </w:rPr>
              <w:t> </w:t>
            </w:r>
          </w:p>
        </w:tc>
        <w:tc>
          <w:tcPr>
            <w:tcW w:w="2666" w:type="dxa"/>
            <w:tcBorders>
              <w:left w:val="nil"/>
              <w:bottom w:val="single" w:sz="4" w:space="0" w:color="auto"/>
              <w:right w:val="nil"/>
            </w:tcBorders>
            <w:vAlign w:val="bottom"/>
          </w:tcPr>
          <w:p w14:paraId="6B56B36D"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418" w:type="dxa"/>
            <w:tcBorders>
              <w:left w:val="nil"/>
              <w:bottom w:val="single" w:sz="4" w:space="0" w:color="auto"/>
              <w:right w:val="nil"/>
            </w:tcBorders>
            <w:vAlign w:val="bottom"/>
          </w:tcPr>
          <w:p w14:paraId="782E4F29"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A90FED" w:rsidRPr="00A90FED" w14:paraId="7488266D" w14:textId="77777777" w:rsidTr="00A90FED">
        <w:trPr>
          <w:cantSplit/>
        </w:trPr>
        <w:tc>
          <w:tcPr>
            <w:tcW w:w="5272" w:type="dxa"/>
            <w:tcBorders>
              <w:top w:val="single" w:sz="4" w:space="0" w:color="auto"/>
              <w:left w:val="nil"/>
              <w:right w:val="nil"/>
            </w:tcBorders>
            <w:vAlign w:val="bottom"/>
          </w:tcPr>
          <w:p w14:paraId="44A55AAD"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A90FED">
              <w:rPr>
                <w:rFonts w:ascii="Arial" w:eastAsia="Times New Roman" w:hAnsi="Arial" w:cs="Arial"/>
                <w:b/>
                <w:spacing w:val="-2"/>
                <w:sz w:val="10"/>
                <w:szCs w:val="10"/>
                <w:lang w:eastAsia="ru-RU"/>
              </w:rPr>
              <w:t> </w:t>
            </w:r>
          </w:p>
        </w:tc>
        <w:tc>
          <w:tcPr>
            <w:tcW w:w="2666" w:type="dxa"/>
            <w:tcBorders>
              <w:top w:val="single" w:sz="4" w:space="0" w:color="auto"/>
              <w:left w:val="nil"/>
              <w:right w:val="nil"/>
            </w:tcBorders>
            <w:vAlign w:val="bottom"/>
          </w:tcPr>
          <w:p w14:paraId="58DE29FF"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418" w:type="dxa"/>
            <w:tcBorders>
              <w:top w:val="single" w:sz="4" w:space="0" w:color="auto"/>
              <w:left w:val="nil"/>
              <w:right w:val="nil"/>
            </w:tcBorders>
            <w:vAlign w:val="bottom"/>
          </w:tcPr>
          <w:p w14:paraId="5DFE0163"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A90FED" w:rsidRPr="00A90FED" w14:paraId="635879B7" w14:textId="77777777" w:rsidTr="00A90FED">
        <w:trPr>
          <w:cantSplit/>
        </w:trPr>
        <w:tc>
          <w:tcPr>
            <w:tcW w:w="5272" w:type="dxa"/>
            <w:tcBorders>
              <w:left w:val="nil"/>
              <w:right w:val="nil"/>
            </w:tcBorders>
            <w:vAlign w:val="bottom"/>
          </w:tcPr>
          <w:p w14:paraId="26372048"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A90FED">
              <w:rPr>
                <w:rFonts w:ascii="Arial" w:eastAsia="Times New Roman" w:hAnsi="Arial" w:cs="Arial"/>
                <w:b/>
                <w:spacing w:val="-2"/>
                <w:sz w:val="18"/>
                <w:szCs w:val="18"/>
                <w:lang w:eastAsia="ru-RU"/>
              </w:rPr>
              <w:t>Total assets</w:t>
            </w:r>
          </w:p>
        </w:tc>
        <w:tc>
          <w:tcPr>
            <w:tcW w:w="2666" w:type="dxa"/>
            <w:tcBorders>
              <w:left w:val="nil"/>
              <w:right w:val="nil"/>
            </w:tcBorders>
            <w:vAlign w:val="bottom"/>
          </w:tcPr>
          <w:p w14:paraId="049390F9"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A90FED">
              <w:rPr>
                <w:rFonts w:ascii="Arial" w:eastAsia="Times New Roman" w:hAnsi="Arial" w:cs="Arial"/>
                <w:b/>
                <w:spacing w:val="-2"/>
                <w:sz w:val="18"/>
                <w:szCs w:val="20"/>
                <w:lang w:val="en-US" w:eastAsia="ru-RU"/>
              </w:rPr>
              <w:t>592,470</w:t>
            </w:r>
          </w:p>
        </w:tc>
        <w:tc>
          <w:tcPr>
            <w:tcW w:w="1418" w:type="dxa"/>
            <w:tcBorders>
              <w:left w:val="nil"/>
              <w:right w:val="nil"/>
            </w:tcBorders>
            <w:vAlign w:val="bottom"/>
          </w:tcPr>
          <w:p w14:paraId="2C2D5D13"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A90FED">
              <w:rPr>
                <w:rFonts w:ascii="Arial" w:eastAsia="Times New Roman" w:hAnsi="Arial" w:cs="Arial"/>
                <w:b/>
                <w:spacing w:val="-2"/>
                <w:sz w:val="18"/>
                <w:szCs w:val="20"/>
                <w:lang w:val="en-US" w:eastAsia="ru-RU"/>
              </w:rPr>
              <w:t>522,84</w:t>
            </w:r>
            <w:r w:rsidRPr="00A90FED">
              <w:rPr>
                <w:rFonts w:ascii="Arial" w:eastAsia="Times New Roman" w:hAnsi="Arial" w:cs="Arial"/>
                <w:b/>
                <w:spacing w:val="-2"/>
                <w:sz w:val="18"/>
                <w:szCs w:val="20"/>
                <w:lang w:val="ru-RU" w:eastAsia="ru-RU"/>
              </w:rPr>
              <w:t>8</w:t>
            </w:r>
          </w:p>
        </w:tc>
      </w:tr>
      <w:tr w:rsidR="00A90FED" w:rsidRPr="00A90FED" w14:paraId="0780FD6F" w14:textId="77777777" w:rsidTr="00A90FED">
        <w:trPr>
          <w:cantSplit/>
        </w:trPr>
        <w:tc>
          <w:tcPr>
            <w:tcW w:w="5272" w:type="dxa"/>
            <w:tcBorders>
              <w:left w:val="nil"/>
              <w:bottom w:val="single" w:sz="12" w:space="0" w:color="auto"/>
              <w:right w:val="nil"/>
            </w:tcBorders>
            <w:vAlign w:val="bottom"/>
          </w:tcPr>
          <w:p w14:paraId="54425D30"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A90FED">
              <w:rPr>
                <w:rFonts w:ascii="Arial" w:eastAsia="Times New Roman" w:hAnsi="Arial" w:cs="Arial"/>
                <w:b/>
                <w:spacing w:val="-2"/>
                <w:sz w:val="10"/>
                <w:szCs w:val="10"/>
                <w:lang w:eastAsia="ru-RU"/>
              </w:rPr>
              <w:t> </w:t>
            </w:r>
          </w:p>
        </w:tc>
        <w:tc>
          <w:tcPr>
            <w:tcW w:w="2666" w:type="dxa"/>
            <w:tcBorders>
              <w:left w:val="nil"/>
              <w:bottom w:val="single" w:sz="12" w:space="0" w:color="auto"/>
              <w:right w:val="nil"/>
            </w:tcBorders>
            <w:vAlign w:val="bottom"/>
          </w:tcPr>
          <w:p w14:paraId="7421A0D5"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418" w:type="dxa"/>
            <w:tcBorders>
              <w:left w:val="nil"/>
              <w:bottom w:val="single" w:sz="12" w:space="0" w:color="auto"/>
              <w:right w:val="nil"/>
            </w:tcBorders>
            <w:vAlign w:val="bottom"/>
          </w:tcPr>
          <w:p w14:paraId="49240FDA"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A90FED" w:rsidRPr="00A90FED" w14:paraId="300F6C7E" w14:textId="77777777" w:rsidTr="00A90FED">
        <w:trPr>
          <w:cantSplit/>
        </w:trPr>
        <w:tc>
          <w:tcPr>
            <w:tcW w:w="5272" w:type="dxa"/>
            <w:tcBorders>
              <w:top w:val="single" w:sz="12" w:space="0" w:color="auto"/>
              <w:left w:val="nil"/>
              <w:right w:val="nil"/>
            </w:tcBorders>
            <w:vAlign w:val="bottom"/>
          </w:tcPr>
          <w:p w14:paraId="7A8739A0" w14:textId="77777777" w:rsidR="00A90FED" w:rsidRPr="00A90FED" w:rsidDel="00CD105E" w:rsidRDefault="00A90FED" w:rsidP="00A90FED">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A90FED">
              <w:rPr>
                <w:rFonts w:ascii="Arial" w:eastAsia="Times New Roman" w:hAnsi="Arial" w:cs="Arial"/>
                <w:b/>
                <w:spacing w:val="-2"/>
                <w:sz w:val="10"/>
                <w:szCs w:val="10"/>
                <w:lang w:eastAsia="ru-RU"/>
              </w:rPr>
              <w:t> </w:t>
            </w:r>
          </w:p>
        </w:tc>
        <w:tc>
          <w:tcPr>
            <w:tcW w:w="2666" w:type="dxa"/>
            <w:tcBorders>
              <w:top w:val="single" w:sz="12" w:space="0" w:color="auto"/>
              <w:left w:val="nil"/>
              <w:right w:val="nil"/>
            </w:tcBorders>
            <w:vAlign w:val="bottom"/>
          </w:tcPr>
          <w:p w14:paraId="065AAA74" w14:textId="77777777" w:rsidR="00A90FED" w:rsidRPr="00A90FED" w:rsidDel="008324A4"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418" w:type="dxa"/>
            <w:tcBorders>
              <w:top w:val="single" w:sz="12" w:space="0" w:color="auto"/>
              <w:left w:val="nil"/>
              <w:right w:val="nil"/>
            </w:tcBorders>
            <w:vAlign w:val="bottom"/>
          </w:tcPr>
          <w:p w14:paraId="5F49DF7B"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A90FED" w:rsidRPr="00A90FED" w14:paraId="61D246F7" w14:textId="77777777" w:rsidTr="00A90FED">
        <w:trPr>
          <w:cantSplit/>
        </w:trPr>
        <w:tc>
          <w:tcPr>
            <w:tcW w:w="5272" w:type="dxa"/>
            <w:tcBorders>
              <w:left w:val="nil"/>
              <w:bottom w:val="nil"/>
              <w:right w:val="nil"/>
            </w:tcBorders>
            <w:vAlign w:val="bottom"/>
          </w:tcPr>
          <w:p w14:paraId="5AC1EC72"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b/>
                <w:i/>
                <w:spacing w:val="-2"/>
                <w:sz w:val="18"/>
                <w:szCs w:val="18"/>
                <w:lang w:eastAsia="ru-RU"/>
              </w:rPr>
              <w:t>Equity</w:t>
            </w:r>
          </w:p>
        </w:tc>
        <w:tc>
          <w:tcPr>
            <w:tcW w:w="2666" w:type="dxa"/>
            <w:tcBorders>
              <w:left w:val="nil"/>
              <w:bottom w:val="nil"/>
              <w:right w:val="nil"/>
            </w:tcBorders>
            <w:vAlign w:val="bottom"/>
          </w:tcPr>
          <w:p w14:paraId="6C163E6F"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1418" w:type="dxa"/>
            <w:tcBorders>
              <w:left w:val="nil"/>
              <w:bottom w:val="nil"/>
              <w:right w:val="nil"/>
            </w:tcBorders>
            <w:vAlign w:val="bottom"/>
          </w:tcPr>
          <w:p w14:paraId="2C660B75"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r>
      <w:tr w:rsidR="00A90FED" w:rsidRPr="00A90FED" w14:paraId="61D0B47B" w14:textId="77777777" w:rsidTr="00A90FED">
        <w:trPr>
          <w:cantSplit/>
        </w:trPr>
        <w:tc>
          <w:tcPr>
            <w:tcW w:w="5272" w:type="dxa"/>
            <w:tcBorders>
              <w:top w:val="nil"/>
              <w:left w:val="nil"/>
              <w:bottom w:val="nil"/>
              <w:right w:val="nil"/>
            </w:tcBorders>
            <w:vAlign w:val="bottom"/>
          </w:tcPr>
          <w:p w14:paraId="5AF96C29"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i/>
                <w:iCs/>
                <w:spacing w:val="-2"/>
                <w:sz w:val="18"/>
                <w:szCs w:val="18"/>
                <w:lang w:eastAsia="ru-RU"/>
              </w:rPr>
            </w:pPr>
            <w:r w:rsidRPr="00A90FED">
              <w:rPr>
                <w:rFonts w:ascii="Arial" w:eastAsia="Times New Roman" w:hAnsi="Arial" w:cs="Arial"/>
                <w:spacing w:val="-2"/>
                <w:sz w:val="18"/>
                <w:szCs w:val="18"/>
                <w:lang w:eastAsia="ru-RU"/>
              </w:rPr>
              <w:t>Share capital</w:t>
            </w:r>
          </w:p>
        </w:tc>
        <w:tc>
          <w:tcPr>
            <w:tcW w:w="2666" w:type="dxa"/>
            <w:tcBorders>
              <w:top w:val="nil"/>
              <w:left w:val="nil"/>
              <w:bottom w:val="nil"/>
              <w:right w:val="nil"/>
            </w:tcBorders>
            <w:vAlign w:val="bottom"/>
          </w:tcPr>
          <w:p w14:paraId="6DEF9AF1"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372</w:t>
            </w:r>
          </w:p>
        </w:tc>
        <w:tc>
          <w:tcPr>
            <w:tcW w:w="1418" w:type="dxa"/>
            <w:tcBorders>
              <w:top w:val="nil"/>
              <w:left w:val="nil"/>
              <w:bottom w:val="nil"/>
              <w:right w:val="nil"/>
            </w:tcBorders>
            <w:vAlign w:val="bottom"/>
          </w:tcPr>
          <w:p w14:paraId="1C180DA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372</w:t>
            </w:r>
          </w:p>
        </w:tc>
      </w:tr>
      <w:tr w:rsidR="00A90FED" w:rsidRPr="00A90FED" w14:paraId="445FA0C0" w14:textId="77777777" w:rsidTr="00A90FED">
        <w:trPr>
          <w:cantSplit/>
        </w:trPr>
        <w:tc>
          <w:tcPr>
            <w:tcW w:w="5272" w:type="dxa"/>
            <w:tcBorders>
              <w:top w:val="nil"/>
              <w:left w:val="nil"/>
              <w:bottom w:val="nil"/>
              <w:right w:val="nil"/>
            </w:tcBorders>
            <w:vAlign w:val="bottom"/>
          </w:tcPr>
          <w:p w14:paraId="1EA8B358"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Share premium</w:t>
            </w:r>
          </w:p>
        </w:tc>
        <w:tc>
          <w:tcPr>
            <w:tcW w:w="2666" w:type="dxa"/>
            <w:tcBorders>
              <w:top w:val="nil"/>
              <w:left w:val="nil"/>
              <w:bottom w:val="nil"/>
              <w:right w:val="nil"/>
            </w:tcBorders>
            <w:vAlign w:val="bottom"/>
          </w:tcPr>
          <w:p w14:paraId="78A4942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7,494</w:t>
            </w:r>
          </w:p>
        </w:tc>
        <w:tc>
          <w:tcPr>
            <w:tcW w:w="1418" w:type="dxa"/>
            <w:tcBorders>
              <w:top w:val="nil"/>
              <w:left w:val="nil"/>
              <w:bottom w:val="nil"/>
              <w:right w:val="nil"/>
            </w:tcBorders>
            <w:vAlign w:val="bottom"/>
          </w:tcPr>
          <w:p w14:paraId="5CD3CCAB"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7,494</w:t>
            </w:r>
          </w:p>
        </w:tc>
      </w:tr>
      <w:tr w:rsidR="00A90FED" w:rsidRPr="00A90FED" w14:paraId="78B41445" w14:textId="77777777" w:rsidTr="00A90FED">
        <w:trPr>
          <w:cantSplit/>
        </w:trPr>
        <w:tc>
          <w:tcPr>
            <w:tcW w:w="5272" w:type="dxa"/>
            <w:tcBorders>
              <w:top w:val="nil"/>
              <w:left w:val="nil"/>
              <w:bottom w:val="nil"/>
              <w:right w:val="nil"/>
            </w:tcBorders>
            <w:vAlign w:val="bottom"/>
          </w:tcPr>
          <w:p w14:paraId="23A6BD6B"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Retained earnings</w:t>
            </w:r>
          </w:p>
        </w:tc>
        <w:tc>
          <w:tcPr>
            <w:tcW w:w="2666" w:type="dxa"/>
            <w:tcBorders>
              <w:top w:val="nil"/>
              <w:left w:val="nil"/>
              <w:bottom w:val="nil"/>
              <w:right w:val="nil"/>
            </w:tcBorders>
            <w:vAlign w:val="bottom"/>
          </w:tcPr>
          <w:p w14:paraId="55E2769A"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ru-RU"/>
              </w:rPr>
              <w:t>15</w:t>
            </w:r>
            <w:r w:rsidRPr="00A90FED">
              <w:rPr>
                <w:rFonts w:ascii="Arial" w:eastAsia="Times New Roman" w:hAnsi="Arial" w:cs="Arial"/>
                <w:spacing w:val="-2"/>
                <w:sz w:val="18"/>
                <w:szCs w:val="18"/>
                <w:lang w:val="ru-RU" w:eastAsia="ru-RU"/>
              </w:rPr>
              <w:t>7</w:t>
            </w:r>
            <w:r w:rsidRPr="00A90FED">
              <w:rPr>
                <w:rFonts w:ascii="Arial" w:eastAsia="Times New Roman" w:hAnsi="Arial" w:cs="Arial"/>
                <w:spacing w:val="-2"/>
                <w:sz w:val="18"/>
                <w:szCs w:val="18"/>
                <w:lang w:val="en-US" w:eastAsia="ru-RU"/>
              </w:rPr>
              <w:t>,</w:t>
            </w:r>
            <w:r w:rsidRPr="00A90FED">
              <w:rPr>
                <w:rFonts w:ascii="Arial" w:eastAsia="Times New Roman" w:hAnsi="Arial" w:cs="Arial"/>
                <w:spacing w:val="-2"/>
                <w:sz w:val="18"/>
                <w:szCs w:val="18"/>
                <w:lang w:val="ru-RU" w:eastAsia="ru-RU"/>
              </w:rPr>
              <w:t>590</w:t>
            </w:r>
          </w:p>
        </w:tc>
        <w:tc>
          <w:tcPr>
            <w:tcW w:w="1418" w:type="dxa"/>
            <w:tcBorders>
              <w:top w:val="nil"/>
              <w:left w:val="nil"/>
              <w:bottom w:val="nil"/>
              <w:right w:val="nil"/>
            </w:tcBorders>
            <w:vAlign w:val="bottom"/>
          </w:tcPr>
          <w:p w14:paraId="6BECDBAB"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144,658</w:t>
            </w:r>
          </w:p>
        </w:tc>
      </w:tr>
      <w:tr w:rsidR="00A90FED" w:rsidRPr="00A90FED" w14:paraId="24B05E90" w14:textId="77777777" w:rsidTr="00A90FED">
        <w:trPr>
          <w:cantSplit/>
        </w:trPr>
        <w:tc>
          <w:tcPr>
            <w:tcW w:w="5272" w:type="dxa"/>
            <w:tcBorders>
              <w:top w:val="nil"/>
              <w:left w:val="nil"/>
              <w:bottom w:val="nil"/>
              <w:right w:val="nil"/>
            </w:tcBorders>
            <w:vAlign w:val="bottom"/>
          </w:tcPr>
          <w:p w14:paraId="2F7AA3A9"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val="en-US" w:eastAsia="en-US"/>
              </w:rPr>
              <w:t>Actuarial losses</w:t>
            </w:r>
          </w:p>
        </w:tc>
        <w:tc>
          <w:tcPr>
            <w:tcW w:w="2666" w:type="dxa"/>
            <w:tcBorders>
              <w:top w:val="nil"/>
              <w:left w:val="nil"/>
              <w:bottom w:val="nil"/>
              <w:right w:val="nil"/>
            </w:tcBorders>
            <w:vAlign w:val="bottom"/>
          </w:tcPr>
          <w:p w14:paraId="12069AAD"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w:t>
            </w:r>
            <w:r w:rsidRPr="00A90FED">
              <w:rPr>
                <w:rFonts w:ascii="Arial" w:eastAsia="Times New Roman" w:hAnsi="Arial" w:cs="Arial"/>
                <w:spacing w:val="-2"/>
                <w:sz w:val="18"/>
                <w:szCs w:val="18"/>
                <w:lang w:val="en-US" w:eastAsia="ru-RU"/>
              </w:rPr>
              <w:t>871</w:t>
            </w:r>
            <w:r w:rsidRPr="00A90FED">
              <w:rPr>
                <w:rFonts w:ascii="Arial" w:eastAsia="Times New Roman" w:hAnsi="Arial" w:cs="Arial"/>
                <w:spacing w:val="-2"/>
                <w:sz w:val="18"/>
                <w:szCs w:val="20"/>
                <w:lang w:val="en-US" w:eastAsia="ru-RU"/>
              </w:rPr>
              <w:t>)</w:t>
            </w:r>
          </w:p>
        </w:tc>
        <w:tc>
          <w:tcPr>
            <w:tcW w:w="1418" w:type="dxa"/>
            <w:tcBorders>
              <w:top w:val="nil"/>
              <w:left w:val="nil"/>
              <w:bottom w:val="nil"/>
              <w:right w:val="nil"/>
            </w:tcBorders>
            <w:vAlign w:val="bottom"/>
          </w:tcPr>
          <w:p w14:paraId="2268AC8D"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(1,003)</w:t>
            </w:r>
          </w:p>
        </w:tc>
      </w:tr>
      <w:tr w:rsidR="00A90FED" w:rsidRPr="00A90FED" w14:paraId="6E6A7869" w14:textId="77777777" w:rsidTr="00A90FED">
        <w:trPr>
          <w:cantSplit/>
        </w:trPr>
        <w:tc>
          <w:tcPr>
            <w:tcW w:w="5272" w:type="dxa"/>
            <w:tcBorders>
              <w:top w:val="nil"/>
              <w:left w:val="nil"/>
              <w:bottom w:val="single" w:sz="4" w:space="0" w:color="auto"/>
              <w:right w:val="nil"/>
            </w:tcBorders>
            <w:vAlign w:val="bottom"/>
          </w:tcPr>
          <w:p w14:paraId="1D287CC7"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val="en-US" w:eastAsia="en-US"/>
              </w:rPr>
            </w:pPr>
            <w:r w:rsidRPr="00A90FED">
              <w:rPr>
                <w:rFonts w:ascii="Arial" w:eastAsia="Times New Roman" w:hAnsi="Arial" w:cs="Arial"/>
                <w:spacing w:val="-2"/>
                <w:sz w:val="10"/>
                <w:szCs w:val="10"/>
                <w:lang w:val="en-US" w:eastAsia="en-US"/>
              </w:rPr>
              <w:t> </w:t>
            </w:r>
          </w:p>
        </w:tc>
        <w:tc>
          <w:tcPr>
            <w:tcW w:w="2666" w:type="dxa"/>
            <w:tcBorders>
              <w:top w:val="nil"/>
              <w:left w:val="nil"/>
              <w:bottom w:val="single" w:sz="4" w:space="0" w:color="auto"/>
              <w:right w:val="nil"/>
            </w:tcBorders>
            <w:vAlign w:val="bottom"/>
          </w:tcPr>
          <w:p w14:paraId="16599C9C"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8" w:type="dxa"/>
            <w:tcBorders>
              <w:top w:val="nil"/>
              <w:left w:val="nil"/>
              <w:bottom w:val="single" w:sz="4" w:space="0" w:color="auto"/>
              <w:right w:val="nil"/>
            </w:tcBorders>
            <w:vAlign w:val="bottom"/>
          </w:tcPr>
          <w:p w14:paraId="06D9D91A"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A90FED" w:rsidRPr="00A90FED" w14:paraId="7F8A3FCB" w14:textId="77777777" w:rsidTr="00A90FED">
        <w:trPr>
          <w:cantSplit/>
        </w:trPr>
        <w:tc>
          <w:tcPr>
            <w:tcW w:w="5272" w:type="dxa"/>
            <w:tcBorders>
              <w:top w:val="single" w:sz="4" w:space="0" w:color="auto"/>
              <w:left w:val="nil"/>
              <w:bottom w:val="nil"/>
              <w:right w:val="nil"/>
            </w:tcBorders>
            <w:vAlign w:val="bottom"/>
          </w:tcPr>
          <w:p w14:paraId="059A364E"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val="en-US" w:eastAsia="en-US"/>
              </w:rPr>
            </w:pPr>
            <w:r w:rsidRPr="00A90FED">
              <w:rPr>
                <w:rFonts w:ascii="Arial" w:eastAsia="Times New Roman" w:hAnsi="Arial" w:cs="Arial"/>
                <w:spacing w:val="-2"/>
                <w:sz w:val="10"/>
                <w:szCs w:val="10"/>
                <w:lang w:val="en-US" w:eastAsia="en-US"/>
              </w:rPr>
              <w:t> </w:t>
            </w:r>
          </w:p>
        </w:tc>
        <w:tc>
          <w:tcPr>
            <w:tcW w:w="2666" w:type="dxa"/>
            <w:tcBorders>
              <w:top w:val="single" w:sz="4" w:space="0" w:color="auto"/>
              <w:left w:val="nil"/>
              <w:right w:val="nil"/>
            </w:tcBorders>
            <w:vAlign w:val="bottom"/>
          </w:tcPr>
          <w:p w14:paraId="1B675D57"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8" w:type="dxa"/>
            <w:tcBorders>
              <w:top w:val="single" w:sz="4" w:space="0" w:color="auto"/>
              <w:left w:val="nil"/>
              <w:right w:val="nil"/>
            </w:tcBorders>
            <w:vAlign w:val="bottom"/>
          </w:tcPr>
          <w:p w14:paraId="67749BCF"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A90FED" w:rsidRPr="00A90FED" w14:paraId="3722972F" w14:textId="77777777" w:rsidTr="00A90FED">
        <w:trPr>
          <w:cantSplit/>
        </w:trPr>
        <w:tc>
          <w:tcPr>
            <w:tcW w:w="5272" w:type="dxa"/>
            <w:tcBorders>
              <w:top w:val="nil"/>
              <w:left w:val="nil"/>
              <w:bottom w:val="nil"/>
              <w:right w:val="nil"/>
            </w:tcBorders>
            <w:vAlign w:val="bottom"/>
          </w:tcPr>
          <w:p w14:paraId="75BE48A7"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A90FED">
              <w:rPr>
                <w:rFonts w:ascii="Arial" w:eastAsia="Times New Roman" w:hAnsi="Arial" w:cs="Arial"/>
                <w:b/>
                <w:spacing w:val="-2"/>
                <w:sz w:val="18"/>
                <w:szCs w:val="18"/>
                <w:lang w:eastAsia="ru-RU"/>
              </w:rPr>
              <w:t>Equity attributable to shareholders of the Company</w:t>
            </w:r>
          </w:p>
        </w:tc>
        <w:tc>
          <w:tcPr>
            <w:tcW w:w="2666" w:type="dxa"/>
            <w:tcBorders>
              <w:left w:val="nil"/>
              <w:right w:val="nil"/>
            </w:tcBorders>
            <w:vAlign w:val="bottom"/>
          </w:tcPr>
          <w:p w14:paraId="3FBF11CC"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A90FED">
              <w:rPr>
                <w:rFonts w:ascii="Arial" w:eastAsia="Times New Roman" w:hAnsi="Arial" w:cs="Arial"/>
                <w:b/>
                <w:spacing w:val="-2"/>
                <w:sz w:val="18"/>
                <w:szCs w:val="20"/>
                <w:lang w:val="en-US" w:eastAsia="ru-RU"/>
              </w:rPr>
              <w:t>16</w:t>
            </w:r>
            <w:r w:rsidRPr="00A90FED">
              <w:rPr>
                <w:rFonts w:ascii="Arial" w:eastAsia="Times New Roman" w:hAnsi="Arial" w:cs="Arial"/>
                <w:b/>
                <w:spacing w:val="-2"/>
                <w:sz w:val="18"/>
                <w:szCs w:val="20"/>
                <w:lang w:val="ru-RU" w:eastAsia="ru-RU"/>
              </w:rPr>
              <w:t>4</w:t>
            </w:r>
            <w:r w:rsidRPr="00A90FED">
              <w:rPr>
                <w:rFonts w:ascii="Arial" w:eastAsia="Times New Roman" w:hAnsi="Arial" w:cs="Arial"/>
                <w:b/>
                <w:spacing w:val="-2"/>
                <w:sz w:val="18"/>
                <w:szCs w:val="20"/>
                <w:lang w:val="en-US" w:eastAsia="ru-RU"/>
              </w:rPr>
              <w:t>,</w:t>
            </w:r>
            <w:r w:rsidRPr="00A90FED">
              <w:rPr>
                <w:rFonts w:ascii="Arial" w:eastAsia="Times New Roman" w:hAnsi="Arial" w:cs="Arial"/>
                <w:b/>
                <w:spacing w:val="-2"/>
                <w:sz w:val="18"/>
                <w:szCs w:val="20"/>
                <w:lang w:val="ru-RU" w:eastAsia="ru-RU"/>
              </w:rPr>
              <w:t>585</w:t>
            </w:r>
          </w:p>
        </w:tc>
        <w:tc>
          <w:tcPr>
            <w:tcW w:w="1418" w:type="dxa"/>
            <w:tcBorders>
              <w:left w:val="nil"/>
              <w:right w:val="nil"/>
            </w:tcBorders>
            <w:vAlign w:val="bottom"/>
          </w:tcPr>
          <w:p w14:paraId="201A9714"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eastAsia="ru-RU"/>
              </w:rPr>
            </w:pPr>
            <w:r w:rsidRPr="00A90FED">
              <w:rPr>
                <w:rFonts w:ascii="Arial" w:eastAsia="Times New Roman" w:hAnsi="Arial" w:cs="Arial"/>
                <w:b/>
                <w:spacing w:val="-2"/>
                <w:sz w:val="18"/>
                <w:szCs w:val="20"/>
                <w:lang w:val="en-US" w:eastAsia="ru-RU"/>
              </w:rPr>
              <w:t>151,521</w:t>
            </w:r>
          </w:p>
        </w:tc>
      </w:tr>
      <w:tr w:rsidR="00A90FED" w:rsidRPr="00A90FED" w14:paraId="7FE9A41C" w14:textId="77777777" w:rsidTr="00A90FED">
        <w:trPr>
          <w:cantSplit/>
        </w:trPr>
        <w:tc>
          <w:tcPr>
            <w:tcW w:w="5272" w:type="dxa"/>
            <w:tcBorders>
              <w:top w:val="nil"/>
              <w:left w:val="nil"/>
              <w:right w:val="nil"/>
            </w:tcBorders>
            <w:vAlign w:val="bottom"/>
          </w:tcPr>
          <w:p w14:paraId="450EB366"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Equity attributable to non-controlling interests</w:t>
            </w:r>
          </w:p>
        </w:tc>
        <w:tc>
          <w:tcPr>
            <w:tcW w:w="2666" w:type="dxa"/>
            <w:tcBorders>
              <w:left w:val="nil"/>
              <w:right w:val="nil"/>
            </w:tcBorders>
            <w:vAlign w:val="bottom"/>
          </w:tcPr>
          <w:p w14:paraId="43BFE9DC"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20"/>
                <w:lang w:val="ru-RU" w:eastAsia="ru-RU"/>
              </w:rPr>
              <w:t>137</w:t>
            </w:r>
          </w:p>
        </w:tc>
        <w:tc>
          <w:tcPr>
            <w:tcW w:w="1418" w:type="dxa"/>
            <w:tcBorders>
              <w:left w:val="nil"/>
              <w:right w:val="nil"/>
            </w:tcBorders>
            <w:vAlign w:val="bottom"/>
          </w:tcPr>
          <w:p w14:paraId="347B794F"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84</w:t>
            </w:r>
          </w:p>
        </w:tc>
      </w:tr>
      <w:tr w:rsidR="00A90FED" w:rsidRPr="00A90FED" w14:paraId="0FBCE6BF" w14:textId="77777777" w:rsidTr="00A90FED">
        <w:trPr>
          <w:cantSplit/>
        </w:trPr>
        <w:tc>
          <w:tcPr>
            <w:tcW w:w="5272" w:type="dxa"/>
            <w:tcBorders>
              <w:top w:val="nil"/>
              <w:left w:val="nil"/>
              <w:bottom w:val="single" w:sz="4" w:space="0" w:color="auto"/>
              <w:right w:val="nil"/>
            </w:tcBorders>
            <w:vAlign w:val="bottom"/>
          </w:tcPr>
          <w:p w14:paraId="4149D343"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666" w:type="dxa"/>
            <w:tcBorders>
              <w:left w:val="nil"/>
              <w:bottom w:val="single" w:sz="4" w:space="0" w:color="auto"/>
              <w:right w:val="nil"/>
            </w:tcBorders>
            <w:vAlign w:val="bottom"/>
          </w:tcPr>
          <w:p w14:paraId="09283351"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8" w:type="dxa"/>
            <w:tcBorders>
              <w:left w:val="nil"/>
              <w:bottom w:val="single" w:sz="4" w:space="0" w:color="auto"/>
              <w:right w:val="nil"/>
            </w:tcBorders>
            <w:vAlign w:val="bottom"/>
          </w:tcPr>
          <w:p w14:paraId="6645683D"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A90FED" w:rsidRPr="00A90FED" w14:paraId="3B17791F" w14:textId="77777777" w:rsidTr="00A90FED">
        <w:trPr>
          <w:cantSplit/>
        </w:trPr>
        <w:tc>
          <w:tcPr>
            <w:tcW w:w="5272" w:type="dxa"/>
            <w:tcBorders>
              <w:top w:val="single" w:sz="4" w:space="0" w:color="auto"/>
              <w:left w:val="nil"/>
              <w:right w:val="nil"/>
            </w:tcBorders>
            <w:vAlign w:val="bottom"/>
          </w:tcPr>
          <w:p w14:paraId="5CECE728"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666" w:type="dxa"/>
            <w:tcBorders>
              <w:top w:val="single" w:sz="4" w:space="0" w:color="auto"/>
              <w:left w:val="nil"/>
              <w:right w:val="nil"/>
            </w:tcBorders>
            <w:vAlign w:val="bottom"/>
          </w:tcPr>
          <w:p w14:paraId="72D20235"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8" w:type="dxa"/>
            <w:tcBorders>
              <w:top w:val="single" w:sz="4" w:space="0" w:color="auto"/>
              <w:left w:val="nil"/>
              <w:right w:val="nil"/>
            </w:tcBorders>
            <w:vAlign w:val="bottom"/>
          </w:tcPr>
          <w:p w14:paraId="7DAB98F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A90FED" w:rsidRPr="00A90FED" w14:paraId="024A47E5" w14:textId="77777777" w:rsidTr="00A90FED">
        <w:trPr>
          <w:cantSplit/>
        </w:trPr>
        <w:tc>
          <w:tcPr>
            <w:tcW w:w="5272" w:type="dxa"/>
            <w:tcBorders>
              <w:left w:val="nil"/>
              <w:right w:val="nil"/>
            </w:tcBorders>
            <w:vAlign w:val="bottom"/>
          </w:tcPr>
          <w:p w14:paraId="0E8E61D2"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b/>
                <w:spacing w:val="-2"/>
                <w:sz w:val="18"/>
                <w:szCs w:val="18"/>
                <w:lang w:eastAsia="ru-RU"/>
              </w:rPr>
              <w:t>Total equity</w:t>
            </w:r>
          </w:p>
        </w:tc>
        <w:tc>
          <w:tcPr>
            <w:tcW w:w="2666" w:type="dxa"/>
            <w:tcBorders>
              <w:left w:val="nil"/>
              <w:right w:val="nil"/>
            </w:tcBorders>
            <w:vAlign w:val="bottom"/>
          </w:tcPr>
          <w:p w14:paraId="75ADF9F7"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A90FED">
              <w:rPr>
                <w:rFonts w:ascii="Arial" w:eastAsia="Times New Roman" w:hAnsi="Arial" w:cs="Arial"/>
                <w:b/>
                <w:spacing w:val="-2"/>
                <w:sz w:val="18"/>
                <w:szCs w:val="20"/>
                <w:lang w:val="en-US" w:eastAsia="ru-RU"/>
              </w:rPr>
              <w:t>16</w:t>
            </w:r>
            <w:r w:rsidRPr="00A90FED">
              <w:rPr>
                <w:rFonts w:ascii="Arial" w:eastAsia="Times New Roman" w:hAnsi="Arial" w:cs="Arial"/>
                <w:b/>
                <w:spacing w:val="-2"/>
                <w:sz w:val="18"/>
                <w:szCs w:val="20"/>
                <w:lang w:val="ru-RU" w:eastAsia="ru-RU"/>
              </w:rPr>
              <w:t>4</w:t>
            </w:r>
            <w:r w:rsidRPr="00A90FED">
              <w:rPr>
                <w:rFonts w:ascii="Arial" w:eastAsia="Times New Roman" w:hAnsi="Arial" w:cs="Arial"/>
                <w:b/>
                <w:spacing w:val="-2"/>
                <w:sz w:val="18"/>
                <w:szCs w:val="20"/>
                <w:lang w:val="en-US" w:eastAsia="ru-RU"/>
              </w:rPr>
              <w:t>,</w:t>
            </w:r>
            <w:r w:rsidRPr="00A90FED">
              <w:rPr>
                <w:rFonts w:ascii="Arial" w:eastAsia="Times New Roman" w:hAnsi="Arial" w:cs="Arial"/>
                <w:b/>
                <w:spacing w:val="-2"/>
                <w:sz w:val="18"/>
                <w:szCs w:val="20"/>
                <w:lang w:val="ru-RU" w:eastAsia="ru-RU"/>
              </w:rPr>
              <w:t>722</w:t>
            </w:r>
          </w:p>
        </w:tc>
        <w:tc>
          <w:tcPr>
            <w:tcW w:w="1418" w:type="dxa"/>
            <w:tcBorders>
              <w:left w:val="nil"/>
              <w:right w:val="nil"/>
            </w:tcBorders>
            <w:vAlign w:val="bottom"/>
          </w:tcPr>
          <w:p w14:paraId="2E5B5EA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b/>
                <w:spacing w:val="-2"/>
                <w:sz w:val="18"/>
                <w:szCs w:val="20"/>
                <w:lang w:val="en-US" w:eastAsia="ru-RU"/>
              </w:rPr>
              <w:t>151,605</w:t>
            </w:r>
          </w:p>
        </w:tc>
      </w:tr>
      <w:tr w:rsidR="00A90FED" w:rsidRPr="00A90FED" w14:paraId="4A2C8DCE" w14:textId="77777777" w:rsidTr="00A90FED">
        <w:trPr>
          <w:cantSplit/>
        </w:trPr>
        <w:tc>
          <w:tcPr>
            <w:tcW w:w="5272" w:type="dxa"/>
            <w:tcBorders>
              <w:left w:val="nil"/>
              <w:bottom w:val="single" w:sz="4" w:space="0" w:color="auto"/>
              <w:right w:val="nil"/>
            </w:tcBorders>
            <w:vAlign w:val="bottom"/>
          </w:tcPr>
          <w:p w14:paraId="76B4C3E7"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A90FED">
              <w:rPr>
                <w:rFonts w:ascii="Arial" w:eastAsia="Times New Roman" w:hAnsi="Arial" w:cs="Arial"/>
                <w:b/>
                <w:spacing w:val="-2"/>
                <w:sz w:val="10"/>
                <w:szCs w:val="10"/>
                <w:lang w:eastAsia="ru-RU"/>
              </w:rPr>
              <w:t> </w:t>
            </w:r>
          </w:p>
        </w:tc>
        <w:tc>
          <w:tcPr>
            <w:tcW w:w="2666" w:type="dxa"/>
            <w:tcBorders>
              <w:left w:val="nil"/>
              <w:bottom w:val="single" w:sz="4" w:space="0" w:color="auto"/>
              <w:right w:val="nil"/>
            </w:tcBorders>
            <w:vAlign w:val="bottom"/>
          </w:tcPr>
          <w:p w14:paraId="2D82FF4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418" w:type="dxa"/>
            <w:tcBorders>
              <w:left w:val="nil"/>
              <w:bottom w:val="single" w:sz="4" w:space="0" w:color="auto"/>
              <w:right w:val="nil"/>
            </w:tcBorders>
            <w:vAlign w:val="bottom"/>
          </w:tcPr>
          <w:p w14:paraId="15892A6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A90FED" w:rsidRPr="00A90FED" w14:paraId="454E3BED" w14:textId="77777777" w:rsidTr="00A90FED">
        <w:trPr>
          <w:cantSplit/>
        </w:trPr>
        <w:tc>
          <w:tcPr>
            <w:tcW w:w="5272" w:type="dxa"/>
            <w:tcBorders>
              <w:top w:val="single" w:sz="4" w:space="0" w:color="auto"/>
              <w:left w:val="nil"/>
              <w:bottom w:val="nil"/>
              <w:right w:val="nil"/>
            </w:tcBorders>
            <w:vAlign w:val="bottom"/>
          </w:tcPr>
          <w:p w14:paraId="2A48F041"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A90FED">
              <w:rPr>
                <w:rFonts w:ascii="Arial" w:eastAsia="Times New Roman" w:hAnsi="Arial" w:cs="Arial"/>
                <w:b/>
                <w:spacing w:val="-2"/>
                <w:sz w:val="10"/>
                <w:szCs w:val="10"/>
                <w:lang w:eastAsia="ru-RU"/>
              </w:rPr>
              <w:t> </w:t>
            </w:r>
          </w:p>
        </w:tc>
        <w:tc>
          <w:tcPr>
            <w:tcW w:w="2666" w:type="dxa"/>
            <w:tcBorders>
              <w:top w:val="single" w:sz="4" w:space="0" w:color="auto"/>
              <w:left w:val="nil"/>
              <w:right w:val="nil"/>
            </w:tcBorders>
            <w:vAlign w:val="bottom"/>
          </w:tcPr>
          <w:p w14:paraId="65602AC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418" w:type="dxa"/>
            <w:tcBorders>
              <w:top w:val="single" w:sz="4" w:space="0" w:color="auto"/>
              <w:left w:val="nil"/>
              <w:right w:val="nil"/>
            </w:tcBorders>
            <w:vAlign w:val="bottom"/>
          </w:tcPr>
          <w:p w14:paraId="35562821"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r>
      <w:tr w:rsidR="00A90FED" w:rsidRPr="00A90FED" w14:paraId="2319E11E" w14:textId="77777777" w:rsidTr="00A90FED">
        <w:trPr>
          <w:cantSplit/>
        </w:trPr>
        <w:tc>
          <w:tcPr>
            <w:tcW w:w="5272" w:type="dxa"/>
            <w:tcBorders>
              <w:top w:val="nil"/>
              <w:left w:val="nil"/>
              <w:bottom w:val="nil"/>
              <w:right w:val="nil"/>
            </w:tcBorders>
            <w:vAlign w:val="bottom"/>
          </w:tcPr>
          <w:p w14:paraId="655DC6F1"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b/>
                <w:i/>
                <w:spacing w:val="-2"/>
                <w:sz w:val="18"/>
                <w:szCs w:val="18"/>
                <w:lang w:eastAsia="ru-RU"/>
              </w:rPr>
              <w:t>Liabilities</w:t>
            </w:r>
          </w:p>
        </w:tc>
        <w:tc>
          <w:tcPr>
            <w:tcW w:w="2666" w:type="dxa"/>
            <w:tcBorders>
              <w:left w:val="nil"/>
              <w:bottom w:val="nil"/>
              <w:right w:val="nil"/>
            </w:tcBorders>
            <w:vAlign w:val="bottom"/>
          </w:tcPr>
          <w:p w14:paraId="4DD68E0F"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1418" w:type="dxa"/>
            <w:tcBorders>
              <w:left w:val="nil"/>
              <w:bottom w:val="nil"/>
              <w:right w:val="nil"/>
            </w:tcBorders>
            <w:vAlign w:val="bottom"/>
          </w:tcPr>
          <w:p w14:paraId="3B14AC11"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r>
      <w:tr w:rsidR="00A90FED" w:rsidRPr="00A90FED" w14:paraId="1C39FFD5" w14:textId="77777777" w:rsidTr="00A90FED">
        <w:trPr>
          <w:cantSplit/>
        </w:trPr>
        <w:tc>
          <w:tcPr>
            <w:tcW w:w="5272" w:type="dxa"/>
            <w:tcBorders>
              <w:top w:val="nil"/>
              <w:left w:val="nil"/>
              <w:bottom w:val="nil"/>
              <w:right w:val="nil"/>
            </w:tcBorders>
            <w:vAlign w:val="bottom"/>
          </w:tcPr>
          <w:p w14:paraId="32DE06AE"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Loans and borrowings</w:t>
            </w:r>
          </w:p>
        </w:tc>
        <w:tc>
          <w:tcPr>
            <w:tcW w:w="2666" w:type="dxa"/>
            <w:tcBorders>
              <w:top w:val="nil"/>
              <w:left w:val="nil"/>
              <w:bottom w:val="nil"/>
              <w:right w:val="nil"/>
            </w:tcBorders>
          </w:tcPr>
          <w:p w14:paraId="0FFA0340"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ru-RU"/>
              </w:rPr>
              <w:t>169,962</w:t>
            </w:r>
          </w:p>
        </w:tc>
        <w:tc>
          <w:tcPr>
            <w:tcW w:w="1418" w:type="dxa"/>
            <w:tcBorders>
              <w:top w:val="nil"/>
              <w:left w:val="nil"/>
              <w:bottom w:val="nil"/>
              <w:right w:val="nil"/>
            </w:tcBorders>
            <w:vAlign w:val="bottom"/>
          </w:tcPr>
          <w:p w14:paraId="055B578A"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161,710</w:t>
            </w:r>
          </w:p>
        </w:tc>
      </w:tr>
      <w:tr w:rsidR="00A90FED" w:rsidRPr="00A90FED" w14:paraId="0BC29E68" w14:textId="77777777" w:rsidTr="00A90FED">
        <w:trPr>
          <w:cantSplit/>
        </w:trPr>
        <w:tc>
          <w:tcPr>
            <w:tcW w:w="5272" w:type="dxa"/>
            <w:tcBorders>
              <w:top w:val="nil"/>
              <w:left w:val="nil"/>
              <w:right w:val="nil"/>
            </w:tcBorders>
            <w:vAlign w:val="bottom"/>
          </w:tcPr>
          <w:p w14:paraId="781858C8"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A90FED">
              <w:rPr>
                <w:rFonts w:ascii="Arial" w:eastAsia="Times New Roman" w:hAnsi="Arial" w:cs="Arial"/>
                <w:spacing w:val="-2"/>
                <w:sz w:val="18"/>
                <w:szCs w:val="18"/>
                <w:lang w:eastAsia="ru-RU"/>
              </w:rPr>
              <w:t>Deferred tax liabilities</w:t>
            </w:r>
          </w:p>
        </w:tc>
        <w:tc>
          <w:tcPr>
            <w:tcW w:w="2666" w:type="dxa"/>
            <w:tcBorders>
              <w:left w:val="nil"/>
              <w:right w:val="nil"/>
            </w:tcBorders>
          </w:tcPr>
          <w:p w14:paraId="430E835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ru-RU"/>
              </w:rPr>
              <w:t>17,031</w:t>
            </w:r>
          </w:p>
        </w:tc>
        <w:tc>
          <w:tcPr>
            <w:tcW w:w="1418" w:type="dxa"/>
            <w:tcBorders>
              <w:left w:val="nil"/>
              <w:right w:val="nil"/>
            </w:tcBorders>
            <w:vAlign w:val="bottom"/>
          </w:tcPr>
          <w:p w14:paraId="1ED27AED"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A90FED">
              <w:rPr>
                <w:rFonts w:ascii="Arial" w:eastAsia="Times New Roman" w:hAnsi="Arial" w:cs="Arial"/>
                <w:spacing w:val="-2"/>
                <w:sz w:val="18"/>
                <w:szCs w:val="20"/>
                <w:lang w:val="en-US" w:eastAsia="ru-RU"/>
              </w:rPr>
              <w:t>13,603</w:t>
            </w:r>
          </w:p>
        </w:tc>
      </w:tr>
      <w:tr w:rsidR="00A90FED" w:rsidRPr="00A90FED" w14:paraId="1179ADD4" w14:textId="77777777" w:rsidTr="00A90FED">
        <w:trPr>
          <w:cantSplit/>
        </w:trPr>
        <w:tc>
          <w:tcPr>
            <w:tcW w:w="5272" w:type="dxa"/>
            <w:tcBorders>
              <w:top w:val="nil"/>
              <w:left w:val="nil"/>
              <w:bottom w:val="nil"/>
              <w:right w:val="nil"/>
            </w:tcBorders>
            <w:vAlign w:val="bottom"/>
          </w:tcPr>
          <w:p w14:paraId="4443BA1F"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Lease liabilities</w:t>
            </w:r>
          </w:p>
        </w:tc>
        <w:tc>
          <w:tcPr>
            <w:tcW w:w="2666" w:type="dxa"/>
            <w:tcBorders>
              <w:top w:val="nil"/>
              <w:left w:val="nil"/>
              <w:right w:val="nil"/>
            </w:tcBorders>
          </w:tcPr>
          <w:p w14:paraId="697CDBD7"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ru-RU"/>
              </w:rPr>
              <w:t>3,056</w:t>
            </w:r>
          </w:p>
        </w:tc>
        <w:tc>
          <w:tcPr>
            <w:tcW w:w="1418" w:type="dxa"/>
            <w:tcBorders>
              <w:top w:val="nil"/>
              <w:left w:val="nil"/>
              <w:right w:val="nil"/>
            </w:tcBorders>
          </w:tcPr>
          <w:p w14:paraId="760AA570"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2,818</w:t>
            </w:r>
          </w:p>
        </w:tc>
      </w:tr>
      <w:tr w:rsidR="00A90FED" w:rsidRPr="00A90FED" w14:paraId="317A17E3" w14:textId="77777777" w:rsidTr="00A90FED">
        <w:trPr>
          <w:cantSplit/>
        </w:trPr>
        <w:tc>
          <w:tcPr>
            <w:tcW w:w="5272" w:type="dxa"/>
            <w:tcBorders>
              <w:top w:val="nil"/>
              <w:left w:val="nil"/>
              <w:bottom w:val="nil"/>
              <w:right w:val="nil"/>
            </w:tcBorders>
            <w:vAlign w:val="bottom"/>
          </w:tcPr>
          <w:p w14:paraId="040E667A"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Defined benefit obligations</w:t>
            </w:r>
          </w:p>
        </w:tc>
        <w:tc>
          <w:tcPr>
            <w:tcW w:w="2666" w:type="dxa"/>
            <w:tcBorders>
              <w:top w:val="nil"/>
              <w:left w:val="nil"/>
              <w:right w:val="nil"/>
            </w:tcBorders>
          </w:tcPr>
          <w:p w14:paraId="77426030"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ru-RU"/>
              </w:rPr>
              <w:t>1,029</w:t>
            </w:r>
          </w:p>
        </w:tc>
        <w:tc>
          <w:tcPr>
            <w:tcW w:w="1418" w:type="dxa"/>
            <w:tcBorders>
              <w:top w:val="nil"/>
              <w:left w:val="nil"/>
              <w:right w:val="nil"/>
            </w:tcBorders>
          </w:tcPr>
          <w:p w14:paraId="4870FBD6"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1,129</w:t>
            </w:r>
          </w:p>
        </w:tc>
      </w:tr>
      <w:tr w:rsidR="00A90FED" w:rsidRPr="00A90FED" w14:paraId="0ED09451" w14:textId="77777777" w:rsidTr="00A90FED">
        <w:trPr>
          <w:cantSplit/>
        </w:trPr>
        <w:tc>
          <w:tcPr>
            <w:tcW w:w="5272" w:type="dxa"/>
            <w:tcBorders>
              <w:top w:val="nil"/>
              <w:left w:val="nil"/>
              <w:bottom w:val="single" w:sz="4" w:space="0" w:color="auto"/>
              <w:right w:val="nil"/>
            </w:tcBorders>
            <w:vAlign w:val="bottom"/>
          </w:tcPr>
          <w:p w14:paraId="33F31C75"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666" w:type="dxa"/>
            <w:tcBorders>
              <w:left w:val="nil"/>
              <w:bottom w:val="single" w:sz="4" w:space="0" w:color="auto"/>
              <w:right w:val="nil"/>
            </w:tcBorders>
            <w:vAlign w:val="bottom"/>
          </w:tcPr>
          <w:p w14:paraId="2067E137"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8" w:type="dxa"/>
            <w:tcBorders>
              <w:left w:val="nil"/>
              <w:bottom w:val="single" w:sz="4" w:space="0" w:color="auto"/>
              <w:right w:val="nil"/>
            </w:tcBorders>
            <w:vAlign w:val="bottom"/>
          </w:tcPr>
          <w:p w14:paraId="4C37AC0F"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A90FED" w:rsidRPr="00A90FED" w14:paraId="57331CE1" w14:textId="77777777" w:rsidTr="00A90FED">
        <w:trPr>
          <w:cantSplit/>
        </w:trPr>
        <w:tc>
          <w:tcPr>
            <w:tcW w:w="5272" w:type="dxa"/>
            <w:tcBorders>
              <w:top w:val="single" w:sz="4" w:space="0" w:color="auto"/>
              <w:left w:val="nil"/>
              <w:right w:val="nil"/>
            </w:tcBorders>
            <w:vAlign w:val="bottom"/>
          </w:tcPr>
          <w:p w14:paraId="72D6AB3C"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666" w:type="dxa"/>
            <w:tcBorders>
              <w:top w:val="single" w:sz="4" w:space="0" w:color="auto"/>
              <w:left w:val="nil"/>
              <w:right w:val="nil"/>
            </w:tcBorders>
            <w:vAlign w:val="bottom"/>
          </w:tcPr>
          <w:p w14:paraId="6DFFE36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8" w:type="dxa"/>
            <w:tcBorders>
              <w:top w:val="single" w:sz="4" w:space="0" w:color="auto"/>
              <w:left w:val="nil"/>
              <w:right w:val="nil"/>
            </w:tcBorders>
            <w:vAlign w:val="bottom"/>
          </w:tcPr>
          <w:p w14:paraId="0CC4065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A90FED" w:rsidRPr="00A90FED" w14:paraId="0B06C4ED" w14:textId="77777777" w:rsidTr="00A90FED">
        <w:trPr>
          <w:cantSplit/>
        </w:trPr>
        <w:tc>
          <w:tcPr>
            <w:tcW w:w="5272" w:type="dxa"/>
            <w:tcBorders>
              <w:left w:val="nil"/>
              <w:right w:val="nil"/>
            </w:tcBorders>
            <w:vAlign w:val="bottom"/>
          </w:tcPr>
          <w:p w14:paraId="5EE7BA34"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i/>
                <w:iCs/>
                <w:spacing w:val="-2"/>
                <w:sz w:val="18"/>
                <w:szCs w:val="18"/>
                <w:lang w:eastAsia="ru-RU"/>
              </w:rPr>
            </w:pPr>
            <w:r w:rsidRPr="00A90FED">
              <w:rPr>
                <w:rFonts w:ascii="Arial" w:eastAsia="Times New Roman" w:hAnsi="Arial" w:cs="Arial"/>
                <w:b/>
                <w:spacing w:val="-2"/>
                <w:sz w:val="18"/>
                <w:szCs w:val="18"/>
                <w:lang w:eastAsia="ru-RU"/>
              </w:rPr>
              <w:t>Non-current liabilities</w:t>
            </w:r>
          </w:p>
        </w:tc>
        <w:tc>
          <w:tcPr>
            <w:tcW w:w="2666" w:type="dxa"/>
            <w:tcBorders>
              <w:left w:val="nil"/>
              <w:right w:val="nil"/>
            </w:tcBorders>
            <w:vAlign w:val="bottom"/>
          </w:tcPr>
          <w:p w14:paraId="63CA0CFF"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A90FED">
              <w:rPr>
                <w:rFonts w:ascii="Arial" w:eastAsia="Times New Roman" w:hAnsi="Arial" w:cs="Arial"/>
                <w:b/>
                <w:spacing w:val="-2"/>
                <w:sz w:val="18"/>
                <w:szCs w:val="20"/>
                <w:lang w:val="en-US" w:eastAsia="ru-RU"/>
              </w:rPr>
              <w:t>191,078</w:t>
            </w:r>
          </w:p>
        </w:tc>
        <w:tc>
          <w:tcPr>
            <w:tcW w:w="1418" w:type="dxa"/>
            <w:tcBorders>
              <w:left w:val="nil"/>
              <w:right w:val="nil"/>
            </w:tcBorders>
            <w:vAlign w:val="bottom"/>
          </w:tcPr>
          <w:p w14:paraId="5961765D"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b/>
                <w:spacing w:val="-2"/>
                <w:sz w:val="18"/>
                <w:szCs w:val="20"/>
                <w:lang w:val="en-US" w:eastAsia="ru-RU"/>
              </w:rPr>
              <w:t>179,260</w:t>
            </w:r>
          </w:p>
        </w:tc>
      </w:tr>
      <w:tr w:rsidR="00A90FED" w:rsidRPr="00A90FED" w14:paraId="188ED4B3" w14:textId="77777777" w:rsidTr="00A90FED">
        <w:trPr>
          <w:cantSplit/>
        </w:trPr>
        <w:tc>
          <w:tcPr>
            <w:tcW w:w="5272" w:type="dxa"/>
            <w:tcBorders>
              <w:left w:val="nil"/>
              <w:bottom w:val="single" w:sz="4" w:space="0" w:color="auto"/>
              <w:right w:val="nil"/>
            </w:tcBorders>
            <w:vAlign w:val="bottom"/>
          </w:tcPr>
          <w:p w14:paraId="1DBD643C"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A90FED">
              <w:rPr>
                <w:rFonts w:ascii="Arial" w:eastAsia="Times New Roman" w:hAnsi="Arial" w:cs="Arial"/>
                <w:b/>
                <w:spacing w:val="-2"/>
                <w:sz w:val="10"/>
                <w:szCs w:val="10"/>
                <w:lang w:eastAsia="ru-RU"/>
              </w:rPr>
              <w:t> </w:t>
            </w:r>
          </w:p>
        </w:tc>
        <w:tc>
          <w:tcPr>
            <w:tcW w:w="2666" w:type="dxa"/>
            <w:tcBorders>
              <w:left w:val="nil"/>
              <w:bottom w:val="single" w:sz="4" w:space="0" w:color="auto"/>
              <w:right w:val="nil"/>
            </w:tcBorders>
            <w:vAlign w:val="bottom"/>
          </w:tcPr>
          <w:p w14:paraId="72B20101"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418" w:type="dxa"/>
            <w:tcBorders>
              <w:left w:val="nil"/>
              <w:bottom w:val="single" w:sz="4" w:space="0" w:color="auto"/>
              <w:right w:val="nil"/>
            </w:tcBorders>
            <w:vAlign w:val="bottom"/>
          </w:tcPr>
          <w:p w14:paraId="31DD799A"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A90FED" w:rsidRPr="00A90FED" w14:paraId="0AB462AE" w14:textId="77777777" w:rsidTr="00A90FED">
        <w:trPr>
          <w:cantSplit/>
        </w:trPr>
        <w:tc>
          <w:tcPr>
            <w:tcW w:w="5272" w:type="dxa"/>
            <w:tcBorders>
              <w:top w:val="single" w:sz="4" w:space="0" w:color="auto"/>
              <w:left w:val="nil"/>
              <w:bottom w:val="nil"/>
              <w:right w:val="nil"/>
            </w:tcBorders>
            <w:vAlign w:val="bottom"/>
          </w:tcPr>
          <w:p w14:paraId="3A82A301"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666" w:type="dxa"/>
            <w:tcBorders>
              <w:top w:val="single" w:sz="4" w:space="0" w:color="auto"/>
              <w:left w:val="nil"/>
              <w:bottom w:val="nil"/>
              <w:right w:val="nil"/>
            </w:tcBorders>
            <w:vAlign w:val="bottom"/>
          </w:tcPr>
          <w:p w14:paraId="5DC4CB6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8" w:type="dxa"/>
            <w:tcBorders>
              <w:top w:val="single" w:sz="4" w:space="0" w:color="auto"/>
              <w:left w:val="nil"/>
              <w:bottom w:val="nil"/>
              <w:right w:val="nil"/>
            </w:tcBorders>
            <w:vAlign w:val="bottom"/>
          </w:tcPr>
          <w:p w14:paraId="61BC2A6C"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A90FED" w:rsidRPr="00A90FED" w14:paraId="1D289CFF" w14:textId="77777777" w:rsidTr="00A90FED">
        <w:trPr>
          <w:cantSplit/>
        </w:trPr>
        <w:tc>
          <w:tcPr>
            <w:tcW w:w="5272" w:type="dxa"/>
            <w:tcBorders>
              <w:top w:val="nil"/>
              <w:left w:val="nil"/>
              <w:bottom w:val="nil"/>
              <w:right w:val="nil"/>
            </w:tcBorders>
            <w:vAlign w:val="bottom"/>
          </w:tcPr>
          <w:p w14:paraId="453A60D6"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Loans and borrowings</w:t>
            </w:r>
          </w:p>
        </w:tc>
        <w:tc>
          <w:tcPr>
            <w:tcW w:w="2666" w:type="dxa"/>
            <w:tcBorders>
              <w:top w:val="nil"/>
              <w:left w:val="nil"/>
              <w:bottom w:val="nil"/>
              <w:right w:val="nil"/>
            </w:tcBorders>
          </w:tcPr>
          <w:p w14:paraId="39E93AD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ru-RU"/>
              </w:rPr>
              <w:t>161,661</w:t>
            </w:r>
          </w:p>
        </w:tc>
        <w:tc>
          <w:tcPr>
            <w:tcW w:w="1418" w:type="dxa"/>
            <w:tcBorders>
              <w:top w:val="nil"/>
              <w:left w:val="nil"/>
              <w:bottom w:val="nil"/>
              <w:right w:val="nil"/>
            </w:tcBorders>
          </w:tcPr>
          <w:p w14:paraId="43833F85"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86,429</w:t>
            </w:r>
          </w:p>
        </w:tc>
      </w:tr>
      <w:tr w:rsidR="00A90FED" w:rsidRPr="00A90FED" w14:paraId="436463B8" w14:textId="77777777" w:rsidTr="00A90FED">
        <w:trPr>
          <w:cantSplit/>
        </w:trPr>
        <w:tc>
          <w:tcPr>
            <w:tcW w:w="5272" w:type="dxa"/>
            <w:tcBorders>
              <w:top w:val="nil"/>
              <w:left w:val="nil"/>
              <w:right w:val="nil"/>
            </w:tcBorders>
            <w:vAlign w:val="bottom"/>
          </w:tcPr>
          <w:p w14:paraId="3A1BA7A5"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Trade and other payables</w:t>
            </w:r>
          </w:p>
        </w:tc>
        <w:tc>
          <w:tcPr>
            <w:tcW w:w="2666" w:type="dxa"/>
            <w:tcBorders>
              <w:top w:val="nil"/>
              <w:left w:val="nil"/>
              <w:right w:val="nil"/>
            </w:tcBorders>
          </w:tcPr>
          <w:p w14:paraId="30509D0F"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48,394</w:t>
            </w:r>
          </w:p>
        </w:tc>
        <w:tc>
          <w:tcPr>
            <w:tcW w:w="1418" w:type="dxa"/>
            <w:tcBorders>
              <w:top w:val="nil"/>
              <w:left w:val="nil"/>
              <w:right w:val="nil"/>
            </w:tcBorders>
          </w:tcPr>
          <w:p w14:paraId="1FA6219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40,705</w:t>
            </w:r>
          </w:p>
        </w:tc>
      </w:tr>
      <w:tr w:rsidR="00A90FED" w:rsidRPr="00A90FED" w14:paraId="21E62A20" w14:textId="77777777" w:rsidTr="00A90FED">
        <w:trPr>
          <w:cantSplit/>
        </w:trPr>
        <w:tc>
          <w:tcPr>
            <w:tcW w:w="5272" w:type="dxa"/>
            <w:tcBorders>
              <w:top w:val="nil"/>
              <w:left w:val="nil"/>
              <w:right w:val="nil"/>
            </w:tcBorders>
            <w:vAlign w:val="bottom"/>
          </w:tcPr>
          <w:p w14:paraId="7D5261F5"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 xml:space="preserve">Dividends payable </w:t>
            </w:r>
          </w:p>
        </w:tc>
        <w:tc>
          <w:tcPr>
            <w:tcW w:w="2666" w:type="dxa"/>
            <w:tcBorders>
              <w:top w:val="nil"/>
              <w:left w:val="nil"/>
              <w:right w:val="nil"/>
            </w:tcBorders>
          </w:tcPr>
          <w:p w14:paraId="715A80DD"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ru-RU"/>
              </w:rPr>
              <w:t>19,779</w:t>
            </w:r>
          </w:p>
        </w:tc>
        <w:tc>
          <w:tcPr>
            <w:tcW w:w="1418" w:type="dxa"/>
            <w:tcBorders>
              <w:top w:val="nil"/>
              <w:left w:val="nil"/>
              <w:right w:val="nil"/>
            </w:tcBorders>
            <w:vAlign w:val="bottom"/>
          </w:tcPr>
          <w:p w14:paraId="380E913A"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54,919</w:t>
            </w:r>
          </w:p>
        </w:tc>
      </w:tr>
      <w:tr w:rsidR="00A90FED" w:rsidRPr="00A90FED" w14:paraId="706ABD00" w14:textId="77777777" w:rsidTr="00A90FED">
        <w:trPr>
          <w:cantSplit/>
        </w:trPr>
        <w:tc>
          <w:tcPr>
            <w:tcW w:w="5272" w:type="dxa"/>
            <w:tcBorders>
              <w:top w:val="nil"/>
              <w:left w:val="nil"/>
              <w:bottom w:val="nil"/>
              <w:right w:val="nil"/>
            </w:tcBorders>
            <w:vAlign w:val="bottom"/>
          </w:tcPr>
          <w:p w14:paraId="15EACF1D"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 xml:space="preserve">Income tax payable </w:t>
            </w:r>
          </w:p>
        </w:tc>
        <w:tc>
          <w:tcPr>
            <w:tcW w:w="2666" w:type="dxa"/>
            <w:tcBorders>
              <w:top w:val="nil"/>
              <w:left w:val="nil"/>
              <w:right w:val="nil"/>
            </w:tcBorders>
            <w:vAlign w:val="bottom"/>
          </w:tcPr>
          <w:p w14:paraId="7D8BB5D7"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20"/>
                <w:lang w:val="ru-RU" w:eastAsia="ru-RU"/>
              </w:rPr>
              <w:t>3,128</w:t>
            </w:r>
          </w:p>
        </w:tc>
        <w:tc>
          <w:tcPr>
            <w:tcW w:w="1418" w:type="dxa"/>
            <w:tcBorders>
              <w:top w:val="nil"/>
              <w:left w:val="nil"/>
              <w:right w:val="nil"/>
            </w:tcBorders>
            <w:vAlign w:val="bottom"/>
          </w:tcPr>
          <w:p w14:paraId="73CBE706"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208</w:t>
            </w:r>
          </w:p>
        </w:tc>
      </w:tr>
      <w:tr w:rsidR="00A90FED" w:rsidRPr="00A90FED" w14:paraId="31EB957E" w14:textId="77777777" w:rsidTr="00A90FED">
        <w:trPr>
          <w:cantSplit/>
        </w:trPr>
        <w:tc>
          <w:tcPr>
            <w:tcW w:w="5272" w:type="dxa"/>
            <w:tcBorders>
              <w:top w:val="nil"/>
              <w:left w:val="nil"/>
              <w:bottom w:val="nil"/>
              <w:right w:val="nil"/>
            </w:tcBorders>
            <w:vAlign w:val="bottom"/>
          </w:tcPr>
          <w:p w14:paraId="49E19186"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 xml:space="preserve">VAT and other taxes payable </w:t>
            </w:r>
          </w:p>
        </w:tc>
        <w:tc>
          <w:tcPr>
            <w:tcW w:w="2666" w:type="dxa"/>
            <w:tcBorders>
              <w:top w:val="nil"/>
              <w:left w:val="nil"/>
              <w:bottom w:val="nil"/>
              <w:right w:val="nil"/>
            </w:tcBorders>
          </w:tcPr>
          <w:p w14:paraId="14D1F520"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2,633</w:t>
            </w:r>
          </w:p>
        </w:tc>
        <w:tc>
          <w:tcPr>
            <w:tcW w:w="1418" w:type="dxa"/>
            <w:tcBorders>
              <w:top w:val="nil"/>
              <w:left w:val="nil"/>
              <w:bottom w:val="nil"/>
              <w:right w:val="nil"/>
            </w:tcBorders>
          </w:tcPr>
          <w:p w14:paraId="55B59395"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 xml:space="preserve">1,954 </w:t>
            </w:r>
          </w:p>
        </w:tc>
      </w:tr>
      <w:tr w:rsidR="00A90FED" w:rsidRPr="00A90FED" w14:paraId="4939B2D0" w14:textId="77777777" w:rsidTr="00A90FED">
        <w:trPr>
          <w:cantSplit/>
        </w:trPr>
        <w:tc>
          <w:tcPr>
            <w:tcW w:w="5272" w:type="dxa"/>
            <w:tcBorders>
              <w:top w:val="nil"/>
              <w:left w:val="nil"/>
              <w:bottom w:val="nil"/>
              <w:right w:val="nil"/>
            </w:tcBorders>
            <w:vAlign w:val="bottom"/>
          </w:tcPr>
          <w:p w14:paraId="35D2DEDC"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Lease liabilities</w:t>
            </w:r>
          </w:p>
        </w:tc>
        <w:tc>
          <w:tcPr>
            <w:tcW w:w="2666" w:type="dxa"/>
            <w:tcBorders>
              <w:top w:val="nil"/>
              <w:left w:val="nil"/>
              <w:bottom w:val="nil"/>
              <w:right w:val="nil"/>
            </w:tcBorders>
          </w:tcPr>
          <w:p w14:paraId="5BA715DD"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18"/>
                <w:lang w:val="en-US" w:eastAsia="ru-RU"/>
              </w:rPr>
              <w:t>1,075</w:t>
            </w:r>
          </w:p>
        </w:tc>
        <w:tc>
          <w:tcPr>
            <w:tcW w:w="1418" w:type="dxa"/>
            <w:tcBorders>
              <w:top w:val="nil"/>
              <w:left w:val="nil"/>
              <w:bottom w:val="nil"/>
              <w:right w:val="nil"/>
            </w:tcBorders>
          </w:tcPr>
          <w:p w14:paraId="33FE98D3"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1,413</w:t>
            </w:r>
          </w:p>
        </w:tc>
      </w:tr>
      <w:tr w:rsidR="00A90FED" w:rsidRPr="00A90FED" w14:paraId="3D66FBC1" w14:textId="77777777" w:rsidTr="00A90FED">
        <w:trPr>
          <w:cantSplit/>
        </w:trPr>
        <w:tc>
          <w:tcPr>
            <w:tcW w:w="5272" w:type="dxa"/>
            <w:tcBorders>
              <w:top w:val="nil"/>
              <w:left w:val="nil"/>
              <w:bottom w:val="nil"/>
              <w:right w:val="nil"/>
            </w:tcBorders>
            <w:vAlign w:val="bottom"/>
          </w:tcPr>
          <w:p w14:paraId="458DBF70"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Windfall tax payable</w:t>
            </w:r>
          </w:p>
        </w:tc>
        <w:tc>
          <w:tcPr>
            <w:tcW w:w="2666" w:type="dxa"/>
            <w:tcBorders>
              <w:top w:val="nil"/>
              <w:left w:val="nil"/>
              <w:right w:val="nil"/>
            </w:tcBorders>
          </w:tcPr>
          <w:p w14:paraId="1C47D459"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w:t>
            </w:r>
          </w:p>
        </w:tc>
        <w:tc>
          <w:tcPr>
            <w:tcW w:w="1418" w:type="dxa"/>
            <w:tcBorders>
              <w:top w:val="nil"/>
              <w:left w:val="nil"/>
              <w:right w:val="nil"/>
            </w:tcBorders>
            <w:vAlign w:val="bottom"/>
          </w:tcPr>
          <w:p w14:paraId="0AAA2C0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6,355</w:t>
            </w:r>
          </w:p>
        </w:tc>
      </w:tr>
      <w:tr w:rsidR="00A90FED" w:rsidRPr="00A90FED" w14:paraId="43DC0FB5" w14:textId="77777777" w:rsidTr="00A90FED">
        <w:trPr>
          <w:cantSplit/>
        </w:trPr>
        <w:tc>
          <w:tcPr>
            <w:tcW w:w="5272" w:type="dxa"/>
            <w:tcBorders>
              <w:top w:val="nil"/>
              <w:left w:val="nil"/>
              <w:bottom w:val="single" w:sz="4" w:space="0" w:color="auto"/>
              <w:right w:val="nil"/>
            </w:tcBorders>
            <w:vAlign w:val="bottom"/>
          </w:tcPr>
          <w:p w14:paraId="32D4E957"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666" w:type="dxa"/>
            <w:tcBorders>
              <w:top w:val="nil"/>
              <w:left w:val="nil"/>
              <w:bottom w:val="single" w:sz="4" w:space="0" w:color="auto"/>
              <w:right w:val="nil"/>
            </w:tcBorders>
            <w:vAlign w:val="bottom"/>
          </w:tcPr>
          <w:p w14:paraId="394AE766"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8" w:type="dxa"/>
            <w:tcBorders>
              <w:top w:val="nil"/>
              <w:left w:val="nil"/>
              <w:bottom w:val="single" w:sz="4" w:space="0" w:color="auto"/>
              <w:right w:val="nil"/>
            </w:tcBorders>
            <w:vAlign w:val="bottom"/>
          </w:tcPr>
          <w:p w14:paraId="099C14F1"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A90FED" w:rsidRPr="00A90FED" w14:paraId="297ED5E9" w14:textId="77777777" w:rsidTr="00A90FED">
        <w:trPr>
          <w:cantSplit/>
        </w:trPr>
        <w:tc>
          <w:tcPr>
            <w:tcW w:w="5272" w:type="dxa"/>
            <w:tcBorders>
              <w:top w:val="single" w:sz="4" w:space="0" w:color="auto"/>
              <w:left w:val="nil"/>
              <w:bottom w:val="nil"/>
              <w:right w:val="nil"/>
            </w:tcBorders>
            <w:vAlign w:val="bottom"/>
          </w:tcPr>
          <w:p w14:paraId="6C536865"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666" w:type="dxa"/>
            <w:tcBorders>
              <w:top w:val="single" w:sz="4" w:space="0" w:color="auto"/>
              <w:left w:val="nil"/>
              <w:right w:val="nil"/>
            </w:tcBorders>
            <w:vAlign w:val="bottom"/>
          </w:tcPr>
          <w:p w14:paraId="5881DE7D"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8" w:type="dxa"/>
            <w:tcBorders>
              <w:top w:val="single" w:sz="4" w:space="0" w:color="auto"/>
              <w:left w:val="nil"/>
              <w:right w:val="nil"/>
            </w:tcBorders>
            <w:vAlign w:val="bottom"/>
          </w:tcPr>
          <w:p w14:paraId="09414EF5"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A90FED" w:rsidRPr="00A90FED" w14:paraId="5159B26A" w14:textId="77777777" w:rsidTr="00A90FED">
        <w:trPr>
          <w:cantSplit/>
        </w:trPr>
        <w:tc>
          <w:tcPr>
            <w:tcW w:w="5272" w:type="dxa"/>
            <w:tcBorders>
              <w:top w:val="nil"/>
              <w:left w:val="nil"/>
              <w:right w:val="nil"/>
            </w:tcBorders>
            <w:vAlign w:val="bottom"/>
          </w:tcPr>
          <w:p w14:paraId="01E11B5F"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A90FED">
              <w:rPr>
                <w:rFonts w:ascii="Arial" w:eastAsia="Times New Roman" w:hAnsi="Arial" w:cs="Arial"/>
                <w:b/>
                <w:spacing w:val="-2"/>
                <w:sz w:val="18"/>
                <w:szCs w:val="18"/>
                <w:lang w:eastAsia="ru-RU"/>
              </w:rPr>
              <w:t>Current liabilities</w:t>
            </w:r>
          </w:p>
        </w:tc>
        <w:tc>
          <w:tcPr>
            <w:tcW w:w="2666" w:type="dxa"/>
            <w:tcBorders>
              <w:left w:val="nil"/>
              <w:right w:val="nil"/>
            </w:tcBorders>
            <w:vAlign w:val="bottom"/>
          </w:tcPr>
          <w:p w14:paraId="44A9AFFF"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A90FED">
              <w:rPr>
                <w:rFonts w:ascii="Arial" w:eastAsia="Times New Roman" w:hAnsi="Arial" w:cs="Arial"/>
                <w:b/>
                <w:spacing w:val="-2"/>
                <w:sz w:val="18"/>
                <w:szCs w:val="20"/>
                <w:lang w:val="en-US" w:eastAsia="ru-RU"/>
              </w:rPr>
              <w:t>23</w:t>
            </w:r>
            <w:r w:rsidRPr="00A90FED">
              <w:rPr>
                <w:rFonts w:ascii="Arial" w:eastAsia="Times New Roman" w:hAnsi="Arial" w:cs="Arial"/>
                <w:b/>
                <w:spacing w:val="-2"/>
                <w:sz w:val="18"/>
                <w:szCs w:val="20"/>
                <w:lang w:val="ru-RU" w:eastAsia="ru-RU"/>
              </w:rPr>
              <w:t>6</w:t>
            </w:r>
            <w:r w:rsidRPr="00A90FED">
              <w:rPr>
                <w:rFonts w:ascii="Arial" w:eastAsia="Times New Roman" w:hAnsi="Arial" w:cs="Arial"/>
                <w:b/>
                <w:spacing w:val="-2"/>
                <w:sz w:val="18"/>
                <w:szCs w:val="20"/>
                <w:lang w:val="en-US" w:eastAsia="ru-RU"/>
              </w:rPr>
              <w:t>,</w:t>
            </w:r>
            <w:r w:rsidRPr="00A90FED">
              <w:rPr>
                <w:rFonts w:ascii="Arial" w:eastAsia="Times New Roman" w:hAnsi="Arial" w:cs="Arial"/>
                <w:b/>
                <w:spacing w:val="-2"/>
                <w:sz w:val="18"/>
                <w:szCs w:val="20"/>
                <w:lang w:val="ru-RU" w:eastAsia="ru-RU"/>
              </w:rPr>
              <w:t>670</w:t>
            </w:r>
          </w:p>
        </w:tc>
        <w:tc>
          <w:tcPr>
            <w:tcW w:w="1418" w:type="dxa"/>
            <w:tcBorders>
              <w:left w:val="nil"/>
              <w:right w:val="nil"/>
            </w:tcBorders>
            <w:vAlign w:val="bottom"/>
          </w:tcPr>
          <w:p w14:paraId="3CD1A2A7"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A90FED">
              <w:rPr>
                <w:rFonts w:ascii="Arial" w:eastAsia="Times New Roman" w:hAnsi="Arial" w:cs="Arial"/>
                <w:b/>
                <w:spacing w:val="-2"/>
                <w:sz w:val="18"/>
                <w:szCs w:val="20"/>
                <w:lang w:val="en-US" w:eastAsia="ru-RU"/>
              </w:rPr>
              <w:t>191,98</w:t>
            </w:r>
            <w:r w:rsidRPr="00A90FED">
              <w:rPr>
                <w:rFonts w:ascii="Arial" w:eastAsia="Times New Roman" w:hAnsi="Arial" w:cs="Arial"/>
                <w:b/>
                <w:spacing w:val="-2"/>
                <w:sz w:val="18"/>
                <w:szCs w:val="20"/>
                <w:lang w:val="ru-RU" w:eastAsia="ru-RU"/>
              </w:rPr>
              <w:t>3</w:t>
            </w:r>
          </w:p>
        </w:tc>
      </w:tr>
      <w:tr w:rsidR="00A90FED" w:rsidRPr="00A90FED" w14:paraId="3BE3475A" w14:textId="77777777" w:rsidTr="00A90FED">
        <w:trPr>
          <w:cantSplit/>
        </w:trPr>
        <w:tc>
          <w:tcPr>
            <w:tcW w:w="5272" w:type="dxa"/>
            <w:tcBorders>
              <w:left w:val="nil"/>
              <w:bottom w:val="single" w:sz="4" w:space="0" w:color="auto"/>
              <w:right w:val="nil"/>
            </w:tcBorders>
            <w:vAlign w:val="bottom"/>
          </w:tcPr>
          <w:p w14:paraId="791E6CDD"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A90FED">
              <w:rPr>
                <w:rFonts w:ascii="Arial" w:eastAsia="Times New Roman" w:hAnsi="Arial" w:cs="Arial"/>
                <w:b/>
                <w:spacing w:val="-2"/>
                <w:sz w:val="10"/>
                <w:szCs w:val="10"/>
                <w:lang w:eastAsia="ru-RU"/>
              </w:rPr>
              <w:t> </w:t>
            </w:r>
          </w:p>
        </w:tc>
        <w:tc>
          <w:tcPr>
            <w:tcW w:w="2666" w:type="dxa"/>
            <w:tcBorders>
              <w:left w:val="nil"/>
              <w:bottom w:val="single" w:sz="4" w:space="0" w:color="auto"/>
              <w:right w:val="nil"/>
            </w:tcBorders>
            <w:vAlign w:val="bottom"/>
          </w:tcPr>
          <w:p w14:paraId="73979A50"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418" w:type="dxa"/>
            <w:tcBorders>
              <w:left w:val="nil"/>
              <w:bottom w:val="single" w:sz="4" w:space="0" w:color="auto"/>
              <w:right w:val="nil"/>
            </w:tcBorders>
            <w:vAlign w:val="bottom"/>
          </w:tcPr>
          <w:p w14:paraId="1A07E4DA"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A90FED" w:rsidRPr="00A90FED" w14:paraId="5310506A" w14:textId="77777777" w:rsidTr="00A90FED">
        <w:trPr>
          <w:cantSplit/>
        </w:trPr>
        <w:tc>
          <w:tcPr>
            <w:tcW w:w="5272" w:type="dxa"/>
            <w:tcBorders>
              <w:top w:val="single" w:sz="4" w:space="0" w:color="auto"/>
              <w:left w:val="nil"/>
              <w:right w:val="nil"/>
            </w:tcBorders>
            <w:vAlign w:val="bottom"/>
          </w:tcPr>
          <w:p w14:paraId="19351E77"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A90FED">
              <w:rPr>
                <w:rFonts w:ascii="Arial" w:eastAsia="Times New Roman" w:hAnsi="Arial" w:cs="Arial"/>
                <w:b/>
                <w:spacing w:val="-2"/>
                <w:sz w:val="10"/>
                <w:szCs w:val="10"/>
                <w:lang w:eastAsia="ru-RU"/>
              </w:rPr>
              <w:t> </w:t>
            </w:r>
          </w:p>
        </w:tc>
        <w:tc>
          <w:tcPr>
            <w:tcW w:w="2666" w:type="dxa"/>
            <w:tcBorders>
              <w:top w:val="single" w:sz="4" w:space="0" w:color="auto"/>
              <w:left w:val="nil"/>
              <w:right w:val="nil"/>
            </w:tcBorders>
            <w:vAlign w:val="bottom"/>
          </w:tcPr>
          <w:p w14:paraId="633E10EC"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418" w:type="dxa"/>
            <w:tcBorders>
              <w:top w:val="single" w:sz="4" w:space="0" w:color="auto"/>
              <w:left w:val="nil"/>
              <w:right w:val="nil"/>
            </w:tcBorders>
            <w:vAlign w:val="bottom"/>
          </w:tcPr>
          <w:p w14:paraId="5F1C12F6"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A90FED" w:rsidRPr="00A90FED" w14:paraId="63684D14" w14:textId="77777777" w:rsidTr="00A90FED">
        <w:trPr>
          <w:cantSplit/>
        </w:trPr>
        <w:tc>
          <w:tcPr>
            <w:tcW w:w="5272" w:type="dxa"/>
            <w:tcBorders>
              <w:left w:val="nil"/>
              <w:right w:val="nil"/>
            </w:tcBorders>
            <w:vAlign w:val="bottom"/>
          </w:tcPr>
          <w:p w14:paraId="33E9E5AC"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A90FED">
              <w:rPr>
                <w:rFonts w:ascii="Arial" w:eastAsia="Times New Roman" w:hAnsi="Arial" w:cs="Arial"/>
                <w:b/>
                <w:spacing w:val="-2"/>
                <w:sz w:val="18"/>
                <w:szCs w:val="18"/>
                <w:lang w:eastAsia="ru-RU"/>
              </w:rPr>
              <w:t>Total equity and liabilities</w:t>
            </w:r>
          </w:p>
        </w:tc>
        <w:tc>
          <w:tcPr>
            <w:tcW w:w="2666" w:type="dxa"/>
            <w:tcBorders>
              <w:left w:val="nil"/>
              <w:right w:val="nil"/>
            </w:tcBorders>
            <w:vAlign w:val="bottom"/>
          </w:tcPr>
          <w:p w14:paraId="00A282CD"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A90FED">
              <w:rPr>
                <w:rFonts w:ascii="Arial" w:eastAsia="Times New Roman" w:hAnsi="Arial" w:cs="Arial"/>
                <w:b/>
                <w:spacing w:val="-2"/>
                <w:sz w:val="18"/>
                <w:szCs w:val="20"/>
                <w:lang w:val="en-US" w:eastAsia="ru-RU"/>
              </w:rPr>
              <w:t>592,470</w:t>
            </w:r>
          </w:p>
        </w:tc>
        <w:tc>
          <w:tcPr>
            <w:tcW w:w="1418" w:type="dxa"/>
            <w:tcBorders>
              <w:left w:val="nil"/>
              <w:right w:val="nil"/>
            </w:tcBorders>
            <w:vAlign w:val="bottom"/>
          </w:tcPr>
          <w:p w14:paraId="7580A5DF"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A90FED">
              <w:rPr>
                <w:rFonts w:ascii="Arial" w:eastAsia="Times New Roman" w:hAnsi="Arial" w:cs="Arial"/>
                <w:b/>
                <w:spacing w:val="-2"/>
                <w:sz w:val="18"/>
                <w:szCs w:val="20"/>
                <w:lang w:val="en-US" w:eastAsia="ru-RU"/>
              </w:rPr>
              <w:t>522,84</w:t>
            </w:r>
            <w:r w:rsidRPr="00A90FED">
              <w:rPr>
                <w:rFonts w:ascii="Arial" w:eastAsia="Times New Roman" w:hAnsi="Arial" w:cs="Arial"/>
                <w:b/>
                <w:spacing w:val="-2"/>
                <w:sz w:val="18"/>
                <w:szCs w:val="20"/>
                <w:lang w:val="ru-RU" w:eastAsia="ru-RU"/>
              </w:rPr>
              <w:t>8</w:t>
            </w:r>
          </w:p>
        </w:tc>
      </w:tr>
      <w:tr w:rsidR="00A90FED" w:rsidRPr="00A90FED" w14:paraId="0FC55305" w14:textId="77777777" w:rsidTr="00A90FED">
        <w:trPr>
          <w:cantSplit/>
        </w:trPr>
        <w:tc>
          <w:tcPr>
            <w:tcW w:w="5272" w:type="dxa"/>
            <w:tcBorders>
              <w:left w:val="nil"/>
              <w:bottom w:val="single" w:sz="12" w:space="0" w:color="auto"/>
              <w:right w:val="nil"/>
            </w:tcBorders>
            <w:vAlign w:val="bottom"/>
          </w:tcPr>
          <w:p w14:paraId="3361E164"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A90FED">
              <w:rPr>
                <w:rFonts w:ascii="Arial" w:eastAsia="Times New Roman" w:hAnsi="Arial" w:cs="Arial"/>
                <w:b/>
                <w:spacing w:val="-2"/>
                <w:sz w:val="10"/>
                <w:szCs w:val="10"/>
                <w:lang w:eastAsia="ru-RU"/>
              </w:rPr>
              <w:t> </w:t>
            </w:r>
          </w:p>
        </w:tc>
        <w:tc>
          <w:tcPr>
            <w:tcW w:w="2666" w:type="dxa"/>
            <w:tcBorders>
              <w:left w:val="nil"/>
              <w:bottom w:val="single" w:sz="12" w:space="0" w:color="auto"/>
              <w:right w:val="nil"/>
            </w:tcBorders>
            <w:vAlign w:val="bottom"/>
          </w:tcPr>
          <w:p w14:paraId="0F01D4C6"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418" w:type="dxa"/>
            <w:tcBorders>
              <w:left w:val="nil"/>
              <w:bottom w:val="single" w:sz="12" w:space="0" w:color="auto"/>
              <w:right w:val="nil"/>
            </w:tcBorders>
            <w:vAlign w:val="bottom"/>
          </w:tcPr>
          <w:p w14:paraId="544C577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bl>
    <w:p w14:paraId="42089669" w14:textId="77777777" w:rsidR="00965003" w:rsidRPr="00335EBE" w:rsidRDefault="00965003" w:rsidP="00965003">
      <w:pPr>
        <w:rPr>
          <w:rFonts w:ascii="Arial" w:eastAsia="Times New Roman" w:hAnsi="Arial" w:cs="Arial"/>
          <w:i/>
          <w:iCs/>
          <w:sz w:val="16"/>
          <w:szCs w:val="16"/>
          <w:lang w:eastAsia="en-US"/>
        </w:rPr>
      </w:pPr>
    </w:p>
    <w:p w14:paraId="5E7F1A47" w14:textId="77777777" w:rsidR="00965003" w:rsidRPr="00335EBE" w:rsidRDefault="00965003" w:rsidP="00965003">
      <w:pPr>
        <w:rPr>
          <w:rFonts w:ascii="Arial" w:eastAsia="Times New Roman" w:hAnsi="Arial" w:cs="Arial"/>
          <w:i/>
          <w:iCs/>
          <w:sz w:val="16"/>
          <w:szCs w:val="16"/>
          <w:lang w:eastAsia="en-US"/>
        </w:rPr>
      </w:pPr>
    </w:p>
    <w:p w14:paraId="4D1FF15B" w14:textId="77777777" w:rsidR="00965003" w:rsidRPr="00335EBE" w:rsidRDefault="00965003" w:rsidP="00965003">
      <w:pPr>
        <w:rPr>
          <w:rFonts w:ascii="Arial" w:eastAsia="Times New Roman" w:hAnsi="Arial" w:cs="Arial"/>
          <w:i/>
          <w:iCs/>
          <w:sz w:val="16"/>
          <w:szCs w:val="16"/>
          <w:lang w:eastAsia="en-US"/>
        </w:rPr>
      </w:pPr>
    </w:p>
    <w:p w14:paraId="5D7B088C" w14:textId="77777777" w:rsidR="00965003" w:rsidRPr="00335EBE" w:rsidRDefault="00965003" w:rsidP="00965003">
      <w:pPr>
        <w:rPr>
          <w:rFonts w:ascii="Arial" w:eastAsia="Times New Roman" w:hAnsi="Arial" w:cs="Arial"/>
          <w:sz w:val="16"/>
          <w:szCs w:val="16"/>
          <w:lang w:eastAsia="en-US"/>
        </w:rPr>
        <w:sectPr w:rsidR="00965003" w:rsidRPr="00335EBE" w:rsidSect="00CB6682">
          <w:headerReference w:type="default" r:id="rId27"/>
          <w:footnotePr>
            <w:numRestart w:val="eachPage"/>
          </w:footnotePr>
          <w:pgSz w:w="11907" w:h="16840" w:code="9"/>
          <w:pgMar w:top="1134" w:right="1021" w:bottom="1134" w:left="1531" w:header="567" w:footer="567" w:gutter="0"/>
          <w:pgNumType w:start="1"/>
          <w:cols w:space="708"/>
          <w:docGrid w:linePitch="360"/>
        </w:sectPr>
      </w:pPr>
    </w:p>
    <w:tbl>
      <w:tblPr>
        <w:tblW w:w="5000" w:type="pct"/>
        <w:tblLayout w:type="fixed"/>
        <w:tblCellMar>
          <w:left w:w="85" w:type="dxa"/>
          <w:right w:w="85" w:type="dxa"/>
        </w:tblCellMar>
        <w:tblLook w:val="0000" w:firstRow="0" w:lastRow="0" w:firstColumn="0" w:lastColumn="0" w:noHBand="0" w:noVBand="0"/>
      </w:tblPr>
      <w:tblGrid>
        <w:gridCol w:w="5965"/>
        <w:gridCol w:w="2099"/>
        <w:gridCol w:w="1291"/>
      </w:tblGrid>
      <w:tr w:rsidR="00A90FED" w:rsidRPr="00A90FED" w14:paraId="7274B464" w14:textId="77777777" w:rsidTr="00A90FED">
        <w:trPr>
          <w:cantSplit/>
        </w:trPr>
        <w:tc>
          <w:tcPr>
            <w:tcW w:w="5977" w:type="dxa"/>
            <w:tcBorders>
              <w:bottom w:val="single" w:sz="4" w:space="0" w:color="auto"/>
            </w:tcBorders>
            <w:vAlign w:val="bottom"/>
          </w:tcPr>
          <w:p w14:paraId="26EE2CE0"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i/>
                <w:iCs/>
                <w:spacing w:val="-2"/>
                <w:sz w:val="18"/>
                <w:szCs w:val="18"/>
                <w:lang w:eastAsia="ru-RU"/>
              </w:rPr>
            </w:pPr>
            <w:r w:rsidRPr="00A90FED">
              <w:rPr>
                <w:rFonts w:ascii="Arial" w:eastAsia="Times New Roman" w:hAnsi="Arial" w:cs="Arial"/>
                <w:i/>
                <w:iCs/>
                <w:spacing w:val="-2"/>
                <w:sz w:val="18"/>
                <w:szCs w:val="18"/>
                <w:lang w:eastAsia="ru-RU"/>
              </w:rPr>
              <w:t>RUB million</w:t>
            </w:r>
          </w:p>
        </w:tc>
        <w:tc>
          <w:tcPr>
            <w:tcW w:w="2103" w:type="dxa"/>
            <w:tcBorders>
              <w:bottom w:val="single" w:sz="4" w:space="0" w:color="auto"/>
            </w:tcBorders>
            <w:vAlign w:val="bottom"/>
          </w:tcPr>
          <w:p w14:paraId="185C512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bCs/>
                <w:spacing w:val="-2"/>
                <w:sz w:val="18"/>
                <w:szCs w:val="18"/>
                <w:lang w:val="en-US" w:eastAsia="ru-RU"/>
              </w:rPr>
            </w:pPr>
            <w:r w:rsidRPr="00A90FED">
              <w:rPr>
                <w:rFonts w:ascii="Arial" w:eastAsia="Times New Roman" w:hAnsi="Arial" w:cs="Arial"/>
                <w:b/>
                <w:bCs/>
                <w:spacing w:val="-2"/>
                <w:sz w:val="18"/>
                <w:szCs w:val="18"/>
                <w:lang w:eastAsia="ru-RU"/>
              </w:rPr>
              <w:t>20</w:t>
            </w:r>
            <w:r w:rsidRPr="00A90FED">
              <w:rPr>
                <w:rFonts w:ascii="Arial" w:eastAsia="Times New Roman" w:hAnsi="Arial" w:cs="Arial"/>
                <w:b/>
                <w:bCs/>
                <w:spacing w:val="-2"/>
                <w:sz w:val="18"/>
                <w:szCs w:val="18"/>
                <w:lang w:val="ru-RU" w:eastAsia="ru-RU"/>
              </w:rPr>
              <w:t>2</w:t>
            </w:r>
            <w:r w:rsidRPr="00A90FED">
              <w:rPr>
                <w:rFonts w:ascii="Arial" w:eastAsia="Times New Roman" w:hAnsi="Arial" w:cs="Arial"/>
                <w:b/>
                <w:bCs/>
                <w:spacing w:val="-2"/>
                <w:sz w:val="18"/>
                <w:szCs w:val="18"/>
                <w:lang w:val="en-US" w:eastAsia="ru-RU"/>
              </w:rPr>
              <w:t>4</w:t>
            </w:r>
          </w:p>
        </w:tc>
        <w:tc>
          <w:tcPr>
            <w:tcW w:w="1293" w:type="dxa"/>
            <w:tcBorders>
              <w:bottom w:val="single" w:sz="4" w:space="0" w:color="auto"/>
            </w:tcBorders>
            <w:vAlign w:val="bottom"/>
          </w:tcPr>
          <w:p w14:paraId="28A23915"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bCs/>
                <w:spacing w:val="-2"/>
                <w:sz w:val="18"/>
                <w:szCs w:val="20"/>
                <w:lang w:val="ru-RU" w:eastAsia="ru-RU"/>
              </w:rPr>
            </w:pPr>
            <w:r w:rsidRPr="00A90FED">
              <w:rPr>
                <w:rFonts w:ascii="Arial" w:eastAsia="Times New Roman" w:hAnsi="Arial" w:cs="Arial"/>
                <w:b/>
                <w:bCs/>
                <w:spacing w:val="-2"/>
                <w:sz w:val="18"/>
                <w:szCs w:val="20"/>
                <w:lang w:val="ru-RU" w:eastAsia="ru-RU"/>
              </w:rPr>
              <w:t>2023</w:t>
            </w:r>
          </w:p>
        </w:tc>
      </w:tr>
      <w:tr w:rsidR="00A90FED" w:rsidRPr="00A90FED" w14:paraId="67DA8D8F" w14:textId="77777777" w:rsidTr="00A90FED">
        <w:trPr>
          <w:cantSplit/>
        </w:trPr>
        <w:tc>
          <w:tcPr>
            <w:tcW w:w="5977" w:type="dxa"/>
            <w:tcBorders>
              <w:top w:val="single" w:sz="4" w:space="0" w:color="auto"/>
            </w:tcBorders>
            <w:vAlign w:val="bottom"/>
          </w:tcPr>
          <w:p w14:paraId="02395166"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103" w:type="dxa"/>
            <w:tcBorders>
              <w:top w:val="single" w:sz="4" w:space="0" w:color="auto"/>
            </w:tcBorders>
            <w:vAlign w:val="bottom"/>
          </w:tcPr>
          <w:p w14:paraId="1B11119E" w14:textId="77777777" w:rsidR="00A90FED" w:rsidRPr="00A90FED" w:rsidRDefault="00A90FED" w:rsidP="00A90FED">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c>
          <w:tcPr>
            <w:tcW w:w="1293" w:type="dxa"/>
            <w:tcBorders>
              <w:top w:val="single" w:sz="4" w:space="0" w:color="auto"/>
            </w:tcBorders>
            <w:vAlign w:val="bottom"/>
          </w:tcPr>
          <w:p w14:paraId="78DD9643" w14:textId="77777777" w:rsidR="00A90FED" w:rsidRPr="00A90FED" w:rsidRDefault="00A90FED" w:rsidP="00A90FED">
            <w:pPr>
              <w:widowControl w:val="0"/>
              <w:autoSpaceDE w:val="0"/>
              <w:autoSpaceDN w:val="0"/>
              <w:adjustRightInd w:val="0"/>
              <w:spacing w:after="0" w:line="240" w:lineRule="auto"/>
              <w:jc w:val="center"/>
              <w:rPr>
                <w:rFonts w:ascii="Arial" w:eastAsia="Times New Roman" w:hAnsi="Arial" w:cs="Arial"/>
                <w:spacing w:val="-2"/>
                <w:sz w:val="10"/>
                <w:szCs w:val="10"/>
                <w:lang w:eastAsia="ru-RU"/>
              </w:rPr>
            </w:pPr>
          </w:p>
        </w:tc>
      </w:tr>
      <w:tr w:rsidR="00A90FED" w:rsidRPr="00A90FED" w14:paraId="1871A329" w14:textId="77777777" w:rsidTr="00A90FED">
        <w:trPr>
          <w:cantSplit/>
        </w:trPr>
        <w:tc>
          <w:tcPr>
            <w:tcW w:w="5977" w:type="dxa"/>
            <w:vAlign w:val="bottom"/>
          </w:tcPr>
          <w:p w14:paraId="4675A5A7"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i/>
                <w:spacing w:val="-2"/>
                <w:sz w:val="18"/>
                <w:szCs w:val="18"/>
                <w:lang w:eastAsia="ru-RU"/>
              </w:rPr>
            </w:pPr>
            <w:r w:rsidRPr="00A90FED">
              <w:rPr>
                <w:rFonts w:ascii="Arial" w:eastAsia="Times New Roman" w:hAnsi="Arial" w:cs="Arial"/>
                <w:b/>
                <w:i/>
                <w:spacing w:val="-2"/>
                <w:sz w:val="18"/>
                <w:szCs w:val="18"/>
                <w:lang w:eastAsia="ru-RU"/>
              </w:rPr>
              <w:t>Cash flows from operating activities</w:t>
            </w:r>
          </w:p>
        </w:tc>
        <w:tc>
          <w:tcPr>
            <w:tcW w:w="2103" w:type="dxa"/>
            <w:vAlign w:val="bottom"/>
          </w:tcPr>
          <w:p w14:paraId="60354FA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1293" w:type="dxa"/>
            <w:vAlign w:val="bottom"/>
          </w:tcPr>
          <w:p w14:paraId="783EB34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r>
      <w:tr w:rsidR="00A90FED" w:rsidRPr="00A90FED" w14:paraId="6534D873" w14:textId="77777777" w:rsidTr="00A90FED">
        <w:trPr>
          <w:cantSplit/>
        </w:trPr>
        <w:tc>
          <w:tcPr>
            <w:tcW w:w="5977" w:type="dxa"/>
            <w:vAlign w:val="bottom"/>
          </w:tcPr>
          <w:p w14:paraId="5A8D1E0E"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Operating profit</w:t>
            </w:r>
          </w:p>
        </w:tc>
        <w:tc>
          <w:tcPr>
            <w:tcW w:w="2103" w:type="dxa"/>
            <w:shd w:val="clear" w:color="auto" w:fill="auto"/>
            <w:vAlign w:val="bottom"/>
          </w:tcPr>
          <w:p w14:paraId="53B8D40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20"/>
                <w:lang w:val="en-US" w:eastAsia="ru-RU"/>
              </w:rPr>
              <w:t>140,459</w:t>
            </w:r>
          </w:p>
        </w:tc>
        <w:tc>
          <w:tcPr>
            <w:tcW w:w="1293" w:type="dxa"/>
            <w:vAlign w:val="bottom"/>
          </w:tcPr>
          <w:p w14:paraId="74AB2845"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150,756</w:t>
            </w:r>
          </w:p>
        </w:tc>
      </w:tr>
      <w:tr w:rsidR="00A90FED" w:rsidRPr="00A90FED" w14:paraId="6CD18B65" w14:textId="77777777" w:rsidTr="00A90FED">
        <w:trPr>
          <w:cantSplit/>
        </w:trPr>
        <w:tc>
          <w:tcPr>
            <w:tcW w:w="5977" w:type="dxa"/>
            <w:vAlign w:val="bottom"/>
          </w:tcPr>
          <w:p w14:paraId="37609782"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i/>
                <w:iCs/>
                <w:spacing w:val="-2"/>
                <w:sz w:val="18"/>
                <w:szCs w:val="18"/>
                <w:lang w:val="ru-RU" w:eastAsia="ru-RU"/>
              </w:rPr>
            </w:pPr>
            <w:r w:rsidRPr="00A90FED">
              <w:rPr>
                <w:rFonts w:ascii="Arial" w:eastAsia="Times New Roman" w:hAnsi="Arial" w:cs="Arial"/>
                <w:i/>
                <w:iCs/>
                <w:spacing w:val="-2"/>
                <w:sz w:val="18"/>
                <w:szCs w:val="18"/>
                <w:lang w:eastAsia="ru-RU"/>
              </w:rPr>
              <w:t>Adjustments for:</w:t>
            </w:r>
          </w:p>
        </w:tc>
        <w:tc>
          <w:tcPr>
            <w:tcW w:w="2103" w:type="dxa"/>
            <w:shd w:val="clear" w:color="auto" w:fill="auto"/>
            <w:vAlign w:val="bottom"/>
          </w:tcPr>
          <w:p w14:paraId="3461FD7F"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1293" w:type="dxa"/>
            <w:vAlign w:val="bottom"/>
          </w:tcPr>
          <w:p w14:paraId="2E46CA74"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r>
      <w:tr w:rsidR="00A90FED" w:rsidRPr="00A90FED" w14:paraId="0A9719BB" w14:textId="77777777" w:rsidTr="00A90FED">
        <w:trPr>
          <w:cantSplit/>
        </w:trPr>
        <w:tc>
          <w:tcPr>
            <w:tcW w:w="5977" w:type="dxa"/>
            <w:vAlign w:val="bottom"/>
          </w:tcPr>
          <w:p w14:paraId="3DDD97EE"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Depreciation and amortisation</w:t>
            </w:r>
          </w:p>
        </w:tc>
        <w:tc>
          <w:tcPr>
            <w:tcW w:w="2103" w:type="dxa"/>
            <w:shd w:val="clear" w:color="auto" w:fill="auto"/>
            <w:vAlign w:val="bottom"/>
          </w:tcPr>
          <w:p w14:paraId="01AA76F6"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20"/>
                <w:lang w:val="en-US" w:eastAsia="ru-RU"/>
              </w:rPr>
              <w:t>36,546</w:t>
            </w:r>
          </w:p>
        </w:tc>
        <w:tc>
          <w:tcPr>
            <w:tcW w:w="1293" w:type="dxa"/>
            <w:vAlign w:val="bottom"/>
          </w:tcPr>
          <w:p w14:paraId="03A2760A"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32,282</w:t>
            </w:r>
          </w:p>
        </w:tc>
      </w:tr>
      <w:tr w:rsidR="00A90FED" w:rsidRPr="00A90FED" w14:paraId="7E9662C3" w14:textId="77777777" w:rsidTr="00A90FED">
        <w:trPr>
          <w:cantSplit/>
        </w:trPr>
        <w:tc>
          <w:tcPr>
            <w:tcW w:w="5977" w:type="dxa"/>
            <w:vAlign w:val="bottom"/>
          </w:tcPr>
          <w:p w14:paraId="61C2D8F7"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(Gain)/loss on disposal of property, plant and equipment and intangible assets</w:t>
            </w:r>
          </w:p>
        </w:tc>
        <w:tc>
          <w:tcPr>
            <w:tcW w:w="2103" w:type="dxa"/>
            <w:shd w:val="clear" w:color="auto" w:fill="auto"/>
            <w:vAlign w:val="bottom"/>
          </w:tcPr>
          <w:p w14:paraId="2682A7AC"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20"/>
                <w:lang w:val="en-US" w:eastAsia="ru-RU"/>
              </w:rPr>
              <w:t>(70)</w:t>
            </w:r>
          </w:p>
        </w:tc>
        <w:tc>
          <w:tcPr>
            <w:tcW w:w="1293" w:type="dxa"/>
            <w:vAlign w:val="bottom"/>
          </w:tcPr>
          <w:p w14:paraId="7D674A3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365</w:t>
            </w:r>
          </w:p>
        </w:tc>
      </w:tr>
      <w:tr w:rsidR="00A90FED" w:rsidRPr="00A90FED" w14:paraId="71F1B8AE" w14:textId="77777777" w:rsidTr="00A90FED">
        <w:trPr>
          <w:cantSplit/>
        </w:trPr>
        <w:tc>
          <w:tcPr>
            <w:tcW w:w="5977" w:type="dxa"/>
            <w:tcBorders>
              <w:bottom w:val="single" w:sz="4" w:space="0" w:color="auto"/>
            </w:tcBorders>
            <w:vAlign w:val="bottom"/>
          </w:tcPr>
          <w:p w14:paraId="6A57C3C1"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103" w:type="dxa"/>
            <w:tcBorders>
              <w:bottom w:val="single" w:sz="4" w:space="0" w:color="auto"/>
            </w:tcBorders>
            <w:shd w:val="clear" w:color="auto" w:fill="auto"/>
            <w:vAlign w:val="bottom"/>
          </w:tcPr>
          <w:p w14:paraId="77B3DDAF"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93" w:type="dxa"/>
            <w:tcBorders>
              <w:bottom w:val="single" w:sz="4" w:space="0" w:color="auto"/>
            </w:tcBorders>
            <w:vAlign w:val="bottom"/>
          </w:tcPr>
          <w:p w14:paraId="4A4C7357"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A90FED" w:rsidRPr="00A90FED" w14:paraId="5AA9E082" w14:textId="77777777" w:rsidTr="00A90FED">
        <w:trPr>
          <w:cantSplit/>
        </w:trPr>
        <w:tc>
          <w:tcPr>
            <w:tcW w:w="5977" w:type="dxa"/>
            <w:tcBorders>
              <w:top w:val="single" w:sz="4" w:space="0" w:color="auto"/>
            </w:tcBorders>
            <w:vAlign w:val="bottom"/>
          </w:tcPr>
          <w:p w14:paraId="6146D083"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103" w:type="dxa"/>
            <w:tcBorders>
              <w:top w:val="single" w:sz="4" w:space="0" w:color="auto"/>
            </w:tcBorders>
            <w:shd w:val="clear" w:color="auto" w:fill="auto"/>
            <w:vAlign w:val="bottom"/>
          </w:tcPr>
          <w:p w14:paraId="23A8265B"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93" w:type="dxa"/>
            <w:tcBorders>
              <w:top w:val="single" w:sz="4" w:space="0" w:color="auto"/>
            </w:tcBorders>
            <w:vAlign w:val="bottom"/>
          </w:tcPr>
          <w:p w14:paraId="04D42C0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A90FED" w:rsidRPr="00A90FED" w14:paraId="3D84D8F1" w14:textId="77777777" w:rsidTr="00A90FED">
        <w:trPr>
          <w:cantSplit/>
          <w:trHeight w:val="108"/>
        </w:trPr>
        <w:tc>
          <w:tcPr>
            <w:tcW w:w="5977" w:type="dxa"/>
            <w:vAlign w:val="bottom"/>
          </w:tcPr>
          <w:p w14:paraId="4216BE82"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8"/>
                <w:szCs w:val="18"/>
                <w:lang w:val="en-US" w:eastAsia="ru-RU"/>
              </w:rPr>
            </w:pPr>
            <w:r w:rsidRPr="00A90FED">
              <w:rPr>
                <w:rFonts w:ascii="Arial" w:eastAsia="Times New Roman" w:hAnsi="Arial" w:cs="Arial"/>
                <w:b/>
                <w:spacing w:val="-2"/>
                <w:sz w:val="18"/>
                <w:szCs w:val="18"/>
                <w:lang w:eastAsia="ru-RU"/>
              </w:rPr>
              <w:t xml:space="preserve">Cash flows from operations </w:t>
            </w:r>
            <w:proofErr w:type="spellStart"/>
            <w:r w:rsidRPr="00A90FED">
              <w:rPr>
                <w:rFonts w:ascii="Arial" w:eastAsia="Times New Roman" w:hAnsi="Arial" w:cs="Arial"/>
                <w:b/>
                <w:spacing w:val="-2"/>
                <w:sz w:val="18"/>
                <w:szCs w:val="18"/>
                <w:lang w:eastAsia="ru-RU"/>
              </w:rPr>
              <w:t>befor</w:t>
            </w:r>
            <w:proofErr w:type="spellEnd"/>
            <w:r w:rsidRPr="00A90FED">
              <w:rPr>
                <w:rFonts w:ascii="Arial" w:eastAsia="Times New Roman" w:hAnsi="Arial" w:cs="Arial"/>
                <w:b/>
                <w:spacing w:val="-2"/>
                <w:sz w:val="18"/>
                <w:szCs w:val="18"/>
                <w:lang w:val="en-US" w:eastAsia="ru-RU"/>
              </w:rPr>
              <w:t xml:space="preserve">e changes in working capital  </w:t>
            </w:r>
          </w:p>
        </w:tc>
        <w:tc>
          <w:tcPr>
            <w:tcW w:w="2103" w:type="dxa"/>
            <w:shd w:val="clear" w:color="auto" w:fill="auto"/>
            <w:vAlign w:val="bottom"/>
          </w:tcPr>
          <w:p w14:paraId="30AD627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A90FED">
              <w:rPr>
                <w:rFonts w:ascii="Arial" w:eastAsia="Times New Roman" w:hAnsi="Arial" w:cs="Arial"/>
                <w:b/>
                <w:spacing w:val="-2"/>
                <w:sz w:val="18"/>
                <w:szCs w:val="20"/>
                <w:lang w:val="en-US" w:eastAsia="ru-RU"/>
              </w:rPr>
              <w:t>176,935</w:t>
            </w:r>
          </w:p>
        </w:tc>
        <w:tc>
          <w:tcPr>
            <w:tcW w:w="1293" w:type="dxa"/>
            <w:vAlign w:val="bottom"/>
          </w:tcPr>
          <w:p w14:paraId="06A6868F"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eastAsia="ru-RU"/>
              </w:rPr>
            </w:pPr>
            <w:r w:rsidRPr="00A90FED">
              <w:rPr>
                <w:rFonts w:ascii="Arial" w:eastAsia="Times New Roman" w:hAnsi="Arial" w:cs="Arial"/>
                <w:b/>
                <w:spacing w:val="-2"/>
                <w:sz w:val="18"/>
                <w:szCs w:val="20"/>
                <w:lang w:val="en-US" w:eastAsia="ru-RU"/>
              </w:rPr>
              <w:t>183,403</w:t>
            </w:r>
          </w:p>
        </w:tc>
      </w:tr>
      <w:tr w:rsidR="00A90FED" w:rsidRPr="00A90FED" w14:paraId="6D753A08" w14:textId="77777777" w:rsidTr="00A90FED">
        <w:trPr>
          <w:cantSplit/>
        </w:trPr>
        <w:tc>
          <w:tcPr>
            <w:tcW w:w="5977" w:type="dxa"/>
            <w:vAlign w:val="bottom"/>
          </w:tcPr>
          <w:p w14:paraId="2C8369D9" w14:textId="77777777" w:rsidR="00A90FED" w:rsidRPr="00A90FED" w:rsidRDefault="00A90FED" w:rsidP="00A90FED">
            <w:pPr>
              <w:widowControl w:val="0"/>
              <w:autoSpaceDE w:val="0"/>
              <w:autoSpaceDN w:val="0"/>
              <w:adjustRightInd w:val="0"/>
              <w:spacing w:after="0" w:line="240" w:lineRule="auto"/>
              <w:ind w:left="113"/>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 xml:space="preserve">(Increase)/decrease in trade and other </w:t>
            </w:r>
            <w:r w:rsidRPr="00A90FED">
              <w:rPr>
                <w:rFonts w:ascii="Arial" w:eastAsia="Times New Roman" w:hAnsi="Arial" w:cs="Arial"/>
                <w:spacing w:val="-2"/>
                <w:sz w:val="18"/>
                <w:szCs w:val="20"/>
                <w:lang w:eastAsia="ru-RU"/>
              </w:rPr>
              <w:t>receivables</w:t>
            </w:r>
            <w:r w:rsidRPr="00A90FED">
              <w:rPr>
                <w:rFonts w:ascii="Arial" w:eastAsia="Times New Roman" w:hAnsi="Arial" w:cs="Arial"/>
                <w:spacing w:val="-2"/>
                <w:sz w:val="18"/>
                <w:szCs w:val="20"/>
                <w:vertAlign w:val="superscript"/>
                <w:lang w:val="en-US" w:eastAsia="en-US"/>
              </w:rPr>
              <w:t>1</w:t>
            </w:r>
          </w:p>
        </w:tc>
        <w:tc>
          <w:tcPr>
            <w:tcW w:w="2103" w:type="dxa"/>
            <w:shd w:val="clear" w:color="auto" w:fill="auto"/>
            <w:vAlign w:val="bottom"/>
          </w:tcPr>
          <w:p w14:paraId="01853A7C"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A90FED">
              <w:rPr>
                <w:rFonts w:ascii="Arial" w:eastAsia="Times New Roman" w:hAnsi="Arial" w:cs="Arial"/>
                <w:spacing w:val="-2"/>
                <w:sz w:val="18"/>
                <w:szCs w:val="20"/>
                <w:lang w:val="en-US" w:eastAsia="ru-RU"/>
              </w:rPr>
              <w:t>(45,712)</w:t>
            </w:r>
          </w:p>
        </w:tc>
        <w:tc>
          <w:tcPr>
            <w:tcW w:w="1293" w:type="dxa"/>
            <w:vAlign w:val="bottom"/>
          </w:tcPr>
          <w:p w14:paraId="6F21598C"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6,063</w:t>
            </w:r>
          </w:p>
        </w:tc>
      </w:tr>
      <w:tr w:rsidR="00A90FED" w:rsidRPr="00A90FED" w14:paraId="35E0B3B9" w14:textId="77777777" w:rsidTr="00A90FED">
        <w:trPr>
          <w:cantSplit/>
        </w:trPr>
        <w:tc>
          <w:tcPr>
            <w:tcW w:w="5977" w:type="dxa"/>
            <w:vAlign w:val="bottom"/>
          </w:tcPr>
          <w:p w14:paraId="4540391F" w14:textId="77777777" w:rsidR="00A90FED" w:rsidRPr="00A90FED" w:rsidRDefault="00A90FED" w:rsidP="00A90FED">
            <w:pPr>
              <w:widowControl w:val="0"/>
              <w:autoSpaceDE w:val="0"/>
              <w:autoSpaceDN w:val="0"/>
              <w:adjustRightInd w:val="0"/>
              <w:spacing w:after="0" w:line="240" w:lineRule="auto"/>
              <w:ind w:left="113"/>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 xml:space="preserve">Increase in inventories, </w:t>
            </w:r>
            <w:r w:rsidRPr="00A90FED">
              <w:rPr>
                <w:rFonts w:ascii="Arial" w:eastAsia="Times New Roman" w:hAnsi="Arial" w:cs="Arial"/>
                <w:spacing w:val="-2"/>
                <w:sz w:val="18"/>
                <w:szCs w:val="18"/>
                <w:lang w:val="en-US" w:eastAsia="en-US"/>
              </w:rPr>
              <w:t>catalysts and non-current spare parts</w:t>
            </w:r>
          </w:p>
        </w:tc>
        <w:tc>
          <w:tcPr>
            <w:tcW w:w="2103" w:type="dxa"/>
            <w:shd w:val="clear" w:color="auto" w:fill="auto"/>
            <w:vAlign w:val="bottom"/>
          </w:tcPr>
          <w:p w14:paraId="58352D39"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(13,263)</w:t>
            </w:r>
          </w:p>
        </w:tc>
        <w:tc>
          <w:tcPr>
            <w:tcW w:w="1293" w:type="dxa"/>
            <w:vAlign w:val="bottom"/>
          </w:tcPr>
          <w:p w14:paraId="0B14BE99"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(11,624)</w:t>
            </w:r>
          </w:p>
        </w:tc>
      </w:tr>
      <w:tr w:rsidR="00A90FED" w:rsidRPr="00A90FED" w14:paraId="5FB9CD14" w14:textId="77777777" w:rsidTr="00A90FED">
        <w:trPr>
          <w:cantSplit/>
        </w:trPr>
        <w:tc>
          <w:tcPr>
            <w:tcW w:w="5977" w:type="dxa"/>
            <w:vAlign w:val="bottom"/>
          </w:tcPr>
          <w:p w14:paraId="085B8645" w14:textId="77777777" w:rsidR="00A90FED" w:rsidRPr="00A90FED" w:rsidRDefault="00A90FED" w:rsidP="00A90FED">
            <w:pPr>
              <w:widowControl w:val="0"/>
              <w:autoSpaceDE w:val="0"/>
              <w:autoSpaceDN w:val="0"/>
              <w:adjustRightInd w:val="0"/>
              <w:spacing w:after="0" w:line="240" w:lineRule="auto"/>
              <w:ind w:left="113"/>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eastAsia="ru-RU"/>
              </w:rPr>
              <w:t xml:space="preserve">Increase/(decrease) in trade and other </w:t>
            </w:r>
            <w:r w:rsidRPr="00A90FED">
              <w:rPr>
                <w:rFonts w:ascii="Arial" w:eastAsia="Times New Roman" w:hAnsi="Arial" w:cs="Arial"/>
                <w:spacing w:val="-2"/>
                <w:sz w:val="18"/>
                <w:szCs w:val="20"/>
                <w:lang w:eastAsia="ru-RU"/>
              </w:rPr>
              <w:t>payables</w:t>
            </w:r>
            <w:r w:rsidRPr="00A90FED">
              <w:rPr>
                <w:rFonts w:ascii="Arial" w:eastAsia="Times New Roman" w:hAnsi="Arial" w:cs="Arial"/>
                <w:spacing w:val="-2"/>
                <w:sz w:val="18"/>
                <w:szCs w:val="20"/>
                <w:vertAlign w:val="superscript"/>
                <w:lang w:val="en-US" w:eastAsia="en-US"/>
              </w:rPr>
              <w:t>1</w:t>
            </w:r>
          </w:p>
        </w:tc>
        <w:tc>
          <w:tcPr>
            <w:tcW w:w="2103" w:type="dxa"/>
            <w:shd w:val="clear" w:color="auto" w:fill="auto"/>
            <w:vAlign w:val="bottom"/>
          </w:tcPr>
          <w:p w14:paraId="78D2292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A90FED">
              <w:rPr>
                <w:rFonts w:ascii="Arial" w:eastAsia="Times New Roman" w:hAnsi="Arial" w:cs="Arial"/>
                <w:spacing w:val="-2"/>
                <w:sz w:val="18"/>
                <w:szCs w:val="20"/>
                <w:lang w:val="en-US" w:eastAsia="ru-RU"/>
              </w:rPr>
              <w:t>10,380</w:t>
            </w:r>
          </w:p>
        </w:tc>
        <w:tc>
          <w:tcPr>
            <w:tcW w:w="1293" w:type="dxa"/>
            <w:vAlign w:val="bottom"/>
          </w:tcPr>
          <w:p w14:paraId="3181E84E"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(46)</w:t>
            </w:r>
          </w:p>
        </w:tc>
      </w:tr>
      <w:tr w:rsidR="00A90FED" w:rsidRPr="00A90FED" w14:paraId="6D6F38EA" w14:textId="77777777" w:rsidTr="00A90FED">
        <w:trPr>
          <w:cantSplit/>
        </w:trPr>
        <w:tc>
          <w:tcPr>
            <w:tcW w:w="5977" w:type="dxa"/>
            <w:tcBorders>
              <w:bottom w:val="single" w:sz="4" w:space="0" w:color="auto"/>
            </w:tcBorders>
            <w:vAlign w:val="bottom"/>
          </w:tcPr>
          <w:p w14:paraId="75FD62D0"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103" w:type="dxa"/>
            <w:tcBorders>
              <w:bottom w:val="single" w:sz="4" w:space="0" w:color="auto"/>
            </w:tcBorders>
            <w:shd w:val="clear" w:color="auto" w:fill="auto"/>
            <w:vAlign w:val="bottom"/>
          </w:tcPr>
          <w:p w14:paraId="57D330C4"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93" w:type="dxa"/>
            <w:tcBorders>
              <w:bottom w:val="single" w:sz="4" w:space="0" w:color="auto"/>
            </w:tcBorders>
            <w:vAlign w:val="bottom"/>
          </w:tcPr>
          <w:p w14:paraId="5C02AB37"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A90FED" w:rsidRPr="00A90FED" w14:paraId="601D9EF2" w14:textId="77777777" w:rsidTr="00A90FED">
        <w:trPr>
          <w:cantSplit/>
        </w:trPr>
        <w:tc>
          <w:tcPr>
            <w:tcW w:w="5977" w:type="dxa"/>
            <w:tcBorders>
              <w:top w:val="single" w:sz="4" w:space="0" w:color="auto"/>
            </w:tcBorders>
            <w:vAlign w:val="bottom"/>
          </w:tcPr>
          <w:p w14:paraId="5EE76457"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103" w:type="dxa"/>
            <w:tcBorders>
              <w:top w:val="single" w:sz="4" w:space="0" w:color="auto"/>
            </w:tcBorders>
            <w:shd w:val="clear" w:color="auto" w:fill="auto"/>
            <w:vAlign w:val="bottom"/>
          </w:tcPr>
          <w:p w14:paraId="3FA1E31F"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93" w:type="dxa"/>
            <w:tcBorders>
              <w:top w:val="single" w:sz="4" w:space="0" w:color="auto"/>
            </w:tcBorders>
            <w:vAlign w:val="bottom"/>
          </w:tcPr>
          <w:p w14:paraId="4092F06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A90FED" w:rsidRPr="00A90FED" w14:paraId="6B7E04EA" w14:textId="77777777" w:rsidTr="00A90FED">
        <w:trPr>
          <w:cantSplit/>
        </w:trPr>
        <w:tc>
          <w:tcPr>
            <w:tcW w:w="5977" w:type="dxa"/>
            <w:vAlign w:val="bottom"/>
          </w:tcPr>
          <w:p w14:paraId="6B678998"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A90FED">
              <w:rPr>
                <w:rFonts w:ascii="Arial" w:eastAsia="Times New Roman" w:hAnsi="Arial" w:cs="Arial"/>
                <w:b/>
                <w:spacing w:val="-2"/>
                <w:sz w:val="18"/>
                <w:szCs w:val="18"/>
                <w:lang w:eastAsia="ru-RU"/>
              </w:rPr>
              <w:t>Cash flows from operations before income tax and interest paid</w:t>
            </w:r>
          </w:p>
        </w:tc>
        <w:tc>
          <w:tcPr>
            <w:tcW w:w="2103" w:type="dxa"/>
            <w:shd w:val="clear" w:color="auto" w:fill="auto"/>
            <w:vAlign w:val="bottom"/>
          </w:tcPr>
          <w:p w14:paraId="41D3BFE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A90FED">
              <w:rPr>
                <w:rFonts w:ascii="Arial" w:eastAsia="Times New Roman" w:hAnsi="Arial" w:cs="Arial"/>
                <w:b/>
                <w:spacing w:val="-2"/>
                <w:sz w:val="18"/>
                <w:szCs w:val="20"/>
                <w:lang w:val="en-US" w:eastAsia="ru-RU"/>
              </w:rPr>
              <w:t>128,340</w:t>
            </w:r>
          </w:p>
        </w:tc>
        <w:tc>
          <w:tcPr>
            <w:tcW w:w="1293" w:type="dxa"/>
            <w:vAlign w:val="bottom"/>
          </w:tcPr>
          <w:p w14:paraId="7375064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eastAsia="ru-RU"/>
              </w:rPr>
            </w:pPr>
            <w:r w:rsidRPr="00A90FED">
              <w:rPr>
                <w:rFonts w:ascii="Arial" w:eastAsia="Times New Roman" w:hAnsi="Arial" w:cs="Arial"/>
                <w:b/>
                <w:spacing w:val="-2"/>
                <w:sz w:val="18"/>
                <w:szCs w:val="20"/>
                <w:lang w:val="en-US" w:eastAsia="ru-RU"/>
              </w:rPr>
              <w:t>177,796</w:t>
            </w:r>
          </w:p>
        </w:tc>
      </w:tr>
      <w:tr w:rsidR="00A90FED" w:rsidRPr="00A90FED" w14:paraId="018A4E18" w14:textId="77777777" w:rsidTr="00A90FED">
        <w:trPr>
          <w:cantSplit/>
        </w:trPr>
        <w:tc>
          <w:tcPr>
            <w:tcW w:w="5977" w:type="dxa"/>
            <w:vAlign w:val="bottom"/>
          </w:tcPr>
          <w:p w14:paraId="5C8F776C"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Income tax paid</w:t>
            </w:r>
          </w:p>
        </w:tc>
        <w:tc>
          <w:tcPr>
            <w:tcW w:w="2103" w:type="dxa"/>
            <w:shd w:val="clear" w:color="auto" w:fill="auto"/>
            <w:vAlign w:val="bottom"/>
          </w:tcPr>
          <w:p w14:paraId="268DC643"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20"/>
                <w:lang w:val="en-US" w:eastAsia="ru-RU"/>
              </w:rPr>
              <w:t>(20,953)</w:t>
            </w:r>
          </w:p>
        </w:tc>
        <w:tc>
          <w:tcPr>
            <w:tcW w:w="1293" w:type="dxa"/>
            <w:vAlign w:val="bottom"/>
          </w:tcPr>
          <w:p w14:paraId="27FBCA3D"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20"/>
                <w:lang w:val="en-US" w:eastAsia="ru-RU"/>
              </w:rPr>
              <w:t>(29,777)</w:t>
            </w:r>
          </w:p>
        </w:tc>
      </w:tr>
      <w:tr w:rsidR="00A90FED" w:rsidRPr="00A90FED" w14:paraId="30B84C85" w14:textId="77777777" w:rsidTr="00A90FED">
        <w:trPr>
          <w:cantSplit/>
        </w:trPr>
        <w:tc>
          <w:tcPr>
            <w:tcW w:w="5977" w:type="dxa"/>
            <w:vAlign w:val="bottom"/>
          </w:tcPr>
          <w:p w14:paraId="31E2B095"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Finance costs paid</w:t>
            </w:r>
          </w:p>
        </w:tc>
        <w:tc>
          <w:tcPr>
            <w:tcW w:w="2103" w:type="dxa"/>
            <w:shd w:val="clear" w:color="auto" w:fill="auto"/>
            <w:vAlign w:val="bottom"/>
          </w:tcPr>
          <w:p w14:paraId="04A246A5"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(14,670)</w:t>
            </w:r>
          </w:p>
        </w:tc>
        <w:tc>
          <w:tcPr>
            <w:tcW w:w="1293" w:type="dxa"/>
            <w:vAlign w:val="bottom"/>
          </w:tcPr>
          <w:p w14:paraId="607CD9B1"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(7,378)</w:t>
            </w:r>
          </w:p>
        </w:tc>
      </w:tr>
      <w:tr w:rsidR="00A90FED" w:rsidRPr="00A90FED" w14:paraId="3E052225" w14:textId="77777777" w:rsidTr="00A90FED">
        <w:trPr>
          <w:cantSplit/>
        </w:trPr>
        <w:tc>
          <w:tcPr>
            <w:tcW w:w="5977" w:type="dxa"/>
            <w:vAlign w:val="bottom"/>
          </w:tcPr>
          <w:p w14:paraId="295C4F67"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val="en-US" w:eastAsia="ru-RU"/>
              </w:rPr>
              <w:t>W</w:t>
            </w:r>
            <w:proofErr w:type="spellStart"/>
            <w:r w:rsidRPr="00A90FED">
              <w:rPr>
                <w:rFonts w:ascii="Arial" w:eastAsia="Times New Roman" w:hAnsi="Arial" w:cs="Arial"/>
                <w:spacing w:val="-2"/>
                <w:sz w:val="18"/>
                <w:szCs w:val="18"/>
                <w:lang w:eastAsia="ru-RU"/>
              </w:rPr>
              <w:t>indfall</w:t>
            </w:r>
            <w:proofErr w:type="spellEnd"/>
            <w:r w:rsidRPr="00A90FED">
              <w:rPr>
                <w:rFonts w:ascii="Arial" w:eastAsia="Times New Roman" w:hAnsi="Arial" w:cs="Arial"/>
                <w:spacing w:val="-2"/>
                <w:sz w:val="18"/>
                <w:szCs w:val="18"/>
                <w:lang w:eastAsia="ru-RU"/>
              </w:rPr>
              <w:t xml:space="preserve"> tax security payment</w:t>
            </w:r>
          </w:p>
        </w:tc>
        <w:tc>
          <w:tcPr>
            <w:tcW w:w="2103" w:type="dxa"/>
            <w:shd w:val="clear" w:color="auto" w:fill="auto"/>
            <w:vAlign w:val="bottom"/>
          </w:tcPr>
          <w:p w14:paraId="34F82491"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20"/>
                <w:lang w:val="en-US" w:eastAsia="ru-RU"/>
              </w:rPr>
              <w:t>-</w:t>
            </w:r>
          </w:p>
        </w:tc>
        <w:tc>
          <w:tcPr>
            <w:tcW w:w="1293" w:type="dxa"/>
            <w:vAlign w:val="bottom"/>
          </w:tcPr>
          <w:p w14:paraId="2E9FA837"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ru-RU" w:eastAsia="ru-RU"/>
              </w:rPr>
            </w:pPr>
            <w:r w:rsidRPr="00A90FED">
              <w:rPr>
                <w:rFonts w:ascii="Arial" w:eastAsia="Times New Roman" w:hAnsi="Arial" w:cs="Arial"/>
                <w:spacing w:val="-2"/>
                <w:sz w:val="18"/>
                <w:szCs w:val="20"/>
                <w:lang w:val="en-US" w:eastAsia="ru-RU"/>
              </w:rPr>
              <w:t>(6,355)</w:t>
            </w:r>
          </w:p>
        </w:tc>
      </w:tr>
      <w:tr w:rsidR="00A90FED" w:rsidRPr="00A90FED" w14:paraId="4296D383" w14:textId="77777777" w:rsidTr="00A90FED">
        <w:trPr>
          <w:cantSplit/>
        </w:trPr>
        <w:tc>
          <w:tcPr>
            <w:tcW w:w="5977" w:type="dxa"/>
            <w:tcBorders>
              <w:bottom w:val="single" w:sz="4" w:space="0" w:color="auto"/>
            </w:tcBorders>
            <w:vAlign w:val="bottom"/>
          </w:tcPr>
          <w:p w14:paraId="65FBA8F3"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103" w:type="dxa"/>
            <w:tcBorders>
              <w:bottom w:val="single" w:sz="4" w:space="0" w:color="auto"/>
            </w:tcBorders>
            <w:shd w:val="clear" w:color="auto" w:fill="auto"/>
            <w:vAlign w:val="bottom"/>
          </w:tcPr>
          <w:p w14:paraId="0576A0F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93" w:type="dxa"/>
            <w:tcBorders>
              <w:bottom w:val="single" w:sz="4" w:space="0" w:color="auto"/>
            </w:tcBorders>
            <w:vAlign w:val="bottom"/>
          </w:tcPr>
          <w:p w14:paraId="330ADB96"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A90FED" w:rsidRPr="00A90FED" w14:paraId="349CDBE5" w14:textId="77777777" w:rsidTr="00A90FED">
        <w:trPr>
          <w:cantSplit/>
        </w:trPr>
        <w:tc>
          <w:tcPr>
            <w:tcW w:w="5977" w:type="dxa"/>
            <w:tcBorders>
              <w:top w:val="single" w:sz="4" w:space="0" w:color="auto"/>
            </w:tcBorders>
            <w:vAlign w:val="bottom"/>
          </w:tcPr>
          <w:p w14:paraId="2F3D24DE"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103" w:type="dxa"/>
            <w:tcBorders>
              <w:top w:val="single" w:sz="4" w:space="0" w:color="auto"/>
            </w:tcBorders>
            <w:shd w:val="clear" w:color="auto" w:fill="auto"/>
            <w:vAlign w:val="bottom"/>
          </w:tcPr>
          <w:p w14:paraId="6540CCC0"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93" w:type="dxa"/>
            <w:tcBorders>
              <w:top w:val="single" w:sz="4" w:space="0" w:color="auto"/>
            </w:tcBorders>
            <w:vAlign w:val="bottom"/>
          </w:tcPr>
          <w:p w14:paraId="01FBD166"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A90FED" w:rsidRPr="00A90FED" w14:paraId="0E1E3139" w14:textId="77777777" w:rsidTr="00A90FED">
        <w:trPr>
          <w:cantSplit/>
        </w:trPr>
        <w:tc>
          <w:tcPr>
            <w:tcW w:w="5977" w:type="dxa"/>
            <w:vAlign w:val="bottom"/>
          </w:tcPr>
          <w:p w14:paraId="00ACAF9F"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b/>
                <w:spacing w:val="-2"/>
                <w:sz w:val="18"/>
                <w:szCs w:val="18"/>
                <w:lang w:eastAsia="ru-RU"/>
              </w:rPr>
              <w:t>Cash flows from operating activities</w:t>
            </w:r>
          </w:p>
        </w:tc>
        <w:tc>
          <w:tcPr>
            <w:tcW w:w="2103" w:type="dxa"/>
            <w:shd w:val="clear" w:color="auto" w:fill="auto"/>
            <w:vAlign w:val="bottom"/>
          </w:tcPr>
          <w:p w14:paraId="79F97EA6"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A90FED">
              <w:rPr>
                <w:rFonts w:ascii="Arial" w:eastAsia="Times New Roman" w:hAnsi="Arial" w:cs="Arial"/>
                <w:b/>
                <w:spacing w:val="-2"/>
                <w:sz w:val="18"/>
                <w:szCs w:val="20"/>
                <w:lang w:val="en-US" w:eastAsia="ru-RU"/>
              </w:rPr>
              <w:t>92,717</w:t>
            </w:r>
          </w:p>
        </w:tc>
        <w:tc>
          <w:tcPr>
            <w:tcW w:w="1293" w:type="dxa"/>
            <w:vAlign w:val="bottom"/>
          </w:tcPr>
          <w:p w14:paraId="737C999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eastAsia="ru-RU"/>
              </w:rPr>
            </w:pPr>
            <w:r w:rsidRPr="00A90FED">
              <w:rPr>
                <w:rFonts w:ascii="Arial" w:eastAsia="Times New Roman" w:hAnsi="Arial" w:cs="Arial"/>
                <w:b/>
                <w:spacing w:val="-2"/>
                <w:sz w:val="18"/>
                <w:szCs w:val="20"/>
                <w:lang w:val="en-US" w:eastAsia="ru-RU"/>
              </w:rPr>
              <w:t>134,286</w:t>
            </w:r>
          </w:p>
        </w:tc>
      </w:tr>
      <w:tr w:rsidR="00A90FED" w:rsidRPr="00A90FED" w14:paraId="70E8EAA6" w14:textId="77777777" w:rsidTr="00A90FED">
        <w:trPr>
          <w:cantSplit/>
        </w:trPr>
        <w:tc>
          <w:tcPr>
            <w:tcW w:w="5977" w:type="dxa"/>
            <w:tcBorders>
              <w:bottom w:val="single" w:sz="4" w:space="0" w:color="auto"/>
            </w:tcBorders>
            <w:vAlign w:val="bottom"/>
          </w:tcPr>
          <w:p w14:paraId="3752FDB2"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A90FED">
              <w:rPr>
                <w:rFonts w:ascii="Arial" w:eastAsia="Times New Roman" w:hAnsi="Arial" w:cs="Arial"/>
                <w:b/>
                <w:spacing w:val="-2"/>
                <w:sz w:val="10"/>
                <w:szCs w:val="10"/>
                <w:lang w:eastAsia="ru-RU"/>
              </w:rPr>
              <w:t> </w:t>
            </w:r>
          </w:p>
        </w:tc>
        <w:tc>
          <w:tcPr>
            <w:tcW w:w="2103" w:type="dxa"/>
            <w:tcBorders>
              <w:bottom w:val="single" w:sz="4" w:space="0" w:color="auto"/>
            </w:tcBorders>
            <w:shd w:val="clear" w:color="auto" w:fill="auto"/>
            <w:vAlign w:val="bottom"/>
          </w:tcPr>
          <w:p w14:paraId="4ED89375"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c>
          <w:tcPr>
            <w:tcW w:w="1293" w:type="dxa"/>
            <w:tcBorders>
              <w:bottom w:val="single" w:sz="4" w:space="0" w:color="auto"/>
            </w:tcBorders>
            <w:vAlign w:val="bottom"/>
          </w:tcPr>
          <w:p w14:paraId="659DC705"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r>
      <w:tr w:rsidR="00A90FED" w:rsidRPr="00A90FED" w14:paraId="25A08D75" w14:textId="77777777" w:rsidTr="00A90FED">
        <w:trPr>
          <w:cantSplit/>
        </w:trPr>
        <w:tc>
          <w:tcPr>
            <w:tcW w:w="5977" w:type="dxa"/>
            <w:tcBorders>
              <w:top w:val="single" w:sz="4" w:space="0" w:color="auto"/>
            </w:tcBorders>
            <w:vAlign w:val="bottom"/>
          </w:tcPr>
          <w:p w14:paraId="327EC85C"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103" w:type="dxa"/>
            <w:tcBorders>
              <w:top w:val="single" w:sz="4" w:space="0" w:color="auto"/>
            </w:tcBorders>
            <w:shd w:val="clear" w:color="auto" w:fill="auto"/>
            <w:vAlign w:val="bottom"/>
          </w:tcPr>
          <w:p w14:paraId="5BB3C2D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1293" w:type="dxa"/>
            <w:tcBorders>
              <w:top w:val="single" w:sz="4" w:space="0" w:color="auto"/>
            </w:tcBorders>
            <w:vAlign w:val="bottom"/>
          </w:tcPr>
          <w:p w14:paraId="1A46B52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A90FED" w:rsidRPr="00A90FED" w14:paraId="09BA27D5" w14:textId="77777777" w:rsidTr="00A90FED">
        <w:trPr>
          <w:cantSplit/>
        </w:trPr>
        <w:tc>
          <w:tcPr>
            <w:tcW w:w="5977" w:type="dxa"/>
            <w:vAlign w:val="bottom"/>
          </w:tcPr>
          <w:p w14:paraId="1B5F97C0"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b/>
                <w:i/>
                <w:spacing w:val="-2"/>
                <w:sz w:val="18"/>
                <w:szCs w:val="18"/>
                <w:lang w:eastAsia="ru-RU"/>
              </w:rPr>
              <w:t>Cash flows from investing activities</w:t>
            </w:r>
          </w:p>
        </w:tc>
        <w:tc>
          <w:tcPr>
            <w:tcW w:w="2103" w:type="dxa"/>
            <w:shd w:val="clear" w:color="auto" w:fill="auto"/>
            <w:vAlign w:val="bottom"/>
          </w:tcPr>
          <w:p w14:paraId="5B09A237"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1293" w:type="dxa"/>
            <w:vAlign w:val="bottom"/>
          </w:tcPr>
          <w:p w14:paraId="1BA0FA97"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r>
      <w:tr w:rsidR="00A90FED" w:rsidRPr="00A90FED" w14:paraId="5D9B17D3" w14:textId="77777777" w:rsidTr="00A90FED">
        <w:trPr>
          <w:cantSplit/>
        </w:trPr>
        <w:tc>
          <w:tcPr>
            <w:tcW w:w="5977" w:type="dxa"/>
            <w:vAlign w:val="bottom"/>
          </w:tcPr>
          <w:p w14:paraId="4596D9F7"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val="en-US" w:eastAsia="ru-RU"/>
              </w:rPr>
              <w:t>Finance income</w:t>
            </w:r>
          </w:p>
        </w:tc>
        <w:tc>
          <w:tcPr>
            <w:tcW w:w="2103" w:type="dxa"/>
            <w:shd w:val="clear" w:color="auto" w:fill="auto"/>
            <w:vAlign w:val="bottom"/>
          </w:tcPr>
          <w:p w14:paraId="4AC7A751"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4,958</w:t>
            </w:r>
          </w:p>
        </w:tc>
        <w:tc>
          <w:tcPr>
            <w:tcW w:w="1293" w:type="dxa"/>
            <w:vAlign w:val="bottom"/>
          </w:tcPr>
          <w:p w14:paraId="686AA07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2,000</w:t>
            </w:r>
          </w:p>
        </w:tc>
      </w:tr>
      <w:tr w:rsidR="00A90FED" w:rsidRPr="00A90FED" w14:paraId="21DAA6D3" w14:textId="77777777" w:rsidTr="00A90FED">
        <w:trPr>
          <w:cantSplit/>
        </w:trPr>
        <w:tc>
          <w:tcPr>
            <w:tcW w:w="5977" w:type="dxa"/>
            <w:vAlign w:val="bottom"/>
          </w:tcPr>
          <w:p w14:paraId="21EDD9A3"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eastAsia="ru-RU"/>
              </w:rPr>
              <w:t>Acquisition of property, plant and equipment and intangible assets</w:t>
            </w:r>
          </w:p>
        </w:tc>
        <w:tc>
          <w:tcPr>
            <w:tcW w:w="2103" w:type="dxa"/>
            <w:shd w:val="clear" w:color="auto" w:fill="auto"/>
            <w:vAlign w:val="bottom"/>
          </w:tcPr>
          <w:p w14:paraId="22438BD7"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(75,152)</w:t>
            </w:r>
          </w:p>
        </w:tc>
        <w:tc>
          <w:tcPr>
            <w:tcW w:w="1293" w:type="dxa"/>
            <w:vAlign w:val="bottom"/>
          </w:tcPr>
          <w:p w14:paraId="14587DB1"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(64,232)</w:t>
            </w:r>
          </w:p>
        </w:tc>
      </w:tr>
      <w:tr w:rsidR="00A90FED" w:rsidRPr="00A90FED" w14:paraId="3428A800" w14:textId="77777777" w:rsidTr="00A90FED">
        <w:trPr>
          <w:cantSplit/>
        </w:trPr>
        <w:tc>
          <w:tcPr>
            <w:tcW w:w="5977" w:type="dxa"/>
            <w:vAlign w:val="bottom"/>
          </w:tcPr>
          <w:p w14:paraId="5C3EB6FB"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 xml:space="preserve">Borrowing cost </w:t>
            </w:r>
            <w:proofErr w:type="spellStart"/>
            <w:r w:rsidRPr="00A90FED">
              <w:rPr>
                <w:rFonts w:ascii="Arial" w:eastAsia="Times New Roman" w:hAnsi="Arial" w:cs="Arial"/>
                <w:spacing w:val="-2"/>
                <w:sz w:val="18"/>
                <w:szCs w:val="18"/>
                <w:lang w:val="en-US" w:eastAsia="ru-RU"/>
              </w:rPr>
              <w:t>capitalised</w:t>
            </w:r>
            <w:proofErr w:type="spellEnd"/>
            <w:r w:rsidRPr="00A90FED">
              <w:rPr>
                <w:rFonts w:ascii="Arial" w:eastAsia="Times New Roman" w:hAnsi="Arial" w:cs="Arial"/>
                <w:spacing w:val="-2"/>
                <w:sz w:val="18"/>
                <w:szCs w:val="18"/>
                <w:lang w:val="en-US" w:eastAsia="ru-RU"/>
              </w:rPr>
              <w:t xml:space="preserve"> paid</w:t>
            </w:r>
            <w:r w:rsidRPr="00A90FED">
              <w:rPr>
                <w:rFonts w:ascii="Arial" w:eastAsia="Times New Roman" w:hAnsi="Arial" w:cs="Arial"/>
                <w:spacing w:val="-2"/>
                <w:sz w:val="18"/>
                <w:szCs w:val="18"/>
                <w:lang w:eastAsia="ru-RU"/>
              </w:rPr>
              <w:t xml:space="preserve"> </w:t>
            </w:r>
          </w:p>
        </w:tc>
        <w:tc>
          <w:tcPr>
            <w:tcW w:w="2103" w:type="dxa"/>
            <w:shd w:val="clear" w:color="auto" w:fill="auto"/>
            <w:vAlign w:val="bottom"/>
          </w:tcPr>
          <w:p w14:paraId="7EBBCC6F"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(4,702)</w:t>
            </w:r>
          </w:p>
        </w:tc>
        <w:tc>
          <w:tcPr>
            <w:tcW w:w="1293" w:type="dxa"/>
            <w:vAlign w:val="bottom"/>
          </w:tcPr>
          <w:p w14:paraId="059EB23E"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(1,896)</w:t>
            </w:r>
          </w:p>
        </w:tc>
      </w:tr>
      <w:tr w:rsidR="00A90FED" w:rsidRPr="00A90FED" w14:paraId="325F7D01" w14:textId="77777777" w:rsidTr="00A90FED">
        <w:trPr>
          <w:cantSplit/>
        </w:trPr>
        <w:tc>
          <w:tcPr>
            <w:tcW w:w="5977" w:type="dxa"/>
            <w:vAlign w:val="bottom"/>
          </w:tcPr>
          <w:p w14:paraId="16C1D9AD"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eastAsia="ru-RU"/>
              </w:rPr>
              <w:t>Loans issued</w:t>
            </w:r>
          </w:p>
        </w:tc>
        <w:tc>
          <w:tcPr>
            <w:tcW w:w="2103" w:type="dxa"/>
            <w:shd w:val="clear" w:color="auto" w:fill="auto"/>
            <w:vAlign w:val="bottom"/>
          </w:tcPr>
          <w:p w14:paraId="1638839A"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(2,577)</w:t>
            </w:r>
          </w:p>
        </w:tc>
        <w:tc>
          <w:tcPr>
            <w:tcW w:w="1293" w:type="dxa"/>
            <w:vAlign w:val="bottom"/>
          </w:tcPr>
          <w:p w14:paraId="111D76B3"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A90FED">
              <w:rPr>
                <w:rFonts w:ascii="Arial" w:eastAsia="Times New Roman" w:hAnsi="Arial" w:cs="Arial"/>
                <w:spacing w:val="-2"/>
                <w:sz w:val="18"/>
                <w:szCs w:val="20"/>
                <w:lang w:val="en-US" w:eastAsia="ru-RU"/>
              </w:rPr>
              <w:t>43</w:t>
            </w:r>
          </w:p>
        </w:tc>
      </w:tr>
      <w:tr w:rsidR="00A90FED" w:rsidRPr="00A90FED" w14:paraId="18C832FD" w14:textId="77777777" w:rsidTr="00A90FED">
        <w:trPr>
          <w:cantSplit/>
        </w:trPr>
        <w:tc>
          <w:tcPr>
            <w:tcW w:w="5977" w:type="dxa"/>
            <w:vAlign w:val="bottom"/>
          </w:tcPr>
          <w:p w14:paraId="144B7040"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val="en-US" w:eastAsia="ru-RU"/>
              </w:rPr>
              <w:t xml:space="preserve">Advances issued for right-of-use assets </w:t>
            </w:r>
          </w:p>
        </w:tc>
        <w:tc>
          <w:tcPr>
            <w:tcW w:w="2103" w:type="dxa"/>
            <w:shd w:val="clear" w:color="auto" w:fill="auto"/>
            <w:vAlign w:val="bottom"/>
          </w:tcPr>
          <w:p w14:paraId="715C6C6C"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A90FED">
              <w:rPr>
                <w:rFonts w:ascii="Arial" w:eastAsia="Times New Roman" w:hAnsi="Arial" w:cs="Arial"/>
                <w:spacing w:val="-2"/>
                <w:sz w:val="18"/>
                <w:szCs w:val="20"/>
                <w:lang w:val="en-US" w:eastAsia="ru-RU"/>
              </w:rPr>
              <w:t>(136)</w:t>
            </w:r>
          </w:p>
        </w:tc>
        <w:tc>
          <w:tcPr>
            <w:tcW w:w="1293" w:type="dxa"/>
            <w:vAlign w:val="bottom"/>
          </w:tcPr>
          <w:p w14:paraId="01B85CAE"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(94)</w:t>
            </w:r>
          </w:p>
        </w:tc>
      </w:tr>
      <w:tr w:rsidR="00A90FED" w:rsidRPr="00A90FED" w14:paraId="0DA95BD2" w14:textId="77777777" w:rsidTr="00A90FED">
        <w:trPr>
          <w:cantSplit/>
        </w:trPr>
        <w:tc>
          <w:tcPr>
            <w:tcW w:w="5977" w:type="dxa"/>
            <w:vAlign w:val="bottom"/>
          </w:tcPr>
          <w:p w14:paraId="5358DB18"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A90FED">
              <w:rPr>
                <w:rFonts w:ascii="Arial" w:eastAsia="Times New Roman" w:hAnsi="Arial" w:cs="Arial"/>
                <w:spacing w:val="-2"/>
                <w:sz w:val="18"/>
                <w:szCs w:val="18"/>
                <w:lang w:eastAsia="ru-RU"/>
              </w:rPr>
              <w:t>Other</w:t>
            </w:r>
          </w:p>
        </w:tc>
        <w:tc>
          <w:tcPr>
            <w:tcW w:w="2103" w:type="dxa"/>
            <w:shd w:val="clear" w:color="auto" w:fill="auto"/>
            <w:vAlign w:val="bottom"/>
          </w:tcPr>
          <w:p w14:paraId="51637225"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13,878</w:t>
            </w:r>
          </w:p>
        </w:tc>
        <w:tc>
          <w:tcPr>
            <w:tcW w:w="1293" w:type="dxa"/>
            <w:vAlign w:val="bottom"/>
          </w:tcPr>
          <w:p w14:paraId="6F1EDA4B"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A90FED">
              <w:rPr>
                <w:rFonts w:ascii="Arial" w:eastAsia="Times New Roman" w:hAnsi="Arial" w:cs="Arial"/>
                <w:spacing w:val="-2"/>
                <w:sz w:val="18"/>
                <w:szCs w:val="20"/>
                <w:lang w:val="en-US" w:eastAsia="ru-RU"/>
              </w:rPr>
              <w:t>101</w:t>
            </w:r>
          </w:p>
        </w:tc>
      </w:tr>
      <w:tr w:rsidR="00A90FED" w:rsidRPr="00A90FED" w14:paraId="5232F45A" w14:textId="77777777" w:rsidTr="00A90FED">
        <w:trPr>
          <w:cantSplit/>
        </w:trPr>
        <w:tc>
          <w:tcPr>
            <w:tcW w:w="5977" w:type="dxa"/>
            <w:vAlign w:val="bottom"/>
          </w:tcPr>
          <w:p w14:paraId="35344269"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val="en-US" w:eastAsia="ru-RU"/>
              </w:rPr>
            </w:pPr>
          </w:p>
        </w:tc>
        <w:tc>
          <w:tcPr>
            <w:tcW w:w="2103" w:type="dxa"/>
            <w:shd w:val="clear" w:color="auto" w:fill="auto"/>
            <w:vAlign w:val="bottom"/>
          </w:tcPr>
          <w:p w14:paraId="4783959D"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p>
        </w:tc>
        <w:tc>
          <w:tcPr>
            <w:tcW w:w="1293" w:type="dxa"/>
            <w:vAlign w:val="bottom"/>
          </w:tcPr>
          <w:p w14:paraId="1E0F761D"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r>
      <w:tr w:rsidR="00A90FED" w:rsidRPr="00A90FED" w14:paraId="3282DEDF" w14:textId="77777777" w:rsidTr="00A90FED">
        <w:trPr>
          <w:cantSplit/>
        </w:trPr>
        <w:tc>
          <w:tcPr>
            <w:tcW w:w="5977" w:type="dxa"/>
            <w:tcBorders>
              <w:top w:val="single" w:sz="4" w:space="0" w:color="auto"/>
            </w:tcBorders>
            <w:vAlign w:val="bottom"/>
          </w:tcPr>
          <w:p w14:paraId="07D4F4EB"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103" w:type="dxa"/>
            <w:tcBorders>
              <w:top w:val="single" w:sz="4" w:space="0" w:color="auto"/>
            </w:tcBorders>
            <w:shd w:val="clear" w:color="auto" w:fill="auto"/>
            <w:vAlign w:val="bottom"/>
          </w:tcPr>
          <w:p w14:paraId="039A61A5"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1293" w:type="dxa"/>
            <w:tcBorders>
              <w:top w:val="single" w:sz="4" w:space="0" w:color="auto"/>
            </w:tcBorders>
            <w:vAlign w:val="bottom"/>
          </w:tcPr>
          <w:p w14:paraId="54A0A911"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A90FED" w:rsidRPr="00A90FED" w14:paraId="201C19EB" w14:textId="77777777" w:rsidTr="00A90FED">
        <w:trPr>
          <w:cantSplit/>
        </w:trPr>
        <w:tc>
          <w:tcPr>
            <w:tcW w:w="5977" w:type="dxa"/>
            <w:vAlign w:val="bottom"/>
          </w:tcPr>
          <w:p w14:paraId="61ACE7DA"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b/>
                <w:spacing w:val="-2"/>
                <w:sz w:val="18"/>
                <w:szCs w:val="18"/>
                <w:lang w:eastAsia="ru-RU"/>
              </w:rPr>
              <w:t>Cash flows used in investing activities</w:t>
            </w:r>
          </w:p>
        </w:tc>
        <w:tc>
          <w:tcPr>
            <w:tcW w:w="2103" w:type="dxa"/>
            <w:shd w:val="clear" w:color="auto" w:fill="auto"/>
            <w:vAlign w:val="bottom"/>
          </w:tcPr>
          <w:p w14:paraId="6FA15869"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0"/>
                <w:szCs w:val="10"/>
                <w:lang w:eastAsia="ru-RU"/>
              </w:rPr>
            </w:pPr>
            <w:r w:rsidRPr="00A90FED">
              <w:rPr>
                <w:rFonts w:ascii="Arial" w:eastAsia="Times New Roman" w:hAnsi="Arial" w:cs="Arial"/>
                <w:b/>
                <w:spacing w:val="-2"/>
                <w:sz w:val="18"/>
                <w:szCs w:val="20"/>
                <w:lang w:val="en-US" w:eastAsia="ru-RU"/>
              </w:rPr>
              <w:t>(63,731)</w:t>
            </w:r>
          </w:p>
        </w:tc>
        <w:tc>
          <w:tcPr>
            <w:tcW w:w="1293" w:type="dxa"/>
            <w:vAlign w:val="bottom"/>
          </w:tcPr>
          <w:p w14:paraId="1BC999C0"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0"/>
                <w:szCs w:val="10"/>
                <w:lang w:eastAsia="ru-RU"/>
              </w:rPr>
            </w:pPr>
            <w:r w:rsidRPr="00A90FED">
              <w:rPr>
                <w:rFonts w:ascii="Arial" w:eastAsia="Times New Roman" w:hAnsi="Arial" w:cs="Arial"/>
                <w:b/>
                <w:spacing w:val="-2"/>
                <w:sz w:val="18"/>
                <w:szCs w:val="20"/>
                <w:lang w:val="en-US" w:eastAsia="ru-RU"/>
              </w:rPr>
              <w:t>(64,078)</w:t>
            </w:r>
          </w:p>
        </w:tc>
      </w:tr>
      <w:tr w:rsidR="00A90FED" w:rsidRPr="00A90FED" w14:paraId="23CAE7FF" w14:textId="77777777" w:rsidTr="00A90FED">
        <w:trPr>
          <w:cantSplit/>
        </w:trPr>
        <w:tc>
          <w:tcPr>
            <w:tcW w:w="5977" w:type="dxa"/>
            <w:tcBorders>
              <w:bottom w:val="single" w:sz="4" w:space="0" w:color="auto"/>
            </w:tcBorders>
            <w:vAlign w:val="bottom"/>
          </w:tcPr>
          <w:p w14:paraId="711B0491"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A90FED">
              <w:rPr>
                <w:rFonts w:ascii="Arial" w:eastAsia="Times New Roman" w:hAnsi="Arial" w:cs="Arial"/>
                <w:b/>
                <w:spacing w:val="-2"/>
                <w:sz w:val="10"/>
                <w:szCs w:val="10"/>
                <w:lang w:eastAsia="ru-RU"/>
              </w:rPr>
              <w:t> </w:t>
            </w:r>
          </w:p>
        </w:tc>
        <w:tc>
          <w:tcPr>
            <w:tcW w:w="2103" w:type="dxa"/>
            <w:tcBorders>
              <w:bottom w:val="single" w:sz="4" w:space="0" w:color="auto"/>
            </w:tcBorders>
            <w:shd w:val="clear" w:color="auto" w:fill="auto"/>
            <w:vAlign w:val="bottom"/>
          </w:tcPr>
          <w:p w14:paraId="5625B270"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b/>
                <w:spacing w:val="-2"/>
                <w:sz w:val="18"/>
                <w:szCs w:val="18"/>
                <w:lang w:eastAsia="ru-RU"/>
              </w:rPr>
            </w:pPr>
          </w:p>
        </w:tc>
        <w:tc>
          <w:tcPr>
            <w:tcW w:w="1293" w:type="dxa"/>
            <w:tcBorders>
              <w:bottom w:val="single" w:sz="4" w:space="0" w:color="auto"/>
            </w:tcBorders>
            <w:vAlign w:val="bottom"/>
          </w:tcPr>
          <w:p w14:paraId="7F3B5F7B"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b/>
                <w:spacing w:val="-2"/>
                <w:sz w:val="18"/>
                <w:szCs w:val="18"/>
                <w:lang w:eastAsia="ru-RU"/>
              </w:rPr>
            </w:pPr>
          </w:p>
        </w:tc>
      </w:tr>
      <w:tr w:rsidR="00A90FED" w:rsidRPr="00A90FED" w14:paraId="4710EFE0" w14:textId="77777777" w:rsidTr="00A90FED">
        <w:trPr>
          <w:cantSplit/>
        </w:trPr>
        <w:tc>
          <w:tcPr>
            <w:tcW w:w="5977" w:type="dxa"/>
            <w:tcBorders>
              <w:top w:val="single" w:sz="4" w:space="0" w:color="auto"/>
            </w:tcBorders>
            <w:vAlign w:val="bottom"/>
          </w:tcPr>
          <w:p w14:paraId="3A32F449"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A90FED">
              <w:rPr>
                <w:rFonts w:ascii="Arial" w:eastAsia="Times New Roman" w:hAnsi="Arial" w:cs="Arial"/>
                <w:spacing w:val="-2"/>
                <w:sz w:val="10"/>
                <w:szCs w:val="10"/>
                <w:lang w:eastAsia="ru-RU"/>
              </w:rPr>
              <w:t> </w:t>
            </w:r>
          </w:p>
        </w:tc>
        <w:tc>
          <w:tcPr>
            <w:tcW w:w="2103" w:type="dxa"/>
            <w:tcBorders>
              <w:top w:val="single" w:sz="4" w:space="0" w:color="auto"/>
            </w:tcBorders>
            <w:shd w:val="clear" w:color="auto" w:fill="auto"/>
            <w:vAlign w:val="bottom"/>
          </w:tcPr>
          <w:p w14:paraId="53235C29"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c>
          <w:tcPr>
            <w:tcW w:w="1293" w:type="dxa"/>
            <w:tcBorders>
              <w:top w:val="single" w:sz="4" w:space="0" w:color="auto"/>
            </w:tcBorders>
            <w:vAlign w:val="bottom"/>
          </w:tcPr>
          <w:p w14:paraId="0E936185"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r>
      <w:tr w:rsidR="00A90FED" w:rsidRPr="00A90FED" w14:paraId="6DEE2B71" w14:textId="77777777" w:rsidTr="00A90FED">
        <w:trPr>
          <w:cantSplit/>
        </w:trPr>
        <w:tc>
          <w:tcPr>
            <w:tcW w:w="5977" w:type="dxa"/>
            <w:vAlign w:val="bottom"/>
          </w:tcPr>
          <w:p w14:paraId="6FCF45EE"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b/>
                <w:i/>
                <w:spacing w:val="-2"/>
                <w:sz w:val="18"/>
                <w:szCs w:val="18"/>
                <w:lang w:eastAsia="ru-RU"/>
              </w:rPr>
              <w:t>Cash flows from financing activities</w:t>
            </w:r>
          </w:p>
        </w:tc>
        <w:tc>
          <w:tcPr>
            <w:tcW w:w="2103" w:type="dxa"/>
            <w:shd w:val="clear" w:color="auto" w:fill="auto"/>
            <w:vAlign w:val="bottom"/>
          </w:tcPr>
          <w:p w14:paraId="7CD89BD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1293" w:type="dxa"/>
            <w:vAlign w:val="bottom"/>
          </w:tcPr>
          <w:p w14:paraId="1CE08F8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A90FED" w:rsidRPr="00A90FED" w14:paraId="63D7527B" w14:textId="77777777" w:rsidTr="00A90FED">
        <w:trPr>
          <w:cantSplit/>
        </w:trPr>
        <w:tc>
          <w:tcPr>
            <w:tcW w:w="5977" w:type="dxa"/>
            <w:vAlign w:val="bottom"/>
          </w:tcPr>
          <w:p w14:paraId="65057740"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 xml:space="preserve">Proceeds from borrowings, net of transaction costs </w:t>
            </w:r>
          </w:p>
        </w:tc>
        <w:tc>
          <w:tcPr>
            <w:tcW w:w="2103" w:type="dxa"/>
            <w:shd w:val="clear" w:color="auto" w:fill="auto"/>
            <w:vAlign w:val="bottom"/>
          </w:tcPr>
          <w:p w14:paraId="6A453E79"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212,336</w:t>
            </w:r>
          </w:p>
        </w:tc>
        <w:tc>
          <w:tcPr>
            <w:tcW w:w="1293" w:type="dxa"/>
            <w:vAlign w:val="bottom"/>
          </w:tcPr>
          <w:p w14:paraId="7D7A9C9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172,906</w:t>
            </w:r>
          </w:p>
        </w:tc>
      </w:tr>
      <w:tr w:rsidR="00A90FED" w:rsidRPr="00A90FED" w14:paraId="14402C77" w14:textId="77777777" w:rsidTr="00A90FED">
        <w:trPr>
          <w:cantSplit/>
        </w:trPr>
        <w:tc>
          <w:tcPr>
            <w:tcW w:w="5977" w:type="dxa"/>
            <w:vAlign w:val="bottom"/>
          </w:tcPr>
          <w:p w14:paraId="568426E7"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Repayment of borrowings</w:t>
            </w:r>
          </w:p>
        </w:tc>
        <w:tc>
          <w:tcPr>
            <w:tcW w:w="2103" w:type="dxa"/>
            <w:shd w:val="clear" w:color="auto" w:fill="auto"/>
            <w:vAlign w:val="bottom"/>
          </w:tcPr>
          <w:p w14:paraId="5FFE8858"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A90FED">
              <w:rPr>
                <w:rFonts w:ascii="Arial" w:eastAsia="Times New Roman" w:hAnsi="Arial" w:cs="Arial"/>
                <w:spacing w:val="-2"/>
                <w:sz w:val="18"/>
                <w:szCs w:val="20"/>
                <w:lang w:val="en-US" w:eastAsia="ru-RU"/>
              </w:rPr>
              <w:t>(154,961)</w:t>
            </w:r>
          </w:p>
        </w:tc>
        <w:tc>
          <w:tcPr>
            <w:tcW w:w="1293" w:type="dxa"/>
            <w:vAlign w:val="bottom"/>
          </w:tcPr>
          <w:p w14:paraId="42C17F5F"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(155,306)</w:t>
            </w:r>
          </w:p>
        </w:tc>
      </w:tr>
      <w:tr w:rsidR="00A90FED" w:rsidRPr="00A90FED" w14:paraId="65AC9B4E" w14:textId="77777777" w:rsidTr="00A90FED">
        <w:trPr>
          <w:cantSplit/>
        </w:trPr>
        <w:tc>
          <w:tcPr>
            <w:tcW w:w="5977" w:type="dxa"/>
            <w:vAlign w:val="bottom"/>
          </w:tcPr>
          <w:p w14:paraId="7CF6999C"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Dividends paid to shareholders of the Company</w:t>
            </w:r>
          </w:p>
        </w:tc>
        <w:tc>
          <w:tcPr>
            <w:tcW w:w="2103" w:type="dxa"/>
            <w:shd w:val="clear" w:color="auto" w:fill="auto"/>
            <w:vAlign w:val="bottom"/>
          </w:tcPr>
          <w:p w14:paraId="2E24C78F"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(109,169)</w:t>
            </w:r>
          </w:p>
        </w:tc>
        <w:tc>
          <w:tcPr>
            <w:tcW w:w="1293" w:type="dxa"/>
            <w:vAlign w:val="bottom"/>
          </w:tcPr>
          <w:p w14:paraId="54088394"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A90FED">
              <w:rPr>
                <w:rFonts w:ascii="Arial" w:eastAsia="Times New Roman" w:hAnsi="Arial" w:cs="Arial"/>
                <w:spacing w:val="-2"/>
                <w:sz w:val="18"/>
                <w:szCs w:val="20"/>
                <w:lang w:val="en-US" w:eastAsia="ru-RU"/>
              </w:rPr>
              <w:t>(94,487)</w:t>
            </w:r>
          </w:p>
        </w:tc>
      </w:tr>
      <w:tr w:rsidR="00A90FED" w:rsidRPr="00A90FED" w14:paraId="796B1E9D" w14:textId="77777777" w:rsidTr="00A90FED">
        <w:trPr>
          <w:cantSplit/>
        </w:trPr>
        <w:tc>
          <w:tcPr>
            <w:tcW w:w="5977" w:type="dxa"/>
            <w:vAlign w:val="bottom"/>
          </w:tcPr>
          <w:p w14:paraId="29CEF7AC"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Repayment</w:t>
            </w:r>
            <w:r w:rsidRPr="00A90FED">
              <w:rPr>
                <w:rFonts w:ascii="Arial" w:eastAsia="Times New Roman" w:hAnsi="Arial" w:cs="Arial"/>
                <w:spacing w:val="-2"/>
                <w:sz w:val="18"/>
                <w:szCs w:val="20"/>
                <w:lang w:val="en-US" w:eastAsia="en-US"/>
              </w:rPr>
              <w:t xml:space="preserve"> of dividends previously refunded </w:t>
            </w:r>
            <w:r w:rsidRPr="00A90FED">
              <w:rPr>
                <w:rFonts w:ascii="Arial" w:eastAsia="Times New Roman" w:hAnsi="Arial" w:cs="Arial"/>
                <w:spacing w:val="-2"/>
                <w:sz w:val="18"/>
                <w:szCs w:val="18"/>
                <w:lang w:eastAsia="ru-RU"/>
              </w:rPr>
              <w:t>to shareholders of the Company</w:t>
            </w:r>
          </w:p>
        </w:tc>
        <w:tc>
          <w:tcPr>
            <w:tcW w:w="2103" w:type="dxa"/>
            <w:shd w:val="clear" w:color="auto" w:fill="auto"/>
            <w:vAlign w:val="bottom"/>
          </w:tcPr>
          <w:p w14:paraId="1B18A3B5"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A90FED">
              <w:rPr>
                <w:rFonts w:ascii="Arial" w:eastAsia="Times New Roman" w:hAnsi="Arial" w:cs="Arial"/>
                <w:spacing w:val="-2"/>
                <w:sz w:val="18"/>
                <w:szCs w:val="20"/>
                <w:lang w:val="en-US" w:eastAsia="ru-RU"/>
              </w:rPr>
              <w:t>(587)</w:t>
            </w:r>
          </w:p>
        </w:tc>
        <w:tc>
          <w:tcPr>
            <w:tcW w:w="1293" w:type="dxa"/>
            <w:vAlign w:val="bottom"/>
          </w:tcPr>
          <w:p w14:paraId="1B4D2402"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A90FED">
              <w:rPr>
                <w:rFonts w:ascii="Arial" w:eastAsia="Times New Roman" w:hAnsi="Arial" w:cs="Arial"/>
                <w:spacing w:val="-2"/>
                <w:sz w:val="18"/>
                <w:szCs w:val="20"/>
                <w:lang w:val="en-US" w:eastAsia="ru-RU"/>
              </w:rPr>
              <w:t>(182)</w:t>
            </w:r>
          </w:p>
        </w:tc>
      </w:tr>
      <w:tr w:rsidR="00A90FED" w:rsidRPr="00A90FED" w14:paraId="2A7E7D58" w14:textId="77777777" w:rsidTr="00A90FED">
        <w:trPr>
          <w:cantSplit/>
        </w:trPr>
        <w:tc>
          <w:tcPr>
            <w:tcW w:w="5977" w:type="dxa"/>
            <w:vAlign w:val="bottom"/>
          </w:tcPr>
          <w:p w14:paraId="1D826E97"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val="en-US" w:eastAsia="ru-RU"/>
              </w:rPr>
              <w:t>Refund of dividends paid</w:t>
            </w:r>
            <w:r w:rsidRPr="00A90FED">
              <w:rPr>
                <w:rFonts w:ascii="Arial" w:eastAsia="Times New Roman" w:hAnsi="Arial" w:cs="Arial"/>
                <w:spacing w:val="-2"/>
                <w:sz w:val="18"/>
                <w:szCs w:val="18"/>
                <w:vertAlign w:val="superscript"/>
                <w:lang w:val="en-US" w:eastAsia="ru-RU"/>
              </w:rPr>
              <w:t>2</w:t>
            </w:r>
          </w:p>
        </w:tc>
        <w:tc>
          <w:tcPr>
            <w:tcW w:w="2103" w:type="dxa"/>
            <w:shd w:val="clear" w:color="auto" w:fill="auto"/>
            <w:vAlign w:val="bottom"/>
          </w:tcPr>
          <w:p w14:paraId="3E5BACAC"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A90FED">
              <w:rPr>
                <w:rFonts w:ascii="Arial" w:eastAsia="Times New Roman" w:hAnsi="Arial" w:cs="Arial"/>
                <w:spacing w:val="-2"/>
                <w:sz w:val="18"/>
                <w:szCs w:val="20"/>
                <w:lang w:val="en-US" w:eastAsia="ru-RU"/>
              </w:rPr>
              <w:t>3,132</w:t>
            </w:r>
          </w:p>
        </w:tc>
        <w:tc>
          <w:tcPr>
            <w:tcW w:w="1293" w:type="dxa"/>
            <w:vAlign w:val="bottom"/>
          </w:tcPr>
          <w:p w14:paraId="5DFC1355"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A90FED">
              <w:rPr>
                <w:rFonts w:ascii="Arial" w:eastAsia="Times New Roman" w:hAnsi="Arial" w:cs="Arial"/>
                <w:spacing w:val="-2"/>
                <w:sz w:val="18"/>
                <w:szCs w:val="20"/>
                <w:lang w:val="en-US" w:eastAsia="ru-RU"/>
              </w:rPr>
              <w:t>17,416</w:t>
            </w:r>
          </w:p>
        </w:tc>
      </w:tr>
      <w:tr w:rsidR="00A90FED" w:rsidRPr="00A90FED" w14:paraId="59DA29D1" w14:textId="77777777" w:rsidTr="00A90FED">
        <w:trPr>
          <w:cantSplit/>
        </w:trPr>
        <w:tc>
          <w:tcPr>
            <w:tcW w:w="5977" w:type="dxa"/>
            <w:vAlign w:val="bottom"/>
          </w:tcPr>
          <w:p w14:paraId="519B6E29"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Dividends paid to non-controlling interests</w:t>
            </w:r>
          </w:p>
        </w:tc>
        <w:tc>
          <w:tcPr>
            <w:tcW w:w="2103" w:type="dxa"/>
            <w:shd w:val="clear" w:color="auto" w:fill="auto"/>
            <w:vAlign w:val="bottom"/>
          </w:tcPr>
          <w:p w14:paraId="2B07DF2F"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A90FED">
              <w:rPr>
                <w:rFonts w:ascii="Arial" w:eastAsia="Times New Roman" w:hAnsi="Arial" w:cs="Arial"/>
                <w:spacing w:val="-2"/>
                <w:sz w:val="18"/>
                <w:szCs w:val="20"/>
                <w:lang w:val="en-US" w:eastAsia="ru-RU"/>
              </w:rPr>
              <w:t>-</w:t>
            </w:r>
          </w:p>
        </w:tc>
        <w:tc>
          <w:tcPr>
            <w:tcW w:w="1293" w:type="dxa"/>
            <w:vAlign w:val="bottom"/>
          </w:tcPr>
          <w:p w14:paraId="6809C512"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A90FED">
              <w:rPr>
                <w:rFonts w:ascii="Arial" w:eastAsia="Times New Roman" w:hAnsi="Arial" w:cs="Arial"/>
                <w:spacing w:val="-2"/>
                <w:sz w:val="18"/>
                <w:szCs w:val="20"/>
                <w:lang w:val="en-US" w:eastAsia="ru-RU"/>
              </w:rPr>
              <w:t>(131)</w:t>
            </w:r>
          </w:p>
        </w:tc>
      </w:tr>
      <w:tr w:rsidR="00A90FED" w:rsidRPr="00A90FED" w14:paraId="4519C646" w14:textId="77777777" w:rsidTr="00A90FED">
        <w:trPr>
          <w:cantSplit/>
        </w:trPr>
        <w:tc>
          <w:tcPr>
            <w:tcW w:w="5977" w:type="dxa"/>
            <w:vAlign w:val="bottom"/>
          </w:tcPr>
          <w:p w14:paraId="21830E72"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Lease payments</w:t>
            </w:r>
            <w:r w:rsidRPr="00A90FED">
              <w:rPr>
                <w:rFonts w:ascii="Arial" w:eastAsia="Times New Roman" w:hAnsi="Arial" w:cs="Arial"/>
                <w:spacing w:val="-2"/>
                <w:sz w:val="10"/>
                <w:szCs w:val="10"/>
                <w:lang w:eastAsia="ru-RU"/>
              </w:rPr>
              <w:t> </w:t>
            </w:r>
          </w:p>
        </w:tc>
        <w:tc>
          <w:tcPr>
            <w:tcW w:w="2103" w:type="dxa"/>
            <w:shd w:val="clear" w:color="auto" w:fill="auto"/>
            <w:vAlign w:val="bottom"/>
          </w:tcPr>
          <w:p w14:paraId="64D29827"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A90FED">
              <w:rPr>
                <w:rFonts w:ascii="Arial" w:eastAsia="Times New Roman" w:hAnsi="Arial" w:cs="Arial"/>
                <w:spacing w:val="-2"/>
                <w:sz w:val="18"/>
                <w:szCs w:val="20"/>
                <w:lang w:val="en-US" w:eastAsia="ru-RU"/>
              </w:rPr>
              <w:t>(1,448)</w:t>
            </w:r>
          </w:p>
        </w:tc>
        <w:tc>
          <w:tcPr>
            <w:tcW w:w="1293" w:type="dxa"/>
            <w:vAlign w:val="bottom"/>
          </w:tcPr>
          <w:p w14:paraId="7E23F924"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A90FED">
              <w:rPr>
                <w:rFonts w:ascii="Arial" w:eastAsia="Times New Roman" w:hAnsi="Arial" w:cs="Arial"/>
                <w:spacing w:val="-2"/>
                <w:sz w:val="18"/>
                <w:szCs w:val="20"/>
                <w:lang w:val="en-US" w:eastAsia="ru-RU"/>
              </w:rPr>
              <w:t>(1,416)</w:t>
            </w:r>
          </w:p>
        </w:tc>
      </w:tr>
      <w:tr w:rsidR="00A90FED" w:rsidRPr="00A90FED" w14:paraId="74E30182" w14:textId="77777777" w:rsidTr="00A90FED">
        <w:trPr>
          <w:cantSplit/>
        </w:trPr>
        <w:tc>
          <w:tcPr>
            <w:tcW w:w="5977" w:type="dxa"/>
            <w:tcBorders>
              <w:bottom w:val="single" w:sz="4" w:space="0" w:color="auto"/>
            </w:tcBorders>
            <w:vAlign w:val="bottom"/>
          </w:tcPr>
          <w:p w14:paraId="08D8505D"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p>
        </w:tc>
        <w:tc>
          <w:tcPr>
            <w:tcW w:w="2103" w:type="dxa"/>
            <w:tcBorders>
              <w:bottom w:val="single" w:sz="4" w:space="0" w:color="auto"/>
            </w:tcBorders>
            <w:shd w:val="clear" w:color="auto" w:fill="auto"/>
            <w:vAlign w:val="bottom"/>
          </w:tcPr>
          <w:p w14:paraId="3AF718DE"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p>
        </w:tc>
        <w:tc>
          <w:tcPr>
            <w:tcW w:w="1293" w:type="dxa"/>
            <w:tcBorders>
              <w:bottom w:val="single" w:sz="4" w:space="0" w:color="auto"/>
            </w:tcBorders>
            <w:vAlign w:val="bottom"/>
          </w:tcPr>
          <w:p w14:paraId="3481DC08"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p>
        </w:tc>
      </w:tr>
      <w:tr w:rsidR="00A90FED" w:rsidRPr="00A90FED" w14:paraId="6D036628" w14:textId="77777777" w:rsidTr="00A90FED">
        <w:trPr>
          <w:cantSplit/>
        </w:trPr>
        <w:tc>
          <w:tcPr>
            <w:tcW w:w="5977" w:type="dxa"/>
            <w:tcBorders>
              <w:top w:val="single" w:sz="4" w:space="0" w:color="auto"/>
            </w:tcBorders>
            <w:vAlign w:val="bottom"/>
          </w:tcPr>
          <w:p w14:paraId="43BDD9ED"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103" w:type="dxa"/>
            <w:tcBorders>
              <w:top w:val="single" w:sz="4" w:space="0" w:color="auto"/>
            </w:tcBorders>
            <w:shd w:val="clear" w:color="auto" w:fill="auto"/>
            <w:vAlign w:val="bottom"/>
          </w:tcPr>
          <w:p w14:paraId="6C41D6EC"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1293" w:type="dxa"/>
            <w:tcBorders>
              <w:top w:val="single" w:sz="4" w:space="0" w:color="auto"/>
            </w:tcBorders>
            <w:vAlign w:val="bottom"/>
          </w:tcPr>
          <w:p w14:paraId="34DF13B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A90FED" w:rsidRPr="00A90FED" w14:paraId="45813457" w14:textId="77777777" w:rsidTr="00A90FED">
        <w:trPr>
          <w:cantSplit/>
        </w:trPr>
        <w:tc>
          <w:tcPr>
            <w:tcW w:w="5977" w:type="dxa"/>
            <w:vAlign w:val="bottom"/>
          </w:tcPr>
          <w:p w14:paraId="36730C36"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b/>
                <w:spacing w:val="-2"/>
                <w:sz w:val="18"/>
                <w:szCs w:val="18"/>
                <w:lang w:eastAsia="ru-RU"/>
              </w:rPr>
              <w:t>Cash flows used in financing activities</w:t>
            </w:r>
          </w:p>
        </w:tc>
        <w:tc>
          <w:tcPr>
            <w:tcW w:w="2103" w:type="dxa"/>
            <w:shd w:val="clear" w:color="auto" w:fill="auto"/>
            <w:vAlign w:val="bottom"/>
          </w:tcPr>
          <w:p w14:paraId="2EE77340"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0"/>
                <w:szCs w:val="10"/>
                <w:lang w:eastAsia="ru-RU"/>
              </w:rPr>
            </w:pPr>
            <w:r w:rsidRPr="00A90FED">
              <w:rPr>
                <w:rFonts w:ascii="Arial" w:eastAsia="Times New Roman" w:hAnsi="Arial" w:cs="Arial"/>
                <w:b/>
                <w:spacing w:val="-2"/>
                <w:sz w:val="18"/>
                <w:szCs w:val="20"/>
                <w:lang w:val="en-US" w:eastAsia="ru-RU"/>
              </w:rPr>
              <w:t>(50,697)</w:t>
            </w:r>
          </w:p>
        </w:tc>
        <w:tc>
          <w:tcPr>
            <w:tcW w:w="1293" w:type="dxa"/>
            <w:vAlign w:val="bottom"/>
          </w:tcPr>
          <w:p w14:paraId="003D2A02"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0"/>
                <w:szCs w:val="10"/>
                <w:lang w:eastAsia="ru-RU"/>
              </w:rPr>
            </w:pPr>
            <w:r w:rsidRPr="00A90FED">
              <w:rPr>
                <w:rFonts w:ascii="Arial" w:eastAsia="Times New Roman" w:hAnsi="Arial" w:cs="Arial"/>
                <w:b/>
                <w:spacing w:val="-2"/>
                <w:sz w:val="18"/>
                <w:szCs w:val="20"/>
                <w:lang w:val="en-US" w:eastAsia="ru-RU"/>
              </w:rPr>
              <w:t>(61,200)</w:t>
            </w:r>
          </w:p>
        </w:tc>
      </w:tr>
      <w:tr w:rsidR="00A90FED" w:rsidRPr="00A90FED" w14:paraId="7D523C62" w14:textId="77777777" w:rsidTr="00A90FED">
        <w:trPr>
          <w:cantSplit/>
        </w:trPr>
        <w:tc>
          <w:tcPr>
            <w:tcW w:w="5977" w:type="dxa"/>
            <w:tcBorders>
              <w:bottom w:val="single" w:sz="4" w:space="0" w:color="auto"/>
            </w:tcBorders>
            <w:vAlign w:val="bottom"/>
          </w:tcPr>
          <w:p w14:paraId="08C1CE7E"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b/>
                <w:spacing w:val="-2"/>
                <w:sz w:val="10"/>
                <w:szCs w:val="10"/>
                <w:lang w:eastAsia="ru-RU"/>
              </w:rPr>
              <w:t> </w:t>
            </w:r>
          </w:p>
        </w:tc>
        <w:tc>
          <w:tcPr>
            <w:tcW w:w="2103" w:type="dxa"/>
            <w:tcBorders>
              <w:bottom w:val="single" w:sz="4" w:space="0" w:color="auto"/>
            </w:tcBorders>
            <w:shd w:val="clear" w:color="auto" w:fill="auto"/>
            <w:vAlign w:val="bottom"/>
          </w:tcPr>
          <w:p w14:paraId="4E4A1846"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b/>
                <w:spacing w:val="-2"/>
                <w:sz w:val="18"/>
                <w:szCs w:val="18"/>
                <w:lang w:eastAsia="ru-RU"/>
              </w:rPr>
            </w:pPr>
          </w:p>
        </w:tc>
        <w:tc>
          <w:tcPr>
            <w:tcW w:w="1293" w:type="dxa"/>
            <w:tcBorders>
              <w:bottom w:val="single" w:sz="4" w:space="0" w:color="auto"/>
            </w:tcBorders>
            <w:vAlign w:val="bottom"/>
          </w:tcPr>
          <w:p w14:paraId="0B920EE6"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b/>
                <w:spacing w:val="-2"/>
                <w:sz w:val="18"/>
                <w:szCs w:val="18"/>
                <w:lang w:eastAsia="ru-RU"/>
              </w:rPr>
            </w:pPr>
          </w:p>
        </w:tc>
      </w:tr>
      <w:tr w:rsidR="00A90FED" w:rsidRPr="00A90FED" w14:paraId="7CF594F3" w14:textId="77777777" w:rsidTr="00A90FED">
        <w:trPr>
          <w:cantSplit/>
        </w:trPr>
        <w:tc>
          <w:tcPr>
            <w:tcW w:w="5977" w:type="dxa"/>
            <w:tcBorders>
              <w:top w:val="single" w:sz="4" w:space="0" w:color="auto"/>
            </w:tcBorders>
            <w:vAlign w:val="bottom"/>
          </w:tcPr>
          <w:p w14:paraId="56E36998"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A90FED">
              <w:rPr>
                <w:rFonts w:ascii="Arial" w:eastAsia="Times New Roman" w:hAnsi="Arial" w:cs="Arial"/>
                <w:b/>
                <w:spacing w:val="-2"/>
                <w:sz w:val="10"/>
                <w:szCs w:val="10"/>
                <w:lang w:eastAsia="ru-RU"/>
              </w:rPr>
              <w:t> </w:t>
            </w:r>
          </w:p>
        </w:tc>
        <w:tc>
          <w:tcPr>
            <w:tcW w:w="2103" w:type="dxa"/>
            <w:tcBorders>
              <w:top w:val="single" w:sz="4" w:space="0" w:color="auto"/>
            </w:tcBorders>
            <w:shd w:val="clear" w:color="auto" w:fill="auto"/>
            <w:vAlign w:val="bottom"/>
          </w:tcPr>
          <w:p w14:paraId="38B35430"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c>
          <w:tcPr>
            <w:tcW w:w="1293" w:type="dxa"/>
            <w:tcBorders>
              <w:top w:val="single" w:sz="4" w:space="0" w:color="auto"/>
            </w:tcBorders>
            <w:vAlign w:val="bottom"/>
          </w:tcPr>
          <w:p w14:paraId="52B17580"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r>
      <w:tr w:rsidR="00A90FED" w:rsidRPr="00A90FED" w14:paraId="15273B24" w14:textId="77777777" w:rsidTr="00A90FED">
        <w:trPr>
          <w:cantSplit/>
        </w:trPr>
        <w:tc>
          <w:tcPr>
            <w:tcW w:w="5977" w:type="dxa"/>
            <w:vAlign w:val="bottom"/>
          </w:tcPr>
          <w:p w14:paraId="74602C3B"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A90FED">
              <w:rPr>
                <w:rFonts w:ascii="Arial" w:eastAsia="Times New Roman" w:hAnsi="Arial" w:cs="Arial"/>
                <w:b/>
                <w:spacing w:val="-2"/>
                <w:sz w:val="18"/>
                <w:szCs w:val="18"/>
                <w:lang w:eastAsia="ru-RU"/>
              </w:rPr>
              <w:t>Net (decrease)</w:t>
            </w:r>
            <w:r w:rsidRPr="00A90FED">
              <w:rPr>
                <w:rFonts w:ascii="Arial" w:eastAsia="Times New Roman" w:hAnsi="Arial" w:cs="Arial"/>
                <w:b/>
                <w:spacing w:val="-2"/>
                <w:sz w:val="18"/>
                <w:szCs w:val="18"/>
                <w:lang w:val="en-US" w:eastAsia="ru-RU"/>
              </w:rPr>
              <w:t>/</w:t>
            </w:r>
            <w:r w:rsidRPr="00A90FED">
              <w:rPr>
                <w:rFonts w:ascii="Arial" w:eastAsia="Times New Roman" w:hAnsi="Arial" w:cs="Arial"/>
                <w:b/>
                <w:spacing w:val="-2"/>
                <w:sz w:val="18"/>
                <w:szCs w:val="18"/>
                <w:lang w:eastAsia="ru-RU"/>
              </w:rPr>
              <w:t>increase in cash and cash equivalents</w:t>
            </w:r>
          </w:p>
        </w:tc>
        <w:tc>
          <w:tcPr>
            <w:tcW w:w="2103" w:type="dxa"/>
            <w:shd w:val="clear" w:color="auto" w:fill="auto"/>
            <w:vAlign w:val="bottom"/>
          </w:tcPr>
          <w:p w14:paraId="603151AC"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b/>
                <w:spacing w:val="-2"/>
                <w:sz w:val="10"/>
                <w:szCs w:val="10"/>
                <w:lang w:eastAsia="ru-RU"/>
              </w:rPr>
            </w:pPr>
            <w:r w:rsidRPr="00A90FED">
              <w:rPr>
                <w:rFonts w:ascii="Arial" w:eastAsia="Times New Roman" w:hAnsi="Arial" w:cs="Arial"/>
                <w:b/>
                <w:spacing w:val="-2"/>
                <w:sz w:val="18"/>
                <w:szCs w:val="20"/>
                <w:lang w:val="en-US" w:eastAsia="ru-RU"/>
              </w:rPr>
              <w:t>(21,711)</w:t>
            </w:r>
          </w:p>
        </w:tc>
        <w:tc>
          <w:tcPr>
            <w:tcW w:w="1293" w:type="dxa"/>
            <w:vAlign w:val="bottom"/>
          </w:tcPr>
          <w:p w14:paraId="5F171FA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r w:rsidRPr="00A90FED">
              <w:rPr>
                <w:rFonts w:ascii="Arial" w:eastAsia="Times New Roman" w:hAnsi="Arial" w:cs="Arial"/>
                <w:b/>
                <w:spacing w:val="-2"/>
                <w:sz w:val="18"/>
                <w:szCs w:val="20"/>
                <w:lang w:val="en-US" w:eastAsia="ru-RU"/>
              </w:rPr>
              <w:t>9,008</w:t>
            </w:r>
          </w:p>
        </w:tc>
      </w:tr>
      <w:tr w:rsidR="00A90FED" w:rsidRPr="00A90FED" w14:paraId="0AE1AB46" w14:textId="77777777" w:rsidTr="00A90FED">
        <w:trPr>
          <w:cantSplit/>
        </w:trPr>
        <w:tc>
          <w:tcPr>
            <w:tcW w:w="5977" w:type="dxa"/>
            <w:vAlign w:val="bottom"/>
          </w:tcPr>
          <w:p w14:paraId="1D14A142"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A90FED">
              <w:rPr>
                <w:rFonts w:ascii="Arial" w:eastAsia="Times New Roman" w:hAnsi="Arial" w:cs="Arial"/>
                <w:spacing w:val="-2"/>
                <w:sz w:val="18"/>
                <w:szCs w:val="18"/>
                <w:lang w:eastAsia="ru-RU"/>
              </w:rPr>
              <w:t>Cash and cash equivalents at 1 January</w:t>
            </w:r>
          </w:p>
        </w:tc>
        <w:tc>
          <w:tcPr>
            <w:tcW w:w="2103" w:type="dxa"/>
            <w:shd w:val="clear" w:color="auto" w:fill="auto"/>
            <w:vAlign w:val="bottom"/>
          </w:tcPr>
          <w:p w14:paraId="7C50B1DC"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A90FED">
              <w:rPr>
                <w:rFonts w:ascii="Arial" w:eastAsia="Times New Roman" w:hAnsi="Arial" w:cs="Arial"/>
                <w:spacing w:val="-2"/>
                <w:sz w:val="18"/>
                <w:szCs w:val="20"/>
                <w:lang w:val="en-US" w:eastAsia="ru-RU"/>
              </w:rPr>
              <w:t>29,163</w:t>
            </w:r>
          </w:p>
        </w:tc>
        <w:tc>
          <w:tcPr>
            <w:tcW w:w="1293" w:type="dxa"/>
            <w:vAlign w:val="bottom"/>
          </w:tcPr>
          <w:p w14:paraId="3EC446EC"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eastAsia="ru-RU"/>
              </w:rPr>
            </w:pPr>
            <w:r w:rsidRPr="00A90FED">
              <w:rPr>
                <w:rFonts w:ascii="Arial" w:eastAsia="Times New Roman" w:hAnsi="Arial" w:cs="Arial"/>
                <w:spacing w:val="-2"/>
                <w:sz w:val="18"/>
                <w:szCs w:val="20"/>
                <w:lang w:val="en-US" w:eastAsia="ru-RU"/>
              </w:rPr>
              <w:t>13,356</w:t>
            </w:r>
          </w:p>
        </w:tc>
      </w:tr>
      <w:tr w:rsidR="00A90FED" w:rsidRPr="00A90FED" w14:paraId="01200EFD" w14:textId="77777777" w:rsidTr="00A90FED">
        <w:trPr>
          <w:cantSplit/>
        </w:trPr>
        <w:tc>
          <w:tcPr>
            <w:tcW w:w="5977" w:type="dxa"/>
            <w:vAlign w:val="bottom"/>
          </w:tcPr>
          <w:p w14:paraId="0E744040"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8"/>
                <w:szCs w:val="18"/>
                <w:lang w:eastAsia="ru-RU"/>
              </w:rPr>
              <w:t>Effect of exchange rates fluctuations</w:t>
            </w:r>
          </w:p>
        </w:tc>
        <w:tc>
          <w:tcPr>
            <w:tcW w:w="2103" w:type="dxa"/>
            <w:shd w:val="clear" w:color="auto" w:fill="auto"/>
            <w:vAlign w:val="bottom"/>
          </w:tcPr>
          <w:p w14:paraId="2CC11EE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A90FED">
              <w:rPr>
                <w:rFonts w:ascii="Arial" w:eastAsia="Times New Roman" w:hAnsi="Arial" w:cs="Arial"/>
                <w:spacing w:val="-2"/>
                <w:sz w:val="18"/>
                <w:szCs w:val="20"/>
                <w:lang w:val="en-US" w:eastAsia="ru-RU"/>
              </w:rPr>
              <w:t>2,946</w:t>
            </w:r>
          </w:p>
        </w:tc>
        <w:tc>
          <w:tcPr>
            <w:tcW w:w="1293" w:type="dxa"/>
            <w:vAlign w:val="bottom"/>
          </w:tcPr>
          <w:p w14:paraId="07CA90C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A90FED">
              <w:rPr>
                <w:rFonts w:ascii="Arial" w:eastAsia="Times New Roman" w:hAnsi="Arial" w:cs="Arial"/>
                <w:spacing w:val="-2"/>
                <w:sz w:val="18"/>
                <w:szCs w:val="20"/>
                <w:lang w:val="en-US" w:eastAsia="ru-RU"/>
              </w:rPr>
              <w:t>6,799</w:t>
            </w:r>
          </w:p>
        </w:tc>
      </w:tr>
      <w:tr w:rsidR="00A90FED" w:rsidRPr="00A90FED" w14:paraId="72F672DD" w14:textId="77777777" w:rsidTr="00A90FED">
        <w:trPr>
          <w:cantSplit/>
        </w:trPr>
        <w:tc>
          <w:tcPr>
            <w:tcW w:w="5977" w:type="dxa"/>
            <w:tcBorders>
              <w:bottom w:val="single" w:sz="4" w:space="0" w:color="auto"/>
            </w:tcBorders>
            <w:vAlign w:val="bottom"/>
          </w:tcPr>
          <w:p w14:paraId="45EBAF57"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8"/>
                <w:szCs w:val="18"/>
                <w:lang w:eastAsia="ru-RU"/>
              </w:rPr>
            </w:pPr>
            <w:r w:rsidRPr="00A90FED">
              <w:rPr>
                <w:rFonts w:ascii="Arial" w:eastAsia="Times New Roman" w:hAnsi="Arial" w:cs="Arial"/>
                <w:spacing w:val="-2"/>
                <w:sz w:val="10"/>
                <w:szCs w:val="10"/>
                <w:lang w:eastAsia="ru-RU"/>
              </w:rPr>
              <w:t> </w:t>
            </w:r>
          </w:p>
        </w:tc>
        <w:tc>
          <w:tcPr>
            <w:tcW w:w="2103" w:type="dxa"/>
            <w:tcBorders>
              <w:bottom w:val="single" w:sz="4" w:space="0" w:color="auto"/>
            </w:tcBorders>
            <w:shd w:val="clear" w:color="auto" w:fill="auto"/>
            <w:vAlign w:val="bottom"/>
          </w:tcPr>
          <w:p w14:paraId="425731F9"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1293" w:type="dxa"/>
            <w:tcBorders>
              <w:bottom w:val="single" w:sz="4" w:space="0" w:color="auto"/>
            </w:tcBorders>
            <w:vAlign w:val="bottom"/>
          </w:tcPr>
          <w:p w14:paraId="2624F5CD" w14:textId="77777777" w:rsidR="00A90FED" w:rsidRPr="00A90FED" w:rsidRDefault="00A90FED" w:rsidP="00A90FED">
            <w:pPr>
              <w:widowControl w:val="0"/>
              <w:autoSpaceDE w:val="0"/>
              <w:autoSpaceDN w:val="0"/>
              <w:adjustRightInd w:val="0"/>
              <w:spacing w:after="0" w:line="240" w:lineRule="auto"/>
              <w:ind w:right="-57"/>
              <w:jc w:val="right"/>
              <w:rPr>
                <w:rFonts w:ascii="Arial" w:eastAsia="Times New Roman" w:hAnsi="Arial" w:cs="Arial"/>
                <w:spacing w:val="-2"/>
                <w:sz w:val="18"/>
                <w:szCs w:val="18"/>
                <w:lang w:eastAsia="ru-RU"/>
              </w:rPr>
            </w:pPr>
          </w:p>
        </w:tc>
      </w:tr>
      <w:tr w:rsidR="00A90FED" w:rsidRPr="00A90FED" w14:paraId="4CCCA5AC" w14:textId="77777777" w:rsidTr="00A90FED">
        <w:trPr>
          <w:cantSplit/>
        </w:trPr>
        <w:tc>
          <w:tcPr>
            <w:tcW w:w="5977" w:type="dxa"/>
            <w:tcBorders>
              <w:top w:val="single" w:sz="4" w:space="0" w:color="auto"/>
            </w:tcBorders>
            <w:vAlign w:val="bottom"/>
          </w:tcPr>
          <w:p w14:paraId="73A18DBB"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spacing w:val="-2"/>
                <w:sz w:val="10"/>
                <w:szCs w:val="10"/>
                <w:lang w:eastAsia="ru-RU"/>
              </w:rPr>
              <w:t> </w:t>
            </w:r>
          </w:p>
        </w:tc>
        <w:tc>
          <w:tcPr>
            <w:tcW w:w="2103" w:type="dxa"/>
            <w:tcBorders>
              <w:top w:val="single" w:sz="4" w:space="0" w:color="auto"/>
            </w:tcBorders>
            <w:shd w:val="clear" w:color="auto" w:fill="auto"/>
            <w:vAlign w:val="bottom"/>
          </w:tcPr>
          <w:p w14:paraId="4EF3D44F"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1293" w:type="dxa"/>
            <w:tcBorders>
              <w:top w:val="single" w:sz="4" w:space="0" w:color="auto"/>
            </w:tcBorders>
            <w:vAlign w:val="bottom"/>
          </w:tcPr>
          <w:p w14:paraId="7B24C5FE"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A90FED" w:rsidRPr="00A90FED" w14:paraId="554E8514" w14:textId="77777777" w:rsidTr="00A90FED">
        <w:trPr>
          <w:cantSplit/>
        </w:trPr>
        <w:tc>
          <w:tcPr>
            <w:tcW w:w="5977" w:type="dxa"/>
            <w:vAlign w:val="bottom"/>
          </w:tcPr>
          <w:p w14:paraId="61FC8FD3"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spacing w:val="-2"/>
                <w:sz w:val="10"/>
                <w:szCs w:val="10"/>
                <w:lang w:eastAsia="ru-RU"/>
              </w:rPr>
            </w:pPr>
            <w:r w:rsidRPr="00A90FED">
              <w:rPr>
                <w:rFonts w:ascii="Arial" w:eastAsia="Times New Roman" w:hAnsi="Arial" w:cs="Arial"/>
                <w:b/>
                <w:spacing w:val="-2"/>
                <w:sz w:val="18"/>
                <w:szCs w:val="18"/>
                <w:lang w:eastAsia="ru-RU"/>
              </w:rPr>
              <w:t>Cash and cash equivalents at 31 December</w:t>
            </w:r>
          </w:p>
        </w:tc>
        <w:tc>
          <w:tcPr>
            <w:tcW w:w="2103" w:type="dxa"/>
            <w:shd w:val="clear" w:color="auto" w:fill="auto"/>
            <w:vAlign w:val="bottom"/>
          </w:tcPr>
          <w:p w14:paraId="2AD9A83B"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r w:rsidRPr="00A90FED">
              <w:rPr>
                <w:rFonts w:ascii="Arial" w:eastAsia="Times New Roman" w:hAnsi="Arial" w:cs="Arial"/>
                <w:b/>
                <w:spacing w:val="-2"/>
                <w:sz w:val="18"/>
                <w:szCs w:val="20"/>
                <w:lang w:val="en-US" w:eastAsia="ru-RU"/>
              </w:rPr>
              <w:t>10,398</w:t>
            </w:r>
          </w:p>
        </w:tc>
        <w:tc>
          <w:tcPr>
            <w:tcW w:w="1293" w:type="dxa"/>
            <w:vAlign w:val="bottom"/>
          </w:tcPr>
          <w:p w14:paraId="7B17A62A"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r w:rsidRPr="00A90FED">
              <w:rPr>
                <w:rFonts w:ascii="Arial" w:eastAsia="Times New Roman" w:hAnsi="Arial" w:cs="Arial"/>
                <w:b/>
                <w:spacing w:val="-2"/>
                <w:sz w:val="18"/>
                <w:szCs w:val="20"/>
                <w:lang w:val="en-US" w:eastAsia="ru-RU"/>
              </w:rPr>
              <w:t>29,163</w:t>
            </w:r>
          </w:p>
        </w:tc>
      </w:tr>
      <w:tr w:rsidR="00A90FED" w:rsidRPr="00A90FED" w14:paraId="6E034FEF" w14:textId="77777777" w:rsidTr="00A90FED">
        <w:trPr>
          <w:cantSplit/>
        </w:trPr>
        <w:tc>
          <w:tcPr>
            <w:tcW w:w="5977" w:type="dxa"/>
            <w:tcBorders>
              <w:bottom w:val="single" w:sz="12" w:space="0" w:color="auto"/>
            </w:tcBorders>
            <w:vAlign w:val="bottom"/>
          </w:tcPr>
          <w:p w14:paraId="405438CA" w14:textId="77777777" w:rsidR="00A90FED" w:rsidRPr="00A90FED" w:rsidRDefault="00A90FED" w:rsidP="00A90FED">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A90FED">
              <w:rPr>
                <w:rFonts w:ascii="Arial" w:eastAsia="Times New Roman" w:hAnsi="Arial" w:cs="Arial"/>
                <w:b/>
                <w:spacing w:val="-2"/>
                <w:sz w:val="10"/>
                <w:szCs w:val="10"/>
                <w:lang w:eastAsia="ru-RU"/>
              </w:rPr>
              <w:t> </w:t>
            </w:r>
          </w:p>
        </w:tc>
        <w:tc>
          <w:tcPr>
            <w:tcW w:w="2103" w:type="dxa"/>
            <w:tcBorders>
              <w:bottom w:val="single" w:sz="12" w:space="0" w:color="auto"/>
            </w:tcBorders>
            <w:shd w:val="clear" w:color="auto" w:fill="auto"/>
            <w:vAlign w:val="bottom"/>
          </w:tcPr>
          <w:p w14:paraId="5A0D9DA4"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p>
        </w:tc>
        <w:tc>
          <w:tcPr>
            <w:tcW w:w="1293" w:type="dxa"/>
            <w:tcBorders>
              <w:bottom w:val="single" w:sz="12" w:space="0" w:color="auto"/>
            </w:tcBorders>
            <w:vAlign w:val="bottom"/>
          </w:tcPr>
          <w:p w14:paraId="57658DF2" w14:textId="77777777" w:rsidR="00A90FED" w:rsidRPr="00A90FED" w:rsidRDefault="00A90FED" w:rsidP="00A90FED">
            <w:pPr>
              <w:widowControl w:val="0"/>
              <w:autoSpaceDE w:val="0"/>
              <w:autoSpaceDN w:val="0"/>
              <w:adjustRightInd w:val="0"/>
              <w:spacing w:after="0" w:line="240" w:lineRule="auto"/>
              <w:jc w:val="right"/>
              <w:rPr>
                <w:rFonts w:ascii="Arial" w:eastAsia="Times New Roman" w:hAnsi="Arial" w:cs="Arial"/>
                <w:b/>
                <w:spacing w:val="-2"/>
                <w:sz w:val="18"/>
                <w:szCs w:val="18"/>
                <w:lang w:eastAsia="ru-RU"/>
              </w:rPr>
            </w:pPr>
          </w:p>
        </w:tc>
      </w:tr>
    </w:tbl>
    <w:p w14:paraId="6F88982E" w14:textId="77777777" w:rsidR="00794CCA" w:rsidRPr="00BB5D11" w:rsidRDefault="00794CCA" w:rsidP="00965003">
      <w:pPr>
        <w:pStyle w:val="a2"/>
        <w:widowControl w:val="0"/>
        <w:spacing w:before="120"/>
        <w:rPr>
          <w:rFonts w:cs="Arial"/>
          <w:i/>
          <w:spacing w:val="-2"/>
          <w:sz w:val="16"/>
          <w:szCs w:val="16"/>
          <w:vertAlign w:val="superscript"/>
          <w:lang w:val="ru-RU"/>
        </w:rPr>
      </w:pPr>
    </w:p>
    <w:p w14:paraId="461D5E84" w14:textId="77777777" w:rsidR="00A90FED" w:rsidRPr="00F0713B" w:rsidRDefault="00A90FED" w:rsidP="00A90FED">
      <w:pPr>
        <w:pStyle w:val="a2"/>
        <w:widowControl w:val="0"/>
        <w:spacing w:before="120"/>
        <w:rPr>
          <w:lang w:val="en-US"/>
        </w:rPr>
      </w:pPr>
      <w:bookmarkStart w:id="2" w:name="_Hlk135317038"/>
      <w:r w:rsidRPr="00F0713B">
        <w:rPr>
          <w:spacing w:val="-2"/>
          <w:sz w:val="18"/>
          <w:vertAlign w:val="superscript"/>
        </w:rPr>
        <w:t xml:space="preserve">1 </w:t>
      </w:r>
      <w:r w:rsidRPr="00F0713B">
        <w:rPr>
          <w:i/>
          <w:spacing w:val="-2"/>
          <w:sz w:val="18"/>
          <w:szCs w:val="18"/>
          <w:lang w:val="en-US" w:eastAsia="ru-RU"/>
        </w:rPr>
        <w:t>Changes in trade and other receivables and changes in trade and other payables include effect of foreign exchange differences from operating activities.</w:t>
      </w:r>
    </w:p>
    <w:p w14:paraId="053B8C85" w14:textId="39F42AE6" w:rsidR="004356E2" w:rsidRPr="00695AF2" w:rsidRDefault="00A90FED" w:rsidP="00A90FED">
      <w:pPr>
        <w:pStyle w:val="a2"/>
        <w:widowControl w:val="0"/>
        <w:spacing w:before="200" w:after="200"/>
        <w:rPr>
          <w:spacing w:val="-2"/>
          <w:sz w:val="18"/>
          <w:szCs w:val="18"/>
          <w:lang w:val="en-US" w:eastAsia="ru-RU"/>
        </w:rPr>
      </w:pPr>
      <w:r w:rsidRPr="00F0713B">
        <w:rPr>
          <w:spacing w:val="-2"/>
          <w:sz w:val="18"/>
          <w:vertAlign w:val="superscript"/>
        </w:rPr>
        <w:t>2</w:t>
      </w:r>
      <w:r w:rsidRPr="00F0713B">
        <w:rPr>
          <w:spacing w:val="-2"/>
          <w:sz w:val="18"/>
          <w:szCs w:val="18"/>
          <w:lang w:eastAsia="ru-RU"/>
        </w:rPr>
        <w:t xml:space="preserve"> </w:t>
      </w:r>
      <w:r w:rsidRPr="00F0713B">
        <w:rPr>
          <w:i/>
          <w:spacing w:val="-2"/>
          <w:sz w:val="18"/>
          <w:szCs w:val="18"/>
          <w:lang w:val="en-US" w:eastAsia="ru-RU"/>
        </w:rPr>
        <w:t>The</w:t>
      </w:r>
      <w:r w:rsidRPr="00F0713B">
        <w:rPr>
          <w:spacing w:val="-2"/>
          <w:sz w:val="18"/>
          <w:szCs w:val="18"/>
          <w:lang w:val="en-US" w:eastAsia="ru-RU"/>
        </w:rPr>
        <w:t xml:space="preserve"> </w:t>
      </w:r>
      <w:r w:rsidRPr="00F0713B">
        <w:rPr>
          <w:i/>
          <w:spacing w:val="-2"/>
          <w:sz w:val="18"/>
          <w:szCs w:val="18"/>
          <w:lang w:val="en-US" w:eastAsia="ru-RU"/>
        </w:rPr>
        <w:t>Group</w:t>
      </w:r>
      <w:r w:rsidRPr="00F0713B">
        <w:rPr>
          <w:spacing w:val="-2"/>
          <w:sz w:val="18"/>
          <w:szCs w:val="18"/>
          <w:lang w:val="en-US" w:eastAsia="ru-RU"/>
        </w:rPr>
        <w:t xml:space="preserve"> </w:t>
      </w:r>
      <w:r w:rsidRPr="00F0713B">
        <w:rPr>
          <w:i/>
          <w:spacing w:val="-2"/>
          <w:sz w:val="18"/>
          <w:szCs w:val="18"/>
          <w:lang w:val="en-US" w:eastAsia="ru-RU"/>
        </w:rPr>
        <w:t>received cash refund from</w:t>
      </w:r>
      <w:r w:rsidRPr="00F0713B">
        <w:rPr>
          <w:spacing w:val="-2"/>
          <w:sz w:val="18"/>
          <w:szCs w:val="18"/>
          <w:lang w:val="en-US" w:eastAsia="ru-RU"/>
        </w:rPr>
        <w:t xml:space="preserve"> </w:t>
      </w:r>
      <w:r w:rsidRPr="00F0713B">
        <w:rPr>
          <w:i/>
          <w:spacing w:val="-2"/>
          <w:sz w:val="18"/>
          <w:szCs w:val="18"/>
          <w:lang w:val="en-US" w:eastAsia="ru-RU"/>
        </w:rPr>
        <w:t>depositories</w:t>
      </w:r>
      <w:r w:rsidRPr="00F0713B">
        <w:rPr>
          <w:spacing w:val="-2"/>
          <w:sz w:val="18"/>
          <w:szCs w:val="18"/>
          <w:lang w:val="en-US" w:eastAsia="ru-RU"/>
        </w:rPr>
        <w:t xml:space="preserve"> </w:t>
      </w:r>
      <w:r w:rsidRPr="00F0713B">
        <w:rPr>
          <w:i/>
          <w:spacing w:val="-2"/>
          <w:sz w:val="18"/>
          <w:szCs w:val="18"/>
          <w:lang w:val="en-US" w:eastAsia="ru-RU"/>
        </w:rPr>
        <w:t>paid</w:t>
      </w:r>
      <w:r w:rsidRPr="00F0713B">
        <w:rPr>
          <w:spacing w:val="-2"/>
          <w:sz w:val="18"/>
          <w:szCs w:val="18"/>
          <w:lang w:val="en-US" w:eastAsia="ru-RU"/>
        </w:rPr>
        <w:t xml:space="preserve"> </w:t>
      </w:r>
      <w:r w:rsidRPr="00F0713B">
        <w:rPr>
          <w:i/>
          <w:spacing w:val="-2"/>
          <w:sz w:val="18"/>
          <w:szCs w:val="18"/>
          <w:lang w:val="en-US" w:eastAsia="ru-RU"/>
        </w:rPr>
        <w:t>as</w:t>
      </w:r>
      <w:r w:rsidRPr="00F0713B">
        <w:rPr>
          <w:spacing w:val="-2"/>
          <w:sz w:val="18"/>
          <w:szCs w:val="18"/>
          <w:lang w:val="en-US" w:eastAsia="ru-RU"/>
        </w:rPr>
        <w:t xml:space="preserve"> </w:t>
      </w:r>
      <w:r w:rsidRPr="00F0713B">
        <w:rPr>
          <w:i/>
          <w:spacing w:val="-2"/>
          <w:sz w:val="18"/>
          <w:szCs w:val="18"/>
          <w:lang w:val="en-US" w:eastAsia="ru-RU"/>
        </w:rPr>
        <w:t>dividends</w:t>
      </w:r>
      <w:r w:rsidRPr="00F0713B">
        <w:rPr>
          <w:spacing w:val="-2"/>
          <w:sz w:val="18"/>
          <w:szCs w:val="18"/>
          <w:lang w:val="en-US" w:eastAsia="ru-RU"/>
        </w:rPr>
        <w:t xml:space="preserve"> </w:t>
      </w:r>
      <w:r w:rsidRPr="00F0713B">
        <w:rPr>
          <w:i/>
          <w:spacing w:val="-2"/>
          <w:sz w:val="18"/>
          <w:szCs w:val="18"/>
          <w:lang w:val="en-US" w:eastAsia="ru-RU"/>
        </w:rPr>
        <w:t>to</w:t>
      </w:r>
      <w:r w:rsidRPr="00F0713B">
        <w:rPr>
          <w:spacing w:val="-2"/>
          <w:sz w:val="18"/>
          <w:szCs w:val="18"/>
          <w:lang w:val="en-US" w:eastAsia="ru-RU"/>
        </w:rPr>
        <w:t xml:space="preserve"> </w:t>
      </w:r>
      <w:r w:rsidRPr="00F0713B">
        <w:rPr>
          <w:i/>
          <w:spacing w:val="-2"/>
          <w:sz w:val="18"/>
          <w:szCs w:val="18"/>
          <w:lang w:val="en-US" w:eastAsia="ru-RU"/>
        </w:rPr>
        <w:t>parties</w:t>
      </w:r>
      <w:r w:rsidRPr="00F0713B">
        <w:rPr>
          <w:spacing w:val="-2"/>
          <w:sz w:val="18"/>
          <w:szCs w:val="18"/>
          <w:lang w:val="en-US" w:eastAsia="ru-RU"/>
        </w:rPr>
        <w:t xml:space="preserve"> </w:t>
      </w:r>
      <w:r w:rsidRPr="00F0713B">
        <w:rPr>
          <w:i/>
          <w:spacing w:val="-2"/>
          <w:sz w:val="18"/>
          <w:szCs w:val="18"/>
          <w:lang w:val="en-US" w:eastAsia="ru-RU"/>
        </w:rPr>
        <w:t>who</w:t>
      </w:r>
      <w:r w:rsidRPr="00F0713B">
        <w:rPr>
          <w:spacing w:val="-2"/>
          <w:sz w:val="18"/>
          <w:szCs w:val="18"/>
          <w:lang w:val="en-US" w:eastAsia="ru-RU"/>
        </w:rPr>
        <w:t xml:space="preserve"> </w:t>
      </w:r>
      <w:r w:rsidRPr="00F0713B">
        <w:rPr>
          <w:i/>
          <w:spacing w:val="-2"/>
          <w:sz w:val="18"/>
          <w:szCs w:val="18"/>
          <w:lang w:val="en-US" w:eastAsia="ru-RU"/>
        </w:rPr>
        <w:t>were</w:t>
      </w:r>
      <w:r w:rsidRPr="00F0713B">
        <w:rPr>
          <w:spacing w:val="-2"/>
          <w:sz w:val="18"/>
          <w:szCs w:val="18"/>
          <w:lang w:val="en-US" w:eastAsia="ru-RU"/>
        </w:rPr>
        <w:t xml:space="preserve"> </w:t>
      </w:r>
      <w:r w:rsidRPr="00F0713B">
        <w:rPr>
          <w:i/>
          <w:spacing w:val="-2"/>
          <w:sz w:val="18"/>
          <w:szCs w:val="18"/>
          <w:lang w:val="en-US" w:eastAsia="ru-RU"/>
        </w:rPr>
        <w:t>entitled</w:t>
      </w:r>
      <w:r w:rsidRPr="00F0713B">
        <w:rPr>
          <w:spacing w:val="-2"/>
          <w:sz w:val="18"/>
          <w:szCs w:val="18"/>
          <w:lang w:val="en-US" w:eastAsia="ru-RU"/>
        </w:rPr>
        <w:t xml:space="preserve"> </w:t>
      </w:r>
      <w:r w:rsidRPr="00F0713B">
        <w:rPr>
          <w:i/>
          <w:spacing w:val="-2"/>
          <w:sz w:val="18"/>
          <w:szCs w:val="18"/>
          <w:lang w:val="en-US" w:eastAsia="ru-RU"/>
        </w:rPr>
        <w:t>to</w:t>
      </w:r>
      <w:r w:rsidRPr="00F0713B">
        <w:rPr>
          <w:spacing w:val="-2"/>
          <w:sz w:val="18"/>
          <w:szCs w:val="18"/>
          <w:lang w:val="en-US" w:eastAsia="ru-RU"/>
        </w:rPr>
        <w:t xml:space="preserve"> </w:t>
      </w:r>
      <w:r w:rsidRPr="00F0713B">
        <w:rPr>
          <w:i/>
          <w:spacing w:val="-2"/>
          <w:sz w:val="18"/>
          <w:szCs w:val="18"/>
          <w:lang w:val="en-US" w:eastAsia="ru-RU"/>
        </w:rPr>
        <w:t>receive</w:t>
      </w:r>
      <w:r w:rsidRPr="00F0713B">
        <w:rPr>
          <w:spacing w:val="-2"/>
          <w:sz w:val="18"/>
          <w:szCs w:val="18"/>
          <w:lang w:val="en-US" w:eastAsia="ru-RU"/>
        </w:rPr>
        <w:t xml:space="preserve"> </w:t>
      </w:r>
      <w:r w:rsidRPr="00F0713B">
        <w:rPr>
          <w:i/>
          <w:spacing w:val="-2"/>
          <w:sz w:val="18"/>
          <w:szCs w:val="18"/>
          <w:lang w:val="en-US" w:eastAsia="ru-RU"/>
        </w:rPr>
        <w:t>them,</w:t>
      </w:r>
      <w:r w:rsidRPr="00F0713B">
        <w:rPr>
          <w:spacing w:val="-2"/>
          <w:sz w:val="18"/>
          <w:szCs w:val="18"/>
          <w:lang w:val="en-US" w:eastAsia="ru-RU"/>
        </w:rPr>
        <w:t xml:space="preserve"> </w:t>
      </w:r>
      <w:r w:rsidRPr="00F0713B">
        <w:rPr>
          <w:i/>
          <w:spacing w:val="-2"/>
          <w:sz w:val="18"/>
          <w:szCs w:val="18"/>
          <w:lang w:val="en-US" w:eastAsia="ru-RU"/>
        </w:rPr>
        <w:t>but</w:t>
      </w:r>
      <w:r w:rsidRPr="00F0713B">
        <w:rPr>
          <w:spacing w:val="-2"/>
          <w:sz w:val="18"/>
          <w:szCs w:val="18"/>
          <w:lang w:val="en-US" w:eastAsia="ru-RU"/>
        </w:rPr>
        <w:t xml:space="preserve"> </w:t>
      </w:r>
      <w:r w:rsidRPr="00F0713B">
        <w:rPr>
          <w:i/>
          <w:spacing w:val="-2"/>
          <w:sz w:val="18"/>
          <w:szCs w:val="18"/>
          <w:lang w:val="en-US" w:eastAsia="ru-RU"/>
        </w:rPr>
        <w:t>didn’t receive dividends due to reasons beyond the depositories’</w:t>
      </w:r>
      <w:r w:rsidRPr="00F0713B">
        <w:rPr>
          <w:spacing w:val="-2"/>
          <w:sz w:val="18"/>
          <w:szCs w:val="18"/>
          <w:lang w:val="en-US" w:eastAsia="ru-RU"/>
        </w:rPr>
        <w:t xml:space="preserve"> </w:t>
      </w:r>
      <w:r w:rsidRPr="00F0713B">
        <w:rPr>
          <w:i/>
          <w:spacing w:val="-2"/>
          <w:sz w:val="18"/>
          <w:szCs w:val="18"/>
          <w:lang w:val="en-US" w:eastAsia="ru-RU"/>
        </w:rPr>
        <w:t>control.</w:t>
      </w:r>
      <w:bookmarkEnd w:id="2"/>
    </w:p>
    <w:sectPr w:rsidR="004356E2" w:rsidRPr="00695AF2" w:rsidSect="00CB6682">
      <w:headerReference w:type="default" r:id="rId28"/>
      <w:footnotePr>
        <w:numRestart w:val="eachPage"/>
      </w:footnotePr>
      <w:pgSz w:w="11907" w:h="16840" w:code="9"/>
      <w:pgMar w:top="1134" w:right="1021" w:bottom="1134" w:left="153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53B62" w14:textId="77777777" w:rsidR="004F24DB" w:rsidRDefault="004F24DB" w:rsidP="007A4AC9">
      <w:pPr>
        <w:spacing w:after="0" w:line="240" w:lineRule="auto"/>
      </w:pPr>
      <w:r>
        <w:separator/>
      </w:r>
    </w:p>
  </w:endnote>
  <w:endnote w:type="continuationSeparator" w:id="0">
    <w:p w14:paraId="7058477B" w14:textId="77777777" w:rsidR="004F24DB" w:rsidRDefault="004F24DB" w:rsidP="007A4AC9">
      <w:pPr>
        <w:spacing w:after="0" w:line="240" w:lineRule="auto"/>
      </w:pPr>
      <w:r>
        <w:continuationSeparator/>
      </w:r>
    </w:p>
  </w:endnote>
  <w:endnote w:type="continuationNotice" w:id="1">
    <w:p w14:paraId="77447244" w14:textId="77777777" w:rsidR="004F24DB" w:rsidRDefault="004F24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Univers 45 Light">
    <w:altName w:val="Calibri"/>
    <w:charset w:val="00"/>
    <w:family w:val="auto"/>
    <w:pitch w:val="variable"/>
    <w:sig w:usb0="8000002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Univers 55">
    <w:altName w:val="Arial Narrow"/>
    <w:charset w:val="00"/>
    <w:family w:val="auto"/>
    <w:pitch w:val="variable"/>
    <w:sig w:usb0="8000002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Univers LT Std 45 Light">
    <w:altName w:val="Calibri"/>
    <w:panose1 w:val="00000000000000000000"/>
    <w:charset w:val="00"/>
    <w:family w:val="swiss"/>
    <w:notTrueType/>
    <w:pitch w:val="variable"/>
    <w:sig w:usb0="00000003" w:usb1="4000204A" w:usb2="00000000" w:usb3="00000000" w:csb0="00000001" w:csb1="00000000"/>
  </w:font>
  <w:font w:name="Helvetica Regular">
    <w:altName w:val="Arial"/>
    <w:panose1 w:val="00000000000000000000"/>
    <w:charset w:val="00"/>
    <w:family w:val="auto"/>
    <w:notTrueType/>
    <w:pitch w:val="default"/>
    <w:sig w:usb0="00000003" w:usb1="00000000" w:usb2="00000000" w:usb3="00000000" w:csb0="00000001" w:csb1="00000000"/>
  </w:font>
  <w:font w:name="KPMG Extralight">
    <w:altName w:val="Corbel"/>
    <w:charset w:val="00"/>
    <w:family w:val="swiss"/>
    <w:pitch w:val="variable"/>
    <w:sig w:usb0="00000007" w:usb1="00000000" w:usb2="00000000" w:usb3="00000000" w:csb0="00000093" w:csb1="00000000"/>
  </w:font>
  <w:font w:name="Arial Bold">
    <w:altName w:val="Arial"/>
    <w:panose1 w:val="00000000000000000000"/>
    <w:charset w:val="00"/>
    <w:family w:val="roman"/>
    <w:notTrueType/>
    <w:pitch w:val="default"/>
  </w:font>
  <w:font w:name="Foco">
    <w:panose1 w:val="020B0504050202020203"/>
    <w:charset w:val="CC"/>
    <w:family w:val="swiss"/>
    <w:pitch w:val="variable"/>
    <w:sig w:usb0="A00002AF" w:usb1="5000205B"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DE34A" w14:textId="77777777" w:rsidR="004F24DB" w:rsidRDefault="004F24DB" w:rsidP="007A4AC9">
      <w:pPr>
        <w:spacing w:after="0" w:line="240" w:lineRule="auto"/>
      </w:pPr>
      <w:r>
        <w:separator/>
      </w:r>
    </w:p>
  </w:footnote>
  <w:footnote w:type="continuationSeparator" w:id="0">
    <w:p w14:paraId="4F6B7013" w14:textId="77777777" w:rsidR="004F24DB" w:rsidRDefault="004F24DB" w:rsidP="007A4AC9">
      <w:pPr>
        <w:spacing w:after="0" w:line="240" w:lineRule="auto"/>
      </w:pPr>
      <w:r>
        <w:continuationSeparator/>
      </w:r>
    </w:p>
  </w:footnote>
  <w:footnote w:type="continuationNotice" w:id="1">
    <w:p w14:paraId="0336CEF9" w14:textId="77777777" w:rsidR="004F24DB" w:rsidRDefault="004F24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4016E" w14:textId="77777777" w:rsidR="00035EBB" w:rsidRPr="00C246DE" w:rsidRDefault="00035EBB" w:rsidP="00C246DE">
    <w:pPr>
      <w:pStyle w:val="a8"/>
    </w:pPr>
    <w:r w:rsidRPr="00C246D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A13E7" w14:textId="77777777" w:rsidR="00035EBB" w:rsidRPr="000952CB" w:rsidRDefault="00035EBB" w:rsidP="002A2232">
    <w:pPr>
      <w:pStyle w:val="a8"/>
      <w:pBdr>
        <w:bottom w:val="single" w:sz="4" w:space="1" w:color="auto"/>
      </w:pBdr>
      <w:jc w:val="right"/>
    </w:pPr>
    <w:r w:rsidRPr="004356E2">
      <w:rPr>
        <w:rFonts w:cs="Calibri"/>
        <w:sz w:val="22"/>
        <w:szCs w:val="22"/>
        <w:lang w:val="ru-RU"/>
      </w:rPr>
      <w:t xml:space="preserve">Консолидированный промежуточный сокращенный отчет о движении денежных средств за </w:t>
    </w:r>
    <w:r>
      <w:rPr>
        <w:rFonts w:cs="Calibri"/>
        <w:sz w:val="22"/>
        <w:szCs w:val="22"/>
        <w:lang w:val="ru-RU"/>
      </w:rPr>
      <w:t>девять</w:t>
    </w:r>
    <w:r w:rsidRPr="004356E2">
      <w:rPr>
        <w:rFonts w:cs="Calibri"/>
        <w:sz w:val="22"/>
        <w:szCs w:val="22"/>
        <w:lang w:val="ru-RU"/>
      </w:rPr>
      <w:t xml:space="preserve"> месяцев, закончившихся 3</w:t>
    </w:r>
    <w:r>
      <w:rPr>
        <w:rFonts w:cs="Calibri"/>
        <w:sz w:val="22"/>
        <w:szCs w:val="22"/>
        <w:lang w:val="ru-RU"/>
      </w:rPr>
      <w:t>1</w:t>
    </w:r>
    <w:r w:rsidRPr="004356E2">
      <w:rPr>
        <w:rFonts w:cs="Calibri"/>
        <w:sz w:val="22"/>
        <w:szCs w:val="22"/>
        <w:lang w:val="ru-RU"/>
      </w:rPr>
      <w:t xml:space="preserve"> </w:t>
    </w:r>
    <w:r>
      <w:rPr>
        <w:rFonts w:cs="Calibri"/>
        <w:sz w:val="22"/>
        <w:szCs w:val="22"/>
        <w:lang w:val="ru-RU"/>
      </w:rPr>
      <w:t>декабря</w:t>
    </w:r>
    <w:r w:rsidRPr="004356E2">
      <w:rPr>
        <w:rFonts w:cs="Calibri"/>
        <w:sz w:val="22"/>
        <w:szCs w:val="22"/>
        <w:lang w:val="ru-RU"/>
      </w:rPr>
      <w:t xml:space="preserve"> 2022 года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4A646" w14:textId="77777777" w:rsidR="00A90FED" w:rsidRPr="00695AF2" w:rsidRDefault="00A90FED" w:rsidP="00A90FED">
    <w:pPr>
      <w:pStyle w:val="a8"/>
      <w:rPr>
        <w:rFonts w:ascii="Arial" w:hAnsi="Arial" w:cs="Arial"/>
        <w:b/>
        <w:bCs/>
        <w:i/>
        <w:lang w:val="en-US" w:eastAsia="zh-CN"/>
      </w:rPr>
    </w:pPr>
    <w:r w:rsidRPr="00A90FED">
      <w:rPr>
        <w:rFonts w:ascii="Arial" w:hAnsi="Arial" w:cs="Arial"/>
        <w:b/>
        <w:bCs/>
        <w:i/>
        <w:lang w:val="en-US" w:eastAsia="zh-CN"/>
      </w:rPr>
      <w:t xml:space="preserve">PJSC “PhosAgro” </w:t>
    </w:r>
  </w:p>
  <w:p w14:paraId="5C29EAAC" w14:textId="1D5C3973" w:rsidR="001A4D5D" w:rsidRPr="00A90FED" w:rsidRDefault="00A90FED" w:rsidP="00A90FED">
    <w:pPr>
      <w:pStyle w:val="a8"/>
      <w:rPr>
        <w:lang w:val="en-US"/>
      </w:rPr>
    </w:pPr>
    <w:r w:rsidRPr="00A90FED">
      <w:rPr>
        <w:rFonts w:ascii="Arial" w:hAnsi="Arial" w:cs="Arial"/>
        <w:i/>
        <w:lang w:val="en-US" w:eastAsia="zh-CN"/>
      </w:rPr>
      <w:t>Consolidated Statement of Profit or Loss and Other Comprehensive Income for 2024</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0B56B" w14:textId="77777777" w:rsidR="00A90FED" w:rsidRPr="00A90FED" w:rsidRDefault="00A90FED" w:rsidP="001B5FA5">
    <w:pPr>
      <w:pStyle w:val="a8"/>
      <w:rPr>
        <w:rFonts w:ascii="Arial" w:hAnsi="Arial" w:cs="Arial"/>
        <w:b/>
        <w:bCs/>
        <w:i/>
        <w:lang w:val="en-US" w:eastAsia="zh-CN"/>
      </w:rPr>
    </w:pPr>
    <w:r w:rsidRPr="00A90FED">
      <w:rPr>
        <w:rFonts w:ascii="Arial" w:hAnsi="Arial" w:cs="Arial"/>
        <w:b/>
        <w:bCs/>
        <w:i/>
        <w:lang w:val="en-US" w:eastAsia="zh-CN"/>
      </w:rPr>
      <w:t xml:space="preserve">PJSC “PhosAgro” </w:t>
    </w:r>
  </w:p>
  <w:p w14:paraId="2AA5713C" w14:textId="6C56E51F" w:rsidR="00035EBB" w:rsidRPr="00A90FED" w:rsidRDefault="00A90FED" w:rsidP="001B5FA5">
    <w:pPr>
      <w:pStyle w:val="a8"/>
      <w:rPr>
        <w:lang w:val="en-US"/>
      </w:rPr>
    </w:pPr>
    <w:r w:rsidRPr="00A90FED">
      <w:rPr>
        <w:rFonts w:ascii="Arial" w:hAnsi="Arial" w:cs="Arial"/>
        <w:i/>
        <w:lang w:val="en-US" w:eastAsia="zh-CN"/>
      </w:rPr>
      <w:t>Consolidated Statement of Financial Position at 31 December 2024</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7F56D" w14:textId="77777777" w:rsidR="00A90FED" w:rsidRPr="00F96536" w:rsidRDefault="00A90FED" w:rsidP="00A90FED">
    <w:pPr>
      <w:pStyle w:val="a8"/>
      <w:ind w:right="-29"/>
      <w:rPr>
        <w:rFonts w:ascii="Arial" w:hAnsi="Arial" w:cs="Arial"/>
        <w:b/>
        <w:bCs/>
        <w:lang w:val="en-GB"/>
      </w:rPr>
    </w:pPr>
    <w:r w:rsidRPr="00AC5D38">
      <w:rPr>
        <w:rFonts w:ascii="Arial" w:hAnsi="Arial" w:cs="Arial"/>
        <w:b/>
        <w:bCs/>
      </w:rPr>
      <w:t>PJSC “</w:t>
    </w:r>
    <w:r w:rsidRPr="00F96536">
      <w:rPr>
        <w:rFonts w:ascii="Arial" w:hAnsi="Arial" w:cs="Arial"/>
        <w:b/>
        <w:bCs/>
      </w:rPr>
      <w:t>PhosAgro”</w:t>
    </w:r>
  </w:p>
  <w:p w14:paraId="5430DD25" w14:textId="43B5596F" w:rsidR="00A90FED" w:rsidRPr="00695AF2" w:rsidRDefault="00A90FED" w:rsidP="00634F3D">
    <w:pPr>
      <w:pStyle w:val="a8"/>
      <w:pBdr>
        <w:bottom w:val="single" w:sz="4" w:space="1" w:color="auto"/>
      </w:pBdr>
      <w:rPr>
        <w:rFonts w:ascii="Arial" w:hAnsi="Arial" w:cs="Arial"/>
        <w:i/>
        <w:iCs/>
        <w:lang w:val="en-US"/>
      </w:rPr>
    </w:pPr>
    <w:bookmarkStart w:id="3" w:name="_Hlk126581668"/>
    <w:r w:rsidRPr="00A90FED">
      <w:rPr>
        <w:rFonts w:ascii="Arial" w:hAnsi="Arial" w:cs="Arial"/>
        <w:i/>
        <w:iCs/>
        <w:lang w:val="en-GB"/>
      </w:rPr>
      <w:t>Consolidated Statement of Cash Flows for 20</w:t>
    </w:r>
    <w:r w:rsidRPr="00A90FED">
      <w:rPr>
        <w:rFonts w:ascii="Arial" w:hAnsi="Arial" w:cs="Arial"/>
        <w:i/>
        <w:iCs/>
      </w:rPr>
      <w:t>24</w:t>
    </w:r>
    <w:bookmarkEnd w:id="3"/>
  </w:p>
  <w:p w14:paraId="74B9F005" w14:textId="6C30AEF5" w:rsidR="00035EBB" w:rsidRPr="00A90FED" w:rsidRDefault="00035EBB" w:rsidP="001B5FA5">
    <w:pPr>
      <w:pStyle w:val="a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E71"/>
    <w:multiLevelType w:val="hybridMultilevel"/>
    <w:tmpl w:val="19A423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D6666"/>
    <w:multiLevelType w:val="hybridMultilevel"/>
    <w:tmpl w:val="6B02B2B0"/>
    <w:lvl w:ilvl="0" w:tplc="0CA8D552">
      <w:start w:val="1"/>
      <w:numFmt w:val="bullet"/>
      <w:pStyle w:val="a"/>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353B7"/>
    <w:multiLevelType w:val="hybridMultilevel"/>
    <w:tmpl w:val="D5E2F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512FBD"/>
    <w:multiLevelType w:val="hybridMultilevel"/>
    <w:tmpl w:val="3AD42622"/>
    <w:lvl w:ilvl="0" w:tplc="A2CE2F3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5A2930"/>
    <w:multiLevelType w:val="hybridMultilevel"/>
    <w:tmpl w:val="EFC0396C"/>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6307A"/>
    <w:multiLevelType w:val="hybridMultilevel"/>
    <w:tmpl w:val="0FA0D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1B620F"/>
    <w:multiLevelType w:val="hybridMultilevel"/>
    <w:tmpl w:val="D7EAAA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E52D9C"/>
    <w:multiLevelType w:val="singleLevel"/>
    <w:tmpl w:val="D25E0B12"/>
    <w:lvl w:ilvl="0">
      <w:start w:val="1"/>
      <w:numFmt w:val="decimal"/>
      <w:pStyle w:val="Report"/>
      <w:lvlText w:val="%1"/>
      <w:lvlJc w:val="left"/>
      <w:pPr>
        <w:tabs>
          <w:tab w:val="num" w:pos="-4"/>
        </w:tabs>
        <w:ind w:left="-4" w:hanging="705"/>
      </w:pPr>
      <w:rPr>
        <w:b w:val="0"/>
        <w:i w:val="0"/>
      </w:rPr>
    </w:lvl>
  </w:abstractNum>
  <w:abstractNum w:abstractNumId="8" w15:restartNumberingAfterBreak="0">
    <w:nsid w:val="183013E9"/>
    <w:multiLevelType w:val="hybridMultilevel"/>
    <w:tmpl w:val="6B3C3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9D36C7"/>
    <w:multiLevelType w:val="hybridMultilevel"/>
    <w:tmpl w:val="AD4E2D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F470E"/>
    <w:multiLevelType w:val="hybridMultilevel"/>
    <w:tmpl w:val="6D32A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D41DB6"/>
    <w:multiLevelType w:val="multilevel"/>
    <w:tmpl w:val="2ED63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576C78"/>
    <w:multiLevelType w:val="multilevel"/>
    <w:tmpl w:val="195E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5702D"/>
    <w:multiLevelType w:val="hybridMultilevel"/>
    <w:tmpl w:val="9042973E"/>
    <w:lvl w:ilvl="0" w:tplc="04190001">
      <w:start w:val="1"/>
      <w:numFmt w:val="bullet"/>
      <w:lvlText w:val=""/>
      <w:lvlJc w:val="left"/>
      <w:pPr>
        <w:ind w:left="1337" w:hanging="360"/>
      </w:pPr>
      <w:rPr>
        <w:rFonts w:ascii="Symbol" w:hAnsi="Symbol" w:hint="default"/>
      </w:rPr>
    </w:lvl>
    <w:lvl w:ilvl="1" w:tplc="04190003" w:tentative="1">
      <w:start w:val="1"/>
      <w:numFmt w:val="bullet"/>
      <w:lvlText w:val="o"/>
      <w:lvlJc w:val="left"/>
      <w:pPr>
        <w:ind w:left="2057" w:hanging="360"/>
      </w:pPr>
      <w:rPr>
        <w:rFonts w:ascii="Courier New" w:hAnsi="Courier New" w:cs="Courier New"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abstractNum w:abstractNumId="14" w15:restartNumberingAfterBreak="0">
    <w:nsid w:val="32A50EE2"/>
    <w:multiLevelType w:val="hybridMultilevel"/>
    <w:tmpl w:val="09E0371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32E23483"/>
    <w:multiLevelType w:val="hybridMultilevel"/>
    <w:tmpl w:val="DA0C7A24"/>
    <w:lvl w:ilvl="0" w:tplc="3EF22616">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064488"/>
    <w:multiLevelType w:val="hybridMultilevel"/>
    <w:tmpl w:val="77382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4933B3"/>
    <w:multiLevelType w:val="hybridMultilevel"/>
    <w:tmpl w:val="34586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3B60EA"/>
    <w:multiLevelType w:val="multilevel"/>
    <w:tmpl w:val="7432FE96"/>
    <w:lvl w:ilvl="0">
      <w:start w:val="1"/>
      <w:numFmt w:val="decimal"/>
      <w:lvlText w:val="%1"/>
      <w:lvlJc w:val="left"/>
      <w:pPr>
        <w:tabs>
          <w:tab w:val="num" w:pos="964"/>
        </w:tabs>
        <w:ind w:left="964" w:hanging="964"/>
      </w:pPr>
      <w:rPr>
        <w:rFonts w:ascii="Arial" w:hAnsi="Arial" w:cs="Arial" w:hint="default"/>
        <w:b/>
        <w:color w:val="00B6DA"/>
        <w:sz w:val="20"/>
      </w:rPr>
    </w:lvl>
    <w:lvl w:ilvl="1">
      <w:start w:val="2"/>
      <w:numFmt w:val="lowerLetter"/>
      <w:lvlText w:val="(%2)"/>
      <w:lvlJc w:val="left"/>
      <w:pPr>
        <w:tabs>
          <w:tab w:val="num" w:pos="3658"/>
        </w:tabs>
        <w:ind w:left="3658" w:hanging="964"/>
      </w:pPr>
      <w:rPr>
        <w:rFonts w:hint="default"/>
        <w:b/>
      </w:rPr>
    </w:lvl>
    <w:lvl w:ilvl="2">
      <w:start w:val="2"/>
      <w:numFmt w:val="lowerRoman"/>
      <w:lvlText w:val="(%3)"/>
      <w:lvlJc w:val="left"/>
      <w:pPr>
        <w:tabs>
          <w:tab w:val="num" w:pos="0"/>
        </w:tabs>
        <w:ind w:left="0" w:hanging="964"/>
      </w:pPr>
      <w:rPr>
        <w:rFonts w:hint="default"/>
      </w:rPr>
    </w:lvl>
    <w:lvl w:ilvl="3">
      <w:start w:val="1"/>
      <w:numFmt w:val="decimal"/>
      <w:lvlText w:val="%1.%2.%3.%4"/>
      <w:lvlJc w:val="left"/>
      <w:pPr>
        <w:tabs>
          <w:tab w:val="num" w:pos="20"/>
        </w:tabs>
        <w:ind w:left="0"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E04512E"/>
    <w:multiLevelType w:val="hybridMultilevel"/>
    <w:tmpl w:val="D5CED666"/>
    <w:lvl w:ilvl="0" w:tplc="04090001">
      <w:start w:val="1"/>
      <w:numFmt w:val="bullet"/>
      <w:lvlText w:val=""/>
      <w:lvlJc w:val="left"/>
      <w:pPr>
        <w:ind w:left="2062" w:hanging="360"/>
      </w:pPr>
      <w:rPr>
        <w:rFonts w:ascii="Symbol" w:hAnsi="Symbol" w:hint="default"/>
      </w:rPr>
    </w:lvl>
    <w:lvl w:ilvl="1" w:tplc="B186F270">
      <w:start w:val="1"/>
      <w:numFmt w:val="bullet"/>
      <w:lvlText w:val=""/>
      <w:lvlJc w:val="left"/>
      <w:pPr>
        <w:ind w:left="6315" w:hanging="360"/>
      </w:pPr>
      <w:rPr>
        <w:rFonts w:ascii="Wingdings" w:hAnsi="Wingdings" w:hint="default"/>
        <w:lang w:val="ru-RU"/>
      </w:rPr>
    </w:lvl>
    <w:lvl w:ilvl="2" w:tplc="04090005">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20" w15:restartNumberingAfterBreak="0">
    <w:nsid w:val="436546A8"/>
    <w:multiLevelType w:val="hybridMultilevel"/>
    <w:tmpl w:val="B322A5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42513DC"/>
    <w:multiLevelType w:val="hybridMultilevel"/>
    <w:tmpl w:val="AF2EEE16"/>
    <w:lvl w:ilvl="0" w:tplc="53D695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7E2C3D"/>
    <w:multiLevelType w:val="hybridMultilevel"/>
    <w:tmpl w:val="C6262756"/>
    <w:lvl w:ilvl="0" w:tplc="F90AA62E">
      <w:start w:val="1"/>
      <w:numFmt w:val="bullet"/>
      <w:pStyle w:val="bulle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264C14"/>
    <w:multiLevelType w:val="hybridMultilevel"/>
    <w:tmpl w:val="01BAA0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DC2CE3"/>
    <w:multiLevelType w:val="hybridMultilevel"/>
    <w:tmpl w:val="52F2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5B502E"/>
    <w:multiLevelType w:val="hybridMultilevel"/>
    <w:tmpl w:val="60064D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EBB0EE8"/>
    <w:multiLevelType w:val="hybridMultilevel"/>
    <w:tmpl w:val="2EB4FE38"/>
    <w:name w:val="Notes Page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E71461"/>
    <w:multiLevelType w:val="hybridMultilevel"/>
    <w:tmpl w:val="DD14E0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29B5182"/>
    <w:multiLevelType w:val="hybridMultilevel"/>
    <w:tmpl w:val="71624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0B6F6F"/>
    <w:multiLevelType w:val="hybridMultilevel"/>
    <w:tmpl w:val="93AA4702"/>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DB27C1"/>
    <w:multiLevelType w:val="hybridMultilevel"/>
    <w:tmpl w:val="A1EEBAC6"/>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1" w15:restartNumberingAfterBreak="0">
    <w:nsid w:val="58003228"/>
    <w:multiLevelType w:val="hybridMultilevel"/>
    <w:tmpl w:val="E028EE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04E4B09"/>
    <w:multiLevelType w:val="hybridMultilevel"/>
    <w:tmpl w:val="DF7E7C74"/>
    <w:lvl w:ilvl="0" w:tplc="A2CE2F3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5437B0"/>
    <w:multiLevelType w:val="hybridMultilevel"/>
    <w:tmpl w:val="2EC8F7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66AE7EB8"/>
    <w:multiLevelType w:val="hybridMultilevel"/>
    <w:tmpl w:val="46C69C30"/>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2A13B1"/>
    <w:multiLevelType w:val="hybridMultilevel"/>
    <w:tmpl w:val="612A0A36"/>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C4030FF"/>
    <w:multiLevelType w:val="singleLevel"/>
    <w:tmpl w:val="06F64BC0"/>
    <w:lvl w:ilvl="0">
      <w:start w:val="1"/>
      <w:numFmt w:val="bullet"/>
      <w:pStyle w:val="2"/>
      <w:lvlText w:val="-"/>
      <w:lvlJc w:val="left"/>
      <w:pPr>
        <w:tabs>
          <w:tab w:val="num" w:pos="680"/>
        </w:tabs>
        <w:ind w:left="680" w:hanging="340"/>
      </w:pPr>
      <w:rPr>
        <w:rFonts w:ascii="Times New Roman" w:hAnsi="Times New Roman" w:hint="default"/>
      </w:rPr>
    </w:lvl>
  </w:abstractNum>
  <w:abstractNum w:abstractNumId="37" w15:restartNumberingAfterBreak="0">
    <w:nsid w:val="72591CA9"/>
    <w:multiLevelType w:val="multilevel"/>
    <w:tmpl w:val="F37C7346"/>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8" w15:restartNumberingAfterBreak="0">
    <w:nsid w:val="7495498F"/>
    <w:multiLevelType w:val="multilevel"/>
    <w:tmpl w:val="01F804E0"/>
    <w:lvl w:ilvl="0">
      <w:start w:val="1"/>
      <w:numFmt w:val="none"/>
      <w:pStyle w:val="TableBodyRowHeading"/>
      <w:suff w:val="nothing"/>
      <w:lvlText w:val=""/>
      <w:lvlJc w:val="left"/>
      <w:pPr>
        <w:ind w:left="0" w:firstLine="0"/>
      </w:pPr>
      <w:rPr>
        <w:rFonts w:hint="default"/>
      </w:rPr>
    </w:lvl>
    <w:lvl w:ilvl="1">
      <w:start w:val="1"/>
      <w:numFmt w:val="decimal"/>
      <w:lvlText w:val="%1%2."/>
      <w:lvlJc w:val="left"/>
      <w:pPr>
        <w:ind w:left="720" w:hanging="720"/>
      </w:pPr>
      <w:rPr>
        <w:rFonts w:hint="default"/>
      </w:rPr>
    </w:lvl>
    <w:lvl w:ilvl="2">
      <w:start w:val="1"/>
      <w:numFmt w:val="lowerLetter"/>
      <w:suff w:val="space"/>
      <w:lvlText w:val="%1%3."/>
      <w:lvlJc w:val="left"/>
      <w:pPr>
        <w:ind w:left="72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9E14D8"/>
    <w:multiLevelType w:val="hybridMultilevel"/>
    <w:tmpl w:val="CA1C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5A6207A"/>
    <w:multiLevelType w:val="hybridMultilevel"/>
    <w:tmpl w:val="63DED0D6"/>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77E5F97"/>
    <w:multiLevelType w:val="multilevel"/>
    <w:tmpl w:val="F1BE9EC2"/>
    <w:lvl w:ilvl="0">
      <w:start w:val="1"/>
      <w:numFmt w:val="upperLetter"/>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2" w15:restartNumberingAfterBreak="0">
    <w:nsid w:val="79E2255F"/>
    <w:multiLevelType w:val="hybridMultilevel"/>
    <w:tmpl w:val="50C4EA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265984"/>
    <w:multiLevelType w:val="hybridMultilevel"/>
    <w:tmpl w:val="C756E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E195590"/>
    <w:multiLevelType w:val="hybridMultilevel"/>
    <w:tmpl w:val="AE522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B00ACD"/>
    <w:multiLevelType w:val="hybridMultilevel"/>
    <w:tmpl w:val="751E77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1"/>
  </w:num>
  <w:num w:numId="3">
    <w:abstractNumId w:val="1"/>
  </w:num>
  <w:num w:numId="4">
    <w:abstractNumId w:val="36"/>
  </w:num>
  <w:num w:numId="5">
    <w:abstractNumId w:val="7"/>
  </w:num>
  <w:num w:numId="6">
    <w:abstractNumId w:val="30"/>
  </w:num>
  <w:num w:numId="7">
    <w:abstractNumId w:val="35"/>
  </w:num>
  <w:num w:numId="8">
    <w:abstractNumId w:val="34"/>
  </w:num>
  <w:num w:numId="9">
    <w:abstractNumId w:val="26"/>
  </w:num>
  <w:num w:numId="10">
    <w:abstractNumId w:val="5"/>
  </w:num>
  <w:num w:numId="11">
    <w:abstractNumId w:val="12"/>
  </w:num>
  <w:num w:numId="12">
    <w:abstractNumId w:val="24"/>
  </w:num>
  <w:num w:numId="13">
    <w:abstractNumId w:val="6"/>
  </w:num>
  <w:num w:numId="14">
    <w:abstractNumId w:val="29"/>
  </w:num>
  <w:num w:numId="15">
    <w:abstractNumId w:val="40"/>
  </w:num>
  <w:num w:numId="16">
    <w:abstractNumId w:val="28"/>
  </w:num>
  <w:num w:numId="17">
    <w:abstractNumId w:val="4"/>
  </w:num>
  <w:num w:numId="18">
    <w:abstractNumId w:val="39"/>
  </w:num>
  <w:num w:numId="19">
    <w:abstractNumId w:val="2"/>
  </w:num>
  <w:num w:numId="20">
    <w:abstractNumId w:val="11"/>
  </w:num>
  <w:num w:numId="21">
    <w:abstractNumId w:val="17"/>
  </w:num>
  <w:num w:numId="22">
    <w:abstractNumId w:val="43"/>
  </w:num>
  <w:num w:numId="23">
    <w:abstractNumId w:val="10"/>
  </w:num>
  <w:num w:numId="24">
    <w:abstractNumId w:val="13"/>
  </w:num>
  <w:num w:numId="25">
    <w:abstractNumId w:val="25"/>
  </w:num>
  <w:num w:numId="26">
    <w:abstractNumId w:val="19"/>
  </w:num>
  <w:num w:numId="27">
    <w:abstractNumId w:val="33"/>
  </w:num>
  <w:num w:numId="28">
    <w:abstractNumId w:val="14"/>
  </w:num>
  <w:num w:numId="29">
    <w:abstractNumId w:val="27"/>
  </w:num>
  <w:num w:numId="30">
    <w:abstractNumId w:val="18"/>
  </w:num>
  <w:num w:numId="31">
    <w:abstractNumId w:val="1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3"/>
  </w:num>
  <w:num w:numId="34">
    <w:abstractNumId w:val="22"/>
  </w:num>
  <w:num w:numId="35">
    <w:abstractNumId w:val="37"/>
  </w:num>
  <w:num w:numId="36">
    <w:abstractNumId w:val="38"/>
  </w:num>
  <w:num w:numId="37">
    <w:abstractNumId w:val="16"/>
  </w:num>
  <w:num w:numId="38">
    <w:abstractNumId w:val="32"/>
  </w:num>
  <w:num w:numId="39">
    <w:abstractNumId w:val="23"/>
  </w:num>
  <w:num w:numId="40">
    <w:abstractNumId w:val="0"/>
  </w:num>
  <w:num w:numId="41">
    <w:abstractNumId w:val="42"/>
  </w:num>
  <w:num w:numId="42">
    <w:abstractNumId w:val="9"/>
  </w:num>
  <w:num w:numId="43">
    <w:abstractNumId w:val="45"/>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num>
  <w:num w:numId="46">
    <w:abstractNumId w:val="8"/>
  </w:num>
  <w:num w:numId="47">
    <w:abstractNumId w:val="21"/>
  </w:num>
  <w:num w:numId="4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CA"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ru-RU"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19"/>
    <w:rsid w:val="00000846"/>
    <w:rsid w:val="00001942"/>
    <w:rsid w:val="00001D05"/>
    <w:rsid w:val="00001F89"/>
    <w:rsid w:val="00001FEF"/>
    <w:rsid w:val="000025A6"/>
    <w:rsid w:val="0000299F"/>
    <w:rsid w:val="00002C0A"/>
    <w:rsid w:val="000031C7"/>
    <w:rsid w:val="000033D9"/>
    <w:rsid w:val="000035F7"/>
    <w:rsid w:val="00003D5B"/>
    <w:rsid w:val="0000407F"/>
    <w:rsid w:val="00004266"/>
    <w:rsid w:val="000046B4"/>
    <w:rsid w:val="000048AD"/>
    <w:rsid w:val="0000491F"/>
    <w:rsid w:val="00004C4C"/>
    <w:rsid w:val="00005462"/>
    <w:rsid w:val="00005B13"/>
    <w:rsid w:val="00005D00"/>
    <w:rsid w:val="00006652"/>
    <w:rsid w:val="00006824"/>
    <w:rsid w:val="00006D33"/>
    <w:rsid w:val="00006D98"/>
    <w:rsid w:val="00006F31"/>
    <w:rsid w:val="00006F86"/>
    <w:rsid w:val="00007003"/>
    <w:rsid w:val="0000738F"/>
    <w:rsid w:val="00007463"/>
    <w:rsid w:val="00007884"/>
    <w:rsid w:val="00007BB2"/>
    <w:rsid w:val="00007E0D"/>
    <w:rsid w:val="00010035"/>
    <w:rsid w:val="000101AC"/>
    <w:rsid w:val="00010425"/>
    <w:rsid w:val="000106E8"/>
    <w:rsid w:val="000107EB"/>
    <w:rsid w:val="00010804"/>
    <w:rsid w:val="00010823"/>
    <w:rsid w:val="000108FF"/>
    <w:rsid w:val="00010BC6"/>
    <w:rsid w:val="00010F28"/>
    <w:rsid w:val="0001128E"/>
    <w:rsid w:val="000114E0"/>
    <w:rsid w:val="0001156D"/>
    <w:rsid w:val="00011F77"/>
    <w:rsid w:val="000123E0"/>
    <w:rsid w:val="00012440"/>
    <w:rsid w:val="0001275C"/>
    <w:rsid w:val="00012E68"/>
    <w:rsid w:val="000130A8"/>
    <w:rsid w:val="000132A9"/>
    <w:rsid w:val="0001334B"/>
    <w:rsid w:val="000134CC"/>
    <w:rsid w:val="000135DB"/>
    <w:rsid w:val="00013732"/>
    <w:rsid w:val="00013D96"/>
    <w:rsid w:val="0001420A"/>
    <w:rsid w:val="00014243"/>
    <w:rsid w:val="000142FF"/>
    <w:rsid w:val="0001436B"/>
    <w:rsid w:val="0001480F"/>
    <w:rsid w:val="00014981"/>
    <w:rsid w:val="00014A4E"/>
    <w:rsid w:val="00014C0F"/>
    <w:rsid w:val="00014D65"/>
    <w:rsid w:val="0001554C"/>
    <w:rsid w:val="00015C30"/>
    <w:rsid w:val="00016C4F"/>
    <w:rsid w:val="00016C96"/>
    <w:rsid w:val="00016CAD"/>
    <w:rsid w:val="0001705B"/>
    <w:rsid w:val="000170E9"/>
    <w:rsid w:val="00017120"/>
    <w:rsid w:val="0001712B"/>
    <w:rsid w:val="000173AA"/>
    <w:rsid w:val="00017A6E"/>
    <w:rsid w:val="00017E02"/>
    <w:rsid w:val="00020333"/>
    <w:rsid w:val="00020546"/>
    <w:rsid w:val="00020B66"/>
    <w:rsid w:val="00020ED1"/>
    <w:rsid w:val="00021061"/>
    <w:rsid w:val="00021212"/>
    <w:rsid w:val="00021942"/>
    <w:rsid w:val="00021A9B"/>
    <w:rsid w:val="00021AC5"/>
    <w:rsid w:val="00021C2A"/>
    <w:rsid w:val="00021E96"/>
    <w:rsid w:val="00022080"/>
    <w:rsid w:val="000220F2"/>
    <w:rsid w:val="00022477"/>
    <w:rsid w:val="000224D8"/>
    <w:rsid w:val="00022D04"/>
    <w:rsid w:val="00022D6A"/>
    <w:rsid w:val="00022F61"/>
    <w:rsid w:val="00023093"/>
    <w:rsid w:val="000231A0"/>
    <w:rsid w:val="0002321D"/>
    <w:rsid w:val="000232B9"/>
    <w:rsid w:val="000232F4"/>
    <w:rsid w:val="0002338F"/>
    <w:rsid w:val="0002346E"/>
    <w:rsid w:val="000236F2"/>
    <w:rsid w:val="000239FF"/>
    <w:rsid w:val="00023A0F"/>
    <w:rsid w:val="00023B66"/>
    <w:rsid w:val="00023B75"/>
    <w:rsid w:val="00023ECF"/>
    <w:rsid w:val="00023F60"/>
    <w:rsid w:val="00023FDA"/>
    <w:rsid w:val="00024108"/>
    <w:rsid w:val="000242C3"/>
    <w:rsid w:val="000248C5"/>
    <w:rsid w:val="000249B8"/>
    <w:rsid w:val="00024A85"/>
    <w:rsid w:val="00024C4B"/>
    <w:rsid w:val="00024D3E"/>
    <w:rsid w:val="00024FB8"/>
    <w:rsid w:val="000250CE"/>
    <w:rsid w:val="00025263"/>
    <w:rsid w:val="0002560F"/>
    <w:rsid w:val="00025690"/>
    <w:rsid w:val="000258B0"/>
    <w:rsid w:val="00025943"/>
    <w:rsid w:val="000259CA"/>
    <w:rsid w:val="000261CA"/>
    <w:rsid w:val="00026287"/>
    <w:rsid w:val="000262EE"/>
    <w:rsid w:val="00026959"/>
    <w:rsid w:val="000269E4"/>
    <w:rsid w:val="00026E51"/>
    <w:rsid w:val="00026F3C"/>
    <w:rsid w:val="00027756"/>
    <w:rsid w:val="00027E2E"/>
    <w:rsid w:val="0003041A"/>
    <w:rsid w:val="0003052F"/>
    <w:rsid w:val="00030573"/>
    <w:rsid w:val="0003074B"/>
    <w:rsid w:val="00030886"/>
    <w:rsid w:val="00030B27"/>
    <w:rsid w:val="00030B96"/>
    <w:rsid w:val="00030DA3"/>
    <w:rsid w:val="000311C5"/>
    <w:rsid w:val="00031A2D"/>
    <w:rsid w:val="00032631"/>
    <w:rsid w:val="00032727"/>
    <w:rsid w:val="000329C6"/>
    <w:rsid w:val="00033280"/>
    <w:rsid w:val="00033391"/>
    <w:rsid w:val="0003371A"/>
    <w:rsid w:val="000337A4"/>
    <w:rsid w:val="0003392F"/>
    <w:rsid w:val="00033A0F"/>
    <w:rsid w:val="00033F9B"/>
    <w:rsid w:val="0003427B"/>
    <w:rsid w:val="000343CF"/>
    <w:rsid w:val="00034562"/>
    <w:rsid w:val="00034FCB"/>
    <w:rsid w:val="00035212"/>
    <w:rsid w:val="00035718"/>
    <w:rsid w:val="00035BF6"/>
    <w:rsid w:val="00035C51"/>
    <w:rsid w:val="00035C84"/>
    <w:rsid w:val="00035E04"/>
    <w:rsid w:val="00035EBB"/>
    <w:rsid w:val="00035F83"/>
    <w:rsid w:val="00035F87"/>
    <w:rsid w:val="00036C39"/>
    <w:rsid w:val="00036F02"/>
    <w:rsid w:val="0003703C"/>
    <w:rsid w:val="00037484"/>
    <w:rsid w:val="000374D0"/>
    <w:rsid w:val="00040005"/>
    <w:rsid w:val="00040021"/>
    <w:rsid w:val="000404CE"/>
    <w:rsid w:val="00040827"/>
    <w:rsid w:val="00040C09"/>
    <w:rsid w:val="00040EE1"/>
    <w:rsid w:val="000410F8"/>
    <w:rsid w:val="000412D2"/>
    <w:rsid w:val="000412DF"/>
    <w:rsid w:val="00041301"/>
    <w:rsid w:val="00041324"/>
    <w:rsid w:val="000415CE"/>
    <w:rsid w:val="000415D0"/>
    <w:rsid w:val="00041844"/>
    <w:rsid w:val="00041CAC"/>
    <w:rsid w:val="00041D7A"/>
    <w:rsid w:val="00041E62"/>
    <w:rsid w:val="0004219A"/>
    <w:rsid w:val="00042204"/>
    <w:rsid w:val="000423DF"/>
    <w:rsid w:val="00042534"/>
    <w:rsid w:val="000429C9"/>
    <w:rsid w:val="00042CA7"/>
    <w:rsid w:val="00042DDD"/>
    <w:rsid w:val="00042E0D"/>
    <w:rsid w:val="00043345"/>
    <w:rsid w:val="00043CE0"/>
    <w:rsid w:val="00043FE1"/>
    <w:rsid w:val="000443E6"/>
    <w:rsid w:val="0004442E"/>
    <w:rsid w:val="000444A1"/>
    <w:rsid w:val="0004458B"/>
    <w:rsid w:val="000446D1"/>
    <w:rsid w:val="00044913"/>
    <w:rsid w:val="000449C8"/>
    <w:rsid w:val="00044AF3"/>
    <w:rsid w:val="00044BE5"/>
    <w:rsid w:val="00044C8C"/>
    <w:rsid w:val="000450D4"/>
    <w:rsid w:val="00045760"/>
    <w:rsid w:val="00045801"/>
    <w:rsid w:val="00045C9A"/>
    <w:rsid w:val="0004605B"/>
    <w:rsid w:val="00046422"/>
    <w:rsid w:val="0004646C"/>
    <w:rsid w:val="0004698A"/>
    <w:rsid w:val="00046D5C"/>
    <w:rsid w:val="00046E7E"/>
    <w:rsid w:val="0004708C"/>
    <w:rsid w:val="000470E4"/>
    <w:rsid w:val="00047494"/>
    <w:rsid w:val="00047E4D"/>
    <w:rsid w:val="00047FC5"/>
    <w:rsid w:val="000501BE"/>
    <w:rsid w:val="00050A1A"/>
    <w:rsid w:val="00050D20"/>
    <w:rsid w:val="000510AB"/>
    <w:rsid w:val="00051A5E"/>
    <w:rsid w:val="00051DB4"/>
    <w:rsid w:val="00052003"/>
    <w:rsid w:val="000522DA"/>
    <w:rsid w:val="000528AF"/>
    <w:rsid w:val="00052937"/>
    <w:rsid w:val="00052D1C"/>
    <w:rsid w:val="00052D95"/>
    <w:rsid w:val="00052F12"/>
    <w:rsid w:val="00052F52"/>
    <w:rsid w:val="000531C6"/>
    <w:rsid w:val="0005398F"/>
    <w:rsid w:val="00053E20"/>
    <w:rsid w:val="00054513"/>
    <w:rsid w:val="00054CED"/>
    <w:rsid w:val="00054F58"/>
    <w:rsid w:val="00055166"/>
    <w:rsid w:val="00055363"/>
    <w:rsid w:val="000557EF"/>
    <w:rsid w:val="000559BB"/>
    <w:rsid w:val="0005636B"/>
    <w:rsid w:val="00056378"/>
    <w:rsid w:val="000569F1"/>
    <w:rsid w:val="00056BA0"/>
    <w:rsid w:val="00057349"/>
    <w:rsid w:val="0005789D"/>
    <w:rsid w:val="00057B66"/>
    <w:rsid w:val="00057CEF"/>
    <w:rsid w:val="00057ECD"/>
    <w:rsid w:val="000602D1"/>
    <w:rsid w:val="00060358"/>
    <w:rsid w:val="00060854"/>
    <w:rsid w:val="0006094E"/>
    <w:rsid w:val="00060C44"/>
    <w:rsid w:val="00060C87"/>
    <w:rsid w:val="00060DC8"/>
    <w:rsid w:val="00061291"/>
    <w:rsid w:val="000613E2"/>
    <w:rsid w:val="00061AC0"/>
    <w:rsid w:val="00062401"/>
    <w:rsid w:val="0006240E"/>
    <w:rsid w:val="000624D3"/>
    <w:rsid w:val="00062945"/>
    <w:rsid w:val="00062AF6"/>
    <w:rsid w:val="00062BE4"/>
    <w:rsid w:val="00063916"/>
    <w:rsid w:val="00063D93"/>
    <w:rsid w:val="0006400E"/>
    <w:rsid w:val="00064198"/>
    <w:rsid w:val="000643A8"/>
    <w:rsid w:val="00064722"/>
    <w:rsid w:val="00064E70"/>
    <w:rsid w:val="000652DF"/>
    <w:rsid w:val="0006576B"/>
    <w:rsid w:val="00065ABF"/>
    <w:rsid w:val="00065C19"/>
    <w:rsid w:val="000660E9"/>
    <w:rsid w:val="00066584"/>
    <w:rsid w:val="00066B38"/>
    <w:rsid w:val="00066C19"/>
    <w:rsid w:val="00066EEA"/>
    <w:rsid w:val="000676B6"/>
    <w:rsid w:val="00067777"/>
    <w:rsid w:val="00067CC2"/>
    <w:rsid w:val="00067EF0"/>
    <w:rsid w:val="00070072"/>
    <w:rsid w:val="00070081"/>
    <w:rsid w:val="000702E2"/>
    <w:rsid w:val="0007041E"/>
    <w:rsid w:val="00070452"/>
    <w:rsid w:val="00070877"/>
    <w:rsid w:val="000709E0"/>
    <w:rsid w:val="00070A0D"/>
    <w:rsid w:val="00070E48"/>
    <w:rsid w:val="00070FAB"/>
    <w:rsid w:val="0007168D"/>
    <w:rsid w:val="00071814"/>
    <w:rsid w:val="00071C59"/>
    <w:rsid w:val="00072F33"/>
    <w:rsid w:val="00073DD1"/>
    <w:rsid w:val="00073FBC"/>
    <w:rsid w:val="000740BF"/>
    <w:rsid w:val="00074418"/>
    <w:rsid w:val="0007497C"/>
    <w:rsid w:val="00074A6F"/>
    <w:rsid w:val="00075105"/>
    <w:rsid w:val="00075185"/>
    <w:rsid w:val="000756A5"/>
    <w:rsid w:val="00075DAD"/>
    <w:rsid w:val="00076435"/>
    <w:rsid w:val="0007666B"/>
    <w:rsid w:val="000769C3"/>
    <w:rsid w:val="00076BF4"/>
    <w:rsid w:val="00076D71"/>
    <w:rsid w:val="0007775A"/>
    <w:rsid w:val="0008008A"/>
    <w:rsid w:val="0008041E"/>
    <w:rsid w:val="000806D8"/>
    <w:rsid w:val="00080DF3"/>
    <w:rsid w:val="00081066"/>
    <w:rsid w:val="000811F7"/>
    <w:rsid w:val="00081FB9"/>
    <w:rsid w:val="00082152"/>
    <w:rsid w:val="00082166"/>
    <w:rsid w:val="0008228A"/>
    <w:rsid w:val="00082346"/>
    <w:rsid w:val="000827F9"/>
    <w:rsid w:val="00082BC4"/>
    <w:rsid w:val="00082BD3"/>
    <w:rsid w:val="00082C2A"/>
    <w:rsid w:val="00083EA5"/>
    <w:rsid w:val="000843CD"/>
    <w:rsid w:val="00084505"/>
    <w:rsid w:val="000848F5"/>
    <w:rsid w:val="00084D74"/>
    <w:rsid w:val="0008559A"/>
    <w:rsid w:val="00085A43"/>
    <w:rsid w:val="00085CA8"/>
    <w:rsid w:val="000863D0"/>
    <w:rsid w:val="00086590"/>
    <w:rsid w:val="00086607"/>
    <w:rsid w:val="0008699D"/>
    <w:rsid w:val="000869F5"/>
    <w:rsid w:val="00086B83"/>
    <w:rsid w:val="00086C1A"/>
    <w:rsid w:val="00086FB9"/>
    <w:rsid w:val="0008706C"/>
    <w:rsid w:val="000876FE"/>
    <w:rsid w:val="000877C6"/>
    <w:rsid w:val="000879CC"/>
    <w:rsid w:val="00087F9A"/>
    <w:rsid w:val="000900C8"/>
    <w:rsid w:val="000900E7"/>
    <w:rsid w:val="000906FF"/>
    <w:rsid w:val="00090AE0"/>
    <w:rsid w:val="00090D00"/>
    <w:rsid w:val="00090DFB"/>
    <w:rsid w:val="00091304"/>
    <w:rsid w:val="000914D1"/>
    <w:rsid w:val="00091897"/>
    <w:rsid w:val="000919B5"/>
    <w:rsid w:val="00091AE6"/>
    <w:rsid w:val="000920F1"/>
    <w:rsid w:val="00092216"/>
    <w:rsid w:val="0009269F"/>
    <w:rsid w:val="000926FE"/>
    <w:rsid w:val="000928B1"/>
    <w:rsid w:val="0009358C"/>
    <w:rsid w:val="00093C3D"/>
    <w:rsid w:val="00093CFF"/>
    <w:rsid w:val="00094140"/>
    <w:rsid w:val="000941F2"/>
    <w:rsid w:val="0009444D"/>
    <w:rsid w:val="0009496D"/>
    <w:rsid w:val="00094E43"/>
    <w:rsid w:val="000952CB"/>
    <w:rsid w:val="00095556"/>
    <w:rsid w:val="000958A6"/>
    <w:rsid w:val="00095B0D"/>
    <w:rsid w:val="000961FF"/>
    <w:rsid w:val="000964AB"/>
    <w:rsid w:val="000966C0"/>
    <w:rsid w:val="00096DAA"/>
    <w:rsid w:val="000972E0"/>
    <w:rsid w:val="0009771E"/>
    <w:rsid w:val="0009775E"/>
    <w:rsid w:val="000A016B"/>
    <w:rsid w:val="000A02C5"/>
    <w:rsid w:val="000A0A6D"/>
    <w:rsid w:val="000A0C72"/>
    <w:rsid w:val="000A0CE6"/>
    <w:rsid w:val="000A0E4F"/>
    <w:rsid w:val="000A0E74"/>
    <w:rsid w:val="000A0F56"/>
    <w:rsid w:val="000A117D"/>
    <w:rsid w:val="000A1495"/>
    <w:rsid w:val="000A1948"/>
    <w:rsid w:val="000A1D03"/>
    <w:rsid w:val="000A1F67"/>
    <w:rsid w:val="000A230B"/>
    <w:rsid w:val="000A23E6"/>
    <w:rsid w:val="000A24DA"/>
    <w:rsid w:val="000A2542"/>
    <w:rsid w:val="000A2698"/>
    <w:rsid w:val="000A2CD3"/>
    <w:rsid w:val="000A3239"/>
    <w:rsid w:val="000A32FD"/>
    <w:rsid w:val="000A3463"/>
    <w:rsid w:val="000A34BC"/>
    <w:rsid w:val="000A34E4"/>
    <w:rsid w:val="000A3824"/>
    <w:rsid w:val="000A3966"/>
    <w:rsid w:val="000A3BDB"/>
    <w:rsid w:val="000A3E72"/>
    <w:rsid w:val="000A3F38"/>
    <w:rsid w:val="000A3FAA"/>
    <w:rsid w:val="000A3FB6"/>
    <w:rsid w:val="000A4488"/>
    <w:rsid w:val="000A45F6"/>
    <w:rsid w:val="000A47A3"/>
    <w:rsid w:val="000A482D"/>
    <w:rsid w:val="000A4AED"/>
    <w:rsid w:val="000A4B0A"/>
    <w:rsid w:val="000A4BB9"/>
    <w:rsid w:val="000A5791"/>
    <w:rsid w:val="000A584B"/>
    <w:rsid w:val="000A59C8"/>
    <w:rsid w:val="000A6173"/>
    <w:rsid w:val="000A6234"/>
    <w:rsid w:val="000A652C"/>
    <w:rsid w:val="000A6D10"/>
    <w:rsid w:val="000A7582"/>
    <w:rsid w:val="000A777A"/>
    <w:rsid w:val="000A782A"/>
    <w:rsid w:val="000A79EC"/>
    <w:rsid w:val="000A7DE6"/>
    <w:rsid w:val="000B0154"/>
    <w:rsid w:val="000B0392"/>
    <w:rsid w:val="000B0492"/>
    <w:rsid w:val="000B0C25"/>
    <w:rsid w:val="000B1134"/>
    <w:rsid w:val="000B130A"/>
    <w:rsid w:val="000B16AB"/>
    <w:rsid w:val="000B1816"/>
    <w:rsid w:val="000B1ABB"/>
    <w:rsid w:val="000B1CBB"/>
    <w:rsid w:val="000B22BE"/>
    <w:rsid w:val="000B248A"/>
    <w:rsid w:val="000B30BF"/>
    <w:rsid w:val="000B3343"/>
    <w:rsid w:val="000B3544"/>
    <w:rsid w:val="000B35CA"/>
    <w:rsid w:val="000B3C60"/>
    <w:rsid w:val="000B3F6D"/>
    <w:rsid w:val="000B4909"/>
    <w:rsid w:val="000B4AB5"/>
    <w:rsid w:val="000B512C"/>
    <w:rsid w:val="000B5493"/>
    <w:rsid w:val="000B5603"/>
    <w:rsid w:val="000B5ABC"/>
    <w:rsid w:val="000B60F7"/>
    <w:rsid w:val="000B627F"/>
    <w:rsid w:val="000B6306"/>
    <w:rsid w:val="000B73A9"/>
    <w:rsid w:val="000B7721"/>
    <w:rsid w:val="000B79AB"/>
    <w:rsid w:val="000B7B56"/>
    <w:rsid w:val="000B7FAA"/>
    <w:rsid w:val="000C0068"/>
    <w:rsid w:val="000C06DA"/>
    <w:rsid w:val="000C1845"/>
    <w:rsid w:val="000C1A51"/>
    <w:rsid w:val="000C1A99"/>
    <w:rsid w:val="000C1F2F"/>
    <w:rsid w:val="000C2336"/>
    <w:rsid w:val="000C259E"/>
    <w:rsid w:val="000C28CF"/>
    <w:rsid w:val="000C2B71"/>
    <w:rsid w:val="000C2CA7"/>
    <w:rsid w:val="000C3250"/>
    <w:rsid w:val="000C330B"/>
    <w:rsid w:val="000C386C"/>
    <w:rsid w:val="000C3955"/>
    <w:rsid w:val="000C3AE4"/>
    <w:rsid w:val="000C3B03"/>
    <w:rsid w:val="000C3F7B"/>
    <w:rsid w:val="000C4325"/>
    <w:rsid w:val="000C436F"/>
    <w:rsid w:val="000C45B1"/>
    <w:rsid w:val="000C4795"/>
    <w:rsid w:val="000C49C7"/>
    <w:rsid w:val="000C4AC5"/>
    <w:rsid w:val="000C4CC9"/>
    <w:rsid w:val="000C4D8E"/>
    <w:rsid w:val="000C4DA3"/>
    <w:rsid w:val="000C5991"/>
    <w:rsid w:val="000C61D1"/>
    <w:rsid w:val="000C656F"/>
    <w:rsid w:val="000C6633"/>
    <w:rsid w:val="000C66F0"/>
    <w:rsid w:val="000C6940"/>
    <w:rsid w:val="000C6F3A"/>
    <w:rsid w:val="000C6F8D"/>
    <w:rsid w:val="000C6FB8"/>
    <w:rsid w:val="000C7092"/>
    <w:rsid w:val="000C72D9"/>
    <w:rsid w:val="000C7631"/>
    <w:rsid w:val="000C7E0E"/>
    <w:rsid w:val="000C7E2A"/>
    <w:rsid w:val="000C7EE7"/>
    <w:rsid w:val="000D0989"/>
    <w:rsid w:val="000D12D3"/>
    <w:rsid w:val="000D12E6"/>
    <w:rsid w:val="000D160C"/>
    <w:rsid w:val="000D1A45"/>
    <w:rsid w:val="000D1AE6"/>
    <w:rsid w:val="000D1AF0"/>
    <w:rsid w:val="000D2B17"/>
    <w:rsid w:val="000D300E"/>
    <w:rsid w:val="000D3406"/>
    <w:rsid w:val="000D3522"/>
    <w:rsid w:val="000D3B36"/>
    <w:rsid w:val="000D3DCD"/>
    <w:rsid w:val="000D3FFC"/>
    <w:rsid w:val="000D415A"/>
    <w:rsid w:val="000D4206"/>
    <w:rsid w:val="000D424B"/>
    <w:rsid w:val="000D4483"/>
    <w:rsid w:val="000D4517"/>
    <w:rsid w:val="000D4827"/>
    <w:rsid w:val="000D4C21"/>
    <w:rsid w:val="000D4E2C"/>
    <w:rsid w:val="000D5015"/>
    <w:rsid w:val="000D51C4"/>
    <w:rsid w:val="000D5456"/>
    <w:rsid w:val="000D54B4"/>
    <w:rsid w:val="000D55B1"/>
    <w:rsid w:val="000D5A52"/>
    <w:rsid w:val="000D5AE2"/>
    <w:rsid w:val="000D5C0E"/>
    <w:rsid w:val="000D5E27"/>
    <w:rsid w:val="000D5E28"/>
    <w:rsid w:val="000D5E4B"/>
    <w:rsid w:val="000D6102"/>
    <w:rsid w:val="000D6232"/>
    <w:rsid w:val="000D6886"/>
    <w:rsid w:val="000D72DF"/>
    <w:rsid w:val="000D73AF"/>
    <w:rsid w:val="000D73EF"/>
    <w:rsid w:val="000D7467"/>
    <w:rsid w:val="000D7767"/>
    <w:rsid w:val="000D77C6"/>
    <w:rsid w:val="000D7808"/>
    <w:rsid w:val="000D78F2"/>
    <w:rsid w:val="000D79F2"/>
    <w:rsid w:val="000D7D46"/>
    <w:rsid w:val="000D7DF5"/>
    <w:rsid w:val="000E0465"/>
    <w:rsid w:val="000E0C3F"/>
    <w:rsid w:val="000E11FC"/>
    <w:rsid w:val="000E1570"/>
    <w:rsid w:val="000E17B2"/>
    <w:rsid w:val="000E192A"/>
    <w:rsid w:val="000E19A9"/>
    <w:rsid w:val="000E19F7"/>
    <w:rsid w:val="000E1F78"/>
    <w:rsid w:val="000E2366"/>
    <w:rsid w:val="000E2732"/>
    <w:rsid w:val="000E28C8"/>
    <w:rsid w:val="000E29AA"/>
    <w:rsid w:val="000E2E33"/>
    <w:rsid w:val="000E30DF"/>
    <w:rsid w:val="000E350E"/>
    <w:rsid w:val="000E3797"/>
    <w:rsid w:val="000E3DCA"/>
    <w:rsid w:val="000E40D1"/>
    <w:rsid w:val="000E437E"/>
    <w:rsid w:val="000E4A7E"/>
    <w:rsid w:val="000E4EE1"/>
    <w:rsid w:val="000E4FCE"/>
    <w:rsid w:val="000E52C6"/>
    <w:rsid w:val="000E5DF1"/>
    <w:rsid w:val="000E5EAF"/>
    <w:rsid w:val="000E67D8"/>
    <w:rsid w:val="000E6CE3"/>
    <w:rsid w:val="000E6E6C"/>
    <w:rsid w:val="000E7310"/>
    <w:rsid w:val="000E742D"/>
    <w:rsid w:val="000E75A6"/>
    <w:rsid w:val="000E7612"/>
    <w:rsid w:val="000E766E"/>
    <w:rsid w:val="000E7707"/>
    <w:rsid w:val="000F0068"/>
    <w:rsid w:val="000F0527"/>
    <w:rsid w:val="000F077C"/>
    <w:rsid w:val="000F0B47"/>
    <w:rsid w:val="000F0D56"/>
    <w:rsid w:val="000F18AB"/>
    <w:rsid w:val="000F1926"/>
    <w:rsid w:val="000F1A3C"/>
    <w:rsid w:val="000F1E21"/>
    <w:rsid w:val="000F1EF8"/>
    <w:rsid w:val="000F231B"/>
    <w:rsid w:val="000F2668"/>
    <w:rsid w:val="000F28D8"/>
    <w:rsid w:val="000F29AE"/>
    <w:rsid w:val="000F2E19"/>
    <w:rsid w:val="000F2EDC"/>
    <w:rsid w:val="000F2EE9"/>
    <w:rsid w:val="000F2FDE"/>
    <w:rsid w:val="000F3119"/>
    <w:rsid w:val="000F33B8"/>
    <w:rsid w:val="000F340E"/>
    <w:rsid w:val="000F34F2"/>
    <w:rsid w:val="000F3546"/>
    <w:rsid w:val="000F363D"/>
    <w:rsid w:val="000F393A"/>
    <w:rsid w:val="000F429C"/>
    <w:rsid w:val="000F4415"/>
    <w:rsid w:val="000F4524"/>
    <w:rsid w:val="000F5178"/>
    <w:rsid w:val="000F51A9"/>
    <w:rsid w:val="000F546C"/>
    <w:rsid w:val="000F6ACE"/>
    <w:rsid w:val="000F6B8B"/>
    <w:rsid w:val="000F6F9B"/>
    <w:rsid w:val="000F7291"/>
    <w:rsid w:val="000F74DB"/>
    <w:rsid w:val="000F7F80"/>
    <w:rsid w:val="000F7FD7"/>
    <w:rsid w:val="0010036F"/>
    <w:rsid w:val="00100531"/>
    <w:rsid w:val="00100F20"/>
    <w:rsid w:val="00100F7C"/>
    <w:rsid w:val="00101755"/>
    <w:rsid w:val="00101AB6"/>
    <w:rsid w:val="001021C5"/>
    <w:rsid w:val="00102554"/>
    <w:rsid w:val="001025FB"/>
    <w:rsid w:val="001026B0"/>
    <w:rsid w:val="001027CB"/>
    <w:rsid w:val="001029B2"/>
    <w:rsid w:val="00102ACF"/>
    <w:rsid w:val="00102FA9"/>
    <w:rsid w:val="001030D8"/>
    <w:rsid w:val="00103334"/>
    <w:rsid w:val="001036B1"/>
    <w:rsid w:val="00103A7F"/>
    <w:rsid w:val="00103EBA"/>
    <w:rsid w:val="00103F77"/>
    <w:rsid w:val="001040C0"/>
    <w:rsid w:val="00104653"/>
    <w:rsid w:val="00104658"/>
    <w:rsid w:val="001049CF"/>
    <w:rsid w:val="00104BE7"/>
    <w:rsid w:val="00104D71"/>
    <w:rsid w:val="00104E50"/>
    <w:rsid w:val="00104EA8"/>
    <w:rsid w:val="00105060"/>
    <w:rsid w:val="001051D9"/>
    <w:rsid w:val="001056BF"/>
    <w:rsid w:val="00105A6B"/>
    <w:rsid w:val="00105EC4"/>
    <w:rsid w:val="00106132"/>
    <w:rsid w:val="001065F1"/>
    <w:rsid w:val="0010679C"/>
    <w:rsid w:val="00106CB5"/>
    <w:rsid w:val="00106D6D"/>
    <w:rsid w:val="00106E8B"/>
    <w:rsid w:val="00106EA7"/>
    <w:rsid w:val="0010709D"/>
    <w:rsid w:val="0010712E"/>
    <w:rsid w:val="001077A2"/>
    <w:rsid w:val="00107F7B"/>
    <w:rsid w:val="001103E2"/>
    <w:rsid w:val="00110739"/>
    <w:rsid w:val="00110853"/>
    <w:rsid w:val="00110A3D"/>
    <w:rsid w:val="00111229"/>
    <w:rsid w:val="001112CE"/>
    <w:rsid w:val="00111460"/>
    <w:rsid w:val="00111BB7"/>
    <w:rsid w:val="00111FCA"/>
    <w:rsid w:val="0011218C"/>
    <w:rsid w:val="0011266F"/>
    <w:rsid w:val="0011269C"/>
    <w:rsid w:val="00112802"/>
    <w:rsid w:val="00112933"/>
    <w:rsid w:val="00114150"/>
    <w:rsid w:val="00114219"/>
    <w:rsid w:val="0011450C"/>
    <w:rsid w:val="001148AD"/>
    <w:rsid w:val="001148D4"/>
    <w:rsid w:val="00114A03"/>
    <w:rsid w:val="00114BE3"/>
    <w:rsid w:val="001151C8"/>
    <w:rsid w:val="0011531B"/>
    <w:rsid w:val="00115826"/>
    <w:rsid w:val="00115982"/>
    <w:rsid w:val="00115EF5"/>
    <w:rsid w:val="0011667B"/>
    <w:rsid w:val="00116886"/>
    <w:rsid w:val="00116EAD"/>
    <w:rsid w:val="00117259"/>
    <w:rsid w:val="00117776"/>
    <w:rsid w:val="001179FE"/>
    <w:rsid w:val="00117A2C"/>
    <w:rsid w:val="00117C3A"/>
    <w:rsid w:val="00120389"/>
    <w:rsid w:val="00120526"/>
    <w:rsid w:val="00120F11"/>
    <w:rsid w:val="00121791"/>
    <w:rsid w:val="00121EAB"/>
    <w:rsid w:val="00122012"/>
    <w:rsid w:val="00122123"/>
    <w:rsid w:val="001223AE"/>
    <w:rsid w:val="001223BC"/>
    <w:rsid w:val="00122463"/>
    <w:rsid w:val="00122D56"/>
    <w:rsid w:val="0012306E"/>
    <w:rsid w:val="001230C3"/>
    <w:rsid w:val="001231F0"/>
    <w:rsid w:val="0012366D"/>
    <w:rsid w:val="001239B6"/>
    <w:rsid w:val="00123A34"/>
    <w:rsid w:val="00123C6F"/>
    <w:rsid w:val="001246FF"/>
    <w:rsid w:val="0012479B"/>
    <w:rsid w:val="00124B0F"/>
    <w:rsid w:val="00124D9B"/>
    <w:rsid w:val="00124DD4"/>
    <w:rsid w:val="00125006"/>
    <w:rsid w:val="00125103"/>
    <w:rsid w:val="001254EF"/>
    <w:rsid w:val="00125532"/>
    <w:rsid w:val="00125AFD"/>
    <w:rsid w:val="00125B21"/>
    <w:rsid w:val="00125F97"/>
    <w:rsid w:val="00126A85"/>
    <w:rsid w:val="00126EBD"/>
    <w:rsid w:val="00127114"/>
    <w:rsid w:val="00127C0D"/>
    <w:rsid w:val="00127F3E"/>
    <w:rsid w:val="001301B8"/>
    <w:rsid w:val="00130CA8"/>
    <w:rsid w:val="00130EF0"/>
    <w:rsid w:val="001313C8"/>
    <w:rsid w:val="001318A0"/>
    <w:rsid w:val="00131D72"/>
    <w:rsid w:val="00131EF2"/>
    <w:rsid w:val="001321C9"/>
    <w:rsid w:val="00132615"/>
    <w:rsid w:val="00132EA2"/>
    <w:rsid w:val="001331A7"/>
    <w:rsid w:val="001333D3"/>
    <w:rsid w:val="00133663"/>
    <w:rsid w:val="001336BF"/>
    <w:rsid w:val="0013374B"/>
    <w:rsid w:val="001338C5"/>
    <w:rsid w:val="001339B0"/>
    <w:rsid w:val="0013467D"/>
    <w:rsid w:val="00134815"/>
    <w:rsid w:val="00135406"/>
    <w:rsid w:val="00135BE7"/>
    <w:rsid w:val="00135F0A"/>
    <w:rsid w:val="0013622D"/>
    <w:rsid w:val="001364CD"/>
    <w:rsid w:val="001364F2"/>
    <w:rsid w:val="0013650F"/>
    <w:rsid w:val="00136647"/>
    <w:rsid w:val="001367E8"/>
    <w:rsid w:val="00136C14"/>
    <w:rsid w:val="00136D11"/>
    <w:rsid w:val="00136E0B"/>
    <w:rsid w:val="001370E7"/>
    <w:rsid w:val="001371A5"/>
    <w:rsid w:val="00137346"/>
    <w:rsid w:val="001373D5"/>
    <w:rsid w:val="0013752D"/>
    <w:rsid w:val="0013790B"/>
    <w:rsid w:val="0013798C"/>
    <w:rsid w:val="00137F4C"/>
    <w:rsid w:val="00141286"/>
    <w:rsid w:val="0014158F"/>
    <w:rsid w:val="001417E1"/>
    <w:rsid w:val="0014187C"/>
    <w:rsid w:val="00141ABD"/>
    <w:rsid w:val="001420A1"/>
    <w:rsid w:val="001427FE"/>
    <w:rsid w:val="0014323F"/>
    <w:rsid w:val="00143431"/>
    <w:rsid w:val="001436CD"/>
    <w:rsid w:val="00143CBC"/>
    <w:rsid w:val="0014422E"/>
    <w:rsid w:val="00144547"/>
    <w:rsid w:val="0014469B"/>
    <w:rsid w:val="001447F5"/>
    <w:rsid w:val="00144CC0"/>
    <w:rsid w:val="00144D0A"/>
    <w:rsid w:val="0014531B"/>
    <w:rsid w:val="001457AB"/>
    <w:rsid w:val="00145842"/>
    <w:rsid w:val="001459DF"/>
    <w:rsid w:val="00145F0B"/>
    <w:rsid w:val="00146066"/>
    <w:rsid w:val="0014634D"/>
    <w:rsid w:val="0014657D"/>
    <w:rsid w:val="00146591"/>
    <w:rsid w:val="00147619"/>
    <w:rsid w:val="00147E7E"/>
    <w:rsid w:val="00147FB8"/>
    <w:rsid w:val="001502B3"/>
    <w:rsid w:val="0015032F"/>
    <w:rsid w:val="00150723"/>
    <w:rsid w:val="0015158B"/>
    <w:rsid w:val="0015170A"/>
    <w:rsid w:val="001518CC"/>
    <w:rsid w:val="00151C16"/>
    <w:rsid w:val="00151D00"/>
    <w:rsid w:val="00151D2E"/>
    <w:rsid w:val="00151EBF"/>
    <w:rsid w:val="0015282E"/>
    <w:rsid w:val="0015304B"/>
    <w:rsid w:val="00153380"/>
    <w:rsid w:val="001533A3"/>
    <w:rsid w:val="00153879"/>
    <w:rsid w:val="0015390B"/>
    <w:rsid w:val="001540D4"/>
    <w:rsid w:val="001543B0"/>
    <w:rsid w:val="00154A7E"/>
    <w:rsid w:val="00154B68"/>
    <w:rsid w:val="00154C6E"/>
    <w:rsid w:val="00155238"/>
    <w:rsid w:val="00155565"/>
    <w:rsid w:val="00155A29"/>
    <w:rsid w:val="00155D00"/>
    <w:rsid w:val="00155F74"/>
    <w:rsid w:val="001566CA"/>
    <w:rsid w:val="00156833"/>
    <w:rsid w:val="00156966"/>
    <w:rsid w:val="00156984"/>
    <w:rsid w:val="00156B59"/>
    <w:rsid w:val="00157084"/>
    <w:rsid w:val="001572EB"/>
    <w:rsid w:val="00157546"/>
    <w:rsid w:val="00157FE1"/>
    <w:rsid w:val="00160051"/>
    <w:rsid w:val="001600E7"/>
    <w:rsid w:val="00160569"/>
    <w:rsid w:val="0016065C"/>
    <w:rsid w:val="0016065D"/>
    <w:rsid w:val="001606C8"/>
    <w:rsid w:val="0016077F"/>
    <w:rsid w:val="00160DCF"/>
    <w:rsid w:val="00161144"/>
    <w:rsid w:val="0016115B"/>
    <w:rsid w:val="001611AE"/>
    <w:rsid w:val="001611EB"/>
    <w:rsid w:val="00161601"/>
    <w:rsid w:val="001617AA"/>
    <w:rsid w:val="001618AB"/>
    <w:rsid w:val="0016195A"/>
    <w:rsid w:val="00161BA9"/>
    <w:rsid w:val="00161EA7"/>
    <w:rsid w:val="00161ED9"/>
    <w:rsid w:val="00162393"/>
    <w:rsid w:val="0016270E"/>
    <w:rsid w:val="00162804"/>
    <w:rsid w:val="00163591"/>
    <w:rsid w:val="00163604"/>
    <w:rsid w:val="001636EC"/>
    <w:rsid w:val="001647C5"/>
    <w:rsid w:val="001648CA"/>
    <w:rsid w:val="0016492F"/>
    <w:rsid w:val="00164AEC"/>
    <w:rsid w:val="00164D8B"/>
    <w:rsid w:val="001650C3"/>
    <w:rsid w:val="0016524D"/>
    <w:rsid w:val="00165A30"/>
    <w:rsid w:val="00165F17"/>
    <w:rsid w:val="00165FF5"/>
    <w:rsid w:val="00166357"/>
    <w:rsid w:val="00166853"/>
    <w:rsid w:val="00166A57"/>
    <w:rsid w:val="00166F1A"/>
    <w:rsid w:val="00167028"/>
    <w:rsid w:val="00167462"/>
    <w:rsid w:val="00167558"/>
    <w:rsid w:val="001675FF"/>
    <w:rsid w:val="001678B9"/>
    <w:rsid w:val="001678BA"/>
    <w:rsid w:val="00167EB6"/>
    <w:rsid w:val="00167FC4"/>
    <w:rsid w:val="0017004A"/>
    <w:rsid w:val="0017059E"/>
    <w:rsid w:val="001709A2"/>
    <w:rsid w:val="00170B59"/>
    <w:rsid w:val="00170D40"/>
    <w:rsid w:val="00170F2C"/>
    <w:rsid w:val="00171370"/>
    <w:rsid w:val="001713FD"/>
    <w:rsid w:val="001717AF"/>
    <w:rsid w:val="001717CC"/>
    <w:rsid w:val="00171EC6"/>
    <w:rsid w:val="001722FB"/>
    <w:rsid w:val="00172ABF"/>
    <w:rsid w:val="00173571"/>
    <w:rsid w:val="0017366D"/>
    <w:rsid w:val="0017373E"/>
    <w:rsid w:val="001740D4"/>
    <w:rsid w:val="0017433E"/>
    <w:rsid w:val="0017461E"/>
    <w:rsid w:val="0017469C"/>
    <w:rsid w:val="001747D3"/>
    <w:rsid w:val="0017487C"/>
    <w:rsid w:val="00174AEE"/>
    <w:rsid w:val="00174C04"/>
    <w:rsid w:val="00174D79"/>
    <w:rsid w:val="00174D9A"/>
    <w:rsid w:val="00174E50"/>
    <w:rsid w:val="0017506B"/>
    <w:rsid w:val="0017519D"/>
    <w:rsid w:val="001756CC"/>
    <w:rsid w:val="00175AAA"/>
    <w:rsid w:val="00175AC8"/>
    <w:rsid w:val="00175DA2"/>
    <w:rsid w:val="0017630E"/>
    <w:rsid w:val="001764FB"/>
    <w:rsid w:val="0017670F"/>
    <w:rsid w:val="00176C03"/>
    <w:rsid w:val="00176C89"/>
    <w:rsid w:val="00176E36"/>
    <w:rsid w:val="001772B1"/>
    <w:rsid w:val="0017750E"/>
    <w:rsid w:val="00177D53"/>
    <w:rsid w:val="00177E82"/>
    <w:rsid w:val="00180722"/>
    <w:rsid w:val="00180737"/>
    <w:rsid w:val="00180980"/>
    <w:rsid w:val="00180B11"/>
    <w:rsid w:val="00180D1C"/>
    <w:rsid w:val="0018133F"/>
    <w:rsid w:val="00181D42"/>
    <w:rsid w:val="00181FA3"/>
    <w:rsid w:val="00181FAC"/>
    <w:rsid w:val="001821E2"/>
    <w:rsid w:val="0018249E"/>
    <w:rsid w:val="0018290E"/>
    <w:rsid w:val="00182BD6"/>
    <w:rsid w:val="00183250"/>
    <w:rsid w:val="00183789"/>
    <w:rsid w:val="00183C8E"/>
    <w:rsid w:val="00183F3E"/>
    <w:rsid w:val="00184342"/>
    <w:rsid w:val="00184462"/>
    <w:rsid w:val="0018466A"/>
    <w:rsid w:val="001851D3"/>
    <w:rsid w:val="0018526A"/>
    <w:rsid w:val="00185366"/>
    <w:rsid w:val="0018544B"/>
    <w:rsid w:val="00185AC5"/>
    <w:rsid w:val="00185AF6"/>
    <w:rsid w:val="0018641F"/>
    <w:rsid w:val="0018654F"/>
    <w:rsid w:val="001865A2"/>
    <w:rsid w:val="0018662F"/>
    <w:rsid w:val="00186E4A"/>
    <w:rsid w:val="00186E6F"/>
    <w:rsid w:val="001870B5"/>
    <w:rsid w:val="00187153"/>
    <w:rsid w:val="00187366"/>
    <w:rsid w:val="0018747D"/>
    <w:rsid w:val="00187483"/>
    <w:rsid w:val="0018754A"/>
    <w:rsid w:val="00187568"/>
    <w:rsid w:val="001875CD"/>
    <w:rsid w:val="0018760B"/>
    <w:rsid w:val="0018794F"/>
    <w:rsid w:val="00187CE9"/>
    <w:rsid w:val="00187E09"/>
    <w:rsid w:val="00187E3C"/>
    <w:rsid w:val="00187E70"/>
    <w:rsid w:val="00190C6D"/>
    <w:rsid w:val="0019106F"/>
    <w:rsid w:val="001913B2"/>
    <w:rsid w:val="00191433"/>
    <w:rsid w:val="0019147D"/>
    <w:rsid w:val="00191733"/>
    <w:rsid w:val="00191F69"/>
    <w:rsid w:val="00191F6B"/>
    <w:rsid w:val="0019202D"/>
    <w:rsid w:val="00192074"/>
    <w:rsid w:val="0019220E"/>
    <w:rsid w:val="00192BD5"/>
    <w:rsid w:val="00192D8D"/>
    <w:rsid w:val="00193305"/>
    <w:rsid w:val="00193343"/>
    <w:rsid w:val="00193678"/>
    <w:rsid w:val="001937B8"/>
    <w:rsid w:val="00193905"/>
    <w:rsid w:val="001939FB"/>
    <w:rsid w:val="00193A35"/>
    <w:rsid w:val="00193B3A"/>
    <w:rsid w:val="00193F55"/>
    <w:rsid w:val="00194384"/>
    <w:rsid w:val="001943EE"/>
    <w:rsid w:val="00194716"/>
    <w:rsid w:val="00194957"/>
    <w:rsid w:val="00194A52"/>
    <w:rsid w:val="00194D62"/>
    <w:rsid w:val="0019531B"/>
    <w:rsid w:val="00195EF4"/>
    <w:rsid w:val="00196056"/>
    <w:rsid w:val="0019623E"/>
    <w:rsid w:val="001962E3"/>
    <w:rsid w:val="001963AE"/>
    <w:rsid w:val="0019642C"/>
    <w:rsid w:val="001966E2"/>
    <w:rsid w:val="00196718"/>
    <w:rsid w:val="00196B56"/>
    <w:rsid w:val="00196E87"/>
    <w:rsid w:val="00197138"/>
    <w:rsid w:val="0019739B"/>
    <w:rsid w:val="00197F62"/>
    <w:rsid w:val="001A0200"/>
    <w:rsid w:val="001A0241"/>
    <w:rsid w:val="001A03BB"/>
    <w:rsid w:val="001A099D"/>
    <w:rsid w:val="001A0DF8"/>
    <w:rsid w:val="001A0F7E"/>
    <w:rsid w:val="001A0FB3"/>
    <w:rsid w:val="001A1265"/>
    <w:rsid w:val="001A149D"/>
    <w:rsid w:val="001A160E"/>
    <w:rsid w:val="001A1D38"/>
    <w:rsid w:val="001A1D57"/>
    <w:rsid w:val="001A2219"/>
    <w:rsid w:val="001A25A6"/>
    <w:rsid w:val="001A2B0B"/>
    <w:rsid w:val="001A2C34"/>
    <w:rsid w:val="001A2D8C"/>
    <w:rsid w:val="001A2F90"/>
    <w:rsid w:val="001A3416"/>
    <w:rsid w:val="001A3485"/>
    <w:rsid w:val="001A3D44"/>
    <w:rsid w:val="001A3D77"/>
    <w:rsid w:val="001A4947"/>
    <w:rsid w:val="001A4C47"/>
    <w:rsid w:val="001A4D5D"/>
    <w:rsid w:val="001A4DC4"/>
    <w:rsid w:val="001A5464"/>
    <w:rsid w:val="001A5937"/>
    <w:rsid w:val="001A59DF"/>
    <w:rsid w:val="001A5D12"/>
    <w:rsid w:val="001A66B2"/>
    <w:rsid w:val="001A692E"/>
    <w:rsid w:val="001A6D87"/>
    <w:rsid w:val="001A71B0"/>
    <w:rsid w:val="001A7479"/>
    <w:rsid w:val="001A787D"/>
    <w:rsid w:val="001A7F4B"/>
    <w:rsid w:val="001B04A9"/>
    <w:rsid w:val="001B050D"/>
    <w:rsid w:val="001B05D4"/>
    <w:rsid w:val="001B0623"/>
    <w:rsid w:val="001B0645"/>
    <w:rsid w:val="001B0BD8"/>
    <w:rsid w:val="001B0DA1"/>
    <w:rsid w:val="001B0DD5"/>
    <w:rsid w:val="001B14F5"/>
    <w:rsid w:val="001B158C"/>
    <w:rsid w:val="001B177E"/>
    <w:rsid w:val="001B1ADF"/>
    <w:rsid w:val="001B1D09"/>
    <w:rsid w:val="001B204B"/>
    <w:rsid w:val="001B2475"/>
    <w:rsid w:val="001B2695"/>
    <w:rsid w:val="001B2AA1"/>
    <w:rsid w:val="001B2B8A"/>
    <w:rsid w:val="001B2D85"/>
    <w:rsid w:val="001B3046"/>
    <w:rsid w:val="001B3AF0"/>
    <w:rsid w:val="001B3DBA"/>
    <w:rsid w:val="001B3E08"/>
    <w:rsid w:val="001B3FF6"/>
    <w:rsid w:val="001B406F"/>
    <w:rsid w:val="001B491C"/>
    <w:rsid w:val="001B49C1"/>
    <w:rsid w:val="001B4BA5"/>
    <w:rsid w:val="001B4F7A"/>
    <w:rsid w:val="001B56DA"/>
    <w:rsid w:val="001B5C66"/>
    <w:rsid w:val="001B5D7C"/>
    <w:rsid w:val="001B5E6E"/>
    <w:rsid w:val="001B5FA5"/>
    <w:rsid w:val="001B60EB"/>
    <w:rsid w:val="001B628D"/>
    <w:rsid w:val="001B62A0"/>
    <w:rsid w:val="001B6645"/>
    <w:rsid w:val="001B68BC"/>
    <w:rsid w:val="001B78FC"/>
    <w:rsid w:val="001B7BFA"/>
    <w:rsid w:val="001B7C37"/>
    <w:rsid w:val="001B7E50"/>
    <w:rsid w:val="001C00B6"/>
    <w:rsid w:val="001C02A8"/>
    <w:rsid w:val="001C02D7"/>
    <w:rsid w:val="001C055F"/>
    <w:rsid w:val="001C0760"/>
    <w:rsid w:val="001C0800"/>
    <w:rsid w:val="001C09EB"/>
    <w:rsid w:val="001C0A78"/>
    <w:rsid w:val="001C0B6E"/>
    <w:rsid w:val="001C0BE7"/>
    <w:rsid w:val="001C0CDB"/>
    <w:rsid w:val="001C0D96"/>
    <w:rsid w:val="001C0E56"/>
    <w:rsid w:val="001C11D3"/>
    <w:rsid w:val="001C13CE"/>
    <w:rsid w:val="001C1526"/>
    <w:rsid w:val="001C1828"/>
    <w:rsid w:val="001C1AD0"/>
    <w:rsid w:val="001C1E37"/>
    <w:rsid w:val="001C1F71"/>
    <w:rsid w:val="001C2052"/>
    <w:rsid w:val="001C2081"/>
    <w:rsid w:val="001C2261"/>
    <w:rsid w:val="001C279E"/>
    <w:rsid w:val="001C2E09"/>
    <w:rsid w:val="001C307E"/>
    <w:rsid w:val="001C3775"/>
    <w:rsid w:val="001C3A5B"/>
    <w:rsid w:val="001C3DC8"/>
    <w:rsid w:val="001C3F64"/>
    <w:rsid w:val="001C428F"/>
    <w:rsid w:val="001C4290"/>
    <w:rsid w:val="001C4391"/>
    <w:rsid w:val="001C4A76"/>
    <w:rsid w:val="001C4D2F"/>
    <w:rsid w:val="001C5597"/>
    <w:rsid w:val="001C568A"/>
    <w:rsid w:val="001C59EC"/>
    <w:rsid w:val="001C5EF6"/>
    <w:rsid w:val="001C6063"/>
    <w:rsid w:val="001C6597"/>
    <w:rsid w:val="001C65E4"/>
    <w:rsid w:val="001C6612"/>
    <w:rsid w:val="001C67F2"/>
    <w:rsid w:val="001C6A0D"/>
    <w:rsid w:val="001C6B25"/>
    <w:rsid w:val="001C6E91"/>
    <w:rsid w:val="001C6E9D"/>
    <w:rsid w:val="001C6EA1"/>
    <w:rsid w:val="001C7061"/>
    <w:rsid w:val="001C7C72"/>
    <w:rsid w:val="001D01D3"/>
    <w:rsid w:val="001D062F"/>
    <w:rsid w:val="001D06C8"/>
    <w:rsid w:val="001D0723"/>
    <w:rsid w:val="001D0751"/>
    <w:rsid w:val="001D081C"/>
    <w:rsid w:val="001D0B9E"/>
    <w:rsid w:val="001D0CA7"/>
    <w:rsid w:val="001D0DB6"/>
    <w:rsid w:val="001D0F21"/>
    <w:rsid w:val="001D1387"/>
    <w:rsid w:val="001D1702"/>
    <w:rsid w:val="001D1762"/>
    <w:rsid w:val="001D1D9E"/>
    <w:rsid w:val="001D1E82"/>
    <w:rsid w:val="001D235E"/>
    <w:rsid w:val="001D23F3"/>
    <w:rsid w:val="001D27EB"/>
    <w:rsid w:val="001D286A"/>
    <w:rsid w:val="001D291E"/>
    <w:rsid w:val="001D2BD1"/>
    <w:rsid w:val="001D2BEA"/>
    <w:rsid w:val="001D2C61"/>
    <w:rsid w:val="001D2D7B"/>
    <w:rsid w:val="001D37E0"/>
    <w:rsid w:val="001D3908"/>
    <w:rsid w:val="001D39A0"/>
    <w:rsid w:val="001D4158"/>
    <w:rsid w:val="001D43FA"/>
    <w:rsid w:val="001D4569"/>
    <w:rsid w:val="001D48A8"/>
    <w:rsid w:val="001D4995"/>
    <w:rsid w:val="001D4B8E"/>
    <w:rsid w:val="001D5080"/>
    <w:rsid w:val="001D5C32"/>
    <w:rsid w:val="001D5FC1"/>
    <w:rsid w:val="001D603B"/>
    <w:rsid w:val="001D61E2"/>
    <w:rsid w:val="001D636C"/>
    <w:rsid w:val="001D6926"/>
    <w:rsid w:val="001D6B4D"/>
    <w:rsid w:val="001D6C94"/>
    <w:rsid w:val="001D6CB4"/>
    <w:rsid w:val="001D70D1"/>
    <w:rsid w:val="001D713A"/>
    <w:rsid w:val="001D7493"/>
    <w:rsid w:val="001D7596"/>
    <w:rsid w:val="001D769F"/>
    <w:rsid w:val="001D7786"/>
    <w:rsid w:val="001D7850"/>
    <w:rsid w:val="001D7D50"/>
    <w:rsid w:val="001D7F48"/>
    <w:rsid w:val="001E0408"/>
    <w:rsid w:val="001E0894"/>
    <w:rsid w:val="001E0BEB"/>
    <w:rsid w:val="001E0F14"/>
    <w:rsid w:val="001E0F43"/>
    <w:rsid w:val="001E132A"/>
    <w:rsid w:val="001E13EF"/>
    <w:rsid w:val="001E1435"/>
    <w:rsid w:val="001E1A11"/>
    <w:rsid w:val="001E1BF9"/>
    <w:rsid w:val="001E2007"/>
    <w:rsid w:val="001E2381"/>
    <w:rsid w:val="001E263A"/>
    <w:rsid w:val="001E282D"/>
    <w:rsid w:val="001E298F"/>
    <w:rsid w:val="001E2A16"/>
    <w:rsid w:val="001E2E7A"/>
    <w:rsid w:val="001E37F6"/>
    <w:rsid w:val="001E3AB1"/>
    <w:rsid w:val="001E3AE1"/>
    <w:rsid w:val="001E4123"/>
    <w:rsid w:val="001E44F9"/>
    <w:rsid w:val="001E4891"/>
    <w:rsid w:val="001E4C5A"/>
    <w:rsid w:val="001E4DE0"/>
    <w:rsid w:val="001E5222"/>
    <w:rsid w:val="001E57E2"/>
    <w:rsid w:val="001E5955"/>
    <w:rsid w:val="001E5A45"/>
    <w:rsid w:val="001E5F8B"/>
    <w:rsid w:val="001E611E"/>
    <w:rsid w:val="001E6935"/>
    <w:rsid w:val="001E6B68"/>
    <w:rsid w:val="001E6C51"/>
    <w:rsid w:val="001E6D13"/>
    <w:rsid w:val="001E6D33"/>
    <w:rsid w:val="001E741E"/>
    <w:rsid w:val="001E78D4"/>
    <w:rsid w:val="001F03E1"/>
    <w:rsid w:val="001F0496"/>
    <w:rsid w:val="001F07A3"/>
    <w:rsid w:val="001F087A"/>
    <w:rsid w:val="001F0D40"/>
    <w:rsid w:val="001F1EE0"/>
    <w:rsid w:val="001F2619"/>
    <w:rsid w:val="001F2644"/>
    <w:rsid w:val="001F2772"/>
    <w:rsid w:val="001F2BA4"/>
    <w:rsid w:val="001F2EE5"/>
    <w:rsid w:val="001F2F6A"/>
    <w:rsid w:val="001F33F8"/>
    <w:rsid w:val="001F34B6"/>
    <w:rsid w:val="001F375D"/>
    <w:rsid w:val="001F3B31"/>
    <w:rsid w:val="001F3B3C"/>
    <w:rsid w:val="001F3F6C"/>
    <w:rsid w:val="001F415C"/>
    <w:rsid w:val="001F4545"/>
    <w:rsid w:val="001F4588"/>
    <w:rsid w:val="001F4B24"/>
    <w:rsid w:val="001F4C72"/>
    <w:rsid w:val="001F5134"/>
    <w:rsid w:val="001F5329"/>
    <w:rsid w:val="001F54E4"/>
    <w:rsid w:val="001F569F"/>
    <w:rsid w:val="001F5BAF"/>
    <w:rsid w:val="001F5DC2"/>
    <w:rsid w:val="001F65D1"/>
    <w:rsid w:val="001F6718"/>
    <w:rsid w:val="001F6D15"/>
    <w:rsid w:val="001F7053"/>
    <w:rsid w:val="001F708F"/>
    <w:rsid w:val="001F7755"/>
    <w:rsid w:val="001F7F37"/>
    <w:rsid w:val="00200140"/>
    <w:rsid w:val="002004F1"/>
    <w:rsid w:val="002006A3"/>
    <w:rsid w:val="0020091F"/>
    <w:rsid w:val="00200BE4"/>
    <w:rsid w:val="00200FF0"/>
    <w:rsid w:val="00201004"/>
    <w:rsid w:val="00201269"/>
    <w:rsid w:val="002012D1"/>
    <w:rsid w:val="0020152D"/>
    <w:rsid w:val="00201C6F"/>
    <w:rsid w:val="00201C9A"/>
    <w:rsid w:val="00201EB9"/>
    <w:rsid w:val="00201F57"/>
    <w:rsid w:val="00201F59"/>
    <w:rsid w:val="00202184"/>
    <w:rsid w:val="002021CC"/>
    <w:rsid w:val="00202623"/>
    <w:rsid w:val="002028DE"/>
    <w:rsid w:val="00202937"/>
    <w:rsid w:val="00202B62"/>
    <w:rsid w:val="00202E83"/>
    <w:rsid w:val="0020318E"/>
    <w:rsid w:val="00203237"/>
    <w:rsid w:val="002032B4"/>
    <w:rsid w:val="002033E5"/>
    <w:rsid w:val="00203A57"/>
    <w:rsid w:val="00203AA4"/>
    <w:rsid w:val="00204884"/>
    <w:rsid w:val="00204A60"/>
    <w:rsid w:val="00204CCF"/>
    <w:rsid w:val="00204D19"/>
    <w:rsid w:val="00204E49"/>
    <w:rsid w:val="00205012"/>
    <w:rsid w:val="002053AA"/>
    <w:rsid w:val="002054C5"/>
    <w:rsid w:val="0020557C"/>
    <w:rsid w:val="0020601D"/>
    <w:rsid w:val="002060A5"/>
    <w:rsid w:val="00206122"/>
    <w:rsid w:val="002062F7"/>
    <w:rsid w:val="00206561"/>
    <w:rsid w:val="00206576"/>
    <w:rsid w:val="00206C8D"/>
    <w:rsid w:val="002072F6"/>
    <w:rsid w:val="00207BB4"/>
    <w:rsid w:val="00207BD7"/>
    <w:rsid w:val="00207D96"/>
    <w:rsid w:val="00210342"/>
    <w:rsid w:val="002105E0"/>
    <w:rsid w:val="0021073C"/>
    <w:rsid w:val="00210EA6"/>
    <w:rsid w:val="00211186"/>
    <w:rsid w:val="00211458"/>
    <w:rsid w:val="0021175C"/>
    <w:rsid w:val="0021177D"/>
    <w:rsid w:val="00211837"/>
    <w:rsid w:val="00211E2F"/>
    <w:rsid w:val="00211F89"/>
    <w:rsid w:val="002122C1"/>
    <w:rsid w:val="00212746"/>
    <w:rsid w:val="00212905"/>
    <w:rsid w:val="002139FA"/>
    <w:rsid w:val="00213A5C"/>
    <w:rsid w:val="00214562"/>
    <w:rsid w:val="00214D9E"/>
    <w:rsid w:val="0021541C"/>
    <w:rsid w:val="00215A52"/>
    <w:rsid w:val="00215C5A"/>
    <w:rsid w:val="00216611"/>
    <w:rsid w:val="00216B79"/>
    <w:rsid w:val="00216C0E"/>
    <w:rsid w:val="00216F7D"/>
    <w:rsid w:val="00216FAA"/>
    <w:rsid w:val="002171DD"/>
    <w:rsid w:val="002171E4"/>
    <w:rsid w:val="00217C4A"/>
    <w:rsid w:val="00220080"/>
    <w:rsid w:val="0022031C"/>
    <w:rsid w:val="00220332"/>
    <w:rsid w:val="002206CC"/>
    <w:rsid w:val="00220989"/>
    <w:rsid w:val="002209DE"/>
    <w:rsid w:val="00220F27"/>
    <w:rsid w:val="00220FFD"/>
    <w:rsid w:val="00220FFF"/>
    <w:rsid w:val="0022197B"/>
    <w:rsid w:val="00221A7F"/>
    <w:rsid w:val="00221B58"/>
    <w:rsid w:val="00221C0A"/>
    <w:rsid w:val="0022236A"/>
    <w:rsid w:val="0022268C"/>
    <w:rsid w:val="0022276D"/>
    <w:rsid w:val="00222803"/>
    <w:rsid w:val="00222844"/>
    <w:rsid w:val="00222888"/>
    <w:rsid w:val="002228E7"/>
    <w:rsid w:val="0022363B"/>
    <w:rsid w:val="00223BA8"/>
    <w:rsid w:val="00223FAA"/>
    <w:rsid w:val="0022403C"/>
    <w:rsid w:val="00224436"/>
    <w:rsid w:val="0022456C"/>
    <w:rsid w:val="00224699"/>
    <w:rsid w:val="002248C9"/>
    <w:rsid w:val="00224BD2"/>
    <w:rsid w:val="00224C64"/>
    <w:rsid w:val="00224E95"/>
    <w:rsid w:val="00225A1B"/>
    <w:rsid w:val="00225AEA"/>
    <w:rsid w:val="00225DDE"/>
    <w:rsid w:val="00225E4B"/>
    <w:rsid w:val="00225EEC"/>
    <w:rsid w:val="0022602D"/>
    <w:rsid w:val="002261BB"/>
    <w:rsid w:val="00226289"/>
    <w:rsid w:val="0022646D"/>
    <w:rsid w:val="002269B8"/>
    <w:rsid w:val="002270D6"/>
    <w:rsid w:val="0022795D"/>
    <w:rsid w:val="0023013C"/>
    <w:rsid w:val="00230DB1"/>
    <w:rsid w:val="00231A36"/>
    <w:rsid w:val="00232ADB"/>
    <w:rsid w:val="00232B00"/>
    <w:rsid w:val="0023301B"/>
    <w:rsid w:val="0023308B"/>
    <w:rsid w:val="002330F8"/>
    <w:rsid w:val="002331A7"/>
    <w:rsid w:val="0023322F"/>
    <w:rsid w:val="002332F0"/>
    <w:rsid w:val="00233420"/>
    <w:rsid w:val="00233466"/>
    <w:rsid w:val="002334FE"/>
    <w:rsid w:val="00233DD0"/>
    <w:rsid w:val="00233E85"/>
    <w:rsid w:val="00233F9D"/>
    <w:rsid w:val="002341E4"/>
    <w:rsid w:val="002342ED"/>
    <w:rsid w:val="00234466"/>
    <w:rsid w:val="00234A78"/>
    <w:rsid w:val="00234C23"/>
    <w:rsid w:val="00234CF7"/>
    <w:rsid w:val="00234F2C"/>
    <w:rsid w:val="0023503C"/>
    <w:rsid w:val="002351DF"/>
    <w:rsid w:val="0023523F"/>
    <w:rsid w:val="0023532E"/>
    <w:rsid w:val="002354F8"/>
    <w:rsid w:val="002357B3"/>
    <w:rsid w:val="0023600E"/>
    <w:rsid w:val="0023652E"/>
    <w:rsid w:val="0023670B"/>
    <w:rsid w:val="00236B33"/>
    <w:rsid w:val="00236DFC"/>
    <w:rsid w:val="002372BA"/>
    <w:rsid w:val="00237787"/>
    <w:rsid w:val="00240281"/>
    <w:rsid w:val="00240321"/>
    <w:rsid w:val="002407C6"/>
    <w:rsid w:val="0024107C"/>
    <w:rsid w:val="002411C6"/>
    <w:rsid w:val="00241821"/>
    <w:rsid w:val="00241BF9"/>
    <w:rsid w:val="00241D43"/>
    <w:rsid w:val="00242726"/>
    <w:rsid w:val="00242AC1"/>
    <w:rsid w:val="00242E73"/>
    <w:rsid w:val="00243003"/>
    <w:rsid w:val="00243328"/>
    <w:rsid w:val="0024359C"/>
    <w:rsid w:val="00243920"/>
    <w:rsid w:val="00243945"/>
    <w:rsid w:val="002439EE"/>
    <w:rsid w:val="00243A3A"/>
    <w:rsid w:val="00243B15"/>
    <w:rsid w:val="00243E04"/>
    <w:rsid w:val="00243E63"/>
    <w:rsid w:val="002445B4"/>
    <w:rsid w:val="0024482D"/>
    <w:rsid w:val="00244853"/>
    <w:rsid w:val="002449BD"/>
    <w:rsid w:val="00244B76"/>
    <w:rsid w:val="00244D2A"/>
    <w:rsid w:val="00244E19"/>
    <w:rsid w:val="0024549C"/>
    <w:rsid w:val="0024549E"/>
    <w:rsid w:val="00245C5B"/>
    <w:rsid w:val="002463B8"/>
    <w:rsid w:val="00246540"/>
    <w:rsid w:val="002469E6"/>
    <w:rsid w:val="00246A60"/>
    <w:rsid w:val="00247027"/>
    <w:rsid w:val="00247A54"/>
    <w:rsid w:val="00247FDB"/>
    <w:rsid w:val="002503BC"/>
    <w:rsid w:val="0025058A"/>
    <w:rsid w:val="00250796"/>
    <w:rsid w:val="00250937"/>
    <w:rsid w:val="00250B2E"/>
    <w:rsid w:val="0025115F"/>
    <w:rsid w:val="002511E6"/>
    <w:rsid w:val="00251383"/>
    <w:rsid w:val="002514EB"/>
    <w:rsid w:val="002516C4"/>
    <w:rsid w:val="00251A93"/>
    <w:rsid w:val="00252D11"/>
    <w:rsid w:val="00252FC8"/>
    <w:rsid w:val="0025308E"/>
    <w:rsid w:val="002530DF"/>
    <w:rsid w:val="002532B5"/>
    <w:rsid w:val="00253FAE"/>
    <w:rsid w:val="00254642"/>
    <w:rsid w:val="00254A04"/>
    <w:rsid w:val="002551AA"/>
    <w:rsid w:val="002555FB"/>
    <w:rsid w:val="002558F7"/>
    <w:rsid w:val="0025595F"/>
    <w:rsid w:val="00255AF0"/>
    <w:rsid w:val="00255C08"/>
    <w:rsid w:val="00255F9B"/>
    <w:rsid w:val="00255FE1"/>
    <w:rsid w:val="00256340"/>
    <w:rsid w:val="0025685E"/>
    <w:rsid w:val="002568A0"/>
    <w:rsid w:val="00256950"/>
    <w:rsid w:val="002569B4"/>
    <w:rsid w:val="00257E08"/>
    <w:rsid w:val="00260232"/>
    <w:rsid w:val="002602C6"/>
    <w:rsid w:val="00260674"/>
    <w:rsid w:val="002607A9"/>
    <w:rsid w:val="0026082A"/>
    <w:rsid w:val="002608D9"/>
    <w:rsid w:val="00260B31"/>
    <w:rsid w:val="002611F3"/>
    <w:rsid w:val="002614EE"/>
    <w:rsid w:val="002615BE"/>
    <w:rsid w:val="002617C2"/>
    <w:rsid w:val="00261B69"/>
    <w:rsid w:val="00261CAA"/>
    <w:rsid w:val="0026215A"/>
    <w:rsid w:val="002625B0"/>
    <w:rsid w:val="00262F47"/>
    <w:rsid w:val="00263149"/>
    <w:rsid w:val="00263192"/>
    <w:rsid w:val="00263361"/>
    <w:rsid w:val="002635E7"/>
    <w:rsid w:val="00263AFE"/>
    <w:rsid w:val="002647B5"/>
    <w:rsid w:val="0026499C"/>
    <w:rsid w:val="00265704"/>
    <w:rsid w:val="0026592A"/>
    <w:rsid w:val="00265C76"/>
    <w:rsid w:val="00265D21"/>
    <w:rsid w:val="00265DC7"/>
    <w:rsid w:val="002666AE"/>
    <w:rsid w:val="00266855"/>
    <w:rsid w:val="00266B83"/>
    <w:rsid w:val="00266D08"/>
    <w:rsid w:val="00266DFF"/>
    <w:rsid w:val="00267996"/>
    <w:rsid w:val="00267EF9"/>
    <w:rsid w:val="0027023E"/>
    <w:rsid w:val="00270426"/>
    <w:rsid w:val="00270C8D"/>
    <w:rsid w:val="00270DE3"/>
    <w:rsid w:val="00270E19"/>
    <w:rsid w:val="00270ECE"/>
    <w:rsid w:val="00270FB9"/>
    <w:rsid w:val="002710A2"/>
    <w:rsid w:val="002710A6"/>
    <w:rsid w:val="0027127B"/>
    <w:rsid w:val="00271B30"/>
    <w:rsid w:val="00271D03"/>
    <w:rsid w:val="00271F67"/>
    <w:rsid w:val="00272272"/>
    <w:rsid w:val="002722E4"/>
    <w:rsid w:val="002723F9"/>
    <w:rsid w:val="002725E4"/>
    <w:rsid w:val="00272D16"/>
    <w:rsid w:val="002735A7"/>
    <w:rsid w:val="00273AAB"/>
    <w:rsid w:val="0027405B"/>
    <w:rsid w:val="0027439A"/>
    <w:rsid w:val="002746B4"/>
    <w:rsid w:val="00274C8E"/>
    <w:rsid w:val="00274F02"/>
    <w:rsid w:val="00275AFB"/>
    <w:rsid w:val="00275E2C"/>
    <w:rsid w:val="00276250"/>
    <w:rsid w:val="00277586"/>
    <w:rsid w:val="002775FE"/>
    <w:rsid w:val="0027778C"/>
    <w:rsid w:val="00277871"/>
    <w:rsid w:val="002779C9"/>
    <w:rsid w:val="00277A8B"/>
    <w:rsid w:val="00277AD1"/>
    <w:rsid w:val="00277B43"/>
    <w:rsid w:val="00277B9D"/>
    <w:rsid w:val="00277ECC"/>
    <w:rsid w:val="00280091"/>
    <w:rsid w:val="002800BA"/>
    <w:rsid w:val="002803F0"/>
    <w:rsid w:val="00280444"/>
    <w:rsid w:val="0028054D"/>
    <w:rsid w:val="002806EE"/>
    <w:rsid w:val="0028072A"/>
    <w:rsid w:val="002809A2"/>
    <w:rsid w:val="00280A40"/>
    <w:rsid w:val="00280BFF"/>
    <w:rsid w:val="00281761"/>
    <w:rsid w:val="00281911"/>
    <w:rsid w:val="00281BDE"/>
    <w:rsid w:val="002823A2"/>
    <w:rsid w:val="002823F3"/>
    <w:rsid w:val="002824CB"/>
    <w:rsid w:val="00282695"/>
    <w:rsid w:val="00282FC1"/>
    <w:rsid w:val="002830ED"/>
    <w:rsid w:val="002831CF"/>
    <w:rsid w:val="0028326E"/>
    <w:rsid w:val="00283400"/>
    <w:rsid w:val="002834A8"/>
    <w:rsid w:val="002834AA"/>
    <w:rsid w:val="00283615"/>
    <w:rsid w:val="002837AF"/>
    <w:rsid w:val="002840DC"/>
    <w:rsid w:val="0028467C"/>
    <w:rsid w:val="002848F8"/>
    <w:rsid w:val="00284C79"/>
    <w:rsid w:val="00284E81"/>
    <w:rsid w:val="00284FDD"/>
    <w:rsid w:val="0028511A"/>
    <w:rsid w:val="002852B7"/>
    <w:rsid w:val="00285406"/>
    <w:rsid w:val="0028560B"/>
    <w:rsid w:val="00285AE5"/>
    <w:rsid w:val="00285B4A"/>
    <w:rsid w:val="00285BFC"/>
    <w:rsid w:val="002861F1"/>
    <w:rsid w:val="0028643D"/>
    <w:rsid w:val="00286497"/>
    <w:rsid w:val="00286613"/>
    <w:rsid w:val="00286B4C"/>
    <w:rsid w:val="00286E10"/>
    <w:rsid w:val="00287445"/>
    <w:rsid w:val="002874F2"/>
    <w:rsid w:val="00287AD8"/>
    <w:rsid w:val="00287C41"/>
    <w:rsid w:val="002901E1"/>
    <w:rsid w:val="00290279"/>
    <w:rsid w:val="00290307"/>
    <w:rsid w:val="00290AA0"/>
    <w:rsid w:val="00290F8E"/>
    <w:rsid w:val="0029166C"/>
    <w:rsid w:val="00291BDB"/>
    <w:rsid w:val="00291DCE"/>
    <w:rsid w:val="00291E20"/>
    <w:rsid w:val="00291F7A"/>
    <w:rsid w:val="0029224A"/>
    <w:rsid w:val="00292335"/>
    <w:rsid w:val="00292530"/>
    <w:rsid w:val="002926BC"/>
    <w:rsid w:val="00292901"/>
    <w:rsid w:val="00292BAD"/>
    <w:rsid w:val="00292CB2"/>
    <w:rsid w:val="00292E13"/>
    <w:rsid w:val="00292EFE"/>
    <w:rsid w:val="00292F78"/>
    <w:rsid w:val="00293157"/>
    <w:rsid w:val="00293299"/>
    <w:rsid w:val="002934BE"/>
    <w:rsid w:val="00293B0A"/>
    <w:rsid w:val="00293BF7"/>
    <w:rsid w:val="00293C6B"/>
    <w:rsid w:val="0029406B"/>
    <w:rsid w:val="0029414C"/>
    <w:rsid w:val="00294AFC"/>
    <w:rsid w:val="00294C0D"/>
    <w:rsid w:val="00294E33"/>
    <w:rsid w:val="00294FB0"/>
    <w:rsid w:val="002957D4"/>
    <w:rsid w:val="002965B3"/>
    <w:rsid w:val="002966CF"/>
    <w:rsid w:val="00296825"/>
    <w:rsid w:val="00296896"/>
    <w:rsid w:val="002969C1"/>
    <w:rsid w:val="00296A19"/>
    <w:rsid w:val="002974BF"/>
    <w:rsid w:val="00297607"/>
    <w:rsid w:val="00297A8E"/>
    <w:rsid w:val="00297EA5"/>
    <w:rsid w:val="002A03EB"/>
    <w:rsid w:val="002A1226"/>
    <w:rsid w:val="002A12E1"/>
    <w:rsid w:val="002A1394"/>
    <w:rsid w:val="002A13C1"/>
    <w:rsid w:val="002A1B5C"/>
    <w:rsid w:val="002A20F4"/>
    <w:rsid w:val="002A2232"/>
    <w:rsid w:val="002A229B"/>
    <w:rsid w:val="002A2378"/>
    <w:rsid w:val="002A2813"/>
    <w:rsid w:val="002A2A93"/>
    <w:rsid w:val="002A2BC2"/>
    <w:rsid w:val="002A2D79"/>
    <w:rsid w:val="002A3003"/>
    <w:rsid w:val="002A3517"/>
    <w:rsid w:val="002A3569"/>
    <w:rsid w:val="002A3581"/>
    <w:rsid w:val="002A392C"/>
    <w:rsid w:val="002A3F69"/>
    <w:rsid w:val="002A43CB"/>
    <w:rsid w:val="002A4568"/>
    <w:rsid w:val="002A4602"/>
    <w:rsid w:val="002A4BA2"/>
    <w:rsid w:val="002A4FB7"/>
    <w:rsid w:val="002A5065"/>
    <w:rsid w:val="002A54DA"/>
    <w:rsid w:val="002A5593"/>
    <w:rsid w:val="002A5C8A"/>
    <w:rsid w:val="002A5EF9"/>
    <w:rsid w:val="002A5FB9"/>
    <w:rsid w:val="002A6006"/>
    <w:rsid w:val="002A6054"/>
    <w:rsid w:val="002A6283"/>
    <w:rsid w:val="002A635D"/>
    <w:rsid w:val="002A63F2"/>
    <w:rsid w:val="002A68E1"/>
    <w:rsid w:val="002A6EE0"/>
    <w:rsid w:val="002A7210"/>
    <w:rsid w:val="002A7246"/>
    <w:rsid w:val="002A7836"/>
    <w:rsid w:val="002A7FC0"/>
    <w:rsid w:val="002B0546"/>
    <w:rsid w:val="002B0B41"/>
    <w:rsid w:val="002B0CF8"/>
    <w:rsid w:val="002B0D14"/>
    <w:rsid w:val="002B13FF"/>
    <w:rsid w:val="002B146E"/>
    <w:rsid w:val="002B18A7"/>
    <w:rsid w:val="002B1CCC"/>
    <w:rsid w:val="002B249C"/>
    <w:rsid w:val="002B2632"/>
    <w:rsid w:val="002B2C77"/>
    <w:rsid w:val="002B2E22"/>
    <w:rsid w:val="002B2F4E"/>
    <w:rsid w:val="002B3243"/>
    <w:rsid w:val="002B3316"/>
    <w:rsid w:val="002B3812"/>
    <w:rsid w:val="002B3E92"/>
    <w:rsid w:val="002B3EA5"/>
    <w:rsid w:val="002B4242"/>
    <w:rsid w:val="002B42FB"/>
    <w:rsid w:val="002B4A91"/>
    <w:rsid w:val="002B5143"/>
    <w:rsid w:val="002B52AC"/>
    <w:rsid w:val="002B55E1"/>
    <w:rsid w:val="002B5767"/>
    <w:rsid w:val="002B57E0"/>
    <w:rsid w:val="002B582A"/>
    <w:rsid w:val="002B5F51"/>
    <w:rsid w:val="002B6168"/>
    <w:rsid w:val="002B673F"/>
    <w:rsid w:val="002B68DB"/>
    <w:rsid w:val="002B6945"/>
    <w:rsid w:val="002B6BF3"/>
    <w:rsid w:val="002B6BFF"/>
    <w:rsid w:val="002B7022"/>
    <w:rsid w:val="002B7848"/>
    <w:rsid w:val="002B7892"/>
    <w:rsid w:val="002B79EF"/>
    <w:rsid w:val="002B7AA6"/>
    <w:rsid w:val="002B7C09"/>
    <w:rsid w:val="002B7E1F"/>
    <w:rsid w:val="002C00D6"/>
    <w:rsid w:val="002C07E6"/>
    <w:rsid w:val="002C0AA4"/>
    <w:rsid w:val="002C0B7B"/>
    <w:rsid w:val="002C0C8E"/>
    <w:rsid w:val="002C151A"/>
    <w:rsid w:val="002C163E"/>
    <w:rsid w:val="002C1DA7"/>
    <w:rsid w:val="002C214E"/>
    <w:rsid w:val="002C24AE"/>
    <w:rsid w:val="002C2921"/>
    <w:rsid w:val="002C2988"/>
    <w:rsid w:val="002C2A34"/>
    <w:rsid w:val="002C2F53"/>
    <w:rsid w:val="002C3723"/>
    <w:rsid w:val="002C37EB"/>
    <w:rsid w:val="002C3945"/>
    <w:rsid w:val="002C3AAA"/>
    <w:rsid w:val="002C3CFC"/>
    <w:rsid w:val="002C3DC0"/>
    <w:rsid w:val="002C3F4A"/>
    <w:rsid w:val="002C404F"/>
    <w:rsid w:val="002C43DD"/>
    <w:rsid w:val="002C47A4"/>
    <w:rsid w:val="002C4A34"/>
    <w:rsid w:val="002C4A49"/>
    <w:rsid w:val="002C4B09"/>
    <w:rsid w:val="002C4DD7"/>
    <w:rsid w:val="002C5036"/>
    <w:rsid w:val="002C533D"/>
    <w:rsid w:val="002C5BF9"/>
    <w:rsid w:val="002C5ED9"/>
    <w:rsid w:val="002C5F76"/>
    <w:rsid w:val="002C5FFD"/>
    <w:rsid w:val="002C6024"/>
    <w:rsid w:val="002C6557"/>
    <w:rsid w:val="002C6BCA"/>
    <w:rsid w:val="002C7236"/>
    <w:rsid w:val="002C72F8"/>
    <w:rsid w:val="002C737F"/>
    <w:rsid w:val="002C750B"/>
    <w:rsid w:val="002C763C"/>
    <w:rsid w:val="002C7989"/>
    <w:rsid w:val="002C7ABD"/>
    <w:rsid w:val="002D0650"/>
    <w:rsid w:val="002D08A6"/>
    <w:rsid w:val="002D1202"/>
    <w:rsid w:val="002D1949"/>
    <w:rsid w:val="002D1D41"/>
    <w:rsid w:val="002D1D7C"/>
    <w:rsid w:val="002D2021"/>
    <w:rsid w:val="002D20C1"/>
    <w:rsid w:val="002D229B"/>
    <w:rsid w:val="002D2EE8"/>
    <w:rsid w:val="002D3125"/>
    <w:rsid w:val="002D3276"/>
    <w:rsid w:val="002D3DC2"/>
    <w:rsid w:val="002D405E"/>
    <w:rsid w:val="002D4196"/>
    <w:rsid w:val="002D4299"/>
    <w:rsid w:val="002D4853"/>
    <w:rsid w:val="002D53E2"/>
    <w:rsid w:val="002D580E"/>
    <w:rsid w:val="002D5A09"/>
    <w:rsid w:val="002D6332"/>
    <w:rsid w:val="002D6A7C"/>
    <w:rsid w:val="002D6B4E"/>
    <w:rsid w:val="002D6CD9"/>
    <w:rsid w:val="002D6D99"/>
    <w:rsid w:val="002D7018"/>
    <w:rsid w:val="002D71C1"/>
    <w:rsid w:val="002D76ED"/>
    <w:rsid w:val="002D7AE9"/>
    <w:rsid w:val="002D7B1D"/>
    <w:rsid w:val="002E015D"/>
    <w:rsid w:val="002E077C"/>
    <w:rsid w:val="002E090C"/>
    <w:rsid w:val="002E097E"/>
    <w:rsid w:val="002E0DC3"/>
    <w:rsid w:val="002E115E"/>
    <w:rsid w:val="002E13DD"/>
    <w:rsid w:val="002E1A6F"/>
    <w:rsid w:val="002E2213"/>
    <w:rsid w:val="002E23C8"/>
    <w:rsid w:val="002E24F1"/>
    <w:rsid w:val="002E2663"/>
    <w:rsid w:val="002E28D4"/>
    <w:rsid w:val="002E2906"/>
    <w:rsid w:val="002E2C2C"/>
    <w:rsid w:val="002E2EEE"/>
    <w:rsid w:val="002E32CD"/>
    <w:rsid w:val="002E3319"/>
    <w:rsid w:val="002E350E"/>
    <w:rsid w:val="002E383B"/>
    <w:rsid w:val="002E395A"/>
    <w:rsid w:val="002E3C43"/>
    <w:rsid w:val="002E40C3"/>
    <w:rsid w:val="002E4460"/>
    <w:rsid w:val="002E4A3B"/>
    <w:rsid w:val="002E4C4C"/>
    <w:rsid w:val="002E4EA3"/>
    <w:rsid w:val="002E55F3"/>
    <w:rsid w:val="002E5710"/>
    <w:rsid w:val="002E5A8D"/>
    <w:rsid w:val="002E5F40"/>
    <w:rsid w:val="002E6675"/>
    <w:rsid w:val="002E6A95"/>
    <w:rsid w:val="002E6D84"/>
    <w:rsid w:val="002E6F45"/>
    <w:rsid w:val="002E71B9"/>
    <w:rsid w:val="002E78FC"/>
    <w:rsid w:val="002E7C55"/>
    <w:rsid w:val="002E7C9B"/>
    <w:rsid w:val="002E7CBA"/>
    <w:rsid w:val="002F02C3"/>
    <w:rsid w:val="002F04B8"/>
    <w:rsid w:val="002F08C0"/>
    <w:rsid w:val="002F08CD"/>
    <w:rsid w:val="002F09CE"/>
    <w:rsid w:val="002F1189"/>
    <w:rsid w:val="002F14A5"/>
    <w:rsid w:val="002F16CF"/>
    <w:rsid w:val="002F17E3"/>
    <w:rsid w:val="002F1BD1"/>
    <w:rsid w:val="002F1D66"/>
    <w:rsid w:val="002F1FAA"/>
    <w:rsid w:val="002F264F"/>
    <w:rsid w:val="002F2870"/>
    <w:rsid w:val="002F2A10"/>
    <w:rsid w:val="002F2E83"/>
    <w:rsid w:val="002F320C"/>
    <w:rsid w:val="002F3414"/>
    <w:rsid w:val="002F425F"/>
    <w:rsid w:val="002F43C4"/>
    <w:rsid w:val="002F4EE6"/>
    <w:rsid w:val="002F53DD"/>
    <w:rsid w:val="002F57D9"/>
    <w:rsid w:val="002F5C1B"/>
    <w:rsid w:val="002F6307"/>
    <w:rsid w:val="002F6605"/>
    <w:rsid w:val="002F680B"/>
    <w:rsid w:val="002F6C56"/>
    <w:rsid w:val="002F6D22"/>
    <w:rsid w:val="002F6DBC"/>
    <w:rsid w:val="002F6EE0"/>
    <w:rsid w:val="002F727B"/>
    <w:rsid w:val="002F752A"/>
    <w:rsid w:val="002F79C9"/>
    <w:rsid w:val="002F7CF0"/>
    <w:rsid w:val="002F7D08"/>
    <w:rsid w:val="002F7EB4"/>
    <w:rsid w:val="003006D9"/>
    <w:rsid w:val="00300D53"/>
    <w:rsid w:val="00300DD2"/>
    <w:rsid w:val="00301347"/>
    <w:rsid w:val="003016D5"/>
    <w:rsid w:val="0030170F"/>
    <w:rsid w:val="0030172C"/>
    <w:rsid w:val="00301B28"/>
    <w:rsid w:val="00301BC9"/>
    <w:rsid w:val="00302028"/>
    <w:rsid w:val="003021BA"/>
    <w:rsid w:val="00302489"/>
    <w:rsid w:val="0030280D"/>
    <w:rsid w:val="00302F5B"/>
    <w:rsid w:val="00303199"/>
    <w:rsid w:val="00303487"/>
    <w:rsid w:val="0030352D"/>
    <w:rsid w:val="0030371B"/>
    <w:rsid w:val="00303744"/>
    <w:rsid w:val="003037B5"/>
    <w:rsid w:val="00303853"/>
    <w:rsid w:val="00303949"/>
    <w:rsid w:val="003039C0"/>
    <w:rsid w:val="00303D33"/>
    <w:rsid w:val="00303E78"/>
    <w:rsid w:val="003043DF"/>
    <w:rsid w:val="00304917"/>
    <w:rsid w:val="00304A73"/>
    <w:rsid w:val="00304B83"/>
    <w:rsid w:val="00304B9E"/>
    <w:rsid w:val="003050CC"/>
    <w:rsid w:val="0030512E"/>
    <w:rsid w:val="0030548A"/>
    <w:rsid w:val="00305702"/>
    <w:rsid w:val="00305A49"/>
    <w:rsid w:val="00305ED6"/>
    <w:rsid w:val="0030692A"/>
    <w:rsid w:val="00306AF8"/>
    <w:rsid w:val="00306EC8"/>
    <w:rsid w:val="0030750C"/>
    <w:rsid w:val="003078C0"/>
    <w:rsid w:val="00307ADE"/>
    <w:rsid w:val="00307B52"/>
    <w:rsid w:val="00307BB0"/>
    <w:rsid w:val="0031038D"/>
    <w:rsid w:val="00310906"/>
    <w:rsid w:val="00310AF6"/>
    <w:rsid w:val="00311062"/>
    <w:rsid w:val="00311110"/>
    <w:rsid w:val="00311138"/>
    <w:rsid w:val="00311395"/>
    <w:rsid w:val="00311467"/>
    <w:rsid w:val="0031175E"/>
    <w:rsid w:val="00312243"/>
    <w:rsid w:val="003125E1"/>
    <w:rsid w:val="0031285B"/>
    <w:rsid w:val="003128C7"/>
    <w:rsid w:val="003129DE"/>
    <w:rsid w:val="00312C4E"/>
    <w:rsid w:val="00312DAB"/>
    <w:rsid w:val="00313173"/>
    <w:rsid w:val="003133FF"/>
    <w:rsid w:val="003134D3"/>
    <w:rsid w:val="00313784"/>
    <w:rsid w:val="00313A63"/>
    <w:rsid w:val="00313FA7"/>
    <w:rsid w:val="0031436C"/>
    <w:rsid w:val="00314470"/>
    <w:rsid w:val="0031484A"/>
    <w:rsid w:val="003152E7"/>
    <w:rsid w:val="00315ADC"/>
    <w:rsid w:val="00315F6C"/>
    <w:rsid w:val="00316091"/>
    <w:rsid w:val="003163AE"/>
    <w:rsid w:val="0031679D"/>
    <w:rsid w:val="00316D84"/>
    <w:rsid w:val="0031710C"/>
    <w:rsid w:val="0031766D"/>
    <w:rsid w:val="00317898"/>
    <w:rsid w:val="00317F5B"/>
    <w:rsid w:val="00320252"/>
    <w:rsid w:val="0032050B"/>
    <w:rsid w:val="00320686"/>
    <w:rsid w:val="003206BF"/>
    <w:rsid w:val="00320755"/>
    <w:rsid w:val="00320835"/>
    <w:rsid w:val="00320844"/>
    <w:rsid w:val="00320A33"/>
    <w:rsid w:val="003211A7"/>
    <w:rsid w:val="00321453"/>
    <w:rsid w:val="003215A3"/>
    <w:rsid w:val="00321F03"/>
    <w:rsid w:val="00322409"/>
    <w:rsid w:val="00322797"/>
    <w:rsid w:val="00323654"/>
    <w:rsid w:val="00323822"/>
    <w:rsid w:val="0032388F"/>
    <w:rsid w:val="00323E68"/>
    <w:rsid w:val="00324588"/>
    <w:rsid w:val="003247AE"/>
    <w:rsid w:val="00324905"/>
    <w:rsid w:val="00324915"/>
    <w:rsid w:val="00324EE2"/>
    <w:rsid w:val="00324F7B"/>
    <w:rsid w:val="00325225"/>
    <w:rsid w:val="00325616"/>
    <w:rsid w:val="0032577E"/>
    <w:rsid w:val="00325823"/>
    <w:rsid w:val="00325BC0"/>
    <w:rsid w:val="00325D5E"/>
    <w:rsid w:val="00325F1D"/>
    <w:rsid w:val="00325FC2"/>
    <w:rsid w:val="0032639E"/>
    <w:rsid w:val="00326784"/>
    <w:rsid w:val="00326C6D"/>
    <w:rsid w:val="00326CBA"/>
    <w:rsid w:val="00326CFA"/>
    <w:rsid w:val="00327B65"/>
    <w:rsid w:val="00327FA1"/>
    <w:rsid w:val="003300BB"/>
    <w:rsid w:val="003300EB"/>
    <w:rsid w:val="003302D0"/>
    <w:rsid w:val="00330C05"/>
    <w:rsid w:val="00330ED2"/>
    <w:rsid w:val="00331E2E"/>
    <w:rsid w:val="00331F11"/>
    <w:rsid w:val="00331FE5"/>
    <w:rsid w:val="00332211"/>
    <w:rsid w:val="00332572"/>
    <w:rsid w:val="0033288A"/>
    <w:rsid w:val="00333258"/>
    <w:rsid w:val="003332AE"/>
    <w:rsid w:val="003334DA"/>
    <w:rsid w:val="003334F1"/>
    <w:rsid w:val="00333786"/>
    <w:rsid w:val="00333AFD"/>
    <w:rsid w:val="00333B50"/>
    <w:rsid w:val="00333B55"/>
    <w:rsid w:val="003342D8"/>
    <w:rsid w:val="00334687"/>
    <w:rsid w:val="0033482C"/>
    <w:rsid w:val="00334A38"/>
    <w:rsid w:val="00334F09"/>
    <w:rsid w:val="00335164"/>
    <w:rsid w:val="00335192"/>
    <w:rsid w:val="0033543F"/>
    <w:rsid w:val="003356E1"/>
    <w:rsid w:val="00335736"/>
    <w:rsid w:val="003359AC"/>
    <w:rsid w:val="00335EBE"/>
    <w:rsid w:val="00335EE2"/>
    <w:rsid w:val="00335F49"/>
    <w:rsid w:val="00336093"/>
    <w:rsid w:val="00336730"/>
    <w:rsid w:val="00336808"/>
    <w:rsid w:val="00336A1D"/>
    <w:rsid w:val="00336B18"/>
    <w:rsid w:val="00336F17"/>
    <w:rsid w:val="00336F9A"/>
    <w:rsid w:val="0033711B"/>
    <w:rsid w:val="00337457"/>
    <w:rsid w:val="003374DE"/>
    <w:rsid w:val="00337A39"/>
    <w:rsid w:val="00337B60"/>
    <w:rsid w:val="00340479"/>
    <w:rsid w:val="0034066D"/>
    <w:rsid w:val="00340749"/>
    <w:rsid w:val="00340BF5"/>
    <w:rsid w:val="00341944"/>
    <w:rsid w:val="00341DBF"/>
    <w:rsid w:val="00341EA7"/>
    <w:rsid w:val="0034259D"/>
    <w:rsid w:val="00342871"/>
    <w:rsid w:val="00342EF8"/>
    <w:rsid w:val="00342F24"/>
    <w:rsid w:val="0034352D"/>
    <w:rsid w:val="003435ED"/>
    <w:rsid w:val="0034396A"/>
    <w:rsid w:val="00343AE9"/>
    <w:rsid w:val="00344497"/>
    <w:rsid w:val="00344A8D"/>
    <w:rsid w:val="00344BD1"/>
    <w:rsid w:val="00344FC5"/>
    <w:rsid w:val="00345291"/>
    <w:rsid w:val="003456B7"/>
    <w:rsid w:val="003457BB"/>
    <w:rsid w:val="003459CC"/>
    <w:rsid w:val="00345C09"/>
    <w:rsid w:val="00345FA0"/>
    <w:rsid w:val="00346762"/>
    <w:rsid w:val="0034682C"/>
    <w:rsid w:val="0034692E"/>
    <w:rsid w:val="00346F88"/>
    <w:rsid w:val="0034713B"/>
    <w:rsid w:val="0034734F"/>
    <w:rsid w:val="00347587"/>
    <w:rsid w:val="003477FA"/>
    <w:rsid w:val="00347894"/>
    <w:rsid w:val="00347A0E"/>
    <w:rsid w:val="003505ED"/>
    <w:rsid w:val="00350B77"/>
    <w:rsid w:val="00350DCC"/>
    <w:rsid w:val="00350FA3"/>
    <w:rsid w:val="00351343"/>
    <w:rsid w:val="003514B2"/>
    <w:rsid w:val="00351574"/>
    <w:rsid w:val="00351994"/>
    <w:rsid w:val="00351DE1"/>
    <w:rsid w:val="0035219C"/>
    <w:rsid w:val="003521D4"/>
    <w:rsid w:val="00352A2D"/>
    <w:rsid w:val="00352ED5"/>
    <w:rsid w:val="003538AD"/>
    <w:rsid w:val="00353A8D"/>
    <w:rsid w:val="00353C76"/>
    <w:rsid w:val="00353DD8"/>
    <w:rsid w:val="003540A5"/>
    <w:rsid w:val="00354134"/>
    <w:rsid w:val="00354356"/>
    <w:rsid w:val="0035455E"/>
    <w:rsid w:val="00354666"/>
    <w:rsid w:val="003547CD"/>
    <w:rsid w:val="00354936"/>
    <w:rsid w:val="00354C4D"/>
    <w:rsid w:val="00354E09"/>
    <w:rsid w:val="003555CD"/>
    <w:rsid w:val="003557EE"/>
    <w:rsid w:val="00355AFE"/>
    <w:rsid w:val="00355BD4"/>
    <w:rsid w:val="00355DD2"/>
    <w:rsid w:val="00356024"/>
    <w:rsid w:val="00356465"/>
    <w:rsid w:val="003564CD"/>
    <w:rsid w:val="00356870"/>
    <w:rsid w:val="003607D1"/>
    <w:rsid w:val="0036103E"/>
    <w:rsid w:val="00361428"/>
    <w:rsid w:val="0036193D"/>
    <w:rsid w:val="00362471"/>
    <w:rsid w:val="003625A8"/>
    <w:rsid w:val="00362996"/>
    <w:rsid w:val="00362C42"/>
    <w:rsid w:val="00362E92"/>
    <w:rsid w:val="00362ECD"/>
    <w:rsid w:val="00362F1D"/>
    <w:rsid w:val="00363377"/>
    <w:rsid w:val="003639CC"/>
    <w:rsid w:val="00363B31"/>
    <w:rsid w:val="0036441B"/>
    <w:rsid w:val="003648B4"/>
    <w:rsid w:val="00364C11"/>
    <w:rsid w:val="00365105"/>
    <w:rsid w:val="00365246"/>
    <w:rsid w:val="0036534E"/>
    <w:rsid w:val="0036554E"/>
    <w:rsid w:val="00365591"/>
    <w:rsid w:val="00365D4E"/>
    <w:rsid w:val="00365EF0"/>
    <w:rsid w:val="003663E1"/>
    <w:rsid w:val="0036666E"/>
    <w:rsid w:val="00366788"/>
    <w:rsid w:val="003668CF"/>
    <w:rsid w:val="0036692D"/>
    <w:rsid w:val="0036694B"/>
    <w:rsid w:val="003673EC"/>
    <w:rsid w:val="003675B4"/>
    <w:rsid w:val="0036779A"/>
    <w:rsid w:val="00367A42"/>
    <w:rsid w:val="00367C03"/>
    <w:rsid w:val="00367D01"/>
    <w:rsid w:val="00367F52"/>
    <w:rsid w:val="00367F8C"/>
    <w:rsid w:val="0037025D"/>
    <w:rsid w:val="00370996"/>
    <w:rsid w:val="00370D1C"/>
    <w:rsid w:val="00370ECF"/>
    <w:rsid w:val="00370F57"/>
    <w:rsid w:val="00371453"/>
    <w:rsid w:val="00371A08"/>
    <w:rsid w:val="00371A92"/>
    <w:rsid w:val="00371F90"/>
    <w:rsid w:val="00371FCF"/>
    <w:rsid w:val="003726B2"/>
    <w:rsid w:val="003726CA"/>
    <w:rsid w:val="003726CE"/>
    <w:rsid w:val="003726EE"/>
    <w:rsid w:val="003727DD"/>
    <w:rsid w:val="00372EA4"/>
    <w:rsid w:val="0037375D"/>
    <w:rsid w:val="00373CAB"/>
    <w:rsid w:val="00373D3E"/>
    <w:rsid w:val="003742FE"/>
    <w:rsid w:val="003745D8"/>
    <w:rsid w:val="00374B5A"/>
    <w:rsid w:val="00375028"/>
    <w:rsid w:val="00375144"/>
    <w:rsid w:val="00375380"/>
    <w:rsid w:val="00375469"/>
    <w:rsid w:val="0037577B"/>
    <w:rsid w:val="0037580F"/>
    <w:rsid w:val="0037592F"/>
    <w:rsid w:val="00375B41"/>
    <w:rsid w:val="00375F06"/>
    <w:rsid w:val="00376800"/>
    <w:rsid w:val="00376F1C"/>
    <w:rsid w:val="003772B3"/>
    <w:rsid w:val="003774F8"/>
    <w:rsid w:val="003779BC"/>
    <w:rsid w:val="00377A56"/>
    <w:rsid w:val="00380501"/>
    <w:rsid w:val="00380C55"/>
    <w:rsid w:val="00380F61"/>
    <w:rsid w:val="00380F64"/>
    <w:rsid w:val="0038114C"/>
    <w:rsid w:val="00381484"/>
    <w:rsid w:val="00381A32"/>
    <w:rsid w:val="00381AC6"/>
    <w:rsid w:val="00381BE0"/>
    <w:rsid w:val="0038220B"/>
    <w:rsid w:val="00382338"/>
    <w:rsid w:val="00382540"/>
    <w:rsid w:val="00382608"/>
    <w:rsid w:val="00382C6E"/>
    <w:rsid w:val="00382D69"/>
    <w:rsid w:val="00382F08"/>
    <w:rsid w:val="003836C9"/>
    <w:rsid w:val="00383A9B"/>
    <w:rsid w:val="00383B40"/>
    <w:rsid w:val="00383C2A"/>
    <w:rsid w:val="0038440D"/>
    <w:rsid w:val="0038451B"/>
    <w:rsid w:val="0038487C"/>
    <w:rsid w:val="003849C5"/>
    <w:rsid w:val="00384D05"/>
    <w:rsid w:val="00384DDA"/>
    <w:rsid w:val="00384F2D"/>
    <w:rsid w:val="0038524E"/>
    <w:rsid w:val="00385413"/>
    <w:rsid w:val="00385B14"/>
    <w:rsid w:val="00385B7C"/>
    <w:rsid w:val="00385BED"/>
    <w:rsid w:val="00385C0F"/>
    <w:rsid w:val="00385C11"/>
    <w:rsid w:val="003861DF"/>
    <w:rsid w:val="003863F7"/>
    <w:rsid w:val="003866AA"/>
    <w:rsid w:val="00386A27"/>
    <w:rsid w:val="00386AAB"/>
    <w:rsid w:val="00386C6D"/>
    <w:rsid w:val="00386F1A"/>
    <w:rsid w:val="00386FDD"/>
    <w:rsid w:val="00387120"/>
    <w:rsid w:val="003874C1"/>
    <w:rsid w:val="00387664"/>
    <w:rsid w:val="0038776E"/>
    <w:rsid w:val="00390330"/>
    <w:rsid w:val="0039063D"/>
    <w:rsid w:val="003910BB"/>
    <w:rsid w:val="0039127D"/>
    <w:rsid w:val="003913A9"/>
    <w:rsid w:val="0039181C"/>
    <w:rsid w:val="00391BE3"/>
    <w:rsid w:val="00391C63"/>
    <w:rsid w:val="00391ECC"/>
    <w:rsid w:val="00392667"/>
    <w:rsid w:val="00392728"/>
    <w:rsid w:val="00392FA0"/>
    <w:rsid w:val="00393398"/>
    <w:rsid w:val="00393516"/>
    <w:rsid w:val="003935A6"/>
    <w:rsid w:val="00393C0A"/>
    <w:rsid w:val="00393FF7"/>
    <w:rsid w:val="003940F5"/>
    <w:rsid w:val="00394480"/>
    <w:rsid w:val="00394FD8"/>
    <w:rsid w:val="00395252"/>
    <w:rsid w:val="0039535F"/>
    <w:rsid w:val="00395F02"/>
    <w:rsid w:val="0039603B"/>
    <w:rsid w:val="0039639C"/>
    <w:rsid w:val="00396479"/>
    <w:rsid w:val="0039686D"/>
    <w:rsid w:val="003968E7"/>
    <w:rsid w:val="00396979"/>
    <w:rsid w:val="00396FEF"/>
    <w:rsid w:val="0039710F"/>
    <w:rsid w:val="003971B8"/>
    <w:rsid w:val="0039739F"/>
    <w:rsid w:val="003974C7"/>
    <w:rsid w:val="003975B5"/>
    <w:rsid w:val="003977E1"/>
    <w:rsid w:val="00397811"/>
    <w:rsid w:val="00397C7D"/>
    <w:rsid w:val="003A0226"/>
    <w:rsid w:val="003A046F"/>
    <w:rsid w:val="003A05FA"/>
    <w:rsid w:val="003A07C4"/>
    <w:rsid w:val="003A07C7"/>
    <w:rsid w:val="003A0BB0"/>
    <w:rsid w:val="003A1303"/>
    <w:rsid w:val="003A16AE"/>
    <w:rsid w:val="003A1B9E"/>
    <w:rsid w:val="003A1BE6"/>
    <w:rsid w:val="003A1D64"/>
    <w:rsid w:val="003A201E"/>
    <w:rsid w:val="003A2200"/>
    <w:rsid w:val="003A22C4"/>
    <w:rsid w:val="003A23AD"/>
    <w:rsid w:val="003A2C9A"/>
    <w:rsid w:val="003A2D0C"/>
    <w:rsid w:val="003A2DC0"/>
    <w:rsid w:val="003A2FCC"/>
    <w:rsid w:val="003A3405"/>
    <w:rsid w:val="003A3717"/>
    <w:rsid w:val="003A39D5"/>
    <w:rsid w:val="003A3D36"/>
    <w:rsid w:val="003A3D6C"/>
    <w:rsid w:val="003A3E38"/>
    <w:rsid w:val="003A4027"/>
    <w:rsid w:val="003A4488"/>
    <w:rsid w:val="003A491D"/>
    <w:rsid w:val="003A4B74"/>
    <w:rsid w:val="003A4BDF"/>
    <w:rsid w:val="003A5234"/>
    <w:rsid w:val="003A533B"/>
    <w:rsid w:val="003A5397"/>
    <w:rsid w:val="003A540D"/>
    <w:rsid w:val="003A589A"/>
    <w:rsid w:val="003A598D"/>
    <w:rsid w:val="003A5D5E"/>
    <w:rsid w:val="003A633D"/>
    <w:rsid w:val="003A662D"/>
    <w:rsid w:val="003A669C"/>
    <w:rsid w:val="003A6AF5"/>
    <w:rsid w:val="003A6BD7"/>
    <w:rsid w:val="003A70F9"/>
    <w:rsid w:val="003A7146"/>
    <w:rsid w:val="003A71F6"/>
    <w:rsid w:val="003A729F"/>
    <w:rsid w:val="003A7541"/>
    <w:rsid w:val="003A79FC"/>
    <w:rsid w:val="003A7CA4"/>
    <w:rsid w:val="003B0536"/>
    <w:rsid w:val="003B1037"/>
    <w:rsid w:val="003B109E"/>
    <w:rsid w:val="003B178B"/>
    <w:rsid w:val="003B1B96"/>
    <w:rsid w:val="003B2450"/>
    <w:rsid w:val="003B2930"/>
    <w:rsid w:val="003B2A9A"/>
    <w:rsid w:val="003B2DA2"/>
    <w:rsid w:val="003B2EBF"/>
    <w:rsid w:val="003B2F6B"/>
    <w:rsid w:val="003B3357"/>
    <w:rsid w:val="003B374A"/>
    <w:rsid w:val="003B3943"/>
    <w:rsid w:val="003B3DCE"/>
    <w:rsid w:val="003B4059"/>
    <w:rsid w:val="003B4279"/>
    <w:rsid w:val="003B4A4B"/>
    <w:rsid w:val="003B4AFC"/>
    <w:rsid w:val="003B4B65"/>
    <w:rsid w:val="003B4EC5"/>
    <w:rsid w:val="003B511A"/>
    <w:rsid w:val="003B5141"/>
    <w:rsid w:val="003B5652"/>
    <w:rsid w:val="003B56C4"/>
    <w:rsid w:val="003B5EEF"/>
    <w:rsid w:val="003B5F6C"/>
    <w:rsid w:val="003B60AB"/>
    <w:rsid w:val="003B6170"/>
    <w:rsid w:val="003B634F"/>
    <w:rsid w:val="003B6493"/>
    <w:rsid w:val="003B6785"/>
    <w:rsid w:val="003B6902"/>
    <w:rsid w:val="003B6ED0"/>
    <w:rsid w:val="003B7733"/>
    <w:rsid w:val="003B78B9"/>
    <w:rsid w:val="003B7A00"/>
    <w:rsid w:val="003B7AEC"/>
    <w:rsid w:val="003B7B6B"/>
    <w:rsid w:val="003B7C21"/>
    <w:rsid w:val="003C0245"/>
    <w:rsid w:val="003C079C"/>
    <w:rsid w:val="003C0D8B"/>
    <w:rsid w:val="003C0DE8"/>
    <w:rsid w:val="003C1A92"/>
    <w:rsid w:val="003C1D08"/>
    <w:rsid w:val="003C2705"/>
    <w:rsid w:val="003C2855"/>
    <w:rsid w:val="003C2A42"/>
    <w:rsid w:val="003C2B60"/>
    <w:rsid w:val="003C2DCB"/>
    <w:rsid w:val="003C2FEC"/>
    <w:rsid w:val="003C3187"/>
    <w:rsid w:val="003C326F"/>
    <w:rsid w:val="003C34B6"/>
    <w:rsid w:val="003C386D"/>
    <w:rsid w:val="003C3D35"/>
    <w:rsid w:val="003C4263"/>
    <w:rsid w:val="003C45C3"/>
    <w:rsid w:val="003C48C4"/>
    <w:rsid w:val="003C4A52"/>
    <w:rsid w:val="003C4FD4"/>
    <w:rsid w:val="003C5267"/>
    <w:rsid w:val="003C535A"/>
    <w:rsid w:val="003C5385"/>
    <w:rsid w:val="003C571C"/>
    <w:rsid w:val="003C5769"/>
    <w:rsid w:val="003C6136"/>
    <w:rsid w:val="003C68DC"/>
    <w:rsid w:val="003C6982"/>
    <w:rsid w:val="003C6A49"/>
    <w:rsid w:val="003C6C72"/>
    <w:rsid w:val="003C7516"/>
    <w:rsid w:val="003C765F"/>
    <w:rsid w:val="003C785C"/>
    <w:rsid w:val="003C7C24"/>
    <w:rsid w:val="003D0137"/>
    <w:rsid w:val="003D0383"/>
    <w:rsid w:val="003D09BF"/>
    <w:rsid w:val="003D0D69"/>
    <w:rsid w:val="003D0ECC"/>
    <w:rsid w:val="003D17E1"/>
    <w:rsid w:val="003D19F2"/>
    <w:rsid w:val="003D1A47"/>
    <w:rsid w:val="003D1B14"/>
    <w:rsid w:val="003D1B74"/>
    <w:rsid w:val="003D1D65"/>
    <w:rsid w:val="003D1E9A"/>
    <w:rsid w:val="003D1F86"/>
    <w:rsid w:val="003D2629"/>
    <w:rsid w:val="003D26A9"/>
    <w:rsid w:val="003D2700"/>
    <w:rsid w:val="003D2813"/>
    <w:rsid w:val="003D3472"/>
    <w:rsid w:val="003D372C"/>
    <w:rsid w:val="003D3828"/>
    <w:rsid w:val="003D38D2"/>
    <w:rsid w:val="003D399C"/>
    <w:rsid w:val="003D3D4F"/>
    <w:rsid w:val="003D4056"/>
    <w:rsid w:val="003D41E6"/>
    <w:rsid w:val="003D4227"/>
    <w:rsid w:val="003D42C1"/>
    <w:rsid w:val="003D4414"/>
    <w:rsid w:val="003D4A62"/>
    <w:rsid w:val="003D4B7F"/>
    <w:rsid w:val="003D4C3A"/>
    <w:rsid w:val="003D5054"/>
    <w:rsid w:val="003D5095"/>
    <w:rsid w:val="003D56BE"/>
    <w:rsid w:val="003D5842"/>
    <w:rsid w:val="003D593D"/>
    <w:rsid w:val="003D5A07"/>
    <w:rsid w:val="003D6298"/>
    <w:rsid w:val="003D6302"/>
    <w:rsid w:val="003D6372"/>
    <w:rsid w:val="003D6A90"/>
    <w:rsid w:val="003D6F97"/>
    <w:rsid w:val="003D711B"/>
    <w:rsid w:val="003D7247"/>
    <w:rsid w:val="003D74B7"/>
    <w:rsid w:val="003D7F67"/>
    <w:rsid w:val="003E0412"/>
    <w:rsid w:val="003E0560"/>
    <w:rsid w:val="003E09D2"/>
    <w:rsid w:val="003E0A99"/>
    <w:rsid w:val="003E0B11"/>
    <w:rsid w:val="003E0EF6"/>
    <w:rsid w:val="003E0F17"/>
    <w:rsid w:val="003E0F36"/>
    <w:rsid w:val="003E12D1"/>
    <w:rsid w:val="003E14DC"/>
    <w:rsid w:val="003E1612"/>
    <w:rsid w:val="003E1981"/>
    <w:rsid w:val="003E1A2A"/>
    <w:rsid w:val="003E1ADA"/>
    <w:rsid w:val="003E1ED7"/>
    <w:rsid w:val="003E22EA"/>
    <w:rsid w:val="003E2435"/>
    <w:rsid w:val="003E2809"/>
    <w:rsid w:val="003E2B6A"/>
    <w:rsid w:val="003E358A"/>
    <w:rsid w:val="003E3652"/>
    <w:rsid w:val="003E3B1C"/>
    <w:rsid w:val="003E3E57"/>
    <w:rsid w:val="003E3FB5"/>
    <w:rsid w:val="003E4007"/>
    <w:rsid w:val="003E4F3B"/>
    <w:rsid w:val="003E50F4"/>
    <w:rsid w:val="003E51F1"/>
    <w:rsid w:val="003E5A75"/>
    <w:rsid w:val="003E5EC6"/>
    <w:rsid w:val="003E656B"/>
    <w:rsid w:val="003E66E1"/>
    <w:rsid w:val="003E697E"/>
    <w:rsid w:val="003E6B51"/>
    <w:rsid w:val="003E72D7"/>
    <w:rsid w:val="003E7747"/>
    <w:rsid w:val="003E7880"/>
    <w:rsid w:val="003E78F4"/>
    <w:rsid w:val="003E7B22"/>
    <w:rsid w:val="003E7BA0"/>
    <w:rsid w:val="003E7C96"/>
    <w:rsid w:val="003E7ECA"/>
    <w:rsid w:val="003F044F"/>
    <w:rsid w:val="003F0496"/>
    <w:rsid w:val="003F0531"/>
    <w:rsid w:val="003F1126"/>
    <w:rsid w:val="003F1419"/>
    <w:rsid w:val="003F1572"/>
    <w:rsid w:val="003F1971"/>
    <w:rsid w:val="003F1B46"/>
    <w:rsid w:val="003F1E52"/>
    <w:rsid w:val="003F2620"/>
    <w:rsid w:val="003F2D57"/>
    <w:rsid w:val="003F2E25"/>
    <w:rsid w:val="003F319D"/>
    <w:rsid w:val="003F32D8"/>
    <w:rsid w:val="003F3357"/>
    <w:rsid w:val="003F351E"/>
    <w:rsid w:val="003F3677"/>
    <w:rsid w:val="003F419D"/>
    <w:rsid w:val="003F4230"/>
    <w:rsid w:val="003F4682"/>
    <w:rsid w:val="003F5098"/>
    <w:rsid w:val="003F54B5"/>
    <w:rsid w:val="003F5C7E"/>
    <w:rsid w:val="003F5E88"/>
    <w:rsid w:val="003F604F"/>
    <w:rsid w:val="003F65B5"/>
    <w:rsid w:val="003F6BC4"/>
    <w:rsid w:val="003F6FBC"/>
    <w:rsid w:val="003F76B6"/>
    <w:rsid w:val="003F77C7"/>
    <w:rsid w:val="003F7B7A"/>
    <w:rsid w:val="00400327"/>
    <w:rsid w:val="00400453"/>
    <w:rsid w:val="004006A8"/>
    <w:rsid w:val="00400ED1"/>
    <w:rsid w:val="004010F2"/>
    <w:rsid w:val="00401222"/>
    <w:rsid w:val="00401228"/>
    <w:rsid w:val="00401297"/>
    <w:rsid w:val="00401354"/>
    <w:rsid w:val="004016B8"/>
    <w:rsid w:val="0040199E"/>
    <w:rsid w:val="00401A3E"/>
    <w:rsid w:val="00402114"/>
    <w:rsid w:val="004024E9"/>
    <w:rsid w:val="004031B7"/>
    <w:rsid w:val="0040391B"/>
    <w:rsid w:val="00403C3D"/>
    <w:rsid w:val="00403C55"/>
    <w:rsid w:val="00403DB7"/>
    <w:rsid w:val="00403E0C"/>
    <w:rsid w:val="004046C9"/>
    <w:rsid w:val="00405050"/>
    <w:rsid w:val="0040512F"/>
    <w:rsid w:val="00405BDF"/>
    <w:rsid w:val="00405E59"/>
    <w:rsid w:val="00405EDE"/>
    <w:rsid w:val="004060A9"/>
    <w:rsid w:val="0040650D"/>
    <w:rsid w:val="00406751"/>
    <w:rsid w:val="004069FA"/>
    <w:rsid w:val="00406CEB"/>
    <w:rsid w:val="00406D66"/>
    <w:rsid w:val="00406D78"/>
    <w:rsid w:val="004073E6"/>
    <w:rsid w:val="004076A3"/>
    <w:rsid w:val="004078D9"/>
    <w:rsid w:val="00407A80"/>
    <w:rsid w:val="00407AE1"/>
    <w:rsid w:val="00407AF9"/>
    <w:rsid w:val="00407CC4"/>
    <w:rsid w:val="00407D2F"/>
    <w:rsid w:val="00407D6C"/>
    <w:rsid w:val="00407E21"/>
    <w:rsid w:val="0041013E"/>
    <w:rsid w:val="004102A5"/>
    <w:rsid w:val="00411250"/>
    <w:rsid w:val="00411932"/>
    <w:rsid w:val="00411A33"/>
    <w:rsid w:val="00411BFC"/>
    <w:rsid w:val="00411D88"/>
    <w:rsid w:val="00411DCB"/>
    <w:rsid w:val="00411E77"/>
    <w:rsid w:val="00411F48"/>
    <w:rsid w:val="00411FD1"/>
    <w:rsid w:val="0041201A"/>
    <w:rsid w:val="00412801"/>
    <w:rsid w:val="00412832"/>
    <w:rsid w:val="0041297C"/>
    <w:rsid w:val="00412DAD"/>
    <w:rsid w:val="00412F74"/>
    <w:rsid w:val="004131AB"/>
    <w:rsid w:val="00413248"/>
    <w:rsid w:val="004133EB"/>
    <w:rsid w:val="00413897"/>
    <w:rsid w:val="0041412F"/>
    <w:rsid w:val="004144A4"/>
    <w:rsid w:val="004144DA"/>
    <w:rsid w:val="00414C3A"/>
    <w:rsid w:val="00414C4C"/>
    <w:rsid w:val="0041502A"/>
    <w:rsid w:val="00415184"/>
    <w:rsid w:val="004156D4"/>
    <w:rsid w:val="00416721"/>
    <w:rsid w:val="00416BCA"/>
    <w:rsid w:val="00416EA3"/>
    <w:rsid w:val="004171EA"/>
    <w:rsid w:val="004172A0"/>
    <w:rsid w:val="00417591"/>
    <w:rsid w:val="00417774"/>
    <w:rsid w:val="00420B10"/>
    <w:rsid w:val="00420E79"/>
    <w:rsid w:val="00421554"/>
    <w:rsid w:val="00421C25"/>
    <w:rsid w:val="00421CFB"/>
    <w:rsid w:val="00422039"/>
    <w:rsid w:val="00422167"/>
    <w:rsid w:val="00422177"/>
    <w:rsid w:val="004222C9"/>
    <w:rsid w:val="0042267F"/>
    <w:rsid w:val="00422897"/>
    <w:rsid w:val="0042292C"/>
    <w:rsid w:val="004229DF"/>
    <w:rsid w:val="00422A36"/>
    <w:rsid w:val="00422CAB"/>
    <w:rsid w:val="00423178"/>
    <w:rsid w:val="0042323A"/>
    <w:rsid w:val="00423243"/>
    <w:rsid w:val="0042338C"/>
    <w:rsid w:val="00423746"/>
    <w:rsid w:val="00423912"/>
    <w:rsid w:val="00423DC2"/>
    <w:rsid w:val="00424062"/>
    <w:rsid w:val="00424CEE"/>
    <w:rsid w:val="00424D39"/>
    <w:rsid w:val="00424EC5"/>
    <w:rsid w:val="00424FB7"/>
    <w:rsid w:val="00424FC4"/>
    <w:rsid w:val="00425072"/>
    <w:rsid w:val="00425425"/>
    <w:rsid w:val="004255B5"/>
    <w:rsid w:val="00426049"/>
    <w:rsid w:val="0042623B"/>
    <w:rsid w:val="00426681"/>
    <w:rsid w:val="004266D9"/>
    <w:rsid w:val="004268CF"/>
    <w:rsid w:val="00426963"/>
    <w:rsid w:val="00426C78"/>
    <w:rsid w:val="00426CEF"/>
    <w:rsid w:val="00427286"/>
    <w:rsid w:val="0042731A"/>
    <w:rsid w:val="004274B2"/>
    <w:rsid w:val="0042763E"/>
    <w:rsid w:val="0042769E"/>
    <w:rsid w:val="004277CC"/>
    <w:rsid w:val="00427AF8"/>
    <w:rsid w:val="00427F0F"/>
    <w:rsid w:val="00427F66"/>
    <w:rsid w:val="00430156"/>
    <w:rsid w:val="004304F8"/>
    <w:rsid w:val="00430A53"/>
    <w:rsid w:val="00430E0E"/>
    <w:rsid w:val="00430E35"/>
    <w:rsid w:val="00430EC4"/>
    <w:rsid w:val="00431078"/>
    <w:rsid w:val="0043116D"/>
    <w:rsid w:val="0043117F"/>
    <w:rsid w:val="00431327"/>
    <w:rsid w:val="0043140F"/>
    <w:rsid w:val="0043183B"/>
    <w:rsid w:val="00431854"/>
    <w:rsid w:val="004318FE"/>
    <w:rsid w:val="00431F20"/>
    <w:rsid w:val="00431F58"/>
    <w:rsid w:val="00431F9E"/>
    <w:rsid w:val="00431FAA"/>
    <w:rsid w:val="00431FC4"/>
    <w:rsid w:val="0043203E"/>
    <w:rsid w:val="00432113"/>
    <w:rsid w:val="00432588"/>
    <w:rsid w:val="00432FBE"/>
    <w:rsid w:val="00433B05"/>
    <w:rsid w:val="00433BB2"/>
    <w:rsid w:val="00433CF2"/>
    <w:rsid w:val="00433D78"/>
    <w:rsid w:val="00433E0E"/>
    <w:rsid w:val="00433F5B"/>
    <w:rsid w:val="0043407D"/>
    <w:rsid w:val="0043418F"/>
    <w:rsid w:val="00434432"/>
    <w:rsid w:val="004346A0"/>
    <w:rsid w:val="00434767"/>
    <w:rsid w:val="00434AA2"/>
    <w:rsid w:val="00434D29"/>
    <w:rsid w:val="004356E2"/>
    <w:rsid w:val="00435C2D"/>
    <w:rsid w:val="00436E08"/>
    <w:rsid w:val="004374A6"/>
    <w:rsid w:val="00437503"/>
    <w:rsid w:val="0043769A"/>
    <w:rsid w:val="00440838"/>
    <w:rsid w:val="00440852"/>
    <w:rsid w:val="004409BE"/>
    <w:rsid w:val="00440D33"/>
    <w:rsid w:val="00440E58"/>
    <w:rsid w:val="00441066"/>
    <w:rsid w:val="0044129C"/>
    <w:rsid w:val="004412DE"/>
    <w:rsid w:val="00441639"/>
    <w:rsid w:val="00441875"/>
    <w:rsid w:val="00441CDD"/>
    <w:rsid w:val="00441D64"/>
    <w:rsid w:val="00441FC1"/>
    <w:rsid w:val="00442194"/>
    <w:rsid w:val="004422E4"/>
    <w:rsid w:val="004425E9"/>
    <w:rsid w:val="004428B1"/>
    <w:rsid w:val="00442B17"/>
    <w:rsid w:val="00442D46"/>
    <w:rsid w:val="0044309B"/>
    <w:rsid w:val="0044326A"/>
    <w:rsid w:val="00443301"/>
    <w:rsid w:val="00443547"/>
    <w:rsid w:val="004438E6"/>
    <w:rsid w:val="00443993"/>
    <w:rsid w:val="00444391"/>
    <w:rsid w:val="00444477"/>
    <w:rsid w:val="004448CB"/>
    <w:rsid w:val="00444ACC"/>
    <w:rsid w:val="00444BCD"/>
    <w:rsid w:val="00445560"/>
    <w:rsid w:val="004458D8"/>
    <w:rsid w:val="00445AC7"/>
    <w:rsid w:val="00445ACE"/>
    <w:rsid w:val="00445CBB"/>
    <w:rsid w:val="00445FB3"/>
    <w:rsid w:val="00446183"/>
    <w:rsid w:val="00446355"/>
    <w:rsid w:val="004465F9"/>
    <w:rsid w:val="00446FA2"/>
    <w:rsid w:val="00447155"/>
    <w:rsid w:val="00447609"/>
    <w:rsid w:val="004477C2"/>
    <w:rsid w:val="00447BB2"/>
    <w:rsid w:val="00447E23"/>
    <w:rsid w:val="00450591"/>
    <w:rsid w:val="00450850"/>
    <w:rsid w:val="00450989"/>
    <w:rsid w:val="0045099C"/>
    <w:rsid w:val="00450CC1"/>
    <w:rsid w:val="00450D92"/>
    <w:rsid w:val="00450DB2"/>
    <w:rsid w:val="00450F2D"/>
    <w:rsid w:val="00450FD9"/>
    <w:rsid w:val="0045105F"/>
    <w:rsid w:val="00451143"/>
    <w:rsid w:val="00451496"/>
    <w:rsid w:val="004514D9"/>
    <w:rsid w:val="004515D2"/>
    <w:rsid w:val="00451C27"/>
    <w:rsid w:val="00451C97"/>
    <w:rsid w:val="00452041"/>
    <w:rsid w:val="004529C5"/>
    <w:rsid w:val="00452C1C"/>
    <w:rsid w:val="00452CF2"/>
    <w:rsid w:val="00452D19"/>
    <w:rsid w:val="00452F3A"/>
    <w:rsid w:val="00452F6D"/>
    <w:rsid w:val="00452FCD"/>
    <w:rsid w:val="004530E9"/>
    <w:rsid w:val="004532F1"/>
    <w:rsid w:val="00453761"/>
    <w:rsid w:val="0045391F"/>
    <w:rsid w:val="00453CAB"/>
    <w:rsid w:val="00453EC1"/>
    <w:rsid w:val="00453EFD"/>
    <w:rsid w:val="00455387"/>
    <w:rsid w:val="00455BA8"/>
    <w:rsid w:val="00455DE8"/>
    <w:rsid w:val="00456384"/>
    <w:rsid w:val="004565C0"/>
    <w:rsid w:val="00456A15"/>
    <w:rsid w:val="0045705B"/>
    <w:rsid w:val="004570FF"/>
    <w:rsid w:val="00457BB7"/>
    <w:rsid w:val="0046016D"/>
    <w:rsid w:val="00460877"/>
    <w:rsid w:val="00460A9F"/>
    <w:rsid w:val="00460BA1"/>
    <w:rsid w:val="00460D0F"/>
    <w:rsid w:val="00460F04"/>
    <w:rsid w:val="004614D9"/>
    <w:rsid w:val="004616A7"/>
    <w:rsid w:val="00461B3D"/>
    <w:rsid w:val="0046209B"/>
    <w:rsid w:val="004620AD"/>
    <w:rsid w:val="00462356"/>
    <w:rsid w:val="0046280A"/>
    <w:rsid w:val="004629FB"/>
    <w:rsid w:val="00462FB2"/>
    <w:rsid w:val="0046317E"/>
    <w:rsid w:val="0046329A"/>
    <w:rsid w:val="00463963"/>
    <w:rsid w:val="00463ADB"/>
    <w:rsid w:val="00463AFA"/>
    <w:rsid w:val="00463F80"/>
    <w:rsid w:val="00464205"/>
    <w:rsid w:val="004642C8"/>
    <w:rsid w:val="00464855"/>
    <w:rsid w:val="00464863"/>
    <w:rsid w:val="00464EC3"/>
    <w:rsid w:val="0046524D"/>
    <w:rsid w:val="0046576A"/>
    <w:rsid w:val="004659FE"/>
    <w:rsid w:val="00465BE7"/>
    <w:rsid w:val="00466537"/>
    <w:rsid w:val="00466BC0"/>
    <w:rsid w:val="00466C04"/>
    <w:rsid w:val="004670A0"/>
    <w:rsid w:val="004670CF"/>
    <w:rsid w:val="00467443"/>
    <w:rsid w:val="004675C6"/>
    <w:rsid w:val="00467605"/>
    <w:rsid w:val="0046776B"/>
    <w:rsid w:val="0046780D"/>
    <w:rsid w:val="004701B6"/>
    <w:rsid w:val="0047032E"/>
    <w:rsid w:val="00470A8C"/>
    <w:rsid w:val="0047134C"/>
    <w:rsid w:val="004715D5"/>
    <w:rsid w:val="00471809"/>
    <w:rsid w:val="00471AF7"/>
    <w:rsid w:val="004720A5"/>
    <w:rsid w:val="004724EB"/>
    <w:rsid w:val="004724EC"/>
    <w:rsid w:val="0047255F"/>
    <w:rsid w:val="00472951"/>
    <w:rsid w:val="00472BBA"/>
    <w:rsid w:val="00472C98"/>
    <w:rsid w:val="00472CD2"/>
    <w:rsid w:val="00472D50"/>
    <w:rsid w:val="00472DEA"/>
    <w:rsid w:val="00472FB3"/>
    <w:rsid w:val="00472FEB"/>
    <w:rsid w:val="004731C2"/>
    <w:rsid w:val="004737C7"/>
    <w:rsid w:val="00473D3F"/>
    <w:rsid w:val="0047461A"/>
    <w:rsid w:val="00475D80"/>
    <w:rsid w:val="0047605A"/>
    <w:rsid w:val="0047618E"/>
    <w:rsid w:val="004762AD"/>
    <w:rsid w:val="00476692"/>
    <w:rsid w:val="00476822"/>
    <w:rsid w:val="00476C0F"/>
    <w:rsid w:val="00477769"/>
    <w:rsid w:val="00477E41"/>
    <w:rsid w:val="004806F5"/>
    <w:rsid w:val="00480C8E"/>
    <w:rsid w:val="00481062"/>
    <w:rsid w:val="004813D2"/>
    <w:rsid w:val="0048154F"/>
    <w:rsid w:val="00481872"/>
    <w:rsid w:val="004820A3"/>
    <w:rsid w:val="004823DD"/>
    <w:rsid w:val="004828E0"/>
    <w:rsid w:val="00482B47"/>
    <w:rsid w:val="00482D22"/>
    <w:rsid w:val="00482FD8"/>
    <w:rsid w:val="00483015"/>
    <w:rsid w:val="004831EE"/>
    <w:rsid w:val="00483407"/>
    <w:rsid w:val="0048350D"/>
    <w:rsid w:val="0048380E"/>
    <w:rsid w:val="004839F1"/>
    <w:rsid w:val="00483AC8"/>
    <w:rsid w:val="00483C7B"/>
    <w:rsid w:val="00483DE4"/>
    <w:rsid w:val="00484887"/>
    <w:rsid w:val="0048489F"/>
    <w:rsid w:val="00484B18"/>
    <w:rsid w:val="00484C19"/>
    <w:rsid w:val="00484E98"/>
    <w:rsid w:val="00485025"/>
    <w:rsid w:val="004853B4"/>
    <w:rsid w:val="0048576F"/>
    <w:rsid w:val="00485AAB"/>
    <w:rsid w:val="00485D60"/>
    <w:rsid w:val="00486309"/>
    <w:rsid w:val="0048701B"/>
    <w:rsid w:val="00487050"/>
    <w:rsid w:val="004872FA"/>
    <w:rsid w:val="00487BA1"/>
    <w:rsid w:val="00487C84"/>
    <w:rsid w:val="00487FCB"/>
    <w:rsid w:val="00490079"/>
    <w:rsid w:val="00490081"/>
    <w:rsid w:val="0049011E"/>
    <w:rsid w:val="004901B0"/>
    <w:rsid w:val="00490342"/>
    <w:rsid w:val="00490668"/>
    <w:rsid w:val="00490B4D"/>
    <w:rsid w:val="00490C03"/>
    <w:rsid w:val="00490CB7"/>
    <w:rsid w:val="0049147D"/>
    <w:rsid w:val="00491610"/>
    <w:rsid w:val="004919D3"/>
    <w:rsid w:val="004919E3"/>
    <w:rsid w:val="00491A5C"/>
    <w:rsid w:val="00491AC7"/>
    <w:rsid w:val="00491AFE"/>
    <w:rsid w:val="00491BD6"/>
    <w:rsid w:val="004923E6"/>
    <w:rsid w:val="00492956"/>
    <w:rsid w:val="00492CF4"/>
    <w:rsid w:val="00492EF0"/>
    <w:rsid w:val="00493231"/>
    <w:rsid w:val="0049348E"/>
    <w:rsid w:val="004939A2"/>
    <w:rsid w:val="00494167"/>
    <w:rsid w:val="00494F4B"/>
    <w:rsid w:val="0049524C"/>
    <w:rsid w:val="00495533"/>
    <w:rsid w:val="00495683"/>
    <w:rsid w:val="00495713"/>
    <w:rsid w:val="004960F5"/>
    <w:rsid w:val="004961B1"/>
    <w:rsid w:val="00496257"/>
    <w:rsid w:val="004967B1"/>
    <w:rsid w:val="00496BEE"/>
    <w:rsid w:val="00496C57"/>
    <w:rsid w:val="004971D4"/>
    <w:rsid w:val="0049730A"/>
    <w:rsid w:val="00497778"/>
    <w:rsid w:val="00497800"/>
    <w:rsid w:val="00497B89"/>
    <w:rsid w:val="00497D81"/>
    <w:rsid w:val="004A0038"/>
    <w:rsid w:val="004A0154"/>
    <w:rsid w:val="004A058D"/>
    <w:rsid w:val="004A06A3"/>
    <w:rsid w:val="004A0761"/>
    <w:rsid w:val="004A077A"/>
    <w:rsid w:val="004A093D"/>
    <w:rsid w:val="004A0D98"/>
    <w:rsid w:val="004A16E7"/>
    <w:rsid w:val="004A1EB6"/>
    <w:rsid w:val="004A20CB"/>
    <w:rsid w:val="004A2503"/>
    <w:rsid w:val="004A28FA"/>
    <w:rsid w:val="004A2930"/>
    <w:rsid w:val="004A2B48"/>
    <w:rsid w:val="004A2E1E"/>
    <w:rsid w:val="004A2F6C"/>
    <w:rsid w:val="004A316D"/>
    <w:rsid w:val="004A3190"/>
    <w:rsid w:val="004A34DF"/>
    <w:rsid w:val="004A3AEB"/>
    <w:rsid w:val="004A3DF0"/>
    <w:rsid w:val="004A4104"/>
    <w:rsid w:val="004A418F"/>
    <w:rsid w:val="004A4653"/>
    <w:rsid w:val="004A478E"/>
    <w:rsid w:val="004A4D93"/>
    <w:rsid w:val="004A525F"/>
    <w:rsid w:val="004A5529"/>
    <w:rsid w:val="004A560C"/>
    <w:rsid w:val="004A5786"/>
    <w:rsid w:val="004A5E60"/>
    <w:rsid w:val="004A6219"/>
    <w:rsid w:val="004A6266"/>
    <w:rsid w:val="004A642F"/>
    <w:rsid w:val="004A65CB"/>
    <w:rsid w:val="004A6676"/>
    <w:rsid w:val="004A6BFE"/>
    <w:rsid w:val="004A6C40"/>
    <w:rsid w:val="004A6D33"/>
    <w:rsid w:val="004A6DFC"/>
    <w:rsid w:val="004A6E88"/>
    <w:rsid w:val="004A6F38"/>
    <w:rsid w:val="004A7439"/>
    <w:rsid w:val="004A761F"/>
    <w:rsid w:val="004A7944"/>
    <w:rsid w:val="004A79C0"/>
    <w:rsid w:val="004B0321"/>
    <w:rsid w:val="004B036F"/>
    <w:rsid w:val="004B04D8"/>
    <w:rsid w:val="004B1231"/>
    <w:rsid w:val="004B132F"/>
    <w:rsid w:val="004B13B5"/>
    <w:rsid w:val="004B15DF"/>
    <w:rsid w:val="004B16B9"/>
    <w:rsid w:val="004B17E1"/>
    <w:rsid w:val="004B1C09"/>
    <w:rsid w:val="004B1DC7"/>
    <w:rsid w:val="004B219B"/>
    <w:rsid w:val="004B21C6"/>
    <w:rsid w:val="004B2400"/>
    <w:rsid w:val="004B251A"/>
    <w:rsid w:val="004B268D"/>
    <w:rsid w:val="004B2756"/>
    <w:rsid w:val="004B2939"/>
    <w:rsid w:val="004B2C6A"/>
    <w:rsid w:val="004B2C7C"/>
    <w:rsid w:val="004B2C7D"/>
    <w:rsid w:val="004B2CE2"/>
    <w:rsid w:val="004B3176"/>
    <w:rsid w:val="004B34E4"/>
    <w:rsid w:val="004B3B52"/>
    <w:rsid w:val="004B3D71"/>
    <w:rsid w:val="004B4165"/>
    <w:rsid w:val="004B4330"/>
    <w:rsid w:val="004B4464"/>
    <w:rsid w:val="004B4497"/>
    <w:rsid w:val="004B45D6"/>
    <w:rsid w:val="004B4A82"/>
    <w:rsid w:val="004B4FAB"/>
    <w:rsid w:val="004B4FBB"/>
    <w:rsid w:val="004B527E"/>
    <w:rsid w:val="004B52A6"/>
    <w:rsid w:val="004B5951"/>
    <w:rsid w:val="004B5A9C"/>
    <w:rsid w:val="004B5AA2"/>
    <w:rsid w:val="004B5B61"/>
    <w:rsid w:val="004B5B84"/>
    <w:rsid w:val="004B5BF6"/>
    <w:rsid w:val="004B5C7D"/>
    <w:rsid w:val="004B5CAA"/>
    <w:rsid w:val="004B5E54"/>
    <w:rsid w:val="004B6AD9"/>
    <w:rsid w:val="004B6F8C"/>
    <w:rsid w:val="004B7021"/>
    <w:rsid w:val="004B7129"/>
    <w:rsid w:val="004B7409"/>
    <w:rsid w:val="004B7684"/>
    <w:rsid w:val="004B7815"/>
    <w:rsid w:val="004B7928"/>
    <w:rsid w:val="004B7D24"/>
    <w:rsid w:val="004B7E13"/>
    <w:rsid w:val="004B7E4B"/>
    <w:rsid w:val="004C00F2"/>
    <w:rsid w:val="004C03A5"/>
    <w:rsid w:val="004C057D"/>
    <w:rsid w:val="004C091C"/>
    <w:rsid w:val="004C0E66"/>
    <w:rsid w:val="004C1008"/>
    <w:rsid w:val="004C11EB"/>
    <w:rsid w:val="004C12A3"/>
    <w:rsid w:val="004C1AD9"/>
    <w:rsid w:val="004C2175"/>
    <w:rsid w:val="004C235A"/>
    <w:rsid w:val="004C26E4"/>
    <w:rsid w:val="004C2AD6"/>
    <w:rsid w:val="004C3560"/>
    <w:rsid w:val="004C396C"/>
    <w:rsid w:val="004C3B91"/>
    <w:rsid w:val="004C3E6E"/>
    <w:rsid w:val="004C4056"/>
    <w:rsid w:val="004C427B"/>
    <w:rsid w:val="004C4933"/>
    <w:rsid w:val="004C4982"/>
    <w:rsid w:val="004C4A13"/>
    <w:rsid w:val="004C4C8F"/>
    <w:rsid w:val="004C4D82"/>
    <w:rsid w:val="004C524A"/>
    <w:rsid w:val="004C54C2"/>
    <w:rsid w:val="004C5837"/>
    <w:rsid w:val="004C59F4"/>
    <w:rsid w:val="004C5AF8"/>
    <w:rsid w:val="004C5B6A"/>
    <w:rsid w:val="004C5B7B"/>
    <w:rsid w:val="004C6A9A"/>
    <w:rsid w:val="004C6C0C"/>
    <w:rsid w:val="004C6CB8"/>
    <w:rsid w:val="004C6D3C"/>
    <w:rsid w:val="004C719B"/>
    <w:rsid w:val="004C75A3"/>
    <w:rsid w:val="004C75B5"/>
    <w:rsid w:val="004C763F"/>
    <w:rsid w:val="004C7C2D"/>
    <w:rsid w:val="004C7C69"/>
    <w:rsid w:val="004D0374"/>
    <w:rsid w:val="004D0509"/>
    <w:rsid w:val="004D0635"/>
    <w:rsid w:val="004D0796"/>
    <w:rsid w:val="004D1105"/>
    <w:rsid w:val="004D16F5"/>
    <w:rsid w:val="004D2197"/>
    <w:rsid w:val="004D28BA"/>
    <w:rsid w:val="004D3334"/>
    <w:rsid w:val="004D382D"/>
    <w:rsid w:val="004D3D56"/>
    <w:rsid w:val="004D40ED"/>
    <w:rsid w:val="004D4307"/>
    <w:rsid w:val="004D4497"/>
    <w:rsid w:val="004D465C"/>
    <w:rsid w:val="004D4D82"/>
    <w:rsid w:val="004D5078"/>
    <w:rsid w:val="004D5104"/>
    <w:rsid w:val="004D5336"/>
    <w:rsid w:val="004D54CB"/>
    <w:rsid w:val="004D556F"/>
    <w:rsid w:val="004D562E"/>
    <w:rsid w:val="004D5C25"/>
    <w:rsid w:val="004D5F91"/>
    <w:rsid w:val="004D607D"/>
    <w:rsid w:val="004D6693"/>
    <w:rsid w:val="004D694C"/>
    <w:rsid w:val="004D6D99"/>
    <w:rsid w:val="004D6DA2"/>
    <w:rsid w:val="004D700C"/>
    <w:rsid w:val="004D719D"/>
    <w:rsid w:val="004D74A3"/>
    <w:rsid w:val="004D756A"/>
    <w:rsid w:val="004D777E"/>
    <w:rsid w:val="004D7CC7"/>
    <w:rsid w:val="004E036F"/>
    <w:rsid w:val="004E03A4"/>
    <w:rsid w:val="004E09D9"/>
    <w:rsid w:val="004E0C8F"/>
    <w:rsid w:val="004E0CC3"/>
    <w:rsid w:val="004E1072"/>
    <w:rsid w:val="004E15BE"/>
    <w:rsid w:val="004E15FD"/>
    <w:rsid w:val="004E1BB8"/>
    <w:rsid w:val="004E21FB"/>
    <w:rsid w:val="004E24A5"/>
    <w:rsid w:val="004E28D9"/>
    <w:rsid w:val="004E2B1E"/>
    <w:rsid w:val="004E322D"/>
    <w:rsid w:val="004E34C0"/>
    <w:rsid w:val="004E3A06"/>
    <w:rsid w:val="004E3B42"/>
    <w:rsid w:val="004E3F8C"/>
    <w:rsid w:val="004E4794"/>
    <w:rsid w:val="004E47AB"/>
    <w:rsid w:val="004E495E"/>
    <w:rsid w:val="004E4DB7"/>
    <w:rsid w:val="004E4E2A"/>
    <w:rsid w:val="004E51EF"/>
    <w:rsid w:val="004E57C6"/>
    <w:rsid w:val="004E581F"/>
    <w:rsid w:val="004E58C5"/>
    <w:rsid w:val="004E5B8D"/>
    <w:rsid w:val="004E5EB5"/>
    <w:rsid w:val="004E6C43"/>
    <w:rsid w:val="004E7038"/>
    <w:rsid w:val="004E74D7"/>
    <w:rsid w:val="004E7546"/>
    <w:rsid w:val="004E7807"/>
    <w:rsid w:val="004E78C3"/>
    <w:rsid w:val="004E79C7"/>
    <w:rsid w:val="004E7AF2"/>
    <w:rsid w:val="004E7B7A"/>
    <w:rsid w:val="004E7D60"/>
    <w:rsid w:val="004E7EB4"/>
    <w:rsid w:val="004F0116"/>
    <w:rsid w:val="004F09D4"/>
    <w:rsid w:val="004F1018"/>
    <w:rsid w:val="004F12C6"/>
    <w:rsid w:val="004F155E"/>
    <w:rsid w:val="004F177C"/>
    <w:rsid w:val="004F1862"/>
    <w:rsid w:val="004F1CE7"/>
    <w:rsid w:val="004F2178"/>
    <w:rsid w:val="004F24DB"/>
    <w:rsid w:val="004F2BDB"/>
    <w:rsid w:val="004F2BEE"/>
    <w:rsid w:val="004F313A"/>
    <w:rsid w:val="004F3569"/>
    <w:rsid w:val="004F4109"/>
    <w:rsid w:val="004F4365"/>
    <w:rsid w:val="004F4369"/>
    <w:rsid w:val="004F440C"/>
    <w:rsid w:val="004F475A"/>
    <w:rsid w:val="004F47BB"/>
    <w:rsid w:val="004F47F6"/>
    <w:rsid w:val="004F4888"/>
    <w:rsid w:val="004F4BDE"/>
    <w:rsid w:val="004F4E68"/>
    <w:rsid w:val="004F5061"/>
    <w:rsid w:val="004F5340"/>
    <w:rsid w:val="004F5372"/>
    <w:rsid w:val="004F5682"/>
    <w:rsid w:val="004F56AA"/>
    <w:rsid w:val="004F5758"/>
    <w:rsid w:val="004F5A51"/>
    <w:rsid w:val="004F5ABE"/>
    <w:rsid w:val="004F5AF9"/>
    <w:rsid w:val="004F5D05"/>
    <w:rsid w:val="004F5E35"/>
    <w:rsid w:val="004F5E6B"/>
    <w:rsid w:val="004F5EEB"/>
    <w:rsid w:val="004F601D"/>
    <w:rsid w:val="004F663F"/>
    <w:rsid w:val="005002B3"/>
    <w:rsid w:val="00500997"/>
    <w:rsid w:val="00500E0F"/>
    <w:rsid w:val="00501468"/>
    <w:rsid w:val="00501A30"/>
    <w:rsid w:val="00501B08"/>
    <w:rsid w:val="00501C69"/>
    <w:rsid w:val="00501DD5"/>
    <w:rsid w:val="00501DDD"/>
    <w:rsid w:val="005020F3"/>
    <w:rsid w:val="005027B4"/>
    <w:rsid w:val="0050295F"/>
    <w:rsid w:val="00502C52"/>
    <w:rsid w:val="00502F33"/>
    <w:rsid w:val="005032F1"/>
    <w:rsid w:val="00503471"/>
    <w:rsid w:val="005036E7"/>
    <w:rsid w:val="00503C5B"/>
    <w:rsid w:val="00504186"/>
    <w:rsid w:val="005049AA"/>
    <w:rsid w:val="00504A70"/>
    <w:rsid w:val="00504C1D"/>
    <w:rsid w:val="00504CAE"/>
    <w:rsid w:val="00504FFF"/>
    <w:rsid w:val="00505334"/>
    <w:rsid w:val="00505593"/>
    <w:rsid w:val="00506587"/>
    <w:rsid w:val="005067DC"/>
    <w:rsid w:val="005069E9"/>
    <w:rsid w:val="00507053"/>
    <w:rsid w:val="005070DF"/>
    <w:rsid w:val="005070F2"/>
    <w:rsid w:val="00507177"/>
    <w:rsid w:val="005077A6"/>
    <w:rsid w:val="00507D5A"/>
    <w:rsid w:val="00507D99"/>
    <w:rsid w:val="00507FBB"/>
    <w:rsid w:val="0051024C"/>
    <w:rsid w:val="0051047C"/>
    <w:rsid w:val="0051153E"/>
    <w:rsid w:val="00511904"/>
    <w:rsid w:val="00511C79"/>
    <w:rsid w:val="00511E0F"/>
    <w:rsid w:val="00511E78"/>
    <w:rsid w:val="00512026"/>
    <w:rsid w:val="005122C3"/>
    <w:rsid w:val="00512605"/>
    <w:rsid w:val="00512623"/>
    <w:rsid w:val="00512865"/>
    <w:rsid w:val="00512957"/>
    <w:rsid w:val="00512BBC"/>
    <w:rsid w:val="00512CB2"/>
    <w:rsid w:val="00512CC0"/>
    <w:rsid w:val="00512D38"/>
    <w:rsid w:val="00512F49"/>
    <w:rsid w:val="00513491"/>
    <w:rsid w:val="005136C3"/>
    <w:rsid w:val="0051371F"/>
    <w:rsid w:val="005137F2"/>
    <w:rsid w:val="0051383A"/>
    <w:rsid w:val="0051383B"/>
    <w:rsid w:val="00513925"/>
    <w:rsid w:val="00513E5F"/>
    <w:rsid w:val="005141E9"/>
    <w:rsid w:val="00514283"/>
    <w:rsid w:val="00514482"/>
    <w:rsid w:val="0051490C"/>
    <w:rsid w:val="00514E91"/>
    <w:rsid w:val="00514FD5"/>
    <w:rsid w:val="005158AE"/>
    <w:rsid w:val="00515FB4"/>
    <w:rsid w:val="0051648F"/>
    <w:rsid w:val="005174AF"/>
    <w:rsid w:val="00517522"/>
    <w:rsid w:val="00517815"/>
    <w:rsid w:val="005179ED"/>
    <w:rsid w:val="00517EA8"/>
    <w:rsid w:val="00517FD4"/>
    <w:rsid w:val="0052003E"/>
    <w:rsid w:val="005201BD"/>
    <w:rsid w:val="005202E6"/>
    <w:rsid w:val="005203BB"/>
    <w:rsid w:val="00520706"/>
    <w:rsid w:val="005209E8"/>
    <w:rsid w:val="00520BE8"/>
    <w:rsid w:val="00520DAB"/>
    <w:rsid w:val="00520DEA"/>
    <w:rsid w:val="005210EE"/>
    <w:rsid w:val="005216B9"/>
    <w:rsid w:val="0052179C"/>
    <w:rsid w:val="00521922"/>
    <w:rsid w:val="00521C21"/>
    <w:rsid w:val="00521F73"/>
    <w:rsid w:val="00522140"/>
    <w:rsid w:val="00522246"/>
    <w:rsid w:val="00522284"/>
    <w:rsid w:val="00522332"/>
    <w:rsid w:val="005223E4"/>
    <w:rsid w:val="00522558"/>
    <w:rsid w:val="00522A7E"/>
    <w:rsid w:val="00522A99"/>
    <w:rsid w:val="00522AEE"/>
    <w:rsid w:val="005232F4"/>
    <w:rsid w:val="00523397"/>
    <w:rsid w:val="0052373B"/>
    <w:rsid w:val="00523749"/>
    <w:rsid w:val="005237B3"/>
    <w:rsid w:val="00523A13"/>
    <w:rsid w:val="00523B1B"/>
    <w:rsid w:val="00524B68"/>
    <w:rsid w:val="00524D52"/>
    <w:rsid w:val="00525A54"/>
    <w:rsid w:val="00525AE2"/>
    <w:rsid w:val="00525B64"/>
    <w:rsid w:val="00525CE5"/>
    <w:rsid w:val="00526031"/>
    <w:rsid w:val="00526159"/>
    <w:rsid w:val="0052632A"/>
    <w:rsid w:val="00526412"/>
    <w:rsid w:val="00526A51"/>
    <w:rsid w:val="00527018"/>
    <w:rsid w:val="005271E8"/>
    <w:rsid w:val="0052727D"/>
    <w:rsid w:val="005274B1"/>
    <w:rsid w:val="00527ED2"/>
    <w:rsid w:val="00527EE4"/>
    <w:rsid w:val="005302C1"/>
    <w:rsid w:val="0053033A"/>
    <w:rsid w:val="0053037B"/>
    <w:rsid w:val="0053098D"/>
    <w:rsid w:val="00531672"/>
    <w:rsid w:val="005318F7"/>
    <w:rsid w:val="00531940"/>
    <w:rsid w:val="00531A9C"/>
    <w:rsid w:val="00531D69"/>
    <w:rsid w:val="00532142"/>
    <w:rsid w:val="0053226A"/>
    <w:rsid w:val="005325FB"/>
    <w:rsid w:val="0053273A"/>
    <w:rsid w:val="00532A2E"/>
    <w:rsid w:val="00532F87"/>
    <w:rsid w:val="005336D9"/>
    <w:rsid w:val="00533BF5"/>
    <w:rsid w:val="00534015"/>
    <w:rsid w:val="0053420F"/>
    <w:rsid w:val="00534655"/>
    <w:rsid w:val="00534987"/>
    <w:rsid w:val="0053539A"/>
    <w:rsid w:val="0053596B"/>
    <w:rsid w:val="00535F1D"/>
    <w:rsid w:val="00535F73"/>
    <w:rsid w:val="00535F89"/>
    <w:rsid w:val="00536436"/>
    <w:rsid w:val="00536437"/>
    <w:rsid w:val="005367B9"/>
    <w:rsid w:val="0053685D"/>
    <w:rsid w:val="00536A1D"/>
    <w:rsid w:val="00536C2F"/>
    <w:rsid w:val="005370F4"/>
    <w:rsid w:val="00537221"/>
    <w:rsid w:val="00537237"/>
    <w:rsid w:val="00537404"/>
    <w:rsid w:val="00537B6E"/>
    <w:rsid w:val="005401C2"/>
    <w:rsid w:val="00540369"/>
    <w:rsid w:val="0054041A"/>
    <w:rsid w:val="00540520"/>
    <w:rsid w:val="00540E19"/>
    <w:rsid w:val="00540FEB"/>
    <w:rsid w:val="00541277"/>
    <w:rsid w:val="00541BF3"/>
    <w:rsid w:val="00541DB0"/>
    <w:rsid w:val="00542364"/>
    <w:rsid w:val="00542633"/>
    <w:rsid w:val="00542B73"/>
    <w:rsid w:val="00543891"/>
    <w:rsid w:val="00543922"/>
    <w:rsid w:val="00543C59"/>
    <w:rsid w:val="00543D7D"/>
    <w:rsid w:val="005441B8"/>
    <w:rsid w:val="00544831"/>
    <w:rsid w:val="00544D3A"/>
    <w:rsid w:val="00545B56"/>
    <w:rsid w:val="00545B8F"/>
    <w:rsid w:val="00545F9C"/>
    <w:rsid w:val="00545FA4"/>
    <w:rsid w:val="0054603E"/>
    <w:rsid w:val="005465C3"/>
    <w:rsid w:val="005465FB"/>
    <w:rsid w:val="00546657"/>
    <w:rsid w:val="00546A7D"/>
    <w:rsid w:val="005477E4"/>
    <w:rsid w:val="00547818"/>
    <w:rsid w:val="00550446"/>
    <w:rsid w:val="005504A2"/>
    <w:rsid w:val="00550C5E"/>
    <w:rsid w:val="00551190"/>
    <w:rsid w:val="005517AD"/>
    <w:rsid w:val="0055200E"/>
    <w:rsid w:val="005529DD"/>
    <w:rsid w:val="00552DD7"/>
    <w:rsid w:val="00553057"/>
    <w:rsid w:val="00553430"/>
    <w:rsid w:val="0055399F"/>
    <w:rsid w:val="00553D60"/>
    <w:rsid w:val="00554139"/>
    <w:rsid w:val="00554991"/>
    <w:rsid w:val="00555103"/>
    <w:rsid w:val="0055517E"/>
    <w:rsid w:val="00555568"/>
    <w:rsid w:val="005556D2"/>
    <w:rsid w:val="0055579D"/>
    <w:rsid w:val="00555902"/>
    <w:rsid w:val="00555937"/>
    <w:rsid w:val="00555F83"/>
    <w:rsid w:val="0055603C"/>
    <w:rsid w:val="005566EA"/>
    <w:rsid w:val="005569B4"/>
    <w:rsid w:val="00556E7A"/>
    <w:rsid w:val="0055708A"/>
    <w:rsid w:val="0055714F"/>
    <w:rsid w:val="00557235"/>
    <w:rsid w:val="005573A1"/>
    <w:rsid w:val="005577D0"/>
    <w:rsid w:val="00557A5D"/>
    <w:rsid w:val="0056077A"/>
    <w:rsid w:val="00560821"/>
    <w:rsid w:val="00560A0B"/>
    <w:rsid w:val="00561074"/>
    <w:rsid w:val="00561514"/>
    <w:rsid w:val="00561B12"/>
    <w:rsid w:val="00561BBC"/>
    <w:rsid w:val="00561C0F"/>
    <w:rsid w:val="00561C83"/>
    <w:rsid w:val="00561EEB"/>
    <w:rsid w:val="00561FED"/>
    <w:rsid w:val="005625D7"/>
    <w:rsid w:val="0056264D"/>
    <w:rsid w:val="0056271E"/>
    <w:rsid w:val="00562B1C"/>
    <w:rsid w:val="00562B9B"/>
    <w:rsid w:val="00562D2A"/>
    <w:rsid w:val="005633BF"/>
    <w:rsid w:val="00563B40"/>
    <w:rsid w:val="005640D0"/>
    <w:rsid w:val="0056503A"/>
    <w:rsid w:val="005653FC"/>
    <w:rsid w:val="0056545C"/>
    <w:rsid w:val="00565513"/>
    <w:rsid w:val="0056566A"/>
    <w:rsid w:val="0056566B"/>
    <w:rsid w:val="00565A51"/>
    <w:rsid w:val="00566035"/>
    <w:rsid w:val="00566183"/>
    <w:rsid w:val="00566254"/>
    <w:rsid w:val="00566521"/>
    <w:rsid w:val="00566528"/>
    <w:rsid w:val="005665BA"/>
    <w:rsid w:val="005665D8"/>
    <w:rsid w:val="005674A9"/>
    <w:rsid w:val="00567747"/>
    <w:rsid w:val="00567B51"/>
    <w:rsid w:val="00567F1E"/>
    <w:rsid w:val="00570240"/>
    <w:rsid w:val="00570326"/>
    <w:rsid w:val="0057034F"/>
    <w:rsid w:val="0057037C"/>
    <w:rsid w:val="00570397"/>
    <w:rsid w:val="00570541"/>
    <w:rsid w:val="00570CDD"/>
    <w:rsid w:val="00570F73"/>
    <w:rsid w:val="005710CB"/>
    <w:rsid w:val="00571928"/>
    <w:rsid w:val="00571A9B"/>
    <w:rsid w:val="00571B35"/>
    <w:rsid w:val="00572402"/>
    <w:rsid w:val="00572999"/>
    <w:rsid w:val="00572A9F"/>
    <w:rsid w:val="00572CEA"/>
    <w:rsid w:val="00572DC7"/>
    <w:rsid w:val="00573154"/>
    <w:rsid w:val="00573448"/>
    <w:rsid w:val="0057344B"/>
    <w:rsid w:val="00573469"/>
    <w:rsid w:val="00573DAF"/>
    <w:rsid w:val="00573FC4"/>
    <w:rsid w:val="00573FFA"/>
    <w:rsid w:val="0057430C"/>
    <w:rsid w:val="005743BC"/>
    <w:rsid w:val="00574472"/>
    <w:rsid w:val="005744C8"/>
    <w:rsid w:val="005745A2"/>
    <w:rsid w:val="005745EE"/>
    <w:rsid w:val="005749E5"/>
    <w:rsid w:val="00574F2E"/>
    <w:rsid w:val="00574F7C"/>
    <w:rsid w:val="005752FF"/>
    <w:rsid w:val="005758F2"/>
    <w:rsid w:val="0057590A"/>
    <w:rsid w:val="00575932"/>
    <w:rsid w:val="00575D89"/>
    <w:rsid w:val="0057716E"/>
    <w:rsid w:val="005773CF"/>
    <w:rsid w:val="005775FF"/>
    <w:rsid w:val="0057763B"/>
    <w:rsid w:val="005776B4"/>
    <w:rsid w:val="0057774C"/>
    <w:rsid w:val="00577910"/>
    <w:rsid w:val="005779FA"/>
    <w:rsid w:val="00577A7B"/>
    <w:rsid w:val="00577FBB"/>
    <w:rsid w:val="00580395"/>
    <w:rsid w:val="00580530"/>
    <w:rsid w:val="00580863"/>
    <w:rsid w:val="00580F6E"/>
    <w:rsid w:val="0058103F"/>
    <w:rsid w:val="00581077"/>
    <w:rsid w:val="005810F7"/>
    <w:rsid w:val="00581587"/>
    <w:rsid w:val="00581A9E"/>
    <w:rsid w:val="00581E9F"/>
    <w:rsid w:val="0058222B"/>
    <w:rsid w:val="00582BA1"/>
    <w:rsid w:val="00582BDD"/>
    <w:rsid w:val="00583805"/>
    <w:rsid w:val="00583DFF"/>
    <w:rsid w:val="005849B0"/>
    <w:rsid w:val="00584C4D"/>
    <w:rsid w:val="00584EB8"/>
    <w:rsid w:val="00585124"/>
    <w:rsid w:val="00585515"/>
    <w:rsid w:val="0058599B"/>
    <w:rsid w:val="00585F5E"/>
    <w:rsid w:val="005868EA"/>
    <w:rsid w:val="00586918"/>
    <w:rsid w:val="00586976"/>
    <w:rsid w:val="00586CC4"/>
    <w:rsid w:val="00586E6B"/>
    <w:rsid w:val="005871D4"/>
    <w:rsid w:val="005874CB"/>
    <w:rsid w:val="00587C37"/>
    <w:rsid w:val="0059086D"/>
    <w:rsid w:val="00590F99"/>
    <w:rsid w:val="0059147B"/>
    <w:rsid w:val="00591B03"/>
    <w:rsid w:val="00591C33"/>
    <w:rsid w:val="00591FAC"/>
    <w:rsid w:val="0059202D"/>
    <w:rsid w:val="005923D4"/>
    <w:rsid w:val="00592911"/>
    <w:rsid w:val="00592E79"/>
    <w:rsid w:val="00592FF5"/>
    <w:rsid w:val="00593029"/>
    <w:rsid w:val="005935B3"/>
    <w:rsid w:val="0059373F"/>
    <w:rsid w:val="00593AF3"/>
    <w:rsid w:val="00593E91"/>
    <w:rsid w:val="00593F10"/>
    <w:rsid w:val="00594138"/>
    <w:rsid w:val="0059428D"/>
    <w:rsid w:val="005942CD"/>
    <w:rsid w:val="00594373"/>
    <w:rsid w:val="005946DB"/>
    <w:rsid w:val="005947A6"/>
    <w:rsid w:val="00594C93"/>
    <w:rsid w:val="00594EC0"/>
    <w:rsid w:val="00595335"/>
    <w:rsid w:val="00595BDA"/>
    <w:rsid w:val="00595D7E"/>
    <w:rsid w:val="00595F1F"/>
    <w:rsid w:val="005962DC"/>
    <w:rsid w:val="0059649C"/>
    <w:rsid w:val="005964E7"/>
    <w:rsid w:val="00596AA5"/>
    <w:rsid w:val="00596EE7"/>
    <w:rsid w:val="00596EF8"/>
    <w:rsid w:val="005970E8"/>
    <w:rsid w:val="00597548"/>
    <w:rsid w:val="00597C0A"/>
    <w:rsid w:val="005A07B1"/>
    <w:rsid w:val="005A09AB"/>
    <w:rsid w:val="005A0BAD"/>
    <w:rsid w:val="005A0FEB"/>
    <w:rsid w:val="005A1406"/>
    <w:rsid w:val="005A1859"/>
    <w:rsid w:val="005A1C98"/>
    <w:rsid w:val="005A21C3"/>
    <w:rsid w:val="005A21C8"/>
    <w:rsid w:val="005A2A47"/>
    <w:rsid w:val="005A2AF5"/>
    <w:rsid w:val="005A2BB0"/>
    <w:rsid w:val="005A2C3A"/>
    <w:rsid w:val="005A2EEF"/>
    <w:rsid w:val="005A32C8"/>
    <w:rsid w:val="005A32FC"/>
    <w:rsid w:val="005A34A8"/>
    <w:rsid w:val="005A368C"/>
    <w:rsid w:val="005A3ED5"/>
    <w:rsid w:val="005A4365"/>
    <w:rsid w:val="005A43C5"/>
    <w:rsid w:val="005A4493"/>
    <w:rsid w:val="005A4769"/>
    <w:rsid w:val="005A4886"/>
    <w:rsid w:val="005A48C0"/>
    <w:rsid w:val="005A4D1A"/>
    <w:rsid w:val="005A5E17"/>
    <w:rsid w:val="005A60B6"/>
    <w:rsid w:val="005A634F"/>
    <w:rsid w:val="005A6433"/>
    <w:rsid w:val="005A64B3"/>
    <w:rsid w:val="005A686F"/>
    <w:rsid w:val="005A721A"/>
    <w:rsid w:val="005A723F"/>
    <w:rsid w:val="005A72CD"/>
    <w:rsid w:val="005A74DF"/>
    <w:rsid w:val="005A75C0"/>
    <w:rsid w:val="005A7645"/>
    <w:rsid w:val="005A7CC3"/>
    <w:rsid w:val="005B04BE"/>
    <w:rsid w:val="005B0ED8"/>
    <w:rsid w:val="005B14BA"/>
    <w:rsid w:val="005B17C1"/>
    <w:rsid w:val="005B190E"/>
    <w:rsid w:val="005B19AC"/>
    <w:rsid w:val="005B1C30"/>
    <w:rsid w:val="005B2539"/>
    <w:rsid w:val="005B2583"/>
    <w:rsid w:val="005B2697"/>
    <w:rsid w:val="005B2A53"/>
    <w:rsid w:val="005B2AC0"/>
    <w:rsid w:val="005B2BA0"/>
    <w:rsid w:val="005B2C1A"/>
    <w:rsid w:val="005B2D5F"/>
    <w:rsid w:val="005B37E8"/>
    <w:rsid w:val="005B3C8D"/>
    <w:rsid w:val="005B3D2C"/>
    <w:rsid w:val="005B3D56"/>
    <w:rsid w:val="005B3FAF"/>
    <w:rsid w:val="005B4217"/>
    <w:rsid w:val="005B43C8"/>
    <w:rsid w:val="005B4639"/>
    <w:rsid w:val="005B4753"/>
    <w:rsid w:val="005B4C38"/>
    <w:rsid w:val="005B4CC5"/>
    <w:rsid w:val="005B5047"/>
    <w:rsid w:val="005B5443"/>
    <w:rsid w:val="005B5D0A"/>
    <w:rsid w:val="005B6150"/>
    <w:rsid w:val="005B6580"/>
    <w:rsid w:val="005B6AAC"/>
    <w:rsid w:val="005B6AE9"/>
    <w:rsid w:val="005B6B61"/>
    <w:rsid w:val="005B6C0C"/>
    <w:rsid w:val="005B6E63"/>
    <w:rsid w:val="005B7140"/>
    <w:rsid w:val="005B7367"/>
    <w:rsid w:val="005B7BD7"/>
    <w:rsid w:val="005C0927"/>
    <w:rsid w:val="005C09D6"/>
    <w:rsid w:val="005C0B0E"/>
    <w:rsid w:val="005C1158"/>
    <w:rsid w:val="005C172E"/>
    <w:rsid w:val="005C17EF"/>
    <w:rsid w:val="005C1C78"/>
    <w:rsid w:val="005C1EE5"/>
    <w:rsid w:val="005C2187"/>
    <w:rsid w:val="005C256E"/>
    <w:rsid w:val="005C25B1"/>
    <w:rsid w:val="005C25E5"/>
    <w:rsid w:val="005C2E30"/>
    <w:rsid w:val="005C32FA"/>
    <w:rsid w:val="005C3480"/>
    <w:rsid w:val="005C369A"/>
    <w:rsid w:val="005C377C"/>
    <w:rsid w:val="005C3A56"/>
    <w:rsid w:val="005C3C6B"/>
    <w:rsid w:val="005C3C8A"/>
    <w:rsid w:val="005C3CFD"/>
    <w:rsid w:val="005C3E15"/>
    <w:rsid w:val="005C3F9C"/>
    <w:rsid w:val="005C5227"/>
    <w:rsid w:val="005C524C"/>
    <w:rsid w:val="005C53DC"/>
    <w:rsid w:val="005C5608"/>
    <w:rsid w:val="005C573C"/>
    <w:rsid w:val="005C580A"/>
    <w:rsid w:val="005C5D12"/>
    <w:rsid w:val="005C6756"/>
    <w:rsid w:val="005C6797"/>
    <w:rsid w:val="005C684B"/>
    <w:rsid w:val="005C6A50"/>
    <w:rsid w:val="005C6A89"/>
    <w:rsid w:val="005C6CD5"/>
    <w:rsid w:val="005C717F"/>
    <w:rsid w:val="005C75A4"/>
    <w:rsid w:val="005C75F3"/>
    <w:rsid w:val="005D0043"/>
    <w:rsid w:val="005D023F"/>
    <w:rsid w:val="005D04A3"/>
    <w:rsid w:val="005D0516"/>
    <w:rsid w:val="005D0744"/>
    <w:rsid w:val="005D0969"/>
    <w:rsid w:val="005D0A12"/>
    <w:rsid w:val="005D1083"/>
    <w:rsid w:val="005D10AE"/>
    <w:rsid w:val="005D11A9"/>
    <w:rsid w:val="005D11FE"/>
    <w:rsid w:val="005D12C0"/>
    <w:rsid w:val="005D198D"/>
    <w:rsid w:val="005D1A5D"/>
    <w:rsid w:val="005D1A9B"/>
    <w:rsid w:val="005D1AF0"/>
    <w:rsid w:val="005D1C33"/>
    <w:rsid w:val="005D1C57"/>
    <w:rsid w:val="005D1D99"/>
    <w:rsid w:val="005D24E7"/>
    <w:rsid w:val="005D24F9"/>
    <w:rsid w:val="005D25EF"/>
    <w:rsid w:val="005D266C"/>
    <w:rsid w:val="005D2F97"/>
    <w:rsid w:val="005D2FCA"/>
    <w:rsid w:val="005D31C0"/>
    <w:rsid w:val="005D39D7"/>
    <w:rsid w:val="005D3BF1"/>
    <w:rsid w:val="005D3D5A"/>
    <w:rsid w:val="005D3FEE"/>
    <w:rsid w:val="005D4448"/>
    <w:rsid w:val="005D450F"/>
    <w:rsid w:val="005D45FD"/>
    <w:rsid w:val="005D46E8"/>
    <w:rsid w:val="005D4786"/>
    <w:rsid w:val="005D49E1"/>
    <w:rsid w:val="005D4B1C"/>
    <w:rsid w:val="005D4C22"/>
    <w:rsid w:val="005D4F60"/>
    <w:rsid w:val="005D50DE"/>
    <w:rsid w:val="005D57D4"/>
    <w:rsid w:val="005D5970"/>
    <w:rsid w:val="005D5DEA"/>
    <w:rsid w:val="005D6409"/>
    <w:rsid w:val="005D666E"/>
    <w:rsid w:val="005D6743"/>
    <w:rsid w:val="005D6D71"/>
    <w:rsid w:val="005D7710"/>
    <w:rsid w:val="005D7776"/>
    <w:rsid w:val="005D7DB3"/>
    <w:rsid w:val="005E018E"/>
    <w:rsid w:val="005E1432"/>
    <w:rsid w:val="005E14C2"/>
    <w:rsid w:val="005E1E0B"/>
    <w:rsid w:val="005E2047"/>
    <w:rsid w:val="005E2601"/>
    <w:rsid w:val="005E2D94"/>
    <w:rsid w:val="005E3316"/>
    <w:rsid w:val="005E3B74"/>
    <w:rsid w:val="005E4144"/>
    <w:rsid w:val="005E42BF"/>
    <w:rsid w:val="005E436C"/>
    <w:rsid w:val="005E4488"/>
    <w:rsid w:val="005E49E2"/>
    <w:rsid w:val="005E4A59"/>
    <w:rsid w:val="005E4C05"/>
    <w:rsid w:val="005E4C29"/>
    <w:rsid w:val="005E4C2B"/>
    <w:rsid w:val="005E4EAB"/>
    <w:rsid w:val="005E5135"/>
    <w:rsid w:val="005E5180"/>
    <w:rsid w:val="005E536A"/>
    <w:rsid w:val="005E547E"/>
    <w:rsid w:val="005E5A4D"/>
    <w:rsid w:val="005E5E57"/>
    <w:rsid w:val="005E5EBC"/>
    <w:rsid w:val="005E681B"/>
    <w:rsid w:val="005E68CD"/>
    <w:rsid w:val="005E6C23"/>
    <w:rsid w:val="005E6C56"/>
    <w:rsid w:val="005E6CB5"/>
    <w:rsid w:val="005E70E4"/>
    <w:rsid w:val="005E7256"/>
    <w:rsid w:val="005E7360"/>
    <w:rsid w:val="005E7362"/>
    <w:rsid w:val="005E7CC9"/>
    <w:rsid w:val="005E7E3E"/>
    <w:rsid w:val="005F00E9"/>
    <w:rsid w:val="005F04CF"/>
    <w:rsid w:val="005F0614"/>
    <w:rsid w:val="005F081C"/>
    <w:rsid w:val="005F0AF5"/>
    <w:rsid w:val="005F0FA5"/>
    <w:rsid w:val="005F1019"/>
    <w:rsid w:val="005F120E"/>
    <w:rsid w:val="005F1A5E"/>
    <w:rsid w:val="005F1F61"/>
    <w:rsid w:val="005F2650"/>
    <w:rsid w:val="005F291C"/>
    <w:rsid w:val="005F2BAA"/>
    <w:rsid w:val="005F2D63"/>
    <w:rsid w:val="005F2DB0"/>
    <w:rsid w:val="005F3079"/>
    <w:rsid w:val="005F3270"/>
    <w:rsid w:val="005F33B1"/>
    <w:rsid w:val="005F38B4"/>
    <w:rsid w:val="005F3E5C"/>
    <w:rsid w:val="005F41EF"/>
    <w:rsid w:val="005F449F"/>
    <w:rsid w:val="005F44B1"/>
    <w:rsid w:val="005F4820"/>
    <w:rsid w:val="005F48CA"/>
    <w:rsid w:val="005F52BC"/>
    <w:rsid w:val="005F548F"/>
    <w:rsid w:val="005F5A11"/>
    <w:rsid w:val="005F5DF4"/>
    <w:rsid w:val="005F5DF7"/>
    <w:rsid w:val="005F62AB"/>
    <w:rsid w:val="005F6EA9"/>
    <w:rsid w:val="005F7148"/>
    <w:rsid w:val="005F728E"/>
    <w:rsid w:val="005F7758"/>
    <w:rsid w:val="00600082"/>
    <w:rsid w:val="00600210"/>
    <w:rsid w:val="00600249"/>
    <w:rsid w:val="006008F1"/>
    <w:rsid w:val="0060092C"/>
    <w:rsid w:val="006009E9"/>
    <w:rsid w:val="00600A06"/>
    <w:rsid w:val="00600DB5"/>
    <w:rsid w:val="00601084"/>
    <w:rsid w:val="006012B7"/>
    <w:rsid w:val="006013A1"/>
    <w:rsid w:val="0060167B"/>
    <w:rsid w:val="006018D0"/>
    <w:rsid w:val="00601BDB"/>
    <w:rsid w:val="0060207D"/>
    <w:rsid w:val="0060244E"/>
    <w:rsid w:val="00602B82"/>
    <w:rsid w:val="00602B8B"/>
    <w:rsid w:val="00602DE5"/>
    <w:rsid w:val="00602EE7"/>
    <w:rsid w:val="006033C0"/>
    <w:rsid w:val="006033E7"/>
    <w:rsid w:val="0060340D"/>
    <w:rsid w:val="006039DD"/>
    <w:rsid w:val="00603B87"/>
    <w:rsid w:val="00603D6C"/>
    <w:rsid w:val="00603F50"/>
    <w:rsid w:val="00603F9D"/>
    <w:rsid w:val="00604127"/>
    <w:rsid w:val="0060428B"/>
    <w:rsid w:val="006044CB"/>
    <w:rsid w:val="00604604"/>
    <w:rsid w:val="00604E44"/>
    <w:rsid w:val="00605077"/>
    <w:rsid w:val="00605293"/>
    <w:rsid w:val="00605633"/>
    <w:rsid w:val="00605B5B"/>
    <w:rsid w:val="00605F19"/>
    <w:rsid w:val="00605FF1"/>
    <w:rsid w:val="00606A83"/>
    <w:rsid w:val="00607298"/>
    <w:rsid w:val="00607372"/>
    <w:rsid w:val="00607554"/>
    <w:rsid w:val="0060759B"/>
    <w:rsid w:val="00607768"/>
    <w:rsid w:val="00607A27"/>
    <w:rsid w:val="00607ADF"/>
    <w:rsid w:val="00607C76"/>
    <w:rsid w:val="00607D09"/>
    <w:rsid w:val="00610556"/>
    <w:rsid w:val="006106BF"/>
    <w:rsid w:val="00610795"/>
    <w:rsid w:val="00610935"/>
    <w:rsid w:val="00610948"/>
    <w:rsid w:val="00611012"/>
    <w:rsid w:val="00611079"/>
    <w:rsid w:val="00611331"/>
    <w:rsid w:val="0061139C"/>
    <w:rsid w:val="00611415"/>
    <w:rsid w:val="00611581"/>
    <w:rsid w:val="00611763"/>
    <w:rsid w:val="006118D5"/>
    <w:rsid w:val="0061191C"/>
    <w:rsid w:val="00611F79"/>
    <w:rsid w:val="00612163"/>
    <w:rsid w:val="0061239C"/>
    <w:rsid w:val="00612B2F"/>
    <w:rsid w:val="00612CE9"/>
    <w:rsid w:val="006131EB"/>
    <w:rsid w:val="0061384C"/>
    <w:rsid w:val="00613EE9"/>
    <w:rsid w:val="006145BD"/>
    <w:rsid w:val="00614D4D"/>
    <w:rsid w:val="006150D5"/>
    <w:rsid w:val="006154C0"/>
    <w:rsid w:val="0061573F"/>
    <w:rsid w:val="00615B01"/>
    <w:rsid w:val="006163DB"/>
    <w:rsid w:val="00616BA8"/>
    <w:rsid w:val="00616EBD"/>
    <w:rsid w:val="0061720D"/>
    <w:rsid w:val="0061733C"/>
    <w:rsid w:val="006173CD"/>
    <w:rsid w:val="0061759B"/>
    <w:rsid w:val="00617996"/>
    <w:rsid w:val="00617BC3"/>
    <w:rsid w:val="00617CB0"/>
    <w:rsid w:val="00617D91"/>
    <w:rsid w:val="00620014"/>
    <w:rsid w:val="0062065D"/>
    <w:rsid w:val="006213D1"/>
    <w:rsid w:val="00621A77"/>
    <w:rsid w:val="00621AE7"/>
    <w:rsid w:val="00621CB1"/>
    <w:rsid w:val="00622190"/>
    <w:rsid w:val="00622228"/>
    <w:rsid w:val="00622465"/>
    <w:rsid w:val="0062289D"/>
    <w:rsid w:val="006229D0"/>
    <w:rsid w:val="00622CA6"/>
    <w:rsid w:val="00623445"/>
    <w:rsid w:val="0062387C"/>
    <w:rsid w:val="00623A26"/>
    <w:rsid w:val="00623F31"/>
    <w:rsid w:val="006247F7"/>
    <w:rsid w:val="00624969"/>
    <w:rsid w:val="00624A6E"/>
    <w:rsid w:val="00624B23"/>
    <w:rsid w:val="00625289"/>
    <w:rsid w:val="0062539A"/>
    <w:rsid w:val="006256C6"/>
    <w:rsid w:val="0062584B"/>
    <w:rsid w:val="00625BAD"/>
    <w:rsid w:val="00625C7C"/>
    <w:rsid w:val="00626061"/>
    <w:rsid w:val="00626577"/>
    <w:rsid w:val="006265A5"/>
    <w:rsid w:val="006269C7"/>
    <w:rsid w:val="00626B54"/>
    <w:rsid w:val="00626CD1"/>
    <w:rsid w:val="00626FB5"/>
    <w:rsid w:val="00627067"/>
    <w:rsid w:val="00627570"/>
    <w:rsid w:val="0062768A"/>
    <w:rsid w:val="00627D57"/>
    <w:rsid w:val="006306A2"/>
    <w:rsid w:val="00630818"/>
    <w:rsid w:val="00630BAF"/>
    <w:rsid w:val="00630BC9"/>
    <w:rsid w:val="00630C94"/>
    <w:rsid w:val="00630D99"/>
    <w:rsid w:val="006310F2"/>
    <w:rsid w:val="006310FE"/>
    <w:rsid w:val="0063176E"/>
    <w:rsid w:val="00631A42"/>
    <w:rsid w:val="00631B7B"/>
    <w:rsid w:val="00632087"/>
    <w:rsid w:val="00632137"/>
    <w:rsid w:val="006328BD"/>
    <w:rsid w:val="00632B64"/>
    <w:rsid w:val="00632CF7"/>
    <w:rsid w:val="00632F8E"/>
    <w:rsid w:val="006333D7"/>
    <w:rsid w:val="006334EC"/>
    <w:rsid w:val="00633919"/>
    <w:rsid w:val="0063396C"/>
    <w:rsid w:val="00634539"/>
    <w:rsid w:val="006349F2"/>
    <w:rsid w:val="00634C8E"/>
    <w:rsid w:val="00634D2C"/>
    <w:rsid w:val="00634F3D"/>
    <w:rsid w:val="00635232"/>
    <w:rsid w:val="00635464"/>
    <w:rsid w:val="00635ABB"/>
    <w:rsid w:val="00635F06"/>
    <w:rsid w:val="0063611B"/>
    <w:rsid w:val="0063645C"/>
    <w:rsid w:val="006365AB"/>
    <w:rsid w:val="00636665"/>
    <w:rsid w:val="0063667F"/>
    <w:rsid w:val="00636A4A"/>
    <w:rsid w:val="00636AC7"/>
    <w:rsid w:val="00636F38"/>
    <w:rsid w:val="006372CD"/>
    <w:rsid w:val="006373B2"/>
    <w:rsid w:val="00637521"/>
    <w:rsid w:val="00637B7D"/>
    <w:rsid w:val="00637E57"/>
    <w:rsid w:val="0064057F"/>
    <w:rsid w:val="00640AC8"/>
    <w:rsid w:val="00640C02"/>
    <w:rsid w:val="00640E45"/>
    <w:rsid w:val="00640FA6"/>
    <w:rsid w:val="00640FEE"/>
    <w:rsid w:val="006410DE"/>
    <w:rsid w:val="0064131B"/>
    <w:rsid w:val="00641486"/>
    <w:rsid w:val="00641546"/>
    <w:rsid w:val="006417A3"/>
    <w:rsid w:val="006423D6"/>
    <w:rsid w:val="00642EFE"/>
    <w:rsid w:val="0064320E"/>
    <w:rsid w:val="00643BFB"/>
    <w:rsid w:val="00644683"/>
    <w:rsid w:val="00644B98"/>
    <w:rsid w:val="00644BF3"/>
    <w:rsid w:val="006450FB"/>
    <w:rsid w:val="006452EB"/>
    <w:rsid w:val="006453F1"/>
    <w:rsid w:val="00645695"/>
    <w:rsid w:val="006459C0"/>
    <w:rsid w:val="00645E73"/>
    <w:rsid w:val="00645EF6"/>
    <w:rsid w:val="00645F85"/>
    <w:rsid w:val="006461CF"/>
    <w:rsid w:val="006463E3"/>
    <w:rsid w:val="006464E2"/>
    <w:rsid w:val="0064662A"/>
    <w:rsid w:val="00646C1B"/>
    <w:rsid w:val="00647970"/>
    <w:rsid w:val="0064798D"/>
    <w:rsid w:val="00647B31"/>
    <w:rsid w:val="00647FA7"/>
    <w:rsid w:val="00647FE6"/>
    <w:rsid w:val="00650B00"/>
    <w:rsid w:val="00650E5B"/>
    <w:rsid w:val="0065127E"/>
    <w:rsid w:val="0065163F"/>
    <w:rsid w:val="006517D2"/>
    <w:rsid w:val="006518CC"/>
    <w:rsid w:val="00651F10"/>
    <w:rsid w:val="006522ED"/>
    <w:rsid w:val="00652854"/>
    <w:rsid w:val="00653290"/>
    <w:rsid w:val="006535C7"/>
    <w:rsid w:val="006537AC"/>
    <w:rsid w:val="00653870"/>
    <w:rsid w:val="00653BF1"/>
    <w:rsid w:val="006545E6"/>
    <w:rsid w:val="00654692"/>
    <w:rsid w:val="00654702"/>
    <w:rsid w:val="00654762"/>
    <w:rsid w:val="00654C03"/>
    <w:rsid w:val="0065509C"/>
    <w:rsid w:val="00655520"/>
    <w:rsid w:val="006556EC"/>
    <w:rsid w:val="00655A14"/>
    <w:rsid w:val="00655AD8"/>
    <w:rsid w:val="00655EBD"/>
    <w:rsid w:val="0065603F"/>
    <w:rsid w:val="0065637A"/>
    <w:rsid w:val="006565C5"/>
    <w:rsid w:val="00656AD8"/>
    <w:rsid w:val="00656D05"/>
    <w:rsid w:val="00656D27"/>
    <w:rsid w:val="0065739D"/>
    <w:rsid w:val="0065748A"/>
    <w:rsid w:val="0065748C"/>
    <w:rsid w:val="00657912"/>
    <w:rsid w:val="00657BA1"/>
    <w:rsid w:val="00660356"/>
    <w:rsid w:val="006604B6"/>
    <w:rsid w:val="00660766"/>
    <w:rsid w:val="006607EE"/>
    <w:rsid w:val="0066091F"/>
    <w:rsid w:val="00660A03"/>
    <w:rsid w:val="00660C60"/>
    <w:rsid w:val="0066116D"/>
    <w:rsid w:val="00661975"/>
    <w:rsid w:val="00661F57"/>
    <w:rsid w:val="00661F95"/>
    <w:rsid w:val="0066211B"/>
    <w:rsid w:val="0066255D"/>
    <w:rsid w:val="00662575"/>
    <w:rsid w:val="00662A07"/>
    <w:rsid w:val="00662A2C"/>
    <w:rsid w:val="00662DCE"/>
    <w:rsid w:val="00662FA5"/>
    <w:rsid w:val="006632C8"/>
    <w:rsid w:val="006635B6"/>
    <w:rsid w:val="006639B9"/>
    <w:rsid w:val="00663C35"/>
    <w:rsid w:val="00663CF5"/>
    <w:rsid w:val="00664011"/>
    <w:rsid w:val="00664079"/>
    <w:rsid w:val="0066427B"/>
    <w:rsid w:val="0066475D"/>
    <w:rsid w:val="006648B4"/>
    <w:rsid w:val="00664C02"/>
    <w:rsid w:val="00664E1E"/>
    <w:rsid w:val="00664E7B"/>
    <w:rsid w:val="0066511B"/>
    <w:rsid w:val="0066517A"/>
    <w:rsid w:val="00665341"/>
    <w:rsid w:val="006653FA"/>
    <w:rsid w:val="006654B5"/>
    <w:rsid w:val="00665591"/>
    <w:rsid w:val="00665936"/>
    <w:rsid w:val="00665DA9"/>
    <w:rsid w:val="00666426"/>
    <w:rsid w:val="0066669C"/>
    <w:rsid w:val="00666813"/>
    <w:rsid w:val="00666996"/>
    <w:rsid w:val="00666A2E"/>
    <w:rsid w:val="00666F88"/>
    <w:rsid w:val="00667220"/>
    <w:rsid w:val="00667354"/>
    <w:rsid w:val="00667522"/>
    <w:rsid w:val="006675BD"/>
    <w:rsid w:val="0066781E"/>
    <w:rsid w:val="00667D74"/>
    <w:rsid w:val="006701A4"/>
    <w:rsid w:val="006704F9"/>
    <w:rsid w:val="00670634"/>
    <w:rsid w:val="00670BDC"/>
    <w:rsid w:val="00670DFD"/>
    <w:rsid w:val="006710FD"/>
    <w:rsid w:val="0067121C"/>
    <w:rsid w:val="006713E5"/>
    <w:rsid w:val="006716D5"/>
    <w:rsid w:val="00671957"/>
    <w:rsid w:val="00671A72"/>
    <w:rsid w:val="00671ACF"/>
    <w:rsid w:val="00671F9B"/>
    <w:rsid w:val="006723B7"/>
    <w:rsid w:val="00672691"/>
    <w:rsid w:val="006728C0"/>
    <w:rsid w:val="00672D40"/>
    <w:rsid w:val="00672FE1"/>
    <w:rsid w:val="00673156"/>
    <w:rsid w:val="00673237"/>
    <w:rsid w:val="0067336F"/>
    <w:rsid w:val="00673BCD"/>
    <w:rsid w:val="00674402"/>
    <w:rsid w:val="00674560"/>
    <w:rsid w:val="00674F62"/>
    <w:rsid w:val="00675190"/>
    <w:rsid w:val="00675210"/>
    <w:rsid w:val="00675876"/>
    <w:rsid w:val="00675973"/>
    <w:rsid w:val="00675F98"/>
    <w:rsid w:val="0067643D"/>
    <w:rsid w:val="006766DB"/>
    <w:rsid w:val="006767DF"/>
    <w:rsid w:val="00677262"/>
    <w:rsid w:val="006774E6"/>
    <w:rsid w:val="00677994"/>
    <w:rsid w:val="006779D0"/>
    <w:rsid w:val="00677B75"/>
    <w:rsid w:val="00677D54"/>
    <w:rsid w:val="00677DAD"/>
    <w:rsid w:val="00680133"/>
    <w:rsid w:val="0068013C"/>
    <w:rsid w:val="00680143"/>
    <w:rsid w:val="0068041A"/>
    <w:rsid w:val="0068074A"/>
    <w:rsid w:val="00680882"/>
    <w:rsid w:val="0068120C"/>
    <w:rsid w:val="00681351"/>
    <w:rsid w:val="006815DC"/>
    <w:rsid w:val="00681902"/>
    <w:rsid w:val="00681C76"/>
    <w:rsid w:val="006825C4"/>
    <w:rsid w:val="006829E4"/>
    <w:rsid w:val="00682A22"/>
    <w:rsid w:val="00682BBF"/>
    <w:rsid w:val="00683621"/>
    <w:rsid w:val="006837A6"/>
    <w:rsid w:val="0068386E"/>
    <w:rsid w:val="00683B67"/>
    <w:rsid w:val="00684214"/>
    <w:rsid w:val="0068443B"/>
    <w:rsid w:val="0068489F"/>
    <w:rsid w:val="006848B0"/>
    <w:rsid w:val="00685073"/>
    <w:rsid w:val="0068568E"/>
    <w:rsid w:val="0068597B"/>
    <w:rsid w:val="00685A46"/>
    <w:rsid w:val="00685D6E"/>
    <w:rsid w:val="006860B0"/>
    <w:rsid w:val="006863C7"/>
    <w:rsid w:val="00686468"/>
    <w:rsid w:val="006866A4"/>
    <w:rsid w:val="00686D22"/>
    <w:rsid w:val="00686EAD"/>
    <w:rsid w:val="00686F80"/>
    <w:rsid w:val="00686FD8"/>
    <w:rsid w:val="00686FE7"/>
    <w:rsid w:val="006872E0"/>
    <w:rsid w:val="00687500"/>
    <w:rsid w:val="0068769B"/>
    <w:rsid w:val="00687720"/>
    <w:rsid w:val="0068772C"/>
    <w:rsid w:val="00687E0E"/>
    <w:rsid w:val="00687F62"/>
    <w:rsid w:val="006903B9"/>
    <w:rsid w:val="006905E7"/>
    <w:rsid w:val="0069082E"/>
    <w:rsid w:val="00690C56"/>
    <w:rsid w:val="006913FB"/>
    <w:rsid w:val="00691473"/>
    <w:rsid w:val="0069156D"/>
    <w:rsid w:val="006917D2"/>
    <w:rsid w:val="0069197C"/>
    <w:rsid w:val="00691C88"/>
    <w:rsid w:val="006925BA"/>
    <w:rsid w:val="006928F0"/>
    <w:rsid w:val="00692AD2"/>
    <w:rsid w:val="00692BE1"/>
    <w:rsid w:val="00693138"/>
    <w:rsid w:val="006932D8"/>
    <w:rsid w:val="00693548"/>
    <w:rsid w:val="00693734"/>
    <w:rsid w:val="00693D24"/>
    <w:rsid w:val="00693F00"/>
    <w:rsid w:val="006940B4"/>
    <w:rsid w:val="00694546"/>
    <w:rsid w:val="006951C5"/>
    <w:rsid w:val="006954D6"/>
    <w:rsid w:val="0069571E"/>
    <w:rsid w:val="00695914"/>
    <w:rsid w:val="00695AF2"/>
    <w:rsid w:val="00695E03"/>
    <w:rsid w:val="00695E57"/>
    <w:rsid w:val="00696122"/>
    <w:rsid w:val="00696127"/>
    <w:rsid w:val="006963C6"/>
    <w:rsid w:val="0069678D"/>
    <w:rsid w:val="00696988"/>
    <w:rsid w:val="00696B36"/>
    <w:rsid w:val="00696C1D"/>
    <w:rsid w:val="006975BB"/>
    <w:rsid w:val="006977B9"/>
    <w:rsid w:val="00697974"/>
    <w:rsid w:val="00697AF2"/>
    <w:rsid w:val="00697DFE"/>
    <w:rsid w:val="006A0146"/>
    <w:rsid w:val="006A0377"/>
    <w:rsid w:val="006A0A76"/>
    <w:rsid w:val="006A0C2E"/>
    <w:rsid w:val="006A15A8"/>
    <w:rsid w:val="006A183C"/>
    <w:rsid w:val="006A188F"/>
    <w:rsid w:val="006A1941"/>
    <w:rsid w:val="006A1B70"/>
    <w:rsid w:val="006A1C33"/>
    <w:rsid w:val="006A1ECD"/>
    <w:rsid w:val="006A1F29"/>
    <w:rsid w:val="006A202F"/>
    <w:rsid w:val="006A276A"/>
    <w:rsid w:val="006A2AE7"/>
    <w:rsid w:val="006A31CF"/>
    <w:rsid w:val="006A3A04"/>
    <w:rsid w:val="006A3A17"/>
    <w:rsid w:val="006A3B4C"/>
    <w:rsid w:val="006A3E51"/>
    <w:rsid w:val="006A3FEF"/>
    <w:rsid w:val="006A40DC"/>
    <w:rsid w:val="006A4782"/>
    <w:rsid w:val="006A48A6"/>
    <w:rsid w:val="006A4A02"/>
    <w:rsid w:val="006A4F30"/>
    <w:rsid w:val="006A5606"/>
    <w:rsid w:val="006A5643"/>
    <w:rsid w:val="006A5914"/>
    <w:rsid w:val="006A5CC2"/>
    <w:rsid w:val="006A6397"/>
    <w:rsid w:val="006A66CB"/>
    <w:rsid w:val="006A67A0"/>
    <w:rsid w:val="006A6FC8"/>
    <w:rsid w:val="006A71BB"/>
    <w:rsid w:val="006A75DB"/>
    <w:rsid w:val="006A76AF"/>
    <w:rsid w:val="006A790C"/>
    <w:rsid w:val="006A7976"/>
    <w:rsid w:val="006A79D7"/>
    <w:rsid w:val="006A7B4C"/>
    <w:rsid w:val="006A7C66"/>
    <w:rsid w:val="006A7EE1"/>
    <w:rsid w:val="006A7F43"/>
    <w:rsid w:val="006B026A"/>
    <w:rsid w:val="006B0A96"/>
    <w:rsid w:val="006B0D03"/>
    <w:rsid w:val="006B0FDA"/>
    <w:rsid w:val="006B13BC"/>
    <w:rsid w:val="006B1730"/>
    <w:rsid w:val="006B18FA"/>
    <w:rsid w:val="006B190A"/>
    <w:rsid w:val="006B1AC7"/>
    <w:rsid w:val="006B1B9A"/>
    <w:rsid w:val="006B1CAC"/>
    <w:rsid w:val="006B2714"/>
    <w:rsid w:val="006B2732"/>
    <w:rsid w:val="006B28A6"/>
    <w:rsid w:val="006B2AA6"/>
    <w:rsid w:val="006B2B64"/>
    <w:rsid w:val="006B2E1B"/>
    <w:rsid w:val="006B2E9B"/>
    <w:rsid w:val="006B3168"/>
    <w:rsid w:val="006B349C"/>
    <w:rsid w:val="006B3675"/>
    <w:rsid w:val="006B37E0"/>
    <w:rsid w:val="006B3C6A"/>
    <w:rsid w:val="006B3F70"/>
    <w:rsid w:val="006B41ED"/>
    <w:rsid w:val="006B4322"/>
    <w:rsid w:val="006B4E67"/>
    <w:rsid w:val="006B4FA6"/>
    <w:rsid w:val="006B5063"/>
    <w:rsid w:val="006B5325"/>
    <w:rsid w:val="006B57A3"/>
    <w:rsid w:val="006B5CD2"/>
    <w:rsid w:val="006B603A"/>
    <w:rsid w:val="006B613C"/>
    <w:rsid w:val="006B622A"/>
    <w:rsid w:val="006B6449"/>
    <w:rsid w:val="006B6682"/>
    <w:rsid w:val="006B66A5"/>
    <w:rsid w:val="006B7172"/>
    <w:rsid w:val="006B7436"/>
    <w:rsid w:val="006B75CB"/>
    <w:rsid w:val="006B7B24"/>
    <w:rsid w:val="006B7B45"/>
    <w:rsid w:val="006B7CA3"/>
    <w:rsid w:val="006B7E7D"/>
    <w:rsid w:val="006B7F92"/>
    <w:rsid w:val="006C0359"/>
    <w:rsid w:val="006C038E"/>
    <w:rsid w:val="006C058D"/>
    <w:rsid w:val="006C089E"/>
    <w:rsid w:val="006C08FD"/>
    <w:rsid w:val="006C0ADD"/>
    <w:rsid w:val="006C0D0D"/>
    <w:rsid w:val="006C1DF9"/>
    <w:rsid w:val="006C2044"/>
    <w:rsid w:val="006C2378"/>
    <w:rsid w:val="006C255F"/>
    <w:rsid w:val="006C25FA"/>
    <w:rsid w:val="006C2600"/>
    <w:rsid w:val="006C281F"/>
    <w:rsid w:val="006C28B5"/>
    <w:rsid w:val="006C2B8F"/>
    <w:rsid w:val="006C2BDD"/>
    <w:rsid w:val="006C306A"/>
    <w:rsid w:val="006C333C"/>
    <w:rsid w:val="006C3BAD"/>
    <w:rsid w:val="006C3CF2"/>
    <w:rsid w:val="006C3F99"/>
    <w:rsid w:val="006C4209"/>
    <w:rsid w:val="006C4405"/>
    <w:rsid w:val="006C450A"/>
    <w:rsid w:val="006C45F3"/>
    <w:rsid w:val="006C460D"/>
    <w:rsid w:val="006C4633"/>
    <w:rsid w:val="006C4A89"/>
    <w:rsid w:val="006C5EF4"/>
    <w:rsid w:val="006C6464"/>
    <w:rsid w:val="006C667D"/>
    <w:rsid w:val="006C6C47"/>
    <w:rsid w:val="006C6EC0"/>
    <w:rsid w:val="006C7472"/>
    <w:rsid w:val="006C755D"/>
    <w:rsid w:val="006C7934"/>
    <w:rsid w:val="006C7B1F"/>
    <w:rsid w:val="006C7C3D"/>
    <w:rsid w:val="006C7D1E"/>
    <w:rsid w:val="006D01E1"/>
    <w:rsid w:val="006D03EB"/>
    <w:rsid w:val="006D05C5"/>
    <w:rsid w:val="006D0C27"/>
    <w:rsid w:val="006D115A"/>
    <w:rsid w:val="006D1173"/>
    <w:rsid w:val="006D14D2"/>
    <w:rsid w:val="006D1BB1"/>
    <w:rsid w:val="006D1DB1"/>
    <w:rsid w:val="006D2030"/>
    <w:rsid w:val="006D218A"/>
    <w:rsid w:val="006D21AA"/>
    <w:rsid w:val="006D2B4F"/>
    <w:rsid w:val="006D2CE6"/>
    <w:rsid w:val="006D2DBA"/>
    <w:rsid w:val="006D2F0D"/>
    <w:rsid w:val="006D2FFD"/>
    <w:rsid w:val="006D394A"/>
    <w:rsid w:val="006D3995"/>
    <w:rsid w:val="006D3E11"/>
    <w:rsid w:val="006D3F08"/>
    <w:rsid w:val="006D42D1"/>
    <w:rsid w:val="006D4B79"/>
    <w:rsid w:val="006D4C89"/>
    <w:rsid w:val="006D4F3C"/>
    <w:rsid w:val="006D505F"/>
    <w:rsid w:val="006D53AB"/>
    <w:rsid w:val="006D571C"/>
    <w:rsid w:val="006D5885"/>
    <w:rsid w:val="006D63DA"/>
    <w:rsid w:val="006D73BE"/>
    <w:rsid w:val="006D76F0"/>
    <w:rsid w:val="006D7889"/>
    <w:rsid w:val="006E00BC"/>
    <w:rsid w:val="006E01B5"/>
    <w:rsid w:val="006E0307"/>
    <w:rsid w:val="006E0598"/>
    <w:rsid w:val="006E05A4"/>
    <w:rsid w:val="006E06F6"/>
    <w:rsid w:val="006E0756"/>
    <w:rsid w:val="006E0A83"/>
    <w:rsid w:val="006E0E68"/>
    <w:rsid w:val="006E1760"/>
    <w:rsid w:val="006E1CE9"/>
    <w:rsid w:val="006E22F2"/>
    <w:rsid w:val="006E24FD"/>
    <w:rsid w:val="006E259A"/>
    <w:rsid w:val="006E25A4"/>
    <w:rsid w:val="006E28B6"/>
    <w:rsid w:val="006E2A99"/>
    <w:rsid w:val="006E2DB2"/>
    <w:rsid w:val="006E310E"/>
    <w:rsid w:val="006E33E4"/>
    <w:rsid w:val="006E3670"/>
    <w:rsid w:val="006E3869"/>
    <w:rsid w:val="006E3B9F"/>
    <w:rsid w:val="006E4189"/>
    <w:rsid w:val="006E42C6"/>
    <w:rsid w:val="006E4D3A"/>
    <w:rsid w:val="006E50E2"/>
    <w:rsid w:val="006E52D7"/>
    <w:rsid w:val="006E533D"/>
    <w:rsid w:val="006E5470"/>
    <w:rsid w:val="006E5F34"/>
    <w:rsid w:val="006E6878"/>
    <w:rsid w:val="006E6B06"/>
    <w:rsid w:val="006E6B1C"/>
    <w:rsid w:val="006E6B7A"/>
    <w:rsid w:val="006E6F65"/>
    <w:rsid w:val="006E7212"/>
    <w:rsid w:val="006E7666"/>
    <w:rsid w:val="006E767F"/>
    <w:rsid w:val="006E7A27"/>
    <w:rsid w:val="006E7B00"/>
    <w:rsid w:val="006E7DC0"/>
    <w:rsid w:val="006F0709"/>
    <w:rsid w:val="006F0CA1"/>
    <w:rsid w:val="006F14E5"/>
    <w:rsid w:val="006F157C"/>
    <w:rsid w:val="006F1AC2"/>
    <w:rsid w:val="006F1BBB"/>
    <w:rsid w:val="006F1C1F"/>
    <w:rsid w:val="006F1D4A"/>
    <w:rsid w:val="006F2563"/>
    <w:rsid w:val="006F2635"/>
    <w:rsid w:val="006F26AA"/>
    <w:rsid w:val="006F29FE"/>
    <w:rsid w:val="006F3368"/>
    <w:rsid w:val="006F33DB"/>
    <w:rsid w:val="006F367C"/>
    <w:rsid w:val="006F3789"/>
    <w:rsid w:val="006F37FA"/>
    <w:rsid w:val="006F3EC2"/>
    <w:rsid w:val="006F3F39"/>
    <w:rsid w:val="006F4157"/>
    <w:rsid w:val="006F4E84"/>
    <w:rsid w:val="006F4EE5"/>
    <w:rsid w:val="006F5739"/>
    <w:rsid w:val="006F5C27"/>
    <w:rsid w:val="006F622F"/>
    <w:rsid w:val="006F6420"/>
    <w:rsid w:val="006F65A0"/>
    <w:rsid w:val="006F6796"/>
    <w:rsid w:val="006F70CF"/>
    <w:rsid w:val="006F7260"/>
    <w:rsid w:val="006F7A55"/>
    <w:rsid w:val="007000ED"/>
    <w:rsid w:val="007003E9"/>
    <w:rsid w:val="007006FC"/>
    <w:rsid w:val="00700765"/>
    <w:rsid w:val="00700CDD"/>
    <w:rsid w:val="00700F2A"/>
    <w:rsid w:val="00701083"/>
    <w:rsid w:val="00701213"/>
    <w:rsid w:val="007019D4"/>
    <w:rsid w:val="00701BB8"/>
    <w:rsid w:val="00701F06"/>
    <w:rsid w:val="00702239"/>
    <w:rsid w:val="00702A86"/>
    <w:rsid w:val="00702B9E"/>
    <w:rsid w:val="00703188"/>
    <w:rsid w:val="007031BB"/>
    <w:rsid w:val="007032FE"/>
    <w:rsid w:val="00703470"/>
    <w:rsid w:val="00703471"/>
    <w:rsid w:val="00703E3F"/>
    <w:rsid w:val="0070426B"/>
    <w:rsid w:val="007046A4"/>
    <w:rsid w:val="0070485A"/>
    <w:rsid w:val="00704D0E"/>
    <w:rsid w:val="00704E80"/>
    <w:rsid w:val="00704FFE"/>
    <w:rsid w:val="00705282"/>
    <w:rsid w:val="007052DB"/>
    <w:rsid w:val="007053BA"/>
    <w:rsid w:val="007059E2"/>
    <w:rsid w:val="00705A60"/>
    <w:rsid w:val="00705B4C"/>
    <w:rsid w:val="00705B56"/>
    <w:rsid w:val="00705B88"/>
    <w:rsid w:val="00705F16"/>
    <w:rsid w:val="00705F7B"/>
    <w:rsid w:val="00705FA6"/>
    <w:rsid w:val="007061AB"/>
    <w:rsid w:val="00706493"/>
    <w:rsid w:val="00706738"/>
    <w:rsid w:val="0070699A"/>
    <w:rsid w:val="00706D7C"/>
    <w:rsid w:val="00707213"/>
    <w:rsid w:val="00707240"/>
    <w:rsid w:val="007074B0"/>
    <w:rsid w:val="007074CB"/>
    <w:rsid w:val="00707627"/>
    <w:rsid w:val="00707BCA"/>
    <w:rsid w:val="00707E0B"/>
    <w:rsid w:val="007100A0"/>
    <w:rsid w:val="0071022D"/>
    <w:rsid w:val="007105E0"/>
    <w:rsid w:val="00710B5A"/>
    <w:rsid w:val="00710BCD"/>
    <w:rsid w:val="00710DF3"/>
    <w:rsid w:val="00710E4F"/>
    <w:rsid w:val="00711115"/>
    <w:rsid w:val="0071122C"/>
    <w:rsid w:val="007113C0"/>
    <w:rsid w:val="007115E8"/>
    <w:rsid w:val="00711AF9"/>
    <w:rsid w:val="00711D63"/>
    <w:rsid w:val="00711DE1"/>
    <w:rsid w:val="00711FB4"/>
    <w:rsid w:val="007125CC"/>
    <w:rsid w:val="007128E0"/>
    <w:rsid w:val="00712B04"/>
    <w:rsid w:val="00712B8A"/>
    <w:rsid w:val="00712D58"/>
    <w:rsid w:val="00712EB4"/>
    <w:rsid w:val="00713323"/>
    <w:rsid w:val="007137E2"/>
    <w:rsid w:val="00713A28"/>
    <w:rsid w:val="00713CF1"/>
    <w:rsid w:val="0071444C"/>
    <w:rsid w:val="00714497"/>
    <w:rsid w:val="00714A63"/>
    <w:rsid w:val="00714A69"/>
    <w:rsid w:val="00714C72"/>
    <w:rsid w:val="00714DCD"/>
    <w:rsid w:val="00714EB8"/>
    <w:rsid w:val="00715741"/>
    <w:rsid w:val="0071585B"/>
    <w:rsid w:val="00715988"/>
    <w:rsid w:val="00715CF4"/>
    <w:rsid w:val="00715F74"/>
    <w:rsid w:val="00716048"/>
    <w:rsid w:val="007163E0"/>
    <w:rsid w:val="00716921"/>
    <w:rsid w:val="0071711E"/>
    <w:rsid w:val="00717252"/>
    <w:rsid w:val="007172DB"/>
    <w:rsid w:val="007177CE"/>
    <w:rsid w:val="007179A1"/>
    <w:rsid w:val="00717CC8"/>
    <w:rsid w:val="00717E57"/>
    <w:rsid w:val="00720034"/>
    <w:rsid w:val="0072012E"/>
    <w:rsid w:val="00720268"/>
    <w:rsid w:val="0072032D"/>
    <w:rsid w:val="007209E0"/>
    <w:rsid w:val="0072113A"/>
    <w:rsid w:val="00721178"/>
    <w:rsid w:val="00721334"/>
    <w:rsid w:val="0072179E"/>
    <w:rsid w:val="00721C03"/>
    <w:rsid w:val="00721CBA"/>
    <w:rsid w:val="00721D58"/>
    <w:rsid w:val="00721DB5"/>
    <w:rsid w:val="00721DE5"/>
    <w:rsid w:val="0072244F"/>
    <w:rsid w:val="007228B2"/>
    <w:rsid w:val="007229A6"/>
    <w:rsid w:val="00722BFB"/>
    <w:rsid w:val="00722EA2"/>
    <w:rsid w:val="0072306A"/>
    <w:rsid w:val="007231C2"/>
    <w:rsid w:val="0072382E"/>
    <w:rsid w:val="00723C25"/>
    <w:rsid w:val="007241B3"/>
    <w:rsid w:val="007242A9"/>
    <w:rsid w:val="00724828"/>
    <w:rsid w:val="00724867"/>
    <w:rsid w:val="00724B77"/>
    <w:rsid w:val="00724C23"/>
    <w:rsid w:val="00724EB2"/>
    <w:rsid w:val="007257FA"/>
    <w:rsid w:val="00725851"/>
    <w:rsid w:val="00725853"/>
    <w:rsid w:val="00725967"/>
    <w:rsid w:val="00725C7C"/>
    <w:rsid w:val="00725EE3"/>
    <w:rsid w:val="0072601F"/>
    <w:rsid w:val="00726DA3"/>
    <w:rsid w:val="00726E9E"/>
    <w:rsid w:val="007273BD"/>
    <w:rsid w:val="0072744F"/>
    <w:rsid w:val="007276B4"/>
    <w:rsid w:val="00727AC3"/>
    <w:rsid w:val="00727E39"/>
    <w:rsid w:val="007300DF"/>
    <w:rsid w:val="007305FC"/>
    <w:rsid w:val="00730657"/>
    <w:rsid w:val="00730CF3"/>
    <w:rsid w:val="00731388"/>
    <w:rsid w:val="0073157C"/>
    <w:rsid w:val="0073172D"/>
    <w:rsid w:val="0073195A"/>
    <w:rsid w:val="00731B32"/>
    <w:rsid w:val="00732043"/>
    <w:rsid w:val="0073251B"/>
    <w:rsid w:val="00732619"/>
    <w:rsid w:val="00732DDE"/>
    <w:rsid w:val="00732F42"/>
    <w:rsid w:val="0073339C"/>
    <w:rsid w:val="0073375A"/>
    <w:rsid w:val="00733A1D"/>
    <w:rsid w:val="00733DA4"/>
    <w:rsid w:val="00734570"/>
    <w:rsid w:val="007346C3"/>
    <w:rsid w:val="0073497A"/>
    <w:rsid w:val="00734B11"/>
    <w:rsid w:val="00734E8B"/>
    <w:rsid w:val="007351EE"/>
    <w:rsid w:val="00735473"/>
    <w:rsid w:val="00735652"/>
    <w:rsid w:val="00735AED"/>
    <w:rsid w:val="00735BCC"/>
    <w:rsid w:val="00735C54"/>
    <w:rsid w:val="00735F46"/>
    <w:rsid w:val="00735FB0"/>
    <w:rsid w:val="007362E7"/>
    <w:rsid w:val="00736821"/>
    <w:rsid w:val="00736828"/>
    <w:rsid w:val="00736FBE"/>
    <w:rsid w:val="007374E2"/>
    <w:rsid w:val="00737659"/>
    <w:rsid w:val="00737716"/>
    <w:rsid w:val="007379BA"/>
    <w:rsid w:val="00740292"/>
    <w:rsid w:val="0074032D"/>
    <w:rsid w:val="00740D5A"/>
    <w:rsid w:val="007414F6"/>
    <w:rsid w:val="00741570"/>
    <w:rsid w:val="007415F9"/>
    <w:rsid w:val="0074162F"/>
    <w:rsid w:val="00741818"/>
    <w:rsid w:val="00741B03"/>
    <w:rsid w:val="00741B15"/>
    <w:rsid w:val="0074227E"/>
    <w:rsid w:val="0074250E"/>
    <w:rsid w:val="00742764"/>
    <w:rsid w:val="00742A3E"/>
    <w:rsid w:val="0074321D"/>
    <w:rsid w:val="007436D9"/>
    <w:rsid w:val="00743817"/>
    <w:rsid w:val="00743CD3"/>
    <w:rsid w:val="00743E25"/>
    <w:rsid w:val="007442E5"/>
    <w:rsid w:val="0074436A"/>
    <w:rsid w:val="007448C8"/>
    <w:rsid w:val="00744BC4"/>
    <w:rsid w:val="00744EDC"/>
    <w:rsid w:val="00744F3B"/>
    <w:rsid w:val="0074502E"/>
    <w:rsid w:val="00745056"/>
    <w:rsid w:val="007451AD"/>
    <w:rsid w:val="00745C9C"/>
    <w:rsid w:val="00745E64"/>
    <w:rsid w:val="0074651E"/>
    <w:rsid w:val="007467E2"/>
    <w:rsid w:val="00746A60"/>
    <w:rsid w:val="007471F4"/>
    <w:rsid w:val="007471FE"/>
    <w:rsid w:val="007473F4"/>
    <w:rsid w:val="00747504"/>
    <w:rsid w:val="007476AF"/>
    <w:rsid w:val="00747924"/>
    <w:rsid w:val="00747AC8"/>
    <w:rsid w:val="00747C64"/>
    <w:rsid w:val="0075034D"/>
    <w:rsid w:val="00750520"/>
    <w:rsid w:val="007505E9"/>
    <w:rsid w:val="00750B00"/>
    <w:rsid w:val="00750C94"/>
    <w:rsid w:val="00750CC3"/>
    <w:rsid w:val="00750DBC"/>
    <w:rsid w:val="007510D7"/>
    <w:rsid w:val="00751B2C"/>
    <w:rsid w:val="0075230D"/>
    <w:rsid w:val="00752523"/>
    <w:rsid w:val="00752A14"/>
    <w:rsid w:val="00752A43"/>
    <w:rsid w:val="00753046"/>
    <w:rsid w:val="007531B1"/>
    <w:rsid w:val="0075325E"/>
    <w:rsid w:val="00753435"/>
    <w:rsid w:val="00753716"/>
    <w:rsid w:val="0075375F"/>
    <w:rsid w:val="00753CFC"/>
    <w:rsid w:val="00753DF7"/>
    <w:rsid w:val="00754072"/>
    <w:rsid w:val="00754487"/>
    <w:rsid w:val="007546A4"/>
    <w:rsid w:val="00754B60"/>
    <w:rsid w:val="00754D90"/>
    <w:rsid w:val="00755487"/>
    <w:rsid w:val="00755656"/>
    <w:rsid w:val="007559D7"/>
    <w:rsid w:val="00755BAA"/>
    <w:rsid w:val="00755BEE"/>
    <w:rsid w:val="00755C55"/>
    <w:rsid w:val="00755D20"/>
    <w:rsid w:val="0075662B"/>
    <w:rsid w:val="00756DDA"/>
    <w:rsid w:val="0075736F"/>
    <w:rsid w:val="007574F6"/>
    <w:rsid w:val="007575FD"/>
    <w:rsid w:val="00757796"/>
    <w:rsid w:val="00757973"/>
    <w:rsid w:val="00757C79"/>
    <w:rsid w:val="00757CE8"/>
    <w:rsid w:val="0076041C"/>
    <w:rsid w:val="00760628"/>
    <w:rsid w:val="00760A1A"/>
    <w:rsid w:val="007611F1"/>
    <w:rsid w:val="00761C90"/>
    <w:rsid w:val="00761FAF"/>
    <w:rsid w:val="00762215"/>
    <w:rsid w:val="00762372"/>
    <w:rsid w:val="00763235"/>
    <w:rsid w:val="0076349A"/>
    <w:rsid w:val="0076357D"/>
    <w:rsid w:val="00763760"/>
    <w:rsid w:val="00763AA1"/>
    <w:rsid w:val="00763D7F"/>
    <w:rsid w:val="00763DA7"/>
    <w:rsid w:val="0076435E"/>
    <w:rsid w:val="007645A0"/>
    <w:rsid w:val="00764C3D"/>
    <w:rsid w:val="00764FA1"/>
    <w:rsid w:val="007653BF"/>
    <w:rsid w:val="00765407"/>
    <w:rsid w:val="0076565E"/>
    <w:rsid w:val="0076602D"/>
    <w:rsid w:val="0076612C"/>
    <w:rsid w:val="007664AD"/>
    <w:rsid w:val="007665EE"/>
    <w:rsid w:val="00766782"/>
    <w:rsid w:val="0076697C"/>
    <w:rsid w:val="00766D74"/>
    <w:rsid w:val="0076702F"/>
    <w:rsid w:val="00767430"/>
    <w:rsid w:val="00767A44"/>
    <w:rsid w:val="00767A76"/>
    <w:rsid w:val="00767EA2"/>
    <w:rsid w:val="007702E8"/>
    <w:rsid w:val="00770369"/>
    <w:rsid w:val="007707BB"/>
    <w:rsid w:val="00770843"/>
    <w:rsid w:val="007716F6"/>
    <w:rsid w:val="00771AEA"/>
    <w:rsid w:val="00771D9D"/>
    <w:rsid w:val="00771DD7"/>
    <w:rsid w:val="00772634"/>
    <w:rsid w:val="0077274B"/>
    <w:rsid w:val="007733AC"/>
    <w:rsid w:val="00773A85"/>
    <w:rsid w:val="00773ACC"/>
    <w:rsid w:val="00773B70"/>
    <w:rsid w:val="00773E84"/>
    <w:rsid w:val="00774217"/>
    <w:rsid w:val="00774439"/>
    <w:rsid w:val="00774520"/>
    <w:rsid w:val="007747D0"/>
    <w:rsid w:val="00774802"/>
    <w:rsid w:val="00774E34"/>
    <w:rsid w:val="00774EC1"/>
    <w:rsid w:val="007752CD"/>
    <w:rsid w:val="00775332"/>
    <w:rsid w:val="00775D85"/>
    <w:rsid w:val="00775DBF"/>
    <w:rsid w:val="007760B2"/>
    <w:rsid w:val="0077681C"/>
    <w:rsid w:val="0077710E"/>
    <w:rsid w:val="007773F7"/>
    <w:rsid w:val="00777780"/>
    <w:rsid w:val="007777C9"/>
    <w:rsid w:val="007803E6"/>
    <w:rsid w:val="00780555"/>
    <w:rsid w:val="00780771"/>
    <w:rsid w:val="00780AFA"/>
    <w:rsid w:val="00780BAA"/>
    <w:rsid w:val="00780D18"/>
    <w:rsid w:val="0078137A"/>
    <w:rsid w:val="00781A43"/>
    <w:rsid w:val="007820CF"/>
    <w:rsid w:val="007822EF"/>
    <w:rsid w:val="0078236E"/>
    <w:rsid w:val="007826D2"/>
    <w:rsid w:val="00782D21"/>
    <w:rsid w:val="00782DDA"/>
    <w:rsid w:val="007833A4"/>
    <w:rsid w:val="007833B7"/>
    <w:rsid w:val="007834A1"/>
    <w:rsid w:val="00783524"/>
    <w:rsid w:val="007837D2"/>
    <w:rsid w:val="0078388C"/>
    <w:rsid w:val="00783C71"/>
    <w:rsid w:val="00783CBA"/>
    <w:rsid w:val="00784026"/>
    <w:rsid w:val="007841E0"/>
    <w:rsid w:val="0078458E"/>
    <w:rsid w:val="007845EA"/>
    <w:rsid w:val="00784615"/>
    <w:rsid w:val="0078474A"/>
    <w:rsid w:val="007848E2"/>
    <w:rsid w:val="00784A73"/>
    <w:rsid w:val="00784AC5"/>
    <w:rsid w:val="00784ACB"/>
    <w:rsid w:val="00784DAF"/>
    <w:rsid w:val="007853E3"/>
    <w:rsid w:val="00785447"/>
    <w:rsid w:val="00785526"/>
    <w:rsid w:val="00785687"/>
    <w:rsid w:val="0078595D"/>
    <w:rsid w:val="00785E92"/>
    <w:rsid w:val="00786174"/>
    <w:rsid w:val="007861D1"/>
    <w:rsid w:val="0078621C"/>
    <w:rsid w:val="00786279"/>
    <w:rsid w:val="0078689F"/>
    <w:rsid w:val="00786F29"/>
    <w:rsid w:val="00786F8B"/>
    <w:rsid w:val="00787605"/>
    <w:rsid w:val="0078793B"/>
    <w:rsid w:val="00787D55"/>
    <w:rsid w:val="00787D91"/>
    <w:rsid w:val="00790071"/>
    <w:rsid w:val="007900DC"/>
    <w:rsid w:val="0079016C"/>
    <w:rsid w:val="0079062A"/>
    <w:rsid w:val="0079077B"/>
    <w:rsid w:val="007908EF"/>
    <w:rsid w:val="00790958"/>
    <w:rsid w:val="007909BB"/>
    <w:rsid w:val="00790CB5"/>
    <w:rsid w:val="00790CD9"/>
    <w:rsid w:val="00790D21"/>
    <w:rsid w:val="00790F8D"/>
    <w:rsid w:val="007910A2"/>
    <w:rsid w:val="0079124F"/>
    <w:rsid w:val="007914C1"/>
    <w:rsid w:val="00791A42"/>
    <w:rsid w:val="00791ADA"/>
    <w:rsid w:val="00791C65"/>
    <w:rsid w:val="00792399"/>
    <w:rsid w:val="00792678"/>
    <w:rsid w:val="007929CF"/>
    <w:rsid w:val="007931FB"/>
    <w:rsid w:val="0079349A"/>
    <w:rsid w:val="007938E5"/>
    <w:rsid w:val="00793BE0"/>
    <w:rsid w:val="007947C1"/>
    <w:rsid w:val="00794CCA"/>
    <w:rsid w:val="00794E2D"/>
    <w:rsid w:val="007956EE"/>
    <w:rsid w:val="00795B5F"/>
    <w:rsid w:val="00795CB1"/>
    <w:rsid w:val="00795CE3"/>
    <w:rsid w:val="00795DB4"/>
    <w:rsid w:val="0079649E"/>
    <w:rsid w:val="00796C6F"/>
    <w:rsid w:val="0079700B"/>
    <w:rsid w:val="00797154"/>
    <w:rsid w:val="007971A8"/>
    <w:rsid w:val="00797E6C"/>
    <w:rsid w:val="007A009E"/>
    <w:rsid w:val="007A0106"/>
    <w:rsid w:val="007A0B00"/>
    <w:rsid w:val="007A103A"/>
    <w:rsid w:val="007A1094"/>
    <w:rsid w:val="007A1658"/>
    <w:rsid w:val="007A1A52"/>
    <w:rsid w:val="007A20B3"/>
    <w:rsid w:val="007A21A3"/>
    <w:rsid w:val="007A22BA"/>
    <w:rsid w:val="007A22E0"/>
    <w:rsid w:val="007A2C5E"/>
    <w:rsid w:val="007A354D"/>
    <w:rsid w:val="007A3DF9"/>
    <w:rsid w:val="007A421F"/>
    <w:rsid w:val="007A4290"/>
    <w:rsid w:val="007A4755"/>
    <w:rsid w:val="007A4AC4"/>
    <w:rsid w:val="007A4AC9"/>
    <w:rsid w:val="007A4AEA"/>
    <w:rsid w:val="007A4E5E"/>
    <w:rsid w:val="007A4F51"/>
    <w:rsid w:val="007A5673"/>
    <w:rsid w:val="007A58A0"/>
    <w:rsid w:val="007A5AB7"/>
    <w:rsid w:val="007A5B53"/>
    <w:rsid w:val="007A5C7A"/>
    <w:rsid w:val="007A622F"/>
    <w:rsid w:val="007A6322"/>
    <w:rsid w:val="007A63C4"/>
    <w:rsid w:val="007A6620"/>
    <w:rsid w:val="007A6724"/>
    <w:rsid w:val="007A6E0F"/>
    <w:rsid w:val="007A6FA3"/>
    <w:rsid w:val="007A6FD8"/>
    <w:rsid w:val="007A7057"/>
    <w:rsid w:val="007A70C1"/>
    <w:rsid w:val="007A7574"/>
    <w:rsid w:val="007A7591"/>
    <w:rsid w:val="007A7798"/>
    <w:rsid w:val="007A7916"/>
    <w:rsid w:val="007A7DDA"/>
    <w:rsid w:val="007A7FC0"/>
    <w:rsid w:val="007B00BE"/>
    <w:rsid w:val="007B0744"/>
    <w:rsid w:val="007B0CFE"/>
    <w:rsid w:val="007B0D89"/>
    <w:rsid w:val="007B0E88"/>
    <w:rsid w:val="007B12CB"/>
    <w:rsid w:val="007B17B3"/>
    <w:rsid w:val="007B1EF2"/>
    <w:rsid w:val="007B227F"/>
    <w:rsid w:val="007B2332"/>
    <w:rsid w:val="007B2D37"/>
    <w:rsid w:val="007B30B4"/>
    <w:rsid w:val="007B3309"/>
    <w:rsid w:val="007B3465"/>
    <w:rsid w:val="007B34AF"/>
    <w:rsid w:val="007B37D5"/>
    <w:rsid w:val="007B3BDA"/>
    <w:rsid w:val="007B3E49"/>
    <w:rsid w:val="007B48E3"/>
    <w:rsid w:val="007B4A56"/>
    <w:rsid w:val="007B4C3D"/>
    <w:rsid w:val="007B4D47"/>
    <w:rsid w:val="007B4FBD"/>
    <w:rsid w:val="007B5200"/>
    <w:rsid w:val="007B5411"/>
    <w:rsid w:val="007B54D4"/>
    <w:rsid w:val="007B54F3"/>
    <w:rsid w:val="007B55B6"/>
    <w:rsid w:val="007B596E"/>
    <w:rsid w:val="007B5A79"/>
    <w:rsid w:val="007B6116"/>
    <w:rsid w:val="007B6552"/>
    <w:rsid w:val="007B68B4"/>
    <w:rsid w:val="007B69BE"/>
    <w:rsid w:val="007B6C7E"/>
    <w:rsid w:val="007B7776"/>
    <w:rsid w:val="007B7A1B"/>
    <w:rsid w:val="007B7FB1"/>
    <w:rsid w:val="007C0466"/>
    <w:rsid w:val="007C0B1D"/>
    <w:rsid w:val="007C102D"/>
    <w:rsid w:val="007C10F8"/>
    <w:rsid w:val="007C1192"/>
    <w:rsid w:val="007C1529"/>
    <w:rsid w:val="007C17C0"/>
    <w:rsid w:val="007C19D4"/>
    <w:rsid w:val="007C1BF3"/>
    <w:rsid w:val="007C1CDF"/>
    <w:rsid w:val="007C2522"/>
    <w:rsid w:val="007C2525"/>
    <w:rsid w:val="007C2888"/>
    <w:rsid w:val="007C2B5B"/>
    <w:rsid w:val="007C330C"/>
    <w:rsid w:val="007C35E9"/>
    <w:rsid w:val="007C36B6"/>
    <w:rsid w:val="007C3E08"/>
    <w:rsid w:val="007C3F2F"/>
    <w:rsid w:val="007C4E1C"/>
    <w:rsid w:val="007C4F15"/>
    <w:rsid w:val="007C5DB1"/>
    <w:rsid w:val="007C603B"/>
    <w:rsid w:val="007C6247"/>
    <w:rsid w:val="007C6F31"/>
    <w:rsid w:val="007C6F9C"/>
    <w:rsid w:val="007C7438"/>
    <w:rsid w:val="007C7A7B"/>
    <w:rsid w:val="007C7FD2"/>
    <w:rsid w:val="007D0EE0"/>
    <w:rsid w:val="007D110E"/>
    <w:rsid w:val="007D136F"/>
    <w:rsid w:val="007D15F6"/>
    <w:rsid w:val="007D18AD"/>
    <w:rsid w:val="007D1953"/>
    <w:rsid w:val="007D19A1"/>
    <w:rsid w:val="007D1BE6"/>
    <w:rsid w:val="007D222E"/>
    <w:rsid w:val="007D24B1"/>
    <w:rsid w:val="007D28DF"/>
    <w:rsid w:val="007D2D59"/>
    <w:rsid w:val="007D2EE5"/>
    <w:rsid w:val="007D31C2"/>
    <w:rsid w:val="007D362B"/>
    <w:rsid w:val="007D3846"/>
    <w:rsid w:val="007D385B"/>
    <w:rsid w:val="007D3F5E"/>
    <w:rsid w:val="007D410F"/>
    <w:rsid w:val="007D4436"/>
    <w:rsid w:val="007D44C5"/>
    <w:rsid w:val="007D4617"/>
    <w:rsid w:val="007D49A1"/>
    <w:rsid w:val="007D4BC1"/>
    <w:rsid w:val="007D4E59"/>
    <w:rsid w:val="007D4E79"/>
    <w:rsid w:val="007D4E86"/>
    <w:rsid w:val="007D5043"/>
    <w:rsid w:val="007D54CB"/>
    <w:rsid w:val="007D5B75"/>
    <w:rsid w:val="007D5C35"/>
    <w:rsid w:val="007D5E6F"/>
    <w:rsid w:val="007D5F60"/>
    <w:rsid w:val="007D61AB"/>
    <w:rsid w:val="007D66A3"/>
    <w:rsid w:val="007D6EF5"/>
    <w:rsid w:val="007D7265"/>
    <w:rsid w:val="007D750E"/>
    <w:rsid w:val="007D7712"/>
    <w:rsid w:val="007D7D48"/>
    <w:rsid w:val="007E01EC"/>
    <w:rsid w:val="007E03A6"/>
    <w:rsid w:val="007E075F"/>
    <w:rsid w:val="007E08BE"/>
    <w:rsid w:val="007E08C2"/>
    <w:rsid w:val="007E0D5B"/>
    <w:rsid w:val="007E0FBA"/>
    <w:rsid w:val="007E11A8"/>
    <w:rsid w:val="007E1489"/>
    <w:rsid w:val="007E16C2"/>
    <w:rsid w:val="007E1735"/>
    <w:rsid w:val="007E1814"/>
    <w:rsid w:val="007E1995"/>
    <w:rsid w:val="007E1E37"/>
    <w:rsid w:val="007E2427"/>
    <w:rsid w:val="007E2870"/>
    <w:rsid w:val="007E2BB8"/>
    <w:rsid w:val="007E2E29"/>
    <w:rsid w:val="007E3258"/>
    <w:rsid w:val="007E350C"/>
    <w:rsid w:val="007E37CD"/>
    <w:rsid w:val="007E3800"/>
    <w:rsid w:val="007E39A6"/>
    <w:rsid w:val="007E3A9B"/>
    <w:rsid w:val="007E3D87"/>
    <w:rsid w:val="007E3DCA"/>
    <w:rsid w:val="007E3FD1"/>
    <w:rsid w:val="007E4010"/>
    <w:rsid w:val="007E4038"/>
    <w:rsid w:val="007E4512"/>
    <w:rsid w:val="007E4677"/>
    <w:rsid w:val="007E4C6E"/>
    <w:rsid w:val="007E4DA3"/>
    <w:rsid w:val="007E4DC9"/>
    <w:rsid w:val="007E4FC5"/>
    <w:rsid w:val="007E5226"/>
    <w:rsid w:val="007E53B3"/>
    <w:rsid w:val="007E5424"/>
    <w:rsid w:val="007E5AE1"/>
    <w:rsid w:val="007E5F1D"/>
    <w:rsid w:val="007E63D5"/>
    <w:rsid w:val="007E6511"/>
    <w:rsid w:val="007E6607"/>
    <w:rsid w:val="007E66A3"/>
    <w:rsid w:val="007E68D8"/>
    <w:rsid w:val="007E6DEA"/>
    <w:rsid w:val="007E72A2"/>
    <w:rsid w:val="007E7A0F"/>
    <w:rsid w:val="007E7A90"/>
    <w:rsid w:val="007E7A9E"/>
    <w:rsid w:val="007E7D9C"/>
    <w:rsid w:val="007E7EBF"/>
    <w:rsid w:val="007F0897"/>
    <w:rsid w:val="007F0B63"/>
    <w:rsid w:val="007F127C"/>
    <w:rsid w:val="007F1517"/>
    <w:rsid w:val="007F16FE"/>
    <w:rsid w:val="007F177B"/>
    <w:rsid w:val="007F1F87"/>
    <w:rsid w:val="007F1FF0"/>
    <w:rsid w:val="007F2159"/>
    <w:rsid w:val="007F275B"/>
    <w:rsid w:val="007F2D34"/>
    <w:rsid w:val="007F38A0"/>
    <w:rsid w:val="007F39A8"/>
    <w:rsid w:val="007F3B5F"/>
    <w:rsid w:val="007F3EE4"/>
    <w:rsid w:val="007F3F07"/>
    <w:rsid w:val="007F4AFA"/>
    <w:rsid w:val="007F531F"/>
    <w:rsid w:val="007F5425"/>
    <w:rsid w:val="007F555A"/>
    <w:rsid w:val="007F56A2"/>
    <w:rsid w:val="007F5F5D"/>
    <w:rsid w:val="007F6455"/>
    <w:rsid w:val="007F651F"/>
    <w:rsid w:val="007F67D7"/>
    <w:rsid w:val="007F6BAC"/>
    <w:rsid w:val="007F6BF3"/>
    <w:rsid w:val="007F6D4B"/>
    <w:rsid w:val="007F6ECC"/>
    <w:rsid w:val="007F71CF"/>
    <w:rsid w:val="007F73CC"/>
    <w:rsid w:val="007F7A2A"/>
    <w:rsid w:val="007F7BD1"/>
    <w:rsid w:val="007F7C8F"/>
    <w:rsid w:val="007F7DD9"/>
    <w:rsid w:val="007F7E1C"/>
    <w:rsid w:val="0080022B"/>
    <w:rsid w:val="00800855"/>
    <w:rsid w:val="00800A24"/>
    <w:rsid w:val="00800C70"/>
    <w:rsid w:val="00801053"/>
    <w:rsid w:val="00801148"/>
    <w:rsid w:val="008011A2"/>
    <w:rsid w:val="0080121D"/>
    <w:rsid w:val="0080156B"/>
    <w:rsid w:val="00801736"/>
    <w:rsid w:val="00801C58"/>
    <w:rsid w:val="00801F8C"/>
    <w:rsid w:val="00802074"/>
    <w:rsid w:val="00802D16"/>
    <w:rsid w:val="00803239"/>
    <w:rsid w:val="008039E0"/>
    <w:rsid w:val="00803A36"/>
    <w:rsid w:val="00803A69"/>
    <w:rsid w:val="00803C9E"/>
    <w:rsid w:val="00804110"/>
    <w:rsid w:val="00804462"/>
    <w:rsid w:val="00804998"/>
    <w:rsid w:val="00804A73"/>
    <w:rsid w:val="00804D81"/>
    <w:rsid w:val="00804DAB"/>
    <w:rsid w:val="00805DF4"/>
    <w:rsid w:val="00805EB3"/>
    <w:rsid w:val="008060F4"/>
    <w:rsid w:val="0080612C"/>
    <w:rsid w:val="008069C2"/>
    <w:rsid w:val="00806CFD"/>
    <w:rsid w:val="00806DED"/>
    <w:rsid w:val="0080735A"/>
    <w:rsid w:val="00807528"/>
    <w:rsid w:val="008075F6"/>
    <w:rsid w:val="00807B02"/>
    <w:rsid w:val="00807C38"/>
    <w:rsid w:val="00807C3F"/>
    <w:rsid w:val="008102A4"/>
    <w:rsid w:val="008105C4"/>
    <w:rsid w:val="00810658"/>
    <w:rsid w:val="00810AF6"/>
    <w:rsid w:val="0081102B"/>
    <w:rsid w:val="00811132"/>
    <w:rsid w:val="0081116B"/>
    <w:rsid w:val="008111FD"/>
    <w:rsid w:val="00811403"/>
    <w:rsid w:val="008115D4"/>
    <w:rsid w:val="0081164C"/>
    <w:rsid w:val="0081189D"/>
    <w:rsid w:val="00811B18"/>
    <w:rsid w:val="00811DDC"/>
    <w:rsid w:val="00811FD8"/>
    <w:rsid w:val="008121E0"/>
    <w:rsid w:val="00812352"/>
    <w:rsid w:val="00812609"/>
    <w:rsid w:val="008127AB"/>
    <w:rsid w:val="0081296D"/>
    <w:rsid w:val="00812AD7"/>
    <w:rsid w:val="00812B9E"/>
    <w:rsid w:val="00812D57"/>
    <w:rsid w:val="0081326B"/>
    <w:rsid w:val="008132FC"/>
    <w:rsid w:val="008136F9"/>
    <w:rsid w:val="00813755"/>
    <w:rsid w:val="00813C6F"/>
    <w:rsid w:val="00813DC5"/>
    <w:rsid w:val="00814A1E"/>
    <w:rsid w:val="00814CF7"/>
    <w:rsid w:val="008151CD"/>
    <w:rsid w:val="00815444"/>
    <w:rsid w:val="008154B3"/>
    <w:rsid w:val="00815614"/>
    <w:rsid w:val="008156CE"/>
    <w:rsid w:val="008164EE"/>
    <w:rsid w:val="00816BD9"/>
    <w:rsid w:val="00816DD4"/>
    <w:rsid w:val="00816EA1"/>
    <w:rsid w:val="00817031"/>
    <w:rsid w:val="00817565"/>
    <w:rsid w:val="00817912"/>
    <w:rsid w:val="00817953"/>
    <w:rsid w:val="00817980"/>
    <w:rsid w:val="008200D4"/>
    <w:rsid w:val="0082011D"/>
    <w:rsid w:val="0082054D"/>
    <w:rsid w:val="008206C8"/>
    <w:rsid w:val="008209BE"/>
    <w:rsid w:val="00820B66"/>
    <w:rsid w:val="00820CCD"/>
    <w:rsid w:val="00820FB0"/>
    <w:rsid w:val="00820FD8"/>
    <w:rsid w:val="00821579"/>
    <w:rsid w:val="00821826"/>
    <w:rsid w:val="00821A41"/>
    <w:rsid w:val="00821EDB"/>
    <w:rsid w:val="00821F8D"/>
    <w:rsid w:val="008224E9"/>
    <w:rsid w:val="00822D8A"/>
    <w:rsid w:val="00823106"/>
    <w:rsid w:val="0082392F"/>
    <w:rsid w:val="00823CF8"/>
    <w:rsid w:val="00823F1D"/>
    <w:rsid w:val="00823F59"/>
    <w:rsid w:val="008244E2"/>
    <w:rsid w:val="008246E0"/>
    <w:rsid w:val="00824DDB"/>
    <w:rsid w:val="00824E06"/>
    <w:rsid w:val="00824F5A"/>
    <w:rsid w:val="00825116"/>
    <w:rsid w:val="00825163"/>
    <w:rsid w:val="0082536C"/>
    <w:rsid w:val="00825390"/>
    <w:rsid w:val="00825629"/>
    <w:rsid w:val="00825773"/>
    <w:rsid w:val="00825778"/>
    <w:rsid w:val="008258B6"/>
    <w:rsid w:val="00825980"/>
    <w:rsid w:val="00825A3F"/>
    <w:rsid w:val="00825C4B"/>
    <w:rsid w:val="008266D8"/>
    <w:rsid w:val="00826AC4"/>
    <w:rsid w:val="00826D82"/>
    <w:rsid w:val="008273BF"/>
    <w:rsid w:val="008276AC"/>
    <w:rsid w:val="008279B2"/>
    <w:rsid w:val="00827B4B"/>
    <w:rsid w:val="00827CF0"/>
    <w:rsid w:val="00827FBE"/>
    <w:rsid w:val="00830A00"/>
    <w:rsid w:val="00830B7A"/>
    <w:rsid w:val="00830E04"/>
    <w:rsid w:val="00831288"/>
    <w:rsid w:val="0083149D"/>
    <w:rsid w:val="00831575"/>
    <w:rsid w:val="00831A57"/>
    <w:rsid w:val="00831E7B"/>
    <w:rsid w:val="008321B7"/>
    <w:rsid w:val="0083225B"/>
    <w:rsid w:val="00832440"/>
    <w:rsid w:val="008328DB"/>
    <w:rsid w:val="00832C00"/>
    <w:rsid w:val="00832EF3"/>
    <w:rsid w:val="00833402"/>
    <w:rsid w:val="00833525"/>
    <w:rsid w:val="0083417A"/>
    <w:rsid w:val="00834607"/>
    <w:rsid w:val="0083460E"/>
    <w:rsid w:val="008346B0"/>
    <w:rsid w:val="008348B4"/>
    <w:rsid w:val="008348E1"/>
    <w:rsid w:val="00834F64"/>
    <w:rsid w:val="0083520C"/>
    <w:rsid w:val="00835509"/>
    <w:rsid w:val="00835789"/>
    <w:rsid w:val="008359B5"/>
    <w:rsid w:val="00835D80"/>
    <w:rsid w:val="00835F69"/>
    <w:rsid w:val="008361AD"/>
    <w:rsid w:val="008364CB"/>
    <w:rsid w:val="008368C8"/>
    <w:rsid w:val="00836B9F"/>
    <w:rsid w:val="00837012"/>
    <w:rsid w:val="0083739B"/>
    <w:rsid w:val="0083747E"/>
    <w:rsid w:val="00837617"/>
    <w:rsid w:val="00837D46"/>
    <w:rsid w:val="008401CE"/>
    <w:rsid w:val="0084049B"/>
    <w:rsid w:val="00840F48"/>
    <w:rsid w:val="008410B2"/>
    <w:rsid w:val="008418EC"/>
    <w:rsid w:val="00842042"/>
    <w:rsid w:val="0084250D"/>
    <w:rsid w:val="0084252D"/>
    <w:rsid w:val="008429AE"/>
    <w:rsid w:val="00842AF1"/>
    <w:rsid w:val="00842C32"/>
    <w:rsid w:val="00842EF1"/>
    <w:rsid w:val="00842F33"/>
    <w:rsid w:val="008431C8"/>
    <w:rsid w:val="008438CD"/>
    <w:rsid w:val="00843CFD"/>
    <w:rsid w:val="00843DB2"/>
    <w:rsid w:val="00844305"/>
    <w:rsid w:val="0084430A"/>
    <w:rsid w:val="0084432B"/>
    <w:rsid w:val="008446EC"/>
    <w:rsid w:val="0084512A"/>
    <w:rsid w:val="008453B6"/>
    <w:rsid w:val="008456CC"/>
    <w:rsid w:val="008457D3"/>
    <w:rsid w:val="0084591F"/>
    <w:rsid w:val="00845B48"/>
    <w:rsid w:val="00846005"/>
    <w:rsid w:val="0084651C"/>
    <w:rsid w:val="0084674F"/>
    <w:rsid w:val="0084696E"/>
    <w:rsid w:val="00846A7C"/>
    <w:rsid w:val="00846AE2"/>
    <w:rsid w:val="00846E18"/>
    <w:rsid w:val="00847043"/>
    <w:rsid w:val="008470B6"/>
    <w:rsid w:val="008473C3"/>
    <w:rsid w:val="0084758C"/>
    <w:rsid w:val="008476EE"/>
    <w:rsid w:val="008479BD"/>
    <w:rsid w:val="00847AF1"/>
    <w:rsid w:val="00847B93"/>
    <w:rsid w:val="00847F09"/>
    <w:rsid w:val="008501E5"/>
    <w:rsid w:val="00850671"/>
    <w:rsid w:val="00850E5B"/>
    <w:rsid w:val="00850E68"/>
    <w:rsid w:val="00850F0C"/>
    <w:rsid w:val="00851122"/>
    <w:rsid w:val="00851398"/>
    <w:rsid w:val="008514D2"/>
    <w:rsid w:val="0085189E"/>
    <w:rsid w:val="008519FC"/>
    <w:rsid w:val="00851B47"/>
    <w:rsid w:val="00851CB8"/>
    <w:rsid w:val="00851E0F"/>
    <w:rsid w:val="00852247"/>
    <w:rsid w:val="008522F7"/>
    <w:rsid w:val="0085252F"/>
    <w:rsid w:val="00852884"/>
    <w:rsid w:val="008529FD"/>
    <w:rsid w:val="008533E7"/>
    <w:rsid w:val="00853B37"/>
    <w:rsid w:val="00854220"/>
    <w:rsid w:val="00854253"/>
    <w:rsid w:val="008543B9"/>
    <w:rsid w:val="0085474A"/>
    <w:rsid w:val="00854789"/>
    <w:rsid w:val="00854809"/>
    <w:rsid w:val="00854CE2"/>
    <w:rsid w:val="008554A4"/>
    <w:rsid w:val="00855590"/>
    <w:rsid w:val="008556BF"/>
    <w:rsid w:val="008559AD"/>
    <w:rsid w:val="00855AAC"/>
    <w:rsid w:val="00855EB2"/>
    <w:rsid w:val="00856180"/>
    <w:rsid w:val="0085625E"/>
    <w:rsid w:val="008563B2"/>
    <w:rsid w:val="008565DF"/>
    <w:rsid w:val="00856796"/>
    <w:rsid w:val="00857EBF"/>
    <w:rsid w:val="00857ED2"/>
    <w:rsid w:val="008600F5"/>
    <w:rsid w:val="0086046C"/>
    <w:rsid w:val="008606DE"/>
    <w:rsid w:val="00860822"/>
    <w:rsid w:val="0086093D"/>
    <w:rsid w:val="008609FA"/>
    <w:rsid w:val="00860D99"/>
    <w:rsid w:val="00861D65"/>
    <w:rsid w:val="008621B9"/>
    <w:rsid w:val="008624A7"/>
    <w:rsid w:val="0086273F"/>
    <w:rsid w:val="00862BB8"/>
    <w:rsid w:val="00862EF7"/>
    <w:rsid w:val="00862F93"/>
    <w:rsid w:val="00863257"/>
    <w:rsid w:val="00863545"/>
    <w:rsid w:val="008636E2"/>
    <w:rsid w:val="00863A3D"/>
    <w:rsid w:val="00863C31"/>
    <w:rsid w:val="00863CA2"/>
    <w:rsid w:val="00864224"/>
    <w:rsid w:val="0086547A"/>
    <w:rsid w:val="008658BE"/>
    <w:rsid w:val="00866003"/>
    <w:rsid w:val="00866599"/>
    <w:rsid w:val="008666F6"/>
    <w:rsid w:val="00866970"/>
    <w:rsid w:val="00866CA7"/>
    <w:rsid w:val="00866E08"/>
    <w:rsid w:val="00866E28"/>
    <w:rsid w:val="00866F2A"/>
    <w:rsid w:val="0086716C"/>
    <w:rsid w:val="0086750E"/>
    <w:rsid w:val="008675ED"/>
    <w:rsid w:val="00867C61"/>
    <w:rsid w:val="00870723"/>
    <w:rsid w:val="0087085D"/>
    <w:rsid w:val="00870A47"/>
    <w:rsid w:val="00870C40"/>
    <w:rsid w:val="008719EA"/>
    <w:rsid w:val="00871AE0"/>
    <w:rsid w:val="00871C02"/>
    <w:rsid w:val="00871C9B"/>
    <w:rsid w:val="00871E6B"/>
    <w:rsid w:val="00871F65"/>
    <w:rsid w:val="008721C7"/>
    <w:rsid w:val="0087222F"/>
    <w:rsid w:val="008722AE"/>
    <w:rsid w:val="008728A2"/>
    <w:rsid w:val="00872C5D"/>
    <w:rsid w:val="00873275"/>
    <w:rsid w:val="008732D3"/>
    <w:rsid w:val="0087337B"/>
    <w:rsid w:val="008736DB"/>
    <w:rsid w:val="00873856"/>
    <w:rsid w:val="00873DA8"/>
    <w:rsid w:val="00873F9C"/>
    <w:rsid w:val="0087411A"/>
    <w:rsid w:val="00874258"/>
    <w:rsid w:val="00874411"/>
    <w:rsid w:val="00874421"/>
    <w:rsid w:val="008751A3"/>
    <w:rsid w:val="00875211"/>
    <w:rsid w:val="00875239"/>
    <w:rsid w:val="00875273"/>
    <w:rsid w:val="008752D9"/>
    <w:rsid w:val="008754F4"/>
    <w:rsid w:val="00875C48"/>
    <w:rsid w:val="00875DED"/>
    <w:rsid w:val="00875EFD"/>
    <w:rsid w:val="008763D3"/>
    <w:rsid w:val="00876F68"/>
    <w:rsid w:val="008770F5"/>
    <w:rsid w:val="00877C10"/>
    <w:rsid w:val="00877CE6"/>
    <w:rsid w:val="00877D87"/>
    <w:rsid w:val="00877EF1"/>
    <w:rsid w:val="00880035"/>
    <w:rsid w:val="00880366"/>
    <w:rsid w:val="00880B98"/>
    <w:rsid w:val="008812A9"/>
    <w:rsid w:val="0088154B"/>
    <w:rsid w:val="00881898"/>
    <w:rsid w:val="00881CE7"/>
    <w:rsid w:val="00882157"/>
    <w:rsid w:val="00882404"/>
    <w:rsid w:val="008824CD"/>
    <w:rsid w:val="00882534"/>
    <w:rsid w:val="00883058"/>
    <w:rsid w:val="00883135"/>
    <w:rsid w:val="00883398"/>
    <w:rsid w:val="0088346D"/>
    <w:rsid w:val="00883E11"/>
    <w:rsid w:val="00883EC4"/>
    <w:rsid w:val="00883FF1"/>
    <w:rsid w:val="0088436E"/>
    <w:rsid w:val="00884517"/>
    <w:rsid w:val="00884748"/>
    <w:rsid w:val="008848A3"/>
    <w:rsid w:val="00884E25"/>
    <w:rsid w:val="0088563C"/>
    <w:rsid w:val="008858F7"/>
    <w:rsid w:val="00885907"/>
    <w:rsid w:val="00885967"/>
    <w:rsid w:val="00885E7A"/>
    <w:rsid w:val="00885F3B"/>
    <w:rsid w:val="008860A9"/>
    <w:rsid w:val="008863BB"/>
    <w:rsid w:val="00886644"/>
    <w:rsid w:val="00886721"/>
    <w:rsid w:val="00886A0D"/>
    <w:rsid w:val="00886ACB"/>
    <w:rsid w:val="00886AEC"/>
    <w:rsid w:val="0088717F"/>
    <w:rsid w:val="00887228"/>
    <w:rsid w:val="008875B2"/>
    <w:rsid w:val="008879E8"/>
    <w:rsid w:val="00887E94"/>
    <w:rsid w:val="0089015D"/>
    <w:rsid w:val="008904D4"/>
    <w:rsid w:val="0089077F"/>
    <w:rsid w:val="00890797"/>
    <w:rsid w:val="00890821"/>
    <w:rsid w:val="008908D8"/>
    <w:rsid w:val="00890920"/>
    <w:rsid w:val="0089094B"/>
    <w:rsid w:val="00890F88"/>
    <w:rsid w:val="00891281"/>
    <w:rsid w:val="00891306"/>
    <w:rsid w:val="008915FD"/>
    <w:rsid w:val="00891835"/>
    <w:rsid w:val="00891BD5"/>
    <w:rsid w:val="0089226C"/>
    <w:rsid w:val="008924DD"/>
    <w:rsid w:val="00892529"/>
    <w:rsid w:val="008925AE"/>
    <w:rsid w:val="00892824"/>
    <w:rsid w:val="008928DD"/>
    <w:rsid w:val="008928FC"/>
    <w:rsid w:val="00892DD0"/>
    <w:rsid w:val="00892DE7"/>
    <w:rsid w:val="008933D8"/>
    <w:rsid w:val="008936BE"/>
    <w:rsid w:val="008939FD"/>
    <w:rsid w:val="00893B1B"/>
    <w:rsid w:val="00893B5B"/>
    <w:rsid w:val="00893D9C"/>
    <w:rsid w:val="00893F87"/>
    <w:rsid w:val="00893FC7"/>
    <w:rsid w:val="00894318"/>
    <w:rsid w:val="00894345"/>
    <w:rsid w:val="0089440A"/>
    <w:rsid w:val="008944DB"/>
    <w:rsid w:val="00894BFF"/>
    <w:rsid w:val="00894CEE"/>
    <w:rsid w:val="00894CF5"/>
    <w:rsid w:val="00894D79"/>
    <w:rsid w:val="00894DAA"/>
    <w:rsid w:val="00894EA0"/>
    <w:rsid w:val="00895442"/>
    <w:rsid w:val="008954CB"/>
    <w:rsid w:val="00895631"/>
    <w:rsid w:val="0089577B"/>
    <w:rsid w:val="00895F84"/>
    <w:rsid w:val="00895FE0"/>
    <w:rsid w:val="0089620B"/>
    <w:rsid w:val="00896E61"/>
    <w:rsid w:val="0089708C"/>
    <w:rsid w:val="008971E0"/>
    <w:rsid w:val="0089737C"/>
    <w:rsid w:val="008973A1"/>
    <w:rsid w:val="00897682"/>
    <w:rsid w:val="00897CE6"/>
    <w:rsid w:val="00897D91"/>
    <w:rsid w:val="008A0211"/>
    <w:rsid w:val="008A0381"/>
    <w:rsid w:val="008A05BE"/>
    <w:rsid w:val="008A06B5"/>
    <w:rsid w:val="008A09E8"/>
    <w:rsid w:val="008A0A0C"/>
    <w:rsid w:val="008A0D37"/>
    <w:rsid w:val="008A0EA2"/>
    <w:rsid w:val="008A0F8D"/>
    <w:rsid w:val="008A14BD"/>
    <w:rsid w:val="008A1BF2"/>
    <w:rsid w:val="008A1D2B"/>
    <w:rsid w:val="008A1E22"/>
    <w:rsid w:val="008A2046"/>
    <w:rsid w:val="008A3426"/>
    <w:rsid w:val="008A372F"/>
    <w:rsid w:val="008A3986"/>
    <w:rsid w:val="008A39EC"/>
    <w:rsid w:val="008A3B87"/>
    <w:rsid w:val="008A4074"/>
    <w:rsid w:val="008A43CD"/>
    <w:rsid w:val="008A443D"/>
    <w:rsid w:val="008A4A31"/>
    <w:rsid w:val="008A4AA9"/>
    <w:rsid w:val="008A4B31"/>
    <w:rsid w:val="008A4E5D"/>
    <w:rsid w:val="008A5007"/>
    <w:rsid w:val="008A56B1"/>
    <w:rsid w:val="008A5B83"/>
    <w:rsid w:val="008A5CF8"/>
    <w:rsid w:val="008A5E4B"/>
    <w:rsid w:val="008A6064"/>
    <w:rsid w:val="008A61AB"/>
    <w:rsid w:val="008A6429"/>
    <w:rsid w:val="008A6CE6"/>
    <w:rsid w:val="008A70D7"/>
    <w:rsid w:val="008A7419"/>
    <w:rsid w:val="008A778D"/>
    <w:rsid w:val="008A79BF"/>
    <w:rsid w:val="008A7A52"/>
    <w:rsid w:val="008A7E0A"/>
    <w:rsid w:val="008A7EE0"/>
    <w:rsid w:val="008A7F83"/>
    <w:rsid w:val="008B0152"/>
    <w:rsid w:val="008B0408"/>
    <w:rsid w:val="008B0BD3"/>
    <w:rsid w:val="008B1375"/>
    <w:rsid w:val="008B233A"/>
    <w:rsid w:val="008B248B"/>
    <w:rsid w:val="008B2499"/>
    <w:rsid w:val="008B2797"/>
    <w:rsid w:val="008B28C7"/>
    <w:rsid w:val="008B2E74"/>
    <w:rsid w:val="008B2F19"/>
    <w:rsid w:val="008B3210"/>
    <w:rsid w:val="008B344A"/>
    <w:rsid w:val="008B3749"/>
    <w:rsid w:val="008B394B"/>
    <w:rsid w:val="008B3D2C"/>
    <w:rsid w:val="008B3D87"/>
    <w:rsid w:val="008B3DCB"/>
    <w:rsid w:val="008B4013"/>
    <w:rsid w:val="008B4A95"/>
    <w:rsid w:val="008B4FC4"/>
    <w:rsid w:val="008B5EFD"/>
    <w:rsid w:val="008B6936"/>
    <w:rsid w:val="008B6B4E"/>
    <w:rsid w:val="008B6C6B"/>
    <w:rsid w:val="008B6D15"/>
    <w:rsid w:val="008B6D6A"/>
    <w:rsid w:val="008B772F"/>
    <w:rsid w:val="008B782D"/>
    <w:rsid w:val="008B79DD"/>
    <w:rsid w:val="008B7B44"/>
    <w:rsid w:val="008C0093"/>
    <w:rsid w:val="008C009F"/>
    <w:rsid w:val="008C02C8"/>
    <w:rsid w:val="008C0345"/>
    <w:rsid w:val="008C0372"/>
    <w:rsid w:val="008C0678"/>
    <w:rsid w:val="008C0BC8"/>
    <w:rsid w:val="008C0FDE"/>
    <w:rsid w:val="008C1145"/>
    <w:rsid w:val="008C1231"/>
    <w:rsid w:val="008C12F0"/>
    <w:rsid w:val="008C1904"/>
    <w:rsid w:val="008C1A62"/>
    <w:rsid w:val="008C2057"/>
    <w:rsid w:val="008C23DC"/>
    <w:rsid w:val="008C26BA"/>
    <w:rsid w:val="008C2727"/>
    <w:rsid w:val="008C28E2"/>
    <w:rsid w:val="008C3697"/>
    <w:rsid w:val="008C3801"/>
    <w:rsid w:val="008C398F"/>
    <w:rsid w:val="008C3D6C"/>
    <w:rsid w:val="008C3F87"/>
    <w:rsid w:val="008C4489"/>
    <w:rsid w:val="008C4595"/>
    <w:rsid w:val="008C480D"/>
    <w:rsid w:val="008C4887"/>
    <w:rsid w:val="008C4AF5"/>
    <w:rsid w:val="008C4EF4"/>
    <w:rsid w:val="008C5040"/>
    <w:rsid w:val="008C5117"/>
    <w:rsid w:val="008C5270"/>
    <w:rsid w:val="008C5303"/>
    <w:rsid w:val="008C565D"/>
    <w:rsid w:val="008C5F25"/>
    <w:rsid w:val="008C6058"/>
    <w:rsid w:val="008C62FF"/>
    <w:rsid w:val="008C6367"/>
    <w:rsid w:val="008C6842"/>
    <w:rsid w:val="008C68C8"/>
    <w:rsid w:val="008C6B2A"/>
    <w:rsid w:val="008C6C3C"/>
    <w:rsid w:val="008C70C8"/>
    <w:rsid w:val="008C7493"/>
    <w:rsid w:val="008C7B87"/>
    <w:rsid w:val="008C7CFC"/>
    <w:rsid w:val="008D03A2"/>
    <w:rsid w:val="008D0607"/>
    <w:rsid w:val="008D0C1C"/>
    <w:rsid w:val="008D0E45"/>
    <w:rsid w:val="008D1081"/>
    <w:rsid w:val="008D109C"/>
    <w:rsid w:val="008D14A9"/>
    <w:rsid w:val="008D1731"/>
    <w:rsid w:val="008D190E"/>
    <w:rsid w:val="008D2BF2"/>
    <w:rsid w:val="008D33F3"/>
    <w:rsid w:val="008D3794"/>
    <w:rsid w:val="008D3B86"/>
    <w:rsid w:val="008D3FC6"/>
    <w:rsid w:val="008D4622"/>
    <w:rsid w:val="008D4960"/>
    <w:rsid w:val="008D544C"/>
    <w:rsid w:val="008D55BA"/>
    <w:rsid w:val="008D5FC6"/>
    <w:rsid w:val="008D60F4"/>
    <w:rsid w:val="008D6335"/>
    <w:rsid w:val="008D6340"/>
    <w:rsid w:val="008D66C2"/>
    <w:rsid w:val="008D672B"/>
    <w:rsid w:val="008D6E05"/>
    <w:rsid w:val="008D74F2"/>
    <w:rsid w:val="008D75BD"/>
    <w:rsid w:val="008D75EC"/>
    <w:rsid w:val="008D799D"/>
    <w:rsid w:val="008D79C3"/>
    <w:rsid w:val="008D7B80"/>
    <w:rsid w:val="008E045F"/>
    <w:rsid w:val="008E0550"/>
    <w:rsid w:val="008E0677"/>
    <w:rsid w:val="008E07C9"/>
    <w:rsid w:val="008E0AD0"/>
    <w:rsid w:val="008E0AF2"/>
    <w:rsid w:val="008E0DB8"/>
    <w:rsid w:val="008E0E49"/>
    <w:rsid w:val="008E1434"/>
    <w:rsid w:val="008E15C3"/>
    <w:rsid w:val="008E1907"/>
    <w:rsid w:val="008E1A2F"/>
    <w:rsid w:val="008E29E4"/>
    <w:rsid w:val="008E2D56"/>
    <w:rsid w:val="008E2F57"/>
    <w:rsid w:val="008E32D9"/>
    <w:rsid w:val="008E32F0"/>
    <w:rsid w:val="008E3A52"/>
    <w:rsid w:val="008E3BC2"/>
    <w:rsid w:val="008E3D90"/>
    <w:rsid w:val="008E40AA"/>
    <w:rsid w:val="008E40CC"/>
    <w:rsid w:val="008E451B"/>
    <w:rsid w:val="008E4587"/>
    <w:rsid w:val="008E4892"/>
    <w:rsid w:val="008E4A28"/>
    <w:rsid w:val="008E4C08"/>
    <w:rsid w:val="008E511D"/>
    <w:rsid w:val="008E551D"/>
    <w:rsid w:val="008E5630"/>
    <w:rsid w:val="008E5AE1"/>
    <w:rsid w:val="008E5FF9"/>
    <w:rsid w:val="008E63C1"/>
    <w:rsid w:val="008E6528"/>
    <w:rsid w:val="008E65E0"/>
    <w:rsid w:val="008E6613"/>
    <w:rsid w:val="008E6AFD"/>
    <w:rsid w:val="008E6D37"/>
    <w:rsid w:val="008E6F2F"/>
    <w:rsid w:val="008E7175"/>
    <w:rsid w:val="008E73C3"/>
    <w:rsid w:val="008E7A9A"/>
    <w:rsid w:val="008E7AAF"/>
    <w:rsid w:val="008E7FD1"/>
    <w:rsid w:val="008F03B3"/>
    <w:rsid w:val="008F0574"/>
    <w:rsid w:val="008F06B8"/>
    <w:rsid w:val="008F085B"/>
    <w:rsid w:val="008F08C4"/>
    <w:rsid w:val="008F099F"/>
    <w:rsid w:val="008F0F82"/>
    <w:rsid w:val="008F1245"/>
    <w:rsid w:val="008F1720"/>
    <w:rsid w:val="008F22E7"/>
    <w:rsid w:val="008F2338"/>
    <w:rsid w:val="008F2402"/>
    <w:rsid w:val="008F26A3"/>
    <w:rsid w:val="008F276B"/>
    <w:rsid w:val="008F2868"/>
    <w:rsid w:val="008F29FE"/>
    <w:rsid w:val="008F31F0"/>
    <w:rsid w:val="008F3999"/>
    <w:rsid w:val="008F3D30"/>
    <w:rsid w:val="008F3E1A"/>
    <w:rsid w:val="008F3E84"/>
    <w:rsid w:val="008F493E"/>
    <w:rsid w:val="008F4990"/>
    <w:rsid w:val="008F4A42"/>
    <w:rsid w:val="008F4A5C"/>
    <w:rsid w:val="008F4CEC"/>
    <w:rsid w:val="008F4DD3"/>
    <w:rsid w:val="008F4EA8"/>
    <w:rsid w:val="008F52F7"/>
    <w:rsid w:val="008F5543"/>
    <w:rsid w:val="008F56EC"/>
    <w:rsid w:val="008F56FD"/>
    <w:rsid w:val="008F57EF"/>
    <w:rsid w:val="008F5962"/>
    <w:rsid w:val="008F6209"/>
    <w:rsid w:val="008F62B2"/>
    <w:rsid w:val="008F62CE"/>
    <w:rsid w:val="008F6553"/>
    <w:rsid w:val="008F694F"/>
    <w:rsid w:val="008F6B2E"/>
    <w:rsid w:val="008F6DEF"/>
    <w:rsid w:val="008F7082"/>
    <w:rsid w:val="008F755A"/>
    <w:rsid w:val="008F78CC"/>
    <w:rsid w:val="008F7A79"/>
    <w:rsid w:val="008F7AA1"/>
    <w:rsid w:val="008F7B22"/>
    <w:rsid w:val="008F7BB0"/>
    <w:rsid w:val="0090025D"/>
    <w:rsid w:val="00900969"/>
    <w:rsid w:val="00900A11"/>
    <w:rsid w:val="00900E36"/>
    <w:rsid w:val="00900E91"/>
    <w:rsid w:val="009019FD"/>
    <w:rsid w:val="00901D6D"/>
    <w:rsid w:val="00901DEB"/>
    <w:rsid w:val="00902566"/>
    <w:rsid w:val="0090263C"/>
    <w:rsid w:val="00902838"/>
    <w:rsid w:val="009028F0"/>
    <w:rsid w:val="00902A82"/>
    <w:rsid w:val="00902C88"/>
    <w:rsid w:val="00903382"/>
    <w:rsid w:val="009036FA"/>
    <w:rsid w:val="00903709"/>
    <w:rsid w:val="00904344"/>
    <w:rsid w:val="009045D0"/>
    <w:rsid w:val="00904754"/>
    <w:rsid w:val="00904A60"/>
    <w:rsid w:val="00904E19"/>
    <w:rsid w:val="009052B4"/>
    <w:rsid w:val="00905365"/>
    <w:rsid w:val="00905D24"/>
    <w:rsid w:val="00905F89"/>
    <w:rsid w:val="0090612A"/>
    <w:rsid w:val="00906640"/>
    <w:rsid w:val="009068CE"/>
    <w:rsid w:val="00906BDB"/>
    <w:rsid w:val="00906FAB"/>
    <w:rsid w:val="00907143"/>
    <w:rsid w:val="00907174"/>
    <w:rsid w:val="00910719"/>
    <w:rsid w:val="0091105F"/>
    <w:rsid w:val="00911097"/>
    <w:rsid w:val="0091114D"/>
    <w:rsid w:val="00911443"/>
    <w:rsid w:val="00911846"/>
    <w:rsid w:val="00911BA1"/>
    <w:rsid w:val="0091213A"/>
    <w:rsid w:val="009129A2"/>
    <w:rsid w:val="00912BFE"/>
    <w:rsid w:val="00912C9B"/>
    <w:rsid w:val="0091304F"/>
    <w:rsid w:val="009135A0"/>
    <w:rsid w:val="009136B9"/>
    <w:rsid w:val="0091381E"/>
    <w:rsid w:val="009138AC"/>
    <w:rsid w:val="00913AC5"/>
    <w:rsid w:val="00913DE6"/>
    <w:rsid w:val="00914042"/>
    <w:rsid w:val="009141B9"/>
    <w:rsid w:val="009142F5"/>
    <w:rsid w:val="0091453D"/>
    <w:rsid w:val="00915E9F"/>
    <w:rsid w:val="00915F83"/>
    <w:rsid w:val="009160D4"/>
    <w:rsid w:val="0091635E"/>
    <w:rsid w:val="0091693E"/>
    <w:rsid w:val="00916A83"/>
    <w:rsid w:val="00916CD7"/>
    <w:rsid w:val="00916F27"/>
    <w:rsid w:val="00916F5A"/>
    <w:rsid w:val="00916F8F"/>
    <w:rsid w:val="0091702E"/>
    <w:rsid w:val="009170E2"/>
    <w:rsid w:val="00917181"/>
    <w:rsid w:val="00917234"/>
    <w:rsid w:val="009173A1"/>
    <w:rsid w:val="0091749F"/>
    <w:rsid w:val="00917592"/>
    <w:rsid w:val="0091782A"/>
    <w:rsid w:val="00917B00"/>
    <w:rsid w:val="009200EE"/>
    <w:rsid w:val="009202F7"/>
    <w:rsid w:val="00920343"/>
    <w:rsid w:val="009203FB"/>
    <w:rsid w:val="009204F5"/>
    <w:rsid w:val="00920756"/>
    <w:rsid w:val="009208BE"/>
    <w:rsid w:val="009208D6"/>
    <w:rsid w:val="0092130B"/>
    <w:rsid w:val="009215F5"/>
    <w:rsid w:val="009223FA"/>
    <w:rsid w:val="009224BA"/>
    <w:rsid w:val="00922573"/>
    <w:rsid w:val="0092261B"/>
    <w:rsid w:val="009229BB"/>
    <w:rsid w:val="009229D3"/>
    <w:rsid w:val="00922B64"/>
    <w:rsid w:val="00922D9B"/>
    <w:rsid w:val="00922F02"/>
    <w:rsid w:val="00922F5D"/>
    <w:rsid w:val="009230DC"/>
    <w:rsid w:val="009235B7"/>
    <w:rsid w:val="00924102"/>
    <w:rsid w:val="00924442"/>
    <w:rsid w:val="00924BDF"/>
    <w:rsid w:val="009250F8"/>
    <w:rsid w:val="009251E7"/>
    <w:rsid w:val="00925725"/>
    <w:rsid w:val="00925C5D"/>
    <w:rsid w:val="00925C69"/>
    <w:rsid w:val="00925E8F"/>
    <w:rsid w:val="00925F21"/>
    <w:rsid w:val="00926499"/>
    <w:rsid w:val="0092654E"/>
    <w:rsid w:val="0092674F"/>
    <w:rsid w:val="0092690A"/>
    <w:rsid w:val="00926946"/>
    <w:rsid w:val="00926995"/>
    <w:rsid w:val="00926BFA"/>
    <w:rsid w:val="0092757B"/>
    <w:rsid w:val="009278FB"/>
    <w:rsid w:val="00927BFD"/>
    <w:rsid w:val="00927D5D"/>
    <w:rsid w:val="0093007E"/>
    <w:rsid w:val="009300E0"/>
    <w:rsid w:val="00930308"/>
    <w:rsid w:val="0093030F"/>
    <w:rsid w:val="009303F8"/>
    <w:rsid w:val="00930427"/>
    <w:rsid w:val="009306B6"/>
    <w:rsid w:val="0093098E"/>
    <w:rsid w:val="0093165B"/>
    <w:rsid w:val="00931972"/>
    <w:rsid w:val="009319DB"/>
    <w:rsid w:val="00931FF3"/>
    <w:rsid w:val="00933061"/>
    <w:rsid w:val="00933B48"/>
    <w:rsid w:val="00933F39"/>
    <w:rsid w:val="00934307"/>
    <w:rsid w:val="00934952"/>
    <w:rsid w:val="00934DDB"/>
    <w:rsid w:val="00934E41"/>
    <w:rsid w:val="00935183"/>
    <w:rsid w:val="0093538B"/>
    <w:rsid w:val="00935887"/>
    <w:rsid w:val="00936192"/>
    <w:rsid w:val="009362ED"/>
    <w:rsid w:val="0093689C"/>
    <w:rsid w:val="00936993"/>
    <w:rsid w:val="00936B12"/>
    <w:rsid w:val="00936B5B"/>
    <w:rsid w:val="00936B6F"/>
    <w:rsid w:val="00936FA5"/>
    <w:rsid w:val="00936FC8"/>
    <w:rsid w:val="00937185"/>
    <w:rsid w:val="00937190"/>
    <w:rsid w:val="009371F1"/>
    <w:rsid w:val="009373C8"/>
    <w:rsid w:val="00937F71"/>
    <w:rsid w:val="0094017A"/>
    <w:rsid w:val="00940447"/>
    <w:rsid w:val="00940464"/>
    <w:rsid w:val="00940515"/>
    <w:rsid w:val="00940B4B"/>
    <w:rsid w:val="00940B78"/>
    <w:rsid w:val="00940B89"/>
    <w:rsid w:val="00940EE8"/>
    <w:rsid w:val="00941256"/>
    <w:rsid w:val="00941300"/>
    <w:rsid w:val="009413C4"/>
    <w:rsid w:val="00941E7E"/>
    <w:rsid w:val="00942080"/>
    <w:rsid w:val="009421FD"/>
    <w:rsid w:val="009422B4"/>
    <w:rsid w:val="00942374"/>
    <w:rsid w:val="009428EF"/>
    <w:rsid w:val="00942BF1"/>
    <w:rsid w:val="00942D33"/>
    <w:rsid w:val="00942DE4"/>
    <w:rsid w:val="00942F03"/>
    <w:rsid w:val="00942F8D"/>
    <w:rsid w:val="00943115"/>
    <w:rsid w:val="00943174"/>
    <w:rsid w:val="009432F0"/>
    <w:rsid w:val="0094356E"/>
    <w:rsid w:val="009436CC"/>
    <w:rsid w:val="009436FD"/>
    <w:rsid w:val="00943709"/>
    <w:rsid w:val="0094392D"/>
    <w:rsid w:val="00943ACE"/>
    <w:rsid w:val="00943C19"/>
    <w:rsid w:val="00943D48"/>
    <w:rsid w:val="00944345"/>
    <w:rsid w:val="00944376"/>
    <w:rsid w:val="009447D2"/>
    <w:rsid w:val="00944938"/>
    <w:rsid w:val="00944D4D"/>
    <w:rsid w:val="009450A3"/>
    <w:rsid w:val="009453D6"/>
    <w:rsid w:val="009454C6"/>
    <w:rsid w:val="0094555D"/>
    <w:rsid w:val="0094562B"/>
    <w:rsid w:val="0094570D"/>
    <w:rsid w:val="0094586A"/>
    <w:rsid w:val="00945BA5"/>
    <w:rsid w:val="00946016"/>
    <w:rsid w:val="00946280"/>
    <w:rsid w:val="009463F9"/>
    <w:rsid w:val="00946852"/>
    <w:rsid w:val="00946872"/>
    <w:rsid w:val="00947285"/>
    <w:rsid w:val="009472DA"/>
    <w:rsid w:val="009473D0"/>
    <w:rsid w:val="00947564"/>
    <w:rsid w:val="0094791A"/>
    <w:rsid w:val="00947BC1"/>
    <w:rsid w:val="00947F07"/>
    <w:rsid w:val="00947FBD"/>
    <w:rsid w:val="0095019F"/>
    <w:rsid w:val="0095023E"/>
    <w:rsid w:val="00950AAC"/>
    <w:rsid w:val="00950DA5"/>
    <w:rsid w:val="00950F39"/>
    <w:rsid w:val="009511E4"/>
    <w:rsid w:val="0095193F"/>
    <w:rsid w:val="009519B8"/>
    <w:rsid w:val="009523B0"/>
    <w:rsid w:val="00952411"/>
    <w:rsid w:val="00952A5F"/>
    <w:rsid w:val="00952AC5"/>
    <w:rsid w:val="00952E90"/>
    <w:rsid w:val="00952FA0"/>
    <w:rsid w:val="009531CD"/>
    <w:rsid w:val="00953588"/>
    <w:rsid w:val="00953604"/>
    <w:rsid w:val="00953758"/>
    <w:rsid w:val="009537CA"/>
    <w:rsid w:val="0095385F"/>
    <w:rsid w:val="00953E78"/>
    <w:rsid w:val="0095430D"/>
    <w:rsid w:val="009549BD"/>
    <w:rsid w:val="00954A34"/>
    <w:rsid w:val="00954AC7"/>
    <w:rsid w:val="00954D17"/>
    <w:rsid w:val="009551D7"/>
    <w:rsid w:val="00955520"/>
    <w:rsid w:val="009559AD"/>
    <w:rsid w:val="00955DD6"/>
    <w:rsid w:val="00955E04"/>
    <w:rsid w:val="00956043"/>
    <w:rsid w:val="0095648D"/>
    <w:rsid w:val="009569FD"/>
    <w:rsid w:val="00956A76"/>
    <w:rsid w:val="0095788B"/>
    <w:rsid w:val="00957B1E"/>
    <w:rsid w:val="00957E2A"/>
    <w:rsid w:val="00957F25"/>
    <w:rsid w:val="009602F8"/>
    <w:rsid w:val="00960988"/>
    <w:rsid w:val="00960B44"/>
    <w:rsid w:val="0096105F"/>
    <w:rsid w:val="009611C1"/>
    <w:rsid w:val="00961C7C"/>
    <w:rsid w:val="00961E44"/>
    <w:rsid w:val="00961F3E"/>
    <w:rsid w:val="009628E4"/>
    <w:rsid w:val="009629D2"/>
    <w:rsid w:val="00962DD9"/>
    <w:rsid w:val="009631BE"/>
    <w:rsid w:val="00963D43"/>
    <w:rsid w:val="00963F1F"/>
    <w:rsid w:val="00963F6E"/>
    <w:rsid w:val="00963F92"/>
    <w:rsid w:val="00964173"/>
    <w:rsid w:val="009644FE"/>
    <w:rsid w:val="00964BF0"/>
    <w:rsid w:val="00964F21"/>
    <w:rsid w:val="00965003"/>
    <w:rsid w:val="0096501D"/>
    <w:rsid w:val="0096598E"/>
    <w:rsid w:val="00965A8D"/>
    <w:rsid w:val="0096607B"/>
    <w:rsid w:val="009663B1"/>
    <w:rsid w:val="009663E2"/>
    <w:rsid w:val="00966C37"/>
    <w:rsid w:val="00967141"/>
    <w:rsid w:val="00967186"/>
    <w:rsid w:val="00967447"/>
    <w:rsid w:val="009674F1"/>
    <w:rsid w:val="0096764D"/>
    <w:rsid w:val="0096785C"/>
    <w:rsid w:val="00967ADD"/>
    <w:rsid w:val="00967B11"/>
    <w:rsid w:val="00967B37"/>
    <w:rsid w:val="00967D7C"/>
    <w:rsid w:val="00967F65"/>
    <w:rsid w:val="00970025"/>
    <w:rsid w:val="0097035F"/>
    <w:rsid w:val="009703A3"/>
    <w:rsid w:val="00970A1A"/>
    <w:rsid w:val="00970C34"/>
    <w:rsid w:val="00970E41"/>
    <w:rsid w:val="00971082"/>
    <w:rsid w:val="00971224"/>
    <w:rsid w:val="00971343"/>
    <w:rsid w:val="0097197B"/>
    <w:rsid w:val="00971A91"/>
    <w:rsid w:val="00971F00"/>
    <w:rsid w:val="0097245F"/>
    <w:rsid w:val="00972504"/>
    <w:rsid w:val="009729B8"/>
    <w:rsid w:val="00972A4C"/>
    <w:rsid w:val="00972ACC"/>
    <w:rsid w:val="00972BAD"/>
    <w:rsid w:val="00972D27"/>
    <w:rsid w:val="0097300C"/>
    <w:rsid w:val="00973224"/>
    <w:rsid w:val="009734AD"/>
    <w:rsid w:val="00973C75"/>
    <w:rsid w:val="00974A62"/>
    <w:rsid w:val="00974B64"/>
    <w:rsid w:val="00974D0E"/>
    <w:rsid w:val="00974E2E"/>
    <w:rsid w:val="0097546C"/>
    <w:rsid w:val="00975A3A"/>
    <w:rsid w:val="009769E9"/>
    <w:rsid w:val="00976BC0"/>
    <w:rsid w:val="00976D49"/>
    <w:rsid w:val="009770A9"/>
    <w:rsid w:val="00977500"/>
    <w:rsid w:val="009779D4"/>
    <w:rsid w:val="00977C3E"/>
    <w:rsid w:val="00977CF0"/>
    <w:rsid w:val="00977DA1"/>
    <w:rsid w:val="009802CB"/>
    <w:rsid w:val="00980440"/>
    <w:rsid w:val="00980AE8"/>
    <w:rsid w:val="00980B82"/>
    <w:rsid w:val="00980CCB"/>
    <w:rsid w:val="009812B2"/>
    <w:rsid w:val="0098137E"/>
    <w:rsid w:val="00981406"/>
    <w:rsid w:val="00981431"/>
    <w:rsid w:val="00981ED0"/>
    <w:rsid w:val="00983B27"/>
    <w:rsid w:val="00984506"/>
    <w:rsid w:val="0098493D"/>
    <w:rsid w:val="00984AE0"/>
    <w:rsid w:val="00984DBF"/>
    <w:rsid w:val="009850C0"/>
    <w:rsid w:val="00985165"/>
    <w:rsid w:val="009857EB"/>
    <w:rsid w:val="009857F3"/>
    <w:rsid w:val="0098588F"/>
    <w:rsid w:val="009860F0"/>
    <w:rsid w:val="009862B7"/>
    <w:rsid w:val="00986434"/>
    <w:rsid w:val="00986716"/>
    <w:rsid w:val="009868F9"/>
    <w:rsid w:val="00986963"/>
    <w:rsid w:val="00986BB7"/>
    <w:rsid w:val="00986ECA"/>
    <w:rsid w:val="00986FFA"/>
    <w:rsid w:val="009873F9"/>
    <w:rsid w:val="0098742D"/>
    <w:rsid w:val="009875F9"/>
    <w:rsid w:val="00987911"/>
    <w:rsid w:val="00990107"/>
    <w:rsid w:val="0099065A"/>
    <w:rsid w:val="00990871"/>
    <w:rsid w:val="00990A5B"/>
    <w:rsid w:val="00991480"/>
    <w:rsid w:val="00991962"/>
    <w:rsid w:val="00991E57"/>
    <w:rsid w:val="00992356"/>
    <w:rsid w:val="009923B1"/>
    <w:rsid w:val="00992623"/>
    <w:rsid w:val="009928FF"/>
    <w:rsid w:val="009929B7"/>
    <w:rsid w:val="00992A33"/>
    <w:rsid w:val="00992A61"/>
    <w:rsid w:val="00992BA2"/>
    <w:rsid w:val="00992C1B"/>
    <w:rsid w:val="0099300D"/>
    <w:rsid w:val="00993B80"/>
    <w:rsid w:val="00993D79"/>
    <w:rsid w:val="00993D97"/>
    <w:rsid w:val="00993DBA"/>
    <w:rsid w:val="009940E6"/>
    <w:rsid w:val="009944F0"/>
    <w:rsid w:val="009948B1"/>
    <w:rsid w:val="00994B0E"/>
    <w:rsid w:val="00994B2A"/>
    <w:rsid w:val="00995457"/>
    <w:rsid w:val="009954A8"/>
    <w:rsid w:val="00995888"/>
    <w:rsid w:val="00995A91"/>
    <w:rsid w:val="00995B5F"/>
    <w:rsid w:val="009961DF"/>
    <w:rsid w:val="009963B0"/>
    <w:rsid w:val="00996752"/>
    <w:rsid w:val="00996AD2"/>
    <w:rsid w:val="00996B22"/>
    <w:rsid w:val="0099712B"/>
    <w:rsid w:val="009971DB"/>
    <w:rsid w:val="009972DD"/>
    <w:rsid w:val="00997340"/>
    <w:rsid w:val="0099765C"/>
    <w:rsid w:val="009A058C"/>
    <w:rsid w:val="009A0653"/>
    <w:rsid w:val="009A08E8"/>
    <w:rsid w:val="009A17A6"/>
    <w:rsid w:val="009A184A"/>
    <w:rsid w:val="009A1E76"/>
    <w:rsid w:val="009A22B3"/>
    <w:rsid w:val="009A2B16"/>
    <w:rsid w:val="009A2C2B"/>
    <w:rsid w:val="009A309B"/>
    <w:rsid w:val="009A33BA"/>
    <w:rsid w:val="009A352D"/>
    <w:rsid w:val="009A35DB"/>
    <w:rsid w:val="009A3A93"/>
    <w:rsid w:val="009A3E80"/>
    <w:rsid w:val="009A5BAF"/>
    <w:rsid w:val="009A5DDC"/>
    <w:rsid w:val="009A5F21"/>
    <w:rsid w:val="009A5F7A"/>
    <w:rsid w:val="009A6342"/>
    <w:rsid w:val="009A6750"/>
    <w:rsid w:val="009A6762"/>
    <w:rsid w:val="009A67DE"/>
    <w:rsid w:val="009A690B"/>
    <w:rsid w:val="009A6AC1"/>
    <w:rsid w:val="009A6B7D"/>
    <w:rsid w:val="009A6B80"/>
    <w:rsid w:val="009A6D75"/>
    <w:rsid w:val="009A7300"/>
    <w:rsid w:val="009A743F"/>
    <w:rsid w:val="009A7583"/>
    <w:rsid w:val="009A7D45"/>
    <w:rsid w:val="009B05AD"/>
    <w:rsid w:val="009B0D07"/>
    <w:rsid w:val="009B0FAE"/>
    <w:rsid w:val="009B1276"/>
    <w:rsid w:val="009B1913"/>
    <w:rsid w:val="009B1B1F"/>
    <w:rsid w:val="009B1B22"/>
    <w:rsid w:val="009B20A1"/>
    <w:rsid w:val="009B2323"/>
    <w:rsid w:val="009B2722"/>
    <w:rsid w:val="009B2B1A"/>
    <w:rsid w:val="009B2D36"/>
    <w:rsid w:val="009B3363"/>
    <w:rsid w:val="009B3384"/>
    <w:rsid w:val="009B3402"/>
    <w:rsid w:val="009B3A45"/>
    <w:rsid w:val="009B43AF"/>
    <w:rsid w:val="009B44E1"/>
    <w:rsid w:val="009B469D"/>
    <w:rsid w:val="009B4838"/>
    <w:rsid w:val="009B4ED0"/>
    <w:rsid w:val="009B50D2"/>
    <w:rsid w:val="009B56F1"/>
    <w:rsid w:val="009B574D"/>
    <w:rsid w:val="009B5836"/>
    <w:rsid w:val="009B5B38"/>
    <w:rsid w:val="009B5DF1"/>
    <w:rsid w:val="009B5E87"/>
    <w:rsid w:val="009B603C"/>
    <w:rsid w:val="009B6110"/>
    <w:rsid w:val="009B623D"/>
    <w:rsid w:val="009B6241"/>
    <w:rsid w:val="009B656D"/>
    <w:rsid w:val="009B6675"/>
    <w:rsid w:val="009B68F6"/>
    <w:rsid w:val="009B6A69"/>
    <w:rsid w:val="009B6EE5"/>
    <w:rsid w:val="009B725B"/>
    <w:rsid w:val="009B73CE"/>
    <w:rsid w:val="009B76F3"/>
    <w:rsid w:val="009B7716"/>
    <w:rsid w:val="009B77C6"/>
    <w:rsid w:val="009B7864"/>
    <w:rsid w:val="009B78EB"/>
    <w:rsid w:val="009B7902"/>
    <w:rsid w:val="009B7E32"/>
    <w:rsid w:val="009B7F3F"/>
    <w:rsid w:val="009C01F6"/>
    <w:rsid w:val="009C05AA"/>
    <w:rsid w:val="009C06D0"/>
    <w:rsid w:val="009C0767"/>
    <w:rsid w:val="009C0A13"/>
    <w:rsid w:val="009C0B55"/>
    <w:rsid w:val="009C0C62"/>
    <w:rsid w:val="009C0E45"/>
    <w:rsid w:val="009C0F86"/>
    <w:rsid w:val="009C1028"/>
    <w:rsid w:val="009C1460"/>
    <w:rsid w:val="009C16A0"/>
    <w:rsid w:val="009C1816"/>
    <w:rsid w:val="009C1AB3"/>
    <w:rsid w:val="009C1DCB"/>
    <w:rsid w:val="009C1F36"/>
    <w:rsid w:val="009C207D"/>
    <w:rsid w:val="009C2A7C"/>
    <w:rsid w:val="009C2BDC"/>
    <w:rsid w:val="009C2C4F"/>
    <w:rsid w:val="009C2C77"/>
    <w:rsid w:val="009C2CD9"/>
    <w:rsid w:val="009C31A2"/>
    <w:rsid w:val="009C33EF"/>
    <w:rsid w:val="009C3416"/>
    <w:rsid w:val="009C356E"/>
    <w:rsid w:val="009C36D4"/>
    <w:rsid w:val="009C3DF4"/>
    <w:rsid w:val="009C3E7A"/>
    <w:rsid w:val="009C4385"/>
    <w:rsid w:val="009C47B6"/>
    <w:rsid w:val="009C48AA"/>
    <w:rsid w:val="009C5466"/>
    <w:rsid w:val="009C54E5"/>
    <w:rsid w:val="009C5609"/>
    <w:rsid w:val="009C58EB"/>
    <w:rsid w:val="009C5B01"/>
    <w:rsid w:val="009C5B0B"/>
    <w:rsid w:val="009C5D2F"/>
    <w:rsid w:val="009C5D33"/>
    <w:rsid w:val="009C5F2C"/>
    <w:rsid w:val="009C60C5"/>
    <w:rsid w:val="009C60F6"/>
    <w:rsid w:val="009C6445"/>
    <w:rsid w:val="009C68D4"/>
    <w:rsid w:val="009C6922"/>
    <w:rsid w:val="009C695B"/>
    <w:rsid w:val="009C6A26"/>
    <w:rsid w:val="009C6C99"/>
    <w:rsid w:val="009C7060"/>
    <w:rsid w:val="009C735B"/>
    <w:rsid w:val="009C770B"/>
    <w:rsid w:val="009C7895"/>
    <w:rsid w:val="009C7B7E"/>
    <w:rsid w:val="009C7B87"/>
    <w:rsid w:val="009D033A"/>
    <w:rsid w:val="009D03DA"/>
    <w:rsid w:val="009D03E0"/>
    <w:rsid w:val="009D129D"/>
    <w:rsid w:val="009D167F"/>
    <w:rsid w:val="009D17A5"/>
    <w:rsid w:val="009D1A37"/>
    <w:rsid w:val="009D1AAB"/>
    <w:rsid w:val="009D21BE"/>
    <w:rsid w:val="009D2A06"/>
    <w:rsid w:val="009D2EBA"/>
    <w:rsid w:val="009D3679"/>
    <w:rsid w:val="009D3799"/>
    <w:rsid w:val="009D3B30"/>
    <w:rsid w:val="009D3B99"/>
    <w:rsid w:val="009D3BC6"/>
    <w:rsid w:val="009D47D1"/>
    <w:rsid w:val="009D488F"/>
    <w:rsid w:val="009D4B5D"/>
    <w:rsid w:val="009D5082"/>
    <w:rsid w:val="009D528C"/>
    <w:rsid w:val="009D56D9"/>
    <w:rsid w:val="009D5D1F"/>
    <w:rsid w:val="009D5FA2"/>
    <w:rsid w:val="009D5FCC"/>
    <w:rsid w:val="009D6075"/>
    <w:rsid w:val="009D6BCB"/>
    <w:rsid w:val="009D701D"/>
    <w:rsid w:val="009D79E8"/>
    <w:rsid w:val="009D7D91"/>
    <w:rsid w:val="009D7F60"/>
    <w:rsid w:val="009E05D8"/>
    <w:rsid w:val="009E07F3"/>
    <w:rsid w:val="009E09E8"/>
    <w:rsid w:val="009E0B36"/>
    <w:rsid w:val="009E0D37"/>
    <w:rsid w:val="009E1077"/>
    <w:rsid w:val="009E1139"/>
    <w:rsid w:val="009E124D"/>
    <w:rsid w:val="009E14DC"/>
    <w:rsid w:val="009E187D"/>
    <w:rsid w:val="009E19BE"/>
    <w:rsid w:val="009E1A3F"/>
    <w:rsid w:val="009E1BF5"/>
    <w:rsid w:val="009E1C7F"/>
    <w:rsid w:val="009E1D51"/>
    <w:rsid w:val="009E1E51"/>
    <w:rsid w:val="009E1F59"/>
    <w:rsid w:val="009E288D"/>
    <w:rsid w:val="009E3064"/>
    <w:rsid w:val="009E30A6"/>
    <w:rsid w:val="009E322A"/>
    <w:rsid w:val="009E32DA"/>
    <w:rsid w:val="009E3338"/>
    <w:rsid w:val="009E399E"/>
    <w:rsid w:val="009E39BD"/>
    <w:rsid w:val="009E3B04"/>
    <w:rsid w:val="009E3EEF"/>
    <w:rsid w:val="009E3F3A"/>
    <w:rsid w:val="009E4649"/>
    <w:rsid w:val="009E49FA"/>
    <w:rsid w:val="009E4BD5"/>
    <w:rsid w:val="009E5BB4"/>
    <w:rsid w:val="009E5D24"/>
    <w:rsid w:val="009E5E78"/>
    <w:rsid w:val="009E5FAD"/>
    <w:rsid w:val="009E5FC1"/>
    <w:rsid w:val="009E607B"/>
    <w:rsid w:val="009E6184"/>
    <w:rsid w:val="009E6221"/>
    <w:rsid w:val="009E637A"/>
    <w:rsid w:val="009E65BE"/>
    <w:rsid w:val="009E6704"/>
    <w:rsid w:val="009E6863"/>
    <w:rsid w:val="009E68AB"/>
    <w:rsid w:val="009E6B55"/>
    <w:rsid w:val="009E742E"/>
    <w:rsid w:val="009E7819"/>
    <w:rsid w:val="009E7AD7"/>
    <w:rsid w:val="009E7F56"/>
    <w:rsid w:val="009F0361"/>
    <w:rsid w:val="009F0B88"/>
    <w:rsid w:val="009F0CCA"/>
    <w:rsid w:val="009F1083"/>
    <w:rsid w:val="009F1171"/>
    <w:rsid w:val="009F166D"/>
    <w:rsid w:val="009F183A"/>
    <w:rsid w:val="009F1933"/>
    <w:rsid w:val="009F1D55"/>
    <w:rsid w:val="009F2DD4"/>
    <w:rsid w:val="009F30BB"/>
    <w:rsid w:val="009F30F6"/>
    <w:rsid w:val="009F32EF"/>
    <w:rsid w:val="009F33CF"/>
    <w:rsid w:val="009F357C"/>
    <w:rsid w:val="009F3797"/>
    <w:rsid w:val="009F3F62"/>
    <w:rsid w:val="009F4113"/>
    <w:rsid w:val="009F4787"/>
    <w:rsid w:val="009F4B39"/>
    <w:rsid w:val="009F4D17"/>
    <w:rsid w:val="009F5553"/>
    <w:rsid w:val="009F5D43"/>
    <w:rsid w:val="009F5E43"/>
    <w:rsid w:val="009F623F"/>
    <w:rsid w:val="009F62EA"/>
    <w:rsid w:val="009F64F6"/>
    <w:rsid w:val="009F6FF7"/>
    <w:rsid w:val="009F7105"/>
    <w:rsid w:val="009F73A7"/>
    <w:rsid w:val="009F75E6"/>
    <w:rsid w:val="009F77CC"/>
    <w:rsid w:val="009F7B9F"/>
    <w:rsid w:val="009F7DE2"/>
    <w:rsid w:val="00A0013A"/>
    <w:rsid w:val="00A00AD5"/>
    <w:rsid w:val="00A00CA5"/>
    <w:rsid w:val="00A00CF1"/>
    <w:rsid w:val="00A010ED"/>
    <w:rsid w:val="00A01283"/>
    <w:rsid w:val="00A0158D"/>
    <w:rsid w:val="00A0191E"/>
    <w:rsid w:val="00A01A69"/>
    <w:rsid w:val="00A01D9A"/>
    <w:rsid w:val="00A02161"/>
    <w:rsid w:val="00A0266D"/>
    <w:rsid w:val="00A03062"/>
    <w:rsid w:val="00A03134"/>
    <w:rsid w:val="00A035FE"/>
    <w:rsid w:val="00A0369E"/>
    <w:rsid w:val="00A04006"/>
    <w:rsid w:val="00A0421B"/>
    <w:rsid w:val="00A045F1"/>
    <w:rsid w:val="00A04B86"/>
    <w:rsid w:val="00A04C4D"/>
    <w:rsid w:val="00A04E76"/>
    <w:rsid w:val="00A05234"/>
    <w:rsid w:val="00A05A69"/>
    <w:rsid w:val="00A05C55"/>
    <w:rsid w:val="00A0600A"/>
    <w:rsid w:val="00A065DC"/>
    <w:rsid w:val="00A06616"/>
    <w:rsid w:val="00A06943"/>
    <w:rsid w:val="00A06A0F"/>
    <w:rsid w:val="00A07375"/>
    <w:rsid w:val="00A0739B"/>
    <w:rsid w:val="00A075D8"/>
    <w:rsid w:val="00A07619"/>
    <w:rsid w:val="00A0770D"/>
    <w:rsid w:val="00A078CB"/>
    <w:rsid w:val="00A078D5"/>
    <w:rsid w:val="00A07E1F"/>
    <w:rsid w:val="00A101BB"/>
    <w:rsid w:val="00A102FB"/>
    <w:rsid w:val="00A106D9"/>
    <w:rsid w:val="00A106ED"/>
    <w:rsid w:val="00A10843"/>
    <w:rsid w:val="00A10CD7"/>
    <w:rsid w:val="00A10E3E"/>
    <w:rsid w:val="00A10ED1"/>
    <w:rsid w:val="00A10FCF"/>
    <w:rsid w:val="00A11747"/>
    <w:rsid w:val="00A119BF"/>
    <w:rsid w:val="00A11E2F"/>
    <w:rsid w:val="00A11F49"/>
    <w:rsid w:val="00A11FD7"/>
    <w:rsid w:val="00A125FB"/>
    <w:rsid w:val="00A12841"/>
    <w:rsid w:val="00A128EB"/>
    <w:rsid w:val="00A12DB1"/>
    <w:rsid w:val="00A12DFB"/>
    <w:rsid w:val="00A13AF1"/>
    <w:rsid w:val="00A13C62"/>
    <w:rsid w:val="00A13E46"/>
    <w:rsid w:val="00A1418A"/>
    <w:rsid w:val="00A141FD"/>
    <w:rsid w:val="00A14299"/>
    <w:rsid w:val="00A14F7C"/>
    <w:rsid w:val="00A1500B"/>
    <w:rsid w:val="00A151CF"/>
    <w:rsid w:val="00A1530D"/>
    <w:rsid w:val="00A1555D"/>
    <w:rsid w:val="00A156F8"/>
    <w:rsid w:val="00A15970"/>
    <w:rsid w:val="00A15A66"/>
    <w:rsid w:val="00A15F7D"/>
    <w:rsid w:val="00A16068"/>
    <w:rsid w:val="00A16315"/>
    <w:rsid w:val="00A169C3"/>
    <w:rsid w:val="00A16AA9"/>
    <w:rsid w:val="00A171FB"/>
    <w:rsid w:val="00A17359"/>
    <w:rsid w:val="00A173B6"/>
    <w:rsid w:val="00A17515"/>
    <w:rsid w:val="00A177D3"/>
    <w:rsid w:val="00A1785C"/>
    <w:rsid w:val="00A17AF8"/>
    <w:rsid w:val="00A17D9A"/>
    <w:rsid w:val="00A17FB2"/>
    <w:rsid w:val="00A20087"/>
    <w:rsid w:val="00A2035D"/>
    <w:rsid w:val="00A205B2"/>
    <w:rsid w:val="00A2089A"/>
    <w:rsid w:val="00A20AC5"/>
    <w:rsid w:val="00A20F46"/>
    <w:rsid w:val="00A20F92"/>
    <w:rsid w:val="00A21241"/>
    <w:rsid w:val="00A214E2"/>
    <w:rsid w:val="00A21A8A"/>
    <w:rsid w:val="00A21D3D"/>
    <w:rsid w:val="00A21FC3"/>
    <w:rsid w:val="00A22BF9"/>
    <w:rsid w:val="00A22D72"/>
    <w:rsid w:val="00A230E5"/>
    <w:rsid w:val="00A23193"/>
    <w:rsid w:val="00A232E6"/>
    <w:rsid w:val="00A242EA"/>
    <w:rsid w:val="00A243C1"/>
    <w:rsid w:val="00A244A4"/>
    <w:rsid w:val="00A248AC"/>
    <w:rsid w:val="00A24B2F"/>
    <w:rsid w:val="00A24D8A"/>
    <w:rsid w:val="00A2512E"/>
    <w:rsid w:val="00A256BD"/>
    <w:rsid w:val="00A25737"/>
    <w:rsid w:val="00A25961"/>
    <w:rsid w:val="00A25ED4"/>
    <w:rsid w:val="00A26126"/>
    <w:rsid w:val="00A26292"/>
    <w:rsid w:val="00A26300"/>
    <w:rsid w:val="00A264B2"/>
    <w:rsid w:val="00A26A3F"/>
    <w:rsid w:val="00A274FB"/>
    <w:rsid w:val="00A2752E"/>
    <w:rsid w:val="00A27B7A"/>
    <w:rsid w:val="00A27CAF"/>
    <w:rsid w:val="00A30676"/>
    <w:rsid w:val="00A3075B"/>
    <w:rsid w:val="00A30C35"/>
    <w:rsid w:val="00A3123E"/>
    <w:rsid w:val="00A313C8"/>
    <w:rsid w:val="00A316FA"/>
    <w:rsid w:val="00A31CA3"/>
    <w:rsid w:val="00A32338"/>
    <w:rsid w:val="00A32438"/>
    <w:rsid w:val="00A325CA"/>
    <w:rsid w:val="00A3269E"/>
    <w:rsid w:val="00A32875"/>
    <w:rsid w:val="00A32A29"/>
    <w:rsid w:val="00A32AC1"/>
    <w:rsid w:val="00A32BAF"/>
    <w:rsid w:val="00A32CFB"/>
    <w:rsid w:val="00A32D7B"/>
    <w:rsid w:val="00A32FE9"/>
    <w:rsid w:val="00A33055"/>
    <w:rsid w:val="00A333ED"/>
    <w:rsid w:val="00A334B6"/>
    <w:rsid w:val="00A335B4"/>
    <w:rsid w:val="00A33A55"/>
    <w:rsid w:val="00A34503"/>
    <w:rsid w:val="00A3495A"/>
    <w:rsid w:val="00A34CD3"/>
    <w:rsid w:val="00A34E24"/>
    <w:rsid w:val="00A3557E"/>
    <w:rsid w:val="00A35624"/>
    <w:rsid w:val="00A356D6"/>
    <w:rsid w:val="00A356EF"/>
    <w:rsid w:val="00A35741"/>
    <w:rsid w:val="00A35743"/>
    <w:rsid w:val="00A35DFD"/>
    <w:rsid w:val="00A35E39"/>
    <w:rsid w:val="00A35E81"/>
    <w:rsid w:val="00A367C5"/>
    <w:rsid w:val="00A368EC"/>
    <w:rsid w:val="00A3709E"/>
    <w:rsid w:val="00A375B8"/>
    <w:rsid w:val="00A377D2"/>
    <w:rsid w:val="00A377DB"/>
    <w:rsid w:val="00A37832"/>
    <w:rsid w:val="00A37E81"/>
    <w:rsid w:val="00A40040"/>
    <w:rsid w:val="00A40551"/>
    <w:rsid w:val="00A4074B"/>
    <w:rsid w:val="00A409E0"/>
    <w:rsid w:val="00A41260"/>
    <w:rsid w:val="00A41BC6"/>
    <w:rsid w:val="00A420E5"/>
    <w:rsid w:val="00A42621"/>
    <w:rsid w:val="00A42839"/>
    <w:rsid w:val="00A4286B"/>
    <w:rsid w:val="00A42A3A"/>
    <w:rsid w:val="00A42A93"/>
    <w:rsid w:val="00A430A7"/>
    <w:rsid w:val="00A43114"/>
    <w:rsid w:val="00A4385B"/>
    <w:rsid w:val="00A4392A"/>
    <w:rsid w:val="00A43E45"/>
    <w:rsid w:val="00A447AB"/>
    <w:rsid w:val="00A44A94"/>
    <w:rsid w:val="00A44E93"/>
    <w:rsid w:val="00A44EE7"/>
    <w:rsid w:val="00A45888"/>
    <w:rsid w:val="00A46090"/>
    <w:rsid w:val="00A461E5"/>
    <w:rsid w:val="00A4646C"/>
    <w:rsid w:val="00A46615"/>
    <w:rsid w:val="00A4687F"/>
    <w:rsid w:val="00A46ADE"/>
    <w:rsid w:val="00A46B92"/>
    <w:rsid w:val="00A46DBF"/>
    <w:rsid w:val="00A4731D"/>
    <w:rsid w:val="00A4758E"/>
    <w:rsid w:val="00A47816"/>
    <w:rsid w:val="00A478C3"/>
    <w:rsid w:val="00A47B1E"/>
    <w:rsid w:val="00A47C21"/>
    <w:rsid w:val="00A47D27"/>
    <w:rsid w:val="00A500C2"/>
    <w:rsid w:val="00A50204"/>
    <w:rsid w:val="00A506E8"/>
    <w:rsid w:val="00A50736"/>
    <w:rsid w:val="00A5096C"/>
    <w:rsid w:val="00A50D0F"/>
    <w:rsid w:val="00A50DFD"/>
    <w:rsid w:val="00A51037"/>
    <w:rsid w:val="00A510C1"/>
    <w:rsid w:val="00A51220"/>
    <w:rsid w:val="00A51272"/>
    <w:rsid w:val="00A51A59"/>
    <w:rsid w:val="00A51C60"/>
    <w:rsid w:val="00A51DD7"/>
    <w:rsid w:val="00A51E1B"/>
    <w:rsid w:val="00A52013"/>
    <w:rsid w:val="00A520F0"/>
    <w:rsid w:val="00A52118"/>
    <w:rsid w:val="00A52358"/>
    <w:rsid w:val="00A526C6"/>
    <w:rsid w:val="00A526E0"/>
    <w:rsid w:val="00A52E63"/>
    <w:rsid w:val="00A52FC4"/>
    <w:rsid w:val="00A53267"/>
    <w:rsid w:val="00A534D5"/>
    <w:rsid w:val="00A5391B"/>
    <w:rsid w:val="00A53BCC"/>
    <w:rsid w:val="00A54C9F"/>
    <w:rsid w:val="00A55002"/>
    <w:rsid w:val="00A5534C"/>
    <w:rsid w:val="00A559BE"/>
    <w:rsid w:val="00A56591"/>
    <w:rsid w:val="00A5679A"/>
    <w:rsid w:val="00A56B0A"/>
    <w:rsid w:val="00A56EE6"/>
    <w:rsid w:val="00A570F8"/>
    <w:rsid w:val="00A57524"/>
    <w:rsid w:val="00A57821"/>
    <w:rsid w:val="00A57E4B"/>
    <w:rsid w:val="00A600C0"/>
    <w:rsid w:val="00A600E2"/>
    <w:rsid w:val="00A60337"/>
    <w:rsid w:val="00A60456"/>
    <w:rsid w:val="00A606C3"/>
    <w:rsid w:val="00A607CB"/>
    <w:rsid w:val="00A60A2B"/>
    <w:rsid w:val="00A60AFC"/>
    <w:rsid w:val="00A60D4D"/>
    <w:rsid w:val="00A6181D"/>
    <w:rsid w:val="00A61B6D"/>
    <w:rsid w:val="00A61D2B"/>
    <w:rsid w:val="00A62319"/>
    <w:rsid w:val="00A62847"/>
    <w:rsid w:val="00A62FB9"/>
    <w:rsid w:val="00A6342F"/>
    <w:rsid w:val="00A63B22"/>
    <w:rsid w:val="00A63F10"/>
    <w:rsid w:val="00A6437B"/>
    <w:rsid w:val="00A64E0D"/>
    <w:rsid w:val="00A64F1C"/>
    <w:rsid w:val="00A653A2"/>
    <w:rsid w:val="00A6549D"/>
    <w:rsid w:val="00A65848"/>
    <w:rsid w:val="00A65B4A"/>
    <w:rsid w:val="00A66973"/>
    <w:rsid w:val="00A66DBA"/>
    <w:rsid w:val="00A6728A"/>
    <w:rsid w:val="00A67A24"/>
    <w:rsid w:val="00A67EF2"/>
    <w:rsid w:val="00A7026F"/>
    <w:rsid w:val="00A702F0"/>
    <w:rsid w:val="00A706C7"/>
    <w:rsid w:val="00A707C4"/>
    <w:rsid w:val="00A70899"/>
    <w:rsid w:val="00A712C3"/>
    <w:rsid w:val="00A71934"/>
    <w:rsid w:val="00A71951"/>
    <w:rsid w:val="00A71A8D"/>
    <w:rsid w:val="00A7208E"/>
    <w:rsid w:val="00A72690"/>
    <w:rsid w:val="00A726DA"/>
    <w:rsid w:val="00A72745"/>
    <w:rsid w:val="00A7298A"/>
    <w:rsid w:val="00A72E39"/>
    <w:rsid w:val="00A72EC8"/>
    <w:rsid w:val="00A72F15"/>
    <w:rsid w:val="00A732CF"/>
    <w:rsid w:val="00A73589"/>
    <w:rsid w:val="00A7373C"/>
    <w:rsid w:val="00A73887"/>
    <w:rsid w:val="00A73937"/>
    <w:rsid w:val="00A73950"/>
    <w:rsid w:val="00A744A2"/>
    <w:rsid w:val="00A74640"/>
    <w:rsid w:val="00A74B12"/>
    <w:rsid w:val="00A74B83"/>
    <w:rsid w:val="00A74BEB"/>
    <w:rsid w:val="00A74F68"/>
    <w:rsid w:val="00A752BD"/>
    <w:rsid w:val="00A756B9"/>
    <w:rsid w:val="00A758AC"/>
    <w:rsid w:val="00A7594C"/>
    <w:rsid w:val="00A75A34"/>
    <w:rsid w:val="00A76025"/>
    <w:rsid w:val="00A7607A"/>
    <w:rsid w:val="00A768AF"/>
    <w:rsid w:val="00A76A5B"/>
    <w:rsid w:val="00A76CE2"/>
    <w:rsid w:val="00A76E7B"/>
    <w:rsid w:val="00A771CF"/>
    <w:rsid w:val="00A7731B"/>
    <w:rsid w:val="00A77762"/>
    <w:rsid w:val="00A778BA"/>
    <w:rsid w:val="00A77D77"/>
    <w:rsid w:val="00A77D83"/>
    <w:rsid w:val="00A77FB0"/>
    <w:rsid w:val="00A801ED"/>
    <w:rsid w:val="00A80325"/>
    <w:rsid w:val="00A80D71"/>
    <w:rsid w:val="00A80E5B"/>
    <w:rsid w:val="00A8187F"/>
    <w:rsid w:val="00A81E41"/>
    <w:rsid w:val="00A82014"/>
    <w:rsid w:val="00A825C1"/>
    <w:rsid w:val="00A827A6"/>
    <w:rsid w:val="00A827AA"/>
    <w:rsid w:val="00A82AF9"/>
    <w:rsid w:val="00A82B0C"/>
    <w:rsid w:val="00A82B9F"/>
    <w:rsid w:val="00A82ED7"/>
    <w:rsid w:val="00A8323C"/>
    <w:rsid w:val="00A83659"/>
    <w:rsid w:val="00A837C5"/>
    <w:rsid w:val="00A83839"/>
    <w:rsid w:val="00A83B7A"/>
    <w:rsid w:val="00A83B97"/>
    <w:rsid w:val="00A83F4A"/>
    <w:rsid w:val="00A84001"/>
    <w:rsid w:val="00A84207"/>
    <w:rsid w:val="00A849EF"/>
    <w:rsid w:val="00A84DED"/>
    <w:rsid w:val="00A854DC"/>
    <w:rsid w:val="00A8556F"/>
    <w:rsid w:val="00A855E3"/>
    <w:rsid w:val="00A856B2"/>
    <w:rsid w:val="00A856FB"/>
    <w:rsid w:val="00A85A2E"/>
    <w:rsid w:val="00A85D69"/>
    <w:rsid w:val="00A85EED"/>
    <w:rsid w:val="00A85F50"/>
    <w:rsid w:val="00A861A7"/>
    <w:rsid w:val="00A86531"/>
    <w:rsid w:val="00A86E3A"/>
    <w:rsid w:val="00A87053"/>
    <w:rsid w:val="00A8723D"/>
    <w:rsid w:val="00A872B1"/>
    <w:rsid w:val="00A87823"/>
    <w:rsid w:val="00A90706"/>
    <w:rsid w:val="00A908D0"/>
    <w:rsid w:val="00A9097F"/>
    <w:rsid w:val="00A909B2"/>
    <w:rsid w:val="00A90A00"/>
    <w:rsid w:val="00A90DC5"/>
    <w:rsid w:val="00A90E8B"/>
    <w:rsid w:val="00A90FED"/>
    <w:rsid w:val="00A9104D"/>
    <w:rsid w:val="00A91DA6"/>
    <w:rsid w:val="00A92519"/>
    <w:rsid w:val="00A92A66"/>
    <w:rsid w:val="00A92AC7"/>
    <w:rsid w:val="00A92C12"/>
    <w:rsid w:val="00A92C22"/>
    <w:rsid w:val="00A9318E"/>
    <w:rsid w:val="00A936C7"/>
    <w:rsid w:val="00A9378A"/>
    <w:rsid w:val="00A93828"/>
    <w:rsid w:val="00A93840"/>
    <w:rsid w:val="00A93E5F"/>
    <w:rsid w:val="00A943C3"/>
    <w:rsid w:val="00A94444"/>
    <w:rsid w:val="00A94761"/>
    <w:rsid w:val="00A94EA3"/>
    <w:rsid w:val="00A9578D"/>
    <w:rsid w:val="00A95823"/>
    <w:rsid w:val="00A95A75"/>
    <w:rsid w:val="00A95B91"/>
    <w:rsid w:val="00A95E11"/>
    <w:rsid w:val="00A96077"/>
    <w:rsid w:val="00A96745"/>
    <w:rsid w:val="00A967EE"/>
    <w:rsid w:val="00A97011"/>
    <w:rsid w:val="00A97A0C"/>
    <w:rsid w:val="00A97A27"/>
    <w:rsid w:val="00A97D03"/>
    <w:rsid w:val="00A97F7D"/>
    <w:rsid w:val="00AA0405"/>
    <w:rsid w:val="00AA04B5"/>
    <w:rsid w:val="00AA051D"/>
    <w:rsid w:val="00AA0558"/>
    <w:rsid w:val="00AA098A"/>
    <w:rsid w:val="00AA1168"/>
    <w:rsid w:val="00AA11A5"/>
    <w:rsid w:val="00AA17E6"/>
    <w:rsid w:val="00AA1815"/>
    <w:rsid w:val="00AA1B38"/>
    <w:rsid w:val="00AA2004"/>
    <w:rsid w:val="00AA2A67"/>
    <w:rsid w:val="00AA2C66"/>
    <w:rsid w:val="00AA2DC4"/>
    <w:rsid w:val="00AA30E8"/>
    <w:rsid w:val="00AA3172"/>
    <w:rsid w:val="00AA324F"/>
    <w:rsid w:val="00AA3266"/>
    <w:rsid w:val="00AA34F9"/>
    <w:rsid w:val="00AA35B3"/>
    <w:rsid w:val="00AA3D1E"/>
    <w:rsid w:val="00AA3F96"/>
    <w:rsid w:val="00AA47E0"/>
    <w:rsid w:val="00AA47E4"/>
    <w:rsid w:val="00AA490D"/>
    <w:rsid w:val="00AA4D26"/>
    <w:rsid w:val="00AA4DDC"/>
    <w:rsid w:val="00AA5103"/>
    <w:rsid w:val="00AA51F4"/>
    <w:rsid w:val="00AA562C"/>
    <w:rsid w:val="00AA56A3"/>
    <w:rsid w:val="00AA5982"/>
    <w:rsid w:val="00AA5BD4"/>
    <w:rsid w:val="00AA5F62"/>
    <w:rsid w:val="00AA6288"/>
    <w:rsid w:val="00AA6F93"/>
    <w:rsid w:val="00AA76DC"/>
    <w:rsid w:val="00AA7A05"/>
    <w:rsid w:val="00AA7BCE"/>
    <w:rsid w:val="00AA7C17"/>
    <w:rsid w:val="00AB0626"/>
    <w:rsid w:val="00AB0C57"/>
    <w:rsid w:val="00AB0DCF"/>
    <w:rsid w:val="00AB0E6C"/>
    <w:rsid w:val="00AB0FD4"/>
    <w:rsid w:val="00AB1696"/>
    <w:rsid w:val="00AB16DB"/>
    <w:rsid w:val="00AB18F9"/>
    <w:rsid w:val="00AB1B45"/>
    <w:rsid w:val="00AB1D05"/>
    <w:rsid w:val="00AB20A4"/>
    <w:rsid w:val="00AB2173"/>
    <w:rsid w:val="00AB2533"/>
    <w:rsid w:val="00AB27FB"/>
    <w:rsid w:val="00AB2895"/>
    <w:rsid w:val="00AB29CC"/>
    <w:rsid w:val="00AB31AC"/>
    <w:rsid w:val="00AB31C1"/>
    <w:rsid w:val="00AB3319"/>
    <w:rsid w:val="00AB3502"/>
    <w:rsid w:val="00AB35EB"/>
    <w:rsid w:val="00AB36B8"/>
    <w:rsid w:val="00AB3F26"/>
    <w:rsid w:val="00AB41A8"/>
    <w:rsid w:val="00AB4A08"/>
    <w:rsid w:val="00AB510F"/>
    <w:rsid w:val="00AB526A"/>
    <w:rsid w:val="00AB536D"/>
    <w:rsid w:val="00AB5400"/>
    <w:rsid w:val="00AB546C"/>
    <w:rsid w:val="00AB58EC"/>
    <w:rsid w:val="00AB5D4D"/>
    <w:rsid w:val="00AB5F29"/>
    <w:rsid w:val="00AB605E"/>
    <w:rsid w:val="00AB6147"/>
    <w:rsid w:val="00AB6548"/>
    <w:rsid w:val="00AB6895"/>
    <w:rsid w:val="00AB69A6"/>
    <w:rsid w:val="00AB69CB"/>
    <w:rsid w:val="00AB6CF9"/>
    <w:rsid w:val="00AB7B15"/>
    <w:rsid w:val="00AB7D17"/>
    <w:rsid w:val="00AB7E7B"/>
    <w:rsid w:val="00AC0010"/>
    <w:rsid w:val="00AC0166"/>
    <w:rsid w:val="00AC01B4"/>
    <w:rsid w:val="00AC07C6"/>
    <w:rsid w:val="00AC0C2A"/>
    <w:rsid w:val="00AC1191"/>
    <w:rsid w:val="00AC154A"/>
    <w:rsid w:val="00AC1968"/>
    <w:rsid w:val="00AC1ADD"/>
    <w:rsid w:val="00AC1C75"/>
    <w:rsid w:val="00AC2334"/>
    <w:rsid w:val="00AC2444"/>
    <w:rsid w:val="00AC2933"/>
    <w:rsid w:val="00AC2A46"/>
    <w:rsid w:val="00AC2BA7"/>
    <w:rsid w:val="00AC33C5"/>
    <w:rsid w:val="00AC3491"/>
    <w:rsid w:val="00AC352A"/>
    <w:rsid w:val="00AC3987"/>
    <w:rsid w:val="00AC3C08"/>
    <w:rsid w:val="00AC3C7B"/>
    <w:rsid w:val="00AC3CAE"/>
    <w:rsid w:val="00AC3D28"/>
    <w:rsid w:val="00AC444B"/>
    <w:rsid w:val="00AC5007"/>
    <w:rsid w:val="00AC517C"/>
    <w:rsid w:val="00AC51B4"/>
    <w:rsid w:val="00AC561A"/>
    <w:rsid w:val="00AC5B70"/>
    <w:rsid w:val="00AC5E50"/>
    <w:rsid w:val="00AC60C6"/>
    <w:rsid w:val="00AC64A6"/>
    <w:rsid w:val="00AC661E"/>
    <w:rsid w:val="00AC6757"/>
    <w:rsid w:val="00AC6AA5"/>
    <w:rsid w:val="00AC7180"/>
    <w:rsid w:val="00AC7207"/>
    <w:rsid w:val="00AC7509"/>
    <w:rsid w:val="00AC759E"/>
    <w:rsid w:val="00AC7847"/>
    <w:rsid w:val="00AC7B08"/>
    <w:rsid w:val="00AC7D51"/>
    <w:rsid w:val="00AC7DBE"/>
    <w:rsid w:val="00AD05B0"/>
    <w:rsid w:val="00AD0E84"/>
    <w:rsid w:val="00AD1201"/>
    <w:rsid w:val="00AD1260"/>
    <w:rsid w:val="00AD130C"/>
    <w:rsid w:val="00AD232D"/>
    <w:rsid w:val="00AD26E1"/>
    <w:rsid w:val="00AD2993"/>
    <w:rsid w:val="00AD2D52"/>
    <w:rsid w:val="00AD2D79"/>
    <w:rsid w:val="00AD2E5E"/>
    <w:rsid w:val="00AD2E8F"/>
    <w:rsid w:val="00AD3B67"/>
    <w:rsid w:val="00AD4045"/>
    <w:rsid w:val="00AD4587"/>
    <w:rsid w:val="00AD4613"/>
    <w:rsid w:val="00AD468B"/>
    <w:rsid w:val="00AD47D4"/>
    <w:rsid w:val="00AD4990"/>
    <w:rsid w:val="00AD4ADB"/>
    <w:rsid w:val="00AD4D5E"/>
    <w:rsid w:val="00AD4E47"/>
    <w:rsid w:val="00AD525C"/>
    <w:rsid w:val="00AD535E"/>
    <w:rsid w:val="00AD574F"/>
    <w:rsid w:val="00AD58FF"/>
    <w:rsid w:val="00AD5A7C"/>
    <w:rsid w:val="00AD5C0F"/>
    <w:rsid w:val="00AD68F8"/>
    <w:rsid w:val="00AD6B74"/>
    <w:rsid w:val="00AD6BBD"/>
    <w:rsid w:val="00AD6DDE"/>
    <w:rsid w:val="00AD6DE3"/>
    <w:rsid w:val="00AD76C2"/>
    <w:rsid w:val="00AD7B02"/>
    <w:rsid w:val="00AE0045"/>
    <w:rsid w:val="00AE07D0"/>
    <w:rsid w:val="00AE08A4"/>
    <w:rsid w:val="00AE0ADA"/>
    <w:rsid w:val="00AE0BFF"/>
    <w:rsid w:val="00AE0EE3"/>
    <w:rsid w:val="00AE1120"/>
    <w:rsid w:val="00AE1298"/>
    <w:rsid w:val="00AE1661"/>
    <w:rsid w:val="00AE1816"/>
    <w:rsid w:val="00AE25A5"/>
    <w:rsid w:val="00AE26E3"/>
    <w:rsid w:val="00AE2ACE"/>
    <w:rsid w:val="00AE2CF2"/>
    <w:rsid w:val="00AE2E40"/>
    <w:rsid w:val="00AE332B"/>
    <w:rsid w:val="00AE376C"/>
    <w:rsid w:val="00AE3864"/>
    <w:rsid w:val="00AE3A87"/>
    <w:rsid w:val="00AE3C00"/>
    <w:rsid w:val="00AE3C05"/>
    <w:rsid w:val="00AE3C83"/>
    <w:rsid w:val="00AE4702"/>
    <w:rsid w:val="00AE490A"/>
    <w:rsid w:val="00AE4E85"/>
    <w:rsid w:val="00AE4F7D"/>
    <w:rsid w:val="00AE4FC3"/>
    <w:rsid w:val="00AE5437"/>
    <w:rsid w:val="00AE558D"/>
    <w:rsid w:val="00AE561C"/>
    <w:rsid w:val="00AE5813"/>
    <w:rsid w:val="00AE584C"/>
    <w:rsid w:val="00AE5D0F"/>
    <w:rsid w:val="00AE5DF4"/>
    <w:rsid w:val="00AE5E13"/>
    <w:rsid w:val="00AE5F13"/>
    <w:rsid w:val="00AE5FFD"/>
    <w:rsid w:val="00AE6178"/>
    <w:rsid w:val="00AE6215"/>
    <w:rsid w:val="00AE640D"/>
    <w:rsid w:val="00AE6455"/>
    <w:rsid w:val="00AE64C7"/>
    <w:rsid w:val="00AE6B7B"/>
    <w:rsid w:val="00AE6CD3"/>
    <w:rsid w:val="00AE6CF8"/>
    <w:rsid w:val="00AE6E64"/>
    <w:rsid w:val="00AE6FBF"/>
    <w:rsid w:val="00AE73C2"/>
    <w:rsid w:val="00AF08B6"/>
    <w:rsid w:val="00AF0928"/>
    <w:rsid w:val="00AF0ADD"/>
    <w:rsid w:val="00AF0D91"/>
    <w:rsid w:val="00AF0EC5"/>
    <w:rsid w:val="00AF116D"/>
    <w:rsid w:val="00AF1393"/>
    <w:rsid w:val="00AF146D"/>
    <w:rsid w:val="00AF1497"/>
    <w:rsid w:val="00AF172E"/>
    <w:rsid w:val="00AF1892"/>
    <w:rsid w:val="00AF19FF"/>
    <w:rsid w:val="00AF1B6D"/>
    <w:rsid w:val="00AF1D24"/>
    <w:rsid w:val="00AF1EC1"/>
    <w:rsid w:val="00AF202B"/>
    <w:rsid w:val="00AF2B77"/>
    <w:rsid w:val="00AF3EA8"/>
    <w:rsid w:val="00AF3F7D"/>
    <w:rsid w:val="00AF41CC"/>
    <w:rsid w:val="00AF43E3"/>
    <w:rsid w:val="00AF4727"/>
    <w:rsid w:val="00AF4860"/>
    <w:rsid w:val="00AF49D7"/>
    <w:rsid w:val="00AF4B3B"/>
    <w:rsid w:val="00AF4B6B"/>
    <w:rsid w:val="00AF4BC0"/>
    <w:rsid w:val="00AF4DAF"/>
    <w:rsid w:val="00AF4EC4"/>
    <w:rsid w:val="00AF4EEC"/>
    <w:rsid w:val="00AF4FAE"/>
    <w:rsid w:val="00AF526A"/>
    <w:rsid w:val="00AF545B"/>
    <w:rsid w:val="00AF55CC"/>
    <w:rsid w:val="00AF5E7B"/>
    <w:rsid w:val="00AF645C"/>
    <w:rsid w:val="00AF6921"/>
    <w:rsid w:val="00AF6A27"/>
    <w:rsid w:val="00AF6F58"/>
    <w:rsid w:val="00AF7063"/>
    <w:rsid w:val="00AF7398"/>
    <w:rsid w:val="00AF78BE"/>
    <w:rsid w:val="00AF7932"/>
    <w:rsid w:val="00AF7A4F"/>
    <w:rsid w:val="00AF7AA1"/>
    <w:rsid w:val="00AF7AA4"/>
    <w:rsid w:val="00AF7C24"/>
    <w:rsid w:val="00AF7EA6"/>
    <w:rsid w:val="00B00022"/>
    <w:rsid w:val="00B002DA"/>
    <w:rsid w:val="00B006CB"/>
    <w:rsid w:val="00B0080F"/>
    <w:rsid w:val="00B008A5"/>
    <w:rsid w:val="00B00EDF"/>
    <w:rsid w:val="00B00F5C"/>
    <w:rsid w:val="00B01299"/>
    <w:rsid w:val="00B01324"/>
    <w:rsid w:val="00B016F4"/>
    <w:rsid w:val="00B02FC1"/>
    <w:rsid w:val="00B02FF4"/>
    <w:rsid w:val="00B02FF9"/>
    <w:rsid w:val="00B034CD"/>
    <w:rsid w:val="00B037C1"/>
    <w:rsid w:val="00B038C6"/>
    <w:rsid w:val="00B03EED"/>
    <w:rsid w:val="00B03FEE"/>
    <w:rsid w:val="00B0458E"/>
    <w:rsid w:val="00B04D70"/>
    <w:rsid w:val="00B052F1"/>
    <w:rsid w:val="00B053FD"/>
    <w:rsid w:val="00B054BB"/>
    <w:rsid w:val="00B0553F"/>
    <w:rsid w:val="00B05628"/>
    <w:rsid w:val="00B05EAB"/>
    <w:rsid w:val="00B05F87"/>
    <w:rsid w:val="00B05FF7"/>
    <w:rsid w:val="00B06316"/>
    <w:rsid w:val="00B063DD"/>
    <w:rsid w:val="00B06456"/>
    <w:rsid w:val="00B06AD5"/>
    <w:rsid w:val="00B06C50"/>
    <w:rsid w:val="00B07372"/>
    <w:rsid w:val="00B073B0"/>
    <w:rsid w:val="00B0742E"/>
    <w:rsid w:val="00B07672"/>
    <w:rsid w:val="00B10703"/>
    <w:rsid w:val="00B10972"/>
    <w:rsid w:val="00B10999"/>
    <w:rsid w:val="00B10E3C"/>
    <w:rsid w:val="00B11956"/>
    <w:rsid w:val="00B1208A"/>
    <w:rsid w:val="00B124AB"/>
    <w:rsid w:val="00B126AC"/>
    <w:rsid w:val="00B127F7"/>
    <w:rsid w:val="00B12F07"/>
    <w:rsid w:val="00B130C7"/>
    <w:rsid w:val="00B134FA"/>
    <w:rsid w:val="00B1356E"/>
    <w:rsid w:val="00B13BDC"/>
    <w:rsid w:val="00B141C5"/>
    <w:rsid w:val="00B14202"/>
    <w:rsid w:val="00B1498D"/>
    <w:rsid w:val="00B14B95"/>
    <w:rsid w:val="00B14DF5"/>
    <w:rsid w:val="00B15017"/>
    <w:rsid w:val="00B153A3"/>
    <w:rsid w:val="00B15559"/>
    <w:rsid w:val="00B15C80"/>
    <w:rsid w:val="00B15D69"/>
    <w:rsid w:val="00B1607F"/>
    <w:rsid w:val="00B16175"/>
    <w:rsid w:val="00B1676B"/>
    <w:rsid w:val="00B17181"/>
    <w:rsid w:val="00B175EC"/>
    <w:rsid w:val="00B176CE"/>
    <w:rsid w:val="00B17D53"/>
    <w:rsid w:val="00B20054"/>
    <w:rsid w:val="00B2018C"/>
    <w:rsid w:val="00B205EC"/>
    <w:rsid w:val="00B2063D"/>
    <w:rsid w:val="00B20876"/>
    <w:rsid w:val="00B2098D"/>
    <w:rsid w:val="00B20A4B"/>
    <w:rsid w:val="00B20ACD"/>
    <w:rsid w:val="00B20C35"/>
    <w:rsid w:val="00B20E59"/>
    <w:rsid w:val="00B21CBE"/>
    <w:rsid w:val="00B21EAD"/>
    <w:rsid w:val="00B21FBC"/>
    <w:rsid w:val="00B220C9"/>
    <w:rsid w:val="00B22160"/>
    <w:rsid w:val="00B221D8"/>
    <w:rsid w:val="00B2259F"/>
    <w:rsid w:val="00B23321"/>
    <w:rsid w:val="00B23392"/>
    <w:rsid w:val="00B23EF9"/>
    <w:rsid w:val="00B242C4"/>
    <w:rsid w:val="00B24306"/>
    <w:rsid w:val="00B243FE"/>
    <w:rsid w:val="00B24511"/>
    <w:rsid w:val="00B247EE"/>
    <w:rsid w:val="00B261CE"/>
    <w:rsid w:val="00B263E9"/>
    <w:rsid w:val="00B264CD"/>
    <w:rsid w:val="00B2657E"/>
    <w:rsid w:val="00B2658C"/>
    <w:rsid w:val="00B2678A"/>
    <w:rsid w:val="00B2696A"/>
    <w:rsid w:val="00B26A66"/>
    <w:rsid w:val="00B27092"/>
    <w:rsid w:val="00B271D5"/>
    <w:rsid w:val="00B27A5C"/>
    <w:rsid w:val="00B27C56"/>
    <w:rsid w:val="00B27F51"/>
    <w:rsid w:val="00B301EC"/>
    <w:rsid w:val="00B301EE"/>
    <w:rsid w:val="00B30822"/>
    <w:rsid w:val="00B31054"/>
    <w:rsid w:val="00B31282"/>
    <w:rsid w:val="00B314FA"/>
    <w:rsid w:val="00B318BC"/>
    <w:rsid w:val="00B31AA8"/>
    <w:rsid w:val="00B31E19"/>
    <w:rsid w:val="00B322D6"/>
    <w:rsid w:val="00B32639"/>
    <w:rsid w:val="00B3272B"/>
    <w:rsid w:val="00B32C26"/>
    <w:rsid w:val="00B33152"/>
    <w:rsid w:val="00B33167"/>
    <w:rsid w:val="00B3355D"/>
    <w:rsid w:val="00B335A2"/>
    <w:rsid w:val="00B3363E"/>
    <w:rsid w:val="00B3367F"/>
    <w:rsid w:val="00B33696"/>
    <w:rsid w:val="00B33717"/>
    <w:rsid w:val="00B337F4"/>
    <w:rsid w:val="00B3397B"/>
    <w:rsid w:val="00B339A8"/>
    <w:rsid w:val="00B33C6F"/>
    <w:rsid w:val="00B33CDD"/>
    <w:rsid w:val="00B33D89"/>
    <w:rsid w:val="00B348C8"/>
    <w:rsid w:val="00B34924"/>
    <w:rsid w:val="00B34936"/>
    <w:rsid w:val="00B34E30"/>
    <w:rsid w:val="00B34F91"/>
    <w:rsid w:val="00B35441"/>
    <w:rsid w:val="00B35501"/>
    <w:rsid w:val="00B358C3"/>
    <w:rsid w:val="00B35E8A"/>
    <w:rsid w:val="00B366B2"/>
    <w:rsid w:val="00B368EB"/>
    <w:rsid w:val="00B36A25"/>
    <w:rsid w:val="00B37128"/>
    <w:rsid w:val="00B37FA1"/>
    <w:rsid w:val="00B402A4"/>
    <w:rsid w:val="00B40411"/>
    <w:rsid w:val="00B408CA"/>
    <w:rsid w:val="00B40C24"/>
    <w:rsid w:val="00B40D88"/>
    <w:rsid w:val="00B40E4A"/>
    <w:rsid w:val="00B41A2B"/>
    <w:rsid w:val="00B41B7B"/>
    <w:rsid w:val="00B41E86"/>
    <w:rsid w:val="00B424C0"/>
    <w:rsid w:val="00B4251E"/>
    <w:rsid w:val="00B42591"/>
    <w:rsid w:val="00B4310E"/>
    <w:rsid w:val="00B43191"/>
    <w:rsid w:val="00B43217"/>
    <w:rsid w:val="00B432DA"/>
    <w:rsid w:val="00B43799"/>
    <w:rsid w:val="00B439A7"/>
    <w:rsid w:val="00B43D8D"/>
    <w:rsid w:val="00B43FA4"/>
    <w:rsid w:val="00B442A7"/>
    <w:rsid w:val="00B446C5"/>
    <w:rsid w:val="00B44917"/>
    <w:rsid w:val="00B44CFE"/>
    <w:rsid w:val="00B44F36"/>
    <w:rsid w:val="00B45791"/>
    <w:rsid w:val="00B45B25"/>
    <w:rsid w:val="00B45B80"/>
    <w:rsid w:val="00B45BAD"/>
    <w:rsid w:val="00B45F61"/>
    <w:rsid w:val="00B45FDB"/>
    <w:rsid w:val="00B45FEF"/>
    <w:rsid w:val="00B46228"/>
    <w:rsid w:val="00B46656"/>
    <w:rsid w:val="00B467F4"/>
    <w:rsid w:val="00B46BF9"/>
    <w:rsid w:val="00B46E2F"/>
    <w:rsid w:val="00B471F0"/>
    <w:rsid w:val="00B47A40"/>
    <w:rsid w:val="00B47BBF"/>
    <w:rsid w:val="00B50045"/>
    <w:rsid w:val="00B503CA"/>
    <w:rsid w:val="00B507CA"/>
    <w:rsid w:val="00B50890"/>
    <w:rsid w:val="00B509D0"/>
    <w:rsid w:val="00B50CCE"/>
    <w:rsid w:val="00B510B0"/>
    <w:rsid w:val="00B511B2"/>
    <w:rsid w:val="00B519B3"/>
    <w:rsid w:val="00B51B4A"/>
    <w:rsid w:val="00B51C0C"/>
    <w:rsid w:val="00B51DC8"/>
    <w:rsid w:val="00B51E66"/>
    <w:rsid w:val="00B522F5"/>
    <w:rsid w:val="00B52551"/>
    <w:rsid w:val="00B5287B"/>
    <w:rsid w:val="00B52D94"/>
    <w:rsid w:val="00B531E9"/>
    <w:rsid w:val="00B5393A"/>
    <w:rsid w:val="00B54656"/>
    <w:rsid w:val="00B54778"/>
    <w:rsid w:val="00B54A2B"/>
    <w:rsid w:val="00B54D4F"/>
    <w:rsid w:val="00B55482"/>
    <w:rsid w:val="00B556C0"/>
    <w:rsid w:val="00B5574E"/>
    <w:rsid w:val="00B5577E"/>
    <w:rsid w:val="00B55933"/>
    <w:rsid w:val="00B55C9E"/>
    <w:rsid w:val="00B55DBF"/>
    <w:rsid w:val="00B55DE7"/>
    <w:rsid w:val="00B55E74"/>
    <w:rsid w:val="00B5625C"/>
    <w:rsid w:val="00B56366"/>
    <w:rsid w:val="00B56FB6"/>
    <w:rsid w:val="00B56FC0"/>
    <w:rsid w:val="00B57124"/>
    <w:rsid w:val="00B57194"/>
    <w:rsid w:val="00B57614"/>
    <w:rsid w:val="00B5761C"/>
    <w:rsid w:val="00B5797E"/>
    <w:rsid w:val="00B579A5"/>
    <w:rsid w:val="00B57AB9"/>
    <w:rsid w:val="00B57F1D"/>
    <w:rsid w:val="00B607BC"/>
    <w:rsid w:val="00B60ADD"/>
    <w:rsid w:val="00B60C59"/>
    <w:rsid w:val="00B61006"/>
    <w:rsid w:val="00B61021"/>
    <w:rsid w:val="00B61244"/>
    <w:rsid w:val="00B6161A"/>
    <w:rsid w:val="00B616A4"/>
    <w:rsid w:val="00B61A4C"/>
    <w:rsid w:val="00B61FE1"/>
    <w:rsid w:val="00B621A5"/>
    <w:rsid w:val="00B622D0"/>
    <w:rsid w:val="00B624E4"/>
    <w:rsid w:val="00B62952"/>
    <w:rsid w:val="00B62C00"/>
    <w:rsid w:val="00B63B59"/>
    <w:rsid w:val="00B640E1"/>
    <w:rsid w:val="00B64202"/>
    <w:rsid w:val="00B6434B"/>
    <w:rsid w:val="00B645AB"/>
    <w:rsid w:val="00B64CD8"/>
    <w:rsid w:val="00B64D25"/>
    <w:rsid w:val="00B65234"/>
    <w:rsid w:val="00B652F1"/>
    <w:rsid w:val="00B65316"/>
    <w:rsid w:val="00B6576F"/>
    <w:rsid w:val="00B65D63"/>
    <w:rsid w:val="00B66012"/>
    <w:rsid w:val="00B664FE"/>
    <w:rsid w:val="00B665B8"/>
    <w:rsid w:val="00B66DC1"/>
    <w:rsid w:val="00B66E5F"/>
    <w:rsid w:val="00B66FCD"/>
    <w:rsid w:val="00B6721C"/>
    <w:rsid w:val="00B677A7"/>
    <w:rsid w:val="00B67B92"/>
    <w:rsid w:val="00B67F35"/>
    <w:rsid w:val="00B701B6"/>
    <w:rsid w:val="00B70379"/>
    <w:rsid w:val="00B70AA2"/>
    <w:rsid w:val="00B70AFD"/>
    <w:rsid w:val="00B70E64"/>
    <w:rsid w:val="00B717BC"/>
    <w:rsid w:val="00B71821"/>
    <w:rsid w:val="00B719EB"/>
    <w:rsid w:val="00B71A30"/>
    <w:rsid w:val="00B71D13"/>
    <w:rsid w:val="00B7250B"/>
    <w:rsid w:val="00B7274F"/>
    <w:rsid w:val="00B72859"/>
    <w:rsid w:val="00B72983"/>
    <w:rsid w:val="00B72AC0"/>
    <w:rsid w:val="00B72B39"/>
    <w:rsid w:val="00B73625"/>
    <w:rsid w:val="00B73873"/>
    <w:rsid w:val="00B74171"/>
    <w:rsid w:val="00B74194"/>
    <w:rsid w:val="00B74324"/>
    <w:rsid w:val="00B746A8"/>
    <w:rsid w:val="00B746BA"/>
    <w:rsid w:val="00B751C4"/>
    <w:rsid w:val="00B75503"/>
    <w:rsid w:val="00B7597E"/>
    <w:rsid w:val="00B75CAD"/>
    <w:rsid w:val="00B75E0C"/>
    <w:rsid w:val="00B75E3B"/>
    <w:rsid w:val="00B767E5"/>
    <w:rsid w:val="00B767FE"/>
    <w:rsid w:val="00B769F9"/>
    <w:rsid w:val="00B76AA2"/>
    <w:rsid w:val="00B76D3C"/>
    <w:rsid w:val="00B76EF8"/>
    <w:rsid w:val="00B7730A"/>
    <w:rsid w:val="00B776AA"/>
    <w:rsid w:val="00B77EFB"/>
    <w:rsid w:val="00B801D3"/>
    <w:rsid w:val="00B803B4"/>
    <w:rsid w:val="00B80635"/>
    <w:rsid w:val="00B806CC"/>
    <w:rsid w:val="00B80D1E"/>
    <w:rsid w:val="00B80D42"/>
    <w:rsid w:val="00B80FF8"/>
    <w:rsid w:val="00B814D9"/>
    <w:rsid w:val="00B814F9"/>
    <w:rsid w:val="00B8193E"/>
    <w:rsid w:val="00B81D49"/>
    <w:rsid w:val="00B81EFF"/>
    <w:rsid w:val="00B81FFA"/>
    <w:rsid w:val="00B82138"/>
    <w:rsid w:val="00B8240A"/>
    <w:rsid w:val="00B82A0D"/>
    <w:rsid w:val="00B82A3E"/>
    <w:rsid w:val="00B82C1A"/>
    <w:rsid w:val="00B8392A"/>
    <w:rsid w:val="00B83F3B"/>
    <w:rsid w:val="00B8425C"/>
    <w:rsid w:val="00B847E3"/>
    <w:rsid w:val="00B85186"/>
    <w:rsid w:val="00B85194"/>
    <w:rsid w:val="00B852B5"/>
    <w:rsid w:val="00B85A45"/>
    <w:rsid w:val="00B85AC6"/>
    <w:rsid w:val="00B85B2A"/>
    <w:rsid w:val="00B85F93"/>
    <w:rsid w:val="00B8683D"/>
    <w:rsid w:val="00B86CAD"/>
    <w:rsid w:val="00B86F34"/>
    <w:rsid w:val="00B87469"/>
    <w:rsid w:val="00B87D0E"/>
    <w:rsid w:val="00B90291"/>
    <w:rsid w:val="00B90457"/>
    <w:rsid w:val="00B909A6"/>
    <w:rsid w:val="00B909A7"/>
    <w:rsid w:val="00B90C1B"/>
    <w:rsid w:val="00B90C61"/>
    <w:rsid w:val="00B90E5E"/>
    <w:rsid w:val="00B91990"/>
    <w:rsid w:val="00B91C78"/>
    <w:rsid w:val="00B91EE8"/>
    <w:rsid w:val="00B91F03"/>
    <w:rsid w:val="00B92312"/>
    <w:rsid w:val="00B9258F"/>
    <w:rsid w:val="00B926D1"/>
    <w:rsid w:val="00B9287E"/>
    <w:rsid w:val="00B928DD"/>
    <w:rsid w:val="00B92C0C"/>
    <w:rsid w:val="00B92D09"/>
    <w:rsid w:val="00B92E45"/>
    <w:rsid w:val="00B934A3"/>
    <w:rsid w:val="00B93507"/>
    <w:rsid w:val="00B93AB1"/>
    <w:rsid w:val="00B93CA1"/>
    <w:rsid w:val="00B93D32"/>
    <w:rsid w:val="00B93D46"/>
    <w:rsid w:val="00B93F44"/>
    <w:rsid w:val="00B93F5F"/>
    <w:rsid w:val="00B9426D"/>
    <w:rsid w:val="00B944B7"/>
    <w:rsid w:val="00B94ACA"/>
    <w:rsid w:val="00B94AE9"/>
    <w:rsid w:val="00B94BCF"/>
    <w:rsid w:val="00B94F87"/>
    <w:rsid w:val="00B9525E"/>
    <w:rsid w:val="00B95804"/>
    <w:rsid w:val="00B95FE7"/>
    <w:rsid w:val="00B960BB"/>
    <w:rsid w:val="00B96DFC"/>
    <w:rsid w:val="00B9771F"/>
    <w:rsid w:val="00B97F45"/>
    <w:rsid w:val="00BA000B"/>
    <w:rsid w:val="00BA039F"/>
    <w:rsid w:val="00BA0401"/>
    <w:rsid w:val="00BA049C"/>
    <w:rsid w:val="00BA05F0"/>
    <w:rsid w:val="00BA0699"/>
    <w:rsid w:val="00BA0908"/>
    <w:rsid w:val="00BA114E"/>
    <w:rsid w:val="00BA1502"/>
    <w:rsid w:val="00BA1BDD"/>
    <w:rsid w:val="00BA1D33"/>
    <w:rsid w:val="00BA1E2B"/>
    <w:rsid w:val="00BA25DE"/>
    <w:rsid w:val="00BA2CB7"/>
    <w:rsid w:val="00BA3018"/>
    <w:rsid w:val="00BA3032"/>
    <w:rsid w:val="00BA3797"/>
    <w:rsid w:val="00BA3A4F"/>
    <w:rsid w:val="00BA3F3D"/>
    <w:rsid w:val="00BA4591"/>
    <w:rsid w:val="00BA48CB"/>
    <w:rsid w:val="00BA48E0"/>
    <w:rsid w:val="00BA4BC7"/>
    <w:rsid w:val="00BA4CCB"/>
    <w:rsid w:val="00BA57B7"/>
    <w:rsid w:val="00BA5A80"/>
    <w:rsid w:val="00BA5C64"/>
    <w:rsid w:val="00BA60A8"/>
    <w:rsid w:val="00BA673E"/>
    <w:rsid w:val="00BA682C"/>
    <w:rsid w:val="00BA6851"/>
    <w:rsid w:val="00BA6954"/>
    <w:rsid w:val="00BA69B3"/>
    <w:rsid w:val="00BA6E74"/>
    <w:rsid w:val="00BA7392"/>
    <w:rsid w:val="00BA7665"/>
    <w:rsid w:val="00BA7988"/>
    <w:rsid w:val="00BB025C"/>
    <w:rsid w:val="00BB02C1"/>
    <w:rsid w:val="00BB05E3"/>
    <w:rsid w:val="00BB0797"/>
    <w:rsid w:val="00BB0A2F"/>
    <w:rsid w:val="00BB0DED"/>
    <w:rsid w:val="00BB0EE2"/>
    <w:rsid w:val="00BB11E5"/>
    <w:rsid w:val="00BB1933"/>
    <w:rsid w:val="00BB1952"/>
    <w:rsid w:val="00BB1BC2"/>
    <w:rsid w:val="00BB1E3E"/>
    <w:rsid w:val="00BB1EC7"/>
    <w:rsid w:val="00BB230B"/>
    <w:rsid w:val="00BB2627"/>
    <w:rsid w:val="00BB26D4"/>
    <w:rsid w:val="00BB2A7F"/>
    <w:rsid w:val="00BB2EDD"/>
    <w:rsid w:val="00BB3222"/>
    <w:rsid w:val="00BB35D3"/>
    <w:rsid w:val="00BB3654"/>
    <w:rsid w:val="00BB369D"/>
    <w:rsid w:val="00BB3A25"/>
    <w:rsid w:val="00BB4056"/>
    <w:rsid w:val="00BB4772"/>
    <w:rsid w:val="00BB485B"/>
    <w:rsid w:val="00BB4925"/>
    <w:rsid w:val="00BB4BBD"/>
    <w:rsid w:val="00BB4D6B"/>
    <w:rsid w:val="00BB4F0D"/>
    <w:rsid w:val="00BB5013"/>
    <w:rsid w:val="00BB5254"/>
    <w:rsid w:val="00BB5984"/>
    <w:rsid w:val="00BB5D11"/>
    <w:rsid w:val="00BB5D86"/>
    <w:rsid w:val="00BB5EE9"/>
    <w:rsid w:val="00BB6132"/>
    <w:rsid w:val="00BB62AF"/>
    <w:rsid w:val="00BB645C"/>
    <w:rsid w:val="00BB6544"/>
    <w:rsid w:val="00BB67F1"/>
    <w:rsid w:val="00BB6FCC"/>
    <w:rsid w:val="00BB7104"/>
    <w:rsid w:val="00BB7357"/>
    <w:rsid w:val="00BB7372"/>
    <w:rsid w:val="00BB73CB"/>
    <w:rsid w:val="00BB79D7"/>
    <w:rsid w:val="00BB7C5C"/>
    <w:rsid w:val="00BB7D84"/>
    <w:rsid w:val="00BB7E84"/>
    <w:rsid w:val="00BC0451"/>
    <w:rsid w:val="00BC0A6A"/>
    <w:rsid w:val="00BC0CC0"/>
    <w:rsid w:val="00BC0DC6"/>
    <w:rsid w:val="00BC1127"/>
    <w:rsid w:val="00BC123A"/>
    <w:rsid w:val="00BC12C4"/>
    <w:rsid w:val="00BC1451"/>
    <w:rsid w:val="00BC1B23"/>
    <w:rsid w:val="00BC1C95"/>
    <w:rsid w:val="00BC22C6"/>
    <w:rsid w:val="00BC2519"/>
    <w:rsid w:val="00BC25D6"/>
    <w:rsid w:val="00BC27C7"/>
    <w:rsid w:val="00BC2BF2"/>
    <w:rsid w:val="00BC2C7E"/>
    <w:rsid w:val="00BC2EBA"/>
    <w:rsid w:val="00BC2F77"/>
    <w:rsid w:val="00BC356E"/>
    <w:rsid w:val="00BC37DE"/>
    <w:rsid w:val="00BC3E3C"/>
    <w:rsid w:val="00BC4441"/>
    <w:rsid w:val="00BC45A1"/>
    <w:rsid w:val="00BC45D0"/>
    <w:rsid w:val="00BC4B33"/>
    <w:rsid w:val="00BC4D2A"/>
    <w:rsid w:val="00BC4D7B"/>
    <w:rsid w:val="00BC5004"/>
    <w:rsid w:val="00BC5231"/>
    <w:rsid w:val="00BC5705"/>
    <w:rsid w:val="00BC58DA"/>
    <w:rsid w:val="00BC5A74"/>
    <w:rsid w:val="00BC5D16"/>
    <w:rsid w:val="00BC5D3F"/>
    <w:rsid w:val="00BC5D9E"/>
    <w:rsid w:val="00BC5F6C"/>
    <w:rsid w:val="00BC6124"/>
    <w:rsid w:val="00BC624A"/>
    <w:rsid w:val="00BC77ED"/>
    <w:rsid w:val="00BC7C43"/>
    <w:rsid w:val="00BD0048"/>
    <w:rsid w:val="00BD01A2"/>
    <w:rsid w:val="00BD04C0"/>
    <w:rsid w:val="00BD0645"/>
    <w:rsid w:val="00BD0699"/>
    <w:rsid w:val="00BD0860"/>
    <w:rsid w:val="00BD0E07"/>
    <w:rsid w:val="00BD12E3"/>
    <w:rsid w:val="00BD18DE"/>
    <w:rsid w:val="00BD1ABB"/>
    <w:rsid w:val="00BD1F60"/>
    <w:rsid w:val="00BD2075"/>
    <w:rsid w:val="00BD2760"/>
    <w:rsid w:val="00BD2C85"/>
    <w:rsid w:val="00BD318B"/>
    <w:rsid w:val="00BD3215"/>
    <w:rsid w:val="00BD3E24"/>
    <w:rsid w:val="00BD3F34"/>
    <w:rsid w:val="00BD40F0"/>
    <w:rsid w:val="00BD43A7"/>
    <w:rsid w:val="00BD52AD"/>
    <w:rsid w:val="00BD56F7"/>
    <w:rsid w:val="00BD5A24"/>
    <w:rsid w:val="00BD5BB9"/>
    <w:rsid w:val="00BD5C4A"/>
    <w:rsid w:val="00BD5CD8"/>
    <w:rsid w:val="00BD6162"/>
    <w:rsid w:val="00BD642B"/>
    <w:rsid w:val="00BD6439"/>
    <w:rsid w:val="00BD684D"/>
    <w:rsid w:val="00BD6A95"/>
    <w:rsid w:val="00BD70FC"/>
    <w:rsid w:val="00BD7102"/>
    <w:rsid w:val="00BD715E"/>
    <w:rsid w:val="00BD7AAB"/>
    <w:rsid w:val="00BE0368"/>
    <w:rsid w:val="00BE06C0"/>
    <w:rsid w:val="00BE06D5"/>
    <w:rsid w:val="00BE06ED"/>
    <w:rsid w:val="00BE0867"/>
    <w:rsid w:val="00BE0B18"/>
    <w:rsid w:val="00BE0C3A"/>
    <w:rsid w:val="00BE13F4"/>
    <w:rsid w:val="00BE1411"/>
    <w:rsid w:val="00BE1631"/>
    <w:rsid w:val="00BE1B35"/>
    <w:rsid w:val="00BE1DB7"/>
    <w:rsid w:val="00BE22BB"/>
    <w:rsid w:val="00BE2564"/>
    <w:rsid w:val="00BE2978"/>
    <w:rsid w:val="00BE2A71"/>
    <w:rsid w:val="00BE2E9A"/>
    <w:rsid w:val="00BE30F4"/>
    <w:rsid w:val="00BE31E6"/>
    <w:rsid w:val="00BE33B1"/>
    <w:rsid w:val="00BE3627"/>
    <w:rsid w:val="00BE3926"/>
    <w:rsid w:val="00BE39CC"/>
    <w:rsid w:val="00BE4026"/>
    <w:rsid w:val="00BE40BE"/>
    <w:rsid w:val="00BE44A6"/>
    <w:rsid w:val="00BE45A3"/>
    <w:rsid w:val="00BE48AA"/>
    <w:rsid w:val="00BE56D0"/>
    <w:rsid w:val="00BE5F63"/>
    <w:rsid w:val="00BE6114"/>
    <w:rsid w:val="00BE6330"/>
    <w:rsid w:val="00BE689C"/>
    <w:rsid w:val="00BE699E"/>
    <w:rsid w:val="00BE6E71"/>
    <w:rsid w:val="00BE71E8"/>
    <w:rsid w:val="00BE725E"/>
    <w:rsid w:val="00BE7303"/>
    <w:rsid w:val="00BE78F4"/>
    <w:rsid w:val="00BE7D93"/>
    <w:rsid w:val="00BF0285"/>
    <w:rsid w:val="00BF0288"/>
    <w:rsid w:val="00BF043D"/>
    <w:rsid w:val="00BF0470"/>
    <w:rsid w:val="00BF09A0"/>
    <w:rsid w:val="00BF0B21"/>
    <w:rsid w:val="00BF0D19"/>
    <w:rsid w:val="00BF1032"/>
    <w:rsid w:val="00BF19D0"/>
    <w:rsid w:val="00BF1A95"/>
    <w:rsid w:val="00BF217B"/>
    <w:rsid w:val="00BF22DD"/>
    <w:rsid w:val="00BF23A2"/>
    <w:rsid w:val="00BF26C8"/>
    <w:rsid w:val="00BF28F4"/>
    <w:rsid w:val="00BF30AA"/>
    <w:rsid w:val="00BF31A5"/>
    <w:rsid w:val="00BF31AB"/>
    <w:rsid w:val="00BF31FB"/>
    <w:rsid w:val="00BF347B"/>
    <w:rsid w:val="00BF397E"/>
    <w:rsid w:val="00BF3DA8"/>
    <w:rsid w:val="00BF3F5C"/>
    <w:rsid w:val="00BF40EC"/>
    <w:rsid w:val="00BF4141"/>
    <w:rsid w:val="00BF4840"/>
    <w:rsid w:val="00BF4B8B"/>
    <w:rsid w:val="00BF4D76"/>
    <w:rsid w:val="00BF4D93"/>
    <w:rsid w:val="00BF4F46"/>
    <w:rsid w:val="00BF5020"/>
    <w:rsid w:val="00BF5038"/>
    <w:rsid w:val="00BF514D"/>
    <w:rsid w:val="00BF5421"/>
    <w:rsid w:val="00BF55A8"/>
    <w:rsid w:val="00BF55F4"/>
    <w:rsid w:val="00BF5AB5"/>
    <w:rsid w:val="00BF5F4A"/>
    <w:rsid w:val="00BF6385"/>
    <w:rsid w:val="00BF6629"/>
    <w:rsid w:val="00BF67DA"/>
    <w:rsid w:val="00BF6AA1"/>
    <w:rsid w:val="00BF72F4"/>
    <w:rsid w:val="00BF7469"/>
    <w:rsid w:val="00BF764C"/>
    <w:rsid w:val="00BF799F"/>
    <w:rsid w:val="00BF7B90"/>
    <w:rsid w:val="00C00ADD"/>
    <w:rsid w:val="00C00D84"/>
    <w:rsid w:val="00C01413"/>
    <w:rsid w:val="00C01550"/>
    <w:rsid w:val="00C01573"/>
    <w:rsid w:val="00C01611"/>
    <w:rsid w:val="00C01B95"/>
    <w:rsid w:val="00C01C3A"/>
    <w:rsid w:val="00C01F3B"/>
    <w:rsid w:val="00C0200B"/>
    <w:rsid w:val="00C025BE"/>
    <w:rsid w:val="00C027C8"/>
    <w:rsid w:val="00C0292C"/>
    <w:rsid w:val="00C02B48"/>
    <w:rsid w:val="00C02B8B"/>
    <w:rsid w:val="00C02D0E"/>
    <w:rsid w:val="00C02E12"/>
    <w:rsid w:val="00C02F78"/>
    <w:rsid w:val="00C0300F"/>
    <w:rsid w:val="00C037AE"/>
    <w:rsid w:val="00C03A83"/>
    <w:rsid w:val="00C03CC7"/>
    <w:rsid w:val="00C03D7E"/>
    <w:rsid w:val="00C03DC9"/>
    <w:rsid w:val="00C03E09"/>
    <w:rsid w:val="00C03E42"/>
    <w:rsid w:val="00C03F4F"/>
    <w:rsid w:val="00C04146"/>
    <w:rsid w:val="00C043C4"/>
    <w:rsid w:val="00C0490F"/>
    <w:rsid w:val="00C04CEB"/>
    <w:rsid w:val="00C04D75"/>
    <w:rsid w:val="00C04ECF"/>
    <w:rsid w:val="00C05171"/>
    <w:rsid w:val="00C052CE"/>
    <w:rsid w:val="00C056B6"/>
    <w:rsid w:val="00C06855"/>
    <w:rsid w:val="00C06A58"/>
    <w:rsid w:val="00C07666"/>
    <w:rsid w:val="00C07A41"/>
    <w:rsid w:val="00C100B1"/>
    <w:rsid w:val="00C100C3"/>
    <w:rsid w:val="00C103C5"/>
    <w:rsid w:val="00C1066D"/>
    <w:rsid w:val="00C1074E"/>
    <w:rsid w:val="00C10CEA"/>
    <w:rsid w:val="00C10EF1"/>
    <w:rsid w:val="00C110D8"/>
    <w:rsid w:val="00C11253"/>
    <w:rsid w:val="00C114BA"/>
    <w:rsid w:val="00C11522"/>
    <w:rsid w:val="00C11904"/>
    <w:rsid w:val="00C11A48"/>
    <w:rsid w:val="00C11B65"/>
    <w:rsid w:val="00C11D1D"/>
    <w:rsid w:val="00C12685"/>
    <w:rsid w:val="00C12AFC"/>
    <w:rsid w:val="00C12D18"/>
    <w:rsid w:val="00C13190"/>
    <w:rsid w:val="00C1358B"/>
    <w:rsid w:val="00C1383D"/>
    <w:rsid w:val="00C13DA3"/>
    <w:rsid w:val="00C13EBA"/>
    <w:rsid w:val="00C140ED"/>
    <w:rsid w:val="00C14372"/>
    <w:rsid w:val="00C14749"/>
    <w:rsid w:val="00C14A57"/>
    <w:rsid w:val="00C14ECD"/>
    <w:rsid w:val="00C14FA4"/>
    <w:rsid w:val="00C1511A"/>
    <w:rsid w:val="00C1551C"/>
    <w:rsid w:val="00C157BC"/>
    <w:rsid w:val="00C15A3C"/>
    <w:rsid w:val="00C15D0D"/>
    <w:rsid w:val="00C15FA9"/>
    <w:rsid w:val="00C16225"/>
    <w:rsid w:val="00C1739B"/>
    <w:rsid w:val="00C174A6"/>
    <w:rsid w:val="00C174FF"/>
    <w:rsid w:val="00C17532"/>
    <w:rsid w:val="00C176B5"/>
    <w:rsid w:val="00C17C77"/>
    <w:rsid w:val="00C17DB4"/>
    <w:rsid w:val="00C17DCF"/>
    <w:rsid w:val="00C202D7"/>
    <w:rsid w:val="00C20343"/>
    <w:rsid w:val="00C2054A"/>
    <w:rsid w:val="00C20774"/>
    <w:rsid w:val="00C20806"/>
    <w:rsid w:val="00C20850"/>
    <w:rsid w:val="00C20A57"/>
    <w:rsid w:val="00C20B3D"/>
    <w:rsid w:val="00C20B5D"/>
    <w:rsid w:val="00C20C78"/>
    <w:rsid w:val="00C21186"/>
    <w:rsid w:val="00C21527"/>
    <w:rsid w:val="00C21AAA"/>
    <w:rsid w:val="00C21F06"/>
    <w:rsid w:val="00C21F35"/>
    <w:rsid w:val="00C221BE"/>
    <w:rsid w:val="00C2285E"/>
    <w:rsid w:val="00C22E0F"/>
    <w:rsid w:val="00C230B9"/>
    <w:rsid w:val="00C234D3"/>
    <w:rsid w:val="00C23835"/>
    <w:rsid w:val="00C23FBA"/>
    <w:rsid w:val="00C243BA"/>
    <w:rsid w:val="00C246DE"/>
    <w:rsid w:val="00C247BC"/>
    <w:rsid w:val="00C24BBE"/>
    <w:rsid w:val="00C24F28"/>
    <w:rsid w:val="00C2522B"/>
    <w:rsid w:val="00C25256"/>
    <w:rsid w:val="00C25698"/>
    <w:rsid w:val="00C256ED"/>
    <w:rsid w:val="00C2580B"/>
    <w:rsid w:val="00C260AB"/>
    <w:rsid w:val="00C263CD"/>
    <w:rsid w:val="00C26A05"/>
    <w:rsid w:val="00C26B04"/>
    <w:rsid w:val="00C26F40"/>
    <w:rsid w:val="00C27176"/>
    <w:rsid w:val="00C2744C"/>
    <w:rsid w:val="00C274CD"/>
    <w:rsid w:val="00C27653"/>
    <w:rsid w:val="00C27E89"/>
    <w:rsid w:val="00C301BA"/>
    <w:rsid w:val="00C30DFA"/>
    <w:rsid w:val="00C31614"/>
    <w:rsid w:val="00C317DA"/>
    <w:rsid w:val="00C3183F"/>
    <w:rsid w:val="00C31C1A"/>
    <w:rsid w:val="00C31FF5"/>
    <w:rsid w:val="00C32E05"/>
    <w:rsid w:val="00C32F24"/>
    <w:rsid w:val="00C33001"/>
    <w:rsid w:val="00C33420"/>
    <w:rsid w:val="00C33489"/>
    <w:rsid w:val="00C33581"/>
    <w:rsid w:val="00C33B1F"/>
    <w:rsid w:val="00C33EA5"/>
    <w:rsid w:val="00C341C3"/>
    <w:rsid w:val="00C356A5"/>
    <w:rsid w:val="00C356FA"/>
    <w:rsid w:val="00C357F5"/>
    <w:rsid w:val="00C35AE5"/>
    <w:rsid w:val="00C36341"/>
    <w:rsid w:val="00C36477"/>
    <w:rsid w:val="00C36589"/>
    <w:rsid w:val="00C36846"/>
    <w:rsid w:val="00C36992"/>
    <w:rsid w:val="00C36A17"/>
    <w:rsid w:val="00C37259"/>
    <w:rsid w:val="00C37A9E"/>
    <w:rsid w:val="00C4034F"/>
    <w:rsid w:val="00C405B9"/>
    <w:rsid w:val="00C40D21"/>
    <w:rsid w:val="00C40EB0"/>
    <w:rsid w:val="00C410E1"/>
    <w:rsid w:val="00C41346"/>
    <w:rsid w:val="00C413E4"/>
    <w:rsid w:val="00C417EF"/>
    <w:rsid w:val="00C41BA0"/>
    <w:rsid w:val="00C42202"/>
    <w:rsid w:val="00C42821"/>
    <w:rsid w:val="00C4287D"/>
    <w:rsid w:val="00C42A05"/>
    <w:rsid w:val="00C42A78"/>
    <w:rsid w:val="00C42B8E"/>
    <w:rsid w:val="00C4315A"/>
    <w:rsid w:val="00C432BE"/>
    <w:rsid w:val="00C43348"/>
    <w:rsid w:val="00C43ACA"/>
    <w:rsid w:val="00C44398"/>
    <w:rsid w:val="00C44563"/>
    <w:rsid w:val="00C44662"/>
    <w:rsid w:val="00C448A3"/>
    <w:rsid w:val="00C44BED"/>
    <w:rsid w:val="00C44FAC"/>
    <w:rsid w:val="00C457DD"/>
    <w:rsid w:val="00C45913"/>
    <w:rsid w:val="00C45F53"/>
    <w:rsid w:val="00C45FC1"/>
    <w:rsid w:val="00C4679F"/>
    <w:rsid w:val="00C46879"/>
    <w:rsid w:val="00C46915"/>
    <w:rsid w:val="00C46A06"/>
    <w:rsid w:val="00C46ED3"/>
    <w:rsid w:val="00C47CB5"/>
    <w:rsid w:val="00C50A33"/>
    <w:rsid w:val="00C50C16"/>
    <w:rsid w:val="00C50F0B"/>
    <w:rsid w:val="00C513A3"/>
    <w:rsid w:val="00C5147B"/>
    <w:rsid w:val="00C514A0"/>
    <w:rsid w:val="00C51EF2"/>
    <w:rsid w:val="00C520C1"/>
    <w:rsid w:val="00C522DD"/>
    <w:rsid w:val="00C52E4F"/>
    <w:rsid w:val="00C52E5F"/>
    <w:rsid w:val="00C53724"/>
    <w:rsid w:val="00C540B2"/>
    <w:rsid w:val="00C542D6"/>
    <w:rsid w:val="00C54505"/>
    <w:rsid w:val="00C54955"/>
    <w:rsid w:val="00C54C5D"/>
    <w:rsid w:val="00C55128"/>
    <w:rsid w:val="00C55131"/>
    <w:rsid w:val="00C55413"/>
    <w:rsid w:val="00C55AF7"/>
    <w:rsid w:val="00C55B1B"/>
    <w:rsid w:val="00C55C89"/>
    <w:rsid w:val="00C56324"/>
    <w:rsid w:val="00C5637C"/>
    <w:rsid w:val="00C5648E"/>
    <w:rsid w:val="00C56744"/>
    <w:rsid w:val="00C56D4F"/>
    <w:rsid w:val="00C56DDB"/>
    <w:rsid w:val="00C5727F"/>
    <w:rsid w:val="00C575BA"/>
    <w:rsid w:val="00C577A0"/>
    <w:rsid w:val="00C57A41"/>
    <w:rsid w:val="00C57A81"/>
    <w:rsid w:val="00C57E9F"/>
    <w:rsid w:val="00C601FD"/>
    <w:rsid w:val="00C60393"/>
    <w:rsid w:val="00C60953"/>
    <w:rsid w:val="00C609AC"/>
    <w:rsid w:val="00C60BDF"/>
    <w:rsid w:val="00C60C16"/>
    <w:rsid w:val="00C6127C"/>
    <w:rsid w:val="00C61310"/>
    <w:rsid w:val="00C6173E"/>
    <w:rsid w:val="00C617D1"/>
    <w:rsid w:val="00C61E39"/>
    <w:rsid w:val="00C61E78"/>
    <w:rsid w:val="00C62498"/>
    <w:rsid w:val="00C624B7"/>
    <w:rsid w:val="00C62B48"/>
    <w:rsid w:val="00C630B2"/>
    <w:rsid w:val="00C631A1"/>
    <w:rsid w:val="00C632DD"/>
    <w:rsid w:val="00C63BC6"/>
    <w:rsid w:val="00C6481C"/>
    <w:rsid w:val="00C64F60"/>
    <w:rsid w:val="00C655B5"/>
    <w:rsid w:val="00C65627"/>
    <w:rsid w:val="00C658A4"/>
    <w:rsid w:val="00C6593E"/>
    <w:rsid w:val="00C65C2A"/>
    <w:rsid w:val="00C663CE"/>
    <w:rsid w:val="00C663DB"/>
    <w:rsid w:val="00C66561"/>
    <w:rsid w:val="00C66A66"/>
    <w:rsid w:val="00C66D01"/>
    <w:rsid w:val="00C66D06"/>
    <w:rsid w:val="00C671C1"/>
    <w:rsid w:val="00C6762E"/>
    <w:rsid w:val="00C678A3"/>
    <w:rsid w:val="00C70034"/>
    <w:rsid w:val="00C704B0"/>
    <w:rsid w:val="00C70A9D"/>
    <w:rsid w:val="00C70AC3"/>
    <w:rsid w:val="00C70BB9"/>
    <w:rsid w:val="00C713F4"/>
    <w:rsid w:val="00C716F4"/>
    <w:rsid w:val="00C720AF"/>
    <w:rsid w:val="00C724E4"/>
    <w:rsid w:val="00C72B55"/>
    <w:rsid w:val="00C72BF4"/>
    <w:rsid w:val="00C73326"/>
    <w:rsid w:val="00C7384B"/>
    <w:rsid w:val="00C73AE2"/>
    <w:rsid w:val="00C73F33"/>
    <w:rsid w:val="00C74660"/>
    <w:rsid w:val="00C74673"/>
    <w:rsid w:val="00C74CFA"/>
    <w:rsid w:val="00C74ED2"/>
    <w:rsid w:val="00C75334"/>
    <w:rsid w:val="00C760CE"/>
    <w:rsid w:val="00C7640A"/>
    <w:rsid w:val="00C764AB"/>
    <w:rsid w:val="00C767C8"/>
    <w:rsid w:val="00C76BFD"/>
    <w:rsid w:val="00C76CC3"/>
    <w:rsid w:val="00C76D70"/>
    <w:rsid w:val="00C76FD8"/>
    <w:rsid w:val="00C77EE0"/>
    <w:rsid w:val="00C8001C"/>
    <w:rsid w:val="00C8011A"/>
    <w:rsid w:val="00C8071C"/>
    <w:rsid w:val="00C80847"/>
    <w:rsid w:val="00C80900"/>
    <w:rsid w:val="00C80EF3"/>
    <w:rsid w:val="00C80FA0"/>
    <w:rsid w:val="00C81297"/>
    <w:rsid w:val="00C81A4A"/>
    <w:rsid w:val="00C81ED1"/>
    <w:rsid w:val="00C8227F"/>
    <w:rsid w:val="00C8241F"/>
    <w:rsid w:val="00C8246D"/>
    <w:rsid w:val="00C82A3C"/>
    <w:rsid w:val="00C83199"/>
    <w:rsid w:val="00C8357E"/>
    <w:rsid w:val="00C838BE"/>
    <w:rsid w:val="00C83A79"/>
    <w:rsid w:val="00C83AA6"/>
    <w:rsid w:val="00C84769"/>
    <w:rsid w:val="00C84A72"/>
    <w:rsid w:val="00C84AA1"/>
    <w:rsid w:val="00C84ACE"/>
    <w:rsid w:val="00C84AF1"/>
    <w:rsid w:val="00C84DD6"/>
    <w:rsid w:val="00C85108"/>
    <w:rsid w:val="00C85AE4"/>
    <w:rsid w:val="00C862CB"/>
    <w:rsid w:val="00C86416"/>
    <w:rsid w:val="00C864A9"/>
    <w:rsid w:val="00C866BD"/>
    <w:rsid w:val="00C8680F"/>
    <w:rsid w:val="00C8696D"/>
    <w:rsid w:val="00C871E5"/>
    <w:rsid w:val="00C872AA"/>
    <w:rsid w:val="00C873DB"/>
    <w:rsid w:val="00C8750B"/>
    <w:rsid w:val="00C879CB"/>
    <w:rsid w:val="00C87B31"/>
    <w:rsid w:val="00C87C10"/>
    <w:rsid w:val="00C90311"/>
    <w:rsid w:val="00C904D5"/>
    <w:rsid w:val="00C90E5D"/>
    <w:rsid w:val="00C91B4A"/>
    <w:rsid w:val="00C91CA8"/>
    <w:rsid w:val="00C91D7D"/>
    <w:rsid w:val="00C91F1D"/>
    <w:rsid w:val="00C92209"/>
    <w:rsid w:val="00C92313"/>
    <w:rsid w:val="00C9264F"/>
    <w:rsid w:val="00C927D4"/>
    <w:rsid w:val="00C92B0D"/>
    <w:rsid w:val="00C92CBB"/>
    <w:rsid w:val="00C937AC"/>
    <w:rsid w:val="00C9386E"/>
    <w:rsid w:val="00C94211"/>
    <w:rsid w:val="00C94A36"/>
    <w:rsid w:val="00C94B57"/>
    <w:rsid w:val="00C95480"/>
    <w:rsid w:val="00C95578"/>
    <w:rsid w:val="00C958DC"/>
    <w:rsid w:val="00C95CF6"/>
    <w:rsid w:val="00C95E8B"/>
    <w:rsid w:val="00C95EF5"/>
    <w:rsid w:val="00C96483"/>
    <w:rsid w:val="00C96646"/>
    <w:rsid w:val="00C96674"/>
    <w:rsid w:val="00C96E29"/>
    <w:rsid w:val="00C9787A"/>
    <w:rsid w:val="00C9793F"/>
    <w:rsid w:val="00C97A62"/>
    <w:rsid w:val="00C97AE6"/>
    <w:rsid w:val="00CA01EB"/>
    <w:rsid w:val="00CA0484"/>
    <w:rsid w:val="00CA0581"/>
    <w:rsid w:val="00CA05C0"/>
    <w:rsid w:val="00CA0943"/>
    <w:rsid w:val="00CA0CE1"/>
    <w:rsid w:val="00CA13FE"/>
    <w:rsid w:val="00CA1C11"/>
    <w:rsid w:val="00CA2446"/>
    <w:rsid w:val="00CA2A5F"/>
    <w:rsid w:val="00CA2C35"/>
    <w:rsid w:val="00CA312A"/>
    <w:rsid w:val="00CA31AE"/>
    <w:rsid w:val="00CA33C8"/>
    <w:rsid w:val="00CA387C"/>
    <w:rsid w:val="00CA3BAF"/>
    <w:rsid w:val="00CA3BE9"/>
    <w:rsid w:val="00CA3F7D"/>
    <w:rsid w:val="00CA4073"/>
    <w:rsid w:val="00CA4096"/>
    <w:rsid w:val="00CA490A"/>
    <w:rsid w:val="00CA56A8"/>
    <w:rsid w:val="00CA5704"/>
    <w:rsid w:val="00CA5734"/>
    <w:rsid w:val="00CA5C6A"/>
    <w:rsid w:val="00CA5D9F"/>
    <w:rsid w:val="00CA5DEE"/>
    <w:rsid w:val="00CA611D"/>
    <w:rsid w:val="00CA6348"/>
    <w:rsid w:val="00CA6B62"/>
    <w:rsid w:val="00CA7107"/>
    <w:rsid w:val="00CA7C97"/>
    <w:rsid w:val="00CA7E49"/>
    <w:rsid w:val="00CB071A"/>
    <w:rsid w:val="00CB075B"/>
    <w:rsid w:val="00CB081D"/>
    <w:rsid w:val="00CB0B38"/>
    <w:rsid w:val="00CB0FCB"/>
    <w:rsid w:val="00CB11AC"/>
    <w:rsid w:val="00CB1709"/>
    <w:rsid w:val="00CB183C"/>
    <w:rsid w:val="00CB19F6"/>
    <w:rsid w:val="00CB1A80"/>
    <w:rsid w:val="00CB1EDD"/>
    <w:rsid w:val="00CB2296"/>
    <w:rsid w:val="00CB2359"/>
    <w:rsid w:val="00CB2392"/>
    <w:rsid w:val="00CB277F"/>
    <w:rsid w:val="00CB29F7"/>
    <w:rsid w:val="00CB2ADB"/>
    <w:rsid w:val="00CB2BB5"/>
    <w:rsid w:val="00CB2D1D"/>
    <w:rsid w:val="00CB2F24"/>
    <w:rsid w:val="00CB376C"/>
    <w:rsid w:val="00CB3E00"/>
    <w:rsid w:val="00CB3E1A"/>
    <w:rsid w:val="00CB4678"/>
    <w:rsid w:val="00CB4FFE"/>
    <w:rsid w:val="00CB51E9"/>
    <w:rsid w:val="00CB542A"/>
    <w:rsid w:val="00CB5504"/>
    <w:rsid w:val="00CB58CA"/>
    <w:rsid w:val="00CB5CFF"/>
    <w:rsid w:val="00CB5D3C"/>
    <w:rsid w:val="00CB6564"/>
    <w:rsid w:val="00CB6682"/>
    <w:rsid w:val="00CB688E"/>
    <w:rsid w:val="00CB69E5"/>
    <w:rsid w:val="00CB6EDB"/>
    <w:rsid w:val="00CB7176"/>
    <w:rsid w:val="00CB7281"/>
    <w:rsid w:val="00CB7543"/>
    <w:rsid w:val="00CB769D"/>
    <w:rsid w:val="00CB7C42"/>
    <w:rsid w:val="00CB7E36"/>
    <w:rsid w:val="00CC0B66"/>
    <w:rsid w:val="00CC0BCA"/>
    <w:rsid w:val="00CC1358"/>
    <w:rsid w:val="00CC16D7"/>
    <w:rsid w:val="00CC1B57"/>
    <w:rsid w:val="00CC1BB2"/>
    <w:rsid w:val="00CC1E4A"/>
    <w:rsid w:val="00CC2225"/>
    <w:rsid w:val="00CC2270"/>
    <w:rsid w:val="00CC22A2"/>
    <w:rsid w:val="00CC2354"/>
    <w:rsid w:val="00CC285E"/>
    <w:rsid w:val="00CC29BE"/>
    <w:rsid w:val="00CC2DD7"/>
    <w:rsid w:val="00CC322E"/>
    <w:rsid w:val="00CC3314"/>
    <w:rsid w:val="00CC340E"/>
    <w:rsid w:val="00CC3510"/>
    <w:rsid w:val="00CC4044"/>
    <w:rsid w:val="00CC40ED"/>
    <w:rsid w:val="00CC44CF"/>
    <w:rsid w:val="00CC4861"/>
    <w:rsid w:val="00CC4E17"/>
    <w:rsid w:val="00CC5052"/>
    <w:rsid w:val="00CC52D3"/>
    <w:rsid w:val="00CC552A"/>
    <w:rsid w:val="00CC55E9"/>
    <w:rsid w:val="00CC5C4C"/>
    <w:rsid w:val="00CC5D5E"/>
    <w:rsid w:val="00CC6748"/>
    <w:rsid w:val="00CC6793"/>
    <w:rsid w:val="00CC7119"/>
    <w:rsid w:val="00CC7C21"/>
    <w:rsid w:val="00CC7E63"/>
    <w:rsid w:val="00CC7EA7"/>
    <w:rsid w:val="00CD03A2"/>
    <w:rsid w:val="00CD04C4"/>
    <w:rsid w:val="00CD05B0"/>
    <w:rsid w:val="00CD0905"/>
    <w:rsid w:val="00CD091B"/>
    <w:rsid w:val="00CD2324"/>
    <w:rsid w:val="00CD2745"/>
    <w:rsid w:val="00CD2A7E"/>
    <w:rsid w:val="00CD2BAC"/>
    <w:rsid w:val="00CD2D6E"/>
    <w:rsid w:val="00CD354E"/>
    <w:rsid w:val="00CD355B"/>
    <w:rsid w:val="00CD3EA6"/>
    <w:rsid w:val="00CD454C"/>
    <w:rsid w:val="00CD4638"/>
    <w:rsid w:val="00CD4772"/>
    <w:rsid w:val="00CD48E5"/>
    <w:rsid w:val="00CD4B87"/>
    <w:rsid w:val="00CD4D4F"/>
    <w:rsid w:val="00CD4EED"/>
    <w:rsid w:val="00CD5336"/>
    <w:rsid w:val="00CD5644"/>
    <w:rsid w:val="00CD585C"/>
    <w:rsid w:val="00CD617A"/>
    <w:rsid w:val="00CD6C89"/>
    <w:rsid w:val="00CD6D57"/>
    <w:rsid w:val="00CD6E4D"/>
    <w:rsid w:val="00CD7033"/>
    <w:rsid w:val="00CD7491"/>
    <w:rsid w:val="00CD7A0E"/>
    <w:rsid w:val="00CD7C25"/>
    <w:rsid w:val="00CD7CCC"/>
    <w:rsid w:val="00CE0098"/>
    <w:rsid w:val="00CE00B8"/>
    <w:rsid w:val="00CE02E2"/>
    <w:rsid w:val="00CE09CD"/>
    <w:rsid w:val="00CE0A9E"/>
    <w:rsid w:val="00CE0AB3"/>
    <w:rsid w:val="00CE1426"/>
    <w:rsid w:val="00CE1AE2"/>
    <w:rsid w:val="00CE1BE6"/>
    <w:rsid w:val="00CE24A4"/>
    <w:rsid w:val="00CE2B48"/>
    <w:rsid w:val="00CE2DFF"/>
    <w:rsid w:val="00CE31D3"/>
    <w:rsid w:val="00CE3A9F"/>
    <w:rsid w:val="00CE3FF5"/>
    <w:rsid w:val="00CE41FF"/>
    <w:rsid w:val="00CE4301"/>
    <w:rsid w:val="00CE44EF"/>
    <w:rsid w:val="00CE4621"/>
    <w:rsid w:val="00CE482C"/>
    <w:rsid w:val="00CE4891"/>
    <w:rsid w:val="00CE49E9"/>
    <w:rsid w:val="00CE4CEC"/>
    <w:rsid w:val="00CE52DC"/>
    <w:rsid w:val="00CE5538"/>
    <w:rsid w:val="00CE5633"/>
    <w:rsid w:val="00CE67B5"/>
    <w:rsid w:val="00CE69B8"/>
    <w:rsid w:val="00CE69EA"/>
    <w:rsid w:val="00CE6B15"/>
    <w:rsid w:val="00CE6CB1"/>
    <w:rsid w:val="00CE6E7F"/>
    <w:rsid w:val="00CE6EE2"/>
    <w:rsid w:val="00CE718C"/>
    <w:rsid w:val="00CE7CC0"/>
    <w:rsid w:val="00CE7E8E"/>
    <w:rsid w:val="00CF0158"/>
    <w:rsid w:val="00CF015B"/>
    <w:rsid w:val="00CF0679"/>
    <w:rsid w:val="00CF089E"/>
    <w:rsid w:val="00CF0F05"/>
    <w:rsid w:val="00CF0F88"/>
    <w:rsid w:val="00CF0F96"/>
    <w:rsid w:val="00CF1516"/>
    <w:rsid w:val="00CF156C"/>
    <w:rsid w:val="00CF1E5C"/>
    <w:rsid w:val="00CF204E"/>
    <w:rsid w:val="00CF20B5"/>
    <w:rsid w:val="00CF2217"/>
    <w:rsid w:val="00CF22E3"/>
    <w:rsid w:val="00CF26FA"/>
    <w:rsid w:val="00CF2EB7"/>
    <w:rsid w:val="00CF2F48"/>
    <w:rsid w:val="00CF2FC1"/>
    <w:rsid w:val="00CF31B0"/>
    <w:rsid w:val="00CF3757"/>
    <w:rsid w:val="00CF37B2"/>
    <w:rsid w:val="00CF3B1B"/>
    <w:rsid w:val="00CF3C54"/>
    <w:rsid w:val="00CF3C6E"/>
    <w:rsid w:val="00CF3CED"/>
    <w:rsid w:val="00CF42F7"/>
    <w:rsid w:val="00CF45DC"/>
    <w:rsid w:val="00CF46A6"/>
    <w:rsid w:val="00CF4984"/>
    <w:rsid w:val="00CF4A4F"/>
    <w:rsid w:val="00CF4AF2"/>
    <w:rsid w:val="00CF4B2D"/>
    <w:rsid w:val="00CF4C19"/>
    <w:rsid w:val="00CF53C3"/>
    <w:rsid w:val="00CF545C"/>
    <w:rsid w:val="00CF5EFF"/>
    <w:rsid w:val="00CF617D"/>
    <w:rsid w:val="00CF6189"/>
    <w:rsid w:val="00CF6864"/>
    <w:rsid w:val="00CF6D07"/>
    <w:rsid w:val="00CF6EF2"/>
    <w:rsid w:val="00CF7314"/>
    <w:rsid w:val="00CF74F9"/>
    <w:rsid w:val="00CF7F66"/>
    <w:rsid w:val="00CF7FC4"/>
    <w:rsid w:val="00D0035E"/>
    <w:rsid w:val="00D00376"/>
    <w:rsid w:val="00D00660"/>
    <w:rsid w:val="00D0067D"/>
    <w:rsid w:val="00D00CFF"/>
    <w:rsid w:val="00D00E87"/>
    <w:rsid w:val="00D00F8A"/>
    <w:rsid w:val="00D01003"/>
    <w:rsid w:val="00D01A5A"/>
    <w:rsid w:val="00D01CF5"/>
    <w:rsid w:val="00D01D1C"/>
    <w:rsid w:val="00D01F3A"/>
    <w:rsid w:val="00D0213D"/>
    <w:rsid w:val="00D02A3A"/>
    <w:rsid w:val="00D02ABC"/>
    <w:rsid w:val="00D031F3"/>
    <w:rsid w:val="00D03810"/>
    <w:rsid w:val="00D03D7D"/>
    <w:rsid w:val="00D041E2"/>
    <w:rsid w:val="00D0483D"/>
    <w:rsid w:val="00D04844"/>
    <w:rsid w:val="00D050B1"/>
    <w:rsid w:val="00D0519B"/>
    <w:rsid w:val="00D051FC"/>
    <w:rsid w:val="00D05386"/>
    <w:rsid w:val="00D054CA"/>
    <w:rsid w:val="00D05A15"/>
    <w:rsid w:val="00D05C6C"/>
    <w:rsid w:val="00D05D86"/>
    <w:rsid w:val="00D06114"/>
    <w:rsid w:val="00D06685"/>
    <w:rsid w:val="00D06AE9"/>
    <w:rsid w:val="00D06E14"/>
    <w:rsid w:val="00D06E46"/>
    <w:rsid w:val="00D06FD8"/>
    <w:rsid w:val="00D0710B"/>
    <w:rsid w:val="00D0725C"/>
    <w:rsid w:val="00D07843"/>
    <w:rsid w:val="00D07860"/>
    <w:rsid w:val="00D07898"/>
    <w:rsid w:val="00D07B32"/>
    <w:rsid w:val="00D07F6E"/>
    <w:rsid w:val="00D104C2"/>
    <w:rsid w:val="00D108D9"/>
    <w:rsid w:val="00D10943"/>
    <w:rsid w:val="00D10A77"/>
    <w:rsid w:val="00D10BC8"/>
    <w:rsid w:val="00D10DEC"/>
    <w:rsid w:val="00D1105C"/>
    <w:rsid w:val="00D11167"/>
    <w:rsid w:val="00D11B88"/>
    <w:rsid w:val="00D11C96"/>
    <w:rsid w:val="00D11EFB"/>
    <w:rsid w:val="00D1251C"/>
    <w:rsid w:val="00D12CCB"/>
    <w:rsid w:val="00D12F46"/>
    <w:rsid w:val="00D12FB2"/>
    <w:rsid w:val="00D134DD"/>
    <w:rsid w:val="00D1354F"/>
    <w:rsid w:val="00D13DEE"/>
    <w:rsid w:val="00D1407E"/>
    <w:rsid w:val="00D141B2"/>
    <w:rsid w:val="00D145ED"/>
    <w:rsid w:val="00D149B7"/>
    <w:rsid w:val="00D149F5"/>
    <w:rsid w:val="00D14ABB"/>
    <w:rsid w:val="00D14F37"/>
    <w:rsid w:val="00D1554C"/>
    <w:rsid w:val="00D155E3"/>
    <w:rsid w:val="00D1567F"/>
    <w:rsid w:val="00D15890"/>
    <w:rsid w:val="00D1617F"/>
    <w:rsid w:val="00D1658A"/>
    <w:rsid w:val="00D16655"/>
    <w:rsid w:val="00D16EA2"/>
    <w:rsid w:val="00D17588"/>
    <w:rsid w:val="00D17EC4"/>
    <w:rsid w:val="00D20119"/>
    <w:rsid w:val="00D204F9"/>
    <w:rsid w:val="00D20D05"/>
    <w:rsid w:val="00D20EC4"/>
    <w:rsid w:val="00D21136"/>
    <w:rsid w:val="00D211CF"/>
    <w:rsid w:val="00D212A4"/>
    <w:rsid w:val="00D2167E"/>
    <w:rsid w:val="00D2172C"/>
    <w:rsid w:val="00D217A8"/>
    <w:rsid w:val="00D21969"/>
    <w:rsid w:val="00D21ADD"/>
    <w:rsid w:val="00D21F44"/>
    <w:rsid w:val="00D22080"/>
    <w:rsid w:val="00D2278D"/>
    <w:rsid w:val="00D22D60"/>
    <w:rsid w:val="00D22E2B"/>
    <w:rsid w:val="00D231D6"/>
    <w:rsid w:val="00D234FD"/>
    <w:rsid w:val="00D2399B"/>
    <w:rsid w:val="00D23FAE"/>
    <w:rsid w:val="00D246B9"/>
    <w:rsid w:val="00D24932"/>
    <w:rsid w:val="00D24BCF"/>
    <w:rsid w:val="00D2502B"/>
    <w:rsid w:val="00D250A0"/>
    <w:rsid w:val="00D251C0"/>
    <w:rsid w:val="00D2534E"/>
    <w:rsid w:val="00D2536D"/>
    <w:rsid w:val="00D257F6"/>
    <w:rsid w:val="00D25EEE"/>
    <w:rsid w:val="00D25F3F"/>
    <w:rsid w:val="00D269F4"/>
    <w:rsid w:val="00D26DE7"/>
    <w:rsid w:val="00D275E0"/>
    <w:rsid w:val="00D27778"/>
    <w:rsid w:val="00D277E1"/>
    <w:rsid w:val="00D27A02"/>
    <w:rsid w:val="00D27D83"/>
    <w:rsid w:val="00D300A9"/>
    <w:rsid w:val="00D300D8"/>
    <w:rsid w:val="00D3040F"/>
    <w:rsid w:val="00D304D3"/>
    <w:rsid w:val="00D30820"/>
    <w:rsid w:val="00D30EE3"/>
    <w:rsid w:val="00D3100B"/>
    <w:rsid w:val="00D310FA"/>
    <w:rsid w:val="00D3126D"/>
    <w:rsid w:val="00D313D4"/>
    <w:rsid w:val="00D316F7"/>
    <w:rsid w:val="00D318D8"/>
    <w:rsid w:val="00D3198D"/>
    <w:rsid w:val="00D321D5"/>
    <w:rsid w:val="00D321E5"/>
    <w:rsid w:val="00D323C9"/>
    <w:rsid w:val="00D325C6"/>
    <w:rsid w:val="00D3269A"/>
    <w:rsid w:val="00D32A3A"/>
    <w:rsid w:val="00D3307A"/>
    <w:rsid w:val="00D3321F"/>
    <w:rsid w:val="00D33443"/>
    <w:rsid w:val="00D33DE0"/>
    <w:rsid w:val="00D33E9F"/>
    <w:rsid w:val="00D349B7"/>
    <w:rsid w:val="00D34DF5"/>
    <w:rsid w:val="00D356E2"/>
    <w:rsid w:val="00D35C73"/>
    <w:rsid w:val="00D3674B"/>
    <w:rsid w:val="00D368D8"/>
    <w:rsid w:val="00D36AB4"/>
    <w:rsid w:val="00D36B7E"/>
    <w:rsid w:val="00D36EC4"/>
    <w:rsid w:val="00D36FED"/>
    <w:rsid w:val="00D3722B"/>
    <w:rsid w:val="00D3739F"/>
    <w:rsid w:val="00D373A8"/>
    <w:rsid w:val="00D37594"/>
    <w:rsid w:val="00D376A2"/>
    <w:rsid w:val="00D378B6"/>
    <w:rsid w:val="00D37BD2"/>
    <w:rsid w:val="00D37C99"/>
    <w:rsid w:val="00D37CA4"/>
    <w:rsid w:val="00D37FA3"/>
    <w:rsid w:val="00D40390"/>
    <w:rsid w:val="00D403C7"/>
    <w:rsid w:val="00D403D5"/>
    <w:rsid w:val="00D4057E"/>
    <w:rsid w:val="00D40778"/>
    <w:rsid w:val="00D40961"/>
    <w:rsid w:val="00D40D5A"/>
    <w:rsid w:val="00D41E5D"/>
    <w:rsid w:val="00D42004"/>
    <w:rsid w:val="00D4208B"/>
    <w:rsid w:val="00D42114"/>
    <w:rsid w:val="00D42607"/>
    <w:rsid w:val="00D42776"/>
    <w:rsid w:val="00D42846"/>
    <w:rsid w:val="00D42AAD"/>
    <w:rsid w:val="00D42B03"/>
    <w:rsid w:val="00D42B2A"/>
    <w:rsid w:val="00D42B98"/>
    <w:rsid w:val="00D42C50"/>
    <w:rsid w:val="00D43245"/>
    <w:rsid w:val="00D439F2"/>
    <w:rsid w:val="00D43B3E"/>
    <w:rsid w:val="00D43CE4"/>
    <w:rsid w:val="00D43E19"/>
    <w:rsid w:val="00D43E89"/>
    <w:rsid w:val="00D43ECA"/>
    <w:rsid w:val="00D445EE"/>
    <w:rsid w:val="00D4484F"/>
    <w:rsid w:val="00D44E77"/>
    <w:rsid w:val="00D450D5"/>
    <w:rsid w:val="00D45252"/>
    <w:rsid w:val="00D460AE"/>
    <w:rsid w:val="00D46485"/>
    <w:rsid w:val="00D4695E"/>
    <w:rsid w:val="00D47616"/>
    <w:rsid w:val="00D47EAF"/>
    <w:rsid w:val="00D47F2C"/>
    <w:rsid w:val="00D5029F"/>
    <w:rsid w:val="00D503F9"/>
    <w:rsid w:val="00D50AAD"/>
    <w:rsid w:val="00D517B2"/>
    <w:rsid w:val="00D51A80"/>
    <w:rsid w:val="00D51B5E"/>
    <w:rsid w:val="00D51C4F"/>
    <w:rsid w:val="00D51DED"/>
    <w:rsid w:val="00D52053"/>
    <w:rsid w:val="00D520B2"/>
    <w:rsid w:val="00D522ED"/>
    <w:rsid w:val="00D5266F"/>
    <w:rsid w:val="00D52710"/>
    <w:rsid w:val="00D529E5"/>
    <w:rsid w:val="00D52AB5"/>
    <w:rsid w:val="00D52FAF"/>
    <w:rsid w:val="00D53129"/>
    <w:rsid w:val="00D536A2"/>
    <w:rsid w:val="00D54D79"/>
    <w:rsid w:val="00D54E1B"/>
    <w:rsid w:val="00D54F46"/>
    <w:rsid w:val="00D55151"/>
    <w:rsid w:val="00D55BA4"/>
    <w:rsid w:val="00D55D91"/>
    <w:rsid w:val="00D56129"/>
    <w:rsid w:val="00D56568"/>
    <w:rsid w:val="00D56693"/>
    <w:rsid w:val="00D56CE8"/>
    <w:rsid w:val="00D571E8"/>
    <w:rsid w:val="00D57321"/>
    <w:rsid w:val="00D5736C"/>
    <w:rsid w:val="00D574DD"/>
    <w:rsid w:val="00D575C9"/>
    <w:rsid w:val="00D5770E"/>
    <w:rsid w:val="00D5783C"/>
    <w:rsid w:val="00D57F1F"/>
    <w:rsid w:val="00D57F9C"/>
    <w:rsid w:val="00D604B9"/>
    <w:rsid w:val="00D605C4"/>
    <w:rsid w:val="00D60708"/>
    <w:rsid w:val="00D60975"/>
    <w:rsid w:val="00D609B0"/>
    <w:rsid w:val="00D60C59"/>
    <w:rsid w:val="00D60CC0"/>
    <w:rsid w:val="00D61624"/>
    <w:rsid w:val="00D61928"/>
    <w:rsid w:val="00D619F5"/>
    <w:rsid w:val="00D62607"/>
    <w:rsid w:val="00D62A7B"/>
    <w:rsid w:val="00D62DFC"/>
    <w:rsid w:val="00D62EA8"/>
    <w:rsid w:val="00D630A0"/>
    <w:rsid w:val="00D633A4"/>
    <w:rsid w:val="00D63406"/>
    <w:rsid w:val="00D63FCF"/>
    <w:rsid w:val="00D643A2"/>
    <w:rsid w:val="00D6442E"/>
    <w:rsid w:val="00D64A81"/>
    <w:rsid w:val="00D6507B"/>
    <w:rsid w:val="00D657AD"/>
    <w:rsid w:val="00D65839"/>
    <w:rsid w:val="00D65A4D"/>
    <w:rsid w:val="00D65B92"/>
    <w:rsid w:val="00D65EFE"/>
    <w:rsid w:val="00D65F74"/>
    <w:rsid w:val="00D66060"/>
    <w:rsid w:val="00D661E0"/>
    <w:rsid w:val="00D66501"/>
    <w:rsid w:val="00D66767"/>
    <w:rsid w:val="00D66AA2"/>
    <w:rsid w:val="00D6711A"/>
    <w:rsid w:val="00D67243"/>
    <w:rsid w:val="00D674FA"/>
    <w:rsid w:val="00D67535"/>
    <w:rsid w:val="00D67AC3"/>
    <w:rsid w:val="00D67BCC"/>
    <w:rsid w:val="00D702DF"/>
    <w:rsid w:val="00D70770"/>
    <w:rsid w:val="00D70916"/>
    <w:rsid w:val="00D70A0D"/>
    <w:rsid w:val="00D7160C"/>
    <w:rsid w:val="00D7205E"/>
    <w:rsid w:val="00D721AF"/>
    <w:rsid w:val="00D72718"/>
    <w:rsid w:val="00D727AB"/>
    <w:rsid w:val="00D727EE"/>
    <w:rsid w:val="00D73048"/>
    <w:rsid w:val="00D7350B"/>
    <w:rsid w:val="00D736E1"/>
    <w:rsid w:val="00D73D16"/>
    <w:rsid w:val="00D73DB2"/>
    <w:rsid w:val="00D74B4B"/>
    <w:rsid w:val="00D750A3"/>
    <w:rsid w:val="00D75900"/>
    <w:rsid w:val="00D75A45"/>
    <w:rsid w:val="00D75A55"/>
    <w:rsid w:val="00D761EB"/>
    <w:rsid w:val="00D763B1"/>
    <w:rsid w:val="00D766D9"/>
    <w:rsid w:val="00D7682C"/>
    <w:rsid w:val="00D76CA3"/>
    <w:rsid w:val="00D7702C"/>
    <w:rsid w:val="00D7737E"/>
    <w:rsid w:val="00D77934"/>
    <w:rsid w:val="00D77B7D"/>
    <w:rsid w:val="00D77D24"/>
    <w:rsid w:val="00D77D9F"/>
    <w:rsid w:val="00D77DDB"/>
    <w:rsid w:val="00D77E09"/>
    <w:rsid w:val="00D77E0D"/>
    <w:rsid w:val="00D77F75"/>
    <w:rsid w:val="00D801BC"/>
    <w:rsid w:val="00D802E4"/>
    <w:rsid w:val="00D80315"/>
    <w:rsid w:val="00D80338"/>
    <w:rsid w:val="00D81034"/>
    <w:rsid w:val="00D81302"/>
    <w:rsid w:val="00D81581"/>
    <w:rsid w:val="00D815E7"/>
    <w:rsid w:val="00D81AD5"/>
    <w:rsid w:val="00D81BC2"/>
    <w:rsid w:val="00D82117"/>
    <w:rsid w:val="00D821DA"/>
    <w:rsid w:val="00D821F2"/>
    <w:rsid w:val="00D8229D"/>
    <w:rsid w:val="00D824E4"/>
    <w:rsid w:val="00D8294D"/>
    <w:rsid w:val="00D83193"/>
    <w:rsid w:val="00D8385D"/>
    <w:rsid w:val="00D83AD2"/>
    <w:rsid w:val="00D83D0A"/>
    <w:rsid w:val="00D83E4D"/>
    <w:rsid w:val="00D84066"/>
    <w:rsid w:val="00D84134"/>
    <w:rsid w:val="00D841A8"/>
    <w:rsid w:val="00D84494"/>
    <w:rsid w:val="00D84689"/>
    <w:rsid w:val="00D8476D"/>
    <w:rsid w:val="00D849A6"/>
    <w:rsid w:val="00D84A1D"/>
    <w:rsid w:val="00D84DBA"/>
    <w:rsid w:val="00D84DFB"/>
    <w:rsid w:val="00D85165"/>
    <w:rsid w:val="00D85BDE"/>
    <w:rsid w:val="00D8609A"/>
    <w:rsid w:val="00D8661C"/>
    <w:rsid w:val="00D86EE3"/>
    <w:rsid w:val="00D86FCD"/>
    <w:rsid w:val="00D87734"/>
    <w:rsid w:val="00D878CC"/>
    <w:rsid w:val="00D87957"/>
    <w:rsid w:val="00D904B0"/>
    <w:rsid w:val="00D904CB"/>
    <w:rsid w:val="00D90713"/>
    <w:rsid w:val="00D90843"/>
    <w:rsid w:val="00D911D4"/>
    <w:rsid w:val="00D913D0"/>
    <w:rsid w:val="00D92198"/>
    <w:rsid w:val="00D92932"/>
    <w:rsid w:val="00D92982"/>
    <w:rsid w:val="00D92C83"/>
    <w:rsid w:val="00D931A5"/>
    <w:rsid w:val="00D9392A"/>
    <w:rsid w:val="00D93C33"/>
    <w:rsid w:val="00D9411F"/>
    <w:rsid w:val="00D9486A"/>
    <w:rsid w:val="00D94B2D"/>
    <w:rsid w:val="00D94BFF"/>
    <w:rsid w:val="00D94D88"/>
    <w:rsid w:val="00D94FC6"/>
    <w:rsid w:val="00D951DA"/>
    <w:rsid w:val="00D95286"/>
    <w:rsid w:val="00D95657"/>
    <w:rsid w:val="00D9652B"/>
    <w:rsid w:val="00D968E0"/>
    <w:rsid w:val="00D96A4E"/>
    <w:rsid w:val="00D96E85"/>
    <w:rsid w:val="00D96F58"/>
    <w:rsid w:val="00D96F97"/>
    <w:rsid w:val="00D96FDB"/>
    <w:rsid w:val="00D97286"/>
    <w:rsid w:val="00D97335"/>
    <w:rsid w:val="00D975BA"/>
    <w:rsid w:val="00D97AD0"/>
    <w:rsid w:val="00D97AF7"/>
    <w:rsid w:val="00D97BB2"/>
    <w:rsid w:val="00DA04E1"/>
    <w:rsid w:val="00DA0911"/>
    <w:rsid w:val="00DA09AC"/>
    <w:rsid w:val="00DA0A24"/>
    <w:rsid w:val="00DA0E44"/>
    <w:rsid w:val="00DA1013"/>
    <w:rsid w:val="00DA11CB"/>
    <w:rsid w:val="00DA18E5"/>
    <w:rsid w:val="00DA1CF8"/>
    <w:rsid w:val="00DA2285"/>
    <w:rsid w:val="00DA29CE"/>
    <w:rsid w:val="00DA2AE7"/>
    <w:rsid w:val="00DA2B41"/>
    <w:rsid w:val="00DA307A"/>
    <w:rsid w:val="00DA30CF"/>
    <w:rsid w:val="00DA39E6"/>
    <w:rsid w:val="00DA3C83"/>
    <w:rsid w:val="00DA43FC"/>
    <w:rsid w:val="00DA44AE"/>
    <w:rsid w:val="00DA454B"/>
    <w:rsid w:val="00DA4620"/>
    <w:rsid w:val="00DA49FF"/>
    <w:rsid w:val="00DA4B5A"/>
    <w:rsid w:val="00DA5338"/>
    <w:rsid w:val="00DA5581"/>
    <w:rsid w:val="00DA56E7"/>
    <w:rsid w:val="00DA576F"/>
    <w:rsid w:val="00DA5874"/>
    <w:rsid w:val="00DA5937"/>
    <w:rsid w:val="00DA5B58"/>
    <w:rsid w:val="00DA5C5A"/>
    <w:rsid w:val="00DA664D"/>
    <w:rsid w:val="00DA69EF"/>
    <w:rsid w:val="00DA6B21"/>
    <w:rsid w:val="00DA702F"/>
    <w:rsid w:val="00DA7057"/>
    <w:rsid w:val="00DA74CB"/>
    <w:rsid w:val="00DA78F1"/>
    <w:rsid w:val="00DA7B54"/>
    <w:rsid w:val="00DA7BD5"/>
    <w:rsid w:val="00DB04FD"/>
    <w:rsid w:val="00DB09D4"/>
    <w:rsid w:val="00DB1027"/>
    <w:rsid w:val="00DB11C0"/>
    <w:rsid w:val="00DB12E1"/>
    <w:rsid w:val="00DB1307"/>
    <w:rsid w:val="00DB13C8"/>
    <w:rsid w:val="00DB17B8"/>
    <w:rsid w:val="00DB19C4"/>
    <w:rsid w:val="00DB1C28"/>
    <w:rsid w:val="00DB1D42"/>
    <w:rsid w:val="00DB1E21"/>
    <w:rsid w:val="00DB2094"/>
    <w:rsid w:val="00DB2119"/>
    <w:rsid w:val="00DB25BC"/>
    <w:rsid w:val="00DB319F"/>
    <w:rsid w:val="00DB340D"/>
    <w:rsid w:val="00DB3D84"/>
    <w:rsid w:val="00DB426F"/>
    <w:rsid w:val="00DB4C88"/>
    <w:rsid w:val="00DB536A"/>
    <w:rsid w:val="00DB53BE"/>
    <w:rsid w:val="00DB5424"/>
    <w:rsid w:val="00DB5532"/>
    <w:rsid w:val="00DB5682"/>
    <w:rsid w:val="00DB6245"/>
    <w:rsid w:val="00DB7B27"/>
    <w:rsid w:val="00DC02FD"/>
    <w:rsid w:val="00DC046A"/>
    <w:rsid w:val="00DC05F6"/>
    <w:rsid w:val="00DC060F"/>
    <w:rsid w:val="00DC07E2"/>
    <w:rsid w:val="00DC0BB1"/>
    <w:rsid w:val="00DC106B"/>
    <w:rsid w:val="00DC1594"/>
    <w:rsid w:val="00DC15B2"/>
    <w:rsid w:val="00DC18B3"/>
    <w:rsid w:val="00DC1A30"/>
    <w:rsid w:val="00DC1D4E"/>
    <w:rsid w:val="00DC21F3"/>
    <w:rsid w:val="00DC25CC"/>
    <w:rsid w:val="00DC2658"/>
    <w:rsid w:val="00DC3312"/>
    <w:rsid w:val="00DC3681"/>
    <w:rsid w:val="00DC3712"/>
    <w:rsid w:val="00DC371F"/>
    <w:rsid w:val="00DC3B8C"/>
    <w:rsid w:val="00DC3C5D"/>
    <w:rsid w:val="00DC3CF1"/>
    <w:rsid w:val="00DC3DCC"/>
    <w:rsid w:val="00DC3F00"/>
    <w:rsid w:val="00DC3F6C"/>
    <w:rsid w:val="00DC4466"/>
    <w:rsid w:val="00DC459D"/>
    <w:rsid w:val="00DC4645"/>
    <w:rsid w:val="00DC4C59"/>
    <w:rsid w:val="00DC4DBE"/>
    <w:rsid w:val="00DC5012"/>
    <w:rsid w:val="00DC5258"/>
    <w:rsid w:val="00DC52B6"/>
    <w:rsid w:val="00DC5604"/>
    <w:rsid w:val="00DC5682"/>
    <w:rsid w:val="00DC583A"/>
    <w:rsid w:val="00DC5840"/>
    <w:rsid w:val="00DC5CC1"/>
    <w:rsid w:val="00DC5DDD"/>
    <w:rsid w:val="00DC5F50"/>
    <w:rsid w:val="00DC6514"/>
    <w:rsid w:val="00DC654C"/>
    <w:rsid w:val="00DC6AE5"/>
    <w:rsid w:val="00DC6C27"/>
    <w:rsid w:val="00DC7357"/>
    <w:rsid w:val="00DC745C"/>
    <w:rsid w:val="00DC74C2"/>
    <w:rsid w:val="00DC790B"/>
    <w:rsid w:val="00DC7F21"/>
    <w:rsid w:val="00DD0159"/>
    <w:rsid w:val="00DD09A0"/>
    <w:rsid w:val="00DD0A4A"/>
    <w:rsid w:val="00DD12E3"/>
    <w:rsid w:val="00DD13E0"/>
    <w:rsid w:val="00DD1717"/>
    <w:rsid w:val="00DD1723"/>
    <w:rsid w:val="00DD1738"/>
    <w:rsid w:val="00DD178E"/>
    <w:rsid w:val="00DD184D"/>
    <w:rsid w:val="00DD1FEB"/>
    <w:rsid w:val="00DD23E7"/>
    <w:rsid w:val="00DD26BE"/>
    <w:rsid w:val="00DD27F8"/>
    <w:rsid w:val="00DD2C64"/>
    <w:rsid w:val="00DD2D81"/>
    <w:rsid w:val="00DD30C0"/>
    <w:rsid w:val="00DD3A61"/>
    <w:rsid w:val="00DD3BA1"/>
    <w:rsid w:val="00DD3CC7"/>
    <w:rsid w:val="00DD4EA1"/>
    <w:rsid w:val="00DD5320"/>
    <w:rsid w:val="00DD5A39"/>
    <w:rsid w:val="00DD640E"/>
    <w:rsid w:val="00DD66F4"/>
    <w:rsid w:val="00DD696B"/>
    <w:rsid w:val="00DD69E4"/>
    <w:rsid w:val="00DD6AB7"/>
    <w:rsid w:val="00DD6DEB"/>
    <w:rsid w:val="00DD72E5"/>
    <w:rsid w:val="00DD7B2D"/>
    <w:rsid w:val="00DD7F77"/>
    <w:rsid w:val="00DE055B"/>
    <w:rsid w:val="00DE0B58"/>
    <w:rsid w:val="00DE0C9F"/>
    <w:rsid w:val="00DE1019"/>
    <w:rsid w:val="00DE17A8"/>
    <w:rsid w:val="00DE1D4F"/>
    <w:rsid w:val="00DE1F49"/>
    <w:rsid w:val="00DE2135"/>
    <w:rsid w:val="00DE268D"/>
    <w:rsid w:val="00DE2792"/>
    <w:rsid w:val="00DE2A88"/>
    <w:rsid w:val="00DE2B53"/>
    <w:rsid w:val="00DE31C6"/>
    <w:rsid w:val="00DE33A4"/>
    <w:rsid w:val="00DE351A"/>
    <w:rsid w:val="00DE3DBF"/>
    <w:rsid w:val="00DE40FA"/>
    <w:rsid w:val="00DE4321"/>
    <w:rsid w:val="00DE498E"/>
    <w:rsid w:val="00DE4E40"/>
    <w:rsid w:val="00DE5057"/>
    <w:rsid w:val="00DE587B"/>
    <w:rsid w:val="00DE6EB8"/>
    <w:rsid w:val="00DE6F72"/>
    <w:rsid w:val="00DE714C"/>
    <w:rsid w:val="00DE75B3"/>
    <w:rsid w:val="00DE7763"/>
    <w:rsid w:val="00DE7923"/>
    <w:rsid w:val="00DE7BB1"/>
    <w:rsid w:val="00DF0149"/>
    <w:rsid w:val="00DF0246"/>
    <w:rsid w:val="00DF04D9"/>
    <w:rsid w:val="00DF0878"/>
    <w:rsid w:val="00DF0A37"/>
    <w:rsid w:val="00DF0CD0"/>
    <w:rsid w:val="00DF0F66"/>
    <w:rsid w:val="00DF1681"/>
    <w:rsid w:val="00DF1FE3"/>
    <w:rsid w:val="00DF21F6"/>
    <w:rsid w:val="00DF2789"/>
    <w:rsid w:val="00DF2E5D"/>
    <w:rsid w:val="00DF2E84"/>
    <w:rsid w:val="00DF30A0"/>
    <w:rsid w:val="00DF3123"/>
    <w:rsid w:val="00DF316E"/>
    <w:rsid w:val="00DF3448"/>
    <w:rsid w:val="00DF372E"/>
    <w:rsid w:val="00DF3D62"/>
    <w:rsid w:val="00DF4534"/>
    <w:rsid w:val="00DF45D8"/>
    <w:rsid w:val="00DF4AA0"/>
    <w:rsid w:val="00DF4EBD"/>
    <w:rsid w:val="00DF5226"/>
    <w:rsid w:val="00DF5283"/>
    <w:rsid w:val="00DF530E"/>
    <w:rsid w:val="00DF535C"/>
    <w:rsid w:val="00DF563F"/>
    <w:rsid w:val="00DF5B2B"/>
    <w:rsid w:val="00DF5C9A"/>
    <w:rsid w:val="00DF5EBC"/>
    <w:rsid w:val="00DF5F4B"/>
    <w:rsid w:val="00DF6993"/>
    <w:rsid w:val="00DF6D2D"/>
    <w:rsid w:val="00DF73CB"/>
    <w:rsid w:val="00DF7564"/>
    <w:rsid w:val="00DF75A6"/>
    <w:rsid w:val="00DF77EE"/>
    <w:rsid w:val="00DF7866"/>
    <w:rsid w:val="00DF78A8"/>
    <w:rsid w:val="00DF7A8A"/>
    <w:rsid w:val="00DF7FF5"/>
    <w:rsid w:val="00E008C0"/>
    <w:rsid w:val="00E00DDB"/>
    <w:rsid w:val="00E012CF"/>
    <w:rsid w:val="00E013D1"/>
    <w:rsid w:val="00E0146D"/>
    <w:rsid w:val="00E01560"/>
    <w:rsid w:val="00E01921"/>
    <w:rsid w:val="00E01FC9"/>
    <w:rsid w:val="00E0267E"/>
    <w:rsid w:val="00E026C4"/>
    <w:rsid w:val="00E02778"/>
    <w:rsid w:val="00E02879"/>
    <w:rsid w:val="00E028BE"/>
    <w:rsid w:val="00E029D5"/>
    <w:rsid w:val="00E0323C"/>
    <w:rsid w:val="00E0386A"/>
    <w:rsid w:val="00E03A47"/>
    <w:rsid w:val="00E03AD1"/>
    <w:rsid w:val="00E03EB8"/>
    <w:rsid w:val="00E04AB6"/>
    <w:rsid w:val="00E05164"/>
    <w:rsid w:val="00E054C5"/>
    <w:rsid w:val="00E05BC4"/>
    <w:rsid w:val="00E05D4E"/>
    <w:rsid w:val="00E05D8F"/>
    <w:rsid w:val="00E05DFE"/>
    <w:rsid w:val="00E06093"/>
    <w:rsid w:val="00E06D7D"/>
    <w:rsid w:val="00E0700F"/>
    <w:rsid w:val="00E07144"/>
    <w:rsid w:val="00E07A6C"/>
    <w:rsid w:val="00E10BD8"/>
    <w:rsid w:val="00E10CCA"/>
    <w:rsid w:val="00E10EA4"/>
    <w:rsid w:val="00E111A9"/>
    <w:rsid w:val="00E1166E"/>
    <w:rsid w:val="00E116E3"/>
    <w:rsid w:val="00E11ACD"/>
    <w:rsid w:val="00E11B4B"/>
    <w:rsid w:val="00E11F23"/>
    <w:rsid w:val="00E11FF0"/>
    <w:rsid w:val="00E128AE"/>
    <w:rsid w:val="00E12AC7"/>
    <w:rsid w:val="00E12B08"/>
    <w:rsid w:val="00E12D47"/>
    <w:rsid w:val="00E1343D"/>
    <w:rsid w:val="00E13892"/>
    <w:rsid w:val="00E1397D"/>
    <w:rsid w:val="00E13B09"/>
    <w:rsid w:val="00E13EB4"/>
    <w:rsid w:val="00E13FAF"/>
    <w:rsid w:val="00E14022"/>
    <w:rsid w:val="00E14321"/>
    <w:rsid w:val="00E14447"/>
    <w:rsid w:val="00E1479D"/>
    <w:rsid w:val="00E14BDE"/>
    <w:rsid w:val="00E14C6C"/>
    <w:rsid w:val="00E156C2"/>
    <w:rsid w:val="00E1588B"/>
    <w:rsid w:val="00E15EAB"/>
    <w:rsid w:val="00E15EFE"/>
    <w:rsid w:val="00E15FC0"/>
    <w:rsid w:val="00E16E48"/>
    <w:rsid w:val="00E170C2"/>
    <w:rsid w:val="00E173E0"/>
    <w:rsid w:val="00E17BE5"/>
    <w:rsid w:val="00E17C6A"/>
    <w:rsid w:val="00E17DC5"/>
    <w:rsid w:val="00E2002D"/>
    <w:rsid w:val="00E20318"/>
    <w:rsid w:val="00E20937"/>
    <w:rsid w:val="00E20AC8"/>
    <w:rsid w:val="00E20B01"/>
    <w:rsid w:val="00E20DF6"/>
    <w:rsid w:val="00E20E6A"/>
    <w:rsid w:val="00E21036"/>
    <w:rsid w:val="00E212F8"/>
    <w:rsid w:val="00E21474"/>
    <w:rsid w:val="00E21508"/>
    <w:rsid w:val="00E2157D"/>
    <w:rsid w:val="00E2166F"/>
    <w:rsid w:val="00E21942"/>
    <w:rsid w:val="00E22A07"/>
    <w:rsid w:val="00E22F75"/>
    <w:rsid w:val="00E23378"/>
    <w:rsid w:val="00E23891"/>
    <w:rsid w:val="00E23BA9"/>
    <w:rsid w:val="00E24279"/>
    <w:rsid w:val="00E24739"/>
    <w:rsid w:val="00E247D3"/>
    <w:rsid w:val="00E24CA0"/>
    <w:rsid w:val="00E24DEC"/>
    <w:rsid w:val="00E25135"/>
    <w:rsid w:val="00E257BB"/>
    <w:rsid w:val="00E25944"/>
    <w:rsid w:val="00E261E9"/>
    <w:rsid w:val="00E26363"/>
    <w:rsid w:val="00E264B5"/>
    <w:rsid w:val="00E2656B"/>
    <w:rsid w:val="00E26B97"/>
    <w:rsid w:val="00E26C3D"/>
    <w:rsid w:val="00E27083"/>
    <w:rsid w:val="00E27280"/>
    <w:rsid w:val="00E2737D"/>
    <w:rsid w:val="00E27603"/>
    <w:rsid w:val="00E27B9B"/>
    <w:rsid w:val="00E3042E"/>
    <w:rsid w:val="00E30595"/>
    <w:rsid w:val="00E3084F"/>
    <w:rsid w:val="00E30A2A"/>
    <w:rsid w:val="00E30BDD"/>
    <w:rsid w:val="00E30C90"/>
    <w:rsid w:val="00E30FC1"/>
    <w:rsid w:val="00E31375"/>
    <w:rsid w:val="00E32104"/>
    <w:rsid w:val="00E32108"/>
    <w:rsid w:val="00E32465"/>
    <w:rsid w:val="00E3249F"/>
    <w:rsid w:val="00E325DA"/>
    <w:rsid w:val="00E32FD2"/>
    <w:rsid w:val="00E332C8"/>
    <w:rsid w:val="00E333C0"/>
    <w:rsid w:val="00E33673"/>
    <w:rsid w:val="00E338DF"/>
    <w:rsid w:val="00E33DF1"/>
    <w:rsid w:val="00E33E8F"/>
    <w:rsid w:val="00E33F08"/>
    <w:rsid w:val="00E34091"/>
    <w:rsid w:val="00E3416E"/>
    <w:rsid w:val="00E342E9"/>
    <w:rsid w:val="00E344BF"/>
    <w:rsid w:val="00E34ACA"/>
    <w:rsid w:val="00E34CD4"/>
    <w:rsid w:val="00E34F35"/>
    <w:rsid w:val="00E3507C"/>
    <w:rsid w:val="00E358B4"/>
    <w:rsid w:val="00E35909"/>
    <w:rsid w:val="00E35D6D"/>
    <w:rsid w:val="00E35F70"/>
    <w:rsid w:val="00E3609D"/>
    <w:rsid w:val="00E361EA"/>
    <w:rsid w:val="00E363F2"/>
    <w:rsid w:val="00E3655D"/>
    <w:rsid w:val="00E367AB"/>
    <w:rsid w:val="00E368B3"/>
    <w:rsid w:val="00E368DA"/>
    <w:rsid w:val="00E369AF"/>
    <w:rsid w:val="00E36C52"/>
    <w:rsid w:val="00E36DAC"/>
    <w:rsid w:val="00E36DBD"/>
    <w:rsid w:val="00E36DCD"/>
    <w:rsid w:val="00E37A26"/>
    <w:rsid w:val="00E4001E"/>
    <w:rsid w:val="00E400B9"/>
    <w:rsid w:val="00E4021D"/>
    <w:rsid w:val="00E4026F"/>
    <w:rsid w:val="00E402B6"/>
    <w:rsid w:val="00E41043"/>
    <w:rsid w:val="00E41069"/>
    <w:rsid w:val="00E4187C"/>
    <w:rsid w:val="00E41892"/>
    <w:rsid w:val="00E419E0"/>
    <w:rsid w:val="00E41B5A"/>
    <w:rsid w:val="00E41CF1"/>
    <w:rsid w:val="00E41D18"/>
    <w:rsid w:val="00E41E8B"/>
    <w:rsid w:val="00E42533"/>
    <w:rsid w:val="00E4263F"/>
    <w:rsid w:val="00E42D33"/>
    <w:rsid w:val="00E42DF8"/>
    <w:rsid w:val="00E431CC"/>
    <w:rsid w:val="00E435B2"/>
    <w:rsid w:val="00E439D4"/>
    <w:rsid w:val="00E43A73"/>
    <w:rsid w:val="00E43B8A"/>
    <w:rsid w:val="00E440BD"/>
    <w:rsid w:val="00E4420A"/>
    <w:rsid w:val="00E443CC"/>
    <w:rsid w:val="00E44ACF"/>
    <w:rsid w:val="00E44C3F"/>
    <w:rsid w:val="00E450D3"/>
    <w:rsid w:val="00E45D09"/>
    <w:rsid w:val="00E45F63"/>
    <w:rsid w:val="00E46465"/>
    <w:rsid w:val="00E46850"/>
    <w:rsid w:val="00E47406"/>
    <w:rsid w:val="00E47500"/>
    <w:rsid w:val="00E47731"/>
    <w:rsid w:val="00E477BA"/>
    <w:rsid w:val="00E47E43"/>
    <w:rsid w:val="00E5014A"/>
    <w:rsid w:val="00E507C8"/>
    <w:rsid w:val="00E5141E"/>
    <w:rsid w:val="00E51B61"/>
    <w:rsid w:val="00E52085"/>
    <w:rsid w:val="00E522A0"/>
    <w:rsid w:val="00E524AB"/>
    <w:rsid w:val="00E5326F"/>
    <w:rsid w:val="00E53648"/>
    <w:rsid w:val="00E53B8F"/>
    <w:rsid w:val="00E541C3"/>
    <w:rsid w:val="00E54218"/>
    <w:rsid w:val="00E54709"/>
    <w:rsid w:val="00E54CA3"/>
    <w:rsid w:val="00E54F73"/>
    <w:rsid w:val="00E55227"/>
    <w:rsid w:val="00E5533C"/>
    <w:rsid w:val="00E556D4"/>
    <w:rsid w:val="00E556F0"/>
    <w:rsid w:val="00E55B3F"/>
    <w:rsid w:val="00E55BBB"/>
    <w:rsid w:val="00E56127"/>
    <w:rsid w:val="00E5623B"/>
    <w:rsid w:val="00E5644D"/>
    <w:rsid w:val="00E56834"/>
    <w:rsid w:val="00E56A66"/>
    <w:rsid w:val="00E56E20"/>
    <w:rsid w:val="00E56EAC"/>
    <w:rsid w:val="00E56F9A"/>
    <w:rsid w:val="00E57395"/>
    <w:rsid w:val="00E57439"/>
    <w:rsid w:val="00E577A9"/>
    <w:rsid w:val="00E600B5"/>
    <w:rsid w:val="00E60939"/>
    <w:rsid w:val="00E60CF2"/>
    <w:rsid w:val="00E60DDE"/>
    <w:rsid w:val="00E60E5F"/>
    <w:rsid w:val="00E60E61"/>
    <w:rsid w:val="00E610EF"/>
    <w:rsid w:val="00E615D5"/>
    <w:rsid w:val="00E61AC5"/>
    <w:rsid w:val="00E61B5A"/>
    <w:rsid w:val="00E61DC4"/>
    <w:rsid w:val="00E6212E"/>
    <w:rsid w:val="00E621E0"/>
    <w:rsid w:val="00E627C8"/>
    <w:rsid w:val="00E63197"/>
    <w:rsid w:val="00E63319"/>
    <w:rsid w:val="00E640BE"/>
    <w:rsid w:val="00E641FC"/>
    <w:rsid w:val="00E64388"/>
    <w:rsid w:val="00E6479E"/>
    <w:rsid w:val="00E64BBF"/>
    <w:rsid w:val="00E64DDB"/>
    <w:rsid w:val="00E64E70"/>
    <w:rsid w:val="00E654B6"/>
    <w:rsid w:val="00E656B9"/>
    <w:rsid w:val="00E659DE"/>
    <w:rsid w:val="00E65BAA"/>
    <w:rsid w:val="00E662A4"/>
    <w:rsid w:val="00E66A59"/>
    <w:rsid w:val="00E67167"/>
    <w:rsid w:val="00E678AA"/>
    <w:rsid w:val="00E67C57"/>
    <w:rsid w:val="00E67D92"/>
    <w:rsid w:val="00E70050"/>
    <w:rsid w:val="00E709CB"/>
    <w:rsid w:val="00E70CFD"/>
    <w:rsid w:val="00E70F10"/>
    <w:rsid w:val="00E70FF2"/>
    <w:rsid w:val="00E714D9"/>
    <w:rsid w:val="00E71568"/>
    <w:rsid w:val="00E717AC"/>
    <w:rsid w:val="00E718E6"/>
    <w:rsid w:val="00E71A63"/>
    <w:rsid w:val="00E71B57"/>
    <w:rsid w:val="00E71F09"/>
    <w:rsid w:val="00E71F1E"/>
    <w:rsid w:val="00E722DD"/>
    <w:rsid w:val="00E7246E"/>
    <w:rsid w:val="00E724A9"/>
    <w:rsid w:val="00E724DF"/>
    <w:rsid w:val="00E724F3"/>
    <w:rsid w:val="00E72629"/>
    <w:rsid w:val="00E7266A"/>
    <w:rsid w:val="00E72B41"/>
    <w:rsid w:val="00E72CB1"/>
    <w:rsid w:val="00E72D82"/>
    <w:rsid w:val="00E72E17"/>
    <w:rsid w:val="00E72FE7"/>
    <w:rsid w:val="00E731C7"/>
    <w:rsid w:val="00E733D3"/>
    <w:rsid w:val="00E734F4"/>
    <w:rsid w:val="00E73B9E"/>
    <w:rsid w:val="00E73DB7"/>
    <w:rsid w:val="00E7441E"/>
    <w:rsid w:val="00E745A5"/>
    <w:rsid w:val="00E747C3"/>
    <w:rsid w:val="00E749E7"/>
    <w:rsid w:val="00E74C27"/>
    <w:rsid w:val="00E74D24"/>
    <w:rsid w:val="00E755D2"/>
    <w:rsid w:val="00E75749"/>
    <w:rsid w:val="00E7587B"/>
    <w:rsid w:val="00E75E76"/>
    <w:rsid w:val="00E75EF9"/>
    <w:rsid w:val="00E7612F"/>
    <w:rsid w:val="00E761F8"/>
    <w:rsid w:val="00E76539"/>
    <w:rsid w:val="00E769CF"/>
    <w:rsid w:val="00E76B6B"/>
    <w:rsid w:val="00E76C0D"/>
    <w:rsid w:val="00E76CB2"/>
    <w:rsid w:val="00E76EC1"/>
    <w:rsid w:val="00E7763A"/>
    <w:rsid w:val="00E77A0D"/>
    <w:rsid w:val="00E77ED5"/>
    <w:rsid w:val="00E77F5E"/>
    <w:rsid w:val="00E8035A"/>
    <w:rsid w:val="00E80B36"/>
    <w:rsid w:val="00E80BD5"/>
    <w:rsid w:val="00E80D44"/>
    <w:rsid w:val="00E81096"/>
    <w:rsid w:val="00E81358"/>
    <w:rsid w:val="00E81A02"/>
    <w:rsid w:val="00E81C39"/>
    <w:rsid w:val="00E81CA6"/>
    <w:rsid w:val="00E81CF5"/>
    <w:rsid w:val="00E81FF4"/>
    <w:rsid w:val="00E820D3"/>
    <w:rsid w:val="00E82117"/>
    <w:rsid w:val="00E82443"/>
    <w:rsid w:val="00E82AFB"/>
    <w:rsid w:val="00E82E5D"/>
    <w:rsid w:val="00E82EFB"/>
    <w:rsid w:val="00E83011"/>
    <w:rsid w:val="00E831A4"/>
    <w:rsid w:val="00E834BE"/>
    <w:rsid w:val="00E83741"/>
    <w:rsid w:val="00E83A58"/>
    <w:rsid w:val="00E83B31"/>
    <w:rsid w:val="00E83B96"/>
    <w:rsid w:val="00E83F80"/>
    <w:rsid w:val="00E840F0"/>
    <w:rsid w:val="00E842CD"/>
    <w:rsid w:val="00E845AB"/>
    <w:rsid w:val="00E84673"/>
    <w:rsid w:val="00E84700"/>
    <w:rsid w:val="00E8497B"/>
    <w:rsid w:val="00E849BB"/>
    <w:rsid w:val="00E84AF7"/>
    <w:rsid w:val="00E84CEF"/>
    <w:rsid w:val="00E850B5"/>
    <w:rsid w:val="00E8583C"/>
    <w:rsid w:val="00E858FE"/>
    <w:rsid w:val="00E85FAC"/>
    <w:rsid w:val="00E86115"/>
    <w:rsid w:val="00E86154"/>
    <w:rsid w:val="00E862CC"/>
    <w:rsid w:val="00E864D7"/>
    <w:rsid w:val="00E86758"/>
    <w:rsid w:val="00E86C88"/>
    <w:rsid w:val="00E86F70"/>
    <w:rsid w:val="00E86FB3"/>
    <w:rsid w:val="00E872F5"/>
    <w:rsid w:val="00E872FD"/>
    <w:rsid w:val="00E87491"/>
    <w:rsid w:val="00E87689"/>
    <w:rsid w:val="00E87973"/>
    <w:rsid w:val="00E87AC9"/>
    <w:rsid w:val="00E87B5D"/>
    <w:rsid w:val="00E87D47"/>
    <w:rsid w:val="00E87DF3"/>
    <w:rsid w:val="00E90327"/>
    <w:rsid w:val="00E90407"/>
    <w:rsid w:val="00E9084C"/>
    <w:rsid w:val="00E90A51"/>
    <w:rsid w:val="00E90AA0"/>
    <w:rsid w:val="00E90B35"/>
    <w:rsid w:val="00E90BFB"/>
    <w:rsid w:val="00E90C83"/>
    <w:rsid w:val="00E90E22"/>
    <w:rsid w:val="00E90FAF"/>
    <w:rsid w:val="00E91107"/>
    <w:rsid w:val="00E91127"/>
    <w:rsid w:val="00E912D4"/>
    <w:rsid w:val="00E91427"/>
    <w:rsid w:val="00E914DA"/>
    <w:rsid w:val="00E91DD2"/>
    <w:rsid w:val="00E9265D"/>
    <w:rsid w:val="00E92930"/>
    <w:rsid w:val="00E92DBA"/>
    <w:rsid w:val="00E934CB"/>
    <w:rsid w:val="00E9359F"/>
    <w:rsid w:val="00E93738"/>
    <w:rsid w:val="00E93A99"/>
    <w:rsid w:val="00E946CD"/>
    <w:rsid w:val="00E94A58"/>
    <w:rsid w:val="00E94B3B"/>
    <w:rsid w:val="00E94F8D"/>
    <w:rsid w:val="00E94FFB"/>
    <w:rsid w:val="00E9518D"/>
    <w:rsid w:val="00E95240"/>
    <w:rsid w:val="00E95A4C"/>
    <w:rsid w:val="00E95C19"/>
    <w:rsid w:val="00E95C65"/>
    <w:rsid w:val="00E960DA"/>
    <w:rsid w:val="00E96508"/>
    <w:rsid w:val="00E96739"/>
    <w:rsid w:val="00E97126"/>
    <w:rsid w:val="00E973C8"/>
    <w:rsid w:val="00E97EC1"/>
    <w:rsid w:val="00EA04FB"/>
    <w:rsid w:val="00EA127B"/>
    <w:rsid w:val="00EA13D2"/>
    <w:rsid w:val="00EA13FF"/>
    <w:rsid w:val="00EA14BE"/>
    <w:rsid w:val="00EA1782"/>
    <w:rsid w:val="00EA1AFA"/>
    <w:rsid w:val="00EA1C8B"/>
    <w:rsid w:val="00EA2219"/>
    <w:rsid w:val="00EA2406"/>
    <w:rsid w:val="00EA2466"/>
    <w:rsid w:val="00EA2870"/>
    <w:rsid w:val="00EA29D5"/>
    <w:rsid w:val="00EA3039"/>
    <w:rsid w:val="00EA3161"/>
    <w:rsid w:val="00EA33AA"/>
    <w:rsid w:val="00EA35A8"/>
    <w:rsid w:val="00EA35DD"/>
    <w:rsid w:val="00EA38B7"/>
    <w:rsid w:val="00EA4439"/>
    <w:rsid w:val="00EA465A"/>
    <w:rsid w:val="00EA47CE"/>
    <w:rsid w:val="00EA49AC"/>
    <w:rsid w:val="00EA4E33"/>
    <w:rsid w:val="00EA546A"/>
    <w:rsid w:val="00EA5864"/>
    <w:rsid w:val="00EA58C2"/>
    <w:rsid w:val="00EA596E"/>
    <w:rsid w:val="00EA5A22"/>
    <w:rsid w:val="00EA5A55"/>
    <w:rsid w:val="00EA5D4F"/>
    <w:rsid w:val="00EA60F7"/>
    <w:rsid w:val="00EA675B"/>
    <w:rsid w:val="00EA6958"/>
    <w:rsid w:val="00EA6C9E"/>
    <w:rsid w:val="00EA6D8F"/>
    <w:rsid w:val="00EA7390"/>
    <w:rsid w:val="00EA73F5"/>
    <w:rsid w:val="00EA76B7"/>
    <w:rsid w:val="00EA7B31"/>
    <w:rsid w:val="00EA7B34"/>
    <w:rsid w:val="00EB04B2"/>
    <w:rsid w:val="00EB06D6"/>
    <w:rsid w:val="00EB0741"/>
    <w:rsid w:val="00EB07AD"/>
    <w:rsid w:val="00EB0AAA"/>
    <w:rsid w:val="00EB1391"/>
    <w:rsid w:val="00EB13D0"/>
    <w:rsid w:val="00EB1AD9"/>
    <w:rsid w:val="00EB1AFA"/>
    <w:rsid w:val="00EB1BEA"/>
    <w:rsid w:val="00EB20C5"/>
    <w:rsid w:val="00EB217B"/>
    <w:rsid w:val="00EB2603"/>
    <w:rsid w:val="00EB2773"/>
    <w:rsid w:val="00EB296D"/>
    <w:rsid w:val="00EB2CF1"/>
    <w:rsid w:val="00EB393C"/>
    <w:rsid w:val="00EB3B82"/>
    <w:rsid w:val="00EB3F0F"/>
    <w:rsid w:val="00EB40DF"/>
    <w:rsid w:val="00EB423F"/>
    <w:rsid w:val="00EB42D6"/>
    <w:rsid w:val="00EB4368"/>
    <w:rsid w:val="00EB474B"/>
    <w:rsid w:val="00EB54BB"/>
    <w:rsid w:val="00EB5B86"/>
    <w:rsid w:val="00EB5D43"/>
    <w:rsid w:val="00EB62A2"/>
    <w:rsid w:val="00EB63B2"/>
    <w:rsid w:val="00EB6413"/>
    <w:rsid w:val="00EB647B"/>
    <w:rsid w:val="00EB6B40"/>
    <w:rsid w:val="00EB7386"/>
    <w:rsid w:val="00EB762E"/>
    <w:rsid w:val="00EB7B21"/>
    <w:rsid w:val="00EB7C1A"/>
    <w:rsid w:val="00EB7DFC"/>
    <w:rsid w:val="00EC00C6"/>
    <w:rsid w:val="00EC02C0"/>
    <w:rsid w:val="00EC0399"/>
    <w:rsid w:val="00EC0C80"/>
    <w:rsid w:val="00EC1292"/>
    <w:rsid w:val="00EC134E"/>
    <w:rsid w:val="00EC1932"/>
    <w:rsid w:val="00EC1F85"/>
    <w:rsid w:val="00EC2101"/>
    <w:rsid w:val="00EC285F"/>
    <w:rsid w:val="00EC2BC2"/>
    <w:rsid w:val="00EC2F55"/>
    <w:rsid w:val="00EC30E8"/>
    <w:rsid w:val="00EC3427"/>
    <w:rsid w:val="00EC3B50"/>
    <w:rsid w:val="00EC3CC3"/>
    <w:rsid w:val="00EC3DA4"/>
    <w:rsid w:val="00EC42FF"/>
    <w:rsid w:val="00EC439C"/>
    <w:rsid w:val="00EC4529"/>
    <w:rsid w:val="00EC45D0"/>
    <w:rsid w:val="00EC4602"/>
    <w:rsid w:val="00EC4A9F"/>
    <w:rsid w:val="00EC4C38"/>
    <w:rsid w:val="00EC4F02"/>
    <w:rsid w:val="00EC55E3"/>
    <w:rsid w:val="00EC57BE"/>
    <w:rsid w:val="00EC5C33"/>
    <w:rsid w:val="00EC5EB9"/>
    <w:rsid w:val="00EC620E"/>
    <w:rsid w:val="00EC62FE"/>
    <w:rsid w:val="00EC72E8"/>
    <w:rsid w:val="00EC73A1"/>
    <w:rsid w:val="00EC7744"/>
    <w:rsid w:val="00ED025E"/>
    <w:rsid w:val="00ED0A19"/>
    <w:rsid w:val="00ED0CE8"/>
    <w:rsid w:val="00ED0ED6"/>
    <w:rsid w:val="00ED1945"/>
    <w:rsid w:val="00ED1A8A"/>
    <w:rsid w:val="00ED1D78"/>
    <w:rsid w:val="00ED1DA8"/>
    <w:rsid w:val="00ED285C"/>
    <w:rsid w:val="00ED28B7"/>
    <w:rsid w:val="00ED29DF"/>
    <w:rsid w:val="00ED2B6D"/>
    <w:rsid w:val="00ED2C38"/>
    <w:rsid w:val="00ED31D0"/>
    <w:rsid w:val="00ED3494"/>
    <w:rsid w:val="00ED3772"/>
    <w:rsid w:val="00ED3D78"/>
    <w:rsid w:val="00ED4835"/>
    <w:rsid w:val="00ED4CDD"/>
    <w:rsid w:val="00ED4F6D"/>
    <w:rsid w:val="00ED500E"/>
    <w:rsid w:val="00ED5A4E"/>
    <w:rsid w:val="00ED6396"/>
    <w:rsid w:val="00ED6576"/>
    <w:rsid w:val="00ED6AFF"/>
    <w:rsid w:val="00ED6EBD"/>
    <w:rsid w:val="00ED7194"/>
    <w:rsid w:val="00ED74AB"/>
    <w:rsid w:val="00ED7C71"/>
    <w:rsid w:val="00ED7CAC"/>
    <w:rsid w:val="00ED7DC1"/>
    <w:rsid w:val="00EE03D8"/>
    <w:rsid w:val="00EE06C7"/>
    <w:rsid w:val="00EE13C7"/>
    <w:rsid w:val="00EE16D5"/>
    <w:rsid w:val="00EE1A06"/>
    <w:rsid w:val="00EE1FC0"/>
    <w:rsid w:val="00EE23BF"/>
    <w:rsid w:val="00EE2563"/>
    <w:rsid w:val="00EE2587"/>
    <w:rsid w:val="00EE26F3"/>
    <w:rsid w:val="00EE278A"/>
    <w:rsid w:val="00EE2842"/>
    <w:rsid w:val="00EE2E94"/>
    <w:rsid w:val="00EE32BD"/>
    <w:rsid w:val="00EE3381"/>
    <w:rsid w:val="00EE3712"/>
    <w:rsid w:val="00EE399E"/>
    <w:rsid w:val="00EE42A5"/>
    <w:rsid w:val="00EE45A1"/>
    <w:rsid w:val="00EE465C"/>
    <w:rsid w:val="00EE484A"/>
    <w:rsid w:val="00EE4993"/>
    <w:rsid w:val="00EE4C5C"/>
    <w:rsid w:val="00EE4CCF"/>
    <w:rsid w:val="00EE4CFC"/>
    <w:rsid w:val="00EE4D91"/>
    <w:rsid w:val="00EE4EAC"/>
    <w:rsid w:val="00EE5708"/>
    <w:rsid w:val="00EE5B90"/>
    <w:rsid w:val="00EE60F7"/>
    <w:rsid w:val="00EE66B8"/>
    <w:rsid w:val="00EE6B9E"/>
    <w:rsid w:val="00EE7013"/>
    <w:rsid w:val="00EE7359"/>
    <w:rsid w:val="00EE753A"/>
    <w:rsid w:val="00EE778D"/>
    <w:rsid w:val="00EE7942"/>
    <w:rsid w:val="00EE7B08"/>
    <w:rsid w:val="00EE7DAB"/>
    <w:rsid w:val="00EE7F6C"/>
    <w:rsid w:val="00EF0960"/>
    <w:rsid w:val="00EF134F"/>
    <w:rsid w:val="00EF1389"/>
    <w:rsid w:val="00EF1454"/>
    <w:rsid w:val="00EF17E5"/>
    <w:rsid w:val="00EF19D3"/>
    <w:rsid w:val="00EF1BAC"/>
    <w:rsid w:val="00EF1DE3"/>
    <w:rsid w:val="00EF1EF5"/>
    <w:rsid w:val="00EF1FD0"/>
    <w:rsid w:val="00EF201C"/>
    <w:rsid w:val="00EF22DB"/>
    <w:rsid w:val="00EF28FC"/>
    <w:rsid w:val="00EF2CF4"/>
    <w:rsid w:val="00EF2D8C"/>
    <w:rsid w:val="00EF32D6"/>
    <w:rsid w:val="00EF32D9"/>
    <w:rsid w:val="00EF332E"/>
    <w:rsid w:val="00EF3628"/>
    <w:rsid w:val="00EF3A3F"/>
    <w:rsid w:val="00EF3F12"/>
    <w:rsid w:val="00EF4555"/>
    <w:rsid w:val="00EF4745"/>
    <w:rsid w:val="00EF4866"/>
    <w:rsid w:val="00EF48AB"/>
    <w:rsid w:val="00EF54ED"/>
    <w:rsid w:val="00EF5A83"/>
    <w:rsid w:val="00EF5D62"/>
    <w:rsid w:val="00EF635F"/>
    <w:rsid w:val="00EF6602"/>
    <w:rsid w:val="00EF6AC8"/>
    <w:rsid w:val="00EF6DC0"/>
    <w:rsid w:val="00EF7077"/>
    <w:rsid w:val="00EF745C"/>
    <w:rsid w:val="00EF7CE6"/>
    <w:rsid w:val="00F0069C"/>
    <w:rsid w:val="00F01081"/>
    <w:rsid w:val="00F010CF"/>
    <w:rsid w:val="00F015E2"/>
    <w:rsid w:val="00F0191B"/>
    <w:rsid w:val="00F01C16"/>
    <w:rsid w:val="00F02296"/>
    <w:rsid w:val="00F025B6"/>
    <w:rsid w:val="00F0279B"/>
    <w:rsid w:val="00F02882"/>
    <w:rsid w:val="00F02931"/>
    <w:rsid w:val="00F029C0"/>
    <w:rsid w:val="00F02DA5"/>
    <w:rsid w:val="00F03292"/>
    <w:rsid w:val="00F0355A"/>
    <w:rsid w:val="00F037B4"/>
    <w:rsid w:val="00F03CE4"/>
    <w:rsid w:val="00F03E89"/>
    <w:rsid w:val="00F03FBF"/>
    <w:rsid w:val="00F04063"/>
    <w:rsid w:val="00F041FC"/>
    <w:rsid w:val="00F048E1"/>
    <w:rsid w:val="00F04934"/>
    <w:rsid w:val="00F04CC6"/>
    <w:rsid w:val="00F04F2A"/>
    <w:rsid w:val="00F04F76"/>
    <w:rsid w:val="00F05538"/>
    <w:rsid w:val="00F05789"/>
    <w:rsid w:val="00F05C44"/>
    <w:rsid w:val="00F05E4F"/>
    <w:rsid w:val="00F0604F"/>
    <w:rsid w:val="00F0611F"/>
    <w:rsid w:val="00F0618D"/>
    <w:rsid w:val="00F063BA"/>
    <w:rsid w:val="00F064E6"/>
    <w:rsid w:val="00F065BD"/>
    <w:rsid w:val="00F06C9B"/>
    <w:rsid w:val="00F06DDD"/>
    <w:rsid w:val="00F0708D"/>
    <w:rsid w:val="00F07095"/>
    <w:rsid w:val="00F0710B"/>
    <w:rsid w:val="00F07872"/>
    <w:rsid w:val="00F07B9E"/>
    <w:rsid w:val="00F07BCE"/>
    <w:rsid w:val="00F07D30"/>
    <w:rsid w:val="00F07DD6"/>
    <w:rsid w:val="00F07E02"/>
    <w:rsid w:val="00F10028"/>
    <w:rsid w:val="00F1012D"/>
    <w:rsid w:val="00F10817"/>
    <w:rsid w:val="00F10909"/>
    <w:rsid w:val="00F10A09"/>
    <w:rsid w:val="00F10B00"/>
    <w:rsid w:val="00F10E65"/>
    <w:rsid w:val="00F11125"/>
    <w:rsid w:val="00F1142F"/>
    <w:rsid w:val="00F114C3"/>
    <w:rsid w:val="00F11574"/>
    <w:rsid w:val="00F11994"/>
    <w:rsid w:val="00F11A42"/>
    <w:rsid w:val="00F11BEC"/>
    <w:rsid w:val="00F11E75"/>
    <w:rsid w:val="00F122CB"/>
    <w:rsid w:val="00F1250C"/>
    <w:rsid w:val="00F12597"/>
    <w:rsid w:val="00F128F8"/>
    <w:rsid w:val="00F12A16"/>
    <w:rsid w:val="00F12AC6"/>
    <w:rsid w:val="00F12CB1"/>
    <w:rsid w:val="00F12CFD"/>
    <w:rsid w:val="00F1345C"/>
    <w:rsid w:val="00F13464"/>
    <w:rsid w:val="00F13A9A"/>
    <w:rsid w:val="00F13B76"/>
    <w:rsid w:val="00F13EA4"/>
    <w:rsid w:val="00F13FD0"/>
    <w:rsid w:val="00F140A0"/>
    <w:rsid w:val="00F14254"/>
    <w:rsid w:val="00F144D6"/>
    <w:rsid w:val="00F14AA0"/>
    <w:rsid w:val="00F14AD0"/>
    <w:rsid w:val="00F14C4B"/>
    <w:rsid w:val="00F14E76"/>
    <w:rsid w:val="00F14F1F"/>
    <w:rsid w:val="00F14F38"/>
    <w:rsid w:val="00F15041"/>
    <w:rsid w:val="00F153A6"/>
    <w:rsid w:val="00F15514"/>
    <w:rsid w:val="00F155DD"/>
    <w:rsid w:val="00F15A41"/>
    <w:rsid w:val="00F160F9"/>
    <w:rsid w:val="00F16731"/>
    <w:rsid w:val="00F16B6F"/>
    <w:rsid w:val="00F16C8C"/>
    <w:rsid w:val="00F17C97"/>
    <w:rsid w:val="00F20088"/>
    <w:rsid w:val="00F2009A"/>
    <w:rsid w:val="00F201D5"/>
    <w:rsid w:val="00F20578"/>
    <w:rsid w:val="00F20806"/>
    <w:rsid w:val="00F20834"/>
    <w:rsid w:val="00F20D25"/>
    <w:rsid w:val="00F20F6A"/>
    <w:rsid w:val="00F218D5"/>
    <w:rsid w:val="00F21B76"/>
    <w:rsid w:val="00F21D55"/>
    <w:rsid w:val="00F21D89"/>
    <w:rsid w:val="00F21F27"/>
    <w:rsid w:val="00F21FF6"/>
    <w:rsid w:val="00F22AA4"/>
    <w:rsid w:val="00F22B3D"/>
    <w:rsid w:val="00F22B47"/>
    <w:rsid w:val="00F22B76"/>
    <w:rsid w:val="00F23771"/>
    <w:rsid w:val="00F23A36"/>
    <w:rsid w:val="00F23D45"/>
    <w:rsid w:val="00F23F2C"/>
    <w:rsid w:val="00F245B7"/>
    <w:rsid w:val="00F245E2"/>
    <w:rsid w:val="00F24F51"/>
    <w:rsid w:val="00F2506E"/>
    <w:rsid w:val="00F250E5"/>
    <w:rsid w:val="00F25223"/>
    <w:rsid w:val="00F25298"/>
    <w:rsid w:val="00F25B02"/>
    <w:rsid w:val="00F25B21"/>
    <w:rsid w:val="00F25CB9"/>
    <w:rsid w:val="00F25DDA"/>
    <w:rsid w:val="00F266C8"/>
    <w:rsid w:val="00F2697B"/>
    <w:rsid w:val="00F26C32"/>
    <w:rsid w:val="00F26EC1"/>
    <w:rsid w:val="00F27028"/>
    <w:rsid w:val="00F27381"/>
    <w:rsid w:val="00F2744F"/>
    <w:rsid w:val="00F275EC"/>
    <w:rsid w:val="00F2769E"/>
    <w:rsid w:val="00F3065C"/>
    <w:rsid w:val="00F306E4"/>
    <w:rsid w:val="00F30769"/>
    <w:rsid w:val="00F309E8"/>
    <w:rsid w:val="00F30A17"/>
    <w:rsid w:val="00F31154"/>
    <w:rsid w:val="00F31326"/>
    <w:rsid w:val="00F3157F"/>
    <w:rsid w:val="00F3186A"/>
    <w:rsid w:val="00F318F9"/>
    <w:rsid w:val="00F31A8A"/>
    <w:rsid w:val="00F31CF9"/>
    <w:rsid w:val="00F32A82"/>
    <w:rsid w:val="00F32C33"/>
    <w:rsid w:val="00F33052"/>
    <w:rsid w:val="00F33122"/>
    <w:rsid w:val="00F331BA"/>
    <w:rsid w:val="00F3383A"/>
    <w:rsid w:val="00F33EAB"/>
    <w:rsid w:val="00F3444B"/>
    <w:rsid w:val="00F34627"/>
    <w:rsid w:val="00F34633"/>
    <w:rsid w:val="00F3469C"/>
    <w:rsid w:val="00F346A2"/>
    <w:rsid w:val="00F34845"/>
    <w:rsid w:val="00F34EE8"/>
    <w:rsid w:val="00F3507D"/>
    <w:rsid w:val="00F35250"/>
    <w:rsid w:val="00F35680"/>
    <w:rsid w:val="00F35715"/>
    <w:rsid w:val="00F37C35"/>
    <w:rsid w:val="00F37D6D"/>
    <w:rsid w:val="00F4006A"/>
    <w:rsid w:val="00F40614"/>
    <w:rsid w:val="00F40A96"/>
    <w:rsid w:val="00F40CBB"/>
    <w:rsid w:val="00F40F9B"/>
    <w:rsid w:val="00F41183"/>
    <w:rsid w:val="00F414BA"/>
    <w:rsid w:val="00F415D8"/>
    <w:rsid w:val="00F4165B"/>
    <w:rsid w:val="00F418F7"/>
    <w:rsid w:val="00F419EC"/>
    <w:rsid w:val="00F41BE6"/>
    <w:rsid w:val="00F41BE7"/>
    <w:rsid w:val="00F41CB6"/>
    <w:rsid w:val="00F4224B"/>
    <w:rsid w:val="00F42551"/>
    <w:rsid w:val="00F426C1"/>
    <w:rsid w:val="00F4281E"/>
    <w:rsid w:val="00F429F5"/>
    <w:rsid w:val="00F42A86"/>
    <w:rsid w:val="00F4357C"/>
    <w:rsid w:val="00F44206"/>
    <w:rsid w:val="00F442E2"/>
    <w:rsid w:val="00F44870"/>
    <w:rsid w:val="00F44C6E"/>
    <w:rsid w:val="00F450D9"/>
    <w:rsid w:val="00F45268"/>
    <w:rsid w:val="00F45535"/>
    <w:rsid w:val="00F45CEF"/>
    <w:rsid w:val="00F45D61"/>
    <w:rsid w:val="00F45F7A"/>
    <w:rsid w:val="00F46335"/>
    <w:rsid w:val="00F467C5"/>
    <w:rsid w:val="00F46ED8"/>
    <w:rsid w:val="00F46F71"/>
    <w:rsid w:val="00F472EA"/>
    <w:rsid w:val="00F473E8"/>
    <w:rsid w:val="00F47EB9"/>
    <w:rsid w:val="00F504B5"/>
    <w:rsid w:val="00F50683"/>
    <w:rsid w:val="00F50EAF"/>
    <w:rsid w:val="00F5131B"/>
    <w:rsid w:val="00F515DB"/>
    <w:rsid w:val="00F51F1D"/>
    <w:rsid w:val="00F51F9C"/>
    <w:rsid w:val="00F52194"/>
    <w:rsid w:val="00F523B0"/>
    <w:rsid w:val="00F523F7"/>
    <w:rsid w:val="00F524F7"/>
    <w:rsid w:val="00F525A4"/>
    <w:rsid w:val="00F526C9"/>
    <w:rsid w:val="00F528BA"/>
    <w:rsid w:val="00F5290F"/>
    <w:rsid w:val="00F52AA6"/>
    <w:rsid w:val="00F5333E"/>
    <w:rsid w:val="00F5347B"/>
    <w:rsid w:val="00F534F5"/>
    <w:rsid w:val="00F53621"/>
    <w:rsid w:val="00F53826"/>
    <w:rsid w:val="00F53C83"/>
    <w:rsid w:val="00F53CB0"/>
    <w:rsid w:val="00F53CE4"/>
    <w:rsid w:val="00F53D40"/>
    <w:rsid w:val="00F540E2"/>
    <w:rsid w:val="00F541B1"/>
    <w:rsid w:val="00F5454E"/>
    <w:rsid w:val="00F54735"/>
    <w:rsid w:val="00F549F3"/>
    <w:rsid w:val="00F54C5F"/>
    <w:rsid w:val="00F54D74"/>
    <w:rsid w:val="00F54E9D"/>
    <w:rsid w:val="00F550EC"/>
    <w:rsid w:val="00F552C0"/>
    <w:rsid w:val="00F55315"/>
    <w:rsid w:val="00F5534D"/>
    <w:rsid w:val="00F5559B"/>
    <w:rsid w:val="00F5595B"/>
    <w:rsid w:val="00F55BFA"/>
    <w:rsid w:val="00F55C25"/>
    <w:rsid w:val="00F55EDB"/>
    <w:rsid w:val="00F5615A"/>
    <w:rsid w:val="00F563DB"/>
    <w:rsid w:val="00F56527"/>
    <w:rsid w:val="00F56963"/>
    <w:rsid w:val="00F569F6"/>
    <w:rsid w:val="00F56C1C"/>
    <w:rsid w:val="00F56F49"/>
    <w:rsid w:val="00F57007"/>
    <w:rsid w:val="00F578DC"/>
    <w:rsid w:val="00F579F5"/>
    <w:rsid w:val="00F57AE6"/>
    <w:rsid w:val="00F57EC9"/>
    <w:rsid w:val="00F60760"/>
    <w:rsid w:val="00F609C3"/>
    <w:rsid w:val="00F60A3A"/>
    <w:rsid w:val="00F60C9B"/>
    <w:rsid w:val="00F6119A"/>
    <w:rsid w:val="00F61F05"/>
    <w:rsid w:val="00F62278"/>
    <w:rsid w:val="00F62DE7"/>
    <w:rsid w:val="00F62ED0"/>
    <w:rsid w:val="00F634FA"/>
    <w:rsid w:val="00F63530"/>
    <w:rsid w:val="00F636B3"/>
    <w:rsid w:val="00F63C2C"/>
    <w:rsid w:val="00F63D25"/>
    <w:rsid w:val="00F6400D"/>
    <w:rsid w:val="00F64442"/>
    <w:rsid w:val="00F64463"/>
    <w:rsid w:val="00F64C78"/>
    <w:rsid w:val="00F64F47"/>
    <w:rsid w:val="00F6501B"/>
    <w:rsid w:val="00F650C7"/>
    <w:rsid w:val="00F6529A"/>
    <w:rsid w:val="00F65400"/>
    <w:rsid w:val="00F65458"/>
    <w:rsid w:val="00F6559F"/>
    <w:rsid w:val="00F6565B"/>
    <w:rsid w:val="00F657EC"/>
    <w:rsid w:val="00F65EE9"/>
    <w:rsid w:val="00F65F46"/>
    <w:rsid w:val="00F664BB"/>
    <w:rsid w:val="00F664FD"/>
    <w:rsid w:val="00F66612"/>
    <w:rsid w:val="00F66769"/>
    <w:rsid w:val="00F6683E"/>
    <w:rsid w:val="00F66B92"/>
    <w:rsid w:val="00F66C29"/>
    <w:rsid w:val="00F66CDD"/>
    <w:rsid w:val="00F67134"/>
    <w:rsid w:val="00F67163"/>
    <w:rsid w:val="00F676F2"/>
    <w:rsid w:val="00F67894"/>
    <w:rsid w:val="00F67B25"/>
    <w:rsid w:val="00F70230"/>
    <w:rsid w:val="00F706B4"/>
    <w:rsid w:val="00F70823"/>
    <w:rsid w:val="00F70B3D"/>
    <w:rsid w:val="00F70F0C"/>
    <w:rsid w:val="00F712FE"/>
    <w:rsid w:val="00F7181D"/>
    <w:rsid w:val="00F71C90"/>
    <w:rsid w:val="00F71D7C"/>
    <w:rsid w:val="00F72298"/>
    <w:rsid w:val="00F7246E"/>
    <w:rsid w:val="00F729FF"/>
    <w:rsid w:val="00F72A38"/>
    <w:rsid w:val="00F72AED"/>
    <w:rsid w:val="00F72EDA"/>
    <w:rsid w:val="00F73405"/>
    <w:rsid w:val="00F73996"/>
    <w:rsid w:val="00F73B80"/>
    <w:rsid w:val="00F73F52"/>
    <w:rsid w:val="00F740D9"/>
    <w:rsid w:val="00F742D5"/>
    <w:rsid w:val="00F7447F"/>
    <w:rsid w:val="00F744C2"/>
    <w:rsid w:val="00F746E1"/>
    <w:rsid w:val="00F746F5"/>
    <w:rsid w:val="00F7483E"/>
    <w:rsid w:val="00F74CE9"/>
    <w:rsid w:val="00F74FAC"/>
    <w:rsid w:val="00F74FB1"/>
    <w:rsid w:val="00F75045"/>
    <w:rsid w:val="00F757C7"/>
    <w:rsid w:val="00F7609E"/>
    <w:rsid w:val="00F76308"/>
    <w:rsid w:val="00F76C2B"/>
    <w:rsid w:val="00F76D11"/>
    <w:rsid w:val="00F773E8"/>
    <w:rsid w:val="00F77486"/>
    <w:rsid w:val="00F774A1"/>
    <w:rsid w:val="00F774DC"/>
    <w:rsid w:val="00F7777F"/>
    <w:rsid w:val="00F77A76"/>
    <w:rsid w:val="00F77C6A"/>
    <w:rsid w:val="00F77C93"/>
    <w:rsid w:val="00F77F83"/>
    <w:rsid w:val="00F80338"/>
    <w:rsid w:val="00F803C2"/>
    <w:rsid w:val="00F80556"/>
    <w:rsid w:val="00F807D4"/>
    <w:rsid w:val="00F80944"/>
    <w:rsid w:val="00F80974"/>
    <w:rsid w:val="00F80987"/>
    <w:rsid w:val="00F80A35"/>
    <w:rsid w:val="00F80B17"/>
    <w:rsid w:val="00F80F05"/>
    <w:rsid w:val="00F8131F"/>
    <w:rsid w:val="00F81607"/>
    <w:rsid w:val="00F81715"/>
    <w:rsid w:val="00F81CF0"/>
    <w:rsid w:val="00F81D5E"/>
    <w:rsid w:val="00F820E6"/>
    <w:rsid w:val="00F824FA"/>
    <w:rsid w:val="00F8267C"/>
    <w:rsid w:val="00F82946"/>
    <w:rsid w:val="00F82AB6"/>
    <w:rsid w:val="00F82B19"/>
    <w:rsid w:val="00F82B4D"/>
    <w:rsid w:val="00F8300C"/>
    <w:rsid w:val="00F838BA"/>
    <w:rsid w:val="00F83A4F"/>
    <w:rsid w:val="00F83CE9"/>
    <w:rsid w:val="00F84736"/>
    <w:rsid w:val="00F847B0"/>
    <w:rsid w:val="00F849E6"/>
    <w:rsid w:val="00F84AAC"/>
    <w:rsid w:val="00F84B1E"/>
    <w:rsid w:val="00F84B29"/>
    <w:rsid w:val="00F84FA8"/>
    <w:rsid w:val="00F84FF9"/>
    <w:rsid w:val="00F851FF"/>
    <w:rsid w:val="00F86251"/>
    <w:rsid w:val="00F86487"/>
    <w:rsid w:val="00F8683F"/>
    <w:rsid w:val="00F86989"/>
    <w:rsid w:val="00F86A81"/>
    <w:rsid w:val="00F87142"/>
    <w:rsid w:val="00F871C3"/>
    <w:rsid w:val="00F87576"/>
    <w:rsid w:val="00F87ACC"/>
    <w:rsid w:val="00F87B71"/>
    <w:rsid w:val="00F9047C"/>
    <w:rsid w:val="00F90B35"/>
    <w:rsid w:val="00F90FD6"/>
    <w:rsid w:val="00F91400"/>
    <w:rsid w:val="00F91A9B"/>
    <w:rsid w:val="00F91FDF"/>
    <w:rsid w:val="00F920CA"/>
    <w:rsid w:val="00F924F4"/>
    <w:rsid w:val="00F92539"/>
    <w:rsid w:val="00F92747"/>
    <w:rsid w:val="00F92775"/>
    <w:rsid w:val="00F927B3"/>
    <w:rsid w:val="00F930ED"/>
    <w:rsid w:val="00F9319C"/>
    <w:rsid w:val="00F931C1"/>
    <w:rsid w:val="00F93211"/>
    <w:rsid w:val="00F9326E"/>
    <w:rsid w:val="00F93377"/>
    <w:rsid w:val="00F936C7"/>
    <w:rsid w:val="00F9374F"/>
    <w:rsid w:val="00F937D1"/>
    <w:rsid w:val="00F93815"/>
    <w:rsid w:val="00F943BF"/>
    <w:rsid w:val="00F94A89"/>
    <w:rsid w:val="00F94AFE"/>
    <w:rsid w:val="00F951C4"/>
    <w:rsid w:val="00F954A6"/>
    <w:rsid w:val="00F95847"/>
    <w:rsid w:val="00F95BB8"/>
    <w:rsid w:val="00F96163"/>
    <w:rsid w:val="00F968C3"/>
    <w:rsid w:val="00F97273"/>
    <w:rsid w:val="00F972CE"/>
    <w:rsid w:val="00F97397"/>
    <w:rsid w:val="00F97418"/>
    <w:rsid w:val="00F97878"/>
    <w:rsid w:val="00F97EA0"/>
    <w:rsid w:val="00F97F3A"/>
    <w:rsid w:val="00F97F8C"/>
    <w:rsid w:val="00FA07B3"/>
    <w:rsid w:val="00FA1101"/>
    <w:rsid w:val="00FA1114"/>
    <w:rsid w:val="00FA1129"/>
    <w:rsid w:val="00FA1325"/>
    <w:rsid w:val="00FA13AB"/>
    <w:rsid w:val="00FA1938"/>
    <w:rsid w:val="00FA1AC5"/>
    <w:rsid w:val="00FA1C8B"/>
    <w:rsid w:val="00FA1E91"/>
    <w:rsid w:val="00FA20B2"/>
    <w:rsid w:val="00FA2315"/>
    <w:rsid w:val="00FA2622"/>
    <w:rsid w:val="00FA2723"/>
    <w:rsid w:val="00FA29AA"/>
    <w:rsid w:val="00FA2B0E"/>
    <w:rsid w:val="00FA303F"/>
    <w:rsid w:val="00FA306E"/>
    <w:rsid w:val="00FA3A8E"/>
    <w:rsid w:val="00FA3C1E"/>
    <w:rsid w:val="00FA3D9A"/>
    <w:rsid w:val="00FA40F9"/>
    <w:rsid w:val="00FA41F3"/>
    <w:rsid w:val="00FA49F7"/>
    <w:rsid w:val="00FA4F20"/>
    <w:rsid w:val="00FA589B"/>
    <w:rsid w:val="00FA5CB5"/>
    <w:rsid w:val="00FA613C"/>
    <w:rsid w:val="00FA67EC"/>
    <w:rsid w:val="00FA71DA"/>
    <w:rsid w:val="00FA744C"/>
    <w:rsid w:val="00FA7EFB"/>
    <w:rsid w:val="00FB0135"/>
    <w:rsid w:val="00FB029D"/>
    <w:rsid w:val="00FB0731"/>
    <w:rsid w:val="00FB0957"/>
    <w:rsid w:val="00FB0B25"/>
    <w:rsid w:val="00FB0E9F"/>
    <w:rsid w:val="00FB1069"/>
    <w:rsid w:val="00FB109C"/>
    <w:rsid w:val="00FB121C"/>
    <w:rsid w:val="00FB1228"/>
    <w:rsid w:val="00FB13BF"/>
    <w:rsid w:val="00FB17AA"/>
    <w:rsid w:val="00FB1D6D"/>
    <w:rsid w:val="00FB2049"/>
    <w:rsid w:val="00FB2307"/>
    <w:rsid w:val="00FB2A15"/>
    <w:rsid w:val="00FB2A84"/>
    <w:rsid w:val="00FB3005"/>
    <w:rsid w:val="00FB3187"/>
    <w:rsid w:val="00FB32AC"/>
    <w:rsid w:val="00FB32E1"/>
    <w:rsid w:val="00FB3B6B"/>
    <w:rsid w:val="00FB3C55"/>
    <w:rsid w:val="00FB4260"/>
    <w:rsid w:val="00FB4286"/>
    <w:rsid w:val="00FB45C2"/>
    <w:rsid w:val="00FB470E"/>
    <w:rsid w:val="00FB4858"/>
    <w:rsid w:val="00FB4CA1"/>
    <w:rsid w:val="00FB4F37"/>
    <w:rsid w:val="00FB5163"/>
    <w:rsid w:val="00FB5366"/>
    <w:rsid w:val="00FB5506"/>
    <w:rsid w:val="00FB5650"/>
    <w:rsid w:val="00FB5659"/>
    <w:rsid w:val="00FB5696"/>
    <w:rsid w:val="00FB574D"/>
    <w:rsid w:val="00FB58FB"/>
    <w:rsid w:val="00FB5A28"/>
    <w:rsid w:val="00FB6116"/>
    <w:rsid w:val="00FB6490"/>
    <w:rsid w:val="00FB67D7"/>
    <w:rsid w:val="00FB6910"/>
    <w:rsid w:val="00FB7256"/>
    <w:rsid w:val="00FB73D1"/>
    <w:rsid w:val="00FB74B6"/>
    <w:rsid w:val="00FB75D6"/>
    <w:rsid w:val="00FB7926"/>
    <w:rsid w:val="00FB7D9D"/>
    <w:rsid w:val="00FC01C2"/>
    <w:rsid w:val="00FC075E"/>
    <w:rsid w:val="00FC096B"/>
    <w:rsid w:val="00FC0E46"/>
    <w:rsid w:val="00FC0FF3"/>
    <w:rsid w:val="00FC13EA"/>
    <w:rsid w:val="00FC160D"/>
    <w:rsid w:val="00FC16D1"/>
    <w:rsid w:val="00FC18E2"/>
    <w:rsid w:val="00FC1BB7"/>
    <w:rsid w:val="00FC1DDB"/>
    <w:rsid w:val="00FC1F6D"/>
    <w:rsid w:val="00FC1FDD"/>
    <w:rsid w:val="00FC223F"/>
    <w:rsid w:val="00FC254C"/>
    <w:rsid w:val="00FC2861"/>
    <w:rsid w:val="00FC2982"/>
    <w:rsid w:val="00FC2AA7"/>
    <w:rsid w:val="00FC2C00"/>
    <w:rsid w:val="00FC2C2A"/>
    <w:rsid w:val="00FC2F3E"/>
    <w:rsid w:val="00FC33E1"/>
    <w:rsid w:val="00FC38F7"/>
    <w:rsid w:val="00FC40D4"/>
    <w:rsid w:val="00FC417E"/>
    <w:rsid w:val="00FC4561"/>
    <w:rsid w:val="00FC469A"/>
    <w:rsid w:val="00FC47FF"/>
    <w:rsid w:val="00FC4C74"/>
    <w:rsid w:val="00FC556A"/>
    <w:rsid w:val="00FC558D"/>
    <w:rsid w:val="00FC55C9"/>
    <w:rsid w:val="00FC5891"/>
    <w:rsid w:val="00FC596A"/>
    <w:rsid w:val="00FC5E54"/>
    <w:rsid w:val="00FC6428"/>
    <w:rsid w:val="00FC6827"/>
    <w:rsid w:val="00FC6E46"/>
    <w:rsid w:val="00FC7177"/>
    <w:rsid w:val="00FC79AD"/>
    <w:rsid w:val="00FC7DA7"/>
    <w:rsid w:val="00FD01A8"/>
    <w:rsid w:val="00FD0C25"/>
    <w:rsid w:val="00FD0E40"/>
    <w:rsid w:val="00FD1F58"/>
    <w:rsid w:val="00FD24A4"/>
    <w:rsid w:val="00FD27C0"/>
    <w:rsid w:val="00FD2B9D"/>
    <w:rsid w:val="00FD3293"/>
    <w:rsid w:val="00FD37FF"/>
    <w:rsid w:val="00FD3849"/>
    <w:rsid w:val="00FD39C6"/>
    <w:rsid w:val="00FD3A3C"/>
    <w:rsid w:val="00FD3BE6"/>
    <w:rsid w:val="00FD3D5C"/>
    <w:rsid w:val="00FD4706"/>
    <w:rsid w:val="00FD488D"/>
    <w:rsid w:val="00FD4B90"/>
    <w:rsid w:val="00FD4C63"/>
    <w:rsid w:val="00FD4F5D"/>
    <w:rsid w:val="00FD5052"/>
    <w:rsid w:val="00FD50D1"/>
    <w:rsid w:val="00FD5447"/>
    <w:rsid w:val="00FD57F3"/>
    <w:rsid w:val="00FD5AD4"/>
    <w:rsid w:val="00FD5DEE"/>
    <w:rsid w:val="00FD5EE7"/>
    <w:rsid w:val="00FD5F3C"/>
    <w:rsid w:val="00FD5FBC"/>
    <w:rsid w:val="00FD6089"/>
    <w:rsid w:val="00FD63E1"/>
    <w:rsid w:val="00FD65A8"/>
    <w:rsid w:val="00FD67C6"/>
    <w:rsid w:val="00FD6A78"/>
    <w:rsid w:val="00FD6B63"/>
    <w:rsid w:val="00FD75F9"/>
    <w:rsid w:val="00FD7633"/>
    <w:rsid w:val="00FD7779"/>
    <w:rsid w:val="00FD7784"/>
    <w:rsid w:val="00FD7955"/>
    <w:rsid w:val="00FE056D"/>
    <w:rsid w:val="00FE0D1B"/>
    <w:rsid w:val="00FE0D62"/>
    <w:rsid w:val="00FE12AB"/>
    <w:rsid w:val="00FE1514"/>
    <w:rsid w:val="00FE16EE"/>
    <w:rsid w:val="00FE190A"/>
    <w:rsid w:val="00FE1CFA"/>
    <w:rsid w:val="00FE21A7"/>
    <w:rsid w:val="00FE22F3"/>
    <w:rsid w:val="00FE23E2"/>
    <w:rsid w:val="00FE2711"/>
    <w:rsid w:val="00FE2955"/>
    <w:rsid w:val="00FE296A"/>
    <w:rsid w:val="00FE3415"/>
    <w:rsid w:val="00FE3473"/>
    <w:rsid w:val="00FE34C2"/>
    <w:rsid w:val="00FE3738"/>
    <w:rsid w:val="00FE3762"/>
    <w:rsid w:val="00FE4328"/>
    <w:rsid w:val="00FE4C7D"/>
    <w:rsid w:val="00FE4CAB"/>
    <w:rsid w:val="00FE4DAC"/>
    <w:rsid w:val="00FE50D3"/>
    <w:rsid w:val="00FE61B5"/>
    <w:rsid w:val="00FE621C"/>
    <w:rsid w:val="00FE6768"/>
    <w:rsid w:val="00FE67B0"/>
    <w:rsid w:val="00FE6A09"/>
    <w:rsid w:val="00FE6BEE"/>
    <w:rsid w:val="00FE6FB9"/>
    <w:rsid w:val="00FE7A1E"/>
    <w:rsid w:val="00FE7B29"/>
    <w:rsid w:val="00FE7D3A"/>
    <w:rsid w:val="00FE7E2C"/>
    <w:rsid w:val="00FF0538"/>
    <w:rsid w:val="00FF06B7"/>
    <w:rsid w:val="00FF0723"/>
    <w:rsid w:val="00FF0AA4"/>
    <w:rsid w:val="00FF0DBC"/>
    <w:rsid w:val="00FF12C8"/>
    <w:rsid w:val="00FF1532"/>
    <w:rsid w:val="00FF1AC5"/>
    <w:rsid w:val="00FF1B8D"/>
    <w:rsid w:val="00FF210B"/>
    <w:rsid w:val="00FF21EA"/>
    <w:rsid w:val="00FF22CC"/>
    <w:rsid w:val="00FF246E"/>
    <w:rsid w:val="00FF2977"/>
    <w:rsid w:val="00FF33CE"/>
    <w:rsid w:val="00FF3529"/>
    <w:rsid w:val="00FF36C5"/>
    <w:rsid w:val="00FF38AB"/>
    <w:rsid w:val="00FF39E0"/>
    <w:rsid w:val="00FF3F7D"/>
    <w:rsid w:val="00FF403D"/>
    <w:rsid w:val="00FF4043"/>
    <w:rsid w:val="00FF45AD"/>
    <w:rsid w:val="00FF4E28"/>
    <w:rsid w:val="00FF4F2C"/>
    <w:rsid w:val="00FF4F4B"/>
    <w:rsid w:val="00FF535E"/>
    <w:rsid w:val="00FF53F9"/>
    <w:rsid w:val="00FF55EC"/>
    <w:rsid w:val="00FF5823"/>
    <w:rsid w:val="00FF64A9"/>
    <w:rsid w:val="00FF6683"/>
    <w:rsid w:val="00FF6847"/>
    <w:rsid w:val="00FF6D2E"/>
    <w:rsid w:val="00FF7243"/>
    <w:rsid w:val="00FF7605"/>
    <w:rsid w:val="00FF7936"/>
    <w:rsid w:val="00FF7942"/>
    <w:rsid w:val="00FF7BE9"/>
    <w:rsid w:val="00FF7F22"/>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CA79F3"/>
  <w15:docId w15:val="{064EDEB7-40ED-47EB-A86E-2AB0A83D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ru-RU"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lsdException w:name="Light Grid Accent 4" w:qFormat="1"/>
    <w:lsdException w:name="Medium Shading 1 Accent 4"/>
    <w:lsdException w:name="Medium Shading 2 Accent 4"/>
    <w:lsdException w:name="Medium List 1 Accent 4"/>
    <w:lsdException w:name="Medium List 2 Accent 4" w:qFormat="1"/>
    <w:lsdException w:name="Medium Grid 1 Accent 4" w:qFormat="1"/>
    <w:lsdException w:name="Medium Grid 2 Accent 4" w:qFormat="1"/>
    <w:lsdException w:name="Medium Grid 3 Accent 4"/>
    <w:lsdException w:name="Dark List Accent 4"/>
    <w:lsdException w:name="Colorful Shading Accent 4" w:qFormat="1"/>
    <w:lsdException w:name="Colorful List Accent 4"/>
    <w:lsdException w:name="Colorful Grid Accent 4"/>
    <w:lsdException w:name="Light Shading Accent 5"/>
    <w:lsdException w:name="Light List Accent 5" w:qFormat="1"/>
    <w:lsdException w:name="Light Grid Accent 5" w:qFormat="1"/>
    <w:lsdException w:name="Medium Shading 1 Accent 5" w:qFormat="1"/>
    <w:lsdException w:name="Medium Shading 2 Accent 5"/>
    <w:lsdException w:name="Medium List 1 Accent 5"/>
    <w:lsdException w:name="Medium List 2 Accent 5" w:qFormat="1"/>
    <w:lsdException w:name="Medium Grid 1 Accent 5"/>
    <w:lsdException w:name="Medium Grid 2 Accent 5"/>
    <w:lsdException w:name="Medium Grid 3 Accent 5"/>
    <w:lsdException w:name="Dark List Accent 5" w:qFormat="1"/>
    <w:lsdException w:name="Colorful Shading Accent 5" w:qFormat="1"/>
    <w:lsdException w:name="Colorful List Accent 5" w:qFormat="1"/>
    <w:lsdException w:name="Colorful Grid Accent 5"/>
    <w:lsdException w:name="Light Shading Accent 6"/>
    <w:lsdException w:name="Light List Accent 6" w:qFormat="1"/>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lsdException w:name="Medium Grid 3 Accent 6"/>
    <w:lsdException w:name="Dark List Accent 6" w:qFormat="1"/>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nhideWhenUsed="1"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D091B"/>
    <w:pPr>
      <w:spacing w:after="200" w:line="276" w:lineRule="auto"/>
    </w:pPr>
    <w:rPr>
      <w:sz w:val="22"/>
      <w:szCs w:val="22"/>
      <w:lang w:val="en-GB" w:eastAsia="zh-CN"/>
    </w:rPr>
  </w:style>
  <w:style w:type="paragraph" w:styleId="1">
    <w:name w:val="heading 1"/>
    <w:basedOn w:val="a1"/>
    <w:next w:val="a1"/>
    <w:link w:val="10"/>
    <w:qFormat/>
    <w:locked/>
    <w:rsid w:val="002D7018"/>
    <w:pPr>
      <w:keepNext/>
      <w:spacing w:before="240" w:after="60"/>
      <w:outlineLvl w:val="0"/>
    </w:pPr>
    <w:rPr>
      <w:rFonts w:ascii="Calibri Light" w:hAnsi="Calibri Light"/>
      <w:b/>
      <w:bCs/>
      <w:kern w:val="32"/>
      <w:sz w:val="32"/>
      <w:szCs w:val="32"/>
    </w:rPr>
  </w:style>
  <w:style w:type="paragraph" w:styleId="20">
    <w:name w:val="heading 2"/>
    <w:basedOn w:val="a2"/>
    <w:next w:val="a2"/>
    <w:link w:val="21"/>
    <w:qFormat/>
    <w:locked/>
    <w:rsid w:val="00870723"/>
    <w:pPr>
      <w:keepNext/>
      <w:tabs>
        <w:tab w:val="num" w:pos="964"/>
      </w:tabs>
      <w:spacing w:before="260" w:after="130" w:line="320" w:lineRule="exact"/>
      <w:ind w:left="964" w:hanging="964"/>
      <w:outlineLvl w:val="1"/>
    </w:pPr>
    <w:rPr>
      <w:rFonts w:ascii="Times New Roman" w:hAnsi="Times New Roman"/>
      <w:b/>
      <w:sz w:val="22"/>
      <w:lang w:val="en-US" w:eastAsia="en-US"/>
    </w:rPr>
  </w:style>
  <w:style w:type="paragraph" w:styleId="3">
    <w:name w:val="heading 3"/>
    <w:basedOn w:val="4"/>
    <w:next w:val="a2"/>
    <w:link w:val="30"/>
    <w:qFormat/>
    <w:locked/>
    <w:rsid w:val="00870723"/>
    <w:pPr>
      <w:tabs>
        <w:tab w:val="clear" w:pos="20"/>
        <w:tab w:val="num" w:pos="0"/>
      </w:tabs>
      <w:spacing w:before="260" w:after="130"/>
      <w:jc w:val="both"/>
      <w:outlineLvl w:val="2"/>
    </w:pPr>
    <w:rPr>
      <w:b/>
      <w:bCs w:val="0"/>
      <w:i/>
      <w:iCs w:val="0"/>
      <w:sz w:val="22"/>
    </w:rPr>
  </w:style>
  <w:style w:type="paragraph" w:styleId="4">
    <w:name w:val="heading 4"/>
    <w:basedOn w:val="5"/>
    <w:next w:val="a2"/>
    <w:link w:val="40"/>
    <w:qFormat/>
    <w:locked/>
    <w:rsid w:val="00870723"/>
    <w:pPr>
      <w:tabs>
        <w:tab w:val="num" w:pos="20"/>
      </w:tabs>
      <w:spacing w:line="280" w:lineRule="exact"/>
      <w:ind w:hanging="964"/>
      <w:outlineLvl w:val="3"/>
    </w:pPr>
    <w:rPr>
      <w:b w:val="0"/>
      <w:sz w:val="24"/>
    </w:rPr>
  </w:style>
  <w:style w:type="paragraph" w:styleId="5">
    <w:name w:val="heading 5"/>
    <w:basedOn w:val="a2"/>
    <w:next w:val="a2"/>
    <w:link w:val="50"/>
    <w:qFormat/>
    <w:locked/>
    <w:rsid w:val="00870723"/>
    <w:pPr>
      <w:keepNext/>
      <w:spacing w:before="400" w:line="260" w:lineRule="exact"/>
      <w:outlineLvl w:val="4"/>
    </w:pPr>
    <w:rPr>
      <w:rFonts w:ascii="Times New Roman" w:hAnsi="Times New Roman"/>
      <w:b/>
      <w:bCs/>
      <w:iCs/>
      <w:sz w:val="22"/>
      <w:lang w:val="en-US" w:eastAsia="en-US"/>
    </w:rPr>
  </w:style>
  <w:style w:type="paragraph" w:styleId="6">
    <w:name w:val="heading 6"/>
    <w:basedOn w:val="a1"/>
    <w:next w:val="a1"/>
    <w:link w:val="60"/>
    <w:qFormat/>
    <w:locked/>
    <w:rsid w:val="00870723"/>
    <w:pPr>
      <w:keepNext/>
      <w:numPr>
        <w:ilvl w:val="12"/>
      </w:numPr>
      <w:overflowPunct w:val="0"/>
      <w:autoSpaceDE w:val="0"/>
      <w:autoSpaceDN w:val="0"/>
      <w:adjustRightInd w:val="0"/>
      <w:spacing w:after="0" w:line="240" w:lineRule="auto"/>
      <w:ind w:right="142"/>
      <w:jc w:val="both"/>
      <w:textAlignment w:val="baseline"/>
      <w:outlineLvl w:val="5"/>
    </w:pPr>
    <w:rPr>
      <w:rFonts w:ascii="Times New Roman" w:hAnsi="Times New Roman"/>
      <w:b/>
      <w:i/>
      <w:iCs/>
      <w:sz w:val="24"/>
      <w:szCs w:val="20"/>
      <w:lang w:eastAsia="en-US"/>
    </w:rPr>
  </w:style>
  <w:style w:type="paragraph" w:styleId="7">
    <w:name w:val="heading 7"/>
    <w:basedOn w:val="a1"/>
    <w:next w:val="a1"/>
    <w:link w:val="70"/>
    <w:qFormat/>
    <w:locked/>
    <w:rsid w:val="00870723"/>
    <w:pPr>
      <w:keepNext/>
      <w:overflowPunct w:val="0"/>
      <w:autoSpaceDE w:val="0"/>
      <w:autoSpaceDN w:val="0"/>
      <w:adjustRightInd w:val="0"/>
      <w:spacing w:after="0" w:line="240" w:lineRule="auto"/>
      <w:ind w:right="142"/>
      <w:jc w:val="both"/>
      <w:textAlignment w:val="baseline"/>
      <w:outlineLvl w:val="6"/>
    </w:pPr>
    <w:rPr>
      <w:rFonts w:ascii="Times New Roman" w:hAnsi="Times New Roman"/>
      <w:b/>
      <w:bCs/>
      <w:i/>
      <w:iCs/>
      <w:color w:val="000000"/>
      <w:sz w:val="24"/>
      <w:szCs w:val="20"/>
      <w:lang w:eastAsia="en-US"/>
    </w:rPr>
  </w:style>
  <w:style w:type="paragraph" w:styleId="8">
    <w:name w:val="heading 8"/>
    <w:basedOn w:val="a1"/>
    <w:next w:val="a1"/>
    <w:link w:val="80"/>
    <w:qFormat/>
    <w:locked/>
    <w:rsid w:val="00870723"/>
    <w:pPr>
      <w:spacing w:before="240" w:after="60" w:line="240" w:lineRule="auto"/>
      <w:jc w:val="both"/>
      <w:outlineLvl w:val="7"/>
    </w:pPr>
    <w:rPr>
      <w:rFonts w:ascii="Arial" w:hAnsi="Arial"/>
      <w:i/>
      <w:sz w:val="20"/>
      <w:szCs w:val="20"/>
      <w:lang w:eastAsia="en-US"/>
    </w:rPr>
  </w:style>
  <w:style w:type="paragraph" w:styleId="9">
    <w:name w:val="heading 9"/>
    <w:basedOn w:val="a1"/>
    <w:next w:val="a1"/>
    <w:link w:val="90"/>
    <w:qFormat/>
    <w:locked/>
    <w:rsid w:val="00870723"/>
    <w:pPr>
      <w:spacing w:before="240" w:after="60" w:line="240" w:lineRule="auto"/>
      <w:jc w:val="both"/>
      <w:outlineLvl w:val="8"/>
    </w:pPr>
    <w:rPr>
      <w:rFonts w:ascii="Arial" w:hAnsi="Arial"/>
      <w:i/>
      <w:sz w:val="18"/>
      <w:szCs w:val="20"/>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E9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3D0ECC"/>
    <w:rPr>
      <w:rFonts w:cs="Times New Roman"/>
      <w:color w:val="0000FF"/>
      <w:u w:val="single"/>
    </w:rPr>
  </w:style>
  <w:style w:type="paragraph" w:customStyle="1" w:styleId="MediumGrid1-Accent21">
    <w:name w:val="Medium Grid 1 - Accent 21"/>
    <w:basedOn w:val="a1"/>
    <w:uiPriority w:val="34"/>
    <w:qFormat/>
    <w:rsid w:val="0088717F"/>
    <w:pPr>
      <w:ind w:left="720"/>
      <w:contextualSpacing/>
    </w:pPr>
  </w:style>
  <w:style w:type="paragraph" w:styleId="a8">
    <w:name w:val="header"/>
    <w:aliases w:val="site"/>
    <w:basedOn w:val="a1"/>
    <w:link w:val="a9"/>
    <w:uiPriority w:val="99"/>
    <w:rsid w:val="007A4AC9"/>
    <w:pPr>
      <w:tabs>
        <w:tab w:val="center" w:pos="4513"/>
        <w:tab w:val="right" w:pos="9026"/>
      </w:tabs>
      <w:spacing w:after="0" w:line="240" w:lineRule="auto"/>
    </w:pPr>
    <w:rPr>
      <w:sz w:val="20"/>
      <w:szCs w:val="20"/>
      <w:lang w:val="x-none" w:eastAsia="x-none"/>
    </w:rPr>
  </w:style>
  <w:style w:type="character" w:customStyle="1" w:styleId="a9">
    <w:name w:val="Верхний колонтитул Знак"/>
    <w:aliases w:val="site Знак"/>
    <w:link w:val="a8"/>
    <w:uiPriority w:val="99"/>
    <w:locked/>
    <w:rsid w:val="007A4AC9"/>
    <w:rPr>
      <w:rFonts w:cs="Times New Roman"/>
    </w:rPr>
  </w:style>
  <w:style w:type="paragraph" w:styleId="aa">
    <w:name w:val="footer"/>
    <w:basedOn w:val="a1"/>
    <w:link w:val="ab"/>
    <w:uiPriority w:val="99"/>
    <w:rsid w:val="007A4AC9"/>
    <w:pPr>
      <w:tabs>
        <w:tab w:val="center" w:pos="4513"/>
        <w:tab w:val="right" w:pos="9026"/>
      </w:tabs>
      <w:spacing w:after="0" w:line="240" w:lineRule="auto"/>
    </w:pPr>
    <w:rPr>
      <w:sz w:val="20"/>
      <w:szCs w:val="20"/>
      <w:lang w:val="x-none" w:eastAsia="x-none"/>
    </w:rPr>
  </w:style>
  <w:style w:type="character" w:customStyle="1" w:styleId="ab">
    <w:name w:val="Нижний колонтитул Знак"/>
    <w:link w:val="aa"/>
    <w:uiPriority w:val="99"/>
    <w:locked/>
    <w:rsid w:val="007A4AC9"/>
    <w:rPr>
      <w:rFonts w:cs="Times New Roman"/>
    </w:rPr>
  </w:style>
  <w:style w:type="character" w:styleId="ac">
    <w:name w:val="annotation reference"/>
    <w:uiPriority w:val="99"/>
    <w:semiHidden/>
    <w:rsid w:val="003435ED"/>
    <w:rPr>
      <w:rFonts w:cs="Times New Roman"/>
      <w:sz w:val="16"/>
      <w:szCs w:val="16"/>
    </w:rPr>
  </w:style>
  <w:style w:type="paragraph" w:styleId="ad">
    <w:name w:val="annotation text"/>
    <w:basedOn w:val="a1"/>
    <w:link w:val="ae"/>
    <w:uiPriority w:val="99"/>
    <w:semiHidden/>
    <w:rsid w:val="003435ED"/>
    <w:pPr>
      <w:spacing w:line="240" w:lineRule="auto"/>
    </w:pPr>
    <w:rPr>
      <w:sz w:val="20"/>
      <w:szCs w:val="20"/>
      <w:lang w:val="x-none" w:eastAsia="x-none"/>
    </w:rPr>
  </w:style>
  <w:style w:type="character" w:customStyle="1" w:styleId="ae">
    <w:name w:val="Текст примечания Знак"/>
    <w:link w:val="ad"/>
    <w:uiPriority w:val="99"/>
    <w:semiHidden/>
    <w:locked/>
    <w:rsid w:val="003435ED"/>
    <w:rPr>
      <w:rFonts w:cs="Times New Roman"/>
      <w:sz w:val="20"/>
      <w:szCs w:val="20"/>
    </w:rPr>
  </w:style>
  <w:style w:type="paragraph" w:styleId="af">
    <w:name w:val="annotation subject"/>
    <w:basedOn w:val="ad"/>
    <w:next w:val="ad"/>
    <w:link w:val="af0"/>
    <w:rsid w:val="003435ED"/>
    <w:rPr>
      <w:b/>
      <w:bCs/>
    </w:rPr>
  </w:style>
  <w:style w:type="character" w:customStyle="1" w:styleId="af0">
    <w:name w:val="Тема примечания Знак"/>
    <w:link w:val="af"/>
    <w:locked/>
    <w:rsid w:val="003435ED"/>
    <w:rPr>
      <w:rFonts w:cs="Times New Roman"/>
      <w:b/>
      <w:bCs/>
      <w:sz w:val="20"/>
      <w:szCs w:val="20"/>
    </w:rPr>
  </w:style>
  <w:style w:type="paragraph" w:styleId="af1">
    <w:name w:val="Balloon Text"/>
    <w:basedOn w:val="a1"/>
    <w:link w:val="af2"/>
    <w:semiHidden/>
    <w:rsid w:val="003435ED"/>
    <w:pPr>
      <w:spacing w:after="0" w:line="240" w:lineRule="auto"/>
    </w:pPr>
    <w:rPr>
      <w:rFonts w:ascii="Tahoma" w:hAnsi="Tahoma"/>
      <w:sz w:val="16"/>
      <w:szCs w:val="16"/>
      <w:lang w:val="x-none" w:eastAsia="x-none"/>
    </w:rPr>
  </w:style>
  <w:style w:type="character" w:customStyle="1" w:styleId="af2">
    <w:name w:val="Текст выноски Знак"/>
    <w:link w:val="af1"/>
    <w:semiHidden/>
    <w:locked/>
    <w:rsid w:val="003435ED"/>
    <w:rPr>
      <w:rFonts w:ascii="Tahoma" w:hAnsi="Tahoma" w:cs="Tahoma"/>
      <w:sz w:val="16"/>
      <w:szCs w:val="16"/>
    </w:rPr>
  </w:style>
  <w:style w:type="paragraph" w:customStyle="1" w:styleId="Bullet">
    <w:name w:val="Bullet"/>
    <w:basedOn w:val="a2"/>
    <w:next w:val="a2"/>
    <w:uiPriority w:val="99"/>
    <w:rsid w:val="00023ECF"/>
  </w:style>
  <w:style w:type="paragraph" w:styleId="a2">
    <w:name w:val="Body Text"/>
    <w:basedOn w:val="a1"/>
    <w:link w:val="af3"/>
    <w:qFormat/>
    <w:rsid w:val="00023ECF"/>
    <w:pPr>
      <w:spacing w:after="120"/>
    </w:pPr>
    <w:rPr>
      <w:sz w:val="20"/>
      <w:szCs w:val="20"/>
      <w:lang w:val="x-none" w:eastAsia="x-none"/>
    </w:rPr>
  </w:style>
  <w:style w:type="character" w:customStyle="1" w:styleId="af3">
    <w:name w:val="Основной текст Знак"/>
    <w:link w:val="a2"/>
    <w:locked/>
    <w:rsid w:val="00023ECF"/>
    <w:rPr>
      <w:rFonts w:cs="Times New Roman"/>
    </w:rPr>
  </w:style>
  <w:style w:type="paragraph" w:styleId="af4">
    <w:name w:val="Normal (Web)"/>
    <w:basedOn w:val="a1"/>
    <w:uiPriority w:val="99"/>
    <w:unhideWhenUsed/>
    <w:rsid w:val="00255FE1"/>
    <w:pPr>
      <w:spacing w:before="100" w:beforeAutospacing="1" w:after="100" w:afterAutospacing="1" w:line="240" w:lineRule="auto"/>
    </w:pPr>
    <w:rPr>
      <w:rFonts w:ascii="Times New Roman" w:hAnsi="Times New Roman"/>
      <w:sz w:val="24"/>
      <w:szCs w:val="24"/>
      <w:lang w:val="ru-RU" w:eastAsia="en-GB"/>
    </w:rPr>
  </w:style>
  <w:style w:type="paragraph" w:styleId="af5">
    <w:name w:val="Document Map"/>
    <w:basedOn w:val="a1"/>
    <w:link w:val="af6"/>
    <w:uiPriority w:val="99"/>
    <w:semiHidden/>
    <w:unhideWhenUsed/>
    <w:rsid w:val="00DE055B"/>
    <w:pPr>
      <w:spacing w:after="0" w:line="240" w:lineRule="auto"/>
    </w:pPr>
    <w:rPr>
      <w:rFonts w:ascii="Lucida Grande" w:hAnsi="Lucida Grande"/>
      <w:sz w:val="24"/>
      <w:szCs w:val="24"/>
    </w:rPr>
  </w:style>
  <w:style w:type="character" w:customStyle="1" w:styleId="af6">
    <w:name w:val="Схема документа Знак"/>
    <w:link w:val="af5"/>
    <w:uiPriority w:val="99"/>
    <w:semiHidden/>
    <w:rsid w:val="00DE055B"/>
    <w:rPr>
      <w:rFonts w:ascii="Lucida Grande" w:hAnsi="Lucida Grande" w:cs="Lucida Grande"/>
      <w:sz w:val="24"/>
      <w:szCs w:val="24"/>
      <w:lang w:val="en-GB" w:eastAsia="zh-CN"/>
    </w:rPr>
  </w:style>
  <w:style w:type="paragraph" w:customStyle="1" w:styleId="MediumList2-Accent21">
    <w:name w:val="Medium List 2 - Accent 21"/>
    <w:hidden/>
    <w:uiPriority w:val="99"/>
    <w:semiHidden/>
    <w:rsid w:val="005C3F9C"/>
    <w:rPr>
      <w:sz w:val="22"/>
      <w:szCs w:val="22"/>
      <w:lang w:val="en-GB" w:eastAsia="zh-CN"/>
    </w:rPr>
  </w:style>
  <w:style w:type="paragraph" w:styleId="af7">
    <w:name w:val="Block Text"/>
    <w:basedOn w:val="a1"/>
    <w:uiPriority w:val="99"/>
    <w:rsid w:val="00711D63"/>
    <w:pPr>
      <w:spacing w:after="0" w:line="240" w:lineRule="auto"/>
      <w:ind w:left="-426" w:right="-483" w:firstLine="426"/>
      <w:jc w:val="both"/>
    </w:pPr>
    <w:rPr>
      <w:rFonts w:ascii="Times New Roman" w:hAnsi="Times New Roman"/>
      <w:sz w:val="28"/>
      <w:szCs w:val="20"/>
      <w:lang w:val="ru-RU" w:eastAsia="ru-RU"/>
    </w:rPr>
  </w:style>
  <w:style w:type="paragraph" w:styleId="af8">
    <w:name w:val="footnote text"/>
    <w:basedOn w:val="a1"/>
    <w:link w:val="af9"/>
    <w:unhideWhenUsed/>
    <w:rsid w:val="00C2054A"/>
    <w:pPr>
      <w:spacing w:after="0" w:line="240" w:lineRule="auto"/>
    </w:pPr>
    <w:rPr>
      <w:sz w:val="20"/>
      <w:szCs w:val="20"/>
    </w:rPr>
  </w:style>
  <w:style w:type="character" w:customStyle="1" w:styleId="af9">
    <w:name w:val="Текст сноски Знак"/>
    <w:link w:val="af8"/>
    <w:rsid w:val="00C2054A"/>
    <w:rPr>
      <w:sz w:val="20"/>
      <w:szCs w:val="20"/>
      <w:lang w:val="en-GB" w:eastAsia="zh-CN"/>
    </w:rPr>
  </w:style>
  <w:style w:type="character" w:styleId="afa">
    <w:name w:val="footnote reference"/>
    <w:semiHidden/>
    <w:unhideWhenUsed/>
    <w:rsid w:val="00C2054A"/>
    <w:rPr>
      <w:vertAlign w:val="superscript"/>
    </w:rPr>
  </w:style>
  <w:style w:type="paragraph" w:customStyle="1" w:styleId="MarginNoteRight">
    <w:name w:val="Margin Note Right"/>
    <w:basedOn w:val="a1"/>
    <w:uiPriority w:val="99"/>
    <w:rsid w:val="00CD2D6E"/>
    <w:pPr>
      <w:framePr w:w="1134" w:hSpace="181" w:vSpace="181" w:wrap="around" w:vAnchor="text" w:hAnchor="page" w:xAlign="right" w:y="1"/>
      <w:spacing w:after="80" w:line="240" w:lineRule="auto"/>
      <w:jc w:val="both"/>
    </w:pPr>
    <w:rPr>
      <w:rFonts w:ascii="Times New Roman" w:hAnsi="Times New Roman"/>
      <w:sz w:val="16"/>
      <w:szCs w:val="20"/>
      <w:lang w:eastAsia="en-US"/>
    </w:rPr>
  </w:style>
  <w:style w:type="paragraph" w:customStyle="1" w:styleId="Title7">
    <w:name w:val="Title 7"/>
    <w:basedOn w:val="a1"/>
    <w:next w:val="a2"/>
    <w:uiPriority w:val="99"/>
    <w:rsid w:val="00CD2D6E"/>
    <w:pPr>
      <w:keepNext/>
      <w:spacing w:line="240" w:lineRule="auto"/>
      <w:jc w:val="both"/>
    </w:pPr>
    <w:rPr>
      <w:rFonts w:ascii="Times New Roman" w:hAnsi="Times New Roman" w:cs="Times"/>
      <w:i/>
      <w:sz w:val="20"/>
      <w:szCs w:val="24"/>
      <w:lang w:bidi="he-IL"/>
    </w:rPr>
  </w:style>
  <w:style w:type="paragraph" w:customStyle="1" w:styleId="ColorfulList-Accent11">
    <w:name w:val="Colorful List - Accent 11"/>
    <w:basedOn w:val="a1"/>
    <w:uiPriority w:val="34"/>
    <w:qFormat/>
    <w:rsid w:val="00834F64"/>
    <w:pPr>
      <w:ind w:left="720"/>
      <w:contextualSpacing/>
    </w:pPr>
    <w:rPr>
      <w:rFonts w:eastAsia="Calibri"/>
      <w:lang w:val="ru-RU" w:eastAsia="en-US"/>
    </w:rPr>
  </w:style>
  <w:style w:type="paragraph" w:customStyle="1" w:styleId="SubtleEmphasis1">
    <w:name w:val="Subtle Emphasis1"/>
    <w:basedOn w:val="a1"/>
    <w:uiPriority w:val="34"/>
    <w:qFormat/>
    <w:rsid w:val="00DA5338"/>
    <w:pPr>
      <w:ind w:left="708"/>
    </w:pPr>
  </w:style>
  <w:style w:type="character" w:styleId="afb">
    <w:name w:val="FollowedHyperlink"/>
    <w:unhideWhenUsed/>
    <w:rsid w:val="00CD091B"/>
    <w:rPr>
      <w:color w:val="800080"/>
      <w:u w:val="single"/>
    </w:rPr>
  </w:style>
  <w:style w:type="paragraph" w:styleId="afc">
    <w:name w:val="Plain Text"/>
    <w:basedOn w:val="a1"/>
    <w:link w:val="afd"/>
    <w:uiPriority w:val="99"/>
    <w:unhideWhenUsed/>
    <w:rsid w:val="00186E4A"/>
    <w:pPr>
      <w:spacing w:after="0" w:line="240" w:lineRule="auto"/>
    </w:pPr>
    <w:rPr>
      <w:rFonts w:eastAsia="Cambria"/>
      <w:szCs w:val="21"/>
      <w:lang w:val="x-none" w:eastAsia="x-none"/>
    </w:rPr>
  </w:style>
  <w:style w:type="character" w:customStyle="1" w:styleId="afd">
    <w:name w:val="Текст Знак"/>
    <w:link w:val="afc"/>
    <w:uiPriority w:val="99"/>
    <w:rsid w:val="00186E4A"/>
    <w:rPr>
      <w:rFonts w:eastAsia="Cambria" w:cs="Times New Roman"/>
      <w:sz w:val="22"/>
      <w:szCs w:val="21"/>
    </w:rPr>
  </w:style>
  <w:style w:type="character" w:customStyle="1" w:styleId="apple-converted-space">
    <w:name w:val="apple-converted-space"/>
    <w:basedOn w:val="a3"/>
    <w:rsid w:val="00354E09"/>
  </w:style>
  <w:style w:type="paragraph" w:customStyle="1" w:styleId="Body1">
    <w:name w:val="Body 1"/>
    <w:rsid w:val="00035F87"/>
    <w:pPr>
      <w:spacing w:after="200" w:line="276" w:lineRule="auto"/>
      <w:outlineLvl w:val="0"/>
    </w:pPr>
    <w:rPr>
      <w:rFonts w:ascii="Helvetica" w:eastAsia="Arial Unicode MS" w:hAnsi="Helvetica"/>
      <w:color w:val="000000"/>
      <w:sz w:val="22"/>
      <w:u w:color="000000"/>
      <w:lang w:val="en-GB" w:eastAsia="en-GB"/>
    </w:rPr>
  </w:style>
  <w:style w:type="paragraph" w:customStyle="1" w:styleId="PlainTable31">
    <w:name w:val="Plain Table 31"/>
    <w:basedOn w:val="a1"/>
    <w:uiPriority w:val="34"/>
    <w:qFormat/>
    <w:rsid w:val="009C6C99"/>
    <w:pPr>
      <w:ind w:left="708"/>
    </w:pPr>
  </w:style>
  <w:style w:type="paragraph" w:customStyle="1" w:styleId="SubtleEmphasis2">
    <w:name w:val="Subtle Emphasis2"/>
    <w:basedOn w:val="a1"/>
    <w:uiPriority w:val="34"/>
    <w:qFormat/>
    <w:rsid w:val="00A51220"/>
    <w:pPr>
      <w:ind w:left="720"/>
      <w:contextualSpacing/>
    </w:pPr>
    <w:rPr>
      <w:rFonts w:eastAsia="Calibri"/>
      <w:lang w:val="ru-RU" w:eastAsia="en-US"/>
    </w:rPr>
  </w:style>
  <w:style w:type="paragraph" w:customStyle="1" w:styleId="PlainTable21">
    <w:name w:val="Plain Table 21"/>
    <w:hidden/>
    <w:uiPriority w:val="99"/>
    <w:rsid w:val="00B579A5"/>
    <w:rPr>
      <w:sz w:val="22"/>
      <w:szCs w:val="22"/>
      <w:lang w:val="en-GB" w:eastAsia="zh-CN"/>
    </w:rPr>
  </w:style>
  <w:style w:type="paragraph" w:styleId="11">
    <w:name w:val="toc 1"/>
    <w:basedOn w:val="a1"/>
    <w:uiPriority w:val="39"/>
    <w:locked/>
    <w:rsid w:val="0092674F"/>
    <w:pPr>
      <w:tabs>
        <w:tab w:val="right" w:pos="8221"/>
      </w:tabs>
      <w:spacing w:before="260" w:after="0" w:line="240" w:lineRule="auto"/>
      <w:ind w:left="851" w:right="567" w:hanging="851"/>
    </w:pPr>
    <w:rPr>
      <w:rFonts w:ascii="Times New Roman" w:hAnsi="Times New Roman"/>
      <w:sz w:val="28"/>
      <w:szCs w:val="20"/>
      <w:lang w:val="en-US" w:eastAsia="en-US"/>
    </w:rPr>
  </w:style>
  <w:style w:type="paragraph" w:customStyle="1" w:styleId="SubtleEmphasis3">
    <w:name w:val="Subtle Emphasis3"/>
    <w:basedOn w:val="a1"/>
    <w:uiPriority w:val="34"/>
    <w:qFormat/>
    <w:rsid w:val="00733DA4"/>
    <w:pPr>
      <w:ind w:left="720"/>
      <w:contextualSpacing/>
    </w:pPr>
    <w:rPr>
      <w:rFonts w:eastAsia="Calibri"/>
      <w:lang w:eastAsia="en-US"/>
    </w:rPr>
  </w:style>
  <w:style w:type="paragraph" w:customStyle="1" w:styleId="ColorfulGrid-Accent61">
    <w:name w:val="Colorful Grid - Accent 61"/>
    <w:hidden/>
    <w:uiPriority w:val="99"/>
    <w:rsid w:val="00DD5320"/>
    <w:rPr>
      <w:sz w:val="22"/>
      <w:szCs w:val="22"/>
      <w:lang w:val="en-GB" w:eastAsia="zh-CN"/>
    </w:rPr>
  </w:style>
  <w:style w:type="paragraph" w:customStyle="1" w:styleId="PlainTable32">
    <w:name w:val="Plain Table 32"/>
    <w:basedOn w:val="a1"/>
    <w:uiPriority w:val="34"/>
    <w:qFormat/>
    <w:rsid w:val="00A04006"/>
    <w:pPr>
      <w:ind w:left="720"/>
      <w:contextualSpacing/>
    </w:pPr>
    <w:rPr>
      <w:rFonts w:eastAsia="Calibri"/>
      <w:lang w:val="ru-RU" w:eastAsia="en-US"/>
    </w:rPr>
  </w:style>
  <w:style w:type="paragraph" w:customStyle="1" w:styleId="ListTable1Light-Accent41">
    <w:name w:val="List Table 1 Light - Accent 41"/>
    <w:basedOn w:val="a1"/>
    <w:uiPriority w:val="34"/>
    <w:qFormat/>
    <w:rsid w:val="00E30FC1"/>
    <w:pPr>
      <w:spacing w:after="0" w:line="240" w:lineRule="auto"/>
      <w:ind w:left="720"/>
      <w:contextualSpacing/>
    </w:pPr>
    <w:rPr>
      <w:rFonts w:eastAsia="Calibri"/>
      <w:sz w:val="24"/>
      <w:szCs w:val="24"/>
      <w:lang w:eastAsia="en-US"/>
    </w:rPr>
  </w:style>
  <w:style w:type="character" w:customStyle="1" w:styleId="10">
    <w:name w:val="Заголовок 1 Знак"/>
    <w:link w:val="1"/>
    <w:rsid w:val="002D7018"/>
    <w:rPr>
      <w:rFonts w:ascii="Calibri Light" w:eastAsia="Times New Roman" w:hAnsi="Calibri Light" w:cs="Times New Roman"/>
      <w:b/>
      <w:bCs/>
      <w:kern w:val="32"/>
      <w:sz w:val="32"/>
      <w:szCs w:val="32"/>
      <w:lang w:val="en-GB" w:eastAsia="zh-CN"/>
    </w:rPr>
  </w:style>
  <w:style w:type="character" w:customStyle="1" w:styleId="shorttext">
    <w:name w:val="short_text"/>
    <w:rsid w:val="000132A9"/>
  </w:style>
  <w:style w:type="character" w:customStyle="1" w:styleId="21">
    <w:name w:val="Заголовок 2 Знак"/>
    <w:link w:val="20"/>
    <w:rsid w:val="00870723"/>
    <w:rPr>
      <w:rFonts w:ascii="Times New Roman" w:hAnsi="Times New Roman"/>
      <w:b/>
      <w:sz w:val="22"/>
      <w:lang w:val="en-US" w:eastAsia="en-US"/>
    </w:rPr>
  </w:style>
  <w:style w:type="character" w:customStyle="1" w:styleId="30">
    <w:name w:val="Заголовок 3 Знак"/>
    <w:link w:val="3"/>
    <w:rsid w:val="00870723"/>
    <w:rPr>
      <w:rFonts w:ascii="Times New Roman" w:hAnsi="Times New Roman"/>
      <w:b/>
      <w:i/>
      <w:sz w:val="22"/>
      <w:lang w:val="en-US" w:eastAsia="en-US"/>
    </w:rPr>
  </w:style>
  <w:style w:type="character" w:customStyle="1" w:styleId="40">
    <w:name w:val="Заголовок 4 Знак"/>
    <w:link w:val="4"/>
    <w:rsid w:val="00870723"/>
    <w:rPr>
      <w:rFonts w:ascii="Times New Roman" w:hAnsi="Times New Roman"/>
      <w:bCs/>
      <w:iCs/>
      <w:sz w:val="24"/>
      <w:lang w:val="en-US" w:eastAsia="en-US"/>
    </w:rPr>
  </w:style>
  <w:style w:type="character" w:customStyle="1" w:styleId="50">
    <w:name w:val="Заголовок 5 Знак"/>
    <w:link w:val="5"/>
    <w:rsid w:val="00870723"/>
    <w:rPr>
      <w:rFonts w:ascii="Times New Roman" w:hAnsi="Times New Roman"/>
      <w:b/>
      <w:bCs/>
      <w:iCs/>
      <w:sz w:val="22"/>
      <w:lang w:val="en-US" w:eastAsia="en-US"/>
    </w:rPr>
  </w:style>
  <w:style w:type="character" w:customStyle="1" w:styleId="60">
    <w:name w:val="Заголовок 6 Знак"/>
    <w:link w:val="6"/>
    <w:rsid w:val="00870723"/>
    <w:rPr>
      <w:rFonts w:ascii="Times New Roman" w:hAnsi="Times New Roman"/>
      <w:b/>
      <w:i/>
      <w:iCs/>
      <w:sz w:val="24"/>
      <w:lang w:val="en-GB" w:eastAsia="en-US"/>
    </w:rPr>
  </w:style>
  <w:style w:type="character" w:customStyle="1" w:styleId="70">
    <w:name w:val="Заголовок 7 Знак"/>
    <w:link w:val="7"/>
    <w:rsid w:val="00870723"/>
    <w:rPr>
      <w:rFonts w:ascii="Times New Roman" w:hAnsi="Times New Roman"/>
      <w:b/>
      <w:bCs/>
      <w:i/>
      <w:iCs/>
      <w:color w:val="000000"/>
      <w:sz w:val="24"/>
      <w:lang w:val="en-GB" w:eastAsia="en-US"/>
    </w:rPr>
  </w:style>
  <w:style w:type="character" w:customStyle="1" w:styleId="80">
    <w:name w:val="Заголовок 8 Знак"/>
    <w:link w:val="8"/>
    <w:rsid w:val="00870723"/>
    <w:rPr>
      <w:rFonts w:ascii="Arial" w:hAnsi="Arial"/>
      <w:i/>
      <w:lang w:val="en-GB" w:eastAsia="en-US"/>
    </w:rPr>
  </w:style>
  <w:style w:type="character" w:customStyle="1" w:styleId="90">
    <w:name w:val="Заголовок 9 Знак"/>
    <w:link w:val="9"/>
    <w:rsid w:val="00870723"/>
    <w:rPr>
      <w:rFonts w:ascii="Arial" w:hAnsi="Arial"/>
      <w:i/>
      <w:sz w:val="18"/>
      <w:lang w:val="en-GB" w:eastAsia="en-US"/>
    </w:rPr>
  </w:style>
  <w:style w:type="paragraph" w:styleId="22">
    <w:name w:val="toc 2"/>
    <w:basedOn w:val="11"/>
    <w:uiPriority w:val="39"/>
    <w:locked/>
    <w:rsid w:val="00870723"/>
    <w:pPr>
      <w:spacing w:before="0"/>
    </w:pPr>
    <w:rPr>
      <w:sz w:val="24"/>
    </w:rPr>
  </w:style>
  <w:style w:type="paragraph" w:styleId="31">
    <w:name w:val="toc 3"/>
    <w:basedOn w:val="22"/>
    <w:uiPriority w:val="39"/>
    <w:locked/>
    <w:rsid w:val="00870723"/>
    <w:pPr>
      <w:tabs>
        <w:tab w:val="left" w:pos="1418"/>
      </w:tabs>
      <w:ind w:left="1418" w:hanging="1418"/>
    </w:pPr>
  </w:style>
  <w:style w:type="paragraph" w:styleId="41">
    <w:name w:val="toc 4"/>
    <w:basedOn w:val="31"/>
    <w:uiPriority w:val="39"/>
    <w:locked/>
    <w:rsid w:val="00870723"/>
  </w:style>
  <w:style w:type="paragraph" w:styleId="51">
    <w:name w:val="toc 5"/>
    <w:basedOn w:val="a1"/>
    <w:next w:val="a1"/>
    <w:autoRedefine/>
    <w:uiPriority w:val="39"/>
    <w:locked/>
    <w:rsid w:val="00870723"/>
    <w:pPr>
      <w:spacing w:after="0" w:line="240" w:lineRule="auto"/>
      <w:ind w:left="960"/>
    </w:pPr>
    <w:rPr>
      <w:rFonts w:ascii="Times New Roman" w:hAnsi="Times New Roman"/>
      <w:sz w:val="24"/>
      <w:szCs w:val="24"/>
      <w:lang w:val="en-US" w:eastAsia="en-US"/>
    </w:rPr>
  </w:style>
  <w:style w:type="paragraph" w:styleId="61">
    <w:name w:val="toc 6"/>
    <w:basedOn w:val="a1"/>
    <w:next w:val="a1"/>
    <w:autoRedefine/>
    <w:uiPriority w:val="39"/>
    <w:locked/>
    <w:rsid w:val="00870723"/>
    <w:pPr>
      <w:spacing w:after="0" w:line="240" w:lineRule="auto"/>
      <w:ind w:left="1200"/>
    </w:pPr>
    <w:rPr>
      <w:rFonts w:ascii="Times New Roman" w:hAnsi="Times New Roman"/>
      <w:sz w:val="24"/>
      <w:szCs w:val="24"/>
      <w:lang w:val="en-US" w:eastAsia="en-US"/>
    </w:rPr>
  </w:style>
  <w:style w:type="paragraph" w:styleId="71">
    <w:name w:val="toc 7"/>
    <w:basedOn w:val="a1"/>
    <w:next w:val="a1"/>
    <w:autoRedefine/>
    <w:uiPriority w:val="39"/>
    <w:locked/>
    <w:rsid w:val="00870723"/>
    <w:pPr>
      <w:spacing w:after="0" w:line="240" w:lineRule="auto"/>
      <w:ind w:left="1440"/>
    </w:pPr>
    <w:rPr>
      <w:rFonts w:ascii="Times New Roman" w:hAnsi="Times New Roman"/>
      <w:sz w:val="24"/>
      <w:szCs w:val="24"/>
      <w:lang w:val="en-US" w:eastAsia="en-US"/>
    </w:rPr>
  </w:style>
  <w:style w:type="paragraph" w:styleId="81">
    <w:name w:val="toc 8"/>
    <w:basedOn w:val="a1"/>
    <w:next w:val="a1"/>
    <w:autoRedefine/>
    <w:uiPriority w:val="39"/>
    <w:locked/>
    <w:rsid w:val="00870723"/>
    <w:pPr>
      <w:spacing w:after="0" w:line="240" w:lineRule="auto"/>
      <w:ind w:left="1680"/>
    </w:pPr>
    <w:rPr>
      <w:rFonts w:ascii="Times New Roman" w:hAnsi="Times New Roman"/>
      <w:sz w:val="24"/>
      <w:szCs w:val="24"/>
      <w:lang w:val="en-US" w:eastAsia="en-US"/>
    </w:rPr>
  </w:style>
  <w:style w:type="paragraph" w:styleId="91">
    <w:name w:val="toc 9"/>
    <w:basedOn w:val="a1"/>
    <w:next w:val="a1"/>
    <w:autoRedefine/>
    <w:uiPriority w:val="39"/>
    <w:locked/>
    <w:rsid w:val="00870723"/>
    <w:pPr>
      <w:spacing w:after="0" w:line="240" w:lineRule="auto"/>
      <w:ind w:left="1920"/>
    </w:pPr>
    <w:rPr>
      <w:rFonts w:ascii="Times New Roman" w:hAnsi="Times New Roman"/>
      <w:sz w:val="24"/>
      <w:szCs w:val="24"/>
      <w:lang w:val="en-US" w:eastAsia="en-US"/>
    </w:rPr>
  </w:style>
  <w:style w:type="paragraph" w:customStyle="1" w:styleId="AppendixHeading">
    <w:name w:val="Appendix Heading"/>
    <w:basedOn w:val="1"/>
    <w:next w:val="a2"/>
    <w:rsid w:val="00870723"/>
    <w:pPr>
      <w:pageBreakBefore/>
      <w:tabs>
        <w:tab w:val="num" w:pos="0"/>
      </w:tabs>
      <w:spacing w:before="400" w:after="130" w:line="360" w:lineRule="atLeast"/>
      <w:ind w:hanging="964"/>
      <w:outlineLvl w:val="9"/>
    </w:pPr>
    <w:rPr>
      <w:rFonts w:ascii="Times New Roman" w:hAnsi="Times New Roman"/>
      <w:kern w:val="0"/>
      <w:szCs w:val="20"/>
      <w:lang w:val="en-US" w:eastAsia="en-US"/>
    </w:rPr>
  </w:style>
  <w:style w:type="paragraph" w:customStyle="1" w:styleId="AppendixHeading2">
    <w:name w:val="Appendix Heading 2"/>
    <w:basedOn w:val="20"/>
    <w:next w:val="a2"/>
    <w:rsid w:val="00870723"/>
    <w:pPr>
      <w:numPr>
        <w:ilvl w:val="1"/>
        <w:numId w:val="2"/>
      </w:numPr>
      <w:spacing w:before="400" w:after="0"/>
      <w:outlineLvl w:val="9"/>
    </w:pPr>
    <w:rPr>
      <w:bCs/>
      <w:i/>
      <w:iCs/>
    </w:rPr>
  </w:style>
  <w:style w:type="paragraph" w:customStyle="1" w:styleId="AppendixHeading3">
    <w:name w:val="Appendix Heading 3"/>
    <w:basedOn w:val="3"/>
    <w:next w:val="a2"/>
    <w:rsid w:val="00870723"/>
    <w:pPr>
      <w:numPr>
        <w:ilvl w:val="2"/>
        <w:numId w:val="2"/>
      </w:numPr>
      <w:spacing w:before="400" w:after="0"/>
      <w:outlineLvl w:val="9"/>
    </w:pPr>
    <w:rPr>
      <w:bCs/>
      <w:sz w:val="24"/>
    </w:rPr>
  </w:style>
  <w:style w:type="paragraph" w:customStyle="1" w:styleId="AppendixHeading4">
    <w:name w:val="Appendix Heading 4"/>
    <w:basedOn w:val="4"/>
    <w:next w:val="a2"/>
    <w:rsid w:val="00870723"/>
    <w:pPr>
      <w:numPr>
        <w:ilvl w:val="3"/>
        <w:numId w:val="2"/>
      </w:numPr>
      <w:spacing w:after="0"/>
      <w:outlineLvl w:val="9"/>
    </w:pPr>
    <w:rPr>
      <w:bCs w:val="0"/>
      <w:i/>
    </w:rPr>
  </w:style>
  <w:style w:type="paragraph" w:customStyle="1" w:styleId="AppendixHeading5">
    <w:name w:val="Appendix Heading 5"/>
    <w:basedOn w:val="5"/>
    <w:next w:val="a2"/>
    <w:rsid w:val="00870723"/>
    <w:pPr>
      <w:spacing w:after="0"/>
      <w:outlineLvl w:val="9"/>
    </w:pPr>
    <w:rPr>
      <w:b w:val="0"/>
      <w:bCs w:val="0"/>
      <w:iCs w:val="0"/>
    </w:rPr>
  </w:style>
  <w:style w:type="paragraph" w:styleId="a">
    <w:name w:val="List Bullet"/>
    <w:basedOn w:val="a2"/>
    <w:uiPriority w:val="13"/>
    <w:qFormat/>
    <w:rsid w:val="00870723"/>
    <w:pPr>
      <w:numPr>
        <w:numId w:val="3"/>
      </w:numPr>
      <w:spacing w:after="130" w:line="260" w:lineRule="atLeast"/>
      <w:jc w:val="both"/>
    </w:pPr>
    <w:rPr>
      <w:rFonts w:ascii="Times New Roman" w:hAnsi="Times New Roman"/>
      <w:sz w:val="22"/>
      <w:lang w:val="en-US" w:eastAsia="en-US"/>
    </w:rPr>
  </w:style>
  <w:style w:type="paragraph" w:styleId="2">
    <w:name w:val="List Bullet 2"/>
    <w:basedOn w:val="a"/>
    <w:rsid w:val="00870723"/>
    <w:pPr>
      <w:numPr>
        <w:numId w:val="4"/>
      </w:numPr>
    </w:pPr>
  </w:style>
  <w:style w:type="paragraph" w:customStyle="1" w:styleId="PageTitle">
    <w:name w:val="PageTitle"/>
    <w:basedOn w:val="a1"/>
    <w:rsid w:val="00870723"/>
    <w:pPr>
      <w:framePr w:w="5954" w:h="3232" w:hSpace="181" w:wrap="around" w:vAnchor="page" w:hAnchor="page" w:x="2893" w:y="4991"/>
      <w:spacing w:after="0" w:line="240" w:lineRule="auto"/>
      <w:jc w:val="center"/>
    </w:pPr>
    <w:rPr>
      <w:rFonts w:ascii="Times New Roman" w:hAnsi="Times New Roman"/>
      <w:b/>
      <w:sz w:val="32"/>
      <w:szCs w:val="24"/>
      <w:lang w:val="en-US" w:eastAsia="en-US"/>
    </w:rPr>
  </w:style>
  <w:style w:type="paragraph" w:customStyle="1" w:styleId="bullet0">
    <w:name w:val="bullet"/>
    <w:basedOn w:val="a1"/>
    <w:rsid w:val="00870723"/>
    <w:pPr>
      <w:tabs>
        <w:tab w:val="left" w:pos="360"/>
      </w:tabs>
      <w:overflowPunct w:val="0"/>
      <w:autoSpaceDE w:val="0"/>
      <w:autoSpaceDN w:val="0"/>
      <w:adjustRightInd w:val="0"/>
      <w:spacing w:after="0" w:line="260" w:lineRule="atLeast"/>
      <w:ind w:left="357" w:hanging="357"/>
      <w:jc w:val="both"/>
      <w:textAlignment w:val="baseline"/>
    </w:pPr>
    <w:rPr>
      <w:rFonts w:ascii="Times New Roman" w:hAnsi="Times New Roman"/>
      <w:sz w:val="20"/>
      <w:szCs w:val="20"/>
      <w:lang w:eastAsia="en-US"/>
    </w:rPr>
  </w:style>
  <w:style w:type="paragraph" w:styleId="afe">
    <w:name w:val="endnote text"/>
    <w:basedOn w:val="a1"/>
    <w:link w:val="aff"/>
    <w:semiHidden/>
    <w:rsid w:val="00870723"/>
    <w:pPr>
      <w:overflowPunct w:val="0"/>
      <w:autoSpaceDE w:val="0"/>
      <w:autoSpaceDN w:val="0"/>
      <w:adjustRightInd w:val="0"/>
      <w:spacing w:after="0" w:line="240" w:lineRule="auto"/>
      <w:textAlignment w:val="baseline"/>
    </w:pPr>
    <w:rPr>
      <w:rFonts w:ascii="Times New Roman" w:hAnsi="Times New Roman"/>
      <w:sz w:val="20"/>
      <w:szCs w:val="20"/>
      <w:lang w:eastAsia="en-US"/>
    </w:rPr>
  </w:style>
  <w:style w:type="character" w:customStyle="1" w:styleId="aff">
    <w:name w:val="Текст концевой сноски Знак"/>
    <w:link w:val="afe"/>
    <w:semiHidden/>
    <w:rsid w:val="00870723"/>
    <w:rPr>
      <w:rFonts w:ascii="Times New Roman" w:hAnsi="Times New Roman"/>
      <w:lang w:val="en-GB" w:eastAsia="en-US"/>
    </w:rPr>
  </w:style>
  <w:style w:type="character" w:styleId="aff0">
    <w:name w:val="endnote reference"/>
    <w:semiHidden/>
    <w:rsid w:val="00870723"/>
    <w:rPr>
      <w:rFonts w:ascii="Times New Roman" w:hAnsi="Times New Roman"/>
      <w:b/>
      <w:sz w:val="24"/>
      <w:vertAlign w:val="superscript"/>
    </w:rPr>
  </w:style>
  <w:style w:type="paragraph" w:customStyle="1" w:styleId="alttext">
    <w:name w:val="alt_text"/>
    <w:basedOn w:val="a2"/>
    <w:rsid w:val="00870723"/>
    <w:pPr>
      <w:spacing w:before="130" w:after="130" w:line="260" w:lineRule="atLeast"/>
      <w:jc w:val="both"/>
    </w:pPr>
    <w:rPr>
      <w:rFonts w:ascii="Arial" w:hAnsi="Arial"/>
      <w:i/>
      <w:iCs/>
      <w:sz w:val="18"/>
      <w:lang w:val="en-US" w:eastAsia="en-US"/>
    </w:rPr>
  </w:style>
  <w:style w:type="paragraph" w:customStyle="1" w:styleId="tabletext">
    <w:name w:val="table_text"/>
    <w:basedOn w:val="a1"/>
    <w:rsid w:val="00870723"/>
    <w:pPr>
      <w:numPr>
        <w:ilvl w:val="12"/>
      </w:numPr>
      <w:spacing w:before="65" w:after="65" w:line="240" w:lineRule="auto"/>
    </w:pPr>
    <w:rPr>
      <w:rFonts w:ascii="Times New Roman" w:hAnsi="Times New Roman"/>
      <w:sz w:val="20"/>
      <w:szCs w:val="24"/>
      <w:lang w:val="en-US" w:eastAsia="en-US"/>
    </w:rPr>
  </w:style>
  <w:style w:type="paragraph" w:customStyle="1" w:styleId="LetTLH">
    <w:name w:val="LetTLH"/>
    <w:basedOn w:val="a1"/>
    <w:next w:val="a1"/>
    <w:rsid w:val="00870723"/>
    <w:pPr>
      <w:tabs>
        <w:tab w:val="left" w:pos="1463"/>
        <w:tab w:val="left" w:pos="4445"/>
        <w:tab w:val="left" w:pos="7326"/>
      </w:tabs>
      <w:overflowPunct w:val="0"/>
      <w:autoSpaceDE w:val="0"/>
      <w:autoSpaceDN w:val="0"/>
      <w:adjustRightInd w:val="0"/>
      <w:spacing w:after="260" w:line="240" w:lineRule="exact"/>
      <w:textAlignment w:val="baseline"/>
    </w:pPr>
    <w:rPr>
      <w:rFonts w:ascii="Univers 45 Light" w:hAnsi="Univers 45 Light"/>
      <w:sz w:val="16"/>
      <w:szCs w:val="20"/>
      <w:lang w:eastAsia="en-US"/>
    </w:rPr>
  </w:style>
  <w:style w:type="paragraph" w:customStyle="1" w:styleId="Address">
    <w:name w:val="Address"/>
    <w:basedOn w:val="a1"/>
    <w:next w:val="a1"/>
    <w:rsid w:val="00870723"/>
    <w:pPr>
      <w:tabs>
        <w:tab w:val="right" w:pos="6940"/>
        <w:tab w:val="left" w:pos="7394"/>
      </w:tabs>
      <w:overflowPunct w:val="0"/>
      <w:autoSpaceDE w:val="0"/>
      <w:autoSpaceDN w:val="0"/>
      <w:adjustRightInd w:val="0"/>
      <w:spacing w:after="0" w:line="240" w:lineRule="auto"/>
      <w:jc w:val="both"/>
      <w:textAlignment w:val="baseline"/>
    </w:pPr>
    <w:rPr>
      <w:rFonts w:ascii="Times New Roman" w:hAnsi="Times New Roman"/>
      <w:szCs w:val="20"/>
      <w:lang w:eastAsia="en-US"/>
    </w:rPr>
  </w:style>
  <w:style w:type="paragraph" w:customStyle="1" w:styleId="tabelLinks">
    <w:name w:val="tabelLinks"/>
    <w:basedOn w:val="IAS"/>
    <w:rsid w:val="00870723"/>
    <w:rPr>
      <w:i w:val="0"/>
      <w:sz w:val="18"/>
    </w:rPr>
  </w:style>
  <w:style w:type="paragraph" w:customStyle="1" w:styleId="IAS">
    <w:name w:val="IAS"/>
    <w:basedOn w:val="a1"/>
    <w:rsid w:val="00870723"/>
    <w:pPr>
      <w:overflowPunct w:val="0"/>
      <w:autoSpaceDE w:val="0"/>
      <w:autoSpaceDN w:val="0"/>
      <w:adjustRightInd w:val="0"/>
      <w:spacing w:after="0" w:line="-260" w:lineRule="auto"/>
      <w:textAlignment w:val="baseline"/>
    </w:pPr>
    <w:rPr>
      <w:rFonts w:ascii="Times" w:hAnsi="Times"/>
      <w:i/>
      <w:sz w:val="20"/>
      <w:szCs w:val="20"/>
      <w:lang w:eastAsia="en-US"/>
    </w:rPr>
  </w:style>
  <w:style w:type="paragraph" w:customStyle="1" w:styleId="tab">
    <w:name w:val="tab+"/>
    <w:basedOn w:val="IAS"/>
    <w:rsid w:val="00870723"/>
    <w:pPr>
      <w:ind w:right="91"/>
      <w:jc w:val="right"/>
    </w:pPr>
    <w:rPr>
      <w:rFonts w:ascii="Times New Roman" w:hAnsi="Times New Roman"/>
      <w:i w:val="0"/>
      <w:sz w:val="18"/>
    </w:rPr>
  </w:style>
  <w:style w:type="character" w:customStyle="1" w:styleId="PageNumberpn">
    <w:name w:val="Page Number.pn"/>
    <w:rsid w:val="00870723"/>
  </w:style>
  <w:style w:type="paragraph" w:customStyle="1" w:styleId="tabelheading1">
    <w:name w:val="tabelheading1"/>
    <w:basedOn w:val="tabelLinks"/>
    <w:rsid w:val="00870723"/>
    <w:pPr>
      <w:keepNext/>
    </w:pPr>
    <w:rPr>
      <w:b/>
    </w:rPr>
  </w:style>
  <w:style w:type="paragraph" w:customStyle="1" w:styleId="tabelt">
    <w:name w:val="tabel=.t="/>
    <w:basedOn w:val="a1"/>
    <w:rsid w:val="00870723"/>
    <w:pPr>
      <w:overflowPunct w:val="0"/>
      <w:autoSpaceDE w:val="0"/>
      <w:autoSpaceDN w:val="0"/>
      <w:adjustRightInd w:val="0"/>
      <w:spacing w:after="120" w:line="-60" w:lineRule="auto"/>
      <w:ind w:right="91"/>
      <w:jc w:val="right"/>
      <w:textAlignment w:val="baseline"/>
    </w:pPr>
    <w:rPr>
      <w:rFonts w:ascii="Times New Roman" w:hAnsi="Times New Roman"/>
      <w:szCs w:val="20"/>
      <w:u w:val="double"/>
      <w:lang w:eastAsia="en-US"/>
    </w:rPr>
  </w:style>
  <w:style w:type="paragraph" w:customStyle="1" w:styleId="euroheading">
    <w:name w:val="euro heading"/>
    <w:basedOn w:val="a1"/>
    <w:rsid w:val="00870723"/>
    <w:pPr>
      <w:overflowPunct w:val="0"/>
      <w:autoSpaceDE w:val="0"/>
      <w:autoSpaceDN w:val="0"/>
      <w:adjustRightInd w:val="0"/>
      <w:spacing w:after="0" w:line="260" w:lineRule="atLeast"/>
      <w:jc w:val="both"/>
      <w:textAlignment w:val="baseline"/>
    </w:pPr>
    <w:rPr>
      <w:rFonts w:ascii="Times New Roman" w:hAnsi="Times New Roman"/>
      <w:i/>
      <w:sz w:val="20"/>
      <w:szCs w:val="20"/>
      <w:lang w:eastAsia="en-US"/>
    </w:rPr>
  </w:style>
  <w:style w:type="paragraph" w:customStyle="1" w:styleId="numbertablehead">
    <w:name w:val="number table head"/>
    <w:basedOn w:val="a1"/>
    <w:rsid w:val="00870723"/>
    <w:pPr>
      <w:overflowPunct w:val="0"/>
      <w:autoSpaceDE w:val="0"/>
      <w:autoSpaceDN w:val="0"/>
      <w:adjustRightInd w:val="0"/>
      <w:spacing w:after="0" w:line="260" w:lineRule="atLeast"/>
      <w:ind w:right="62"/>
      <w:jc w:val="right"/>
      <w:textAlignment w:val="baseline"/>
    </w:pPr>
    <w:rPr>
      <w:rFonts w:ascii="Times New Roman" w:hAnsi="Times New Roman"/>
      <w:b/>
      <w:sz w:val="20"/>
      <w:szCs w:val="20"/>
      <w:lang w:eastAsia="en-US"/>
    </w:rPr>
  </w:style>
  <w:style w:type="paragraph" w:customStyle="1" w:styleId="numbernegative">
    <w:name w:val="number negative"/>
    <w:basedOn w:val="a1"/>
    <w:rsid w:val="00870723"/>
    <w:pPr>
      <w:overflowPunct w:val="0"/>
      <w:autoSpaceDE w:val="0"/>
      <w:autoSpaceDN w:val="0"/>
      <w:adjustRightInd w:val="0"/>
      <w:spacing w:after="0" w:line="260" w:lineRule="atLeast"/>
      <w:jc w:val="right"/>
      <w:textAlignment w:val="baseline"/>
    </w:pPr>
    <w:rPr>
      <w:rFonts w:ascii="Times New Roman" w:hAnsi="Times New Roman"/>
      <w:sz w:val="20"/>
      <w:szCs w:val="20"/>
      <w:lang w:eastAsia="en-US"/>
    </w:rPr>
  </w:style>
  <w:style w:type="paragraph" w:customStyle="1" w:styleId="numberpositive">
    <w:name w:val="number positive"/>
    <w:basedOn w:val="a1"/>
    <w:rsid w:val="00870723"/>
    <w:pPr>
      <w:overflowPunct w:val="0"/>
      <w:autoSpaceDE w:val="0"/>
      <w:autoSpaceDN w:val="0"/>
      <w:adjustRightInd w:val="0"/>
      <w:spacing w:after="0" w:line="260" w:lineRule="atLeast"/>
      <w:ind w:right="62"/>
      <w:jc w:val="right"/>
      <w:textAlignment w:val="baseline"/>
    </w:pPr>
    <w:rPr>
      <w:rFonts w:ascii="Times New Roman" w:hAnsi="Times New Roman"/>
      <w:sz w:val="20"/>
      <w:szCs w:val="20"/>
      <w:lang w:eastAsia="en-US"/>
    </w:rPr>
  </w:style>
  <w:style w:type="paragraph" w:customStyle="1" w:styleId="Text">
    <w:name w:val="Text"/>
    <w:basedOn w:val="a1"/>
    <w:rsid w:val="00870723"/>
    <w:pPr>
      <w:tabs>
        <w:tab w:val="left" w:pos="284"/>
      </w:tabs>
      <w:overflowPunct w:val="0"/>
      <w:autoSpaceDE w:val="0"/>
      <w:autoSpaceDN w:val="0"/>
      <w:adjustRightInd w:val="0"/>
      <w:spacing w:after="260" w:line="240" w:lineRule="auto"/>
      <w:jc w:val="both"/>
      <w:textAlignment w:val="baseline"/>
    </w:pPr>
    <w:rPr>
      <w:rFonts w:ascii="Times New Roman" w:eastAsia="MS Mincho" w:hAnsi="Times New Roman"/>
      <w:szCs w:val="20"/>
      <w:lang w:eastAsia="en-US"/>
    </w:rPr>
  </w:style>
  <w:style w:type="paragraph" w:customStyle="1" w:styleId="body">
    <w:name w:val="body"/>
    <w:basedOn w:val="a1"/>
    <w:rsid w:val="00870723"/>
    <w:pPr>
      <w:keepNext/>
      <w:spacing w:before="260" w:after="260" w:line="240" w:lineRule="auto"/>
      <w:jc w:val="both"/>
    </w:pPr>
    <w:rPr>
      <w:rFonts w:ascii="Times New Roman" w:hAnsi="Times New Roman"/>
      <w:b/>
      <w:bCs/>
      <w:sz w:val="24"/>
      <w:szCs w:val="24"/>
      <w:lang w:val="en-US" w:eastAsia="en-US"/>
    </w:rPr>
  </w:style>
  <w:style w:type="paragraph" w:customStyle="1" w:styleId="Subhead3CharCharChar">
    <w:name w:val="Subhead 3 Char Char Char"/>
    <w:basedOn w:val="a1"/>
    <w:rsid w:val="00870723"/>
    <w:pPr>
      <w:tabs>
        <w:tab w:val="left" w:pos="1134"/>
        <w:tab w:val="left" w:pos="1531"/>
        <w:tab w:val="left" w:pos="1871"/>
      </w:tabs>
      <w:autoSpaceDE w:val="0"/>
      <w:autoSpaceDN w:val="0"/>
      <w:adjustRightInd w:val="0"/>
      <w:spacing w:after="0" w:line="260" w:lineRule="atLeast"/>
      <w:ind w:left="1531" w:right="935" w:hanging="1531"/>
    </w:pPr>
    <w:rPr>
      <w:rFonts w:ascii="Univers 45 Light" w:hAnsi="Univers 45 Light"/>
      <w:b/>
      <w:bCs/>
      <w:color w:val="0C2D83"/>
      <w:sz w:val="20"/>
      <w:szCs w:val="20"/>
      <w:lang w:val="en-NZ" w:eastAsia="en-NZ"/>
    </w:rPr>
  </w:style>
  <w:style w:type="paragraph" w:customStyle="1" w:styleId="AccountingPolicy">
    <w:name w:val="Accounting Policy"/>
    <w:basedOn w:val="a1"/>
    <w:rsid w:val="00870723"/>
    <w:pPr>
      <w:tabs>
        <w:tab w:val="left" w:pos="1531"/>
        <w:tab w:val="left" w:pos="1871"/>
      </w:tabs>
      <w:autoSpaceDE w:val="0"/>
      <w:autoSpaceDN w:val="0"/>
      <w:adjustRightInd w:val="0"/>
      <w:spacing w:after="0" w:line="260" w:lineRule="atLeast"/>
      <w:ind w:left="1531" w:hanging="1531"/>
    </w:pPr>
    <w:rPr>
      <w:rFonts w:ascii="Univers 45 Light" w:hAnsi="Univers 45 Light"/>
      <w:color w:val="000000"/>
      <w:sz w:val="20"/>
      <w:szCs w:val="20"/>
      <w:lang w:val="en-NZ" w:eastAsia="en-NZ"/>
    </w:rPr>
  </w:style>
  <w:style w:type="paragraph" w:customStyle="1" w:styleId="Subhead4">
    <w:name w:val="Subhead 4"/>
    <w:basedOn w:val="a1"/>
    <w:rsid w:val="00870723"/>
    <w:pPr>
      <w:tabs>
        <w:tab w:val="left" w:pos="1134"/>
        <w:tab w:val="left" w:pos="1531"/>
        <w:tab w:val="left" w:pos="1871"/>
      </w:tabs>
      <w:autoSpaceDE w:val="0"/>
      <w:autoSpaceDN w:val="0"/>
      <w:adjustRightInd w:val="0"/>
      <w:spacing w:after="0" w:line="260" w:lineRule="atLeast"/>
      <w:ind w:left="1531" w:right="935" w:hanging="1531"/>
    </w:pPr>
    <w:rPr>
      <w:rFonts w:ascii="Univers 45 Light" w:hAnsi="Univers 45 Light"/>
      <w:b/>
      <w:bCs/>
      <w:color w:val="7B7FB6"/>
      <w:sz w:val="20"/>
      <w:szCs w:val="20"/>
      <w:lang w:val="en-NZ" w:eastAsia="en-NZ"/>
    </w:rPr>
  </w:style>
  <w:style w:type="paragraph" w:customStyle="1" w:styleId="Note">
    <w:name w:val="Note"/>
    <w:basedOn w:val="a1"/>
    <w:rsid w:val="00870723"/>
    <w:pPr>
      <w:tabs>
        <w:tab w:val="left" w:pos="1134"/>
        <w:tab w:val="left" w:pos="1531"/>
        <w:tab w:val="left" w:pos="1871"/>
      </w:tabs>
      <w:autoSpaceDE w:val="0"/>
      <w:autoSpaceDN w:val="0"/>
      <w:adjustRightInd w:val="0"/>
      <w:spacing w:after="0" w:line="260" w:lineRule="atLeast"/>
      <w:ind w:left="1531" w:hanging="1531"/>
    </w:pPr>
    <w:rPr>
      <w:rFonts w:ascii="Univers 55" w:hAnsi="Univers 55"/>
      <w:b/>
      <w:bCs/>
      <w:color w:val="0C2D83"/>
      <w:sz w:val="20"/>
      <w:szCs w:val="20"/>
      <w:lang w:val="en-NZ" w:eastAsia="en-NZ"/>
    </w:rPr>
  </w:style>
  <w:style w:type="paragraph" w:styleId="32">
    <w:name w:val="Body Text 3"/>
    <w:basedOn w:val="a1"/>
    <w:link w:val="33"/>
    <w:rsid w:val="00870723"/>
    <w:pPr>
      <w:spacing w:after="120" w:line="240" w:lineRule="auto"/>
    </w:pPr>
    <w:rPr>
      <w:rFonts w:ascii="Times New Roman" w:hAnsi="Times New Roman"/>
      <w:sz w:val="16"/>
      <w:szCs w:val="16"/>
      <w:lang w:val="en-US" w:eastAsia="en-US"/>
    </w:rPr>
  </w:style>
  <w:style w:type="character" w:customStyle="1" w:styleId="33">
    <w:name w:val="Основной текст 3 Знак"/>
    <w:link w:val="32"/>
    <w:rsid w:val="00870723"/>
    <w:rPr>
      <w:rFonts w:ascii="Times New Roman" w:hAnsi="Times New Roman"/>
      <w:sz w:val="16"/>
      <w:szCs w:val="16"/>
      <w:lang w:val="en-US" w:eastAsia="en-US"/>
    </w:rPr>
  </w:style>
  <w:style w:type="paragraph" w:customStyle="1" w:styleId="Style11ptBoldJustifiedBefore13ptAfter13pt">
    <w:name w:val="Style 11 pt Bold Justified Before:  13 pt After:  13 pt"/>
    <w:basedOn w:val="a1"/>
    <w:autoRedefine/>
    <w:rsid w:val="00870723"/>
    <w:pPr>
      <w:keepNext/>
      <w:spacing w:before="130" w:after="130" w:line="260" w:lineRule="atLeast"/>
      <w:jc w:val="both"/>
    </w:pPr>
    <w:rPr>
      <w:rFonts w:ascii="Times New Roman" w:hAnsi="Times New Roman"/>
      <w:bCs/>
      <w:szCs w:val="20"/>
      <w:lang w:eastAsia="en-US"/>
    </w:rPr>
  </w:style>
  <w:style w:type="character" w:styleId="aff1">
    <w:name w:val="Emphasis"/>
    <w:qFormat/>
    <w:locked/>
    <w:rsid w:val="00870723"/>
    <w:rPr>
      <w:i/>
      <w:iCs/>
    </w:rPr>
  </w:style>
  <w:style w:type="paragraph" w:customStyle="1" w:styleId="Normal9pt">
    <w:name w:val="Normal + 9 pt"/>
    <w:basedOn w:val="a1"/>
    <w:rsid w:val="00870723"/>
    <w:pPr>
      <w:framePr w:hSpace="180" w:wrap="around" w:hAnchor="margin" w:x="-72" w:y="-1078"/>
      <w:spacing w:after="0" w:line="240" w:lineRule="auto"/>
    </w:pPr>
    <w:rPr>
      <w:rFonts w:ascii="Times New Roman" w:hAnsi="Times New Roman"/>
      <w:sz w:val="18"/>
      <w:szCs w:val="18"/>
      <w:lang w:val="en-US" w:eastAsia="en-US"/>
    </w:rPr>
  </w:style>
  <w:style w:type="character" w:customStyle="1" w:styleId="block">
    <w:name w:val="block"/>
    <w:rsid w:val="00870723"/>
  </w:style>
  <w:style w:type="paragraph" w:customStyle="1" w:styleId="TABS">
    <w:name w:val="TABS"/>
    <w:rsid w:val="00870723"/>
    <w:pPr>
      <w:widowControl w:val="0"/>
      <w:tabs>
        <w:tab w:val="left" w:pos="-1440"/>
        <w:tab w:val="left" w:pos="-720"/>
        <w:tab w:val="left" w:pos="720"/>
        <w:tab w:val="left" w:pos="1440"/>
        <w:tab w:val="left" w:pos="2304"/>
      </w:tabs>
      <w:suppressAutoHyphens/>
      <w:autoSpaceDE w:val="0"/>
      <w:autoSpaceDN w:val="0"/>
      <w:adjustRightInd w:val="0"/>
    </w:pPr>
    <w:rPr>
      <w:rFonts w:ascii="Dutch Roman 12pt" w:hAnsi="Dutch Roman 12pt"/>
      <w:szCs w:val="24"/>
      <w:lang w:val="en-US" w:eastAsia="en-US"/>
    </w:rPr>
  </w:style>
  <w:style w:type="paragraph" w:styleId="23">
    <w:name w:val="Body Text 2"/>
    <w:basedOn w:val="a1"/>
    <w:link w:val="24"/>
    <w:rsid w:val="00870723"/>
    <w:pPr>
      <w:spacing w:after="120" w:line="480" w:lineRule="auto"/>
    </w:pPr>
    <w:rPr>
      <w:rFonts w:ascii="Times New Roman" w:hAnsi="Times New Roman"/>
      <w:sz w:val="24"/>
      <w:szCs w:val="24"/>
      <w:lang w:val="en-US" w:eastAsia="en-US"/>
    </w:rPr>
  </w:style>
  <w:style w:type="character" w:customStyle="1" w:styleId="24">
    <w:name w:val="Основной текст 2 Знак"/>
    <w:link w:val="23"/>
    <w:rsid w:val="00870723"/>
    <w:rPr>
      <w:rFonts w:ascii="Times New Roman" w:hAnsi="Times New Roman"/>
      <w:sz w:val="24"/>
      <w:szCs w:val="24"/>
      <w:lang w:val="en-US" w:eastAsia="en-US"/>
    </w:rPr>
  </w:style>
  <w:style w:type="paragraph" w:customStyle="1" w:styleId="ABCFootnote">
    <w:name w:val="ABC Footnote"/>
    <w:basedOn w:val="af8"/>
    <w:rsid w:val="00870723"/>
    <w:rPr>
      <w:rFonts w:ascii="Times New Roman" w:hAnsi="Times New Roman"/>
      <w:sz w:val="18"/>
      <w:lang w:eastAsia="en-US"/>
    </w:rPr>
  </w:style>
  <w:style w:type="paragraph" w:customStyle="1" w:styleId="tblHeaderText">
    <w:name w:val="tbl'HeaderText"/>
    <w:basedOn w:val="a1"/>
    <w:rsid w:val="00870723"/>
    <w:pPr>
      <w:spacing w:after="0" w:line="240" w:lineRule="auto"/>
      <w:ind w:right="57"/>
      <w:jc w:val="right"/>
    </w:pPr>
    <w:rPr>
      <w:rFonts w:ascii="Times New Roman" w:hAnsi="Times New Roman"/>
      <w:b/>
      <w:spacing w:val="-2"/>
      <w:sz w:val="20"/>
      <w:szCs w:val="20"/>
      <w:lang w:eastAsia="en-US"/>
    </w:rPr>
  </w:style>
  <w:style w:type="paragraph" w:customStyle="1" w:styleId="tblNumber01">
    <w:name w:val="tbl'Number_01"/>
    <w:basedOn w:val="a1"/>
    <w:rsid w:val="00870723"/>
    <w:pPr>
      <w:spacing w:after="0" w:line="240" w:lineRule="auto"/>
      <w:ind w:right="57"/>
      <w:jc w:val="right"/>
    </w:pPr>
    <w:rPr>
      <w:rFonts w:ascii="Times New Roman" w:hAnsi="Times New Roman"/>
      <w:sz w:val="20"/>
      <w:szCs w:val="20"/>
      <w:lang w:eastAsia="en-US"/>
    </w:rPr>
  </w:style>
  <w:style w:type="paragraph" w:customStyle="1" w:styleId="tblText02">
    <w:name w:val="tbl'Text_02"/>
    <w:basedOn w:val="a1"/>
    <w:rsid w:val="00870723"/>
    <w:pPr>
      <w:spacing w:after="0" w:line="240" w:lineRule="auto"/>
      <w:ind w:left="113" w:hanging="113"/>
    </w:pPr>
    <w:rPr>
      <w:rFonts w:ascii="Times New Roman" w:hAnsi="Times New Roman"/>
      <w:sz w:val="20"/>
      <w:szCs w:val="20"/>
      <w:lang w:eastAsia="en-US"/>
    </w:rPr>
  </w:style>
  <w:style w:type="character" w:customStyle="1" w:styleId="-731">
    <w:name w:val="Таблица-сетка 7 цветная — акцент 31"/>
    <w:uiPriority w:val="33"/>
    <w:qFormat/>
    <w:rsid w:val="00870723"/>
    <w:rPr>
      <w:b/>
      <w:bCs/>
      <w:smallCaps/>
      <w:spacing w:val="5"/>
    </w:rPr>
  </w:style>
  <w:style w:type="paragraph" w:customStyle="1" w:styleId="IndependentAuditorsReport">
    <w:name w:val="Independent Auditor's Report"/>
    <w:basedOn w:val="a2"/>
    <w:rsid w:val="00870723"/>
    <w:pPr>
      <w:spacing w:before="240" w:after="0" w:line="240" w:lineRule="auto"/>
      <w:jc w:val="both"/>
    </w:pPr>
    <w:rPr>
      <w:rFonts w:ascii="Times New Roman" w:hAnsi="Times New Roman"/>
      <w:b/>
      <w:sz w:val="22"/>
      <w:lang w:val="en-US" w:eastAsia="en-US"/>
    </w:rPr>
  </w:style>
  <w:style w:type="paragraph" w:customStyle="1" w:styleId="zKISOffAddress">
    <w:name w:val="zKISOffAddress"/>
    <w:basedOn w:val="a1"/>
    <w:rsid w:val="00870723"/>
    <w:pPr>
      <w:framePr w:hSpace="215" w:wrap="around" w:vAnchor="page" w:hAnchor="page" w:x="4282" w:y="1294"/>
      <w:spacing w:after="0" w:line="190" w:lineRule="exact"/>
    </w:pPr>
    <w:rPr>
      <w:rFonts w:ascii="Univers 45 Light" w:hAnsi="Univers 45 Light"/>
      <w:sz w:val="15"/>
      <w:szCs w:val="20"/>
      <w:lang w:val="en-US" w:eastAsia="en-US"/>
    </w:rPr>
  </w:style>
  <w:style w:type="paragraph" w:customStyle="1" w:styleId="zKISDescFooter">
    <w:name w:val="zKISDescFooter"/>
    <w:basedOn w:val="a1"/>
    <w:rsid w:val="00870723"/>
    <w:pPr>
      <w:framePr w:hSpace="284" w:wrap="around" w:vAnchor="page" w:hAnchor="page" w:x="4282" w:y="15905"/>
      <w:spacing w:after="0" w:line="130" w:lineRule="exact"/>
    </w:pPr>
    <w:rPr>
      <w:rFonts w:ascii="Univers 45 Light" w:hAnsi="Univers 45 Light"/>
      <w:sz w:val="11"/>
      <w:szCs w:val="20"/>
      <w:lang w:val="en-US" w:eastAsia="en-US"/>
    </w:rPr>
  </w:style>
  <w:style w:type="paragraph" w:customStyle="1" w:styleId="GridTable4-Accent41">
    <w:name w:val="Grid Table 4 - Accent 41"/>
    <w:hidden/>
    <w:uiPriority w:val="99"/>
    <w:semiHidden/>
    <w:rsid w:val="00870723"/>
    <w:rPr>
      <w:rFonts w:ascii="Times New Roman" w:hAnsi="Times New Roman"/>
      <w:sz w:val="24"/>
      <w:szCs w:val="24"/>
      <w:lang w:val="en-US" w:eastAsia="en-US"/>
    </w:rPr>
  </w:style>
  <w:style w:type="paragraph" w:customStyle="1" w:styleId="Default">
    <w:name w:val="Default"/>
    <w:rsid w:val="00870723"/>
    <w:pPr>
      <w:autoSpaceDE w:val="0"/>
      <w:autoSpaceDN w:val="0"/>
      <w:adjustRightInd w:val="0"/>
    </w:pPr>
    <w:rPr>
      <w:rFonts w:ascii="Univers 45 Light" w:hAnsi="Univers 45 Light" w:cs="Univers 45 Light"/>
      <w:color w:val="000000"/>
      <w:sz w:val="24"/>
      <w:szCs w:val="24"/>
      <w:lang w:val="en-US" w:eastAsia="en-US"/>
    </w:rPr>
  </w:style>
  <w:style w:type="paragraph" w:customStyle="1" w:styleId="Pa25">
    <w:name w:val="Pa25"/>
    <w:basedOn w:val="Default"/>
    <w:next w:val="Default"/>
    <w:uiPriority w:val="99"/>
    <w:rsid w:val="00870723"/>
    <w:pPr>
      <w:spacing w:line="191" w:lineRule="atLeast"/>
    </w:pPr>
    <w:rPr>
      <w:rFonts w:cs="Times New Roman"/>
      <w:color w:val="auto"/>
    </w:rPr>
  </w:style>
  <w:style w:type="character" w:customStyle="1" w:styleId="A11">
    <w:name w:val="A11"/>
    <w:uiPriority w:val="99"/>
    <w:rsid w:val="00870723"/>
    <w:rPr>
      <w:rFonts w:cs="Univers 45 Light"/>
      <w:i/>
      <w:iCs/>
      <w:color w:val="004690"/>
      <w:sz w:val="15"/>
      <w:szCs w:val="15"/>
    </w:rPr>
  </w:style>
  <w:style w:type="paragraph" w:customStyle="1" w:styleId="GridTable5Dark-Accent41">
    <w:name w:val="Grid Table 5 Dark - Accent 41"/>
    <w:basedOn w:val="a1"/>
    <w:uiPriority w:val="34"/>
    <w:qFormat/>
    <w:rsid w:val="00870723"/>
    <w:pPr>
      <w:spacing w:after="0" w:line="240" w:lineRule="auto"/>
      <w:ind w:left="720"/>
      <w:contextualSpacing/>
    </w:pPr>
    <w:rPr>
      <w:rFonts w:ascii="Times New Roman" w:hAnsi="Times New Roman"/>
      <w:sz w:val="24"/>
      <w:szCs w:val="24"/>
      <w:lang w:val="en-US" w:eastAsia="en-US"/>
    </w:rPr>
  </w:style>
  <w:style w:type="paragraph" w:customStyle="1" w:styleId="Report">
    <w:name w:val="Report"/>
    <w:rsid w:val="00870723"/>
    <w:pPr>
      <w:numPr>
        <w:numId w:val="5"/>
      </w:numPr>
      <w:spacing w:after="240"/>
      <w:jc w:val="both"/>
    </w:pPr>
    <w:rPr>
      <w:rFonts w:ascii="Arial" w:hAnsi="Arial"/>
      <w:snapToGrid w:val="0"/>
      <w:lang w:val="en-GB" w:eastAsia="en-US"/>
    </w:rPr>
  </w:style>
  <w:style w:type="paragraph" w:customStyle="1" w:styleId="Z2Opinion">
    <w:name w:val="Z2_Opinion"/>
    <w:basedOn w:val="a1"/>
    <w:next w:val="a2"/>
    <w:rsid w:val="00870723"/>
    <w:pPr>
      <w:spacing w:after="0" w:line="240" w:lineRule="auto"/>
    </w:pPr>
    <w:rPr>
      <w:rFonts w:ascii="Arial" w:eastAsia="Arial Unicode MS" w:hAnsi="Arial" w:cs="Arial"/>
      <w:b/>
      <w:caps/>
      <w:sz w:val="20"/>
      <w:lang w:val="en-US" w:eastAsia="en-US"/>
    </w:rPr>
  </w:style>
  <w:style w:type="paragraph" w:customStyle="1" w:styleId="GridTable2-Accent31">
    <w:name w:val="Grid Table 2 - Accent 31"/>
    <w:hidden/>
    <w:uiPriority w:val="99"/>
    <w:unhideWhenUsed/>
    <w:rsid w:val="00512CC0"/>
    <w:rPr>
      <w:sz w:val="22"/>
      <w:szCs w:val="22"/>
      <w:lang w:val="en-GB" w:eastAsia="zh-CN"/>
    </w:rPr>
  </w:style>
  <w:style w:type="table" w:customStyle="1" w:styleId="ListTable6Colorful-Accent51">
    <w:name w:val="List Table 6 Colorful - Accent 51"/>
    <w:basedOn w:val="a4"/>
    <w:uiPriority w:val="99"/>
    <w:qFormat/>
    <w:rsid w:val="00131EF2"/>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41">
    <w:name w:val="Список-таблица 4 — акцент 41"/>
    <w:basedOn w:val="a4"/>
    <w:uiPriority w:val="99"/>
    <w:qFormat/>
    <w:rsid w:val="00ED4F6D"/>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31">
    <w:name w:val="Темный список - Акцент 31"/>
    <w:hidden/>
    <w:uiPriority w:val="99"/>
    <w:unhideWhenUsed/>
    <w:rsid w:val="005B37E8"/>
    <w:rPr>
      <w:sz w:val="22"/>
      <w:szCs w:val="22"/>
      <w:lang w:val="en-GB" w:eastAsia="zh-CN"/>
    </w:rPr>
  </w:style>
  <w:style w:type="character" w:customStyle="1" w:styleId="UnresolvedMention1">
    <w:name w:val="Unresolved Mention1"/>
    <w:uiPriority w:val="99"/>
    <w:semiHidden/>
    <w:unhideWhenUsed/>
    <w:rsid w:val="00CF22E3"/>
    <w:rPr>
      <w:color w:val="808080"/>
      <w:shd w:val="clear" w:color="auto" w:fill="E6E6E6"/>
    </w:rPr>
  </w:style>
  <w:style w:type="paragraph" w:styleId="aff2">
    <w:name w:val="List Paragraph"/>
    <w:basedOn w:val="a1"/>
    <w:uiPriority w:val="34"/>
    <w:qFormat/>
    <w:rsid w:val="00AD525C"/>
    <w:pPr>
      <w:spacing w:after="160" w:line="259" w:lineRule="auto"/>
      <w:ind w:left="720"/>
      <w:contextualSpacing/>
    </w:pPr>
    <w:rPr>
      <w:rFonts w:eastAsia="Calibri"/>
      <w:lang w:val="ru-RU" w:eastAsia="en-US"/>
    </w:rPr>
  </w:style>
  <w:style w:type="paragraph" w:styleId="aff3">
    <w:name w:val="Revision"/>
    <w:hidden/>
    <w:uiPriority w:val="99"/>
    <w:semiHidden/>
    <w:rsid w:val="00C52E4F"/>
    <w:rPr>
      <w:sz w:val="22"/>
      <w:szCs w:val="22"/>
      <w:lang w:val="en-GB" w:eastAsia="zh-CN"/>
    </w:rPr>
  </w:style>
  <w:style w:type="paragraph" w:customStyle="1" w:styleId="o">
    <w:name w:val="o"/>
    <w:basedOn w:val="a1"/>
    <w:uiPriority w:val="99"/>
    <w:rsid w:val="0007666B"/>
    <w:pPr>
      <w:spacing w:before="100" w:beforeAutospacing="1" w:after="100" w:afterAutospacing="1" w:line="240" w:lineRule="auto"/>
    </w:pPr>
    <w:rPr>
      <w:rFonts w:ascii="Times New Roman" w:hAnsi="Times New Roman"/>
      <w:sz w:val="24"/>
      <w:szCs w:val="24"/>
    </w:rPr>
  </w:style>
  <w:style w:type="paragraph" w:customStyle="1" w:styleId="12">
    <w:name w:val="Текст1"/>
    <w:rsid w:val="00CD7033"/>
    <w:pPr>
      <w:pBdr>
        <w:top w:val="nil"/>
        <w:left w:val="nil"/>
        <w:bottom w:val="nil"/>
        <w:right w:val="nil"/>
        <w:between w:val="nil"/>
        <w:bar w:val="nil"/>
      </w:pBdr>
      <w:spacing w:after="200" w:line="276" w:lineRule="auto"/>
    </w:pPr>
    <w:rPr>
      <w:rFonts w:eastAsia="Calibri" w:cs="Calibri"/>
      <w:color w:val="000000"/>
      <w:sz w:val="22"/>
      <w:szCs w:val="22"/>
      <w:u w:color="000000"/>
      <w:bdr w:val="nil"/>
      <w:lang w:eastAsia="ru-RU"/>
    </w:rPr>
  </w:style>
  <w:style w:type="paragraph" w:customStyle="1" w:styleId="xmsonormal">
    <w:name w:val="x_msonormal"/>
    <w:basedOn w:val="a1"/>
    <w:uiPriority w:val="99"/>
    <w:rsid w:val="003D6F97"/>
    <w:pPr>
      <w:spacing w:after="0" w:line="240" w:lineRule="auto"/>
    </w:pPr>
    <w:rPr>
      <w:rFonts w:eastAsia="Times New Roman" w:cs="Calibri"/>
      <w:sz w:val="20"/>
      <w:szCs w:val="20"/>
      <w:lang w:val="ru-RU" w:eastAsia="ru-RU"/>
    </w:rPr>
  </w:style>
  <w:style w:type="numbering" w:customStyle="1" w:styleId="13">
    <w:name w:val="Нет списка1"/>
    <w:next w:val="a5"/>
    <w:uiPriority w:val="99"/>
    <w:semiHidden/>
    <w:unhideWhenUsed/>
    <w:rsid w:val="004356E2"/>
  </w:style>
  <w:style w:type="character" w:styleId="aff4">
    <w:name w:val="Book Title"/>
    <w:uiPriority w:val="33"/>
    <w:qFormat/>
    <w:rsid w:val="004356E2"/>
    <w:rPr>
      <w:b/>
      <w:bCs/>
      <w:smallCaps/>
      <w:spacing w:val="5"/>
    </w:rPr>
  </w:style>
  <w:style w:type="character" w:customStyle="1" w:styleId="hps">
    <w:name w:val="hps"/>
    <w:basedOn w:val="a3"/>
    <w:rsid w:val="004356E2"/>
  </w:style>
  <w:style w:type="paragraph" w:customStyle="1" w:styleId="zsubject">
    <w:name w:val="zsubject"/>
    <w:basedOn w:val="IndependentAuditorsReport"/>
    <w:rsid w:val="004356E2"/>
    <w:pPr>
      <w:spacing w:after="120"/>
    </w:pPr>
    <w:rPr>
      <w:rFonts w:ascii="Arial" w:eastAsia="Times New Roman" w:hAnsi="Arial" w:cs="Arial"/>
      <w:sz w:val="24"/>
      <w:szCs w:val="24"/>
    </w:rPr>
  </w:style>
  <w:style w:type="paragraph" w:customStyle="1" w:styleId="Example">
    <w:name w:val="Example"/>
    <w:basedOn w:val="a2"/>
    <w:rsid w:val="004356E2"/>
    <w:pPr>
      <w:spacing w:after="260" w:line="240" w:lineRule="auto"/>
      <w:jc w:val="both"/>
    </w:pPr>
    <w:rPr>
      <w:rFonts w:ascii="Arial" w:eastAsia="Times New Roman" w:hAnsi="Arial" w:cs="Arial"/>
      <w:b/>
      <w:lang w:val="en-US" w:eastAsia="en-US"/>
    </w:rPr>
  </w:style>
  <w:style w:type="paragraph" w:customStyle="1" w:styleId="KAMKNormal">
    <w:name w:val="KAMKNormal"/>
    <w:basedOn w:val="a1"/>
    <w:link w:val="KAMKNormalChar"/>
    <w:rsid w:val="004356E2"/>
    <w:pPr>
      <w:spacing w:before="120" w:after="120" w:line="240" w:lineRule="auto"/>
    </w:pPr>
    <w:rPr>
      <w:rFonts w:ascii="Tahoma" w:eastAsia="Times New Roman" w:hAnsi="Tahoma"/>
      <w:color w:val="000000"/>
      <w:szCs w:val="24"/>
      <w:lang w:val="en-US" w:eastAsia="en-US"/>
    </w:rPr>
  </w:style>
  <w:style w:type="character" w:customStyle="1" w:styleId="KAMKNormalChar">
    <w:name w:val="KAMKNormal Char"/>
    <w:link w:val="KAMKNormal"/>
    <w:rsid w:val="004356E2"/>
    <w:rPr>
      <w:rFonts w:ascii="Tahoma" w:eastAsia="Times New Roman" w:hAnsi="Tahoma"/>
      <w:color w:val="000000"/>
      <w:sz w:val="22"/>
      <w:szCs w:val="24"/>
      <w:lang w:val="en-US" w:eastAsia="en-US"/>
    </w:rPr>
  </w:style>
  <w:style w:type="character" w:customStyle="1" w:styleId="KAMKBold">
    <w:name w:val="KAMKBold"/>
    <w:uiPriority w:val="1"/>
    <w:rsid w:val="004356E2"/>
    <w:rPr>
      <w:rFonts w:ascii="Tahoma" w:hAnsi="Tahoma" w:cs="Times New Roman"/>
      <w:b/>
      <w:sz w:val="22"/>
    </w:rPr>
  </w:style>
  <w:style w:type="character" w:customStyle="1" w:styleId="KAMKItalics">
    <w:name w:val="KAMKItalics"/>
    <w:uiPriority w:val="1"/>
    <w:rsid w:val="004356E2"/>
    <w:rPr>
      <w:rFonts w:ascii="Tahoma" w:hAnsi="Tahoma"/>
      <w:i/>
      <w:sz w:val="22"/>
    </w:rPr>
  </w:style>
  <w:style w:type="paragraph" w:customStyle="1" w:styleId="RNormal">
    <w:name w:val="RNormal"/>
    <w:basedOn w:val="a1"/>
    <w:rsid w:val="004356E2"/>
    <w:pPr>
      <w:spacing w:before="120" w:after="0" w:line="240" w:lineRule="auto"/>
      <w:jc w:val="both"/>
    </w:pPr>
    <w:rPr>
      <w:rFonts w:ascii="Arial" w:eastAsia="Times New Roman" w:hAnsi="Arial" w:cs="Arial"/>
      <w:sz w:val="20"/>
      <w:szCs w:val="24"/>
      <w:lang w:val="en-US" w:eastAsia="en-US"/>
    </w:rPr>
  </w:style>
  <w:style w:type="table" w:customStyle="1" w:styleId="14">
    <w:name w:val="Сетка таблицы1"/>
    <w:basedOn w:val="a4"/>
    <w:next w:val="a6"/>
    <w:rsid w:val="004356E2"/>
    <w:rPr>
      <w:rFonts w:ascii="Tms Rmn" w:eastAsia="Times New Roman" w:hAnsi="Tms Rmn"/>
      <w:lang w:val="en-CA" w:eastAsia="en-CA"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95ptSpreads">
    <w:name w:val="Bodycopy 9.5pt (Spreads)"/>
    <w:basedOn w:val="a1"/>
    <w:uiPriority w:val="99"/>
    <w:rsid w:val="004356E2"/>
    <w:pPr>
      <w:autoSpaceDE w:val="0"/>
      <w:autoSpaceDN w:val="0"/>
      <w:spacing w:after="120" w:line="240" w:lineRule="atLeast"/>
    </w:pPr>
    <w:rPr>
      <w:rFonts w:ascii="Univers LT Std 45 Light" w:eastAsia="Calibri" w:hAnsi="Univers LT Std 45 Light"/>
      <w:color w:val="000000"/>
      <w:sz w:val="19"/>
      <w:szCs w:val="19"/>
      <w:lang w:val="ru-RU" w:eastAsia="en-NZ"/>
    </w:rPr>
  </w:style>
  <w:style w:type="paragraph" w:customStyle="1" w:styleId="NoParagraphStyle">
    <w:name w:val="[No Paragraph Style]"/>
    <w:rsid w:val="004356E2"/>
    <w:pPr>
      <w:widowControl w:val="0"/>
      <w:autoSpaceDE w:val="0"/>
      <w:autoSpaceDN w:val="0"/>
      <w:adjustRightInd w:val="0"/>
      <w:spacing w:line="288" w:lineRule="auto"/>
      <w:textAlignment w:val="center"/>
    </w:pPr>
    <w:rPr>
      <w:rFonts w:ascii="Helvetica Regular" w:eastAsia="Times New Roman" w:hAnsi="Helvetica Regular" w:cs="Helvetica Regular"/>
      <w:color w:val="000000"/>
      <w:sz w:val="24"/>
      <w:szCs w:val="24"/>
      <w:lang w:val="en-US" w:eastAsia="en-NZ"/>
    </w:rPr>
  </w:style>
  <w:style w:type="paragraph" w:customStyle="1" w:styleId="Sub-heading12ptSpreads">
    <w:name w:val="Sub-heading 12pt (Spreads)"/>
    <w:basedOn w:val="NoParagraphStyle"/>
    <w:uiPriority w:val="99"/>
    <w:rsid w:val="004356E2"/>
    <w:pPr>
      <w:suppressAutoHyphens/>
      <w:spacing w:before="57" w:after="120" w:line="280" w:lineRule="atLeast"/>
    </w:pPr>
    <w:rPr>
      <w:rFonts w:ascii="Univers LT Std 45 Light" w:hAnsi="Univers LT Std 45 Light" w:cs="Univers LT Std 45 Light"/>
      <w:b/>
      <w:bCs/>
      <w:color w:val="004E98"/>
    </w:rPr>
  </w:style>
  <w:style w:type="paragraph" w:customStyle="1" w:styleId="StatementHeadingcontinuedSpreads">
    <w:name w:val="Statement Heading continued (Spreads)"/>
    <w:basedOn w:val="a1"/>
    <w:uiPriority w:val="99"/>
    <w:rsid w:val="004356E2"/>
    <w:pPr>
      <w:keepNext/>
      <w:widowControl w:val="0"/>
      <w:tabs>
        <w:tab w:val="left" w:pos="1701"/>
      </w:tabs>
      <w:suppressAutoHyphens/>
      <w:autoSpaceDE w:val="0"/>
      <w:autoSpaceDN w:val="0"/>
      <w:adjustRightInd w:val="0"/>
      <w:spacing w:after="120" w:line="520" w:lineRule="atLeast"/>
      <w:ind w:left="1701" w:hanging="1701"/>
      <w:jc w:val="right"/>
      <w:textAlignment w:val="center"/>
    </w:pPr>
    <w:rPr>
      <w:rFonts w:ascii="KPMG Extralight" w:eastAsia="Times New Roman" w:hAnsi="KPMG Extralight" w:cs="KPMG Extralight"/>
      <w:color w:val="6D2077"/>
      <w:spacing w:val="-12"/>
      <w:sz w:val="60"/>
      <w:szCs w:val="60"/>
      <w:lang w:eastAsia="en-NZ"/>
    </w:rPr>
  </w:style>
  <w:style w:type="paragraph" w:customStyle="1" w:styleId="TableHeadSpreads">
    <w:name w:val="Table Head (Spreads)"/>
    <w:basedOn w:val="a1"/>
    <w:uiPriority w:val="99"/>
    <w:rsid w:val="004356E2"/>
    <w:pPr>
      <w:widowControl w:val="0"/>
      <w:autoSpaceDE w:val="0"/>
      <w:autoSpaceDN w:val="0"/>
      <w:adjustRightInd w:val="0"/>
      <w:spacing w:after="0" w:line="240" w:lineRule="atLeast"/>
      <w:textAlignment w:val="center"/>
    </w:pPr>
    <w:rPr>
      <w:rFonts w:ascii="Univers LT Std 45 Light" w:eastAsia="Times New Roman" w:hAnsi="Univers LT Std 45 Light" w:cs="Univers LT Std 45 Light"/>
      <w:b/>
      <w:bCs/>
      <w:color w:val="FFFFFF"/>
      <w:sz w:val="19"/>
      <w:szCs w:val="19"/>
      <w:lang w:eastAsia="en-NZ"/>
    </w:rPr>
  </w:style>
  <w:style w:type="character" w:customStyle="1" w:styleId="LightBluebold">
    <w:name w:val="Light Blue bold"/>
    <w:uiPriority w:val="99"/>
    <w:rsid w:val="004356E2"/>
    <w:rPr>
      <w:rFonts w:ascii="Univers LT Std 45 Light" w:hAnsi="Univers LT Std 45 Light" w:cs="Univers LT Std 45 Light"/>
      <w:b/>
      <w:bCs/>
      <w:color w:val="0091DA"/>
    </w:rPr>
  </w:style>
  <w:style w:type="character" w:customStyle="1" w:styleId="tlid-translation">
    <w:name w:val="tlid-translation"/>
    <w:basedOn w:val="a3"/>
    <w:rsid w:val="004356E2"/>
  </w:style>
  <w:style w:type="paragraph" w:styleId="a0">
    <w:name w:val="Subtitle"/>
    <w:basedOn w:val="a2"/>
    <w:next w:val="a1"/>
    <w:link w:val="aff5"/>
    <w:locked/>
    <w:rsid w:val="004356E2"/>
    <w:pPr>
      <w:numPr>
        <w:numId w:val="32"/>
      </w:numPr>
      <w:spacing w:before="120" w:line="240" w:lineRule="auto"/>
      <w:jc w:val="both"/>
    </w:pPr>
    <w:rPr>
      <w:rFonts w:ascii="Arial" w:eastAsia="Times New Roman" w:hAnsi="Arial"/>
      <w:lang w:val="ru-RU" w:eastAsia="en-US"/>
    </w:rPr>
  </w:style>
  <w:style w:type="character" w:customStyle="1" w:styleId="aff5">
    <w:name w:val="Подзаголовок Знак"/>
    <w:basedOn w:val="a3"/>
    <w:link w:val="a0"/>
    <w:rsid w:val="004356E2"/>
    <w:rPr>
      <w:rFonts w:ascii="Arial" w:eastAsia="Times New Roman" w:hAnsi="Arial"/>
      <w:lang w:eastAsia="en-US"/>
    </w:rPr>
  </w:style>
  <w:style w:type="character" w:customStyle="1" w:styleId="PwCAddressChar">
    <w:name w:val="PwC Address Char"/>
    <w:basedOn w:val="a3"/>
    <w:link w:val="PwCAddress"/>
    <w:locked/>
    <w:rsid w:val="004356E2"/>
    <w:rPr>
      <w:i/>
      <w:noProof/>
      <w:sz w:val="18"/>
      <w:lang w:eastAsia="en-GB"/>
    </w:rPr>
  </w:style>
  <w:style w:type="paragraph" w:customStyle="1" w:styleId="PwCAddress">
    <w:name w:val="PwC Address"/>
    <w:basedOn w:val="a1"/>
    <w:link w:val="PwCAddressChar"/>
    <w:qFormat/>
    <w:rsid w:val="004356E2"/>
    <w:pPr>
      <w:spacing w:after="0" w:line="200" w:lineRule="atLeast"/>
    </w:pPr>
    <w:rPr>
      <w:i/>
      <w:noProof/>
      <w:sz w:val="18"/>
      <w:szCs w:val="20"/>
      <w:lang w:val="ru-RU" w:eastAsia="en-GB"/>
    </w:rPr>
  </w:style>
  <w:style w:type="paragraph" w:customStyle="1" w:styleId="Continued">
    <w:name w:val="Continued"/>
    <w:basedOn w:val="a2"/>
    <w:link w:val="ContinuedChar"/>
    <w:qFormat/>
    <w:rsid w:val="004356E2"/>
    <w:pPr>
      <w:pageBreakBefore/>
      <w:spacing w:after="240" w:line="240" w:lineRule="auto"/>
      <w:ind w:left="567" w:hanging="567"/>
      <w:jc w:val="both"/>
    </w:pPr>
    <w:rPr>
      <w:rFonts w:ascii="Arial Bold" w:eastAsia="Times New Roman" w:hAnsi="Arial Bold"/>
      <w:b/>
      <w:bCs/>
      <w:caps/>
      <w:color w:val="00B6DA"/>
      <w:lang w:val="ru-RU" w:eastAsia="en-US"/>
    </w:rPr>
  </w:style>
  <w:style w:type="character" w:customStyle="1" w:styleId="ContinuedChar">
    <w:name w:val="Continued Char"/>
    <w:basedOn w:val="af3"/>
    <w:link w:val="Continued"/>
    <w:rsid w:val="004356E2"/>
    <w:rPr>
      <w:rFonts w:ascii="Arial Bold" w:eastAsia="Times New Roman" w:hAnsi="Arial Bold" w:cs="Times New Roman"/>
      <w:b/>
      <w:bCs/>
      <w:caps/>
      <w:color w:val="00B6DA"/>
      <w:lang w:eastAsia="en-US"/>
    </w:rPr>
  </w:style>
  <w:style w:type="paragraph" w:customStyle="1" w:styleId="15">
    <w:name w:val="Заголовок оглавления1"/>
    <w:basedOn w:val="1"/>
    <w:next w:val="a1"/>
    <w:uiPriority w:val="39"/>
    <w:unhideWhenUsed/>
    <w:qFormat/>
    <w:rsid w:val="004356E2"/>
    <w:pPr>
      <w:keepLines/>
      <w:widowControl w:val="0"/>
      <w:spacing w:after="0" w:line="259" w:lineRule="auto"/>
      <w:outlineLvl w:val="9"/>
    </w:pPr>
    <w:rPr>
      <w:rFonts w:ascii="Cambria" w:eastAsia="Times New Roman" w:hAnsi="Cambria"/>
      <w:b w:val="0"/>
      <w:bCs w:val="0"/>
      <w:color w:val="003E71"/>
      <w:kern w:val="0"/>
      <w:lang w:val="en-US" w:eastAsia="en-US"/>
    </w:rPr>
  </w:style>
  <w:style w:type="paragraph" w:customStyle="1" w:styleId="Condensed">
    <w:name w:val="Condensed_"/>
    <w:basedOn w:val="a1"/>
    <w:rsid w:val="004356E2"/>
    <w:pPr>
      <w:widowControl w:val="0"/>
      <w:autoSpaceDE w:val="0"/>
      <w:autoSpaceDN w:val="0"/>
      <w:adjustRightInd w:val="0"/>
      <w:spacing w:before="200" w:line="240" w:lineRule="auto"/>
      <w:jc w:val="both"/>
    </w:pPr>
    <w:rPr>
      <w:rFonts w:ascii="Arial" w:eastAsia="Times New Roman" w:hAnsi="Arial" w:cs="Arial"/>
      <w:spacing w:val="-4"/>
      <w:sz w:val="20"/>
      <w:szCs w:val="20"/>
      <w:lang w:val="en-US" w:eastAsia="en-US"/>
    </w:rPr>
  </w:style>
  <w:style w:type="paragraph" w:customStyle="1" w:styleId="Basic-Text">
    <w:name w:val="Basic-Text"/>
    <w:basedOn w:val="a1"/>
    <w:qFormat/>
    <w:rsid w:val="004356E2"/>
    <w:pPr>
      <w:widowControl w:val="0"/>
      <w:autoSpaceDE w:val="0"/>
      <w:autoSpaceDN w:val="0"/>
      <w:adjustRightInd w:val="0"/>
      <w:spacing w:before="200" w:line="240" w:lineRule="auto"/>
      <w:jc w:val="both"/>
    </w:pPr>
    <w:rPr>
      <w:rFonts w:ascii="Arial" w:eastAsia="Times New Roman" w:hAnsi="Arial" w:cs="Arial"/>
      <w:sz w:val="20"/>
      <w:szCs w:val="20"/>
      <w:lang w:val="en-US" w:eastAsia="en-US"/>
    </w:rPr>
  </w:style>
  <w:style w:type="paragraph" w:customStyle="1" w:styleId="bullets">
    <w:name w:val="bullets"/>
    <w:basedOn w:val="a0"/>
    <w:qFormat/>
    <w:rsid w:val="004356E2"/>
    <w:pPr>
      <w:widowControl w:val="0"/>
      <w:numPr>
        <w:numId w:val="34"/>
      </w:numPr>
      <w:spacing w:before="100" w:after="100"/>
      <w:ind w:left="567" w:hanging="567"/>
    </w:pPr>
    <w:rPr>
      <w:rFonts w:cs="Arial"/>
    </w:rPr>
  </w:style>
  <w:style w:type="paragraph" w:styleId="aff6">
    <w:name w:val="Closing"/>
    <w:basedOn w:val="a1"/>
    <w:link w:val="aff7"/>
    <w:semiHidden/>
    <w:unhideWhenUsed/>
    <w:rsid w:val="004356E2"/>
    <w:pPr>
      <w:spacing w:after="0" w:line="240" w:lineRule="auto"/>
      <w:ind w:left="4252"/>
    </w:pPr>
    <w:rPr>
      <w:rFonts w:ascii="Times New Roman" w:eastAsia="Times New Roman" w:hAnsi="Times New Roman"/>
      <w:sz w:val="24"/>
      <w:szCs w:val="24"/>
      <w:lang w:val="en-US" w:eastAsia="en-US"/>
    </w:rPr>
  </w:style>
  <w:style w:type="character" w:customStyle="1" w:styleId="aff7">
    <w:name w:val="Прощание Знак"/>
    <w:basedOn w:val="a3"/>
    <w:link w:val="aff6"/>
    <w:semiHidden/>
    <w:rsid w:val="004356E2"/>
    <w:rPr>
      <w:rFonts w:ascii="Times New Roman" w:eastAsia="Times New Roman" w:hAnsi="Times New Roman"/>
      <w:sz w:val="24"/>
      <w:szCs w:val="24"/>
      <w:lang w:val="en-US" w:eastAsia="en-US"/>
    </w:rPr>
  </w:style>
  <w:style w:type="numbering" w:customStyle="1" w:styleId="PwCListBullets1">
    <w:name w:val="PwC List Bullets 1"/>
    <w:uiPriority w:val="99"/>
    <w:rsid w:val="004356E2"/>
    <w:pPr>
      <w:numPr>
        <w:numId w:val="35"/>
      </w:numPr>
    </w:pPr>
  </w:style>
  <w:style w:type="paragraph" w:customStyle="1" w:styleId="ListBullet41">
    <w:name w:val="List Bullet 41"/>
    <w:basedOn w:val="a2"/>
    <w:next w:val="42"/>
    <w:uiPriority w:val="13"/>
    <w:unhideWhenUsed/>
    <w:rsid w:val="004356E2"/>
    <w:pPr>
      <w:tabs>
        <w:tab w:val="num" w:pos="20"/>
      </w:tabs>
      <w:spacing w:after="180" w:line="264" w:lineRule="auto"/>
      <w:ind w:hanging="964"/>
      <w:contextualSpacing/>
    </w:pPr>
    <w:rPr>
      <w:rFonts w:ascii="Georgia" w:eastAsia="Arial" w:hAnsi="Georgia" w:cs="Arial"/>
      <w:color w:val="000000"/>
      <w:szCs w:val="21"/>
      <w:lang w:val="ru-RU" w:eastAsia="ru-RU" w:bidi="ru-RU"/>
    </w:rPr>
  </w:style>
  <w:style w:type="paragraph" w:styleId="52">
    <w:name w:val="List Bullet 5"/>
    <w:basedOn w:val="a2"/>
    <w:uiPriority w:val="13"/>
    <w:unhideWhenUsed/>
    <w:rsid w:val="004356E2"/>
    <w:pPr>
      <w:tabs>
        <w:tab w:val="num" w:pos="1008"/>
      </w:tabs>
      <w:spacing w:after="240" w:line="240" w:lineRule="atLeast"/>
      <w:ind w:left="1008" w:hanging="1008"/>
      <w:contextualSpacing/>
    </w:pPr>
    <w:rPr>
      <w:rFonts w:ascii="Georgia" w:eastAsia="Arial" w:hAnsi="Georgia" w:cs="Arial"/>
      <w:lang w:val="ru-RU" w:eastAsia="ru-RU" w:bidi="ru-RU"/>
    </w:rPr>
  </w:style>
  <w:style w:type="paragraph" w:customStyle="1" w:styleId="TableBodyRowHeading">
    <w:name w:val="TableBodyRowHeading"/>
    <w:basedOn w:val="a2"/>
    <w:rsid w:val="004356E2"/>
    <w:pPr>
      <w:numPr>
        <w:numId w:val="36"/>
      </w:numPr>
      <w:tabs>
        <w:tab w:val="num" w:pos="6635"/>
      </w:tabs>
      <w:spacing w:after="240" w:line="240" w:lineRule="atLeast"/>
      <w:ind w:left="6635" w:hanging="964"/>
    </w:pPr>
    <w:rPr>
      <w:rFonts w:ascii="Georgia" w:eastAsia="Arial" w:hAnsi="Georgia" w:cs="Arial"/>
      <w:b/>
      <w:sz w:val="17"/>
      <w:lang w:val="ru-RU" w:eastAsia="ru-RU" w:bidi="ru-RU"/>
    </w:rPr>
  </w:style>
  <w:style w:type="table" w:customStyle="1" w:styleId="PwCTableFigures">
    <w:name w:val="PwC Table Figures"/>
    <w:basedOn w:val="a4"/>
    <w:uiPriority w:val="99"/>
    <w:qFormat/>
    <w:rsid w:val="004356E2"/>
    <w:rPr>
      <w:rFonts w:ascii="Arial" w:eastAsia="Arial" w:hAnsi="Arial"/>
      <w:lang w:eastAsia="ru-RU" w:bidi="ru-RU"/>
    </w:rPr>
    <w:tblPr>
      <w:tblBorders>
        <w:bottom w:val="single" w:sz="4" w:space="0" w:color="7D7D7D"/>
        <w:insideH w:val="dotted" w:sz="4" w:space="0" w:color="7D7D7D"/>
      </w:tblBorders>
      <w:tblCellMar>
        <w:top w:w="57" w:type="dxa"/>
      </w:tblCellMar>
    </w:tblPr>
    <w:tblStylePr w:type="firstRow">
      <w:rPr>
        <w:b/>
      </w:rPr>
      <w:tblPr/>
      <w:tcPr>
        <w:tcBorders>
          <w:top w:val="single" w:sz="6" w:space="0" w:color="7D7D7D"/>
          <w:left w:val="nil"/>
          <w:bottom w:val="single" w:sz="6" w:space="0" w:color="7D7D7D"/>
          <w:right w:val="nil"/>
          <w:insideH w:val="nil"/>
          <w:insideV w:val="nil"/>
          <w:tl2br w:val="nil"/>
          <w:tr2bl w:val="nil"/>
        </w:tcBorders>
      </w:tcPr>
    </w:tblStylePr>
    <w:tblStylePr w:type="lastRow">
      <w:rPr>
        <w:rFonts w:ascii="Arial" w:hAnsi="Arial"/>
        <w:b/>
        <w:i w:val="0"/>
        <w:color w:val="auto"/>
        <w:sz w:val="20"/>
      </w:rPr>
      <w:tblPr/>
      <w:tcPr>
        <w:tcBorders>
          <w:top w:val="single" w:sz="6" w:space="0" w:color="7D7D7D"/>
          <w:left w:val="nil"/>
          <w:bottom w:val="single" w:sz="6" w:space="0" w:color="7D7D7D"/>
          <w:right w:val="nil"/>
          <w:insideH w:val="nil"/>
          <w:insideV w:val="nil"/>
          <w:tl2br w:val="nil"/>
          <w:tr2bl w:val="nil"/>
        </w:tcBorders>
      </w:tcPr>
    </w:tblStylePr>
  </w:style>
  <w:style w:type="paragraph" w:styleId="42">
    <w:name w:val="List Bullet 4"/>
    <w:basedOn w:val="a1"/>
    <w:semiHidden/>
    <w:unhideWhenUsed/>
    <w:rsid w:val="004356E2"/>
    <w:pPr>
      <w:spacing w:after="0" w:line="240" w:lineRule="auto"/>
      <w:contextualSpacing/>
    </w:pPr>
    <w:rPr>
      <w:rFonts w:ascii="Times New Roman" w:eastAsia="Times New Roman" w:hAnsi="Times New Roman"/>
      <w:sz w:val="24"/>
      <w:szCs w:val="24"/>
      <w:lang w:val="en-US" w:eastAsia="en-US"/>
    </w:rPr>
  </w:style>
  <w:style w:type="table" w:customStyle="1" w:styleId="TableGrid2">
    <w:name w:val="Table Grid2"/>
    <w:basedOn w:val="a4"/>
    <w:next w:val="a6"/>
    <w:uiPriority w:val="39"/>
    <w:rsid w:val="004356E2"/>
    <w:rPr>
      <w:rFonts w:ascii="Arial" w:eastAsia="Calibri" w:hAnsi="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еразрешенное упоминание1"/>
    <w:basedOn w:val="a3"/>
    <w:uiPriority w:val="99"/>
    <w:semiHidden/>
    <w:unhideWhenUsed/>
    <w:rsid w:val="002A6006"/>
    <w:rPr>
      <w:color w:val="605E5C"/>
      <w:shd w:val="clear" w:color="auto" w:fill="E1DFDD"/>
    </w:rPr>
  </w:style>
  <w:style w:type="paragraph" w:customStyle="1" w:styleId="P68B1DB1-Normal1">
    <w:name w:val="P68B1DB1-Normal1"/>
    <w:basedOn w:val="a1"/>
    <w:rsid w:val="009F1171"/>
    <w:rPr>
      <w:rFonts w:asciiTheme="minorHAnsi" w:hAnsiTheme="minorHAnsi" w:cstheme="minorHAnsi"/>
      <w:b/>
      <w:szCs w:val="20"/>
      <w:lang w:val="en-CA" w:eastAsia="en-US"/>
    </w:rPr>
  </w:style>
  <w:style w:type="paragraph" w:customStyle="1" w:styleId="P68B1DB1-Normal2">
    <w:name w:val="P68B1DB1-Normal2"/>
    <w:basedOn w:val="a1"/>
    <w:rsid w:val="009F1171"/>
    <w:rPr>
      <w:rFonts w:asciiTheme="minorHAnsi" w:hAnsiTheme="minorHAnsi" w:cstheme="minorHAnsi"/>
      <w:szCs w:val="20"/>
      <w:lang w:val="en-CA" w:eastAsia="en-US"/>
    </w:rPr>
  </w:style>
  <w:style w:type="paragraph" w:customStyle="1" w:styleId="P68B1DB1-13">
    <w:name w:val="P68B1DB1-13"/>
    <w:basedOn w:val="12"/>
    <w:rsid w:val="009F1171"/>
    <w:rPr>
      <w:b/>
      <w:szCs w:val="20"/>
      <w:lang w:val="en-CA" w:eastAsia="en-US"/>
    </w:rPr>
  </w:style>
  <w:style w:type="paragraph" w:customStyle="1" w:styleId="P68B1DB1-ListParagraph4">
    <w:name w:val="P68B1DB1-ListParagraph4"/>
    <w:basedOn w:val="aff2"/>
    <w:rsid w:val="009F1171"/>
    <w:rPr>
      <w:rFonts w:asciiTheme="minorHAnsi" w:hAnsiTheme="minorHAnsi" w:cstheme="minorHAnsi"/>
      <w:szCs w:val="20"/>
      <w:lang w:val="en-CA"/>
    </w:rPr>
  </w:style>
  <w:style w:type="paragraph" w:customStyle="1" w:styleId="P68B1DB1-Normal5">
    <w:name w:val="P68B1DB1-Normal5"/>
    <w:basedOn w:val="a1"/>
    <w:rsid w:val="009F1171"/>
    <w:rPr>
      <w:rFonts w:ascii="Foco" w:eastAsia="Times New Roman"/>
      <w:b/>
      <w:color w:val="FFFFFF"/>
      <w:sz w:val="24"/>
      <w:szCs w:val="20"/>
      <w:lang w:val="en-CA" w:eastAsia="en-US"/>
    </w:rPr>
  </w:style>
  <w:style w:type="paragraph" w:customStyle="1" w:styleId="P68B1DB1-Normal6">
    <w:name w:val="P68B1DB1-Normal6"/>
    <w:basedOn w:val="a1"/>
    <w:rsid w:val="009F1171"/>
    <w:rPr>
      <w:rFonts w:eastAsia="Times New Roman" w:cs="Calibri"/>
      <w:b/>
      <w:i/>
      <w:color w:val="000000"/>
      <w:sz w:val="20"/>
      <w:szCs w:val="20"/>
      <w:lang w:val="en-CA" w:eastAsia="en-US"/>
    </w:rPr>
  </w:style>
  <w:style w:type="paragraph" w:customStyle="1" w:styleId="P68B1DB1-Normal7">
    <w:name w:val="P68B1DB1-Normal7"/>
    <w:basedOn w:val="a1"/>
    <w:rsid w:val="009F1171"/>
    <w:rPr>
      <w:rFonts w:asciiTheme="minorHAnsi" w:hAnsiTheme="minorHAnsi" w:cstheme="minorHAnsi"/>
      <w:b/>
      <w:color w:val="000000"/>
      <w:sz w:val="20"/>
      <w:szCs w:val="20"/>
      <w:lang w:val="en-CA" w:eastAsia="en-US"/>
    </w:rPr>
  </w:style>
  <w:style w:type="paragraph" w:customStyle="1" w:styleId="P68B1DB1-Normal8">
    <w:name w:val="P68B1DB1-Normal8"/>
    <w:basedOn w:val="a1"/>
    <w:rsid w:val="009F1171"/>
    <w:rPr>
      <w:rFonts w:eastAsia="Times New Roman" w:cs="Calibri"/>
      <w:color w:val="000000"/>
      <w:sz w:val="20"/>
      <w:szCs w:val="20"/>
      <w:lang w:val="en-CA" w:eastAsia="en-US"/>
    </w:rPr>
  </w:style>
  <w:style w:type="paragraph" w:customStyle="1" w:styleId="P68B1DB1-Normal9">
    <w:name w:val="P68B1DB1-Normal9"/>
    <w:basedOn w:val="a1"/>
    <w:rsid w:val="009F1171"/>
    <w:rPr>
      <w:rFonts w:asciiTheme="minorHAnsi" w:eastAsia="Times New Roman" w:hAnsiTheme="minorHAnsi" w:cstheme="minorHAnsi"/>
      <w:color w:val="000000"/>
      <w:sz w:val="20"/>
      <w:szCs w:val="20"/>
      <w:lang w:val="en-CA" w:eastAsia="en-US"/>
    </w:rPr>
  </w:style>
  <w:style w:type="paragraph" w:customStyle="1" w:styleId="P68B1DB1-Normal10">
    <w:name w:val="P68B1DB1-Normal10"/>
    <w:basedOn w:val="a1"/>
    <w:rsid w:val="009F1171"/>
    <w:rPr>
      <w:rFonts w:asciiTheme="minorHAnsi" w:eastAsia="Times New Roman" w:hAnsiTheme="minorHAnsi" w:cstheme="minorHAnsi"/>
      <w:i/>
      <w:color w:val="000000"/>
      <w:sz w:val="20"/>
      <w:szCs w:val="20"/>
      <w:lang w:val="en-CA" w:eastAsia="en-US"/>
    </w:rPr>
  </w:style>
  <w:style w:type="paragraph" w:customStyle="1" w:styleId="P68B1DB1-Normal11">
    <w:name w:val="P68B1DB1-Normal11"/>
    <w:basedOn w:val="a1"/>
    <w:rsid w:val="009F1171"/>
    <w:rPr>
      <w:rFonts w:asciiTheme="minorHAnsi" w:hAnsiTheme="minorHAnsi" w:cstheme="minorHAnsi"/>
      <w:i/>
      <w:color w:val="000000"/>
      <w:sz w:val="20"/>
      <w:szCs w:val="20"/>
      <w:lang w:val="en-CA" w:eastAsia="en-US"/>
    </w:rPr>
  </w:style>
  <w:style w:type="paragraph" w:customStyle="1" w:styleId="P68B1DB1-Normal12">
    <w:name w:val="P68B1DB1-Normal12"/>
    <w:basedOn w:val="a1"/>
    <w:rsid w:val="009F1171"/>
    <w:rPr>
      <w:rFonts w:eastAsia="Times New Roman" w:cs="Calibri"/>
      <w:i/>
      <w:color w:val="000000"/>
      <w:sz w:val="20"/>
      <w:szCs w:val="20"/>
      <w:lang w:val="en-CA" w:eastAsia="en-US"/>
    </w:rPr>
  </w:style>
  <w:style w:type="paragraph" w:customStyle="1" w:styleId="P68B1DB1-Normal13">
    <w:name w:val="P68B1DB1-Normal13"/>
    <w:basedOn w:val="a1"/>
    <w:rsid w:val="009F1171"/>
    <w:rPr>
      <w:rFonts w:eastAsia="Times New Roman" w:cs="Calibri"/>
      <w:b/>
      <w:color w:val="000000"/>
      <w:sz w:val="20"/>
      <w:szCs w:val="20"/>
      <w:lang w:val="en-CA" w:eastAsia="en-US"/>
    </w:rPr>
  </w:style>
  <w:style w:type="paragraph" w:customStyle="1" w:styleId="P68B1DB1-Normal14">
    <w:name w:val="P68B1DB1-Normal14"/>
    <w:basedOn w:val="a1"/>
    <w:rsid w:val="009F1171"/>
    <w:rPr>
      <w:rFonts w:asciiTheme="minorHAnsi" w:hAnsiTheme="minorHAnsi" w:cstheme="minorHAnsi"/>
      <w:color w:val="000000"/>
      <w:sz w:val="20"/>
      <w:szCs w:val="20"/>
      <w:lang w:val="en-CA" w:eastAsia="en-US"/>
    </w:rPr>
  </w:style>
  <w:style w:type="paragraph" w:customStyle="1" w:styleId="P68B1DB1-Footer15">
    <w:name w:val="P68B1DB1-Footer15"/>
    <w:basedOn w:val="aa"/>
    <w:rsid w:val="009F1171"/>
    <w:rPr>
      <w:rFonts w:asciiTheme="minorHAnsi" w:hAnsiTheme="minorHAnsi" w:cstheme="minorHAnsi"/>
      <w:i/>
      <w:sz w:val="18"/>
      <w:lang w:val="en-CA" w:eastAsia="en-US"/>
    </w:rPr>
  </w:style>
  <w:style w:type="paragraph" w:customStyle="1" w:styleId="P68B1DB1-Normal16">
    <w:name w:val="P68B1DB1-Normal16"/>
    <w:basedOn w:val="a1"/>
    <w:rsid w:val="009F1171"/>
    <w:rPr>
      <w:rFonts w:eastAsia="Times New Roman" w:cs="Calibri"/>
      <w:b/>
      <w:color w:val="FFFFFF"/>
      <w:sz w:val="24"/>
      <w:szCs w:val="20"/>
      <w:lang w:val="en-CA" w:eastAsia="en-US"/>
    </w:rPr>
  </w:style>
  <w:style w:type="paragraph" w:customStyle="1" w:styleId="P68B1DB1-Normal17">
    <w:name w:val="P68B1DB1-Normal17"/>
    <w:basedOn w:val="a1"/>
    <w:rsid w:val="009F1171"/>
    <w:rPr>
      <w:rFonts w:ascii="Foco" w:eastAsia="Times New Roman" w:hAnsi="Foco" w:cs="Foco"/>
      <w:b/>
      <w:color w:val="FFFFFF"/>
      <w:sz w:val="24"/>
      <w:szCs w:val="20"/>
      <w:lang w:val="en-CA" w:eastAsia="en-US"/>
    </w:rPr>
  </w:style>
  <w:style w:type="paragraph" w:customStyle="1" w:styleId="P68B1DB1-Normal18">
    <w:name w:val="P68B1DB1-Normal18"/>
    <w:basedOn w:val="a1"/>
    <w:rsid w:val="009F1171"/>
    <w:rPr>
      <w:rFonts w:asciiTheme="minorHAnsi" w:eastAsia="Times New Roman" w:hAnsiTheme="minorHAnsi" w:cstheme="minorHAnsi"/>
      <w:b/>
      <w:color w:val="000000"/>
      <w:sz w:val="20"/>
      <w:szCs w:val="20"/>
      <w:lang w:val="en-CA" w:eastAsia="en-US"/>
    </w:rPr>
  </w:style>
  <w:style w:type="paragraph" w:customStyle="1" w:styleId="P68B1DB1-Normal19">
    <w:name w:val="P68B1DB1-Normal19"/>
    <w:basedOn w:val="a1"/>
    <w:rsid w:val="009F1171"/>
    <w:rPr>
      <w:rFonts w:eastAsia="Times New Roman" w:cs="Calibri"/>
      <w:color w:val="000000"/>
      <w:sz w:val="18"/>
      <w:szCs w:val="20"/>
      <w:lang w:val="en-CA" w:eastAsia="en-US"/>
    </w:rPr>
  </w:style>
  <w:style w:type="paragraph" w:customStyle="1" w:styleId="P68B1DB1-Normal20">
    <w:name w:val="P68B1DB1-Normal20"/>
    <w:basedOn w:val="a1"/>
    <w:rsid w:val="009F1171"/>
    <w:rPr>
      <w:rFonts w:cs="Calibri"/>
      <w:color w:val="000000"/>
      <w:sz w:val="18"/>
      <w:szCs w:val="20"/>
      <w:lang w:val="en-CA" w:eastAsia="en-US"/>
    </w:rPr>
  </w:style>
  <w:style w:type="paragraph" w:customStyle="1" w:styleId="P68B1DB1-Normal21">
    <w:name w:val="P68B1DB1-Normal21"/>
    <w:basedOn w:val="a1"/>
    <w:rsid w:val="009F1171"/>
    <w:rPr>
      <w:rFonts w:asciiTheme="minorHAnsi" w:eastAsia="Times New Roman" w:hAnsiTheme="minorHAnsi" w:cstheme="minorHAnsi"/>
      <w:b/>
      <w:color w:val="000000"/>
      <w:szCs w:val="20"/>
      <w:lang w:val="en-CA" w:eastAsia="en-US"/>
    </w:rPr>
  </w:style>
  <w:style w:type="paragraph" w:customStyle="1" w:styleId="P68B1DB1-Normal22">
    <w:name w:val="P68B1DB1-Normal22"/>
    <w:basedOn w:val="a1"/>
    <w:rsid w:val="009F1171"/>
    <w:rPr>
      <w:rFonts w:cs="Calibri"/>
      <w:b/>
      <w:color w:val="000000"/>
      <w:sz w:val="20"/>
      <w:szCs w:val="20"/>
      <w:lang w:val="en-CA" w:eastAsia="en-US"/>
    </w:rPr>
  </w:style>
  <w:style w:type="paragraph" w:customStyle="1" w:styleId="P68B1DB1-Normal23">
    <w:name w:val="P68B1DB1-Normal23"/>
    <w:basedOn w:val="a1"/>
    <w:rsid w:val="009F1171"/>
    <w:rPr>
      <w:rFonts w:asciiTheme="minorHAnsi" w:eastAsia="Times New Roman" w:hAnsiTheme="minorHAnsi" w:cstheme="minorHAnsi"/>
      <w:b/>
      <w:color w:val="000000"/>
      <w:sz w:val="24"/>
      <w:szCs w:val="20"/>
      <w:lang w:val="en-CA" w:eastAsia="en-US"/>
    </w:rPr>
  </w:style>
  <w:style w:type="paragraph" w:customStyle="1" w:styleId="P68B1DB1-Normal24">
    <w:name w:val="P68B1DB1-Normal24"/>
    <w:basedOn w:val="a1"/>
    <w:rsid w:val="009F1171"/>
    <w:rPr>
      <w:rFonts w:cs="Calibri"/>
      <w:b/>
      <w:color w:val="000000"/>
      <w:sz w:val="24"/>
      <w:szCs w:val="20"/>
      <w:lang w:val="en-CA" w:eastAsia="en-US"/>
    </w:rPr>
  </w:style>
  <w:style w:type="paragraph" w:customStyle="1" w:styleId="P68B1DB1-Normal25">
    <w:name w:val="P68B1DB1-Normal25"/>
    <w:basedOn w:val="a1"/>
    <w:rsid w:val="009F1171"/>
    <w:rPr>
      <w:rFonts w:asciiTheme="minorHAnsi" w:hAnsiTheme="minorHAnsi"/>
      <w:szCs w:val="20"/>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3421">
      <w:bodyDiv w:val="1"/>
      <w:marLeft w:val="0"/>
      <w:marRight w:val="0"/>
      <w:marTop w:val="0"/>
      <w:marBottom w:val="0"/>
      <w:divBdr>
        <w:top w:val="none" w:sz="0" w:space="0" w:color="auto"/>
        <w:left w:val="none" w:sz="0" w:space="0" w:color="auto"/>
        <w:bottom w:val="none" w:sz="0" w:space="0" w:color="auto"/>
        <w:right w:val="none" w:sz="0" w:space="0" w:color="auto"/>
      </w:divBdr>
    </w:div>
    <w:div w:id="20783356">
      <w:bodyDiv w:val="1"/>
      <w:marLeft w:val="0"/>
      <w:marRight w:val="0"/>
      <w:marTop w:val="0"/>
      <w:marBottom w:val="0"/>
      <w:divBdr>
        <w:top w:val="none" w:sz="0" w:space="0" w:color="auto"/>
        <w:left w:val="none" w:sz="0" w:space="0" w:color="auto"/>
        <w:bottom w:val="none" w:sz="0" w:space="0" w:color="auto"/>
        <w:right w:val="none" w:sz="0" w:space="0" w:color="auto"/>
      </w:divBdr>
    </w:div>
    <w:div w:id="22444302">
      <w:bodyDiv w:val="1"/>
      <w:marLeft w:val="0"/>
      <w:marRight w:val="0"/>
      <w:marTop w:val="0"/>
      <w:marBottom w:val="0"/>
      <w:divBdr>
        <w:top w:val="none" w:sz="0" w:space="0" w:color="auto"/>
        <w:left w:val="none" w:sz="0" w:space="0" w:color="auto"/>
        <w:bottom w:val="none" w:sz="0" w:space="0" w:color="auto"/>
        <w:right w:val="none" w:sz="0" w:space="0" w:color="auto"/>
      </w:divBdr>
    </w:div>
    <w:div w:id="63071155">
      <w:bodyDiv w:val="1"/>
      <w:marLeft w:val="0"/>
      <w:marRight w:val="0"/>
      <w:marTop w:val="0"/>
      <w:marBottom w:val="0"/>
      <w:divBdr>
        <w:top w:val="none" w:sz="0" w:space="0" w:color="auto"/>
        <w:left w:val="none" w:sz="0" w:space="0" w:color="auto"/>
        <w:bottom w:val="none" w:sz="0" w:space="0" w:color="auto"/>
        <w:right w:val="none" w:sz="0" w:space="0" w:color="auto"/>
      </w:divBdr>
    </w:div>
    <w:div w:id="73747213">
      <w:bodyDiv w:val="1"/>
      <w:marLeft w:val="0"/>
      <w:marRight w:val="0"/>
      <w:marTop w:val="0"/>
      <w:marBottom w:val="0"/>
      <w:divBdr>
        <w:top w:val="none" w:sz="0" w:space="0" w:color="auto"/>
        <w:left w:val="none" w:sz="0" w:space="0" w:color="auto"/>
        <w:bottom w:val="none" w:sz="0" w:space="0" w:color="auto"/>
        <w:right w:val="none" w:sz="0" w:space="0" w:color="auto"/>
      </w:divBdr>
    </w:div>
    <w:div w:id="102308743">
      <w:bodyDiv w:val="1"/>
      <w:marLeft w:val="0"/>
      <w:marRight w:val="0"/>
      <w:marTop w:val="0"/>
      <w:marBottom w:val="0"/>
      <w:divBdr>
        <w:top w:val="none" w:sz="0" w:space="0" w:color="auto"/>
        <w:left w:val="none" w:sz="0" w:space="0" w:color="auto"/>
        <w:bottom w:val="none" w:sz="0" w:space="0" w:color="auto"/>
        <w:right w:val="none" w:sz="0" w:space="0" w:color="auto"/>
      </w:divBdr>
    </w:div>
    <w:div w:id="109201559">
      <w:bodyDiv w:val="1"/>
      <w:marLeft w:val="0"/>
      <w:marRight w:val="0"/>
      <w:marTop w:val="0"/>
      <w:marBottom w:val="0"/>
      <w:divBdr>
        <w:top w:val="none" w:sz="0" w:space="0" w:color="auto"/>
        <w:left w:val="none" w:sz="0" w:space="0" w:color="auto"/>
        <w:bottom w:val="none" w:sz="0" w:space="0" w:color="auto"/>
        <w:right w:val="none" w:sz="0" w:space="0" w:color="auto"/>
      </w:divBdr>
    </w:div>
    <w:div w:id="109209022">
      <w:bodyDiv w:val="1"/>
      <w:marLeft w:val="0"/>
      <w:marRight w:val="0"/>
      <w:marTop w:val="0"/>
      <w:marBottom w:val="0"/>
      <w:divBdr>
        <w:top w:val="none" w:sz="0" w:space="0" w:color="auto"/>
        <w:left w:val="none" w:sz="0" w:space="0" w:color="auto"/>
        <w:bottom w:val="none" w:sz="0" w:space="0" w:color="auto"/>
        <w:right w:val="none" w:sz="0" w:space="0" w:color="auto"/>
      </w:divBdr>
    </w:div>
    <w:div w:id="125973695">
      <w:bodyDiv w:val="1"/>
      <w:marLeft w:val="0"/>
      <w:marRight w:val="0"/>
      <w:marTop w:val="0"/>
      <w:marBottom w:val="0"/>
      <w:divBdr>
        <w:top w:val="none" w:sz="0" w:space="0" w:color="auto"/>
        <w:left w:val="none" w:sz="0" w:space="0" w:color="auto"/>
        <w:bottom w:val="none" w:sz="0" w:space="0" w:color="auto"/>
        <w:right w:val="none" w:sz="0" w:space="0" w:color="auto"/>
      </w:divBdr>
    </w:div>
    <w:div w:id="129055798">
      <w:bodyDiv w:val="1"/>
      <w:marLeft w:val="0"/>
      <w:marRight w:val="0"/>
      <w:marTop w:val="0"/>
      <w:marBottom w:val="0"/>
      <w:divBdr>
        <w:top w:val="none" w:sz="0" w:space="0" w:color="auto"/>
        <w:left w:val="none" w:sz="0" w:space="0" w:color="auto"/>
        <w:bottom w:val="none" w:sz="0" w:space="0" w:color="auto"/>
        <w:right w:val="none" w:sz="0" w:space="0" w:color="auto"/>
      </w:divBdr>
    </w:div>
    <w:div w:id="130902426">
      <w:bodyDiv w:val="1"/>
      <w:marLeft w:val="0"/>
      <w:marRight w:val="0"/>
      <w:marTop w:val="0"/>
      <w:marBottom w:val="0"/>
      <w:divBdr>
        <w:top w:val="none" w:sz="0" w:space="0" w:color="auto"/>
        <w:left w:val="none" w:sz="0" w:space="0" w:color="auto"/>
        <w:bottom w:val="none" w:sz="0" w:space="0" w:color="auto"/>
        <w:right w:val="none" w:sz="0" w:space="0" w:color="auto"/>
      </w:divBdr>
    </w:div>
    <w:div w:id="144199095">
      <w:bodyDiv w:val="1"/>
      <w:marLeft w:val="0"/>
      <w:marRight w:val="0"/>
      <w:marTop w:val="0"/>
      <w:marBottom w:val="0"/>
      <w:divBdr>
        <w:top w:val="none" w:sz="0" w:space="0" w:color="auto"/>
        <w:left w:val="none" w:sz="0" w:space="0" w:color="auto"/>
        <w:bottom w:val="none" w:sz="0" w:space="0" w:color="auto"/>
        <w:right w:val="none" w:sz="0" w:space="0" w:color="auto"/>
      </w:divBdr>
    </w:div>
    <w:div w:id="151794279">
      <w:bodyDiv w:val="1"/>
      <w:marLeft w:val="0"/>
      <w:marRight w:val="0"/>
      <w:marTop w:val="0"/>
      <w:marBottom w:val="0"/>
      <w:divBdr>
        <w:top w:val="none" w:sz="0" w:space="0" w:color="auto"/>
        <w:left w:val="none" w:sz="0" w:space="0" w:color="auto"/>
        <w:bottom w:val="none" w:sz="0" w:space="0" w:color="auto"/>
        <w:right w:val="none" w:sz="0" w:space="0" w:color="auto"/>
      </w:divBdr>
    </w:div>
    <w:div w:id="155387140">
      <w:bodyDiv w:val="1"/>
      <w:marLeft w:val="0"/>
      <w:marRight w:val="0"/>
      <w:marTop w:val="0"/>
      <w:marBottom w:val="0"/>
      <w:divBdr>
        <w:top w:val="none" w:sz="0" w:space="0" w:color="auto"/>
        <w:left w:val="none" w:sz="0" w:space="0" w:color="auto"/>
        <w:bottom w:val="none" w:sz="0" w:space="0" w:color="auto"/>
        <w:right w:val="none" w:sz="0" w:space="0" w:color="auto"/>
      </w:divBdr>
    </w:div>
    <w:div w:id="170803981">
      <w:bodyDiv w:val="1"/>
      <w:marLeft w:val="0"/>
      <w:marRight w:val="0"/>
      <w:marTop w:val="0"/>
      <w:marBottom w:val="0"/>
      <w:divBdr>
        <w:top w:val="none" w:sz="0" w:space="0" w:color="auto"/>
        <w:left w:val="none" w:sz="0" w:space="0" w:color="auto"/>
        <w:bottom w:val="none" w:sz="0" w:space="0" w:color="auto"/>
        <w:right w:val="none" w:sz="0" w:space="0" w:color="auto"/>
      </w:divBdr>
    </w:div>
    <w:div w:id="178744171">
      <w:bodyDiv w:val="1"/>
      <w:marLeft w:val="0"/>
      <w:marRight w:val="0"/>
      <w:marTop w:val="0"/>
      <w:marBottom w:val="0"/>
      <w:divBdr>
        <w:top w:val="none" w:sz="0" w:space="0" w:color="auto"/>
        <w:left w:val="none" w:sz="0" w:space="0" w:color="auto"/>
        <w:bottom w:val="none" w:sz="0" w:space="0" w:color="auto"/>
        <w:right w:val="none" w:sz="0" w:space="0" w:color="auto"/>
      </w:divBdr>
    </w:div>
    <w:div w:id="182012268">
      <w:bodyDiv w:val="1"/>
      <w:marLeft w:val="0"/>
      <w:marRight w:val="0"/>
      <w:marTop w:val="0"/>
      <w:marBottom w:val="0"/>
      <w:divBdr>
        <w:top w:val="none" w:sz="0" w:space="0" w:color="auto"/>
        <w:left w:val="none" w:sz="0" w:space="0" w:color="auto"/>
        <w:bottom w:val="none" w:sz="0" w:space="0" w:color="auto"/>
        <w:right w:val="none" w:sz="0" w:space="0" w:color="auto"/>
      </w:divBdr>
    </w:div>
    <w:div w:id="213002990">
      <w:bodyDiv w:val="1"/>
      <w:marLeft w:val="0"/>
      <w:marRight w:val="0"/>
      <w:marTop w:val="0"/>
      <w:marBottom w:val="0"/>
      <w:divBdr>
        <w:top w:val="none" w:sz="0" w:space="0" w:color="auto"/>
        <w:left w:val="none" w:sz="0" w:space="0" w:color="auto"/>
        <w:bottom w:val="none" w:sz="0" w:space="0" w:color="auto"/>
        <w:right w:val="none" w:sz="0" w:space="0" w:color="auto"/>
      </w:divBdr>
    </w:div>
    <w:div w:id="227882677">
      <w:bodyDiv w:val="1"/>
      <w:marLeft w:val="0"/>
      <w:marRight w:val="0"/>
      <w:marTop w:val="0"/>
      <w:marBottom w:val="0"/>
      <w:divBdr>
        <w:top w:val="none" w:sz="0" w:space="0" w:color="auto"/>
        <w:left w:val="none" w:sz="0" w:space="0" w:color="auto"/>
        <w:bottom w:val="none" w:sz="0" w:space="0" w:color="auto"/>
        <w:right w:val="none" w:sz="0" w:space="0" w:color="auto"/>
      </w:divBdr>
    </w:div>
    <w:div w:id="231934415">
      <w:bodyDiv w:val="1"/>
      <w:marLeft w:val="0"/>
      <w:marRight w:val="0"/>
      <w:marTop w:val="0"/>
      <w:marBottom w:val="0"/>
      <w:divBdr>
        <w:top w:val="none" w:sz="0" w:space="0" w:color="auto"/>
        <w:left w:val="none" w:sz="0" w:space="0" w:color="auto"/>
        <w:bottom w:val="none" w:sz="0" w:space="0" w:color="auto"/>
        <w:right w:val="none" w:sz="0" w:space="0" w:color="auto"/>
      </w:divBdr>
    </w:div>
    <w:div w:id="234363206">
      <w:bodyDiv w:val="1"/>
      <w:marLeft w:val="0"/>
      <w:marRight w:val="0"/>
      <w:marTop w:val="0"/>
      <w:marBottom w:val="0"/>
      <w:divBdr>
        <w:top w:val="none" w:sz="0" w:space="0" w:color="auto"/>
        <w:left w:val="none" w:sz="0" w:space="0" w:color="auto"/>
        <w:bottom w:val="none" w:sz="0" w:space="0" w:color="auto"/>
        <w:right w:val="none" w:sz="0" w:space="0" w:color="auto"/>
      </w:divBdr>
    </w:div>
    <w:div w:id="238636789">
      <w:bodyDiv w:val="1"/>
      <w:marLeft w:val="0"/>
      <w:marRight w:val="0"/>
      <w:marTop w:val="0"/>
      <w:marBottom w:val="0"/>
      <w:divBdr>
        <w:top w:val="none" w:sz="0" w:space="0" w:color="auto"/>
        <w:left w:val="none" w:sz="0" w:space="0" w:color="auto"/>
        <w:bottom w:val="none" w:sz="0" w:space="0" w:color="auto"/>
        <w:right w:val="none" w:sz="0" w:space="0" w:color="auto"/>
      </w:divBdr>
      <w:divsChild>
        <w:div w:id="590689">
          <w:marLeft w:val="0"/>
          <w:marRight w:val="0"/>
          <w:marTop w:val="0"/>
          <w:marBottom w:val="0"/>
          <w:divBdr>
            <w:top w:val="none" w:sz="0" w:space="0" w:color="auto"/>
            <w:left w:val="none" w:sz="0" w:space="0" w:color="auto"/>
            <w:bottom w:val="none" w:sz="0" w:space="0" w:color="auto"/>
            <w:right w:val="none" w:sz="0" w:space="0" w:color="auto"/>
          </w:divBdr>
        </w:div>
        <w:div w:id="140197526">
          <w:marLeft w:val="0"/>
          <w:marRight w:val="0"/>
          <w:marTop w:val="0"/>
          <w:marBottom w:val="0"/>
          <w:divBdr>
            <w:top w:val="none" w:sz="0" w:space="0" w:color="auto"/>
            <w:left w:val="none" w:sz="0" w:space="0" w:color="auto"/>
            <w:bottom w:val="none" w:sz="0" w:space="0" w:color="auto"/>
            <w:right w:val="none" w:sz="0" w:space="0" w:color="auto"/>
          </w:divBdr>
        </w:div>
        <w:div w:id="574246290">
          <w:marLeft w:val="0"/>
          <w:marRight w:val="0"/>
          <w:marTop w:val="0"/>
          <w:marBottom w:val="0"/>
          <w:divBdr>
            <w:top w:val="none" w:sz="0" w:space="0" w:color="auto"/>
            <w:left w:val="none" w:sz="0" w:space="0" w:color="auto"/>
            <w:bottom w:val="none" w:sz="0" w:space="0" w:color="auto"/>
            <w:right w:val="none" w:sz="0" w:space="0" w:color="auto"/>
          </w:divBdr>
        </w:div>
      </w:divsChild>
    </w:div>
    <w:div w:id="238906943">
      <w:bodyDiv w:val="1"/>
      <w:marLeft w:val="0"/>
      <w:marRight w:val="0"/>
      <w:marTop w:val="0"/>
      <w:marBottom w:val="0"/>
      <w:divBdr>
        <w:top w:val="none" w:sz="0" w:space="0" w:color="auto"/>
        <w:left w:val="none" w:sz="0" w:space="0" w:color="auto"/>
        <w:bottom w:val="none" w:sz="0" w:space="0" w:color="auto"/>
        <w:right w:val="none" w:sz="0" w:space="0" w:color="auto"/>
      </w:divBdr>
    </w:div>
    <w:div w:id="245847312">
      <w:bodyDiv w:val="1"/>
      <w:marLeft w:val="0"/>
      <w:marRight w:val="0"/>
      <w:marTop w:val="0"/>
      <w:marBottom w:val="0"/>
      <w:divBdr>
        <w:top w:val="none" w:sz="0" w:space="0" w:color="auto"/>
        <w:left w:val="none" w:sz="0" w:space="0" w:color="auto"/>
        <w:bottom w:val="none" w:sz="0" w:space="0" w:color="auto"/>
        <w:right w:val="none" w:sz="0" w:space="0" w:color="auto"/>
      </w:divBdr>
    </w:div>
    <w:div w:id="255671484">
      <w:bodyDiv w:val="1"/>
      <w:marLeft w:val="0"/>
      <w:marRight w:val="0"/>
      <w:marTop w:val="0"/>
      <w:marBottom w:val="0"/>
      <w:divBdr>
        <w:top w:val="none" w:sz="0" w:space="0" w:color="auto"/>
        <w:left w:val="none" w:sz="0" w:space="0" w:color="auto"/>
        <w:bottom w:val="none" w:sz="0" w:space="0" w:color="auto"/>
        <w:right w:val="none" w:sz="0" w:space="0" w:color="auto"/>
      </w:divBdr>
    </w:div>
    <w:div w:id="272786326">
      <w:bodyDiv w:val="1"/>
      <w:marLeft w:val="0"/>
      <w:marRight w:val="0"/>
      <w:marTop w:val="0"/>
      <w:marBottom w:val="0"/>
      <w:divBdr>
        <w:top w:val="none" w:sz="0" w:space="0" w:color="auto"/>
        <w:left w:val="none" w:sz="0" w:space="0" w:color="auto"/>
        <w:bottom w:val="none" w:sz="0" w:space="0" w:color="auto"/>
        <w:right w:val="none" w:sz="0" w:space="0" w:color="auto"/>
      </w:divBdr>
    </w:div>
    <w:div w:id="287051279">
      <w:bodyDiv w:val="1"/>
      <w:marLeft w:val="0"/>
      <w:marRight w:val="0"/>
      <w:marTop w:val="0"/>
      <w:marBottom w:val="0"/>
      <w:divBdr>
        <w:top w:val="none" w:sz="0" w:space="0" w:color="auto"/>
        <w:left w:val="none" w:sz="0" w:space="0" w:color="auto"/>
        <w:bottom w:val="none" w:sz="0" w:space="0" w:color="auto"/>
        <w:right w:val="none" w:sz="0" w:space="0" w:color="auto"/>
      </w:divBdr>
    </w:div>
    <w:div w:id="291181519">
      <w:bodyDiv w:val="1"/>
      <w:marLeft w:val="0"/>
      <w:marRight w:val="0"/>
      <w:marTop w:val="0"/>
      <w:marBottom w:val="0"/>
      <w:divBdr>
        <w:top w:val="none" w:sz="0" w:space="0" w:color="auto"/>
        <w:left w:val="none" w:sz="0" w:space="0" w:color="auto"/>
        <w:bottom w:val="none" w:sz="0" w:space="0" w:color="auto"/>
        <w:right w:val="none" w:sz="0" w:space="0" w:color="auto"/>
      </w:divBdr>
    </w:div>
    <w:div w:id="300498925">
      <w:bodyDiv w:val="1"/>
      <w:marLeft w:val="0"/>
      <w:marRight w:val="0"/>
      <w:marTop w:val="0"/>
      <w:marBottom w:val="0"/>
      <w:divBdr>
        <w:top w:val="none" w:sz="0" w:space="0" w:color="auto"/>
        <w:left w:val="none" w:sz="0" w:space="0" w:color="auto"/>
        <w:bottom w:val="none" w:sz="0" w:space="0" w:color="auto"/>
        <w:right w:val="none" w:sz="0" w:space="0" w:color="auto"/>
      </w:divBdr>
    </w:div>
    <w:div w:id="317030191">
      <w:bodyDiv w:val="1"/>
      <w:marLeft w:val="0"/>
      <w:marRight w:val="0"/>
      <w:marTop w:val="0"/>
      <w:marBottom w:val="0"/>
      <w:divBdr>
        <w:top w:val="none" w:sz="0" w:space="0" w:color="auto"/>
        <w:left w:val="none" w:sz="0" w:space="0" w:color="auto"/>
        <w:bottom w:val="none" w:sz="0" w:space="0" w:color="auto"/>
        <w:right w:val="none" w:sz="0" w:space="0" w:color="auto"/>
      </w:divBdr>
    </w:div>
    <w:div w:id="334846841">
      <w:bodyDiv w:val="1"/>
      <w:marLeft w:val="0"/>
      <w:marRight w:val="0"/>
      <w:marTop w:val="0"/>
      <w:marBottom w:val="0"/>
      <w:divBdr>
        <w:top w:val="none" w:sz="0" w:space="0" w:color="auto"/>
        <w:left w:val="none" w:sz="0" w:space="0" w:color="auto"/>
        <w:bottom w:val="none" w:sz="0" w:space="0" w:color="auto"/>
        <w:right w:val="none" w:sz="0" w:space="0" w:color="auto"/>
      </w:divBdr>
    </w:div>
    <w:div w:id="336345341">
      <w:bodyDiv w:val="1"/>
      <w:marLeft w:val="0"/>
      <w:marRight w:val="0"/>
      <w:marTop w:val="0"/>
      <w:marBottom w:val="0"/>
      <w:divBdr>
        <w:top w:val="none" w:sz="0" w:space="0" w:color="auto"/>
        <w:left w:val="none" w:sz="0" w:space="0" w:color="auto"/>
        <w:bottom w:val="none" w:sz="0" w:space="0" w:color="auto"/>
        <w:right w:val="none" w:sz="0" w:space="0" w:color="auto"/>
      </w:divBdr>
    </w:div>
    <w:div w:id="338314105">
      <w:bodyDiv w:val="1"/>
      <w:marLeft w:val="0"/>
      <w:marRight w:val="0"/>
      <w:marTop w:val="0"/>
      <w:marBottom w:val="0"/>
      <w:divBdr>
        <w:top w:val="none" w:sz="0" w:space="0" w:color="auto"/>
        <w:left w:val="none" w:sz="0" w:space="0" w:color="auto"/>
        <w:bottom w:val="none" w:sz="0" w:space="0" w:color="auto"/>
        <w:right w:val="none" w:sz="0" w:space="0" w:color="auto"/>
      </w:divBdr>
    </w:div>
    <w:div w:id="347292274">
      <w:bodyDiv w:val="1"/>
      <w:marLeft w:val="0"/>
      <w:marRight w:val="0"/>
      <w:marTop w:val="0"/>
      <w:marBottom w:val="0"/>
      <w:divBdr>
        <w:top w:val="none" w:sz="0" w:space="0" w:color="auto"/>
        <w:left w:val="none" w:sz="0" w:space="0" w:color="auto"/>
        <w:bottom w:val="none" w:sz="0" w:space="0" w:color="auto"/>
        <w:right w:val="none" w:sz="0" w:space="0" w:color="auto"/>
      </w:divBdr>
    </w:div>
    <w:div w:id="351538534">
      <w:bodyDiv w:val="1"/>
      <w:marLeft w:val="0"/>
      <w:marRight w:val="0"/>
      <w:marTop w:val="0"/>
      <w:marBottom w:val="0"/>
      <w:divBdr>
        <w:top w:val="none" w:sz="0" w:space="0" w:color="auto"/>
        <w:left w:val="none" w:sz="0" w:space="0" w:color="auto"/>
        <w:bottom w:val="none" w:sz="0" w:space="0" w:color="auto"/>
        <w:right w:val="none" w:sz="0" w:space="0" w:color="auto"/>
      </w:divBdr>
    </w:div>
    <w:div w:id="353072027">
      <w:bodyDiv w:val="1"/>
      <w:marLeft w:val="0"/>
      <w:marRight w:val="0"/>
      <w:marTop w:val="0"/>
      <w:marBottom w:val="0"/>
      <w:divBdr>
        <w:top w:val="none" w:sz="0" w:space="0" w:color="auto"/>
        <w:left w:val="none" w:sz="0" w:space="0" w:color="auto"/>
        <w:bottom w:val="none" w:sz="0" w:space="0" w:color="auto"/>
        <w:right w:val="none" w:sz="0" w:space="0" w:color="auto"/>
      </w:divBdr>
    </w:div>
    <w:div w:id="365910154">
      <w:bodyDiv w:val="1"/>
      <w:marLeft w:val="0"/>
      <w:marRight w:val="0"/>
      <w:marTop w:val="0"/>
      <w:marBottom w:val="0"/>
      <w:divBdr>
        <w:top w:val="none" w:sz="0" w:space="0" w:color="auto"/>
        <w:left w:val="none" w:sz="0" w:space="0" w:color="auto"/>
        <w:bottom w:val="none" w:sz="0" w:space="0" w:color="auto"/>
        <w:right w:val="none" w:sz="0" w:space="0" w:color="auto"/>
      </w:divBdr>
    </w:div>
    <w:div w:id="374744339">
      <w:bodyDiv w:val="1"/>
      <w:marLeft w:val="0"/>
      <w:marRight w:val="0"/>
      <w:marTop w:val="0"/>
      <w:marBottom w:val="0"/>
      <w:divBdr>
        <w:top w:val="none" w:sz="0" w:space="0" w:color="auto"/>
        <w:left w:val="none" w:sz="0" w:space="0" w:color="auto"/>
        <w:bottom w:val="none" w:sz="0" w:space="0" w:color="auto"/>
        <w:right w:val="none" w:sz="0" w:space="0" w:color="auto"/>
      </w:divBdr>
    </w:div>
    <w:div w:id="387606103">
      <w:bodyDiv w:val="1"/>
      <w:marLeft w:val="0"/>
      <w:marRight w:val="0"/>
      <w:marTop w:val="0"/>
      <w:marBottom w:val="0"/>
      <w:divBdr>
        <w:top w:val="none" w:sz="0" w:space="0" w:color="auto"/>
        <w:left w:val="none" w:sz="0" w:space="0" w:color="auto"/>
        <w:bottom w:val="none" w:sz="0" w:space="0" w:color="auto"/>
        <w:right w:val="none" w:sz="0" w:space="0" w:color="auto"/>
      </w:divBdr>
    </w:div>
    <w:div w:id="393088404">
      <w:bodyDiv w:val="1"/>
      <w:marLeft w:val="0"/>
      <w:marRight w:val="0"/>
      <w:marTop w:val="0"/>
      <w:marBottom w:val="0"/>
      <w:divBdr>
        <w:top w:val="none" w:sz="0" w:space="0" w:color="auto"/>
        <w:left w:val="none" w:sz="0" w:space="0" w:color="auto"/>
        <w:bottom w:val="none" w:sz="0" w:space="0" w:color="auto"/>
        <w:right w:val="none" w:sz="0" w:space="0" w:color="auto"/>
      </w:divBdr>
    </w:div>
    <w:div w:id="395982137">
      <w:bodyDiv w:val="1"/>
      <w:marLeft w:val="0"/>
      <w:marRight w:val="0"/>
      <w:marTop w:val="0"/>
      <w:marBottom w:val="0"/>
      <w:divBdr>
        <w:top w:val="none" w:sz="0" w:space="0" w:color="auto"/>
        <w:left w:val="none" w:sz="0" w:space="0" w:color="auto"/>
        <w:bottom w:val="none" w:sz="0" w:space="0" w:color="auto"/>
        <w:right w:val="none" w:sz="0" w:space="0" w:color="auto"/>
      </w:divBdr>
    </w:div>
    <w:div w:id="411976701">
      <w:bodyDiv w:val="1"/>
      <w:marLeft w:val="0"/>
      <w:marRight w:val="0"/>
      <w:marTop w:val="0"/>
      <w:marBottom w:val="0"/>
      <w:divBdr>
        <w:top w:val="none" w:sz="0" w:space="0" w:color="auto"/>
        <w:left w:val="none" w:sz="0" w:space="0" w:color="auto"/>
        <w:bottom w:val="none" w:sz="0" w:space="0" w:color="auto"/>
        <w:right w:val="none" w:sz="0" w:space="0" w:color="auto"/>
      </w:divBdr>
    </w:div>
    <w:div w:id="418672008">
      <w:bodyDiv w:val="1"/>
      <w:marLeft w:val="0"/>
      <w:marRight w:val="0"/>
      <w:marTop w:val="0"/>
      <w:marBottom w:val="0"/>
      <w:divBdr>
        <w:top w:val="none" w:sz="0" w:space="0" w:color="auto"/>
        <w:left w:val="none" w:sz="0" w:space="0" w:color="auto"/>
        <w:bottom w:val="none" w:sz="0" w:space="0" w:color="auto"/>
        <w:right w:val="none" w:sz="0" w:space="0" w:color="auto"/>
      </w:divBdr>
    </w:div>
    <w:div w:id="432017852">
      <w:bodyDiv w:val="1"/>
      <w:marLeft w:val="0"/>
      <w:marRight w:val="0"/>
      <w:marTop w:val="0"/>
      <w:marBottom w:val="0"/>
      <w:divBdr>
        <w:top w:val="none" w:sz="0" w:space="0" w:color="auto"/>
        <w:left w:val="none" w:sz="0" w:space="0" w:color="auto"/>
        <w:bottom w:val="none" w:sz="0" w:space="0" w:color="auto"/>
        <w:right w:val="none" w:sz="0" w:space="0" w:color="auto"/>
      </w:divBdr>
    </w:div>
    <w:div w:id="438180674">
      <w:bodyDiv w:val="1"/>
      <w:marLeft w:val="0"/>
      <w:marRight w:val="0"/>
      <w:marTop w:val="0"/>
      <w:marBottom w:val="0"/>
      <w:divBdr>
        <w:top w:val="none" w:sz="0" w:space="0" w:color="auto"/>
        <w:left w:val="none" w:sz="0" w:space="0" w:color="auto"/>
        <w:bottom w:val="none" w:sz="0" w:space="0" w:color="auto"/>
        <w:right w:val="none" w:sz="0" w:space="0" w:color="auto"/>
      </w:divBdr>
    </w:div>
    <w:div w:id="440034076">
      <w:bodyDiv w:val="1"/>
      <w:marLeft w:val="0"/>
      <w:marRight w:val="0"/>
      <w:marTop w:val="0"/>
      <w:marBottom w:val="0"/>
      <w:divBdr>
        <w:top w:val="none" w:sz="0" w:space="0" w:color="auto"/>
        <w:left w:val="none" w:sz="0" w:space="0" w:color="auto"/>
        <w:bottom w:val="none" w:sz="0" w:space="0" w:color="auto"/>
        <w:right w:val="none" w:sz="0" w:space="0" w:color="auto"/>
      </w:divBdr>
    </w:div>
    <w:div w:id="440952201">
      <w:bodyDiv w:val="1"/>
      <w:marLeft w:val="0"/>
      <w:marRight w:val="0"/>
      <w:marTop w:val="0"/>
      <w:marBottom w:val="0"/>
      <w:divBdr>
        <w:top w:val="none" w:sz="0" w:space="0" w:color="auto"/>
        <w:left w:val="none" w:sz="0" w:space="0" w:color="auto"/>
        <w:bottom w:val="none" w:sz="0" w:space="0" w:color="auto"/>
        <w:right w:val="none" w:sz="0" w:space="0" w:color="auto"/>
      </w:divBdr>
    </w:div>
    <w:div w:id="445275317">
      <w:bodyDiv w:val="1"/>
      <w:marLeft w:val="0"/>
      <w:marRight w:val="0"/>
      <w:marTop w:val="0"/>
      <w:marBottom w:val="0"/>
      <w:divBdr>
        <w:top w:val="none" w:sz="0" w:space="0" w:color="auto"/>
        <w:left w:val="none" w:sz="0" w:space="0" w:color="auto"/>
        <w:bottom w:val="none" w:sz="0" w:space="0" w:color="auto"/>
        <w:right w:val="none" w:sz="0" w:space="0" w:color="auto"/>
      </w:divBdr>
    </w:div>
    <w:div w:id="472798812">
      <w:bodyDiv w:val="1"/>
      <w:marLeft w:val="0"/>
      <w:marRight w:val="0"/>
      <w:marTop w:val="0"/>
      <w:marBottom w:val="0"/>
      <w:divBdr>
        <w:top w:val="none" w:sz="0" w:space="0" w:color="auto"/>
        <w:left w:val="none" w:sz="0" w:space="0" w:color="auto"/>
        <w:bottom w:val="none" w:sz="0" w:space="0" w:color="auto"/>
        <w:right w:val="none" w:sz="0" w:space="0" w:color="auto"/>
      </w:divBdr>
    </w:div>
    <w:div w:id="497890287">
      <w:bodyDiv w:val="1"/>
      <w:marLeft w:val="0"/>
      <w:marRight w:val="0"/>
      <w:marTop w:val="0"/>
      <w:marBottom w:val="0"/>
      <w:divBdr>
        <w:top w:val="none" w:sz="0" w:space="0" w:color="auto"/>
        <w:left w:val="none" w:sz="0" w:space="0" w:color="auto"/>
        <w:bottom w:val="none" w:sz="0" w:space="0" w:color="auto"/>
        <w:right w:val="none" w:sz="0" w:space="0" w:color="auto"/>
      </w:divBdr>
    </w:div>
    <w:div w:id="515316563">
      <w:bodyDiv w:val="1"/>
      <w:marLeft w:val="0"/>
      <w:marRight w:val="0"/>
      <w:marTop w:val="0"/>
      <w:marBottom w:val="0"/>
      <w:divBdr>
        <w:top w:val="none" w:sz="0" w:space="0" w:color="auto"/>
        <w:left w:val="none" w:sz="0" w:space="0" w:color="auto"/>
        <w:bottom w:val="none" w:sz="0" w:space="0" w:color="auto"/>
        <w:right w:val="none" w:sz="0" w:space="0" w:color="auto"/>
      </w:divBdr>
    </w:div>
    <w:div w:id="523249340">
      <w:bodyDiv w:val="1"/>
      <w:marLeft w:val="0"/>
      <w:marRight w:val="0"/>
      <w:marTop w:val="0"/>
      <w:marBottom w:val="0"/>
      <w:divBdr>
        <w:top w:val="none" w:sz="0" w:space="0" w:color="auto"/>
        <w:left w:val="none" w:sz="0" w:space="0" w:color="auto"/>
        <w:bottom w:val="none" w:sz="0" w:space="0" w:color="auto"/>
        <w:right w:val="none" w:sz="0" w:space="0" w:color="auto"/>
      </w:divBdr>
      <w:divsChild>
        <w:div w:id="865406121">
          <w:marLeft w:val="0"/>
          <w:marRight w:val="0"/>
          <w:marTop w:val="0"/>
          <w:marBottom w:val="0"/>
          <w:divBdr>
            <w:top w:val="none" w:sz="0" w:space="0" w:color="auto"/>
            <w:left w:val="none" w:sz="0" w:space="0" w:color="auto"/>
            <w:bottom w:val="none" w:sz="0" w:space="0" w:color="auto"/>
            <w:right w:val="none" w:sz="0" w:space="0" w:color="auto"/>
          </w:divBdr>
          <w:divsChild>
            <w:div w:id="1673607420">
              <w:marLeft w:val="0"/>
              <w:marRight w:val="0"/>
              <w:marTop w:val="0"/>
              <w:marBottom w:val="0"/>
              <w:divBdr>
                <w:top w:val="none" w:sz="0" w:space="0" w:color="auto"/>
                <w:left w:val="none" w:sz="0" w:space="0" w:color="auto"/>
                <w:bottom w:val="none" w:sz="0" w:space="0" w:color="auto"/>
                <w:right w:val="none" w:sz="0" w:space="0" w:color="auto"/>
              </w:divBdr>
              <w:divsChild>
                <w:div w:id="1161508150">
                  <w:marLeft w:val="0"/>
                  <w:marRight w:val="0"/>
                  <w:marTop w:val="0"/>
                  <w:marBottom w:val="0"/>
                  <w:divBdr>
                    <w:top w:val="none" w:sz="0" w:space="0" w:color="auto"/>
                    <w:left w:val="none" w:sz="0" w:space="0" w:color="auto"/>
                    <w:bottom w:val="none" w:sz="0" w:space="0" w:color="auto"/>
                    <w:right w:val="none" w:sz="0" w:space="0" w:color="auto"/>
                  </w:divBdr>
                  <w:divsChild>
                    <w:div w:id="1883177879">
                      <w:marLeft w:val="0"/>
                      <w:marRight w:val="0"/>
                      <w:marTop w:val="0"/>
                      <w:marBottom w:val="0"/>
                      <w:divBdr>
                        <w:top w:val="none" w:sz="0" w:space="0" w:color="auto"/>
                        <w:left w:val="none" w:sz="0" w:space="0" w:color="auto"/>
                        <w:bottom w:val="none" w:sz="0" w:space="0" w:color="auto"/>
                        <w:right w:val="none" w:sz="0" w:space="0" w:color="auto"/>
                      </w:divBdr>
                      <w:divsChild>
                        <w:div w:id="336032415">
                          <w:marLeft w:val="0"/>
                          <w:marRight w:val="0"/>
                          <w:marTop w:val="0"/>
                          <w:marBottom w:val="0"/>
                          <w:divBdr>
                            <w:top w:val="none" w:sz="0" w:space="0" w:color="auto"/>
                            <w:left w:val="none" w:sz="0" w:space="0" w:color="auto"/>
                            <w:bottom w:val="none" w:sz="0" w:space="0" w:color="auto"/>
                            <w:right w:val="none" w:sz="0" w:space="0" w:color="auto"/>
                          </w:divBdr>
                          <w:divsChild>
                            <w:div w:id="1940336617">
                              <w:marLeft w:val="0"/>
                              <w:marRight w:val="0"/>
                              <w:marTop w:val="0"/>
                              <w:marBottom w:val="0"/>
                              <w:divBdr>
                                <w:top w:val="none" w:sz="0" w:space="0" w:color="auto"/>
                                <w:left w:val="none" w:sz="0" w:space="0" w:color="auto"/>
                                <w:bottom w:val="none" w:sz="0" w:space="0" w:color="auto"/>
                                <w:right w:val="none" w:sz="0" w:space="0" w:color="auto"/>
                              </w:divBdr>
                              <w:divsChild>
                                <w:div w:id="2098356767">
                                  <w:marLeft w:val="0"/>
                                  <w:marRight w:val="0"/>
                                  <w:marTop w:val="0"/>
                                  <w:marBottom w:val="0"/>
                                  <w:divBdr>
                                    <w:top w:val="none" w:sz="0" w:space="0" w:color="auto"/>
                                    <w:left w:val="none" w:sz="0" w:space="0" w:color="auto"/>
                                    <w:bottom w:val="none" w:sz="0" w:space="0" w:color="auto"/>
                                    <w:right w:val="none" w:sz="0" w:space="0" w:color="auto"/>
                                  </w:divBdr>
                                  <w:divsChild>
                                    <w:div w:id="2036148981">
                                      <w:marLeft w:val="0"/>
                                      <w:marRight w:val="0"/>
                                      <w:marTop w:val="0"/>
                                      <w:marBottom w:val="0"/>
                                      <w:divBdr>
                                        <w:top w:val="none" w:sz="0" w:space="0" w:color="auto"/>
                                        <w:left w:val="none" w:sz="0" w:space="0" w:color="auto"/>
                                        <w:bottom w:val="none" w:sz="0" w:space="0" w:color="auto"/>
                                        <w:right w:val="none" w:sz="0" w:space="0" w:color="auto"/>
                                      </w:divBdr>
                                      <w:divsChild>
                                        <w:div w:id="1530802636">
                                          <w:marLeft w:val="0"/>
                                          <w:marRight w:val="0"/>
                                          <w:marTop w:val="0"/>
                                          <w:marBottom w:val="0"/>
                                          <w:divBdr>
                                            <w:top w:val="none" w:sz="0" w:space="0" w:color="auto"/>
                                            <w:left w:val="none" w:sz="0" w:space="0" w:color="auto"/>
                                            <w:bottom w:val="none" w:sz="0" w:space="0" w:color="auto"/>
                                            <w:right w:val="none" w:sz="0" w:space="0" w:color="auto"/>
                                          </w:divBdr>
                                          <w:divsChild>
                                            <w:div w:id="147131602">
                                              <w:marLeft w:val="0"/>
                                              <w:marRight w:val="0"/>
                                              <w:marTop w:val="0"/>
                                              <w:marBottom w:val="0"/>
                                              <w:divBdr>
                                                <w:top w:val="none" w:sz="0" w:space="0" w:color="auto"/>
                                                <w:left w:val="none" w:sz="0" w:space="0" w:color="auto"/>
                                                <w:bottom w:val="none" w:sz="0" w:space="0" w:color="auto"/>
                                                <w:right w:val="none" w:sz="0" w:space="0" w:color="auto"/>
                                              </w:divBdr>
                                              <w:divsChild>
                                                <w:div w:id="54244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704579">
      <w:bodyDiv w:val="1"/>
      <w:marLeft w:val="0"/>
      <w:marRight w:val="0"/>
      <w:marTop w:val="0"/>
      <w:marBottom w:val="0"/>
      <w:divBdr>
        <w:top w:val="none" w:sz="0" w:space="0" w:color="auto"/>
        <w:left w:val="none" w:sz="0" w:space="0" w:color="auto"/>
        <w:bottom w:val="none" w:sz="0" w:space="0" w:color="auto"/>
        <w:right w:val="none" w:sz="0" w:space="0" w:color="auto"/>
      </w:divBdr>
    </w:div>
    <w:div w:id="542710569">
      <w:bodyDiv w:val="1"/>
      <w:marLeft w:val="0"/>
      <w:marRight w:val="0"/>
      <w:marTop w:val="0"/>
      <w:marBottom w:val="0"/>
      <w:divBdr>
        <w:top w:val="none" w:sz="0" w:space="0" w:color="auto"/>
        <w:left w:val="none" w:sz="0" w:space="0" w:color="auto"/>
        <w:bottom w:val="none" w:sz="0" w:space="0" w:color="auto"/>
        <w:right w:val="none" w:sz="0" w:space="0" w:color="auto"/>
      </w:divBdr>
    </w:div>
    <w:div w:id="545610068">
      <w:bodyDiv w:val="1"/>
      <w:marLeft w:val="0"/>
      <w:marRight w:val="0"/>
      <w:marTop w:val="0"/>
      <w:marBottom w:val="0"/>
      <w:divBdr>
        <w:top w:val="none" w:sz="0" w:space="0" w:color="auto"/>
        <w:left w:val="none" w:sz="0" w:space="0" w:color="auto"/>
        <w:bottom w:val="none" w:sz="0" w:space="0" w:color="auto"/>
        <w:right w:val="none" w:sz="0" w:space="0" w:color="auto"/>
      </w:divBdr>
    </w:div>
    <w:div w:id="545683906">
      <w:bodyDiv w:val="1"/>
      <w:marLeft w:val="0"/>
      <w:marRight w:val="0"/>
      <w:marTop w:val="0"/>
      <w:marBottom w:val="0"/>
      <w:divBdr>
        <w:top w:val="none" w:sz="0" w:space="0" w:color="auto"/>
        <w:left w:val="none" w:sz="0" w:space="0" w:color="auto"/>
        <w:bottom w:val="none" w:sz="0" w:space="0" w:color="auto"/>
        <w:right w:val="none" w:sz="0" w:space="0" w:color="auto"/>
      </w:divBdr>
    </w:div>
    <w:div w:id="551886160">
      <w:bodyDiv w:val="1"/>
      <w:marLeft w:val="0"/>
      <w:marRight w:val="0"/>
      <w:marTop w:val="0"/>
      <w:marBottom w:val="0"/>
      <w:divBdr>
        <w:top w:val="none" w:sz="0" w:space="0" w:color="auto"/>
        <w:left w:val="none" w:sz="0" w:space="0" w:color="auto"/>
        <w:bottom w:val="none" w:sz="0" w:space="0" w:color="auto"/>
        <w:right w:val="none" w:sz="0" w:space="0" w:color="auto"/>
      </w:divBdr>
    </w:div>
    <w:div w:id="554245777">
      <w:bodyDiv w:val="1"/>
      <w:marLeft w:val="0"/>
      <w:marRight w:val="0"/>
      <w:marTop w:val="0"/>
      <w:marBottom w:val="0"/>
      <w:divBdr>
        <w:top w:val="none" w:sz="0" w:space="0" w:color="auto"/>
        <w:left w:val="none" w:sz="0" w:space="0" w:color="auto"/>
        <w:bottom w:val="none" w:sz="0" w:space="0" w:color="auto"/>
        <w:right w:val="none" w:sz="0" w:space="0" w:color="auto"/>
      </w:divBdr>
    </w:div>
    <w:div w:id="578253357">
      <w:bodyDiv w:val="1"/>
      <w:marLeft w:val="0"/>
      <w:marRight w:val="0"/>
      <w:marTop w:val="0"/>
      <w:marBottom w:val="0"/>
      <w:divBdr>
        <w:top w:val="none" w:sz="0" w:space="0" w:color="auto"/>
        <w:left w:val="none" w:sz="0" w:space="0" w:color="auto"/>
        <w:bottom w:val="none" w:sz="0" w:space="0" w:color="auto"/>
        <w:right w:val="none" w:sz="0" w:space="0" w:color="auto"/>
      </w:divBdr>
    </w:div>
    <w:div w:id="580604385">
      <w:bodyDiv w:val="1"/>
      <w:marLeft w:val="0"/>
      <w:marRight w:val="0"/>
      <w:marTop w:val="0"/>
      <w:marBottom w:val="0"/>
      <w:divBdr>
        <w:top w:val="none" w:sz="0" w:space="0" w:color="auto"/>
        <w:left w:val="none" w:sz="0" w:space="0" w:color="auto"/>
        <w:bottom w:val="none" w:sz="0" w:space="0" w:color="auto"/>
        <w:right w:val="none" w:sz="0" w:space="0" w:color="auto"/>
      </w:divBdr>
    </w:div>
    <w:div w:id="600534059">
      <w:bodyDiv w:val="1"/>
      <w:marLeft w:val="0"/>
      <w:marRight w:val="0"/>
      <w:marTop w:val="0"/>
      <w:marBottom w:val="0"/>
      <w:divBdr>
        <w:top w:val="none" w:sz="0" w:space="0" w:color="auto"/>
        <w:left w:val="none" w:sz="0" w:space="0" w:color="auto"/>
        <w:bottom w:val="none" w:sz="0" w:space="0" w:color="auto"/>
        <w:right w:val="none" w:sz="0" w:space="0" w:color="auto"/>
      </w:divBdr>
    </w:div>
    <w:div w:id="605313680">
      <w:bodyDiv w:val="1"/>
      <w:marLeft w:val="0"/>
      <w:marRight w:val="0"/>
      <w:marTop w:val="0"/>
      <w:marBottom w:val="0"/>
      <w:divBdr>
        <w:top w:val="none" w:sz="0" w:space="0" w:color="auto"/>
        <w:left w:val="none" w:sz="0" w:space="0" w:color="auto"/>
        <w:bottom w:val="none" w:sz="0" w:space="0" w:color="auto"/>
        <w:right w:val="none" w:sz="0" w:space="0" w:color="auto"/>
      </w:divBdr>
    </w:div>
    <w:div w:id="615598511">
      <w:bodyDiv w:val="1"/>
      <w:marLeft w:val="0"/>
      <w:marRight w:val="0"/>
      <w:marTop w:val="0"/>
      <w:marBottom w:val="0"/>
      <w:divBdr>
        <w:top w:val="none" w:sz="0" w:space="0" w:color="auto"/>
        <w:left w:val="none" w:sz="0" w:space="0" w:color="auto"/>
        <w:bottom w:val="none" w:sz="0" w:space="0" w:color="auto"/>
        <w:right w:val="none" w:sz="0" w:space="0" w:color="auto"/>
      </w:divBdr>
      <w:divsChild>
        <w:div w:id="985741372">
          <w:marLeft w:val="0"/>
          <w:marRight w:val="0"/>
          <w:marTop w:val="0"/>
          <w:marBottom w:val="0"/>
          <w:divBdr>
            <w:top w:val="none" w:sz="0" w:space="0" w:color="auto"/>
            <w:left w:val="none" w:sz="0" w:space="0" w:color="auto"/>
            <w:bottom w:val="none" w:sz="0" w:space="0" w:color="auto"/>
            <w:right w:val="none" w:sz="0" w:space="0" w:color="auto"/>
          </w:divBdr>
        </w:div>
        <w:div w:id="1623150583">
          <w:marLeft w:val="0"/>
          <w:marRight w:val="0"/>
          <w:marTop w:val="0"/>
          <w:marBottom w:val="0"/>
          <w:divBdr>
            <w:top w:val="none" w:sz="0" w:space="0" w:color="auto"/>
            <w:left w:val="none" w:sz="0" w:space="0" w:color="auto"/>
            <w:bottom w:val="none" w:sz="0" w:space="0" w:color="auto"/>
            <w:right w:val="none" w:sz="0" w:space="0" w:color="auto"/>
          </w:divBdr>
        </w:div>
        <w:div w:id="1698500313">
          <w:marLeft w:val="0"/>
          <w:marRight w:val="0"/>
          <w:marTop w:val="0"/>
          <w:marBottom w:val="0"/>
          <w:divBdr>
            <w:top w:val="none" w:sz="0" w:space="0" w:color="auto"/>
            <w:left w:val="none" w:sz="0" w:space="0" w:color="auto"/>
            <w:bottom w:val="none" w:sz="0" w:space="0" w:color="auto"/>
            <w:right w:val="none" w:sz="0" w:space="0" w:color="auto"/>
          </w:divBdr>
        </w:div>
      </w:divsChild>
    </w:div>
    <w:div w:id="620963136">
      <w:bodyDiv w:val="1"/>
      <w:marLeft w:val="0"/>
      <w:marRight w:val="0"/>
      <w:marTop w:val="0"/>
      <w:marBottom w:val="0"/>
      <w:divBdr>
        <w:top w:val="none" w:sz="0" w:space="0" w:color="auto"/>
        <w:left w:val="none" w:sz="0" w:space="0" w:color="auto"/>
        <w:bottom w:val="none" w:sz="0" w:space="0" w:color="auto"/>
        <w:right w:val="none" w:sz="0" w:space="0" w:color="auto"/>
      </w:divBdr>
    </w:div>
    <w:div w:id="629172735">
      <w:bodyDiv w:val="1"/>
      <w:marLeft w:val="0"/>
      <w:marRight w:val="0"/>
      <w:marTop w:val="0"/>
      <w:marBottom w:val="0"/>
      <w:divBdr>
        <w:top w:val="none" w:sz="0" w:space="0" w:color="auto"/>
        <w:left w:val="none" w:sz="0" w:space="0" w:color="auto"/>
        <w:bottom w:val="none" w:sz="0" w:space="0" w:color="auto"/>
        <w:right w:val="none" w:sz="0" w:space="0" w:color="auto"/>
      </w:divBdr>
    </w:div>
    <w:div w:id="636421648">
      <w:bodyDiv w:val="1"/>
      <w:marLeft w:val="0"/>
      <w:marRight w:val="0"/>
      <w:marTop w:val="0"/>
      <w:marBottom w:val="0"/>
      <w:divBdr>
        <w:top w:val="none" w:sz="0" w:space="0" w:color="auto"/>
        <w:left w:val="none" w:sz="0" w:space="0" w:color="auto"/>
        <w:bottom w:val="none" w:sz="0" w:space="0" w:color="auto"/>
        <w:right w:val="none" w:sz="0" w:space="0" w:color="auto"/>
      </w:divBdr>
    </w:div>
    <w:div w:id="670254295">
      <w:bodyDiv w:val="1"/>
      <w:marLeft w:val="0"/>
      <w:marRight w:val="0"/>
      <w:marTop w:val="0"/>
      <w:marBottom w:val="0"/>
      <w:divBdr>
        <w:top w:val="none" w:sz="0" w:space="0" w:color="auto"/>
        <w:left w:val="none" w:sz="0" w:space="0" w:color="auto"/>
        <w:bottom w:val="none" w:sz="0" w:space="0" w:color="auto"/>
        <w:right w:val="none" w:sz="0" w:space="0" w:color="auto"/>
      </w:divBdr>
    </w:div>
    <w:div w:id="675108464">
      <w:bodyDiv w:val="1"/>
      <w:marLeft w:val="0"/>
      <w:marRight w:val="0"/>
      <w:marTop w:val="0"/>
      <w:marBottom w:val="0"/>
      <w:divBdr>
        <w:top w:val="none" w:sz="0" w:space="0" w:color="auto"/>
        <w:left w:val="none" w:sz="0" w:space="0" w:color="auto"/>
        <w:bottom w:val="none" w:sz="0" w:space="0" w:color="auto"/>
        <w:right w:val="none" w:sz="0" w:space="0" w:color="auto"/>
      </w:divBdr>
    </w:div>
    <w:div w:id="675116119">
      <w:bodyDiv w:val="1"/>
      <w:marLeft w:val="0"/>
      <w:marRight w:val="0"/>
      <w:marTop w:val="0"/>
      <w:marBottom w:val="0"/>
      <w:divBdr>
        <w:top w:val="none" w:sz="0" w:space="0" w:color="auto"/>
        <w:left w:val="none" w:sz="0" w:space="0" w:color="auto"/>
        <w:bottom w:val="none" w:sz="0" w:space="0" w:color="auto"/>
        <w:right w:val="none" w:sz="0" w:space="0" w:color="auto"/>
      </w:divBdr>
    </w:div>
    <w:div w:id="688527754">
      <w:bodyDiv w:val="1"/>
      <w:marLeft w:val="0"/>
      <w:marRight w:val="0"/>
      <w:marTop w:val="0"/>
      <w:marBottom w:val="0"/>
      <w:divBdr>
        <w:top w:val="none" w:sz="0" w:space="0" w:color="auto"/>
        <w:left w:val="none" w:sz="0" w:space="0" w:color="auto"/>
        <w:bottom w:val="none" w:sz="0" w:space="0" w:color="auto"/>
        <w:right w:val="none" w:sz="0" w:space="0" w:color="auto"/>
      </w:divBdr>
    </w:div>
    <w:div w:id="690684067">
      <w:bodyDiv w:val="1"/>
      <w:marLeft w:val="0"/>
      <w:marRight w:val="0"/>
      <w:marTop w:val="0"/>
      <w:marBottom w:val="0"/>
      <w:divBdr>
        <w:top w:val="none" w:sz="0" w:space="0" w:color="auto"/>
        <w:left w:val="none" w:sz="0" w:space="0" w:color="auto"/>
        <w:bottom w:val="none" w:sz="0" w:space="0" w:color="auto"/>
        <w:right w:val="none" w:sz="0" w:space="0" w:color="auto"/>
      </w:divBdr>
    </w:div>
    <w:div w:id="726731524">
      <w:bodyDiv w:val="1"/>
      <w:marLeft w:val="0"/>
      <w:marRight w:val="0"/>
      <w:marTop w:val="0"/>
      <w:marBottom w:val="0"/>
      <w:divBdr>
        <w:top w:val="none" w:sz="0" w:space="0" w:color="auto"/>
        <w:left w:val="none" w:sz="0" w:space="0" w:color="auto"/>
        <w:bottom w:val="none" w:sz="0" w:space="0" w:color="auto"/>
        <w:right w:val="none" w:sz="0" w:space="0" w:color="auto"/>
      </w:divBdr>
      <w:divsChild>
        <w:div w:id="567763044">
          <w:marLeft w:val="374"/>
          <w:marRight w:val="0"/>
          <w:marTop w:val="0"/>
          <w:marBottom w:val="60"/>
          <w:divBdr>
            <w:top w:val="none" w:sz="0" w:space="0" w:color="auto"/>
            <w:left w:val="none" w:sz="0" w:space="0" w:color="auto"/>
            <w:bottom w:val="none" w:sz="0" w:space="0" w:color="auto"/>
            <w:right w:val="none" w:sz="0" w:space="0" w:color="auto"/>
          </w:divBdr>
        </w:div>
        <w:div w:id="616642621">
          <w:marLeft w:val="374"/>
          <w:marRight w:val="0"/>
          <w:marTop w:val="0"/>
          <w:marBottom w:val="60"/>
          <w:divBdr>
            <w:top w:val="none" w:sz="0" w:space="0" w:color="auto"/>
            <w:left w:val="none" w:sz="0" w:space="0" w:color="auto"/>
            <w:bottom w:val="none" w:sz="0" w:space="0" w:color="auto"/>
            <w:right w:val="none" w:sz="0" w:space="0" w:color="auto"/>
          </w:divBdr>
        </w:div>
        <w:div w:id="1474717089">
          <w:marLeft w:val="374"/>
          <w:marRight w:val="0"/>
          <w:marTop w:val="0"/>
          <w:marBottom w:val="60"/>
          <w:divBdr>
            <w:top w:val="none" w:sz="0" w:space="0" w:color="auto"/>
            <w:left w:val="none" w:sz="0" w:space="0" w:color="auto"/>
            <w:bottom w:val="none" w:sz="0" w:space="0" w:color="auto"/>
            <w:right w:val="none" w:sz="0" w:space="0" w:color="auto"/>
          </w:divBdr>
        </w:div>
        <w:div w:id="1761951055">
          <w:marLeft w:val="374"/>
          <w:marRight w:val="0"/>
          <w:marTop w:val="0"/>
          <w:marBottom w:val="60"/>
          <w:divBdr>
            <w:top w:val="none" w:sz="0" w:space="0" w:color="auto"/>
            <w:left w:val="none" w:sz="0" w:space="0" w:color="auto"/>
            <w:bottom w:val="none" w:sz="0" w:space="0" w:color="auto"/>
            <w:right w:val="none" w:sz="0" w:space="0" w:color="auto"/>
          </w:divBdr>
        </w:div>
        <w:div w:id="2077119918">
          <w:marLeft w:val="374"/>
          <w:marRight w:val="0"/>
          <w:marTop w:val="0"/>
          <w:marBottom w:val="60"/>
          <w:divBdr>
            <w:top w:val="none" w:sz="0" w:space="0" w:color="auto"/>
            <w:left w:val="none" w:sz="0" w:space="0" w:color="auto"/>
            <w:bottom w:val="none" w:sz="0" w:space="0" w:color="auto"/>
            <w:right w:val="none" w:sz="0" w:space="0" w:color="auto"/>
          </w:divBdr>
        </w:div>
      </w:divsChild>
    </w:div>
    <w:div w:id="748578419">
      <w:bodyDiv w:val="1"/>
      <w:marLeft w:val="0"/>
      <w:marRight w:val="0"/>
      <w:marTop w:val="0"/>
      <w:marBottom w:val="0"/>
      <w:divBdr>
        <w:top w:val="none" w:sz="0" w:space="0" w:color="auto"/>
        <w:left w:val="none" w:sz="0" w:space="0" w:color="auto"/>
        <w:bottom w:val="none" w:sz="0" w:space="0" w:color="auto"/>
        <w:right w:val="none" w:sz="0" w:space="0" w:color="auto"/>
      </w:divBdr>
    </w:div>
    <w:div w:id="751127823">
      <w:bodyDiv w:val="1"/>
      <w:marLeft w:val="0"/>
      <w:marRight w:val="0"/>
      <w:marTop w:val="0"/>
      <w:marBottom w:val="0"/>
      <w:divBdr>
        <w:top w:val="none" w:sz="0" w:space="0" w:color="auto"/>
        <w:left w:val="none" w:sz="0" w:space="0" w:color="auto"/>
        <w:bottom w:val="none" w:sz="0" w:space="0" w:color="auto"/>
        <w:right w:val="none" w:sz="0" w:space="0" w:color="auto"/>
      </w:divBdr>
    </w:div>
    <w:div w:id="756291389">
      <w:bodyDiv w:val="1"/>
      <w:marLeft w:val="0"/>
      <w:marRight w:val="0"/>
      <w:marTop w:val="0"/>
      <w:marBottom w:val="0"/>
      <w:divBdr>
        <w:top w:val="none" w:sz="0" w:space="0" w:color="auto"/>
        <w:left w:val="none" w:sz="0" w:space="0" w:color="auto"/>
        <w:bottom w:val="none" w:sz="0" w:space="0" w:color="auto"/>
        <w:right w:val="none" w:sz="0" w:space="0" w:color="auto"/>
      </w:divBdr>
    </w:div>
    <w:div w:id="761608488">
      <w:bodyDiv w:val="1"/>
      <w:marLeft w:val="0"/>
      <w:marRight w:val="0"/>
      <w:marTop w:val="0"/>
      <w:marBottom w:val="0"/>
      <w:divBdr>
        <w:top w:val="none" w:sz="0" w:space="0" w:color="auto"/>
        <w:left w:val="none" w:sz="0" w:space="0" w:color="auto"/>
        <w:bottom w:val="none" w:sz="0" w:space="0" w:color="auto"/>
        <w:right w:val="none" w:sz="0" w:space="0" w:color="auto"/>
      </w:divBdr>
    </w:div>
    <w:div w:id="768043378">
      <w:bodyDiv w:val="1"/>
      <w:marLeft w:val="0"/>
      <w:marRight w:val="0"/>
      <w:marTop w:val="0"/>
      <w:marBottom w:val="0"/>
      <w:divBdr>
        <w:top w:val="none" w:sz="0" w:space="0" w:color="auto"/>
        <w:left w:val="none" w:sz="0" w:space="0" w:color="auto"/>
        <w:bottom w:val="none" w:sz="0" w:space="0" w:color="auto"/>
        <w:right w:val="none" w:sz="0" w:space="0" w:color="auto"/>
      </w:divBdr>
    </w:div>
    <w:div w:id="783960170">
      <w:bodyDiv w:val="1"/>
      <w:marLeft w:val="0"/>
      <w:marRight w:val="0"/>
      <w:marTop w:val="0"/>
      <w:marBottom w:val="0"/>
      <w:divBdr>
        <w:top w:val="none" w:sz="0" w:space="0" w:color="auto"/>
        <w:left w:val="none" w:sz="0" w:space="0" w:color="auto"/>
        <w:bottom w:val="none" w:sz="0" w:space="0" w:color="auto"/>
        <w:right w:val="none" w:sz="0" w:space="0" w:color="auto"/>
      </w:divBdr>
    </w:div>
    <w:div w:id="785585985">
      <w:bodyDiv w:val="1"/>
      <w:marLeft w:val="0"/>
      <w:marRight w:val="0"/>
      <w:marTop w:val="0"/>
      <w:marBottom w:val="0"/>
      <w:divBdr>
        <w:top w:val="none" w:sz="0" w:space="0" w:color="auto"/>
        <w:left w:val="none" w:sz="0" w:space="0" w:color="auto"/>
        <w:bottom w:val="none" w:sz="0" w:space="0" w:color="auto"/>
        <w:right w:val="none" w:sz="0" w:space="0" w:color="auto"/>
      </w:divBdr>
    </w:div>
    <w:div w:id="798497564">
      <w:bodyDiv w:val="1"/>
      <w:marLeft w:val="0"/>
      <w:marRight w:val="0"/>
      <w:marTop w:val="0"/>
      <w:marBottom w:val="0"/>
      <w:divBdr>
        <w:top w:val="none" w:sz="0" w:space="0" w:color="auto"/>
        <w:left w:val="none" w:sz="0" w:space="0" w:color="auto"/>
        <w:bottom w:val="none" w:sz="0" w:space="0" w:color="auto"/>
        <w:right w:val="none" w:sz="0" w:space="0" w:color="auto"/>
      </w:divBdr>
    </w:div>
    <w:div w:id="836270348">
      <w:bodyDiv w:val="1"/>
      <w:marLeft w:val="0"/>
      <w:marRight w:val="0"/>
      <w:marTop w:val="0"/>
      <w:marBottom w:val="0"/>
      <w:divBdr>
        <w:top w:val="none" w:sz="0" w:space="0" w:color="auto"/>
        <w:left w:val="none" w:sz="0" w:space="0" w:color="auto"/>
        <w:bottom w:val="none" w:sz="0" w:space="0" w:color="auto"/>
        <w:right w:val="none" w:sz="0" w:space="0" w:color="auto"/>
      </w:divBdr>
    </w:div>
    <w:div w:id="866867713">
      <w:bodyDiv w:val="1"/>
      <w:marLeft w:val="0"/>
      <w:marRight w:val="0"/>
      <w:marTop w:val="0"/>
      <w:marBottom w:val="0"/>
      <w:divBdr>
        <w:top w:val="none" w:sz="0" w:space="0" w:color="auto"/>
        <w:left w:val="none" w:sz="0" w:space="0" w:color="auto"/>
        <w:bottom w:val="none" w:sz="0" w:space="0" w:color="auto"/>
        <w:right w:val="none" w:sz="0" w:space="0" w:color="auto"/>
      </w:divBdr>
    </w:div>
    <w:div w:id="877427392">
      <w:bodyDiv w:val="1"/>
      <w:marLeft w:val="0"/>
      <w:marRight w:val="0"/>
      <w:marTop w:val="0"/>
      <w:marBottom w:val="0"/>
      <w:divBdr>
        <w:top w:val="none" w:sz="0" w:space="0" w:color="auto"/>
        <w:left w:val="none" w:sz="0" w:space="0" w:color="auto"/>
        <w:bottom w:val="none" w:sz="0" w:space="0" w:color="auto"/>
        <w:right w:val="none" w:sz="0" w:space="0" w:color="auto"/>
      </w:divBdr>
      <w:divsChild>
        <w:div w:id="1006251991">
          <w:marLeft w:val="0"/>
          <w:marRight w:val="0"/>
          <w:marTop w:val="0"/>
          <w:marBottom w:val="0"/>
          <w:divBdr>
            <w:top w:val="none" w:sz="0" w:space="0" w:color="auto"/>
            <w:left w:val="none" w:sz="0" w:space="0" w:color="auto"/>
            <w:bottom w:val="none" w:sz="0" w:space="0" w:color="auto"/>
            <w:right w:val="none" w:sz="0" w:space="0" w:color="auto"/>
          </w:divBdr>
        </w:div>
        <w:div w:id="1037661063">
          <w:marLeft w:val="0"/>
          <w:marRight w:val="0"/>
          <w:marTop w:val="0"/>
          <w:marBottom w:val="0"/>
          <w:divBdr>
            <w:top w:val="none" w:sz="0" w:space="0" w:color="auto"/>
            <w:left w:val="none" w:sz="0" w:space="0" w:color="auto"/>
            <w:bottom w:val="none" w:sz="0" w:space="0" w:color="auto"/>
            <w:right w:val="none" w:sz="0" w:space="0" w:color="auto"/>
          </w:divBdr>
        </w:div>
        <w:div w:id="1535652042">
          <w:marLeft w:val="0"/>
          <w:marRight w:val="0"/>
          <w:marTop w:val="0"/>
          <w:marBottom w:val="0"/>
          <w:divBdr>
            <w:top w:val="none" w:sz="0" w:space="0" w:color="auto"/>
            <w:left w:val="none" w:sz="0" w:space="0" w:color="auto"/>
            <w:bottom w:val="none" w:sz="0" w:space="0" w:color="auto"/>
            <w:right w:val="none" w:sz="0" w:space="0" w:color="auto"/>
          </w:divBdr>
        </w:div>
      </w:divsChild>
    </w:div>
    <w:div w:id="889390071">
      <w:bodyDiv w:val="1"/>
      <w:marLeft w:val="0"/>
      <w:marRight w:val="0"/>
      <w:marTop w:val="0"/>
      <w:marBottom w:val="0"/>
      <w:divBdr>
        <w:top w:val="none" w:sz="0" w:space="0" w:color="auto"/>
        <w:left w:val="none" w:sz="0" w:space="0" w:color="auto"/>
        <w:bottom w:val="none" w:sz="0" w:space="0" w:color="auto"/>
        <w:right w:val="none" w:sz="0" w:space="0" w:color="auto"/>
      </w:divBdr>
    </w:div>
    <w:div w:id="916090918">
      <w:bodyDiv w:val="1"/>
      <w:marLeft w:val="0"/>
      <w:marRight w:val="0"/>
      <w:marTop w:val="0"/>
      <w:marBottom w:val="0"/>
      <w:divBdr>
        <w:top w:val="none" w:sz="0" w:space="0" w:color="auto"/>
        <w:left w:val="none" w:sz="0" w:space="0" w:color="auto"/>
        <w:bottom w:val="none" w:sz="0" w:space="0" w:color="auto"/>
        <w:right w:val="none" w:sz="0" w:space="0" w:color="auto"/>
      </w:divBdr>
    </w:div>
    <w:div w:id="920868956">
      <w:bodyDiv w:val="1"/>
      <w:marLeft w:val="0"/>
      <w:marRight w:val="0"/>
      <w:marTop w:val="0"/>
      <w:marBottom w:val="0"/>
      <w:divBdr>
        <w:top w:val="none" w:sz="0" w:space="0" w:color="auto"/>
        <w:left w:val="none" w:sz="0" w:space="0" w:color="auto"/>
        <w:bottom w:val="none" w:sz="0" w:space="0" w:color="auto"/>
        <w:right w:val="none" w:sz="0" w:space="0" w:color="auto"/>
      </w:divBdr>
    </w:div>
    <w:div w:id="925917704">
      <w:bodyDiv w:val="1"/>
      <w:marLeft w:val="0"/>
      <w:marRight w:val="0"/>
      <w:marTop w:val="0"/>
      <w:marBottom w:val="0"/>
      <w:divBdr>
        <w:top w:val="none" w:sz="0" w:space="0" w:color="auto"/>
        <w:left w:val="none" w:sz="0" w:space="0" w:color="auto"/>
        <w:bottom w:val="none" w:sz="0" w:space="0" w:color="auto"/>
        <w:right w:val="none" w:sz="0" w:space="0" w:color="auto"/>
      </w:divBdr>
    </w:div>
    <w:div w:id="929585103">
      <w:bodyDiv w:val="1"/>
      <w:marLeft w:val="0"/>
      <w:marRight w:val="0"/>
      <w:marTop w:val="0"/>
      <w:marBottom w:val="0"/>
      <w:divBdr>
        <w:top w:val="none" w:sz="0" w:space="0" w:color="auto"/>
        <w:left w:val="none" w:sz="0" w:space="0" w:color="auto"/>
        <w:bottom w:val="none" w:sz="0" w:space="0" w:color="auto"/>
        <w:right w:val="none" w:sz="0" w:space="0" w:color="auto"/>
      </w:divBdr>
    </w:div>
    <w:div w:id="935669053">
      <w:bodyDiv w:val="1"/>
      <w:marLeft w:val="0"/>
      <w:marRight w:val="0"/>
      <w:marTop w:val="0"/>
      <w:marBottom w:val="0"/>
      <w:divBdr>
        <w:top w:val="none" w:sz="0" w:space="0" w:color="auto"/>
        <w:left w:val="none" w:sz="0" w:space="0" w:color="auto"/>
        <w:bottom w:val="none" w:sz="0" w:space="0" w:color="auto"/>
        <w:right w:val="none" w:sz="0" w:space="0" w:color="auto"/>
      </w:divBdr>
    </w:div>
    <w:div w:id="941911592">
      <w:bodyDiv w:val="1"/>
      <w:marLeft w:val="0"/>
      <w:marRight w:val="0"/>
      <w:marTop w:val="0"/>
      <w:marBottom w:val="0"/>
      <w:divBdr>
        <w:top w:val="none" w:sz="0" w:space="0" w:color="auto"/>
        <w:left w:val="none" w:sz="0" w:space="0" w:color="auto"/>
        <w:bottom w:val="none" w:sz="0" w:space="0" w:color="auto"/>
        <w:right w:val="none" w:sz="0" w:space="0" w:color="auto"/>
      </w:divBdr>
    </w:div>
    <w:div w:id="944069752">
      <w:bodyDiv w:val="1"/>
      <w:marLeft w:val="0"/>
      <w:marRight w:val="0"/>
      <w:marTop w:val="0"/>
      <w:marBottom w:val="0"/>
      <w:divBdr>
        <w:top w:val="none" w:sz="0" w:space="0" w:color="auto"/>
        <w:left w:val="none" w:sz="0" w:space="0" w:color="auto"/>
        <w:bottom w:val="none" w:sz="0" w:space="0" w:color="auto"/>
        <w:right w:val="none" w:sz="0" w:space="0" w:color="auto"/>
      </w:divBdr>
    </w:div>
    <w:div w:id="963149769">
      <w:bodyDiv w:val="1"/>
      <w:marLeft w:val="0"/>
      <w:marRight w:val="0"/>
      <w:marTop w:val="0"/>
      <w:marBottom w:val="0"/>
      <w:divBdr>
        <w:top w:val="none" w:sz="0" w:space="0" w:color="auto"/>
        <w:left w:val="none" w:sz="0" w:space="0" w:color="auto"/>
        <w:bottom w:val="none" w:sz="0" w:space="0" w:color="auto"/>
        <w:right w:val="none" w:sz="0" w:space="0" w:color="auto"/>
      </w:divBdr>
    </w:div>
    <w:div w:id="993028343">
      <w:bodyDiv w:val="1"/>
      <w:marLeft w:val="0"/>
      <w:marRight w:val="0"/>
      <w:marTop w:val="0"/>
      <w:marBottom w:val="0"/>
      <w:divBdr>
        <w:top w:val="none" w:sz="0" w:space="0" w:color="auto"/>
        <w:left w:val="none" w:sz="0" w:space="0" w:color="auto"/>
        <w:bottom w:val="none" w:sz="0" w:space="0" w:color="auto"/>
        <w:right w:val="none" w:sz="0" w:space="0" w:color="auto"/>
      </w:divBdr>
    </w:div>
    <w:div w:id="1004094472">
      <w:bodyDiv w:val="1"/>
      <w:marLeft w:val="0"/>
      <w:marRight w:val="0"/>
      <w:marTop w:val="0"/>
      <w:marBottom w:val="0"/>
      <w:divBdr>
        <w:top w:val="none" w:sz="0" w:space="0" w:color="auto"/>
        <w:left w:val="none" w:sz="0" w:space="0" w:color="auto"/>
        <w:bottom w:val="none" w:sz="0" w:space="0" w:color="auto"/>
        <w:right w:val="none" w:sz="0" w:space="0" w:color="auto"/>
      </w:divBdr>
    </w:div>
    <w:div w:id="1006638122">
      <w:bodyDiv w:val="1"/>
      <w:marLeft w:val="0"/>
      <w:marRight w:val="0"/>
      <w:marTop w:val="0"/>
      <w:marBottom w:val="0"/>
      <w:divBdr>
        <w:top w:val="none" w:sz="0" w:space="0" w:color="auto"/>
        <w:left w:val="none" w:sz="0" w:space="0" w:color="auto"/>
        <w:bottom w:val="none" w:sz="0" w:space="0" w:color="auto"/>
        <w:right w:val="none" w:sz="0" w:space="0" w:color="auto"/>
      </w:divBdr>
      <w:divsChild>
        <w:div w:id="1265576040">
          <w:marLeft w:val="0"/>
          <w:marRight w:val="0"/>
          <w:marTop w:val="0"/>
          <w:marBottom w:val="0"/>
          <w:divBdr>
            <w:top w:val="none" w:sz="0" w:space="0" w:color="auto"/>
            <w:left w:val="none" w:sz="0" w:space="0" w:color="auto"/>
            <w:bottom w:val="none" w:sz="0" w:space="0" w:color="auto"/>
            <w:right w:val="none" w:sz="0" w:space="0" w:color="auto"/>
          </w:divBdr>
          <w:divsChild>
            <w:div w:id="2111967612">
              <w:marLeft w:val="0"/>
              <w:marRight w:val="0"/>
              <w:marTop w:val="0"/>
              <w:marBottom w:val="0"/>
              <w:divBdr>
                <w:top w:val="none" w:sz="0" w:space="0" w:color="auto"/>
                <w:left w:val="none" w:sz="0" w:space="0" w:color="auto"/>
                <w:bottom w:val="none" w:sz="0" w:space="0" w:color="auto"/>
                <w:right w:val="none" w:sz="0" w:space="0" w:color="auto"/>
              </w:divBdr>
              <w:divsChild>
                <w:div w:id="9802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31235">
      <w:bodyDiv w:val="1"/>
      <w:marLeft w:val="0"/>
      <w:marRight w:val="0"/>
      <w:marTop w:val="0"/>
      <w:marBottom w:val="0"/>
      <w:divBdr>
        <w:top w:val="none" w:sz="0" w:space="0" w:color="auto"/>
        <w:left w:val="none" w:sz="0" w:space="0" w:color="auto"/>
        <w:bottom w:val="none" w:sz="0" w:space="0" w:color="auto"/>
        <w:right w:val="none" w:sz="0" w:space="0" w:color="auto"/>
      </w:divBdr>
    </w:div>
    <w:div w:id="1018119190">
      <w:bodyDiv w:val="1"/>
      <w:marLeft w:val="0"/>
      <w:marRight w:val="0"/>
      <w:marTop w:val="0"/>
      <w:marBottom w:val="0"/>
      <w:divBdr>
        <w:top w:val="none" w:sz="0" w:space="0" w:color="auto"/>
        <w:left w:val="none" w:sz="0" w:space="0" w:color="auto"/>
        <w:bottom w:val="none" w:sz="0" w:space="0" w:color="auto"/>
        <w:right w:val="none" w:sz="0" w:space="0" w:color="auto"/>
      </w:divBdr>
    </w:div>
    <w:div w:id="1020203071">
      <w:bodyDiv w:val="1"/>
      <w:marLeft w:val="0"/>
      <w:marRight w:val="0"/>
      <w:marTop w:val="0"/>
      <w:marBottom w:val="0"/>
      <w:divBdr>
        <w:top w:val="none" w:sz="0" w:space="0" w:color="auto"/>
        <w:left w:val="none" w:sz="0" w:space="0" w:color="auto"/>
        <w:bottom w:val="none" w:sz="0" w:space="0" w:color="auto"/>
        <w:right w:val="none" w:sz="0" w:space="0" w:color="auto"/>
      </w:divBdr>
    </w:div>
    <w:div w:id="1036851150">
      <w:bodyDiv w:val="1"/>
      <w:marLeft w:val="0"/>
      <w:marRight w:val="0"/>
      <w:marTop w:val="0"/>
      <w:marBottom w:val="0"/>
      <w:divBdr>
        <w:top w:val="none" w:sz="0" w:space="0" w:color="auto"/>
        <w:left w:val="none" w:sz="0" w:space="0" w:color="auto"/>
        <w:bottom w:val="none" w:sz="0" w:space="0" w:color="auto"/>
        <w:right w:val="none" w:sz="0" w:space="0" w:color="auto"/>
      </w:divBdr>
    </w:div>
    <w:div w:id="1042947592">
      <w:bodyDiv w:val="1"/>
      <w:marLeft w:val="0"/>
      <w:marRight w:val="0"/>
      <w:marTop w:val="0"/>
      <w:marBottom w:val="0"/>
      <w:divBdr>
        <w:top w:val="none" w:sz="0" w:space="0" w:color="auto"/>
        <w:left w:val="none" w:sz="0" w:space="0" w:color="auto"/>
        <w:bottom w:val="none" w:sz="0" w:space="0" w:color="auto"/>
        <w:right w:val="none" w:sz="0" w:space="0" w:color="auto"/>
      </w:divBdr>
    </w:div>
    <w:div w:id="1054693313">
      <w:bodyDiv w:val="1"/>
      <w:marLeft w:val="0"/>
      <w:marRight w:val="0"/>
      <w:marTop w:val="0"/>
      <w:marBottom w:val="0"/>
      <w:divBdr>
        <w:top w:val="none" w:sz="0" w:space="0" w:color="auto"/>
        <w:left w:val="none" w:sz="0" w:space="0" w:color="auto"/>
        <w:bottom w:val="none" w:sz="0" w:space="0" w:color="auto"/>
        <w:right w:val="none" w:sz="0" w:space="0" w:color="auto"/>
      </w:divBdr>
    </w:div>
    <w:div w:id="1056464411">
      <w:bodyDiv w:val="1"/>
      <w:marLeft w:val="0"/>
      <w:marRight w:val="0"/>
      <w:marTop w:val="0"/>
      <w:marBottom w:val="0"/>
      <w:divBdr>
        <w:top w:val="none" w:sz="0" w:space="0" w:color="auto"/>
        <w:left w:val="none" w:sz="0" w:space="0" w:color="auto"/>
        <w:bottom w:val="none" w:sz="0" w:space="0" w:color="auto"/>
        <w:right w:val="none" w:sz="0" w:space="0" w:color="auto"/>
      </w:divBdr>
    </w:div>
    <w:div w:id="1062173041">
      <w:bodyDiv w:val="1"/>
      <w:marLeft w:val="0"/>
      <w:marRight w:val="0"/>
      <w:marTop w:val="0"/>
      <w:marBottom w:val="0"/>
      <w:divBdr>
        <w:top w:val="none" w:sz="0" w:space="0" w:color="auto"/>
        <w:left w:val="none" w:sz="0" w:space="0" w:color="auto"/>
        <w:bottom w:val="none" w:sz="0" w:space="0" w:color="auto"/>
        <w:right w:val="none" w:sz="0" w:space="0" w:color="auto"/>
      </w:divBdr>
    </w:div>
    <w:div w:id="1085609915">
      <w:bodyDiv w:val="1"/>
      <w:marLeft w:val="0"/>
      <w:marRight w:val="0"/>
      <w:marTop w:val="0"/>
      <w:marBottom w:val="0"/>
      <w:divBdr>
        <w:top w:val="none" w:sz="0" w:space="0" w:color="auto"/>
        <w:left w:val="none" w:sz="0" w:space="0" w:color="auto"/>
        <w:bottom w:val="none" w:sz="0" w:space="0" w:color="auto"/>
        <w:right w:val="none" w:sz="0" w:space="0" w:color="auto"/>
      </w:divBdr>
    </w:div>
    <w:div w:id="1102341134">
      <w:bodyDiv w:val="1"/>
      <w:marLeft w:val="0"/>
      <w:marRight w:val="0"/>
      <w:marTop w:val="0"/>
      <w:marBottom w:val="0"/>
      <w:divBdr>
        <w:top w:val="none" w:sz="0" w:space="0" w:color="auto"/>
        <w:left w:val="none" w:sz="0" w:space="0" w:color="auto"/>
        <w:bottom w:val="none" w:sz="0" w:space="0" w:color="auto"/>
        <w:right w:val="none" w:sz="0" w:space="0" w:color="auto"/>
      </w:divBdr>
    </w:div>
    <w:div w:id="1109206017">
      <w:bodyDiv w:val="1"/>
      <w:marLeft w:val="0"/>
      <w:marRight w:val="0"/>
      <w:marTop w:val="0"/>
      <w:marBottom w:val="0"/>
      <w:divBdr>
        <w:top w:val="none" w:sz="0" w:space="0" w:color="auto"/>
        <w:left w:val="none" w:sz="0" w:space="0" w:color="auto"/>
        <w:bottom w:val="none" w:sz="0" w:space="0" w:color="auto"/>
        <w:right w:val="none" w:sz="0" w:space="0" w:color="auto"/>
      </w:divBdr>
    </w:div>
    <w:div w:id="1134255659">
      <w:bodyDiv w:val="1"/>
      <w:marLeft w:val="0"/>
      <w:marRight w:val="0"/>
      <w:marTop w:val="0"/>
      <w:marBottom w:val="0"/>
      <w:divBdr>
        <w:top w:val="none" w:sz="0" w:space="0" w:color="auto"/>
        <w:left w:val="none" w:sz="0" w:space="0" w:color="auto"/>
        <w:bottom w:val="none" w:sz="0" w:space="0" w:color="auto"/>
        <w:right w:val="none" w:sz="0" w:space="0" w:color="auto"/>
      </w:divBdr>
    </w:div>
    <w:div w:id="1146778697">
      <w:bodyDiv w:val="1"/>
      <w:marLeft w:val="0"/>
      <w:marRight w:val="0"/>
      <w:marTop w:val="0"/>
      <w:marBottom w:val="0"/>
      <w:divBdr>
        <w:top w:val="none" w:sz="0" w:space="0" w:color="auto"/>
        <w:left w:val="none" w:sz="0" w:space="0" w:color="auto"/>
        <w:bottom w:val="none" w:sz="0" w:space="0" w:color="auto"/>
        <w:right w:val="none" w:sz="0" w:space="0" w:color="auto"/>
      </w:divBdr>
    </w:div>
    <w:div w:id="1157846767">
      <w:bodyDiv w:val="1"/>
      <w:marLeft w:val="0"/>
      <w:marRight w:val="0"/>
      <w:marTop w:val="0"/>
      <w:marBottom w:val="0"/>
      <w:divBdr>
        <w:top w:val="none" w:sz="0" w:space="0" w:color="auto"/>
        <w:left w:val="none" w:sz="0" w:space="0" w:color="auto"/>
        <w:bottom w:val="none" w:sz="0" w:space="0" w:color="auto"/>
        <w:right w:val="none" w:sz="0" w:space="0" w:color="auto"/>
      </w:divBdr>
    </w:div>
    <w:div w:id="1158496223">
      <w:bodyDiv w:val="1"/>
      <w:marLeft w:val="0"/>
      <w:marRight w:val="0"/>
      <w:marTop w:val="0"/>
      <w:marBottom w:val="0"/>
      <w:divBdr>
        <w:top w:val="none" w:sz="0" w:space="0" w:color="auto"/>
        <w:left w:val="none" w:sz="0" w:space="0" w:color="auto"/>
        <w:bottom w:val="none" w:sz="0" w:space="0" w:color="auto"/>
        <w:right w:val="none" w:sz="0" w:space="0" w:color="auto"/>
      </w:divBdr>
    </w:div>
    <w:div w:id="1176387195">
      <w:bodyDiv w:val="1"/>
      <w:marLeft w:val="0"/>
      <w:marRight w:val="0"/>
      <w:marTop w:val="0"/>
      <w:marBottom w:val="0"/>
      <w:divBdr>
        <w:top w:val="none" w:sz="0" w:space="0" w:color="auto"/>
        <w:left w:val="none" w:sz="0" w:space="0" w:color="auto"/>
        <w:bottom w:val="none" w:sz="0" w:space="0" w:color="auto"/>
        <w:right w:val="none" w:sz="0" w:space="0" w:color="auto"/>
      </w:divBdr>
    </w:div>
    <w:div w:id="1181434667">
      <w:bodyDiv w:val="1"/>
      <w:marLeft w:val="0"/>
      <w:marRight w:val="0"/>
      <w:marTop w:val="0"/>
      <w:marBottom w:val="0"/>
      <w:divBdr>
        <w:top w:val="none" w:sz="0" w:space="0" w:color="auto"/>
        <w:left w:val="none" w:sz="0" w:space="0" w:color="auto"/>
        <w:bottom w:val="none" w:sz="0" w:space="0" w:color="auto"/>
        <w:right w:val="none" w:sz="0" w:space="0" w:color="auto"/>
      </w:divBdr>
    </w:div>
    <w:div w:id="1191459013">
      <w:bodyDiv w:val="1"/>
      <w:marLeft w:val="0"/>
      <w:marRight w:val="0"/>
      <w:marTop w:val="0"/>
      <w:marBottom w:val="0"/>
      <w:divBdr>
        <w:top w:val="none" w:sz="0" w:space="0" w:color="auto"/>
        <w:left w:val="none" w:sz="0" w:space="0" w:color="auto"/>
        <w:bottom w:val="none" w:sz="0" w:space="0" w:color="auto"/>
        <w:right w:val="none" w:sz="0" w:space="0" w:color="auto"/>
      </w:divBdr>
    </w:div>
    <w:div w:id="1194228357">
      <w:bodyDiv w:val="1"/>
      <w:marLeft w:val="0"/>
      <w:marRight w:val="0"/>
      <w:marTop w:val="0"/>
      <w:marBottom w:val="0"/>
      <w:divBdr>
        <w:top w:val="none" w:sz="0" w:space="0" w:color="auto"/>
        <w:left w:val="none" w:sz="0" w:space="0" w:color="auto"/>
        <w:bottom w:val="none" w:sz="0" w:space="0" w:color="auto"/>
        <w:right w:val="none" w:sz="0" w:space="0" w:color="auto"/>
      </w:divBdr>
    </w:div>
    <w:div w:id="1205216433">
      <w:bodyDiv w:val="1"/>
      <w:marLeft w:val="0"/>
      <w:marRight w:val="0"/>
      <w:marTop w:val="0"/>
      <w:marBottom w:val="0"/>
      <w:divBdr>
        <w:top w:val="none" w:sz="0" w:space="0" w:color="auto"/>
        <w:left w:val="none" w:sz="0" w:space="0" w:color="auto"/>
        <w:bottom w:val="none" w:sz="0" w:space="0" w:color="auto"/>
        <w:right w:val="none" w:sz="0" w:space="0" w:color="auto"/>
      </w:divBdr>
    </w:div>
    <w:div w:id="1212307124">
      <w:bodyDiv w:val="1"/>
      <w:marLeft w:val="0"/>
      <w:marRight w:val="0"/>
      <w:marTop w:val="0"/>
      <w:marBottom w:val="0"/>
      <w:divBdr>
        <w:top w:val="none" w:sz="0" w:space="0" w:color="auto"/>
        <w:left w:val="none" w:sz="0" w:space="0" w:color="auto"/>
        <w:bottom w:val="none" w:sz="0" w:space="0" w:color="auto"/>
        <w:right w:val="none" w:sz="0" w:space="0" w:color="auto"/>
      </w:divBdr>
    </w:div>
    <w:div w:id="1214345345">
      <w:bodyDiv w:val="1"/>
      <w:marLeft w:val="0"/>
      <w:marRight w:val="0"/>
      <w:marTop w:val="0"/>
      <w:marBottom w:val="0"/>
      <w:divBdr>
        <w:top w:val="none" w:sz="0" w:space="0" w:color="auto"/>
        <w:left w:val="none" w:sz="0" w:space="0" w:color="auto"/>
        <w:bottom w:val="none" w:sz="0" w:space="0" w:color="auto"/>
        <w:right w:val="none" w:sz="0" w:space="0" w:color="auto"/>
      </w:divBdr>
    </w:div>
    <w:div w:id="1237789540">
      <w:bodyDiv w:val="1"/>
      <w:marLeft w:val="0"/>
      <w:marRight w:val="0"/>
      <w:marTop w:val="0"/>
      <w:marBottom w:val="0"/>
      <w:divBdr>
        <w:top w:val="none" w:sz="0" w:space="0" w:color="auto"/>
        <w:left w:val="none" w:sz="0" w:space="0" w:color="auto"/>
        <w:bottom w:val="none" w:sz="0" w:space="0" w:color="auto"/>
        <w:right w:val="none" w:sz="0" w:space="0" w:color="auto"/>
      </w:divBdr>
    </w:div>
    <w:div w:id="1265649866">
      <w:bodyDiv w:val="1"/>
      <w:marLeft w:val="0"/>
      <w:marRight w:val="0"/>
      <w:marTop w:val="0"/>
      <w:marBottom w:val="0"/>
      <w:divBdr>
        <w:top w:val="none" w:sz="0" w:space="0" w:color="auto"/>
        <w:left w:val="none" w:sz="0" w:space="0" w:color="auto"/>
        <w:bottom w:val="none" w:sz="0" w:space="0" w:color="auto"/>
        <w:right w:val="none" w:sz="0" w:space="0" w:color="auto"/>
      </w:divBdr>
    </w:div>
    <w:div w:id="1267420536">
      <w:bodyDiv w:val="1"/>
      <w:marLeft w:val="0"/>
      <w:marRight w:val="0"/>
      <w:marTop w:val="0"/>
      <w:marBottom w:val="0"/>
      <w:divBdr>
        <w:top w:val="none" w:sz="0" w:space="0" w:color="auto"/>
        <w:left w:val="none" w:sz="0" w:space="0" w:color="auto"/>
        <w:bottom w:val="none" w:sz="0" w:space="0" w:color="auto"/>
        <w:right w:val="none" w:sz="0" w:space="0" w:color="auto"/>
      </w:divBdr>
      <w:divsChild>
        <w:div w:id="311296208">
          <w:marLeft w:val="0"/>
          <w:marRight w:val="0"/>
          <w:marTop w:val="0"/>
          <w:marBottom w:val="0"/>
          <w:divBdr>
            <w:top w:val="none" w:sz="0" w:space="0" w:color="auto"/>
            <w:left w:val="none" w:sz="0" w:space="0" w:color="auto"/>
            <w:bottom w:val="none" w:sz="0" w:space="0" w:color="auto"/>
            <w:right w:val="none" w:sz="0" w:space="0" w:color="auto"/>
          </w:divBdr>
        </w:div>
        <w:div w:id="544875836">
          <w:marLeft w:val="0"/>
          <w:marRight w:val="0"/>
          <w:marTop w:val="0"/>
          <w:marBottom w:val="0"/>
          <w:divBdr>
            <w:top w:val="none" w:sz="0" w:space="0" w:color="auto"/>
            <w:left w:val="none" w:sz="0" w:space="0" w:color="auto"/>
            <w:bottom w:val="none" w:sz="0" w:space="0" w:color="auto"/>
            <w:right w:val="none" w:sz="0" w:space="0" w:color="auto"/>
          </w:divBdr>
        </w:div>
        <w:div w:id="679551287">
          <w:marLeft w:val="0"/>
          <w:marRight w:val="0"/>
          <w:marTop w:val="0"/>
          <w:marBottom w:val="0"/>
          <w:divBdr>
            <w:top w:val="none" w:sz="0" w:space="0" w:color="auto"/>
            <w:left w:val="none" w:sz="0" w:space="0" w:color="auto"/>
            <w:bottom w:val="none" w:sz="0" w:space="0" w:color="auto"/>
            <w:right w:val="none" w:sz="0" w:space="0" w:color="auto"/>
          </w:divBdr>
        </w:div>
        <w:div w:id="1428231712">
          <w:marLeft w:val="0"/>
          <w:marRight w:val="0"/>
          <w:marTop w:val="0"/>
          <w:marBottom w:val="0"/>
          <w:divBdr>
            <w:top w:val="none" w:sz="0" w:space="0" w:color="auto"/>
            <w:left w:val="none" w:sz="0" w:space="0" w:color="auto"/>
            <w:bottom w:val="none" w:sz="0" w:space="0" w:color="auto"/>
            <w:right w:val="none" w:sz="0" w:space="0" w:color="auto"/>
          </w:divBdr>
        </w:div>
        <w:div w:id="1533810974">
          <w:marLeft w:val="0"/>
          <w:marRight w:val="0"/>
          <w:marTop w:val="0"/>
          <w:marBottom w:val="0"/>
          <w:divBdr>
            <w:top w:val="none" w:sz="0" w:space="0" w:color="auto"/>
            <w:left w:val="none" w:sz="0" w:space="0" w:color="auto"/>
            <w:bottom w:val="none" w:sz="0" w:space="0" w:color="auto"/>
            <w:right w:val="none" w:sz="0" w:space="0" w:color="auto"/>
          </w:divBdr>
        </w:div>
        <w:div w:id="1560287870">
          <w:marLeft w:val="0"/>
          <w:marRight w:val="0"/>
          <w:marTop w:val="0"/>
          <w:marBottom w:val="0"/>
          <w:divBdr>
            <w:top w:val="none" w:sz="0" w:space="0" w:color="auto"/>
            <w:left w:val="none" w:sz="0" w:space="0" w:color="auto"/>
            <w:bottom w:val="none" w:sz="0" w:space="0" w:color="auto"/>
            <w:right w:val="none" w:sz="0" w:space="0" w:color="auto"/>
          </w:divBdr>
        </w:div>
        <w:div w:id="1859585176">
          <w:marLeft w:val="0"/>
          <w:marRight w:val="0"/>
          <w:marTop w:val="0"/>
          <w:marBottom w:val="0"/>
          <w:divBdr>
            <w:top w:val="none" w:sz="0" w:space="0" w:color="auto"/>
            <w:left w:val="none" w:sz="0" w:space="0" w:color="auto"/>
            <w:bottom w:val="none" w:sz="0" w:space="0" w:color="auto"/>
            <w:right w:val="none" w:sz="0" w:space="0" w:color="auto"/>
          </w:divBdr>
        </w:div>
      </w:divsChild>
    </w:div>
    <w:div w:id="1272589260">
      <w:bodyDiv w:val="1"/>
      <w:marLeft w:val="0"/>
      <w:marRight w:val="0"/>
      <w:marTop w:val="0"/>
      <w:marBottom w:val="0"/>
      <w:divBdr>
        <w:top w:val="none" w:sz="0" w:space="0" w:color="auto"/>
        <w:left w:val="none" w:sz="0" w:space="0" w:color="auto"/>
        <w:bottom w:val="none" w:sz="0" w:space="0" w:color="auto"/>
        <w:right w:val="none" w:sz="0" w:space="0" w:color="auto"/>
      </w:divBdr>
      <w:divsChild>
        <w:div w:id="435449352">
          <w:marLeft w:val="0"/>
          <w:marRight w:val="0"/>
          <w:marTop w:val="0"/>
          <w:marBottom w:val="0"/>
          <w:divBdr>
            <w:top w:val="none" w:sz="0" w:space="0" w:color="auto"/>
            <w:left w:val="none" w:sz="0" w:space="0" w:color="auto"/>
            <w:bottom w:val="none" w:sz="0" w:space="0" w:color="auto"/>
            <w:right w:val="none" w:sz="0" w:space="0" w:color="auto"/>
          </w:divBdr>
          <w:divsChild>
            <w:div w:id="1452362534">
              <w:marLeft w:val="0"/>
              <w:marRight w:val="0"/>
              <w:marTop w:val="0"/>
              <w:marBottom w:val="0"/>
              <w:divBdr>
                <w:top w:val="none" w:sz="0" w:space="0" w:color="auto"/>
                <w:left w:val="none" w:sz="0" w:space="0" w:color="auto"/>
                <w:bottom w:val="none" w:sz="0" w:space="0" w:color="auto"/>
                <w:right w:val="none" w:sz="0" w:space="0" w:color="auto"/>
              </w:divBdr>
              <w:divsChild>
                <w:div w:id="10571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7514">
      <w:bodyDiv w:val="1"/>
      <w:marLeft w:val="0"/>
      <w:marRight w:val="0"/>
      <w:marTop w:val="0"/>
      <w:marBottom w:val="0"/>
      <w:divBdr>
        <w:top w:val="none" w:sz="0" w:space="0" w:color="auto"/>
        <w:left w:val="none" w:sz="0" w:space="0" w:color="auto"/>
        <w:bottom w:val="none" w:sz="0" w:space="0" w:color="auto"/>
        <w:right w:val="none" w:sz="0" w:space="0" w:color="auto"/>
      </w:divBdr>
    </w:div>
    <w:div w:id="1300452959">
      <w:bodyDiv w:val="1"/>
      <w:marLeft w:val="0"/>
      <w:marRight w:val="0"/>
      <w:marTop w:val="0"/>
      <w:marBottom w:val="0"/>
      <w:divBdr>
        <w:top w:val="none" w:sz="0" w:space="0" w:color="auto"/>
        <w:left w:val="none" w:sz="0" w:space="0" w:color="auto"/>
        <w:bottom w:val="none" w:sz="0" w:space="0" w:color="auto"/>
        <w:right w:val="none" w:sz="0" w:space="0" w:color="auto"/>
      </w:divBdr>
    </w:div>
    <w:div w:id="1313950108">
      <w:bodyDiv w:val="1"/>
      <w:marLeft w:val="0"/>
      <w:marRight w:val="0"/>
      <w:marTop w:val="0"/>
      <w:marBottom w:val="0"/>
      <w:divBdr>
        <w:top w:val="none" w:sz="0" w:space="0" w:color="auto"/>
        <w:left w:val="none" w:sz="0" w:space="0" w:color="auto"/>
        <w:bottom w:val="none" w:sz="0" w:space="0" w:color="auto"/>
        <w:right w:val="none" w:sz="0" w:space="0" w:color="auto"/>
      </w:divBdr>
    </w:div>
    <w:div w:id="1325285138">
      <w:bodyDiv w:val="1"/>
      <w:marLeft w:val="0"/>
      <w:marRight w:val="0"/>
      <w:marTop w:val="0"/>
      <w:marBottom w:val="0"/>
      <w:divBdr>
        <w:top w:val="none" w:sz="0" w:space="0" w:color="auto"/>
        <w:left w:val="none" w:sz="0" w:space="0" w:color="auto"/>
        <w:bottom w:val="none" w:sz="0" w:space="0" w:color="auto"/>
        <w:right w:val="none" w:sz="0" w:space="0" w:color="auto"/>
      </w:divBdr>
    </w:div>
    <w:div w:id="1327977078">
      <w:bodyDiv w:val="1"/>
      <w:marLeft w:val="0"/>
      <w:marRight w:val="0"/>
      <w:marTop w:val="0"/>
      <w:marBottom w:val="0"/>
      <w:divBdr>
        <w:top w:val="none" w:sz="0" w:space="0" w:color="auto"/>
        <w:left w:val="none" w:sz="0" w:space="0" w:color="auto"/>
        <w:bottom w:val="none" w:sz="0" w:space="0" w:color="auto"/>
        <w:right w:val="none" w:sz="0" w:space="0" w:color="auto"/>
      </w:divBdr>
    </w:div>
    <w:div w:id="1329868681">
      <w:bodyDiv w:val="1"/>
      <w:marLeft w:val="0"/>
      <w:marRight w:val="0"/>
      <w:marTop w:val="0"/>
      <w:marBottom w:val="0"/>
      <w:divBdr>
        <w:top w:val="none" w:sz="0" w:space="0" w:color="auto"/>
        <w:left w:val="none" w:sz="0" w:space="0" w:color="auto"/>
        <w:bottom w:val="none" w:sz="0" w:space="0" w:color="auto"/>
        <w:right w:val="none" w:sz="0" w:space="0" w:color="auto"/>
      </w:divBdr>
    </w:div>
    <w:div w:id="1347100123">
      <w:bodyDiv w:val="1"/>
      <w:marLeft w:val="0"/>
      <w:marRight w:val="0"/>
      <w:marTop w:val="0"/>
      <w:marBottom w:val="0"/>
      <w:divBdr>
        <w:top w:val="none" w:sz="0" w:space="0" w:color="auto"/>
        <w:left w:val="none" w:sz="0" w:space="0" w:color="auto"/>
        <w:bottom w:val="none" w:sz="0" w:space="0" w:color="auto"/>
        <w:right w:val="none" w:sz="0" w:space="0" w:color="auto"/>
      </w:divBdr>
    </w:div>
    <w:div w:id="1365640246">
      <w:bodyDiv w:val="1"/>
      <w:marLeft w:val="0"/>
      <w:marRight w:val="0"/>
      <w:marTop w:val="0"/>
      <w:marBottom w:val="0"/>
      <w:divBdr>
        <w:top w:val="none" w:sz="0" w:space="0" w:color="auto"/>
        <w:left w:val="none" w:sz="0" w:space="0" w:color="auto"/>
        <w:bottom w:val="none" w:sz="0" w:space="0" w:color="auto"/>
        <w:right w:val="none" w:sz="0" w:space="0" w:color="auto"/>
      </w:divBdr>
    </w:div>
    <w:div w:id="1376270892">
      <w:bodyDiv w:val="1"/>
      <w:marLeft w:val="0"/>
      <w:marRight w:val="0"/>
      <w:marTop w:val="0"/>
      <w:marBottom w:val="0"/>
      <w:divBdr>
        <w:top w:val="none" w:sz="0" w:space="0" w:color="auto"/>
        <w:left w:val="none" w:sz="0" w:space="0" w:color="auto"/>
        <w:bottom w:val="none" w:sz="0" w:space="0" w:color="auto"/>
        <w:right w:val="none" w:sz="0" w:space="0" w:color="auto"/>
      </w:divBdr>
    </w:div>
    <w:div w:id="1386565468">
      <w:bodyDiv w:val="1"/>
      <w:marLeft w:val="0"/>
      <w:marRight w:val="0"/>
      <w:marTop w:val="0"/>
      <w:marBottom w:val="0"/>
      <w:divBdr>
        <w:top w:val="none" w:sz="0" w:space="0" w:color="auto"/>
        <w:left w:val="none" w:sz="0" w:space="0" w:color="auto"/>
        <w:bottom w:val="none" w:sz="0" w:space="0" w:color="auto"/>
        <w:right w:val="none" w:sz="0" w:space="0" w:color="auto"/>
      </w:divBdr>
      <w:divsChild>
        <w:div w:id="16473737">
          <w:marLeft w:val="374"/>
          <w:marRight w:val="0"/>
          <w:marTop w:val="40"/>
          <w:marBottom w:val="120"/>
          <w:divBdr>
            <w:top w:val="none" w:sz="0" w:space="0" w:color="auto"/>
            <w:left w:val="none" w:sz="0" w:space="0" w:color="auto"/>
            <w:bottom w:val="none" w:sz="0" w:space="0" w:color="auto"/>
            <w:right w:val="none" w:sz="0" w:space="0" w:color="auto"/>
          </w:divBdr>
        </w:div>
        <w:div w:id="875384646">
          <w:marLeft w:val="374"/>
          <w:marRight w:val="0"/>
          <w:marTop w:val="40"/>
          <w:marBottom w:val="120"/>
          <w:divBdr>
            <w:top w:val="none" w:sz="0" w:space="0" w:color="auto"/>
            <w:left w:val="none" w:sz="0" w:space="0" w:color="auto"/>
            <w:bottom w:val="none" w:sz="0" w:space="0" w:color="auto"/>
            <w:right w:val="none" w:sz="0" w:space="0" w:color="auto"/>
          </w:divBdr>
        </w:div>
        <w:div w:id="885947410">
          <w:marLeft w:val="374"/>
          <w:marRight w:val="0"/>
          <w:marTop w:val="40"/>
          <w:marBottom w:val="120"/>
          <w:divBdr>
            <w:top w:val="none" w:sz="0" w:space="0" w:color="auto"/>
            <w:left w:val="none" w:sz="0" w:space="0" w:color="auto"/>
            <w:bottom w:val="none" w:sz="0" w:space="0" w:color="auto"/>
            <w:right w:val="none" w:sz="0" w:space="0" w:color="auto"/>
          </w:divBdr>
        </w:div>
        <w:div w:id="1032223203">
          <w:marLeft w:val="374"/>
          <w:marRight w:val="0"/>
          <w:marTop w:val="40"/>
          <w:marBottom w:val="120"/>
          <w:divBdr>
            <w:top w:val="none" w:sz="0" w:space="0" w:color="auto"/>
            <w:left w:val="none" w:sz="0" w:space="0" w:color="auto"/>
            <w:bottom w:val="none" w:sz="0" w:space="0" w:color="auto"/>
            <w:right w:val="none" w:sz="0" w:space="0" w:color="auto"/>
          </w:divBdr>
        </w:div>
        <w:div w:id="1183737364">
          <w:marLeft w:val="374"/>
          <w:marRight w:val="0"/>
          <w:marTop w:val="40"/>
          <w:marBottom w:val="120"/>
          <w:divBdr>
            <w:top w:val="none" w:sz="0" w:space="0" w:color="auto"/>
            <w:left w:val="none" w:sz="0" w:space="0" w:color="auto"/>
            <w:bottom w:val="none" w:sz="0" w:space="0" w:color="auto"/>
            <w:right w:val="none" w:sz="0" w:space="0" w:color="auto"/>
          </w:divBdr>
        </w:div>
        <w:div w:id="1269195931">
          <w:marLeft w:val="374"/>
          <w:marRight w:val="0"/>
          <w:marTop w:val="40"/>
          <w:marBottom w:val="120"/>
          <w:divBdr>
            <w:top w:val="none" w:sz="0" w:space="0" w:color="auto"/>
            <w:left w:val="none" w:sz="0" w:space="0" w:color="auto"/>
            <w:bottom w:val="none" w:sz="0" w:space="0" w:color="auto"/>
            <w:right w:val="none" w:sz="0" w:space="0" w:color="auto"/>
          </w:divBdr>
        </w:div>
        <w:div w:id="1419905510">
          <w:marLeft w:val="374"/>
          <w:marRight w:val="0"/>
          <w:marTop w:val="40"/>
          <w:marBottom w:val="120"/>
          <w:divBdr>
            <w:top w:val="none" w:sz="0" w:space="0" w:color="auto"/>
            <w:left w:val="none" w:sz="0" w:space="0" w:color="auto"/>
            <w:bottom w:val="none" w:sz="0" w:space="0" w:color="auto"/>
            <w:right w:val="none" w:sz="0" w:space="0" w:color="auto"/>
          </w:divBdr>
        </w:div>
        <w:div w:id="1947813031">
          <w:marLeft w:val="374"/>
          <w:marRight w:val="0"/>
          <w:marTop w:val="40"/>
          <w:marBottom w:val="120"/>
          <w:divBdr>
            <w:top w:val="none" w:sz="0" w:space="0" w:color="auto"/>
            <w:left w:val="none" w:sz="0" w:space="0" w:color="auto"/>
            <w:bottom w:val="none" w:sz="0" w:space="0" w:color="auto"/>
            <w:right w:val="none" w:sz="0" w:space="0" w:color="auto"/>
          </w:divBdr>
        </w:div>
      </w:divsChild>
    </w:div>
    <w:div w:id="1404450522">
      <w:bodyDiv w:val="1"/>
      <w:marLeft w:val="0"/>
      <w:marRight w:val="0"/>
      <w:marTop w:val="0"/>
      <w:marBottom w:val="0"/>
      <w:divBdr>
        <w:top w:val="none" w:sz="0" w:space="0" w:color="auto"/>
        <w:left w:val="none" w:sz="0" w:space="0" w:color="auto"/>
        <w:bottom w:val="none" w:sz="0" w:space="0" w:color="auto"/>
        <w:right w:val="none" w:sz="0" w:space="0" w:color="auto"/>
      </w:divBdr>
    </w:div>
    <w:div w:id="1405689842">
      <w:bodyDiv w:val="1"/>
      <w:marLeft w:val="0"/>
      <w:marRight w:val="0"/>
      <w:marTop w:val="0"/>
      <w:marBottom w:val="0"/>
      <w:divBdr>
        <w:top w:val="none" w:sz="0" w:space="0" w:color="auto"/>
        <w:left w:val="none" w:sz="0" w:space="0" w:color="auto"/>
        <w:bottom w:val="none" w:sz="0" w:space="0" w:color="auto"/>
        <w:right w:val="none" w:sz="0" w:space="0" w:color="auto"/>
      </w:divBdr>
    </w:div>
    <w:div w:id="1406487763">
      <w:bodyDiv w:val="1"/>
      <w:marLeft w:val="0"/>
      <w:marRight w:val="0"/>
      <w:marTop w:val="0"/>
      <w:marBottom w:val="0"/>
      <w:divBdr>
        <w:top w:val="none" w:sz="0" w:space="0" w:color="auto"/>
        <w:left w:val="none" w:sz="0" w:space="0" w:color="auto"/>
        <w:bottom w:val="none" w:sz="0" w:space="0" w:color="auto"/>
        <w:right w:val="none" w:sz="0" w:space="0" w:color="auto"/>
      </w:divBdr>
    </w:div>
    <w:div w:id="1445224767">
      <w:bodyDiv w:val="1"/>
      <w:marLeft w:val="0"/>
      <w:marRight w:val="0"/>
      <w:marTop w:val="0"/>
      <w:marBottom w:val="0"/>
      <w:divBdr>
        <w:top w:val="none" w:sz="0" w:space="0" w:color="auto"/>
        <w:left w:val="none" w:sz="0" w:space="0" w:color="auto"/>
        <w:bottom w:val="none" w:sz="0" w:space="0" w:color="auto"/>
        <w:right w:val="none" w:sz="0" w:space="0" w:color="auto"/>
      </w:divBdr>
    </w:div>
    <w:div w:id="1458379448">
      <w:bodyDiv w:val="1"/>
      <w:marLeft w:val="0"/>
      <w:marRight w:val="0"/>
      <w:marTop w:val="0"/>
      <w:marBottom w:val="0"/>
      <w:divBdr>
        <w:top w:val="none" w:sz="0" w:space="0" w:color="auto"/>
        <w:left w:val="none" w:sz="0" w:space="0" w:color="auto"/>
        <w:bottom w:val="none" w:sz="0" w:space="0" w:color="auto"/>
        <w:right w:val="none" w:sz="0" w:space="0" w:color="auto"/>
      </w:divBdr>
    </w:div>
    <w:div w:id="1458720427">
      <w:bodyDiv w:val="1"/>
      <w:marLeft w:val="0"/>
      <w:marRight w:val="0"/>
      <w:marTop w:val="0"/>
      <w:marBottom w:val="0"/>
      <w:divBdr>
        <w:top w:val="none" w:sz="0" w:space="0" w:color="auto"/>
        <w:left w:val="none" w:sz="0" w:space="0" w:color="auto"/>
        <w:bottom w:val="none" w:sz="0" w:space="0" w:color="auto"/>
        <w:right w:val="none" w:sz="0" w:space="0" w:color="auto"/>
      </w:divBdr>
    </w:div>
    <w:div w:id="1463187796">
      <w:bodyDiv w:val="1"/>
      <w:marLeft w:val="0"/>
      <w:marRight w:val="0"/>
      <w:marTop w:val="0"/>
      <w:marBottom w:val="0"/>
      <w:divBdr>
        <w:top w:val="none" w:sz="0" w:space="0" w:color="auto"/>
        <w:left w:val="none" w:sz="0" w:space="0" w:color="auto"/>
        <w:bottom w:val="none" w:sz="0" w:space="0" w:color="auto"/>
        <w:right w:val="none" w:sz="0" w:space="0" w:color="auto"/>
      </w:divBdr>
    </w:div>
    <w:div w:id="1464040856">
      <w:bodyDiv w:val="1"/>
      <w:marLeft w:val="0"/>
      <w:marRight w:val="0"/>
      <w:marTop w:val="0"/>
      <w:marBottom w:val="0"/>
      <w:divBdr>
        <w:top w:val="none" w:sz="0" w:space="0" w:color="auto"/>
        <w:left w:val="none" w:sz="0" w:space="0" w:color="auto"/>
        <w:bottom w:val="none" w:sz="0" w:space="0" w:color="auto"/>
        <w:right w:val="none" w:sz="0" w:space="0" w:color="auto"/>
      </w:divBdr>
    </w:div>
    <w:div w:id="1473253066">
      <w:bodyDiv w:val="1"/>
      <w:marLeft w:val="0"/>
      <w:marRight w:val="0"/>
      <w:marTop w:val="0"/>
      <w:marBottom w:val="0"/>
      <w:divBdr>
        <w:top w:val="none" w:sz="0" w:space="0" w:color="auto"/>
        <w:left w:val="none" w:sz="0" w:space="0" w:color="auto"/>
        <w:bottom w:val="none" w:sz="0" w:space="0" w:color="auto"/>
        <w:right w:val="none" w:sz="0" w:space="0" w:color="auto"/>
      </w:divBdr>
    </w:div>
    <w:div w:id="1473719603">
      <w:bodyDiv w:val="1"/>
      <w:marLeft w:val="0"/>
      <w:marRight w:val="0"/>
      <w:marTop w:val="0"/>
      <w:marBottom w:val="0"/>
      <w:divBdr>
        <w:top w:val="none" w:sz="0" w:space="0" w:color="auto"/>
        <w:left w:val="none" w:sz="0" w:space="0" w:color="auto"/>
        <w:bottom w:val="none" w:sz="0" w:space="0" w:color="auto"/>
        <w:right w:val="none" w:sz="0" w:space="0" w:color="auto"/>
      </w:divBdr>
      <w:divsChild>
        <w:div w:id="545991882">
          <w:marLeft w:val="0"/>
          <w:marRight w:val="0"/>
          <w:marTop w:val="0"/>
          <w:marBottom w:val="0"/>
          <w:divBdr>
            <w:top w:val="none" w:sz="0" w:space="0" w:color="auto"/>
            <w:left w:val="none" w:sz="0" w:space="0" w:color="auto"/>
            <w:bottom w:val="none" w:sz="0" w:space="0" w:color="auto"/>
            <w:right w:val="none" w:sz="0" w:space="0" w:color="auto"/>
          </w:divBdr>
          <w:divsChild>
            <w:div w:id="288556173">
              <w:marLeft w:val="60"/>
              <w:marRight w:val="0"/>
              <w:marTop w:val="0"/>
              <w:marBottom w:val="0"/>
              <w:divBdr>
                <w:top w:val="none" w:sz="0" w:space="0" w:color="auto"/>
                <w:left w:val="none" w:sz="0" w:space="0" w:color="auto"/>
                <w:bottom w:val="none" w:sz="0" w:space="0" w:color="auto"/>
                <w:right w:val="none" w:sz="0" w:space="0" w:color="auto"/>
              </w:divBdr>
              <w:divsChild>
                <w:div w:id="834803027">
                  <w:marLeft w:val="0"/>
                  <w:marRight w:val="0"/>
                  <w:marTop w:val="0"/>
                  <w:marBottom w:val="0"/>
                  <w:divBdr>
                    <w:top w:val="none" w:sz="0" w:space="0" w:color="auto"/>
                    <w:left w:val="none" w:sz="0" w:space="0" w:color="auto"/>
                    <w:bottom w:val="none" w:sz="0" w:space="0" w:color="auto"/>
                    <w:right w:val="none" w:sz="0" w:space="0" w:color="auto"/>
                  </w:divBdr>
                  <w:divsChild>
                    <w:div w:id="1832063569">
                      <w:marLeft w:val="0"/>
                      <w:marRight w:val="0"/>
                      <w:marTop w:val="0"/>
                      <w:marBottom w:val="120"/>
                      <w:divBdr>
                        <w:top w:val="single" w:sz="6" w:space="0" w:color="F5F5F5"/>
                        <w:left w:val="single" w:sz="6" w:space="0" w:color="F5F5F5"/>
                        <w:bottom w:val="single" w:sz="6" w:space="0" w:color="F5F5F5"/>
                        <w:right w:val="single" w:sz="6" w:space="0" w:color="F5F5F5"/>
                      </w:divBdr>
                      <w:divsChild>
                        <w:div w:id="412119237">
                          <w:marLeft w:val="0"/>
                          <w:marRight w:val="0"/>
                          <w:marTop w:val="0"/>
                          <w:marBottom w:val="0"/>
                          <w:divBdr>
                            <w:top w:val="none" w:sz="0" w:space="0" w:color="auto"/>
                            <w:left w:val="none" w:sz="0" w:space="0" w:color="auto"/>
                            <w:bottom w:val="none" w:sz="0" w:space="0" w:color="auto"/>
                            <w:right w:val="none" w:sz="0" w:space="0" w:color="auto"/>
                          </w:divBdr>
                          <w:divsChild>
                            <w:div w:id="12646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18134">
      <w:bodyDiv w:val="1"/>
      <w:marLeft w:val="0"/>
      <w:marRight w:val="0"/>
      <w:marTop w:val="0"/>
      <w:marBottom w:val="0"/>
      <w:divBdr>
        <w:top w:val="none" w:sz="0" w:space="0" w:color="auto"/>
        <w:left w:val="none" w:sz="0" w:space="0" w:color="auto"/>
        <w:bottom w:val="none" w:sz="0" w:space="0" w:color="auto"/>
        <w:right w:val="none" w:sz="0" w:space="0" w:color="auto"/>
      </w:divBdr>
    </w:div>
    <w:div w:id="1486625771">
      <w:bodyDiv w:val="1"/>
      <w:marLeft w:val="0"/>
      <w:marRight w:val="0"/>
      <w:marTop w:val="0"/>
      <w:marBottom w:val="0"/>
      <w:divBdr>
        <w:top w:val="none" w:sz="0" w:space="0" w:color="auto"/>
        <w:left w:val="none" w:sz="0" w:space="0" w:color="auto"/>
        <w:bottom w:val="none" w:sz="0" w:space="0" w:color="auto"/>
        <w:right w:val="none" w:sz="0" w:space="0" w:color="auto"/>
      </w:divBdr>
    </w:div>
    <w:div w:id="1496142460">
      <w:bodyDiv w:val="1"/>
      <w:marLeft w:val="0"/>
      <w:marRight w:val="0"/>
      <w:marTop w:val="0"/>
      <w:marBottom w:val="0"/>
      <w:divBdr>
        <w:top w:val="none" w:sz="0" w:space="0" w:color="auto"/>
        <w:left w:val="none" w:sz="0" w:space="0" w:color="auto"/>
        <w:bottom w:val="none" w:sz="0" w:space="0" w:color="auto"/>
        <w:right w:val="none" w:sz="0" w:space="0" w:color="auto"/>
      </w:divBdr>
    </w:div>
    <w:div w:id="1523667996">
      <w:bodyDiv w:val="1"/>
      <w:marLeft w:val="0"/>
      <w:marRight w:val="0"/>
      <w:marTop w:val="0"/>
      <w:marBottom w:val="0"/>
      <w:divBdr>
        <w:top w:val="none" w:sz="0" w:space="0" w:color="auto"/>
        <w:left w:val="none" w:sz="0" w:space="0" w:color="auto"/>
        <w:bottom w:val="none" w:sz="0" w:space="0" w:color="auto"/>
        <w:right w:val="none" w:sz="0" w:space="0" w:color="auto"/>
      </w:divBdr>
    </w:div>
    <w:div w:id="1537698351">
      <w:bodyDiv w:val="1"/>
      <w:marLeft w:val="0"/>
      <w:marRight w:val="0"/>
      <w:marTop w:val="0"/>
      <w:marBottom w:val="0"/>
      <w:divBdr>
        <w:top w:val="none" w:sz="0" w:space="0" w:color="auto"/>
        <w:left w:val="none" w:sz="0" w:space="0" w:color="auto"/>
        <w:bottom w:val="none" w:sz="0" w:space="0" w:color="auto"/>
        <w:right w:val="none" w:sz="0" w:space="0" w:color="auto"/>
      </w:divBdr>
    </w:div>
    <w:div w:id="1542786033">
      <w:bodyDiv w:val="1"/>
      <w:marLeft w:val="0"/>
      <w:marRight w:val="0"/>
      <w:marTop w:val="0"/>
      <w:marBottom w:val="0"/>
      <w:divBdr>
        <w:top w:val="none" w:sz="0" w:space="0" w:color="auto"/>
        <w:left w:val="none" w:sz="0" w:space="0" w:color="auto"/>
        <w:bottom w:val="none" w:sz="0" w:space="0" w:color="auto"/>
        <w:right w:val="none" w:sz="0" w:space="0" w:color="auto"/>
      </w:divBdr>
    </w:div>
    <w:div w:id="1549761914">
      <w:bodyDiv w:val="1"/>
      <w:marLeft w:val="0"/>
      <w:marRight w:val="0"/>
      <w:marTop w:val="0"/>
      <w:marBottom w:val="0"/>
      <w:divBdr>
        <w:top w:val="none" w:sz="0" w:space="0" w:color="auto"/>
        <w:left w:val="none" w:sz="0" w:space="0" w:color="auto"/>
        <w:bottom w:val="none" w:sz="0" w:space="0" w:color="auto"/>
        <w:right w:val="none" w:sz="0" w:space="0" w:color="auto"/>
      </w:divBdr>
    </w:div>
    <w:div w:id="1564095476">
      <w:bodyDiv w:val="1"/>
      <w:marLeft w:val="0"/>
      <w:marRight w:val="0"/>
      <w:marTop w:val="0"/>
      <w:marBottom w:val="0"/>
      <w:divBdr>
        <w:top w:val="none" w:sz="0" w:space="0" w:color="auto"/>
        <w:left w:val="none" w:sz="0" w:space="0" w:color="auto"/>
        <w:bottom w:val="none" w:sz="0" w:space="0" w:color="auto"/>
        <w:right w:val="none" w:sz="0" w:space="0" w:color="auto"/>
      </w:divBdr>
    </w:div>
    <w:div w:id="1583103482">
      <w:bodyDiv w:val="1"/>
      <w:marLeft w:val="0"/>
      <w:marRight w:val="0"/>
      <w:marTop w:val="0"/>
      <w:marBottom w:val="0"/>
      <w:divBdr>
        <w:top w:val="none" w:sz="0" w:space="0" w:color="auto"/>
        <w:left w:val="none" w:sz="0" w:space="0" w:color="auto"/>
        <w:bottom w:val="none" w:sz="0" w:space="0" w:color="auto"/>
        <w:right w:val="none" w:sz="0" w:space="0" w:color="auto"/>
      </w:divBdr>
    </w:div>
    <w:div w:id="1583368809">
      <w:bodyDiv w:val="1"/>
      <w:marLeft w:val="0"/>
      <w:marRight w:val="0"/>
      <w:marTop w:val="0"/>
      <w:marBottom w:val="0"/>
      <w:divBdr>
        <w:top w:val="none" w:sz="0" w:space="0" w:color="auto"/>
        <w:left w:val="none" w:sz="0" w:space="0" w:color="auto"/>
        <w:bottom w:val="none" w:sz="0" w:space="0" w:color="auto"/>
        <w:right w:val="none" w:sz="0" w:space="0" w:color="auto"/>
      </w:divBdr>
    </w:div>
    <w:div w:id="1585919738">
      <w:bodyDiv w:val="1"/>
      <w:marLeft w:val="0"/>
      <w:marRight w:val="0"/>
      <w:marTop w:val="0"/>
      <w:marBottom w:val="0"/>
      <w:divBdr>
        <w:top w:val="none" w:sz="0" w:space="0" w:color="auto"/>
        <w:left w:val="none" w:sz="0" w:space="0" w:color="auto"/>
        <w:bottom w:val="none" w:sz="0" w:space="0" w:color="auto"/>
        <w:right w:val="none" w:sz="0" w:space="0" w:color="auto"/>
      </w:divBdr>
    </w:div>
    <w:div w:id="1585993496">
      <w:bodyDiv w:val="1"/>
      <w:marLeft w:val="0"/>
      <w:marRight w:val="0"/>
      <w:marTop w:val="0"/>
      <w:marBottom w:val="0"/>
      <w:divBdr>
        <w:top w:val="none" w:sz="0" w:space="0" w:color="auto"/>
        <w:left w:val="none" w:sz="0" w:space="0" w:color="auto"/>
        <w:bottom w:val="none" w:sz="0" w:space="0" w:color="auto"/>
        <w:right w:val="none" w:sz="0" w:space="0" w:color="auto"/>
      </w:divBdr>
    </w:div>
    <w:div w:id="1605267601">
      <w:bodyDiv w:val="1"/>
      <w:marLeft w:val="0"/>
      <w:marRight w:val="0"/>
      <w:marTop w:val="0"/>
      <w:marBottom w:val="0"/>
      <w:divBdr>
        <w:top w:val="none" w:sz="0" w:space="0" w:color="auto"/>
        <w:left w:val="none" w:sz="0" w:space="0" w:color="auto"/>
        <w:bottom w:val="none" w:sz="0" w:space="0" w:color="auto"/>
        <w:right w:val="none" w:sz="0" w:space="0" w:color="auto"/>
      </w:divBdr>
    </w:div>
    <w:div w:id="1619950019">
      <w:bodyDiv w:val="1"/>
      <w:marLeft w:val="0"/>
      <w:marRight w:val="0"/>
      <w:marTop w:val="0"/>
      <w:marBottom w:val="0"/>
      <w:divBdr>
        <w:top w:val="none" w:sz="0" w:space="0" w:color="auto"/>
        <w:left w:val="none" w:sz="0" w:space="0" w:color="auto"/>
        <w:bottom w:val="none" w:sz="0" w:space="0" w:color="auto"/>
        <w:right w:val="none" w:sz="0" w:space="0" w:color="auto"/>
      </w:divBdr>
    </w:div>
    <w:div w:id="1623027644">
      <w:bodyDiv w:val="1"/>
      <w:marLeft w:val="0"/>
      <w:marRight w:val="0"/>
      <w:marTop w:val="0"/>
      <w:marBottom w:val="0"/>
      <w:divBdr>
        <w:top w:val="none" w:sz="0" w:space="0" w:color="auto"/>
        <w:left w:val="none" w:sz="0" w:space="0" w:color="auto"/>
        <w:bottom w:val="none" w:sz="0" w:space="0" w:color="auto"/>
        <w:right w:val="none" w:sz="0" w:space="0" w:color="auto"/>
      </w:divBdr>
    </w:div>
    <w:div w:id="1628124203">
      <w:bodyDiv w:val="1"/>
      <w:marLeft w:val="0"/>
      <w:marRight w:val="0"/>
      <w:marTop w:val="0"/>
      <w:marBottom w:val="0"/>
      <w:divBdr>
        <w:top w:val="none" w:sz="0" w:space="0" w:color="auto"/>
        <w:left w:val="none" w:sz="0" w:space="0" w:color="auto"/>
        <w:bottom w:val="none" w:sz="0" w:space="0" w:color="auto"/>
        <w:right w:val="none" w:sz="0" w:space="0" w:color="auto"/>
      </w:divBdr>
    </w:div>
    <w:div w:id="1630699033">
      <w:bodyDiv w:val="1"/>
      <w:marLeft w:val="0"/>
      <w:marRight w:val="0"/>
      <w:marTop w:val="0"/>
      <w:marBottom w:val="0"/>
      <w:divBdr>
        <w:top w:val="none" w:sz="0" w:space="0" w:color="auto"/>
        <w:left w:val="none" w:sz="0" w:space="0" w:color="auto"/>
        <w:bottom w:val="none" w:sz="0" w:space="0" w:color="auto"/>
        <w:right w:val="none" w:sz="0" w:space="0" w:color="auto"/>
      </w:divBdr>
    </w:div>
    <w:div w:id="1645425157">
      <w:bodyDiv w:val="1"/>
      <w:marLeft w:val="0"/>
      <w:marRight w:val="0"/>
      <w:marTop w:val="0"/>
      <w:marBottom w:val="0"/>
      <w:divBdr>
        <w:top w:val="none" w:sz="0" w:space="0" w:color="auto"/>
        <w:left w:val="none" w:sz="0" w:space="0" w:color="auto"/>
        <w:bottom w:val="none" w:sz="0" w:space="0" w:color="auto"/>
        <w:right w:val="none" w:sz="0" w:space="0" w:color="auto"/>
      </w:divBdr>
    </w:div>
    <w:div w:id="1661153736">
      <w:bodyDiv w:val="1"/>
      <w:marLeft w:val="0"/>
      <w:marRight w:val="0"/>
      <w:marTop w:val="0"/>
      <w:marBottom w:val="0"/>
      <w:divBdr>
        <w:top w:val="none" w:sz="0" w:space="0" w:color="auto"/>
        <w:left w:val="none" w:sz="0" w:space="0" w:color="auto"/>
        <w:bottom w:val="none" w:sz="0" w:space="0" w:color="auto"/>
        <w:right w:val="none" w:sz="0" w:space="0" w:color="auto"/>
      </w:divBdr>
    </w:div>
    <w:div w:id="1670058875">
      <w:bodyDiv w:val="1"/>
      <w:marLeft w:val="0"/>
      <w:marRight w:val="0"/>
      <w:marTop w:val="0"/>
      <w:marBottom w:val="0"/>
      <w:divBdr>
        <w:top w:val="none" w:sz="0" w:space="0" w:color="auto"/>
        <w:left w:val="none" w:sz="0" w:space="0" w:color="auto"/>
        <w:bottom w:val="none" w:sz="0" w:space="0" w:color="auto"/>
        <w:right w:val="none" w:sz="0" w:space="0" w:color="auto"/>
      </w:divBdr>
    </w:div>
    <w:div w:id="1678313874">
      <w:bodyDiv w:val="1"/>
      <w:marLeft w:val="0"/>
      <w:marRight w:val="0"/>
      <w:marTop w:val="0"/>
      <w:marBottom w:val="0"/>
      <w:divBdr>
        <w:top w:val="none" w:sz="0" w:space="0" w:color="auto"/>
        <w:left w:val="none" w:sz="0" w:space="0" w:color="auto"/>
        <w:bottom w:val="none" w:sz="0" w:space="0" w:color="auto"/>
        <w:right w:val="none" w:sz="0" w:space="0" w:color="auto"/>
      </w:divBdr>
    </w:div>
    <w:div w:id="1685399349">
      <w:bodyDiv w:val="1"/>
      <w:marLeft w:val="0"/>
      <w:marRight w:val="0"/>
      <w:marTop w:val="0"/>
      <w:marBottom w:val="0"/>
      <w:divBdr>
        <w:top w:val="none" w:sz="0" w:space="0" w:color="auto"/>
        <w:left w:val="none" w:sz="0" w:space="0" w:color="auto"/>
        <w:bottom w:val="none" w:sz="0" w:space="0" w:color="auto"/>
        <w:right w:val="none" w:sz="0" w:space="0" w:color="auto"/>
      </w:divBdr>
    </w:div>
    <w:div w:id="1697464232">
      <w:bodyDiv w:val="1"/>
      <w:marLeft w:val="0"/>
      <w:marRight w:val="0"/>
      <w:marTop w:val="0"/>
      <w:marBottom w:val="0"/>
      <w:divBdr>
        <w:top w:val="none" w:sz="0" w:space="0" w:color="auto"/>
        <w:left w:val="none" w:sz="0" w:space="0" w:color="auto"/>
        <w:bottom w:val="none" w:sz="0" w:space="0" w:color="auto"/>
        <w:right w:val="none" w:sz="0" w:space="0" w:color="auto"/>
      </w:divBdr>
    </w:div>
    <w:div w:id="1698507302">
      <w:bodyDiv w:val="1"/>
      <w:marLeft w:val="0"/>
      <w:marRight w:val="0"/>
      <w:marTop w:val="0"/>
      <w:marBottom w:val="0"/>
      <w:divBdr>
        <w:top w:val="none" w:sz="0" w:space="0" w:color="auto"/>
        <w:left w:val="none" w:sz="0" w:space="0" w:color="auto"/>
        <w:bottom w:val="none" w:sz="0" w:space="0" w:color="auto"/>
        <w:right w:val="none" w:sz="0" w:space="0" w:color="auto"/>
      </w:divBdr>
    </w:div>
    <w:div w:id="1705255044">
      <w:bodyDiv w:val="1"/>
      <w:marLeft w:val="0"/>
      <w:marRight w:val="0"/>
      <w:marTop w:val="0"/>
      <w:marBottom w:val="0"/>
      <w:divBdr>
        <w:top w:val="none" w:sz="0" w:space="0" w:color="auto"/>
        <w:left w:val="none" w:sz="0" w:space="0" w:color="auto"/>
        <w:bottom w:val="none" w:sz="0" w:space="0" w:color="auto"/>
        <w:right w:val="none" w:sz="0" w:space="0" w:color="auto"/>
      </w:divBdr>
    </w:div>
    <w:div w:id="1706830295">
      <w:bodyDiv w:val="1"/>
      <w:marLeft w:val="0"/>
      <w:marRight w:val="0"/>
      <w:marTop w:val="0"/>
      <w:marBottom w:val="0"/>
      <w:divBdr>
        <w:top w:val="none" w:sz="0" w:space="0" w:color="auto"/>
        <w:left w:val="none" w:sz="0" w:space="0" w:color="auto"/>
        <w:bottom w:val="none" w:sz="0" w:space="0" w:color="auto"/>
        <w:right w:val="none" w:sz="0" w:space="0" w:color="auto"/>
      </w:divBdr>
    </w:div>
    <w:div w:id="1709258018">
      <w:bodyDiv w:val="1"/>
      <w:marLeft w:val="0"/>
      <w:marRight w:val="0"/>
      <w:marTop w:val="0"/>
      <w:marBottom w:val="0"/>
      <w:divBdr>
        <w:top w:val="none" w:sz="0" w:space="0" w:color="auto"/>
        <w:left w:val="none" w:sz="0" w:space="0" w:color="auto"/>
        <w:bottom w:val="none" w:sz="0" w:space="0" w:color="auto"/>
        <w:right w:val="none" w:sz="0" w:space="0" w:color="auto"/>
      </w:divBdr>
    </w:div>
    <w:div w:id="1713925177">
      <w:bodyDiv w:val="1"/>
      <w:marLeft w:val="0"/>
      <w:marRight w:val="0"/>
      <w:marTop w:val="0"/>
      <w:marBottom w:val="0"/>
      <w:divBdr>
        <w:top w:val="none" w:sz="0" w:space="0" w:color="auto"/>
        <w:left w:val="none" w:sz="0" w:space="0" w:color="auto"/>
        <w:bottom w:val="none" w:sz="0" w:space="0" w:color="auto"/>
        <w:right w:val="none" w:sz="0" w:space="0" w:color="auto"/>
      </w:divBdr>
    </w:div>
    <w:div w:id="1719013675">
      <w:bodyDiv w:val="1"/>
      <w:marLeft w:val="0"/>
      <w:marRight w:val="0"/>
      <w:marTop w:val="0"/>
      <w:marBottom w:val="0"/>
      <w:divBdr>
        <w:top w:val="none" w:sz="0" w:space="0" w:color="auto"/>
        <w:left w:val="none" w:sz="0" w:space="0" w:color="auto"/>
        <w:bottom w:val="none" w:sz="0" w:space="0" w:color="auto"/>
        <w:right w:val="none" w:sz="0" w:space="0" w:color="auto"/>
      </w:divBdr>
    </w:div>
    <w:div w:id="1740320512">
      <w:bodyDiv w:val="1"/>
      <w:marLeft w:val="0"/>
      <w:marRight w:val="0"/>
      <w:marTop w:val="0"/>
      <w:marBottom w:val="0"/>
      <w:divBdr>
        <w:top w:val="none" w:sz="0" w:space="0" w:color="auto"/>
        <w:left w:val="none" w:sz="0" w:space="0" w:color="auto"/>
        <w:bottom w:val="none" w:sz="0" w:space="0" w:color="auto"/>
        <w:right w:val="none" w:sz="0" w:space="0" w:color="auto"/>
      </w:divBdr>
    </w:div>
    <w:div w:id="1743333681">
      <w:bodyDiv w:val="1"/>
      <w:marLeft w:val="0"/>
      <w:marRight w:val="0"/>
      <w:marTop w:val="0"/>
      <w:marBottom w:val="0"/>
      <w:divBdr>
        <w:top w:val="none" w:sz="0" w:space="0" w:color="auto"/>
        <w:left w:val="none" w:sz="0" w:space="0" w:color="auto"/>
        <w:bottom w:val="none" w:sz="0" w:space="0" w:color="auto"/>
        <w:right w:val="none" w:sz="0" w:space="0" w:color="auto"/>
      </w:divBdr>
    </w:div>
    <w:div w:id="1746296400">
      <w:bodyDiv w:val="1"/>
      <w:marLeft w:val="0"/>
      <w:marRight w:val="0"/>
      <w:marTop w:val="0"/>
      <w:marBottom w:val="0"/>
      <w:divBdr>
        <w:top w:val="none" w:sz="0" w:space="0" w:color="auto"/>
        <w:left w:val="none" w:sz="0" w:space="0" w:color="auto"/>
        <w:bottom w:val="none" w:sz="0" w:space="0" w:color="auto"/>
        <w:right w:val="none" w:sz="0" w:space="0" w:color="auto"/>
      </w:divBdr>
    </w:div>
    <w:div w:id="1767841927">
      <w:bodyDiv w:val="1"/>
      <w:marLeft w:val="0"/>
      <w:marRight w:val="0"/>
      <w:marTop w:val="0"/>
      <w:marBottom w:val="0"/>
      <w:divBdr>
        <w:top w:val="none" w:sz="0" w:space="0" w:color="auto"/>
        <w:left w:val="none" w:sz="0" w:space="0" w:color="auto"/>
        <w:bottom w:val="none" w:sz="0" w:space="0" w:color="auto"/>
        <w:right w:val="none" w:sz="0" w:space="0" w:color="auto"/>
      </w:divBdr>
    </w:div>
    <w:div w:id="1775321759">
      <w:bodyDiv w:val="1"/>
      <w:marLeft w:val="0"/>
      <w:marRight w:val="0"/>
      <w:marTop w:val="0"/>
      <w:marBottom w:val="0"/>
      <w:divBdr>
        <w:top w:val="none" w:sz="0" w:space="0" w:color="auto"/>
        <w:left w:val="none" w:sz="0" w:space="0" w:color="auto"/>
        <w:bottom w:val="none" w:sz="0" w:space="0" w:color="auto"/>
        <w:right w:val="none" w:sz="0" w:space="0" w:color="auto"/>
      </w:divBdr>
    </w:div>
    <w:div w:id="1782799926">
      <w:bodyDiv w:val="1"/>
      <w:marLeft w:val="0"/>
      <w:marRight w:val="0"/>
      <w:marTop w:val="0"/>
      <w:marBottom w:val="0"/>
      <w:divBdr>
        <w:top w:val="none" w:sz="0" w:space="0" w:color="auto"/>
        <w:left w:val="none" w:sz="0" w:space="0" w:color="auto"/>
        <w:bottom w:val="none" w:sz="0" w:space="0" w:color="auto"/>
        <w:right w:val="none" w:sz="0" w:space="0" w:color="auto"/>
      </w:divBdr>
    </w:div>
    <w:div w:id="1788623597">
      <w:bodyDiv w:val="1"/>
      <w:marLeft w:val="0"/>
      <w:marRight w:val="0"/>
      <w:marTop w:val="0"/>
      <w:marBottom w:val="0"/>
      <w:divBdr>
        <w:top w:val="none" w:sz="0" w:space="0" w:color="auto"/>
        <w:left w:val="none" w:sz="0" w:space="0" w:color="auto"/>
        <w:bottom w:val="none" w:sz="0" w:space="0" w:color="auto"/>
        <w:right w:val="none" w:sz="0" w:space="0" w:color="auto"/>
      </w:divBdr>
    </w:div>
    <w:div w:id="1812206158">
      <w:bodyDiv w:val="1"/>
      <w:marLeft w:val="0"/>
      <w:marRight w:val="0"/>
      <w:marTop w:val="0"/>
      <w:marBottom w:val="0"/>
      <w:divBdr>
        <w:top w:val="none" w:sz="0" w:space="0" w:color="auto"/>
        <w:left w:val="none" w:sz="0" w:space="0" w:color="auto"/>
        <w:bottom w:val="none" w:sz="0" w:space="0" w:color="auto"/>
        <w:right w:val="none" w:sz="0" w:space="0" w:color="auto"/>
      </w:divBdr>
    </w:div>
    <w:div w:id="1833567741">
      <w:bodyDiv w:val="1"/>
      <w:marLeft w:val="0"/>
      <w:marRight w:val="0"/>
      <w:marTop w:val="0"/>
      <w:marBottom w:val="0"/>
      <w:divBdr>
        <w:top w:val="none" w:sz="0" w:space="0" w:color="auto"/>
        <w:left w:val="none" w:sz="0" w:space="0" w:color="auto"/>
        <w:bottom w:val="none" w:sz="0" w:space="0" w:color="auto"/>
        <w:right w:val="none" w:sz="0" w:space="0" w:color="auto"/>
      </w:divBdr>
    </w:div>
    <w:div w:id="1843928711">
      <w:bodyDiv w:val="1"/>
      <w:marLeft w:val="0"/>
      <w:marRight w:val="0"/>
      <w:marTop w:val="0"/>
      <w:marBottom w:val="0"/>
      <w:divBdr>
        <w:top w:val="none" w:sz="0" w:space="0" w:color="auto"/>
        <w:left w:val="none" w:sz="0" w:space="0" w:color="auto"/>
        <w:bottom w:val="none" w:sz="0" w:space="0" w:color="auto"/>
        <w:right w:val="none" w:sz="0" w:space="0" w:color="auto"/>
      </w:divBdr>
    </w:div>
    <w:div w:id="1886520100">
      <w:bodyDiv w:val="1"/>
      <w:marLeft w:val="0"/>
      <w:marRight w:val="0"/>
      <w:marTop w:val="0"/>
      <w:marBottom w:val="0"/>
      <w:divBdr>
        <w:top w:val="none" w:sz="0" w:space="0" w:color="auto"/>
        <w:left w:val="none" w:sz="0" w:space="0" w:color="auto"/>
        <w:bottom w:val="none" w:sz="0" w:space="0" w:color="auto"/>
        <w:right w:val="none" w:sz="0" w:space="0" w:color="auto"/>
      </w:divBdr>
    </w:div>
    <w:div w:id="1890801303">
      <w:bodyDiv w:val="1"/>
      <w:marLeft w:val="0"/>
      <w:marRight w:val="0"/>
      <w:marTop w:val="0"/>
      <w:marBottom w:val="0"/>
      <w:divBdr>
        <w:top w:val="none" w:sz="0" w:space="0" w:color="auto"/>
        <w:left w:val="none" w:sz="0" w:space="0" w:color="auto"/>
        <w:bottom w:val="none" w:sz="0" w:space="0" w:color="auto"/>
        <w:right w:val="none" w:sz="0" w:space="0" w:color="auto"/>
      </w:divBdr>
    </w:div>
    <w:div w:id="1907034814">
      <w:bodyDiv w:val="1"/>
      <w:marLeft w:val="0"/>
      <w:marRight w:val="0"/>
      <w:marTop w:val="0"/>
      <w:marBottom w:val="0"/>
      <w:divBdr>
        <w:top w:val="none" w:sz="0" w:space="0" w:color="auto"/>
        <w:left w:val="none" w:sz="0" w:space="0" w:color="auto"/>
        <w:bottom w:val="none" w:sz="0" w:space="0" w:color="auto"/>
        <w:right w:val="none" w:sz="0" w:space="0" w:color="auto"/>
      </w:divBdr>
      <w:divsChild>
        <w:div w:id="138282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93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876966">
      <w:bodyDiv w:val="1"/>
      <w:marLeft w:val="0"/>
      <w:marRight w:val="0"/>
      <w:marTop w:val="0"/>
      <w:marBottom w:val="0"/>
      <w:divBdr>
        <w:top w:val="none" w:sz="0" w:space="0" w:color="auto"/>
        <w:left w:val="none" w:sz="0" w:space="0" w:color="auto"/>
        <w:bottom w:val="none" w:sz="0" w:space="0" w:color="auto"/>
        <w:right w:val="none" w:sz="0" w:space="0" w:color="auto"/>
      </w:divBdr>
    </w:div>
    <w:div w:id="1911891160">
      <w:bodyDiv w:val="1"/>
      <w:marLeft w:val="0"/>
      <w:marRight w:val="0"/>
      <w:marTop w:val="0"/>
      <w:marBottom w:val="0"/>
      <w:divBdr>
        <w:top w:val="none" w:sz="0" w:space="0" w:color="auto"/>
        <w:left w:val="none" w:sz="0" w:space="0" w:color="auto"/>
        <w:bottom w:val="none" w:sz="0" w:space="0" w:color="auto"/>
        <w:right w:val="none" w:sz="0" w:space="0" w:color="auto"/>
      </w:divBdr>
    </w:div>
    <w:div w:id="1918978671">
      <w:bodyDiv w:val="1"/>
      <w:marLeft w:val="0"/>
      <w:marRight w:val="0"/>
      <w:marTop w:val="0"/>
      <w:marBottom w:val="0"/>
      <w:divBdr>
        <w:top w:val="none" w:sz="0" w:space="0" w:color="auto"/>
        <w:left w:val="none" w:sz="0" w:space="0" w:color="auto"/>
        <w:bottom w:val="none" w:sz="0" w:space="0" w:color="auto"/>
        <w:right w:val="none" w:sz="0" w:space="0" w:color="auto"/>
      </w:divBdr>
    </w:div>
    <w:div w:id="1922256139">
      <w:bodyDiv w:val="1"/>
      <w:marLeft w:val="0"/>
      <w:marRight w:val="0"/>
      <w:marTop w:val="0"/>
      <w:marBottom w:val="0"/>
      <w:divBdr>
        <w:top w:val="none" w:sz="0" w:space="0" w:color="auto"/>
        <w:left w:val="none" w:sz="0" w:space="0" w:color="auto"/>
        <w:bottom w:val="none" w:sz="0" w:space="0" w:color="auto"/>
        <w:right w:val="none" w:sz="0" w:space="0" w:color="auto"/>
      </w:divBdr>
    </w:div>
    <w:div w:id="1928153161">
      <w:bodyDiv w:val="1"/>
      <w:marLeft w:val="0"/>
      <w:marRight w:val="0"/>
      <w:marTop w:val="0"/>
      <w:marBottom w:val="0"/>
      <w:divBdr>
        <w:top w:val="none" w:sz="0" w:space="0" w:color="auto"/>
        <w:left w:val="none" w:sz="0" w:space="0" w:color="auto"/>
        <w:bottom w:val="none" w:sz="0" w:space="0" w:color="auto"/>
        <w:right w:val="none" w:sz="0" w:space="0" w:color="auto"/>
      </w:divBdr>
    </w:div>
    <w:div w:id="1935240433">
      <w:bodyDiv w:val="1"/>
      <w:marLeft w:val="0"/>
      <w:marRight w:val="0"/>
      <w:marTop w:val="0"/>
      <w:marBottom w:val="0"/>
      <w:divBdr>
        <w:top w:val="none" w:sz="0" w:space="0" w:color="auto"/>
        <w:left w:val="none" w:sz="0" w:space="0" w:color="auto"/>
        <w:bottom w:val="none" w:sz="0" w:space="0" w:color="auto"/>
        <w:right w:val="none" w:sz="0" w:space="0" w:color="auto"/>
      </w:divBdr>
    </w:div>
    <w:div w:id="1947107197">
      <w:bodyDiv w:val="1"/>
      <w:marLeft w:val="0"/>
      <w:marRight w:val="0"/>
      <w:marTop w:val="0"/>
      <w:marBottom w:val="0"/>
      <w:divBdr>
        <w:top w:val="none" w:sz="0" w:space="0" w:color="auto"/>
        <w:left w:val="none" w:sz="0" w:space="0" w:color="auto"/>
        <w:bottom w:val="none" w:sz="0" w:space="0" w:color="auto"/>
        <w:right w:val="none" w:sz="0" w:space="0" w:color="auto"/>
      </w:divBdr>
    </w:div>
    <w:div w:id="1955820446">
      <w:bodyDiv w:val="1"/>
      <w:marLeft w:val="0"/>
      <w:marRight w:val="0"/>
      <w:marTop w:val="0"/>
      <w:marBottom w:val="0"/>
      <w:divBdr>
        <w:top w:val="none" w:sz="0" w:space="0" w:color="auto"/>
        <w:left w:val="none" w:sz="0" w:space="0" w:color="auto"/>
        <w:bottom w:val="none" w:sz="0" w:space="0" w:color="auto"/>
        <w:right w:val="none" w:sz="0" w:space="0" w:color="auto"/>
      </w:divBdr>
    </w:div>
    <w:div w:id="1959137042">
      <w:bodyDiv w:val="1"/>
      <w:marLeft w:val="0"/>
      <w:marRight w:val="0"/>
      <w:marTop w:val="0"/>
      <w:marBottom w:val="0"/>
      <w:divBdr>
        <w:top w:val="none" w:sz="0" w:space="0" w:color="auto"/>
        <w:left w:val="none" w:sz="0" w:space="0" w:color="auto"/>
        <w:bottom w:val="none" w:sz="0" w:space="0" w:color="auto"/>
        <w:right w:val="none" w:sz="0" w:space="0" w:color="auto"/>
      </w:divBdr>
    </w:div>
    <w:div w:id="1962572692">
      <w:bodyDiv w:val="1"/>
      <w:marLeft w:val="0"/>
      <w:marRight w:val="0"/>
      <w:marTop w:val="0"/>
      <w:marBottom w:val="0"/>
      <w:divBdr>
        <w:top w:val="none" w:sz="0" w:space="0" w:color="auto"/>
        <w:left w:val="none" w:sz="0" w:space="0" w:color="auto"/>
        <w:bottom w:val="none" w:sz="0" w:space="0" w:color="auto"/>
        <w:right w:val="none" w:sz="0" w:space="0" w:color="auto"/>
      </w:divBdr>
    </w:div>
    <w:div w:id="1985503303">
      <w:bodyDiv w:val="1"/>
      <w:marLeft w:val="0"/>
      <w:marRight w:val="0"/>
      <w:marTop w:val="0"/>
      <w:marBottom w:val="0"/>
      <w:divBdr>
        <w:top w:val="none" w:sz="0" w:space="0" w:color="auto"/>
        <w:left w:val="none" w:sz="0" w:space="0" w:color="auto"/>
        <w:bottom w:val="none" w:sz="0" w:space="0" w:color="auto"/>
        <w:right w:val="none" w:sz="0" w:space="0" w:color="auto"/>
      </w:divBdr>
    </w:div>
    <w:div w:id="2000696787">
      <w:bodyDiv w:val="1"/>
      <w:marLeft w:val="0"/>
      <w:marRight w:val="0"/>
      <w:marTop w:val="0"/>
      <w:marBottom w:val="0"/>
      <w:divBdr>
        <w:top w:val="none" w:sz="0" w:space="0" w:color="auto"/>
        <w:left w:val="none" w:sz="0" w:space="0" w:color="auto"/>
        <w:bottom w:val="none" w:sz="0" w:space="0" w:color="auto"/>
        <w:right w:val="none" w:sz="0" w:space="0" w:color="auto"/>
      </w:divBdr>
    </w:div>
    <w:div w:id="2004501075">
      <w:bodyDiv w:val="1"/>
      <w:marLeft w:val="0"/>
      <w:marRight w:val="0"/>
      <w:marTop w:val="0"/>
      <w:marBottom w:val="0"/>
      <w:divBdr>
        <w:top w:val="none" w:sz="0" w:space="0" w:color="auto"/>
        <w:left w:val="none" w:sz="0" w:space="0" w:color="auto"/>
        <w:bottom w:val="none" w:sz="0" w:space="0" w:color="auto"/>
        <w:right w:val="none" w:sz="0" w:space="0" w:color="auto"/>
      </w:divBdr>
    </w:div>
    <w:div w:id="2005816515">
      <w:bodyDiv w:val="1"/>
      <w:marLeft w:val="0"/>
      <w:marRight w:val="0"/>
      <w:marTop w:val="0"/>
      <w:marBottom w:val="0"/>
      <w:divBdr>
        <w:top w:val="none" w:sz="0" w:space="0" w:color="auto"/>
        <w:left w:val="none" w:sz="0" w:space="0" w:color="auto"/>
        <w:bottom w:val="none" w:sz="0" w:space="0" w:color="auto"/>
        <w:right w:val="none" w:sz="0" w:space="0" w:color="auto"/>
      </w:divBdr>
    </w:div>
    <w:div w:id="2012830292">
      <w:bodyDiv w:val="1"/>
      <w:marLeft w:val="0"/>
      <w:marRight w:val="0"/>
      <w:marTop w:val="0"/>
      <w:marBottom w:val="0"/>
      <w:divBdr>
        <w:top w:val="none" w:sz="0" w:space="0" w:color="auto"/>
        <w:left w:val="none" w:sz="0" w:space="0" w:color="auto"/>
        <w:bottom w:val="none" w:sz="0" w:space="0" w:color="auto"/>
        <w:right w:val="none" w:sz="0" w:space="0" w:color="auto"/>
      </w:divBdr>
    </w:div>
    <w:div w:id="2024091188">
      <w:bodyDiv w:val="1"/>
      <w:marLeft w:val="0"/>
      <w:marRight w:val="0"/>
      <w:marTop w:val="0"/>
      <w:marBottom w:val="0"/>
      <w:divBdr>
        <w:top w:val="none" w:sz="0" w:space="0" w:color="auto"/>
        <w:left w:val="none" w:sz="0" w:space="0" w:color="auto"/>
        <w:bottom w:val="none" w:sz="0" w:space="0" w:color="auto"/>
        <w:right w:val="none" w:sz="0" w:space="0" w:color="auto"/>
      </w:divBdr>
    </w:div>
    <w:div w:id="2026243151">
      <w:bodyDiv w:val="1"/>
      <w:marLeft w:val="0"/>
      <w:marRight w:val="0"/>
      <w:marTop w:val="0"/>
      <w:marBottom w:val="0"/>
      <w:divBdr>
        <w:top w:val="none" w:sz="0" w:space="0" w:color="auto"/>
        <w:left w:val="none" w:sz="0" w:space="0" w:color="auto"/>
        <w:bottom w:val="none" w:sz="0" w:space="0" w:color="auto"/>
        <w:right w:val="none" w:sz="0" w:space="0" w:color="auto"/>
      </w:divBdr>
    </w:div>
    <w:div w:id="2028023585">
      <w:bodyDiv w:val="1"/>
      <w:marLeft w:val="0"/>
      <w:marRight w:val="0"/>
      <w:marTop w:val="0"/>
      <w:marBottom w:val="0"/>
      <w:divBdr>
        <w:top w:val="none" w:sz="0" w:space="0" w:color="auto"/>
        <w:left w:val="none" w:sz="0" w:space="0" w:color="auto"/>
        <w:bottom w:val="none" w:sz="0" w:space="0" w:color="auto"/>
        <w:right w:val="none" w:sz="0" w:space="0" w:color="auto"/>
      </w:divBdr>
    </w:div>
    <w:div w:id="2028213932">
      <w:bodyDiv w:val="1"/>
      <w:marLeft w:val="0"/>
      <w:marRight w:val="0"/>
      <w:marTop w:val="0"/>
      <w:marBottom w:val="0"/>
      <w:divBdr>
        <w:top w:val="none" w:sz="0" w:space="0" w:color="auto"/>
        <w:left w:val="none" w:sz="0" w:space="0" w:color="auto"/>
        <w:bottom w:val="none" w:sz="0" w:space="0" w:color="auto"/>
        <w:right w:val="none" w:sz="0" w:space="0" w:color="auto"/>
      </w:divBdr>
    </w:div>
    <w:div w:id="2044742792">
      <w:bodyDiv w:val="1"/>
      <w:marLeft w:val="0"/>
      <w:marRight w:val="0"/>
      <w:marTop w:val="0"/>
      <w:marBottom w:val="0"/>
      <w:divBdr>
        <w:top w:val="none" w:sz="0" w:space="0" w:color="auto"/>
        <w:left w:val="none" w:sz="0" w:space="0" w:color="auto"/>
        <w:bottom w:val="none" w:sz="0" w:space="0" w:color="auto"/>
        <w:right w:val="none" w:sz="0" w:space="0" w:color="auto"/>
      </w:divBdr>
    </w:div>
    <w:div w:id="2047366044">
      <w:bodyDiv w:val="1"/>
      <w:marLeft w:val="0"/>
      <w:marRight w:val="0"/>
      <w:marTop w:val="0"/>
      <w:marBottom w:val="0"/>
      <w:divBdr>
        <w:top w:val="none" w:sz="0" w:space="0" w:color="auto"/>
        <w:left w:val="none" w:sz="0" w:space="0" w:color="auto"/>
        <w:bottom w:val="none" w:sz="0" w:space="0" w:color="auto"/>
        <w:right w:val="none" w:sz="0" w:space="0" w:color="auto"/>
      </w:divBdr>
    </w:div>
    <w:div w:id="2048526672">
      <w:bodyDiv w:val="1"/>
      <w:marLeft w:val="0"/>
      <w:marRight w:val="0"/>
      <w:marTop w:val="0"/>
      <w:marBottom w:val="0"/>
      <w:divBdr>
        <w:top w:val="none" w:sz="0" w:space="0" w:color="auto"/>
        <w:left w:val="none" w:sz="0" w:space="0" w:color="auto"/>
        <w:bottom w:val="none" w:sz="0" w:space="0" w:color="auto"/>
        <w:right w:val="none" w:sz="0" w:space="0" w:color="auto"/>
      </w:divBdr>
    </w:div>
    <w:div w:id="2050254975">
      <w:bodyDiv w:val="1"/>
      <w:marLeft w:val="0"/>
      <w:marRight w:val="0"/>
      <w:marTop w:val="0"/>
      <w:marBottom w:val="0"/>
      <w:divBdr>
        <w:top w:val="none" w:sz="0" w:space="0" w:color="auto"/>
        <w:left w:val="none" w:sz="0" w:space="0" w:color="auto"/>
        <w:bottom w:val="none" w:sz="0" w:space="0" w:color="auto"/>
        <w:right w:val="none" w:sz="0" w:space="0" w:color="auto"/>
      </w:divBdr>
    </w:div>
    <w:div w:id="2080903351">
      <w:bodyDiv w:val="1"/>
      <w:marLeft w:val="0"/>
      <w:marRight w:val="0"/>
      <w:marTop w:val="0"/>
      <w:marBottom w:val="0"/>
      <w:divBdr>
        <w:top w:val="none" w:sz="0" w:space="0" w:color="auto"/>
        <w:left w:val="none" w:sz="0" w:space="0" w:color="auto"/>
        <w:bottom w:val="none" w:sz="0" w:space="0" w:color="auto"/>
        <w:right w:val="none" w:sz="0" w:space="0" w:color="auto"/>
      </w:divBdr>
    </w:div>
    <w:div w:id="2089378298">
      <w:bodyDiv w:val="1"/>
      <w:marLeft w:val="0"/>
      <w:marRight w:val="0"/>
      <w:marTop w:val="0"/>
      <w:marBottom w:val="0"/>
      <w:divBdr>
        <w:top w:val="none" w:sz="0" w:space="0" w:color="auto"/>
        <w:left w:val="none" w:sz="0" w:space="0" w:color="auto"/>
        <w:bottom w:val="none" w:sz="0" w:space="0" w:color="auto"/>
        <w:right w:val="none" w:sz="0" w:space="0" w:color="auto"/>
      </w:divBdr>
    </w:div>
    <w:div w:id="2094164548">
      <w:bodyDiv w:val="1"/>
      <w:marLeft w:val="0"/>
      <w:marRight w:val="0"/>
      <w:marTop w:val="0"/>
      <w:marBottom w:val="0"/>
      <w:divBdr>
        <w:top w:val="none" w:sz="0" w:space="0" w:color="auto"/>
        <w:left w:val="none" w:sz="0" w:space="0" w:color="auto"/>
        <w:bottom w:val="none" w:sz="0" w:space="0" w:color="auto"/>
        <w:right w:val="none" w:sz="0" w:space="0" w:color="auto"/>
      </w:divBdr>
    </w:div>
    <w:div w:id="2103067677">
      <w:bodyDiv w:val="1"/>
      <w:marLeft w:val="0"/>
      <w:marRight w:val="0"/>
      <w:marTop w:val="0"/>
      <w:marBottom w:val="0"/>
      <w:divBdr>
        <w:top w:val="none" w:sz="0" w:space="0" w:color="auto"/>
        <w:left w:val="none" w:sz="0" w:space="0" w:color="auto"/>
        <w:bottom w:val="none" w:sz="0" w:space="0" w:color="auto"/>
        <w:right w:val="none" w:sz="0" w:space="0" w:color="auto"/>
      </w:divBdr>
    </w:div>
    <w:div w:id="2103182762">
      <w:bodyDiv w:val="1"/>
      <w:marLeft w:val="0"/>
      <w:marRight w:val="0"/>
      <w:marTop w:val="0"/>
      <w:marBottom w:val="0"/>
      <w:divBdr>
        <w:top w:val="none" w:sz="0" w:space="0" w:color="auto"/>
        <w:left w:val="none" w:sz="0" w:space="0" w:color="auto"/>
        <w:bottom w:val="none" w:sz="0" w:space="0" w:color="auto"/>
        <w:right w:val="none" w:sz="0" w:space="0" w:color="auto"/>
      </w:divBdr>
      <w:divsChild>
        <w:div w:id="364865029">
          <w:marLeft w:val="374"/>
          <w:marRight w:val="0"/>
          <w:marTop w:val="0"/>
          <w:marBottom w:val="60"/>
          <w:divBdr>
            <w:top w:val="none" w:sz="0" w:space="0" w:color="auto"/>
            <w:left w:val="none" w:sz="0" w:space="0" w:color="auto"/>
            <w:bottom w:val="none" w:sz="0" w:space="0" w:color="auto"/>
            <w:right w:val="none" w:sz="0" w:space="0" w:color="auto"/>
          </w:divBdr>
        </w:div>
        <w:div w:id="1281112688">
          <w:marLeft w:val="374"/>
          <w:marRight w:val="0"/>
          <w:marTop w:val="0"/>
          <w:marBottom w:val="60"/>
          <w:divBdr>
            <w:top w:val="none" w:sz="0" w:space="0" w:color="auto"/>
            <w:left w:val="none" w:sz="0" w:space="0" w:color="auto"/>
            <w:bottom w:val="none" w:sz="0" w:space="0" w:color="auto"/>
            <w:right w:val="none" w:sz="0" w:space="0" w:color="auto"/>
          </w:divBdr>
        </w:div>
        <w:div w:id="1393962748">
          <w:marLeft w:val="374"/>
          <w:marRight w:val="0"/>
          <w:marTop w:val="0"/>
          <w:marBottom w:val="60"/>
          <w:divBdr>
            <w:top w:val="none" w:sz="0" w:space="0" w:color="auto"/>
            <w:left w:val="none" w:sz="0" w:space="0" w:color="auto"/>
            <w:bottom w:val="none" w:sz="0" w:space="0" w:color="auto"/>
            <w:right w:val="none" w:sz="0" w:space="0" w:color="auto"/>
          </w:divBdr>
        </w:div>
        <w:div w:id="1472868784">
          <w:marLeft w:val="374"/>
          <w:marRight w:val="0"/>
          <w:marTop w:val="0"/>
          <w:marBottom w:val="60"/>
          <w:divBdr>
            <w:top w:val="none" w:sz="0" w:space="0" w:color="auto"/>
            <w:left w:val="none" w:sz="0" w:space="0" w:color="auto"/>
            <w:bottom w:val="none" w:sz="0" w:space="0" w:color="auto"/>
            <w:right w:val="none" w:sz="0" w:space="0" w:color="auto"/>
          </w:divBdr>
        </w:div>
        <w:div w:id="1668165503">
          <w:marLeft w:val="374"/>
          <w:marRight w:val="0"/>
          <w:marTop w:val="0"/>
          <w:marBottom w:val="60"/>
          <w:divBdr>
            <w:top w:val="none" w:sz="0" w:space="0" w:color="auto"/>
            <w:left w:val="none" w:sz="0" w:space="0" w:color="auto"/>
            <w:bottom w:val="none" w:sz="0" w:space="0" w:color="auto"/>
            <w:right w:val="none" w:sz="0" w:space="0" w:color="auto"/>
          </w:divBdr>
        </w:div>
        <w:div w:id="2070152313">
          <w:marLeft w:val="374"/>
          <w:marRight w:val="0"/>
          <w:marTop w:val="0"/>
          <w:marBottom w:val="60"/>
          <w:divBdr>
            <w:top w:val="none" w:sz="0" w:space="0" w:color="auto"/>
            <w:left w:val="none" w:sz="0" w:space="0" w:color="auto"/>
            <w:bottom w:val="none" w:sz="0" w:space="0" w:color="auto"/>
            <w:right w:val="none" w:sz="0" w:space="0" w:color="auto"/>
          </w:divBdr>
        </w:div>
        <w:div w:id="2130313778">
          <w:marLeft w:val="374"/>
          <w:marRight w:val="0"/>
          <w:marTop w:val="0"/>
          <w:marBottom w:val="60"/>
          <w:divBdr>
            <w:top w:val="none" w:sz="0" w:space="0" w:color="auto"/>
            <w:left w:val="none" w:sz="0" w:space="0" w:color="auto"/>
            <w:bottom w:val="none" w:sz="0" w:space="0" w:color="auto"/>
            <w:right w:val="none" w:sz="0" w:space="0" w:color="auto"/>
          </w:divBdr>
        </w:div>
      </w:divsChild>
    </w:div>
    <w:div w:id="2112697498">
      <w:bodyDiv w:val="1"/>
      <w:marLeft w:val="0"/>
      <w:marRight w:val="0"/>
      <w:marTop w:val="0"/>
      <w:marBottom w:val="0"/>
      <w:divBdr>
        <w:top w:val="none" w:sz="0" w:space="0" w:color="auto"/>
        <w:left w:val="none" w:sz="0" w:space="0" w:color="auto"/>
        <w:bottom w:val="none" w:sz="0" w:space="0" w:color="auto"/>
        <w:right w:val="none" w:sz="0" w:space="0" w:color="auto"/>
      </w:divBdr>
    </w:div>
    <w:div w:id="2116827708">
      <w:bodyDiv w:val="1"/>
      <w:marLeft w:val="0"/>
      <w:marRight w:val="0"/>
      <w:marTop w:val="0"/>
      <w:marBottom w:val="0"/>
      <w:divBdr>
        <w:top w:val="none" w:sz="0" w:space="0" w:color="auto"/>
        <w:left w:val="none" w:sz="0" w:space="0" w:color="auto"/>
        <w:bottom w:val="none" w:sz="0" w:space="0" w:color="auto"/>
        <w:right w:val="none" w:sz="0" w:space="0" w:color="auto"/>
      </w:divBdr>
    </w:div>
    <w:div w:id="2117283351">
      <w:bodyDiv w:val="1"/>
      <w:marLeft w:val="0"/>
      <w:marRight w:val="0"/>
      <w:marTop w:val="0"/>
      <w:marBottom w:val="0"/>
      <w:divBdr>
        <w:top w:val="none" w:sz="0" w:space="0" w:color="auto"/>
        <w:left w:val="none" w:sz="0" w:space="0" w:color="auto"/>
        <w:bottom w:val="none" w:sz="0" w:space="0" w:color="auto"/>
        <w:right w:val="none" w:sz="0" w:space="0" w:color="auto"/>
      </w:divBdr>
    </w:div>
    <w:div w:id="2123726067">
      <w:bodyDiv w:val="1"/>
      <w:marLeft w:val="0"/>
      <w:marRight w:val="0"/>
      <w:marTop w:val="0"/>
      <w:marBottom w:val="0"/>
      <w:divBdr>
        <w:top w:val="none" w:sz="0" w:space="0" w:color="auto"/>
        <w:left w:val="none" w:sz="0" w:space="0" w:color="auto"/>
        <w:bottom w:val="none" w:sz="0" w:space="0" w:color="auto"/>
        <w:right w:val="none" w:sz="0" w:space="0" w:color="auto"/>
      </w:divBdr>
    </w:div>
    <w:div w:id="2123836490">
      <w:bodyDiv w:val="1"/>
      <w:marLeft w:val="0"/>
      <w:marRight w:val="0"/>
      <w:marTop w:val="0"/>
      <w:marBottom w:val="0"/>
      <w:divBdr>
        <w:top w:val="none" w:sz="0" w:space="0" w:color="auto"/>
        <w:left w:val="none" w:sz="0" w:space="0" w:color="auto"/>
        <w:bottom w:val="none" w:sz="0" w:space="0" w:color="auto"/>
        <w:right w:val="none" w:sz="0" w:space="0" w:color="auto"/>
      </w:divBdr>
    </w:div>
    <w:div w:id="2126804102">
      <w:bodyDiv w:val="1"/>
      <w:marLeft w:val="0"/>
      <w:marRight w:val="0"/>
      <w:marTop w:val="0"/>
      <w:marBottom w:val="0"/>
      <w:divBdr>
        <w:top w:val="none" w:sz="0" w:space="0" w:color="auto"/>
        <w:left w:val="none" w:sz="0" w:space="0" w:color="auto"/>
        <w:bottom w:val="none" w:sz="0" w:space="0" w:color="auto"/>
        <w:right w:val="none" w:sz="0" w:space="0" w:color="auto"/>
      </w:divBdr>
    </w:div>
    <w:div w:id="2131165645">
      <w:bodyDiv w:val="1"/>
      <w:marLeft w:val="0"/>
      <w:marRight w:val="0"/>
      <w:marTop w:val="0"/>
      <w:marBottom w:val="0"/>
      <w:divBdr>
        <w:top w:val="none" w:sz="0" w:space="0" w:color="auto"/>
        <w:left w:val="none" w:sz="0" w:space="0" w:color="auto"/>
        <w:bottom w:val="none" w:sz="0" w:space="0" w:color="auto"/>
        <w:right w:val="none" w:sz="0" w:space="0" w:color="auto"/>
      </w:divBdr>
      <w:divsChild>
        <w:div w:id="18949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866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2891735">
      <w:bodyDiv w:val="1"/>
      <w:marLeft w:val="0"/>
      <w:marRight w:val="0"/>
      <w:marTop w:val="0"/>
      <w:marBottom w:val="0"/>
      <w:divBdr>
        <w:top w:val="none" w:sz="0" w:space="0" w:color="auto"/>
        <w:left w:val="none" w:sz="0" w:space="0" w:color="auto"/>
        <w:bottom w:val="none" w:sz="0" w:space="0" w:color="auto"/>
        <w:right w:val="none" w:sz="0" w:space="0" w:color="auto"/>
      </w:divBdr>
    </w:div>
    <w:div w:id="2143422250">
      <w:bodyDiv w:val="1"/>
      <w:marLeft w:val="0"/>
      <w:marRight w:val="0"/>
      <w:marTop w:val="0"/>
      <w:marBottom w:val="0"/>
      <w:divBdr>
        <w:top w:val="none" w:sz="0" w:space="0" w:color="auto"/>
        <w:left w:val="none" w:sz="0" w:space="0" w:color="auto"/>
        <w:bottom w:val="none" w:sz="0" w:space="0" w:color="auto"/>
        <w:right w:val="none" w:sz="0" w:space="0" w:color="auto"/>
      </w:divBdr>
    </w:div>
    <w:div w:id="2146654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mailto:ir@phosagro.ru" TargetMode="External"/><Relationship Id="rId28" Type="http://schemas.openxmlformats.org/officeDocument/2006/relationships/header" Target="header5.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3D41D6ABD2BF44A8577E7E70977C24" ma:contentTypeVersion="11" ma:contentTypeDescription="Create a new document." ma:contentTypeScope="" ma:versionID="09b4ec854fb18ebb187bcb265fc733bc">
  <xsd:schema xmlns:xsd="http://www.w3.org/2001/XMLSchema" xmlns:xs="http://www.w3.org/2001/XMLSchema" xmlns:p="http://schemas.microsoft.com/office/2006/metadata/properties" xmlns:ns2="52c25619-dce8-4858-8ca8-4517a0de4051" targetNamespace="http://schemas.microsoft.com/office/2006/metadata/properties" ma:root="true" ma:fieldsID="985f489fed21282f91b55fbab3ae18ec" ns2:_="">
    <xsd:import namespace="52c25619-dce8-4858-8ca8-4517a0de40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25619-dce8-4858-8ca8-4517a0de4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8F951-C4D7-4816-B27F-BD26F74332DF}">
  <ds:schemaRefs>
    <ds:schemaRef ds:uri="http://schemas.openxmlformats.org/officeDocument/2006/bibliography"/>
  </ds:schemaRefs>
</ds:datastoreItem>
</file>

<file path=customXml/itemProps10.xml><?xml version="1.0" encoding="utf-8"?>
<ds:datastoreItem xmlns:ds="http://schemas.openxmlformats.org/officeDocument/2006/customXml" ds:itemID="{57EA2A83-6EE0-4550-9E27-9DACC7E34033}">
  <ds:schemaRefs>
    <ds:schemaRef ds:uri="http://schemas.openxmlformats.org/officeDocument/2006/bibliography"/>
  </ds:schemaRefs>
</ds:datastoreItem>
</file>

<file path=customXml/itemProps11.xml><?xml version="1.0" encoding="utf-8"?>
<ds:datastoreItem xmlns:ds="http://schemas.openxmlformats.org/officeDocument/2006/customXml" ds:itemID="{3C747BC2-42A2-49D5-983E-38031EF8F43A}">
  <ds:schemaRefs>
    <ds:schemaRef ds:uri="http://schemas.openxmlformats.org/officeDocument/2006/bibliography"/>
  </ds:schemaRefs>
</ds:datastoreItem>
</file>

<file path=customXml/itemProps12.xml><?xml version="1.0" encoding="utf-8"?>
<ds:datastoreItem xmlns:ds="http://schemas.openxmlformats.org/officeDocument/2006/customXml" ds:itemID="{FB63F60D-1E9D-4237-A131-BA4F0C24E970}">
  <ds:schemaRefs>
    <ds:schemaRef ds:uri="http://schemas.openxmlformats.org/officeDocument/2006/bibliography"/>
  </ds:schemaRefs>
</ds:datastoreItem>
</file>

<file path=customXml/itemProps13.xml><?xml version="1.0" encoding="utf-8"?>
<ds:datastoreItem xmlns:ds="http://schemas.openxmlformats.org/officeDocument/2006/customXml" ds:itemID="{F9A89398-C2AE-474C-A869-F7520959D7AB}">
  <ds:schemaRefs>
    <ds:schemaRef ds:uri="http://schemas.openxmlformats.org/officeDocument/2006/bibliography"/>
  </ds:schemaRefs>
</ds:datastoreItem>
</file>

<file path=customXml/itemProps14.xml><?xml version="1.0" encoding="utf-8"?>
<ds:datastoreItem xmlns:ds="http://schemas.openxmlformats.org/officeDocument/2006/customXml" ds:itemID="{CC817FA1-8F28-424B-A8D6-B7B30A94CF9A}">
  <ds:schemaRefs>
    <ds:schemaRef ds:uri="http://schemas.openxmlformats.org/officeDocument/2006/bibliography"/>
  </ds:schemaRefs>
</ds:datastoreItem>
</file>

<file path=customXml/itemProps15.xml><?xml version="1.0" encoding="utf-8"?>
<ds:datastoreItem xmlns:ds="http://schemas.openxmlformats.org/officeDocument/2006/customXml" ds:itemID="{7429CCE1-51B2-4A63-A67E-2DE0EC16B8F8}">
  <ds:schemaRefs>
    <ds:schemaRef ds:uri="http://schemas.openxmlformats.org/officeDocument/2006/bibliography"/>
  </ds:schemaRefs>
</ds:datastoreItem>
</file>

<file path=customXml/itemProps2.xml><?xml version="1.0" encoding="utf-8"?>
<ds:datastoreItem xmlns:ds="http://schemas.openxmlformats.org/officeDocument/2006/customXml" ds:itemID="{A4221712-6B2A-4592-89EB-75FC4EC01334}">
  <ds:schemaRefs>
    <ds:schemaRef ds:uri="http://schemas.openxmlformats.org/officeDocument/2006/bibliography"/>
  </ds:schemaRefs>
</ds:datastoreItem>
</file>

<file path=customXml/itemProps3.xml><?xml version="1.0" encoding="utf-8"?>
<ds:datastoreItem xmlns:ds="http://schemas.openxmlformats.org/officeDocument/2006/customXml" ds:itemID="{05998CF0-14B5-4578-97EB-753CEC5B6F19}">
  <ds:schemaRefs>
    <ds:schemaRef ds:uri="http://schemas.microsoft.com/sharepoint/v3/contenttype/forms"/>
  </ds:schemaRefs>
</ds:datastoreItem>
</file>

<file path=customXml/itemProps4.xml><?xml version="1.0" encoding="utf-8"?>
<ds:datastoreItem xmlns:ds="http://schemas.openxmlformats.org/officeDocument/2006/customXml" ds:itemID="{FAABA02F-3B4F-437F-8C00-02391704A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25619-dce8-4858-8ca8-4517a0de4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B10F99-918C-4012-A679-62204F87F7EF}">
  <ds:schemaRefs>
    <ds:schemaRef ds:uri="http://schemas.openxmlformats.org/officeDocument/2006/bibliography"/>
  </ds:schemaRefs>
</ds:datastoreItem>
</file>

<file path=customXml/itemProps6.xml><?xml version="1.0" encoding="utf-8"?>
<ds:datastoreItem xmlns:ds="http://schemas.openxmlformats.org/officeDocument/2006/customXml" ds:itemID="{A6B9361E-5FE6-4A05-97FB-F1AEBCA065F2}">
  <ds:schemaRefs>
    <ds:schemaRef ds:uri="http://schemas.openxmlformats.org/officeDocument/2006/bibliography"/>
  </ds:schemaRefs>
</ds:datastoreItem>
</file>

<file path=customXml/itemProps7.xml><?xml version="1.0" encoding="utf-8"?>
<ds:datastoreItem xmlns:ds="http://schemas.openxmlformats.org/officeDocument/2006/customXml" ds:itemID="{92038937-E958-4B54-B0C0-922FA85BBC01}">
  <ds:schemaRefs>
    <ds:schemaRef ds:uri="http://schemas.openxmlformats.org/officeDocument/2006/bibliography"/>
  </ds:schemaRefs>
</ds:datastoreItem>
</file>

<file path=customXml/itemProps8.xml><?xml version="1.0" encoding="utf-8"?>
<ds:datastoreItem xmlns:ds="http://schemas.openxmlformats.org/officeDocument/2006/customXml" ds:itemID="{3802D14C-A5C6-4B4D-8A96-B70E84E207B2}">
  <ds:schemaRefs>
    <ds:schemaRef ds:uri="http://schemas.openxmlformats.org/officeDocument/2006/bibliography"/>
  </ds:schemaRefs>
</ds:datastoreItem>
</file>

<file path=customXml/itemProps9.xml><?xml version="1.0" encoding="utf-8"?>
<ds:datastoreItem xmlns:ds="http://schemas.openxmlformats.org/officeDocument/2006/customXml" ds:itemID="{E9ACD4FA-822E-4E2D-AC19-3E190A7BEF01}">
  <ds:schemaRefs>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 ds:uri="http://purl.org/dc/terms/"/>
    <ds:schemaRef ds:uri="http://schemas.microsoft.com/office/2006/metadata/properties"/>
    <ds:schemaRef ds:uri="http://schemas.microsoft.com/office/infopath/2007/PartnerControls"/>
    <ds:schemaRef ds:uri="52c25619-dce8-4858-8ca8-4517a0de40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2294</Words>
  <Characters>13710</Characters>
  <Application>Microsoft Office Word</Application>
  <DocSecurity>4</DocSecurity>
  <Lines>114</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CONFIDENTIAL DRAFT NOT FOR RELEASE</vt:lpstr>
      <vt:lpstr>CONFIDENTIAL DRAFT NOT FOR RELEASE</vt:lpstr>
    </vt:vector>
  </TitlesOfParts>
  <Company>Microsoft</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DRAFT NOT FOR RELEASE</dc:title>
  <dc:subject/>
  <dc:creator>Sam Vanderlip</dc:creator>
  <cp:keywords/>
  <dc:description/>
  <cp:lastModifiedBy>Серов Андрей Евгеньевич</cp:lastModifiedBy>
  <cp:revision>2</cp:revision>
  <cp:lastPrinted>2025-02-11T09:29:00Z</cp:lastPrinted>
  <dcterms:created xsi:type="dcterms:W3CDTF">2025-02-13T13:35:00Z</dcterms:created>
  <dcterms:modified xsi:type="dcterms:W3CDTF">2025-02-13T13:35:00Z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0x0101009D3D41D6ABD2BF44A8577E7E70977C24</vt:lpwstr>
  </property>
</Properties>
</file>