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E397" w14:textId="358A7A4E" w:rsidR="00111D29" w:rsidRPr="00F61636" w:rsidRDefault="00CE6804">
      <w:pPr>
        <w:pStyle w:val="23"/>
        <w:rPr>
          <w:lang w:val="en-GB"/>
        </w:rPr>
      </w:pPr>
      <w:bookmarkStart w:id="0" w:name="_Hlk166688531"/>
      <w:bookmarkStart w:id="1" w:name="_Hlk202863907"/>
      <w:r w:rsidRPr="002D6889">
        <w:rPr>
          <w:rFonts w:cstheme="minorHAnsi"/>
          <w:noProof/>
          <w:lang w:val="ru-RU"/>
        </w:rPr>
        <w:drawing>
          <wp:inline distT="0" distB="0" distL="0" distR="0" wp14:anchorId="1C82DC8D" wp14:editId="6353DB5F">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52F13C9C" w14:textId="77777777" w:rsidR="00114DF5" w:rsidRDefault="00114DF5" w:rsidP="00114DF5">
      <w:pPr>
        <w:spacing w:after="120"/>
        <w:jc w:val="center"/>
        <w:rPr>
          <w:rFonts w:asciiTheme="minorHAnsi" w:hAnsiTheme="minorHAnsi" w:cstheme="minorHAnsi"/>
          <w:b/>
          <w:sz w:val="22"/>
          <w:szCs w:val="22"/>
          <w:lang w:val="en-GB"/>
        </w:rPr>
      </w:pPr>
      <w:r w:rsidRPr="00114DF5">
        <w:rPr>
          <w:rFonts w:asciiTheme="minorHAnsi" w:hAnsiTheme="minorHAnsi" w:cstheme="minorHAnsi"/>
          <w:b/>
          <w:sz w:val="22"/>
          <w:szCs w:val="22"/>
          <w:lang w:val="en-GB"/>
        </w:rPr>
        <w:t>PhosAgro Board of Directors Discusses Company’s Development Strategy to 2030</w:t>
      </w:r>
    </w:p>
    <w:p w14:paraId="552C3AAA" w14:textId="77777777" w:rsidR="00114DF5" w:rsidRDefault="00114DF5" w:rsidP="00CE6804">
      <w:pPr>
        <w:spacing w:after="120"/>
        <w:jc w:val="both"/>
        <w:rPr>
          <w:rFonts w:asciiTheme="minorHAnsi" w:hAnsiTheme="minorHAnsi" w:cstheme="minorHAnsi"/>
          <w:b/>
          <w:sz w:val="22"/>
          <w:szCs w:val="22"/>
          <w:lang w:val="en-GB"/>
        </w:rPr>
      </w:pPr>
    </w:p>
    <w:p w14:paraId="20869126" w14:textId="77777777" w:rsidR="00114DF5" w:rsidRPr="00114DF5" w:rsidRDefault="00114DF5" w:rsidP="00114DF5">
      <w:pPr>
        <w:pStyle w:val="ds-markdown-paragraph"/>
        <w:spacing w:before="60" w:beforeAutospacing="0" w:after="60" w:afterAutospacing="0"/>
        <w:ind w:firstLine="567"/>
        <w:jc w:val="both"/>
        <w:rPr>
          <w:rFonts w:asciiTheme="minorHAnsi" w:eastAsia="Calibri" w:hAnsiTheme="minorHAnsi" w:cstheme="minorHAnsi"/>
          <w:sz w:val="22"/>
          <w:szCs w:val="22"/>
          <w:lang w:val="en-GB"/>
        </w:rPr>
      </w:pPr>
      <w:r w:rsidRPr="00114DF5">
        <w:rPr>
          <w:rFonts w:asciiTheme="minorHAnsi" w:eastAsia="Calibri" w:hAnsiTheme="minorHAnsi" w:cstheme="minorHAnsi"/>
          <w:b/>
          <w:sz w:val="22"/>
          <w:szCs w:val="22"/>
          <w:lang w:val="en-GB"/>
        </w:rPr>
        <w:t>Balakovo, Saratov region,</w:t>
      </w:r>
      <w:r w:rsidRPr="00114DF5">
        <w:rPr>
          <w:rFonts w:asciiTheme="minorHAnsi" w:hAnsiTheme="minorHAnsi" w:cstheme="minorHAnsi"/>
          <w:sz w:val="22"/>
          <w:szCs w:val="22"/>
          <w:lang w:val="en-GB"/>
        </w:rPr>
        <w:t xml:space="preserve"> </w:t>
      </w:r>
      <w:r w:rsidRPr="00114DF5">
        <w:rPr>
          <w:rFonts w:asciiTheme="minorHAnsi" w:hAnsiTheme="minorHAnsi" w:cstheme="minorHAnsi"/>
          <w:b/>
          <w:sz w:val="22"/>
          <w:szCs w:val="22"/>
          <w:lang w:val="en-GB"/>
        </w:rPr>
        <w:t>7 August 2025.</w:t>
      </w:r>
      <w:r w:rsidRPr="00114DF5">
        <w:rPr>
          <w:rFonts w:asciiTheme="minorHAnsi" w:hAnsiTheme="minorHAnsi" w:cstheme="minorHAnsi"/>
          <w:sz w:val="22"/>
          <w:szCs w:val="22"/>
          <w:lang w:val="en-GB"/>
        </w:rPr>
        <w:t xml:space="preserve"> </w:t>
      </w:r>
      <w:r w:rsidRPr="00114DF5">
        <w:rPr>
          <w:rFonts w:asciiTheme="minorHAnsi" w:eastAsia="Calibri" w:hAnsiTheme="minorHAnsi" w:cstheme="minorHAnsi"/>
          <w:sz w:val="22"/>
          <w:szCs w:val="22"/>
          <w:lang w:val="en-GB"/>
        </w:rPr>
        <w:t xml:space="preserve">At an off-site meeting in Balakovo, PJSC PhosAgro’s Board of Directors reviewed the Company’s Development Strategy to 2030, discussed the Company’s performance in the first half of the year and issued a dividend recommendation.   </w:t>
      </w:r>
    </w:p>
    <w:p w14:paraId="657B108E" w14:textId="2AF9CF16" w:rsidR="00114DF5" w:rsidRPr="00114DF5" w:rsidRDefault="00114DF5" w:rsidP="00114DF5">
      <w:pPr>
        <w:pStyle w:val="P68B1DB1-Normal2"/>
        <w:spacing w:before="60" w:after="60"/>
        <w:ind w:firstLine="567"/>
        <w:jc w:val="both"/>
        <w:rPr>
          <w:rFonts w:asciiTheme="minorHAnsi" w:hAnsiTheme="minorHAnsi" w:cstheme="minorHAnsi"/>
          <w:sz w:val="22"/>
          <w:szCs w:val="22"/>
          <w:lang w:val="en-GB"/>
        </w:rPr>
      </w:pPr>
      <w:r w:rsidRPr="00114DF5">
        <w:rPr>
          <w:rFonts w:asciiTheme="minorHAnsi" w:hAnsiTheme="minorHAnsi" w:cstheme="minorHAnsi"/>
          <w:sz w:val="22"/>
          <w:szCs w:val="22"/>
          <w:lang w:val="en-GB"/>
        </w:rPr>
        <w:t>In his report,</w:t>
      </w:r>
      <w:r w:rsidRPr="00114DF5">
        <w:rPr>
          <w:rFonts w:asciiTheme="minorHAnsi" w:hAnsiTheme="minorHAnsi" w:cstheme="minorHAnsi"/>
          <w:b/>
          <w:sz w:val="22"/>
          <w:szCs w:val="22"/>
          <w:lang w:val="en-GB"/>
        </w:rPr>
        <w:t xml:space="preserve"> PhosAgro CEO Alexander</w:t>
      </w:r>
      <w:r w:rsidRPr="00114DF5">
        <w:rPr>
          <w:rFonts w:asciiTheme="minorHAnsi" w:hAnsiTheme="minorHAnsi" w:cstheme="minorHAnsi"/>
          <w:sz w:val="22"/>
          <w:szCs w:val="22"/>
          <w:lang w:val="en-GB"/>
        </w:rPr>
        <w:t xml:space="preserve"> </w:t>
      </w:r>
      <w:r w:rsidRPr="00114DF5">
        <w:rPr>
          <w:rFonts w:asciiTheme="minorHAnsi" w:hAnsiTheme="minorHAnsi" w:cstheme="minorHAnsi"/>
          <w:b/>
          <w:bCs/>
          <w:sz w:val="22"/>
          <w:szCs w:val="22"/>
          <w:lang w:val="en-GB"/>
        </w:rPr>
        <w:t>Gilgenberg</w:t>
      </w:r>
      <w:r w:rsidRPr="00114DF5">
        <w:rPr>
          <w:rFonts w:asciiTheme="minorHAnsi" w:hAnsiTheme="minorHAnsi" w:cstheme="minorHAnsi"/>
          <w:sz w:val="22"/>
          <w:szCs w:val="22"/>
          <w:lang w:val="en-GB"/>
        </w:rPr>
        <w:t xml:space="preserve"> highlighted the Group’s dynamic growth: </w:t>
      </w:r>
      <w:r w:rsidR="00E16CE5">
        <w:rPr>
          <w:rFonts w:asciiTheme="minorHAnsi" w:hAnsiTheme="minorHAnsi" w:cstheme="minorHAnsi"/>
          <w:sz w:val="22"/>
          <w:szCs w:val="22"/>
          <w:lang w:val="en-GB"/>
        </w:rPr>
        <w:t>“</w:t>
      </w:r>
      <w:r w:rsidRPr="00114DF5">
        <w:rPr>
          <w:rFonts w:asciiTheme="minorHAnsi" w:hAnsiTheme="minorHAnsi" w:cstheme="minorHAnsi"/>
          <w:sz w:val="22"/>
          <w:szCs w:val="22"/>
          <w:lang w:val="en-GB"/>
        </w:rPr>
        <w:t>Since the beginning of our new investment cycle in 2013, we have doubled our output of agrochemical products, effectively building the equivalent of a second company in terms of production capacity. This achievement is the result of a well-considered development strategy focused on large-scale investment, as well as the professionalism of our workforce. Total investments during this period amounted to RUB 500 billion. We invested more than RUB 200 billion over just the past three years, including a record RUB 75 billion in 2024. As a result, agrochemical production has grown by an average of 4%–5% annually. The first half of 2025 was no exception, with agrochemical output increasing by 4% to 6.12 million tonnes. As production grows, so do our social and charitable investments, with considerable attention devoted to safety equipment and environmental protection measures, as the members of the Board were able to see for themselves during their visit to Balakovo.</w:t>
      </w:r>
      <w:r w:rsidR="00E16CE5">
        <w:rPr>
          <w:rFonts w:asciiTheme="minorHAnsi" w:hAnsiTheme="minorHAnsi" w:cstheme="minorHAnsi"/>
          <w:sz w:val="22"/>
          <w:szCs w:val="22"/>
          <w:lang w:val="en-GB"/>
        </w:rPr>
        <w:t>”</w:t>
      </w:r>
    </w:p>
    <w:p w14:paraId="3D3708CE" w14:textId="13449E17" w:rsidR="00114DF5" w:rsidRPr="00114DF5" w:rsidRDefault="00114DF5" w:rsidP="00114DF5">
      <w:pPr>
        <w:pStyle w:val="P68B1DB1-Normal2"/>
        <w:spacing w:before="60" w:after="60"/>
        <w:ind w:firstLine="567"/>
        <w:jc w:val="both"/>
        <w:rPr>
          <w:rFonts w:asciiTheme="minorHAnsi" w:hAnsiTheme="minorHAnsi" w:cstheme="minorHAnsi"/>
          <w:sz w:val="22"/>
          <w:szCs w:val="22"/>
          <w:lang w:val="en-GB"/>
        </w:rPr>
      </w:pPr>
      <w:r w:rsidRPr="00114DF5">
        <w:rPr>
          <w:rFonts w:asciiTheme="minorHAnsi" w:hAnsiTheme="minorHAnsi" w:cstheme="minorHAnsi"/>
          <w:sz w:val="22"/>
          <w:szCs w:val="22"/>
          <w:lang w:val="en-GB"/>
        </w:rPr>
        <w:t xml:space="preserve">PhosAgro Group’s Development Strategy to 2030, which was presented at the Board meeting, is aimed at further strengthening the Company’s leading position in the strategically important Russian market and in key international markets, particularly in the BRICS countries. The new strategy replaces the Development Strategy to 2025, which the Board adopted in March 2019. The Company achieved the most important of the targets outlined in the previous strategy ahead of schedule, by the end of 2024. As a result of the measures proposed in the new strategy, the Company expects to increase annual production by 16% from 2024 levels, reaching 13.7 million tonnes per year by 2030. The Board of Directors took note of the information provided and </w:t>
      </w:r>
      <w:r w:rsidR="00E16CE5">
        <w:rPr>
          <w:rFonts w:asciiTheme="minorHAnsi" w:hAnsiTheme="minorHAnsi" w:cstheme="minorHAnsi"/>
          <w:sz w:val="22"/>
          <w:szCs w:val="22"/>
          <w:lang w:val="en-GB"/>
        </w:rPr>
        <w:t>plans</w:t>
      </w:r>
      <w:r w:rsidR="00E16CE5" w:rsidRPr="00114DF5">
        <w:rPr>
          <w:rFonts w:asciiTheme="minorHAnsi" w:hAnsiTheme="minorHAnsi" w:cstheme="minorHAnsi"/>
          <w:sz w:val="22"/>
          <w:szCs w:val="22"/>
          <w:lang w:val="en-GB"/>
        </w:rPr>
        <w:t xml:space="preserve"> </w:t>
      </w:r>
      <w:r w:rsidRPr="00114DF5">
        <w:rPr>
          <w:rFonts w:asciiTheme="minorHAnsi" w:hAnsiTheme="minorHAnsi" w:cstheme="minorHAnsi"/>
          <w:sz w:val="22"/>
          <w:szCs w:val="22"/>
          <w:lang w:val="en-GB"/>
        </w:rPr>
        <w:t xml:space="preserve">to </w:t>
      </w:r>
      <w:r w:rsidR="00E16CE5">
        <w:rPr>
          <w:rFonts w:asciiTheme="minorHAnsi" w:hAnsiTheme="minorHAnsi" w:cstheme="minorHAnsi"/>
          <w:sz w:val="22"/>
          <w:szCs w:val="22"/>
          <w:lang w:val="en-GB"/>
        </w:rPr>
        <w:t>review</w:t>
      </w:r>
      <w:r w:rsidRPr="00114DF5">
        <w:rPr>
          <w:rFonts w:asciiTheme="minorHAnsi" w:hAnsiTheme="minorHAnsi" w:cstheme="minorHAnsi"/>
          <w:sz w:val="22"/>
          <w:szCs w:val="22"/>
          <w:lang w:val="en-GB"/>
        </w:rPr>
        <w:t xml:space="preserve"> the strategy at an upcoming meeting. Once adopted, the strategy will be communicated to investors.</w:t>
      </w:r>
    </w:p>
    <w:p w14:paraId="03598BED" w14:textId="4A718E3B" w:rsidR="00114DF5" w:rsidRPr="00114DF5" w:rsidRDefault="00114DF5" w:rsidP="00114DF5">
      <w:pPr>
        <w:pStyle w:val="P68B1DB1-ds-markdown-paragraph3"/>
        <w:spacing w:before="60" w:beforeAutospacing="0" w:after="60" w:afterAutospacing="0"/>
        <w:ind w:firstLine="567"/>
        <w:jc w:val="both"/>
        <w:rPr>
          <w:rFonts w:asciiTheme="minorHAnsi" w:hAnsiTheme="minorHAnsi" w:cstheme="minorHAnsi"/>
          <w:sz w:val="22"/>
          <w:szCs w:val="22"/>
          <w:lang w:val="en-GB"/>
        </w:rPr>
      </w:pPr>
      <w:r w:rsidRPr="00114DF5">
        <w:rPr>
          <w:rFonts w:asciiTheme="minorHAnsi" w:hAnsiTheme="minorHAnsi" w:cstheme="minorHAnsi"/>
          <w:sz w:val="22"/>
          <w:szCs w:val="22"/>
          <w:lang w:val="en-GB"/>
        </w:rPr>
        <w:t xml:space="preserve">The Board also reviewed the Group’s financial results for the first half of 2025, including its interim IFRS consolidated financial statements. The Board deemed the results a success and recommended that part of the net profit for the period be allocated for the payment of dividends to Company shareholders. It recommended that the General Meeting of Shareholders approve a dividend of RUB 387 per ordinary share for the first six months of 2025. It also recommended setting </w:t>
      </w:r>
      <w:r w:rsidR="00E16CE5">
        <w:rPr>
          <w:rFonts w:asciiTheme="minorHAnsi" w:hAnsiTheme="minorHAnsi" w:cstheme="minorHAnsi"/>
          <w:sz w:val="22"/>
          <w:szCs w:val="22"/>
          <w:lang w:val="en-GB"/>
        </w:rPr>
        <w:t>1 October</w:t>
      </w:r>
      <w:r w:rsidRPr="00114DF5">
        <w:rPr>
          <w:rFonts w:asciiTheme="minorHAnsi" w:hAnsiTheme="minorHAnsi" w:cstheme="minorHAnsi"/>
          <w:sz w:val="22"/>
          <w:szCs w:val="22"/>
          <w:lang w:val="en-GB"/>
        </w:rPr>
        <w:t xml:space="preserve"> 2025 as the record date for dividend eligibility. An absentee vote on the payment of dividends for 1H 2025 will take place on 11 September 2025.</w:t>
      </w:r>
    </w:p>
    <w:p w14:paraId="1D59A258" w14:textId="25BC6540" w:rsidR="00114DF5" w:rsidRPr="00114DF5" w:rsidRDefault="00114DF5" w:rsidP="00114DF5">
      <w:pPr>
        <w:pStyle w:val="P68B1DB1-ds-markdown-paragraph3"/>
        <w:spacing w:before="60" w:beforeAutospacing="0" w:after="60" w:afterAutospacing="0"/>
        <w:ind w:firstLine="567"/>
        <w:jc w:val="both"/>
        <w:rPr>
          <w:rFonts w:asciiTheme="minorHAnsi" w:hAnsiTheme="minorHAnsi" w:cstheme="minorHAnsi"/>
          <w:sz w:val="22"/>
          <w:szCs w:val="22"/>
          <w:lang w:val="en-GB"/>
        </w:rPr>
      </w:pPr>
      <w:r w:rsidRPr="00114DF5">
        <w:rPr>
          <w:rFonts w:asciiTheme="minorHAnsi" w:hAnsiTheme="minorHAnsi" w:cstheme="minorHAnsi"/>
          <w:sz w:val="22"/>
          <w:szCs w:val="22"/>
          <w:lang w:val="en-GB"/>
        </w:rPr>
        <w:t xml:space="preserve">In addition, the Board assessed </w:t>
      </w:r>
      <w:r w:rsidR="00E16CE5">
        <w:rPr>
          <w:rFonts w:asciiTheme="minorHAnsi" w:hAnsiTheme="minorHAnsi" w:cstheme="minorHAnsi"/>
          <w:sz w:val="22"/>
          <w:szCs w:val="22"/>
          <w:lang w:val="en-GB"/>
        </w:rPr>
        <w:t>the compliance of its independent directors</w:t>
      </w:r>
      <w:r w:rsidR="00E16CE5" w:rsidRPr="00114DF5">
        <w:rPr>
          <w:rFonts w:asciiTheme="minorHAnsi" w:hAnsiTheme="minorHAnsi" w:cstheme="minorHAnsi"/>
          <w:sz w:val="22"/>
          <w:szCs w:val="22"/>
          <w:lang w:val="en-GB"/>
        </w:rPr>
        <w:t xml:space="preserve"> </w:t>
      </w:r>
      <w:r w:rsidR="00E16CE5">
        <w:rPr>
          <w:rFonts w:asciiTheme="minorHAnsi" w:hAnsiTheme="minorHAnsi" w:cstheme="minorHAnsi"/>
          <w:sz w:val="22"/>
          <w:szCs w:val="22"/>
          <w:lang w:val="en-GB"/>
        </w:rPr>
        <w:t xml:space="preserve">with </w:t>
      </w:r>
      <w:r w:rsidRPr="00114DF5">
        <w:rPr>
          <w:rFonts w:asciiTheme="minorHAnsi" w:hAnsiTheme="minorHAnsi" w:cstheme="minorHAnsi"/>
          <w:sz w:val="22"/>
          <w:szCs w:val="22"/>
          <w:lang w:val="en-GB"/>
        </w:rPr>
        <w:t xml:space="preserve">the </w:t>
      </w:r>
      <w:r w:rsidR="00187210">
        <w:rPr>
          <w:rFonts w:asciiTheme="minorHAnsi" w:hAnsiTheme="minorHAnsi" w:cstheme="minorHAnsi"/>
          <w:sz w:val="22"/>
          <w:szCs w:val="22"/>
          <w:lang w:val="en-GB"/>
        </w:rPr>
        <w:t>independence</w:t>
      </w:r>
      <w:r w:rsidR="00187210" w:rsidRPr="00114DF5">
        <w:rPr>
          <w:rFonts w:asciiTheme="minorHAnsi" w:hAnsiTheme="minorHAnsi" w:cstheme="minorHAnsi"/>
          <w:sz w:val="22"/>
          <w:szCs w:val="22"/>
          <w:lang w:val="en-GB"/>
        </w:rPr>
        <w:t xml:space="preserve"> </w:t>
      </w:r>
      <w:r w:rsidRPr="00114DF5">
        <w:rPr>
          <w:rFonts w:asciiTheme="minorHAnsi" w:hAnsiTheme="minorHAnsi" w:cstheme="minorHAnsi"/>
          <w:sz w:val="22"/>
          <w:szCs w:val="22"/>
          <w:lang w:val="en-GB"/>
        </w:rPr>
        <w:t xml:space="preserve">criteria. As a result, </w:t>
      </w:r>
      <w:r w:rsidR="00E16CE5">
        <w:rPr>
          <w:rFonts w:asciiTheme="minorHAnsi" w:hAnsiTheme="minorHAnsi" w:cstheme="minorHAnsi"/>
          <w:sz w:val="22"/>
          <w:szCs w:val="22"/>
          <w:lang w:val="en-GB"/>
        </w:rPr>
        <w:t>5</w:t>
      </w:r>
      <w:r w:rsidR="00E16CE5" w:rsidRPr="00114DF5">
        <w:rPr>
          <w:rFonts w:asciiTheme="minorHAnsi" w:hAnsiTheme="minorHAnsi" w:cstheme="minorHAnsi"/>
          <w:sz w:val="22"/>
          <w:szCs w:val="22"/>
          <w:lang w:val="en-GB"/>
        </w:rPr>
        <w:t xml:space="preserve"> </w:t>
      </w:r>
      <w:r w:rsidRPr="00114DF5">
        <w:rPr>
          <w:rFonts w:asciiTheme="minorHAnsi" w:hAnsiTheme="minorHAnsi" w:cstheme="minorHAnsi"/>
          <w:sz w:val="22"/>
          <w:szCs w:val="22"/>
          <w:lang w:val="en-GB"/>
        </w:rPr>
        <w:t>of the 10 members of the Board are currently considered independent.</w:t>
      </w:r>
    </w:p>
    <w:p w14:paraId="12B5D9FF" w14:textId="77777777" w:rsidR="00114DF5" w:rsidRPr="00114DF5" w:rsidRDefault="00114DF5" w:rsidP="00114DF5">
      <w:pPr>
        <w:pStyle w:val="P68B1DB1-ds-markdown-paragraph3"/>
        <w:spacing w:before="60" w:beforeAutospacing="0" w:after="60" w:afterAutospacing="0"/>
        <w:ind w:firstLine="567"/>
        <w:jc w:val="both"/>
        <w:rPr>
          <w:rFonts w:asciiTheme="minorHAnsi" w:hAnsiTheme="minorHAnsi" w:cstheme="minorHAnsi"/>
          <w:sz w:val="22"/>
          <w:szCs w:val="22"/>
          <w:lang w:val="en-GB"/>
        </w:rPr>
      </w:pPr>
      <w:r w:rsidRPr="00114DF5">
        <w:rPr>
          <w:rFonts w:asciiTheme="minorHAnsi" w:hAnsiTheme="minorHAnsi" w:cstheme="minorHAnsi"/>
          <w:sz w:val="22"/>
          <w:szCs w:val="22"/>
          <w:lang w:val="en-GB"/>
        </w:rPr>
        <w:t>The Board also reviewed reports on the Company’s international and educational projects and its collaboration with scientific institutions, recommending that management continue these important initiatives.</w:t>
      </w:r>
    </w:p>
    <w:p w14:paraId="6578BED0" w14:textId="5EDD0E42" w:rsidR="00114DF5" w:rsidRPr="00114DF5" w:rsidRDefault="00114DF5" w:rsidP="00114DF5">
      <w:pPr>
        <w:pStyle w:val="P68B1DB1-ds-markdown-paragraph3"/>
        <w:spacing w:before="60" w:beforeAutospacing="0" w:after="60" w:afterAutospacing="0"/>
        <w:ind w:firstLine="567"/>
        <w:jc w:val="both"/>
        <w:rPr>
          <w:rFonts w:asciiTheme="minorHAnsi" w:hAnsiTheme="minorHAnsi" w:cstheme="minorHAnsi"/>
          <w:sz w:val="22"/>
          <w:szCs w:val="22"/>
          <w:lang w:val="en-GB"/>
        </w:rPr>
      </w:pPr>
      <w:r w:rsidRPr="00114DF5">
        <w:rPr>
          <w:rFonts w:asciiTheme="minorHAnsi" w:hAnsiTheme="minorHAnsi" w:cstheme="minorHAnsi"/>
          <w:sz w:val="22"/>
          <w:szCs w:val="22"/>
          <w:lang w:val="en-GB"/>
        </w:rPr>
        <w:t xml:space="preserve">In addition, </w:t>
      </w:r>
      <w:r w:rsidR="00D832E8">
        <w:rPr>
          <w:rFonts w:asciiTheme="minorHAnsi" w:hAnsiTheme="minorHAnsi" w:cstheme="minorHAnsi"/>
          <w:sz w:val="22"/>
          <w:szCs w:val="22"/>
          <w:lang w:val="en-GB"/>
        </w:rPr>
        <w:t xml:space="preserve">PJSC </w:t>
      </w:r>
      <w:proofErr w:type="spellStart"/>
      <w:r w:rsidR="00D832E8">
        <w:rPr>
          <w:rFonts w:asciiTheme="minorHAnsi" w:hAnsiTheme="minorHAnsi" w:cstheme="minorHAnsi"/>
          <w:sz w:val="22"/>
          <w:szCs w:val="22"/>
          <w:lang w:val="en-GB"/>
        </w:rPr>
        <w:t>PhosAgro’s</w:t>
      </w:r>
      <w:proofErr w:type="spellEnd"/>
      <w:r w:rsidRPr="00114DF5">
        <w:rPr>
          <w:rFonts w:asciiTheme="minorHAnsi" w:hAnsiTheme="minorHAnsi" w:cstheme="minorHAnsi"/>
          <w:sz w:val="22"/>
          <w:szCs w:val="22"/>
          <w:lang w:val="en-GB"/>
        </w:rPr>
        <w:t xml:space="preserve"> </w:t>
      </w:r>
      <w:r w:rsidR="00D832E8">
        <w:rPr>
          <w:rFonts w:asciiTheme="minorHAnsi" w:hAnsiTheme="minorHAnsi" w:cstheme="minorHAnsi"/>
          <w:sz w:val="22"/>
          <w:szCs w:val="22"/>
          <w:lang w:val="en-GB"/>
        </w:rPr>
        <w:t>revised</w:t>
      </w:r>
      <w:r w:rsidR="00D832E8" w:rsidRPr="00114DF5">
        <w:rPr>
          <w:rFonts w:asciiTheme="minorHAnsi" w:hAnsiTheme="minorHAnsi" w:cstheme="minorHAnsi"/>
          <w:sz w:val="22"/>
          <w:szCs w:val="22"/>
          <w:lang w:val="en-GB"/>
        </w:rPr>
        <w:t xml:space="preserve"> </w:t>
      </w:r>
      <w:r w:rsidRPr="00114DF5">
        <w:rPr>
          <w:rFonts w:asciiTheme="minorHAnsi" w:hAnsiTheme="minorHAnsi" w:cstheme="minorHAnsi"/>
          <w:sz w:val="22"/>
          <w:szCs w:val="22"/>
          <w:lang w:val="en-GB"/>
        </w:rPr>
        <w:t xml:space="preserve">budget for 2025 was </w:t>
      </w:r>
      <w:r w:rsidR="00D832E8">
        <w:rPr>
          <w:rFonts w:asciiTheme="minorHAnsi" w:hAnsiTheme="minorHAnsi" w:cstheme="minorHAnsi"/>
          <w:sz w:val="22"/>
          <w:szCs w:val="22"/>
          <w:lang w:val="en-GB"/>
        </w:rPr>
        <w:t>approved</w:t>
      </w:r>
      <w:r w:rsidRPr="00114DF5">
        <w:rPr>
          <w:rFonts w:asciiTheme="minorHAnsi" w:hAnsiTheme="minorHAnsi" w:cstheme="minorHAnsi"/>
          <w:sz w:val="22"/>
          <w:szCs w:val="22"/>
          <w:lang w:val="en-GB"/>
        </w:rPr>
        <w:t>, and reports were heard on work with investors, the status of occupational health and industrial safety at PhosAgro Group companies, the results of monitoring key risk management in 2Q 2025 and a number of other issues.</w:t>
      </w:r>
    </w:p>
    <w:p w14:paraId="643D0DB9" w14:textId="77777777" w:rsidR="00114DF5" w:rsidRPr="00114DF5" w:rsidRDefault="00114DF5" w:rsidP="00114DF5">
      <w:pPr>
        <w:pStyle w:val="P68B1DB1-Normal2"/>
        <w:spacing w:before="60" w:after="60"/>
        <w:ind w:firstLine="567"/>
        <w:jc w:val="both"/>
        <w:rPr>
          <w:rFonts w:asciiTheme="minorHAnsi" w:hAnsiTheme="minorHAnsi" w:cstheme="minorHAnsi"/>
          <w:sz w:val="22"/>
          <w:szCs w:val="22"/>
          <w:lang w:val="en-GB"/>
        </w:rPr>
      </w:pPr>
      <w:r w:rsidRPr="00114DF5">
        <w:rPr>
          <w:rFonts w:asciiTheme="minorHAnsi" w:hAnsiTheme="minorHAnsi" w:cstheme="minorHAnsi"/>
          <w:sz w:val="22"/>
          <w:szCs w:val="22"/>
          <w:lang w:val="en-GB"/>
        </w:rPr>
        <w:t xml:space="preserve">“Our performance and development outlook confirm PhosAgro’s standing as one of the world’s most efficient producers of mineral fertilizers, a company that constantly invests in production, human resources, and social and charitable programmes, while consistently delivering on its commitments to investors and the state budget. We recognize our responsibility in addressing global challenges, such as ensuring food security, both in Russia and elsewhere. At the same time, we never forget that people are the Company’s most valuable asset, and that our workforce is the basis of all our production achievements and the foundation of our future growth,” said </w:t>
      </w:r>
      <w:r w:rsidRPr="00114DF5">
        <w:rPr>
          <w:rFonts w:asciiTheme="minorHAnsi" w:hAnsiTheme="minorHAnsi" w:cstheme="minorHAnsi"/>
          <w:b/>
          <w:sz w:val="22"/>
          <w:szCs w:val="22"/>
          <w:lang w:val="en-GB"/>
        </w:rPr>
        <w:t>Viktor Cherepov, Chairman of PhosAgro’s Board of Directors</w:t>
      </w:r>
      <w:r w:rsidRPr="00114DF5">
        <w:rPr>
          <w:rFonts w:asciiTheme="minorHAnsi" w:hAnsiTheme="minorHAnsi" w:cstheme="minorHAnsi"/>
          <w:sz w:val="22"/>
          <w:szCs w:val="22"/>
          <w:lang w:val="en-GB"/>
        </w:rPr>
        <w:t>.</w:t>
      </w:r>
    </w:p>
    <w:p w14:paraId="065FB3EF" w14:textId="77777777" w:rsidR="00114DF5" w:rsidRPr="00114DF5" w:rsidRDefault="00114DF5" w:rsidP="00CE6804">
      <w:pPr>
        <w:spacing w:after="120"/>
        <w:jc w:val="both"/>
        <w:rPr>
          <w:rFonts w:asciiTheme="minorHAnsi" w:hAnsiTheme="minorHAnsi" w:cstheme="minorHAnsi"/>
          <w:bCs/>
          <w:color w:val="auto"/>
          <w:sz w:val="22"/>
          <w:szCs w:val="22"/>
          <w:lang w:val="en-GB"/>
        </w:rPr>
      </w:pPr>
    </w:p>
    <w:p w14:paraId="5C0C5714" w14:textId="6C40A0A4" w:rsidR="00CE6804" w:rsidRPr="00B373FD" w:rsidRDefault="00CE6804" w:rsidP="00CE6804">
      <w:pPr>
        <w:spacing w:after="120"/>
        <w:jc w:val="both"/>
        <w:rPr>
          <w:b/>
          <w:bCs/>
          <w:color w:val="auto"/>
          <w:sz w:val="22"/>
          <w:szCs w:val="22"/>
          <w:lang w:val="en-GB"/>
        </w:rPr>
      </w:pPr>
      <w:r w:rsidRPr="00B373FD">
        <w:rPr>
          <w:b/>
          <w:bCs/>
          <w:color w:val="auto"/>
          <w:sz w:val="22"/>
          <w:szCs w:val="22"/>
          <w:lang w:val="en-GB"/>
        </w:rPr>
        <w:t>About the Company</w:t>
      </w:r>
    </w:p>
    <w:p w14:paraId="6075870F" w14:textId="77777777" w:rsidR="00CE6804" w:rsidRPr="00B373FD" w:rsidRDefault="00CE6804" w:rsidP="00CE6804">
      <w:pPr>
        <w:spacing w:after="120"/>
        <w:jc w:val="both"/>
        <w:rPr>
          <w:bCs/>
          <w:i/>
          <w:iCs/>
          <w:color w:val="auto"/>
          <w:sz w:val="22"/>
          <w:szCs w:val="22"/>
          <w:lang w:val="en-GB"/>
        </w:rPr>
      </w:pPr>
      <w:r w:rsidRPr="00B373FD">
        <w:rPr>
          <w:bCs/>
          <w:i/>
          <w:iCs/>
          <w:color w:val="auto"/>
          <w:sz w:val="22"/>
          <w:szCs w:val="22"/>
          <w:lang w:val="en-GB"/>
        </w:rPr>
        <w:t>PhosAgro (</w:t>
      </w:r>
      <w:hyperlink>
        <w:r w:rsidRPr="00B373FD">
          <w:rPr>
            <w:rStyle w:val="aff3"/>
            <w:bCs/>
            <w:i/>
            <w:iCs/>
            <w:sz w:val="22"/>
            <w:szCs w:val="22"/>
            <w:lang w:val="en-GB"/>
          </w:rPr>
          <w:t>www.phosagro.ru</w:t>
        </w:r>
      </w:hyperlink>
      <w:r w:rsidRPr="00B373FD">
        <w:rPr>
          <w:bCs/>
          <w:i/>
          <w:iCs/>
          <w:color w:val="auto"/>
          <w:sz w:val="22"/>
          <w:szCs w:val="22"/>
          <w:lang w:val="en-GB"/>
        </w:rPr>
        <w:t>) is a vertically integrated Russian company and one of the world’s leading producers of phosphate-based fertilizers and high-grade phosphate rock with P2O5 content of 39% or more (according to the IFA). PhosAgro’s high-performance fertilizers produce crops with advanced features.</w:t>
      </w:r>
    </w:p>
    <w:p w14:paraId="17CB40C4" w14:textId="77777777" w:rsidR="00CE6804" w:rsidRPr="00B373FD" w:rsidRDefault="00CE6804" w:rsidP="00CE6804">
      <w:pPr>
        <w:spacing w:after="120"/>
        <w:jc w:val="both"/>
        <w:rPr>
          <w:bCs/>
          <w:i/>
          <w:iCs/>
          <w:color w:val="auto"/>
          <w:sz w:val="22"/>
          <w:szCs w:val="22"/>
          <w:lang w:val="en-GB"/>
        </w:rPr>
      </w:pPr>
      <w:r w:rsidRPr="00B373FD">
        <w:rPr>
          <w:bCs/>
          <w:i/>
          <w:iCs/>
          <w:color w:val="auto"/>
          <w:sz w:val="22"/>
          <w:szCs w:val="22"/>
          <w:lang w:val="en-GB"/>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6B804B69" w14:textId="77777777" w:rsidR="00CE6804" w:rsidRPr="00B373FD" w:rsidRDefault="00CE6804" w:rsidP="00CE6804">
      <w:pPr>
        <w:spacing w:after="120"/>
        <w:jc w:val="both"/>
        <w:rPr>
          <w:bCs/>
          <w:i/>
          <w:iCs/>
          <w:color w:val="auto"/>
          <w:sz w:val="22"/>
          <w:szCs w:val="22"/>
          <w:lang w:val="en-GB"/>
        </w:rPr>
      </w:pPr>
      <w:r w:rsidRPr="00B373FD">
        <w:rPr>
          <w:bCs/>
          <w:i/>
          <w:iCs/>
          <w:color w:val="auto"/>
          <w:sz w:val="22"/>
          <w:szCs w:val="22"/>
          <w:lang w:val="en-GB"/>
        </w:rPr>
        <w:t xml:space="preserve">PhosAgro’s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68ED67BE" w14:textId="2E8BDF7A" w:rsidR="00CE6804" w:rsidRPr="00CE6804" w:rsidRDefault="00CE6804" w:rsidP="00CE6804">
      <w:pPr>
        <w:spacing w:after="120"/>
        <w:jc w:val="both"/>
        <w:rPr>
          <w:bCs/>
          <w:i/>
          <w:iCs/>
          <w:color w:val="auto"/>
          <w:sz w:val="22"/>
          <w:szCs w:val="22"/>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p w14:paraId="79421E8E" w14:textId="1325F92A" w:rsidR="00111D29" w:rsidRPr="00F61636" w:rsidRDefault="00111D29">
      <w:pPr>
        <w:spacing w:after="120"/>
        <w:ind w:firstLine="567"/>
        <w:jc w:val="both"/>
        <w:rPr>
          <w:rFonts w:ascii="Times New Roman" w:hAnsi="Times New Roman"/>
          <w:color w:val="auto"/>
          <w:lang w:val="en-GB"/>
        </w:rPr>
      </w:pPr>
    </w:p>
    <w:bookmarkEnd w:id="0"/>
    <w:bookmarkEnd w:id="1"/>
    <w:p w14:paraId="20A4285D" w14:textId="54AD4602" w:rsidR="00111D29" w:rsidRPr="00F61636" w:rsidRDefault="00111D29">
      <w:pPr>
        <w:spacing w:before="60" w:after="60"/>
        <w:ind w:firstLine="708"/>
        <w:jc w:val="both"/>
        <w:rPr>
          <w:rFonts w:ascii="Times New Roman" w:hAnsi="Times New Roman" w:cs="Times New Roman"/>
          <w:i/>
          <w:sz w:val="18"/>
          <w:lang w:val="en-GB"/>
        </w:rPr>
      </w:pPr>
    </w:p>
    <w:sectPr w:rsidR="00111D29" w:rsidRPr="00F61636" w:rsidSect="00424448">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3CAB" w14:textId="77777777" w:rsidR="00015E95" w:rsidRDefault="00015E95">
      <w:r>
        <w:separator/>
      </w:r>
    </w:p>
  </w:endnote>
  <w:endnote w:type="continuationSeparator" w:id="0">
    <w:p w14:paraId="48C5B9E3" w14:textId="77777777" w:rsidR="00015E95" w:rsidRDefault="0001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2096" w14:textId="77777777" w:rsidR="00015E95" w:rsidRDefault="00015E95">
      <w:r>
        <w:separator/>
      </w:r>
    </w:p>
  </w:footnote>
  <w:footnote w:type="continuationSeparator" w:id="0">
    <w:p w14:paraId="53DAE4C9" w14:textId="77777777" w:rsidR="00015E95" w:rsidRDefault="00015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3"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4" w15:restartNumberingAfterBreak="0">
    <w:nsid w:val="1D255699"/>
    <w:multiLevelType w:val="hybridMultilevel"/>
    <w:tmpl w:val="FF30A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6"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7"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8"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9"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F1271"/>
    <w:multiLevelType w:val="hybridMultilevel"/>
    <w:tmpl w:val="770A5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2"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3" w15:restartNumberingAfterBreak="0">
    <w:nsid w:val="5504419B"/>
    <w:multiLevelType w:val="multilevel"/>
    <w:tmpl w:val="340C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5"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6"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7"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8"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9"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7"/>
  </w:num>
  <w:num w:numId="5">
    <w:abstractNumId w:val="14"/>
  </w:num>
  <w:num w:numId="6">
    <w:abstractNumId w:val="6"/>
  </w:num>
  <w:num w:numId="7">
    <w:abstractNumId w:val="15"/>
  </w:num>
  <w:num w:numId="8">
    <w:abstractNumId w:val="19"/>
  </w:num>
  <w:num w:numId="9">
    <w:abstractNumId w:val="2"/>
  </w:num>
  <w:num w:numId="10">
    <w:abstractNumId w:val="0"/>
  </w:num>
  <w:num w:numId="11">
    <w:abstractNumId w:val="12"/>
  </w:num>
  <w:num w:numId="12">
    <w:abstractNumId w:val="1"/>
  </w:num>
  <w:num w:numId="13">
    <w:abstractNumId w:val="7"/>
  </w:num>
  <w:num w:numId="14">
    <w:abstractNumId w:val="11"/>
  </w:num>
  <w:num w:numId="15">
    <w:abstractNumId w:val="18"/>
  </w:num>
  <w:num w:numId="16">
    <w:abstractNumId w:val="16"/>
  </w:num>
  <w:num w:numId="17">
    <w:abstractNumId w:val="5"/>
  </w:num>
  <w:num w:numId="18">
    <w:abstractNumId w:val="4"/>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06AD2"/>
    <w:rsid w:val="000154BC"/>
    <w:rsid w:val="00015AE1"/>
    <w:rsid w:val="00015E95"/>
    <w:rsid w:val="000247FA"/>
    <w:rsid w:val="00041A67"/>
    <w:rsid w:val="00060211"/>
    <w:rsid w:val="00065D98"/>
    <w:rsid w:val="000712AB"/>
    <w:rsid w:val="0009792C"/>
    <w:rsid w:val="000A588E"/>
    <w:rsid w:val="000D07D2"/>
    <w:rsid w:val="000D10DE"/>
    <w:rsid w:val="000D7DCE"/>
    <w:rsid w:val="000E707D"/>
    <w:rsid w:val="000E798A"/>
    <w:rsid w:val="000F2542"/>
    <w:rsid w:val="000F6527"/>
    <w:rsid w:val="001024C1"/>
    <w:rsid w:val="00111D29"/>
    <w:rsid w:val="00112AEB"/>
    <w:rsid w:val="00114DF5"/>
    <w:rsid w:val="00122483"/>
    <w:rsid w:val="00135208"/>
    <w:rsid w:val="00147366"/>
    <w:rsid w:val="00150D94"/>
    <w:rsid w:val="001520D7"/>
    <w:rsid w:val="0015412E"/>
    <w:rsid w:val="00155A77"/>
    <w:rsid w:val="00155C37"/>
    <w:rsid w:val="001700C8"/>
    <w:rsid w:val="00182DED"/>
    <w:rsid w:val="00182EF7"/>
    <w:rsid w:val="00187210"/>
    <w:rsid w:val="001B25F3"/>
    <w:rsid w:val="001C113A"/>
    <w:rsid w:val="001C49F9"/>
    <w:rsid w:val="001D63AF"/>
    <w:rsid w:val="001E4A92"/>
    <w:rsid w:val="001F0A3B"/>
    <w:rsid w:val="001F123F"/>
    <w:rsid w:val="001F7302"/>
    <w:rsid w:val="001F743D"/>
    <w:rsid w:val="00200D54"/>
    <w:rsid w:val="00205B49"/>
    <w:rsid w:val="0020788E"/>
    <w:rsid w:val="002166D5"/>
    <w:rsid w:val="00226CE8"/>
    <w:rsid w:val="00236E9A"/>
    <w:rsid w:val="00237378"/>
    <w:rsid w:val="00245815"/>
    <w:rsid w:val="00262AFF"/>
    <w:rsid w:val="002679A1"/>
    <w:rsid w:val="002738FB"/>
    <w:rsid w:val="00276B4F"/>
    <w:rsid w:val="00283933"/>
    <w:rsid w:val="002A1850"/>
    <w:rsid w:val="002B457A"/>
    <w:rsid w:val="002C372A"/>
    <w:rsid w:val="002D1B07"/>
    <w:rsid w:val="002D37B8"/>
    <w:rsid w:val="002D45FA"/>
    <w:rsid w:val="002D64B0"/>
    <w:rsid w:val="002D7A37"/>
    <w:rsid w:val="002E0BDE"/>
    <w:rsid w:val="002E293D"/>
    <w:rsid w:val="002E36AE"/>
    <w:rsid w:val="002E4BB1"/>
    <w:rsid w:val="002F67B7"/>
    <w:rsid w:val="003075D3"/>
    <w:rsid w:val="003129D8"/>
    <w:rsid w:val="00316B58"/>
    <w:rsid w:val="00322FB1"/>
    <w:rsid w:val="00324630"/>
    <w:rsid w:val="0034502D"/>
    <w:rsid w:val="003517D5"/>
    <w:rsid w:val="00356BD7"/>
    <w:rsid w:val="0036258B"/>
    <w:rsid w:val="00363D68"/>
    <w:rsid w:val="00365078"/>
    <w:rsid w:val="003669E2"/>
    <w:rsid w:val="0037034E"/>
    <w:rsid w:val="00372A1E"/>
    <w:rsid w:val="00372B4C"/>
    <w:rsid w:val="0037493B"/>
    <w:rsid w:val="003774CE"/>
    <w:rsid w:val="00394009"/>
    <w:rsid w:val="00395C54"/>
    <w:rsid w:val="0039606F"/>
    <w:rsid w:val="003A557A"/>
    <w:rsid w:val="003B1467"/>
    <w:rsid w:val="003B1C96"/>
    <w:rsid w:val="003B2AC9"/>
    <w:rsid w:val="003B7F96"/>
    <w:rsid w:val="003C3C68"/>
    <w:rsid w:val="003C4990"/>
    <w:rsid w:val="003D1A85"/>
    <w:rsid w:val="003E175A"/>
    <w:rsid w:val="003F3612"/>
    <w:rsid w:val="003F5B5F"/>
    <w:rsid w:val="00401519"/>
    <w:rsid w:val="0040267C"/>
    <w:rsid w:val="00404684"/>
    <w:rsid w:val="004114B3"/>
    <w:rsid w:val="00412BA2"/>
    <w:rsid w:val="00424448"/>
    <w:rsid w:val="00437284"/>
    <w:rsid w:val="00437567"/>
    <w:rsid w:val="00440438"/>
    <w:rsid w:val="00444FD4"/>
    <w:rsid w:val="004512A9"/>
    <w:rsid w:val="00454999"/>
    <w:rsid w:val="00455EE2"/>
    <w:rsid w:val="0045786D"/>
    <w:rsid w:val="00473337"/>
    <w:rsid w:val="004755F4"/>
    <w:rsid w:val="00477EBF"/>
    <w:rsid w:val="00480866"/>
    <w:rsid w:val="004A269A"/>
    <w:rsid w:val="004A45F6"/>
    <w:rsid w:val="004A77E5"/>
    <w:rsid w:val="004A7CBD"/>
    <w:rsid w:val="004B0331"/>
    <w:rsid w:val="004B1AC3"/>
    <w:rsid w:val="004B6F45"/>
    <w:rsid w:val="004D0C6F"/>
    <w:rsid w:val="004D77BE"/>
    <w:rsid w:val="004E58E7"/>
    <w:rsid w:val="004E6DEB"/>
    <w:rsid w:val="004F0EB6"/>
    <w:rsid w:val="004F5604"/>
    <w:rsid w:val="004F5E59"/>
    <w:rsid w:val="005037E4"/>
    <w:rsid w:val="005044C9"/>
    <w:rsid w:val="00504B09"/>
    <w:rsid w:val="00505229"/>
    <w:rsid w:val="00514382"/>
    <w:rsid w:val="00537DD4"/>
    <w:rsid w:val="00554712"/>
    <w:rsid w:val="00554829"/>
    <w:rsid w:val="00555792"/>
    <w:rsid w:val="00556CE8"/>
    <w:rsid w:val="00560A98"/>
    <w:rsid w:val="005626CB"/>
    <w:rsid w:val="005709D2"/>
    <w:rsid w:val="00590A25"/>
    <w:rsid w:val="005918D0"/>
    <w:rsid w:val="005A7EA9"/>
    <w:rsid w:val="005B04E5"/>
    <w:rsid w:val="005B1721"/>
    <w:rsid w:val="005B3B39"/>
    <w:rsid w:val="005B57CE"/>
    <w:rsid w:val="005E0D74"/>
    <w:rsid w:val="005E5805"/>
    <w:rsid w:val="005F1D90"/>
    <w:rsid w:val="00601FB6"/>
    <w:rsid w:val="00614606"/>
    <w:rsid w:val="00617E22"/>
    <w:rsid w:val="006210E3"/>
    <w:rsid w:val="00622175"/>
    <w:rsid w:val="00630C8F"/>
    <w:rsid w:val="00634301"/>
    <w:rsid w:val="00641D0B"/>
    <w:rsid w:val="00653CDB"/>
    <w:rsid w:val="00656B1F"/>
    <w:rsid w:val="00657AE1"/>
    <w:rsid w:val="00657CC9"/>
    <w:rsid w:val="006627CF"/>
    <w:rsid w:val="00690357"/>
    <w:rsid w:val="006942A2"/>
    <w:rsid w:val="00695457"/>
    <w:rsid w:val="00697642"/>
    <w:rsid w:val="006B00E1"/>
    <w:rsid w:val="006B2FB0"/>
    <w:rsid w:val="006B4434"/>
    <w:rsid w:val="006D245A"/>
    <w:rsid w:val="006D5970"/>
    <w:rsid w:val="006D6DB2"/>
    <w:rsid w:val="006F542D"/>
    <w:rsid w:val="00701D01"/>
    <w:rsid w:val="00703C7C"/>
    <w:rsid w:val="00707D0C"/>
    <w:rsid w:val="00716A1B"/>
    <w:rsid w:val="00726A9A"/>
    <w:rsid w:val="00733FD1"/>
    <w:rsid w:val="00736E47"/>
    <w:rsid w:val="00740603"/>
    <w:rsid w:val="00741E8D"/>
    <w:rsid w:val="007457F2"/>
    <w:rsid w:val="00752D94"/>
    <w:rsid w:val="00755180"/>
    <w:rsid w:val="00755FE4"/>
    <w:rsid w:val="0076583F"/>
    <w:rsid w:val="00770ACA"/>
    <w:rsid w:val="00782423"/>
    <w:rsid w:val="007925FF"/>
    <w:rsid w:val="0079456C"/>
    <w:rsid w:val="007A5FF8"/>
    <w:rsid w:val="007B2D31"/>
    <w:rsid w:val="007B5B90"/>
    <w:rsid w:val="007D0FF9"/>
    <w:rsid w:val="007D4536"/>
    <w:rsid w:val="007D5D67"/>
    <w:rsid w:val="007F7D22"/>
    <w:rsid w:val="00824A3F"/>
    <w:rsid w:val="00826A64"/>
    <w:rsid w:val="00832D26"/>
    <w:rsid w:val="00840ABC"/>
    <w:rsid w:val="00845829"/>
    <w:rsid w:val="00846029"/>
    <w:rsid w:val="0085780B"/>
    <w:rsid w:val="0086083F"/>
    <w:rsid w:val="00864807"/>
    <w:rsid w:val="00867415"/>
    <w:rsid w:val="00874A14"/>
    <w:rsid w:val="00891ECC"/>
    <w:rsid w:val="00895DEC"/>
    <w:rsid w:val="008A54FE"/>
    <w:rsid w:val="008B1E74"/>
    <w:rsid w:val="008B3213"/>
    <w:rsid w:val="008E334A"/>
    <w:rsid w:val="008E45AC"/>
    <w:rsid w:val="008F0023"/>
    <w:rsid w:val="00914C9B"/>
    <w:rsid w:val="00923EBE"/>
    <w:rsid w:val="0092620D"/>
    <w:rsid w:val="009276E8"/>
    <w:rsid w:val="009321E1"/>
    <w:rsid w:val="00934B04"/>
    <w:rsid w:val="009426FD"/>
    <w:rsid w:val="00945441"/>
    <w:rsid w:val="00951136"/>
    <w:rsid w:val="00953720"/>
    <w:rsid w:val="00954EAB"/>
    <w:rsid w:val="00955051"/>
    <w:rsid w:val="009550C8"/>
    <w:rsid w:val="0097063E"/>
    <w:rsid w:val="0098280E"/>
    <w:rsid w:val="00983CA2"/>
    <w:rsid w:val="00986B30"/>
    <w:rsid w:val="00986D91"/>
    <w:rsid w:val="00991D9A"/>
    <w:rsid w:val="009A005A"/>
    <w:rsid w:val="009A09E5"/>
    <w:rsid w:val="009C04CF"/>
    <w:rsid w:val="009C388D"/>
    <w:rsid w:val="009C7162"/>
    <w:rsid w:val="009E1659"/>
    <w:rsid w:val="009E2DD2"/>
    <w:rsid w:val="009E606A"/>
    <w:rsid w:val="00A04F3E"/>
    <w:rsid w:val="00A116F5"/>
    <w:rsid w:val="00A12647"/>
    <w:rsid w:val="00A126C2"/>
    <w:rsid w:val="00A13687"/>
    <w:rsid w:val="00A2014A"/>
    <w:rsid w:val="00A3615F"/>
    <w:rsid w:val="00A367B8"/>
    <w:rsid w:val="00A42977"/>
    <w:rsid w:val="00A509E6"/>
    <w:rsid w:val="00A578A1"/>
    <w:rsid w:val="00A81DB9"/>
    <w:rsid w:val="00A82694"/>
    <w:rsid w:val="00A84290"/>
    <w:rsid w:val="00A907EF"/>
    <w:rsid w:val="00AA75B0"/>
    <w:rsid w:val="00AB5AE4"/>
    <w:rsid w:val="00AC4578"/>
    <w:rsid w:val="00AD4C8E"/>
    <w:rsid w:val="00AD658C"/>
    <w:rsid w:val="00AE2BC7"/>
    <w:rsid w:val="00AF51B3"/>
    <w:rsid w:val="00AF79C5"/>
    <w:rsid w:val="00B126A8"/>
    <w:rsid w:val="00B2452E"/>
    <w:rsid w:val="00B2637F"/>
    <w:rsid w:val="00B327D8"/>
    <w:rsid w:val="00B354CC"/>
    <w:rsid w:val="00B40113"/>
    <w:rsid w:val="00B402BF"/>
    <w:rsid w:val="00B63CFC"/>
    <w:rsid w:val="00B66AA1"/>
    <w:rsid w:val="00B773B4"/>
    <w:rsid w:val="00B836FC"/>
    <w:rsid w:val="00B847A0"/>
    <w:rsid w:val="00B8616A"/>
    <w:rsid w:val="00B92BCC"/>
    <w:rsid w:val="00B93ADD"/>
    <w:rsid w:val="00BA4A2B"/>
    <w:rsid w:val="00BA5A8E"/>
    <w:rsid w:val="00BC0B82"/>
    <w:rsid w:val="00BC7031"/>
    <w:rsid w:val="00BC7F17"/>
    <w:rsid w:val="00BD2CE0"/>
    <w:rsid w:val="00BD46C8"/>
    <w:rsid w:val="00BE4F0D"/>
    <w:rsid w:val="00BF0D13"/>
    <w:rsid w:val="00BF43FA"/>
    <w:rsid w:val="00C05439"/>
    <w:rsid w:val="00C110A2"/>
    <w:rsid w:val="00C153EA"/>
    <w:rsid w:val="00C20EE4"/>
    <w:rsid w:val="00C274AD"/>
    <w:rsid w:val="00C302EB"/>
    <w:rsid w:val="00C41588"/>
    <w:rsid w:val="00C43F08"/>
    <w:rsid w:val="00C45CBA"/>
    <w:rsid w:val="00C510C4"/>
    <w:rsid w:val="00C5755A"/>
    <w:rsid w:val="00C631B9"/>
    <w:rsid w:val="00C648B5"/>
    <w:rsid w:val="00C7430C"/>
    <w:rsid w:val="00C75227"/>
    <w:rsid w:val="00C808A8"/>
    <w:rsid w:val="00C945C4"/>
    <w:rsid w:val="00C9783D"/>
    <w:rsid w:val="00CA2460"/>
    <w:rsid w:val="00CA2A00"/>
    <w:rsid w:val="00CB03AF"/>
    <w:rsid w:val="00CC2A6C"/>
    <w:rsid w:val="00CC5A27"/>
    <w:rsid w:val="00CD1E6B"/>
    <w:rsid w:val="00CD5E54"/>
    <w:rsid w:val="00CE0A32"/>
    <w:rsid w:val="00CE15C0"/>
    <w:rsid w:val="00CE1B4F"/>
    <w:rsid w:val="00CE6804"/>
    <w:rsid w:val="00D15F60"/>
    <w:rsid w:val="00D26E28"/>
    <w:rsid w:val="00D32BE8"/>
    <w:rsid w:val="00D50FEC"/>
    <w:rsid w:val="00D51926"/>
    <w:rsid w:val="00D6499E"/>
    <w:rsid w:val="00D709EE"/>
    <w:rsid w:val="00D75001"/>
    <w:rsid w:val="00D76042"/>
    <w:rsid w:val="00D832E8"/>
    <w:rsid w:val="00DA0B7F"/>
    <w:rsid w:val="00DA1341"/>
    <w:rsid w:val="00DA578B"/>
    <w:rsid w:val="00DA6DD9"/>
    <w:rsid w:val="00DB1B8A"/>
    <w:rsid w:val="00DD2CF7"/>
    <w:rsid w:val="00DD4274"/>
    <w:rsid w:val="00DD6DCF"/>
    <w:rsid w:val="00DD7466"/>
    <w:rsid w:val="00DE0CE2"/>
    <w:rsid w:val="00DE4A55"/>
    <w:rsid w:val="00DE636D"/>
    <w:rsid w:val="00DF43AE"/>
    <w:rsid w:val="00DF5596"/>
    <w:rsid w:val="00E06769"/>
    <w:rsid w:val="00E10CB9"/>
    <w:rsid w:val="00E16CE5"/>
    <w:rsid w:val="00E43CAA"/>
    <w:rsid w:val="00E4686B"/>
    <w:rsid w:val="00E50E36"/>
    <w:rsid w:val="00E63C8F"/>
    <w:rsid w:val="00E67362"/>
    <w:rsid w:val="00E677E8"/>
    <w:rsid w:val="00E75FF1"/>
    <w:rsid w:val="00E77EC4"/>
    <w:rsid w:val="00E82FAD"/>
    <w:rsid w:val="00E97FEC"/>
    <w:rsid w:val="00EA29F0"/>
    <w:rsid w:val="00EA7E6E"/>
    <w:rsid w:val="00EB50AC"/>
    <w:rsid w:val="00EB6320"/>
    <w:rsid w:val="00EC5883"/>
    <w:rsid w:val="00EC660B"/>
    <w:rsid w:val="00ED3FF5"/>
    <w:rsid w:val="00ED6782"/>
    <w:rsid w:val="00EF29C4"/>
    <w:rsid w:val="00EF3EA4"/>
    <w:rsid w:val="00EF43E6"/>
    <w:rsid w:val="00EF5FF8"/>
    <w:rsid w:val="00F03562"/>
    <w:rsid w:val="00F104B7"/>
    <w:rsid w:val="00F104EB"/>
    <w:rsid w:val="00F123DB"/>
    <w:rsid w:val="00F13776"/>
    <w:rsid w:val="00F23766"/>
    <w:rsid w:val="00F23D29"/>
    <w:rsid w:val="00F3461E"/>
    <w:rsid w:val="00F35EBB"/>
    <w:rsid w:val="00F362E4"/>
    <w:rsid w:val="00F44A16"/>
    <w:rsid w:val="00F44C06"/>
    <w:rsid w:val="00F45EAE"/>
    <w:rsid w:val="00F46CBF"/>
    <w:rsid w:val="00F472FD"/>
    <w:rsid w:val="00F50024"/>
    <w:rsid w:val="00F61636"/>
    <w:rsid w:val="00F64C59"/>
    <w:rsid w:val="00F65D7C"/>
    <w:rsid w:val="00F72397"/>
    <w:rsid w:val="00F7684F"/>
    <w:rsid w:val="00F76B42"/>
    <w:rsid w:val="00F76BF2"/>
    <w:rsid w:val="00F83941"/>
    <w:rsid w:val="00F90134"/>
    <w:rsid w:val="00F914B3"/>
    <w:rsid w:val="00F9342E"/>
    <w:rsid w:val="00F96249"/>
    <w:rsid w:val="00FA6307"/>
    <w:rsid w:val="00FA6ED6"/>
    <w:rsid w:val="00FA7A5B"/>
    <w:rsid w:val="00FB0BA5"/>
    <w:rsid w:val="00FB46CF"/>
    <w:rsid w:val="00FC370A"/>
    <w:rsid w:val="00FD6EB6"/>
    <w:rsid w:val="00FE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5BC5"/>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sz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i/>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rPr>
  </w:style>
  <w:style w:type="character" w:customStyle="1" w:styleId="40">
    <w:name w:val="Заголовок 4 Знак"/>
    <w:basedOn w:val="a0"/>
    <w:link w:val="4"/>
    <w:uiPriority w:val="9"/>
    <w:rPr>
      <w:rFonts w:ascii="Arial" w:eastAsia="Arial" w:hAnsi="Arial" w:cs="Arial"/>
      <w:b/>
      <w:sz w:val="26"/>
    </w:rPr>
  </w:style>
  <w:style w:type="character" w:customStyle="1" w:styleId="50">
    <w:name w:val="Заголовок 5 Знак"/>
    <w:basedOn w:val="a0"/>
    <w:link w:val="5"/>
    <w:uiPriority w:val="9"/>
    <w:rPr>
      <w:rFonts w:ascii="Arial" w:eastAsia="Arial" w:hAnsi="Arial" w:cs="Arial"/>
      <w:b/>
      <w:sz w:val="24"/>
    </w:rPr>
  </w:style>
  <w:style w:type="character" w:customStyle="1" w:styleId="60">
    <w:name w:val="Заголовок 6 Знак"/>
    <w:basedOn w:val="a0"/>
    <w:link w:val="6"/>
    <w:uiPriority w:val="9"/>
    <w:rPr>
      <w:rFonts w:ascii="Arial" w:eastAsia="Arial" w:hAnsi="Arial" w:cs="Arial"/>
      <w:b/>
      <w:sz w:val="22"/>
    </w:rPr>
  </w:style>
  <w:style w:type="character" w:customStyle="1" w:styleId="70">
    <w:name w:val="Заголовок 7 Знак"/>
    <w:basedOn w:val="a0"/>
    <w:link w:val="7"/>
    <w:uiPriority w:val="9"/>
    <w:rPr>
      <w:rFonts w:ascii="Arial" w:eastAsia="Arial" w:hAnsi="Arial" w:cs="Arial"/>
      <w:b/>
      <w:i/>
      <w:sz w:val="22"/>
    </w:rPr>
  </w:style>
  <w:style w:type="character" w:customStyle="1" w:styleId="80">
    <w:name w:val="Заголовок 8 Знак"/>
    <w:basedOn w:val="a0"/>
    <w:link w:val="8"/>
    <w:uiPriority w:val="9"/>
    <w:rPr>
      <w:rFonts w:ascii="Arial" w:eastAsia="Arial" w:hAnsi="Arial" w:cs="Arial"/>
      <w:i/>
      <w:sz w:val="22"/>
    </w:rPr>
  </w:style>
  <w:style w:type="character" w:customStyle="1" w:styleId="90">
    <w:name w:val="Заголовок 9 Знак"/>
    <w:basedOn w:val="a0"/>
    <w:link w:val="9"/>
    <w:uiPriority w:val="9"/>
    <w:rPr>
      <w:rFonts w:ascii="Arial" w:eastAsia="Arial" w:hAnsi="Arial" w:cs="Arial"/>
      <w:i/>
      <w:sz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rPr>
  </w:style>
  <w:style w:type="character" w:customStyle="1" w:styleId="a5">
    <w:name w:val="Заголовок Знак"/>
    <w:basedOn w:val="a0"/>
    <w:link w:val="a4"/>
    <w:uiPriority w:val="10"/>
    <w:rPr>
      <w:sz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color w:val="4F81BD" w:themeColor="accent1"/>
      <w:sz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color w:val="0563C1"/>
      <w:sz w:val="18"/>
      <w:u w:val="single"/>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rPr>
  </w:style>
  <w:style w:type="paragraph" w:styleId="af9">
    <w:name w:val="Balloon Text"/>
    <w:basedOn w:val="a"/>
    <w:link w:val="afa"/>
    <w:uiPriority w:val="99"/>
    <w:semiHidden/>
    <w:unhideWhenUsed/>
    <w:rPr>
      <w:rFonts w:ascii="Segoe UI" w:hAnsi="Segoe UI" w:cs="Segoe UI"/>
      <w:sz w:val="18"/>
    </w:rPr>
  </w:style>
  <w:style w:type="character" w:customStyle="1" w:styleId="afa">
    <w:name w:val="Текст выноски Знак"/>
    <w:basedOn w:val="a0"/>
    <w:link w:val="af9"/>
    <w:uiPriority w:val="99"/>
    <w:semiHidden/>
    <w:rPr>
      <w:rFonts w:ascii="Segoe UI" w:eastAsia="Calibri" w:hAnsi="Segoe UI" w:cs="Segoe UI"/>
      <w:color w:val="000000"/>
      <w:sz w:val="18"/>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rPr>
  </w:style>
  <w:style w:type="paragraph" w:styleId="afd">
    <w:name w:val="annotation text"/>
    <w:basedOn w:val="a"/>
    <w:link w:val="afe"/>
    <w:uiPriority w:val="99"/>
    <w:semiHidden/>
    <w:unhideWhenUsed/>
    <w:rPr>
      <w:sz w:val="20"/>
    </w:rPr>
  </w:style>
  <w:style w:type="character" w:customStyle="1" w:styleId="afe">
    <w:name w:val="Текст примечания Знак"/>
    <w:basedOn w:val="a0"/>
    <w:link w:val="afd"/>
    <w:uiPriority w:val="99"/>
    <w:semiHidden/>
    <w:rPr>
      <w:rFonts w:ascii="Calibri" w:eastAsia="Calibri" w:hAnsi="Calibri" w:cs="Calibri"/>
      <w:color w:val="000000"/>
      <w:sz w:val="20"/>
    </w:rPr>
  </w:style>
  <w:style w:type="paragraph" w:styleId="aff">
    <w:name w:val="annotation subject"/>
    <w:basedOn w:val="afd"/>
    <w:next w:val="afd"/>
    <w:link w:val="aff0"/>
    <w:uiPriority w:val="99"/>
    <w:semiHidden/>
    <w:unhideWhenUsed/>
    <w:rPr>
      <w:b/>
    </w:rPr>
  </w:style>
  <w:style w:type="character" w:customStyle="1" w:styleId="aff0">
    <w:name w:val="Тема примечания Знак"/>
    <w:basedOn w:val="afe"/>
    <w:link w:val="aff"/>
    <w:uiPriority w:val="99"/>
    <w:semiHidden/>
    <w:rPr>
      <w:rFonts w:ascii="Calibri" w:eastAsia="Calibri" w:hAnsi="Calibri" w:cs="Calibri"/>
      <w:b/>
      <w:color w:val="000000"/>
      <w:sz w:val="20"/>
    </w:rPr>
  </w:style>
  <w:style w:type="paragraph" w:styleId="aff1">
    <w:name w:val="List Paragraph"/>
    <w:aliases w:val="ПАРАГРАФ,List Paragraph à moi,Абзац списка для документа,List Paragraph1,Proposal Bullet List,TOC style,Table,Содержание. 2 уровень,Список нумерованный цифры,Варианты ответов,UL,Абзац маркированнный,Список_Ав,Список с булитами,LSTBUL,lp1"/>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aliases w:val="ПАРАГРАФ Знак,List Paragraph à moi Знак,Абзац списка для документа Знак,List Paragraph1 Знак,Proposal Bullet List Знак,TOC style Знак,Table Знак,Содержание. 2 уровень Знак,Список нумерованный цифры Знак,Варианты ответов Знак,UL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color w:val="404040" w:themeColor="text1" w:themeTint="BF"/>
    </w:rPr>
  </w:style>
  <w:style w:type="character" w:customStyle="1" w:styleId="24">
    <w:name w:val="Цитата 2 Знак"/>
    <w:basedOn w:val="a0"/>
    <w:link w:val="23"/>
    <w:uiPriority w:val="29"/>
    <w:rPr>
      <w:rFonts w:ascii="Calibri" w:eastAsia="Calibri" w:hAnsi="Calibri" w:cs="Calibri"/>
      <w:i/>
      <w:color w:val="404040" w:themeColor="text1" w:themeTint="BF"/>
      <w:sz w:val="24"/>
    </w:rPr>
  </w:style>
  <w:style w:type="paragraph" w:styleId="aff4">
    <w:name w:val="Revision"/>
    <w:hidden/>
    <w:uiPriority w:val="99"/>
    <w:semiHidden/>
    <w:rsid w:val="00FA6ED6"/>
    <w:pPr>
      <w:spacing w:after="0" w:line="240" w:lineRule="auto"/>
    </w:pPr>
    <w:rPr>
      <w:rFonts w:ascii="Calibri" w:eastAsia="Calibri" w:hAnsi="Calibri" w:cs="Calibri"/>
      <w:color w:val="000000"/>
      <w:sz w:val="24"/>
    </w:rPr>
  </w:style>
  <w:style w:type="character" w:styleId="aff5">
    <w:name w:val="Unresolved Mention"/>
    <w:basedOn w:val="a0"/>
    <w:uiPriority w:val="99"/>
    <w:semiHidden/>
    <w:unhideWhenUsed/>
    <w:rsid w:val="00EA7E6E"/>
    <w:rPr>
      <w:color w:val="605E5C"/>
      <w:shd w:val="clear" w:color="auto" w:fill="E1DFDD"/>
    </w:rPr>
  </w:style>
  <w:style w:type="paragraph" w:customStyle="1" w:styleId="P68B1DB1-Normal1">
    <w:name w:val="P68B1DB1-Normal1"/>
    <w:basedOn w:val="a"/>
    <w:rPr>
      <w:rFonts w:ascii="Times New Roman" w:hAnsi="Times New Roman" w:cs="Times New Roman"/>
      <w:b/>
    </w:rPr>
  </w:style>
  <w:style w:type="paragraph" w:customStyle="1" w:styleId="P68B1DB1-Normal2">
    <w:name w:val="P68B1DB1-Normal2"/>
    <w:basedOn w:val="a"/>
    <w:rPr>
      <w:rFonts w:ascii="Times New Roman" w:eastAsiaTheme="minorHAnsi" w:hAnsi="Times New Roman" w:cs="Times New Roman"/>
      <w:color w:val="auto"/>
    </w:rPr>
  </w:style>
  <w:style w:type="paragraph" w:customStyle="1" w:styleId="ds-markdown-paragraph">
    <w:name w:val="ds-markdown-paragraph"/>
    <w:basedOn w:val="a"/>
    <w:rsid w:val="00114DF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customStyle="1" w:styleId="P68B1DB1-ds-markdown-paragraph3">
    <w:name w:val="P68B1DB1-ds-markdown-paragraph3"/>
    <w:basedOn w:val="ds-markdown-paragraph"/>
    <w:rsid w:val="00114DF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2688">
      <w:bodyDiv w:val="1"/>
      <w:marLeft w:val="0"/>
      <w:marRight w:val="0"/>
      <w:marTop w:val="0"/>
      <w:marBottom w:val="0"/>
      <w:divBdr>
        <w:top w:val="none" w:sz="0" w:space="0" w:color="auto"/>
        <w:left w:val="none" w:sz="0" w:space="0" w:color="auto"/>
        <w:bottom w:val="none" w:sz="0" w:space="0" w:color="auto"/>
        <w:right w:val="none" w:sz="0" w:space="0" w:color="auto"/>
      </w:divBdr>
    </w:div>
    <w:div w:id="511771904">
      <w:bodyDiv w:val="1"/>
      <w:marLeft w:val="0"/>
      <w:marRight w:val="0"/>
      <w:marTop w:val="0"/>
      <w:marBottom w:val="0"/>
      <w:divBdr>
        <w:top w:val="none" w:sz="0" w:space="0" w:color="auto"/>
        <w:left w:val="none" w:sz="0" w:space="0" w:color="auto"/>
        <w:bottom w:val="none" w:sz="0" w:space="0" w:color="auto"/>
        <w:right w:val="none" w:sz="0" w:space="0" w:color="auto"/>
      </w:divBdr>
    </w:div>
    <w:div w:id="526676113">
      <w:bodyDiv w:val="1"/>
      <w:marLeft w:val="0"/>
      <w:marRight w:val="0"/>
      <w:marTop w:val="0"/>
      <w:marBottom w:val="0"/>
      <w:divBdr>
        <w:top w:val="none" w:sz="0" w:space="0" w:color="auto"/>
        <w:left w:val="none" w:sz="0" w:space="0" w:color="auto"/>
        <w:bottom w:val="none" w:sz="0" w:space="0" w:color="auto"/>
        <w:right w:val="none" w:sz="0" w:space="0" w:color="auto"/>
      </w:divBdr>
    </w:div>
    <w:div w:id="576790429">
      <w:bodyDiv w:val="1"/>
      <w:marLeft w:val="0"/>
      <w:marRight w:val="0"/>
      <w:marTop w:val="0"/>
      <w:marBottom w:val="0"/>
      <w:divBdr>
        <w:top w:val="none" w:sz="0" w:space="0" w:color="auto"/>
        <w:left w:val="none" w:sz="0" w:space="0" w:color="auto"/>
        <w:bottom w:val="none" w:sz="0" w:space="0" w:color="auto"/>
        <w:right w:val="none" w:sz="0" w:space="0" w:color="auto"/>
      </w:divBdr>
    </w:div>
    <w:div w:id="1161651668">
      <w:bodyDiv w:val="1"/>
      <w:marLeft w:val="0"/>
      <w:marRight w:val="0"/>
      <w:marTop w:val="0"/>
      <w:marBottom w:val="0"/>
      <w:divBdr>
        <w:top w:val="none" w:sz="0" w:space="0" w:color="auto"/>
        <w:left w:val="none" w:sz="0" w:space="0" w:color="auto"/>
        <w:bottom w:val="none" w:sz="0" w:space="0" w:color="auto"/>
        <w:right w:val="none" w:sz="0" w:space="0" w:color="auto"/>
      </w:divBdr>
    </w:div>
    <w:div w:id="1534270107">
      <w:bodyDiv w:val="1"/>
      <w:marLeft w:val="0"/>
      <w:marRight w:val="0"/>
      <w:marTop w:val="0"/>
      <w:marBottom w:val="0"/>
      <w:divBdr>
        <w:top w:val="none" w:sz="0" w:space="0" w:color="auto"/>
        <w:left w:val="none" w:sz="0" w:space="0" w:color="auto"/>
        <w:bottom w:val="none" w:sz="0" w:space="0" w:color="auto"/>
        <w:right w:val="none" w:sz="0" w:space="0" w:color="auto"/>
      </w:divBdr>
    </w:div>
    <w:div w:id="1577596251">
      <w:bodyDiv w:val="1"/>
      <w:marLeft w:val="0"/>
      <w:marRight w:val="0"/>
      <w:marTop w:val="0"/>
      <w:marBottom w:val="0"/>
      <w:divBdr>
        <w:top w:val="none" w:sz="0" w:space="0" w:color="auto"/>
        <w:left w:val="none" w:sz="0" w:space="0" w:color="auto"/>
        <w:bottom w:val="none" w:sz="0" w:space="0" w:color="auto"/>
        <w:right w:val="none" w:sz="0" w:space="0" w:color="auto"/>
      </w:divBdr>
    </w:div>
    <w:div w:id="18686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D3D41D6ABD2BF44A8577E7E70977C24" ma:contentTypeVersion="18" ma:contentTypeDescription="Создание документа." ma:contentTypeScope="" ma:versionID="1bfa8bd81f9eb6936cabb972d0356954">
  <xsd:schema xmlns:xsd="http://www.w3.org/2001/XMLSchema" xmlns:xs="http://www.w3.org/2001/XMLSchema" xmlns:p="http://schemas.microsoft.com/office/2006/metadata/properties" xmlns:ns2="52c25619-dce8-4858-8ca8-4517a0de4051" xmlns:ns3="3c833385-f152-468b-bcbb-e7a43554f696" targetNamespace="http://schemas.microsoft.com/office/2006/metadata/properties" ma:root="true" ma:fieldsID="f688201c234b0cfd093406aacec6c332" ns2:_="" ns3:_="">
    <xsd:import namespace="52c25619-dce8-4858-8ca8-4517a0de4051"/>
    <xsd:import namespace="3c833385-f152-468b-bcbb-e7a43554f6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5619-dce8-4858-8ca8-4517a0de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Теги изображений" ma:readOnly="false" ma:fieldId="{5cf76f15-5ced-4ddc-b409-7134ff3c332f}" ma:taxonomyMulti="true" ma:sspId="2547f57f-e31b-48b1-bb8a-62d5314fdf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33385-f152-468b-bcbb-e7a43554f6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081875-5dc9-4de1-b2e1-037f01d2ca35}" ma:internalName="TaxCatchAll" ma:showField="CatchAllData" ma:web="3c833385-f152-468b-bcbb-e7a43554f6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33385-f152-468b-bcbb-e7a43554f696" xsi:nil="true"/>
    <lcf76f155ced4ddcb4097134ff3c332f xmlns="52c25619-dce8-4858-8ca8-4517a0de40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58F8-5761-4E87-ADC7-E7D7DBB92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5619-dce8-4858-8ca8-4517a0de4051"/>
    <ds:schemaRef ds:uri="3c833385-f152-468b-bcbb-e7a43554f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C02C6-D3BD-48DE-9F41-951035E77DE5}">
  <ds:schemaRefs>
    <ds:schemaRef ds:uri="http://schemas.microsoft.com/office/2006/metadata/properties"/>
    <ds:schemaRef ds:uri="http://schemas.microsoft.com/office/infopath/2007/PartnerControls"/>
    <ds:schemaRef ds:uri="3c833385-f152-468b-bcbb-e7a43554f696"/>
    <ds:schemaRef ds:uri="52c25619-dce8-4858-8ca8-4517a0de4051"/>
  </ds:schemaRefs>
</ds:datastoreItem>
</file>

<file path=customXml/itemProps3.xml><?xml version="1.0" encoding="utf-8"?>
<ds:datastoreItem xmlns:ds="http://schemas.openxmlformats.org/officeDocument/2006/customXml" ds:itemID="{B3DCE555-C611-423C-BA02-FFB1A6C348B7}">
  <ds:schemaRefs>
    <ds:schemaRef ds:uri="http://schemas.microsoft.com/sharepoint/v3/contenttype/forms"/>
  </ds:schemaRefs>
</ds:datastoreItem>
</file>

<file path=customXml/itemProps4.xml><?xml version="1.0" encoding="utf-8"?>
<ds:datastoreItem xmlns:ds="http://schemas.openxmlformats.org/officeDocument/2006/customXml" ds:itemID="{17FF59E2-F58D-4BE5-B969-B9D2644C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Белов Тимур Анатольевич</cp:lastModifiedBy>
  <cp:revision>2</cp:revision>
  <cp:lastPrinted>2024-06-04T11:42:00Z</cp:lastPrinted>
  <dcterms:created xsi:type="dcterms:W3CDTF">2025-08-07T16:03:00Z</dcterms:created>
  <dcterms:modified xsi:type="dcterms:W3CDTF">2025-08-07T16:03:00Z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0x0101009D3D41D6ABD2BF44A8577E7E70977C24</vt:lpwstr>
  </property>
  <property fmtid="{D5CDD505-2E9C-101B-9397-08002B2CF9AE}" pid="3" name="MediaServiceImageTags">
    <vt:lpwstr/>
  </property>
</Properties>
</file>