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EC7D" w14:textId="0116B241" w:rsidR="00E90CED" w:rsidRPr="00DA1B2D" w:rsidRDefault="00F775E6">
      <w:pPr>
        <w:pStyle w:val="P68B1DB1-Normal1"/>
        <w:ind w:left="-57" w:right="-57"/>
        <w:jc w:val="center"/>
        <w:rPr>
          <w:lang w:val="en-GB"/>
        </w:rPr>
      </w:pPr>
      <w:r w:rsidRPr="002D6889">
        <w:rPr>
          <w:rFonts w:cstheme="minorHAnsi"/>
          <w:noProof/>
        </w:rPr>
        <w:drawing>
          <wp:inline distT="0" distB="0" distL="0" distR="0" wp14:anchorId="5EC11FCF" wp14:editId="31EE2AE2">
            <wp:extent cx="1111250" cy="692150"/>
            <wp:effectExtent l="0" t="0" r="0" b="0"/>
            <wp:docPr id="2" name="Рисунок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Рисунок 2" descr="Logo, company name&#10;&#10;Description automatically generated"/>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692150"/>
                    </a:xfrm>
                    <a:prstGeom prst="rect">
                      <a:avLst/>
                    </a:prstGeom>
                    <a:noFill/>
                    <a:ln>
                      <a:noFill/>
                    </a:ln>
                  </pic:spPr>
                </pic:pic>
              </a:graphicData>
            </a:graphic>
          </wp:inline>
        </w:drawing>
      </w:r>
    </w:p>
    <w:p w14:paraId="545E8A48" w14:textId="41282121" w:rsidR="00E90CED" w:rsidRPr="00C879FF" w:rsidRDefault="00D32FCB" w:rsidP="004A1B47">
      <w:pPr>
        <w:pStyle w:val="P68B1DB1-Normal2"/>
        <w:ind w:left="-624" w:right="-227" w:firstLine="709"/>
        <w:contextualSpacing/>
        <w:jc w:val="center"/>
        <w:rPr>
          <w:rFonts w:ascii="Calibri" w:hAnsi="Calibri" w:cs="Calibri"/>
          <w:sz w:val="22"/>
          <w:szCs w:val="22"/>
          <w:lang w:val="en-GB"/>
        </w:rPr>
      </w:pPr>
      <w:r w:rsidRPr="00C879FF">
        <w:rPr>
          <w:rFonts w:ascii="Calibri" w:hAnsi="Calibri" w:cs="Calibri"/>
          <w:sz w:val="22"/>
          <w:szCs w:val="22"/>
          <w:lang w:val="en-GB"/>
        </w:rPr>
        <w:t xml:space="preserve">PhosAgro Board of Directors </w:t>
      </w:r>
      <w:r w:rsidR="004A1B47" w:rsidRPr="00C879FF">
        <w:rPr>
          <w:rFonts w:ascii="Calibri" w:hAnsi="Calibri" w:cs="Calibri"/>
          <w:sz w:val="22"/>
          <w:szCs w:val="22"/>
          <w:lang w:val="en-GB"/>
        </w:rPr>
        <w:t>Reviews</w:t>
      </w:r>
      <w:r w:rsidRPr="00C879FF">
        <w:rPr>
          <w:rFonts w:ascii="Calibri" w:hAnsi="Calibri" w:cs="Calibri"/>
          <w:sz w:val="22"/>
          <w:szCs w:val="22"/>
          <w:lang w:val="en-GB"/>
        </w:rPr>
        <w:t xml:space="preserve"> Progress on Key Investment Projects</w:t>
      </w:r>
    </w:p>
    <w:p w14:paraId="5516DA01" w14:textId="1C54E55E" w:rsidR="00E90CED" w:rsidRPr="00C879FF" w:rsidRDefault="00D32FCB" w:rsidP="00F775E6">
      <w:pPr>
        <w:pStyle w:val="P68B1DB1-Normal3"/>
        <w:ind w:right="-227"/>
        <w:contextualSpacing/>
        <w:jc w:val="both"/>
        <w:rPr>
          <w:rFonts w:ascii="Calibri" w:hAnsi="Calibri" w:cs="Calibri"/>
          <w:b/>
          <w:sz w:val="22"/>
          <w:szCs w:val="22"/>
          <w:lang w:val="en-GB"/>
        </w:rPr>
      </w:pPr>
      <w:r w:rsidRPr="00C879FF">
        <w:rPr>
          <w:rFonts w:ascii="Calibri" w:hAnsi="Calibri" w:cs="Calibri"/>
          <w:b/>
          <w:sz w:val="22"/>
          <w:szCs w:val="22"/>
          <w:lang w:val="en-GB"/>
        </w:rPr>
        <w:t>Moscow</w:t>
      </w:r>
      <w:r w:rsidR="00C879FF" w:rsidRPr="00C879FF">
        <w:rPr>
          <w:rFonts w:ascii="Calibri" w:hAnsi="Calibri" w:cs="Calibri"/>
          <w:b/>
          <w:sz w:val="22"/>
          <w:szCs w:val="22"/>
          <w:lang w:val="en-GB"/>
        </w:rPr>
        <w:t xml:space="preserve"> – </w:t>
      </w:r>
      <w:r w:rsidRPr="00C879FF">
        <w:rPr>
          <w:rFonts w:ascii="Calibri" w:hAnsi="Calibri" w:cs="Calibri"/>
          <w:sz w:val="22"/>
          <w:szCs w:val="22"/>
          <w:lang w:val="en-GB"/>
        </w:rPr>
        <w:t xml:space="preserve">At its meeting today, the Board of Directors of PhosAgro, one of the world’s leading phosphate-based fertilizer producers, </w:t>
      </w:r>
      <w:r w:rsidR="004A1B47" w:rsidRPr="00C879FF">
        <w:rPr>
          <w:rFonts w:ascii="Calibri" w:hAnsi="Calibri" w:cs="Calibri"/>
          <w:sz w:val="22"/>
          <w:szCs w:val="22"/>
          <w:lang w:val="en-GB"/>
        </w:rPr>
        <w:t xml:space="preserve">reviewed the </w:t>
      </w:r>
      <w:r w:rsidRPr="00C879FF">
        <w:rPr>
          <w:rFonts w:ascii="Calibri" w:hAnsi="Calibri" w:cs="Calibri"/>
          <w:sz w:val="22"/>
          <w:szCs w:val="22"/>
          <w:lang w:val="en-GB"/>
        </w:rPr>
        <w:t>Company</w:t>
      </w:r>
      <w:r w:rsidR="004A1B47" w:rsidRPr="00C879FF">
        <w:rPr>
          <w:rFonts w:ascii="Calibri" w:hAnsi="Calibri" w:cs="Calibri"/>
          <w:sz w:val="22"/>
          <w:szCs w:val="22"/>
          <w:lang w:val="en-GB"/>
        </w:rPr>
        <w:t xml:space="preserve">’s </w:t>
      </w:r>
      <w:r w:rsidRPr="00C879FF">
        <w:rPr>
          <w:rFonts w:ascii="Calibri" w:hAnsi="Calibri" w:cs="Calibri"/>
          <w:sz w:val="22"/>
          <w:szCs w:val="22"/>
          <w:lang w:val="en-GB"/>
        </w:rPr>
        <w:t xml:space="preserve">progress in implementing </w:t>
      </w:r>
      <w:r w:rsidR="004A1B47" w:rsidRPr="00C879FF">
        <w:rPr>
          <w:rFonts w:ascii="Calibri" w:hAnsi="Calibri" w:cs="Calibri"/>
          <w:sz w:val="22"/>
          <w:szCs w:val="22"/>
          <w:lang w:val="en-GB"/>
        </w:rPr>
        <w:t xml:space="preserve">its </w:t>
      </w:r>
      <w:r w:rsidRPr="00C879FF">
        <w:rPr>
          <w:rFonts w:ascii="Calibri" w:hAnsi="Calibri" w:cs="Calibri"/>
          <w:sz w:val="22"/>
          <w:szCs w:val="22"/>
          <w:lang w:val="en-GB"/>
        </w:rPr>
        <w:t xml:space="preserve">key investment projects. </w:t>
      </w:r>
    </w:p>
    <w:p w14:paraId="363C5C10" w14:textId="77777777" w:rsidR="00C879FF" w:rsidRPr="00C879FF" w:rsidRDefault="00C879FF" w:rsidP="00F775E6">
      <w:pPr>
        <w:pStyle w:val="P68B1DB1-Normal3"/>
        <w:ind w:right="-227"/>
        <w:contextualSpacing/>
        <w:jc w:val="both"/>
        <w:rPr>
          <w:rFonts w:ascii="Calibri" w:hAnsi="Calibri" w:cs="Calibri"/>
          <w:sz w:val="22"/>
          <w:szCs w:val="22"/>
          <w:lang w:val="en-GB"/>
        </w:rPr>
      </w:pPr>
    </w:p>
    <w:p w14:paraId="464A1520" w14:textId="1F50A6F0" w:rsidR="00E90CED" w:rsidRPr="00C879FF" w:rsidRDefault="00D32FCB" w:rsidP="00F775E6">
      <w:pPr>
        <w:pStyle w:val="P68B1DB1-Normal3"/>
        <w:ind w:right="-227"/>
        <w:contextualSpacing/>
        <w:jc w:val="both"/>
        <w:rPr>
          <w:rFonts w:ascii="Calibri" w:hAnsi="Calibri" w:cs="Calibri"/>
          <w:sz w:val="22"/>
          <w:szCs w:val="22"/>
          <w:lang w:val="en-GB"/>
        </w:rPr>
      </w:pPr>
      <w:r w:rsidRPr="00C879FF">
        <w:rPr>
          <w:rFonts w:ascii="Calibri" w:hAnsi="Calibri" w:cs="Calibri"/>
          <w:sz w:val="22"/>
          <w:szCs w:val="22"/>
          <w:lang w:val="en-GB"/>
        </w:rPr>
        <w:t xml:space="preserve">As </w:t>
      </w:r>
      <w:r w:rsidR="004A1B47" w:rsidRPr="00C879FF">
        <w:rPr>
          <w:rFonts w:ascii="Calibri" w:hAnsi="Calibri" w:cs="Calibri"/>
          <w:sz w:val="22"/>
          <w:szCs w:val="22"/>
          <w:lang w:val="en-GB"/>
        </w:rPr>
        <w:t xml:space="preserve">reported by </w:t>
      </w:r>
      <w:r w:rsidRPr="00C879FF">
        <w:rPr>
          <w:rFonts w:ascii="Calibri" w:hAnsi="Calibri" w:cs="Calibri"/>
          <w:sz w:val="22"/>
          <w:szCs w:val="22"/>
          <w:lang w:val="en-GB"/>
        </w:rPr>
        <w:t>PhosAgro CEO Alexander Gilgenberg, the Company</w:t>
      </w:r>
      <w:r w:rsidR="004A1B47" w:rsidRPr="00C879FF">
        <w:rPr>
          <w:rFonts w:ascii="Calibri" w:hAnsi="Calibri" w:cs="Calibri"/>
          <w:sz w:val="22"/>
          <w:szCs w:val="22"/>
          <w:lang w:val="en-GB"/>
        </w:rPr>
        <w:t xml:space="preserve"> is continuing in its</w:t>
      </w:r>
      <w:r w:rsidRPr="00C879FF">
        <w:rPr>
          <w:rFonts w:ascii="Calibri" w:hAnsi="Calibri" w:cs="Calibri"/>
          <w:sz w:val="22"/>
          <w:szCs w:val="22"/>
          <w:lang w:val="en-GB"/>
        </w:rPr>
        <w:t xml:space="preserve"> systematic efforts to complete the implementation of its development strategy to 2025 </w:t>
      </w:r>
      <w:r w:rsidR="004A1B47" w:rsidRPr="00C879FF">
        <w:rPr>
          <w:rFonts w:ascii="Calibri" w:hAnsi="Calibri" w:cs="Calibri"/>
          <w:sz w:val="22"/>
          <w:szCs w:val="22"/>
          <w:lang w:val="en-GB"/>
        </w:rPr>
        <w:t>across</w:t>
      </w:r>
      <w:r w:rsidRPr="00C879FF">
        <w:rPr>
          <w:rFonts w:ascii="Calibri" w:hAnsi="Calibri" w:cs="Calibri"/>
          <w:sz w:val="22"/>
          <w:szCs w:val="22"/>
          <w:lang w:val="en-GB"/>
        </w:rPr>
        <w:t xml:space="preserve"> all its production sites</w:t>
      </w:r>
      <w:r w:rsidR="00203808">
        <w:rPr>
          <w:rFonts w:ascii="Calibri" w:hAnsi="Calibri" w:cs="Calibri"/>
          <w:sz w:val="22"/>
          <w:szCs w:val="22"/>
          <w:lang w:val="en-GB"/>
        </w:rPr>
        <w:t xml:space="preserve">. </w:t>
      </w:r>
      <w:r w:rsidR="00203808" w:rsidRPr="00203808">
        <w:rPr>
          <w:rFonts w:ascii="Calibri" w:hAnsi="Calibri" w:cs="Calibri"/>
          <w:sz w:val="22"/>
          <w:szCs w:val="22"/>
          <w:lang w:val="en-GB"/>
        </w:rPr>
        <w:t xml:space="preserve">For the second year in a row, the </w:t>
      </w:r>
      <w:r w:rsidR="00203808">
        <w:rPr>
          <w:rFonts w:ascii="Calibri" w:hAnsi="Calibri" w:cs="Calibri"/>
          <w:sz w:val="22"/>
          <w:szCs w:val="22"/>
          <w:lang w:val="en-GB"/>
        </w:rPr>
        <w:t>C</w:t>
      </w:r>
      <w:r w:rsidR="00203808" w:rsidRPr="00203808">
        <w:rPr>
          <w:rFonts w:ascii="Calibri" w:hAnsi="Calibri" w:cs="Calibri"/>
          <w:sz w:val="22"/>
          <w:szCs w:val="22"/>
          <w:lang w:val="en-GB"/>
        </w:rPr>
        <w:t xml:space="preserve">ompany </w:t>
      </w:r>
      <w:r w:rsidR="00203808">
        <w:rPr>
          <w:rFonts w:ascii="Calibri" w:hAnsi="Calibri" w:cs="Calibri"/>
          <w:sz w:val="22"/>
          <w:szCs w:val="22"/>
          <w:lang w:val="en-GB"/>
        </w:rPr>
        <w:t>will invest</w:t>
      </w:r>
      <w:r w:rsidR="00203808" w:rsidRPr="00203808">
        <w:rPr>
          <w:rFonts w:ascii="Calibri" w:hAnsi="Calibri" w:cs="Calibri"/>
          <w:sz w:val="22"/>
          <w:szCs w:val="22"/>
          <w:lang w:val="en-GB"/>
        </w:rPr>
        <w:t xml:space="preserve"> </w:t>
      </w:r>
      <w:r>
        <w:rPr>
          <w:rFonts w:ascii="Calibri" w:hAnsi="Calibri" w:cs="Calibri"/>
          <w:sz w:val="22"/>
          <w:szCs w:val="22"/>
          <w:lang w:val="en-GB"/>
        </w:rPr>
        <w:t>some</w:t>
      </w:r>
      <w:r w:rsidR="00203808">
        <w:rPr>
          <w:rFonts w:ascii="Calibri" w:hAnsi="Calibri" w:cs="Calibri"/>
          <w:sz w:val="22"/>
          <w:szCs w:val="22"/>
          <w:lang w:val="en-GB"/>
        </w:rPr>
        <w:t xml:space="preserve"> RUB</w:t>
      </w:r>
      <w:r w:rsidR="00203808" w:rsidRPr="00203808">
        <w:rPr>
          <w:rFonts w:ascii="Calibri" w:hAnsi="Calibri" w:cs="Calibri"/>
          <w:sz w:val="22"/>
          <w:szCs w:val="22"/>
          <w:lang w:val="en-GB"/>
        </w:rPr>
        <w:t xml:space="preserve"> 70 billion. As a result, the following projects have already been implemented this year</w:t>
      </w:r>
      <w:r w:rsidRPr="00C879FF">
        <w:rPr>
          <w:rFonts w:ascii="Calibri" w:hAnsi="Calibri" w:cs="Calibri"/>
          <w:sz w:val="22"/>
          <w:szCs w:val="22"/>
          <w:lang w:val="en-GB"/>
        </w:rPr>
        <w:t>:</w:t>
      </w:r>
    </w:p>
    <w:p w14:paraId="1CD7A126" w14:textId="742117D5" w:rsidR="00E90CED" w:rsidRPr="00C879FF" w:rsidRDefault="00D32FCB" w:rsidP="00F775E6">
      <w:pPr>
        <w:pStyle w:val="P68B1DB1-ListParagraph4"/>
        <w:numPr>
          <w:ilvl w:val="0"/>
          <w:numId w:val="9"/>
        </w:numPr>
        <w:ind w:left="426" w:right="-227"/>
        <w:jc w:val="both"/>
        <w:rPr>
          <w:rFonts w:ascii="Calibri" w:hAnsi="Calibri" w:cs="Calibri"/>
          <w:sz w:val="22"/>
          <w:szCs w:val="22"/>
          <w:lang w:val="en-GB"/>
        </w:rPr>
      </w:pPr>
      <w:bookmarkStart w:id="0" w:name="_Hlk214535198"/>
      <w:r w:rsidRPr="00C879FF">
        <w:rPr>
          <w:rFonts w:ascii="Calibri" w:hAnsi="Calibri" w:cs="Calibri"/>
          <w:sz w:val="22"/>
          <w:szCs w:val="22"/>
          <w:lang w:val="en-GB"/>
        </w:rPr>
        <w:t>In March, another stage in the expansion of the aluminium fluoride shop in Cherepovets was completed</w:t>
      </w:r>
      <w:r w:rsidR="004A1B47" w:rsidRPr="00C879FF">
        <w:rPr>
          <w:rFonts w:ascii="Calibri" w:hAnsi="Calibri" w:cs="Calibri"/>
          <w:sz w:val="22"/>
          <w:szCs w:val="22"/>
          <w:lang w:val="en-GB"/>
        </w:rPr>
        <w:t>, increasing</w:t>
      </w:r>
      <w:r w:rsidRPr="00C879FF">
        <w:rPr>
          <w:rFonts w:ascii="Calibri" w:hAnsi="Calibri" w:cs="Calibri"/>
          <w:sz w:val="22"/>
          <w:szCs w:val="22"/>
          <w:lang w:val="en-GB"/>
        </w:rPr>
        <w:t xml:space="preserve"> </w:t>
      </w:r>
      <w:r w:rsidR="004A1B47" w:rsidRPr="00C879FF">
        <w:rPr>
          <w:rFonts w:ascii="Calibri" w:hAnsi="Calibri" w:cs="Calibri"/>
          <w:sz w:val="22"/>
          <w:szCs w:val="22"/>
          <w:lang w:val="en-GB"/>
        </w:rPr>
        <w:t>output</w:t>
      </w:r>
      <w:r w:rsidRPr="00C879FF">
        <w:rPr>
          <w:rFonts w:ascii="Calibri" w:hAnsi="Calibri" w:cs="Calibri"/>
          <w:sz w:val="22"/>
          <w:szCs w:val="22"/>
          <w:lang w:val="en-GB"/>
        </w:rPr>
        <w:t xml:space="preserve"> of aluminium fluoride by 4.5 thousand tonnes per year to 79 thousand tonnes.</w:t>
      </w:r>
    </w:p>
    <w:p w14:paraId="2737C197" w14:textId="349C2DA2" w:rsidR="00E90CED" w:rsidRPr="00C879FF" w:rsidRDefault="00D32FCB" w:rsidP="00F775E6">
      <w:pPr>
        <w:pStyle w:val="P68B1DB1-ListParagraph4"/>
        <w:numPr>
          <w:ilvl w:val="0"/>
          <w:numId w:val="9"/>
        </w:numPr>
        <w:ind w:left="426" w:right="-227"/>
        <w:jc w:val="both"/>
        <w:rPr>
          <w:rFonts w:ascii="Calibri" w:hAnsi="Calibri" w:cs="Calibri"/>
          <w:sz w:val="22"/>
          <w:szCs w:val="22"/>
          <w:lang w:val="en-GB"/>
        </w:rPr>
      </w:pPr>
      <w:r w:rsidRPr="00C879FF">
        <w:rPr>
          <w:rFonts w:ascii="Calibri" w:hAnsi="Calibri" w:cs="Calibri"/>
          <w:sz w:val="22"/>
          <w:szCs w:val="22"/>
          <w:lang w:val="en-GB"/>
        </w:rPr>
        <w:t>In May, gas piston units with a capacity of 28.8 million kWh per year were commissioned in Balakovo as part of a project to expand the Company</w:t>
      </w:r>
      <w:r w:rsidR="00FE03CF" w:rsidRPr="00C879FF">
        <w:rPr>
          <w:rFonts w:ascii="Calibri" w:hAnsi="Calibri" w:cs="Calibri"/>
          <w:sz w:val="22"/>
          <w:szCs w:val="22"/>
          <w:lang w:val="en-GB"/>
        </w:rPr>
        <w:t>’s</w:t>
      </w:r>
      <w:r w:rsidRPr="00C879FF">
        <w:rPr>
          <w:rFonts w:ascii="Calibri" w:hAnsi="Calibri" w:cs="Calibri"/>
          <w:sz w:val="22"/>
          <w:szCs w:val="22"/>
          <w:lang w:val="en-GB"/>
        </w:rPr>
        <w:t xml:space="preserve"> in-house power generation.</w:t>
      </w:r>
    </w:p>
    <w:p w14:paraId="210A97FF" w14:textId="668F5F04" w:rsidR="00E90CED" w:rsidRPr="00C879FF" w:rsidRDefault="00D32FCB" w:rsidP="00F775E6">
      <w:pPr>
        <w:pStyle w:val="P68B1DB1-ListParagraph4"/>
        <w:numPr>
          <w:ilvl w:val="0"/>
          <w:numId w:val="9"/>
        </w:numPr>
        <w:ind w:left="426" w:right="-227"/>
        <w:jc w:val="both"/>
        <w:rPr>
          <w:rFonts w:ascii="Calibri" w:hAnsi="Calibri" w:cs="Calibri"/>
          <w:sz w:val="22"/>
          <w:szCs w:val="22"/>
          <w:lang w:val="en-GB"/>
        </w:rPr>
      </w:pPr>
      <w:r w:rsidRPr="00C879FF">
        <w:rPr>
          <w:rFonts w:ascii="Calibri" w:hAnsi="Calibri" w:cs="Calibri"/>
          <w:sz w:val="22"/>
          <w:szCs w:val="22"/>
          <w:lang w:val="en-GB"/>
        </w:rPr>
        <w:t xml:space="preserve">In June, the </w:t>
      </w:r>
      <w:r w:rsidR="00FE03CF" w:rsidRPr="00C879FF">
        <w:rPr>
          <w:rFonts w:ascii="Calibri" w:hAnsi="Calibri" w:cs="Calibri"/>
          <w:sz w:val="22"/>
          <w:szCs w:val="22"/>
          <w:lang w:val="en-GB"/>
        </w:rPr>
        <w:t>second</w:t>
      </w:r>
      <w:r w:rsidRPr="00C879FF">
        <w:rPr>
          <w:rFonts w:ascii="Calibri" w:hAnsi="Calibri" w:cs="Calibri"/>
          <w:sz w:val="22"/>
          <w:szCs w:val="22"/>
          <w:lang w:val="en-GB"/>
        </w:rPr>
        <w:t xml:space="preserve"> process line of the SK-20/1 sulphuric acid plant in Balakovo was </w:t>
      </w:r>
      <w:r w:rsidR="00FE03CF" w:rsidRPr="00C879FF">
        <w:rPr>
          <w:rFonts w:ascii="Calibri" w:hAnsi="Calibri" w:cs="Calibri"/>
          <w:sz w:val="22"/>
          <w:szCs w:val="22"/>
          <w:lang w:val="en-GB"/>
        </w:rPr>
        <w:t>put into operation, increasing</w:t>
      </w:r>
      <w:r w:rsidRPr="00C879FF">
        <w:rPr>
          <w:rFonts w:ascii="Calibri" w:hAnsi="Calibri" w:cs="Calibri"/>
          <w:sz w:val="22"/>
          <w:szCs w:val="22"/>
          <w:lang w:val="en-GB"/>
        </w:rPr>
        <w:t xml:space="preserve"> sulphuric acid </w:t>
      </w:r>
      <w:r w:rsidR="00FE03CF" w:rsidRPr="00C879FF">
        <w:rPr>
          <w:rFonts w:ascii="Calibri" w:hAnsi="Calibri" w:cs="Calibri"/>
          <w:sz w:val="22"/>
          <w:szCs w:val="22"/>
          <w:lang w:val="en-GB"/>
        </w:rPr>
        <w:t xml:space="preserve">production </w:t>
      </w:r>
      <w:r w:rsidRPr="00C879FF">
        <w:rPr>
          <w:rFonts w:ascii="Calibri" w:hAnsi="Calibri" w:cs="Calibri"/>
          <w:sz w:val="22"/>
          <w:szCs w:val="22"/>
          <w:lang w:val="en-GB"/>
        </w:rPr>
        <w:t>by 750 thousand tonnes per year</w:t>
      </w:r>
      <w:r w:rsidR="00FE03CF" w:rsidRPr="00C879FF">
        <w:rPr>
          <w:rFonts w:ascii="Calibri" w:hAnsi="Calibri" w:cs="Calibri"/>
          <w:sz w:val="22"/>
          <w:szCs w:val="22"/>
          <w:lang w:val="en-GB"/>
        </w:rPr>
        <w:t xml:space="preserve"> and</w:t>
      </w:r>
      <w:r w:rsidRPr="00C879FF">
        <w:rPr>
          <w:rFonts w:ascii="Calibri" w:hAnsi="Calibri" w:cs="Calibri"/>
          <w:sz w:val="22"/>
          <w:szCs w:val="22"/>
          <w:lang w:val="en-GB"/>
        </w:rPr>
        <w:t xml:space="preserve"> enabling the site to meet its sulphuric acid needs in full.</w:t>
      </w:r>
    </w:p>
    <w:p w14:paraId="2E75D8D2" w14:textId="253CFB04" w:rsidR="00E90CED" w:rsidRPr="00C879FF" w:rsidRDefault="00D32FCB" w:rsidP="00F775E6">
      <w:pPr>
        <w:pStyle w:val="P68B1DB1-ListParagraph4"/>
        <w:numPr>
          <w:ilvl w:val="0"/>
          <w:numId w:val="9"/>
        </w:numPr>
        <w:ind w:left="426" w:right="-227"/>
        <w:jc w:val="both"/>
        <w:rPr>
          <w:rFonts w:ascii="Calibri" w:hAnsi="Calibri" w:cs="Calibri"/>
          <w:sz w:val="22"/>
          <w:szCs w:val="22"/>
          <w:lang w:val="en-GB"/>
        </w:rPr>
      </w:pPr>
      <w:r w:rsidRPr="00C879FF">
        <w:rPr>
          <w:rFonts w:ascii="Calibri" w:hAnsi="Calibri" w:cs="Calibri"/>
          <w:sz w:val="22"/>
          <w:szCs w:val="22"/>
          <w:lang w:val="en-GB"/>
        </w:rPr>
        <w:t xml:space="preserve">Between April and June, pilot production of mineral fertilizers began in Balakovo as part of phase 3 of </w:t>
      </w:r>
      <w:r w:rsidR="00FE03CF" w:rsidRPr="00C879FF">
        <w:rPr>
          <w:rFonts w:ascii="Calibri" w:hAnsi="Calibri" w:cs="Calibri"/>
          <w:sz w:val="22"/>
          <w:szCs w:val="22"/>
          <w:lang w:val="en-GB"/>
        </w:rPr>
        <w:t>a</w:t>
      </w:r>
      <w:r w:rsidRPr="00C879FF">
        <w:rPr>
          <w:rFonts w:ascii="Calibri" w:hAnsi="Calibri" w:cs="Calibri"/>
          <w:sz w:val="22"/>
          <w:szCs w:val="22"/>
          <w:lang w:val="en-GB"/>
        </w:rPr>
        <w:t xml:space="preserve"> development project </w:t>
      </w:r>
      <w:r w:rsidR="00FE03CF" w:rsidRPr="00C879FF">
        <w:rPr>
          <w:rFonts w:ascii="Calibri" w:hAnsi="Calibri" w:cs="Calibri"/>
          <w:sz w:val="22"/>
          <w:szCs w:val="22"/>
          <w:lang w:val="en-GB"/>
        </w:rPr>
        <w:t>to</w:t>
      </w:r>
      <w:r w:rsidRPr="00C879FF">
        <w:rPr>
          <w:rFonts w:ascii="Calibri" w:hAnsi="Calibri" w:cs="Calibri"/>
          <w:sz w:val="22"/>
          <w:szCs w:val="22"/>
          <w:lang w:val="en-GB"/>
        </w:rPr>
        <w:t xml:space="preserve"> introduce a flexible </w:t>
      </w:r>
      <w:r w:rsidR="00FE03CF" w:rsidRPr="00C879FF">
        <w:rPr>
          <w:rFonts w:ascii="Calibri" w:hAnsi="Calibri" w:cs="Calibri"/>
          <w:sz w:val="22"/>
          <w:szCs w:val="22"/>
          <w:lang w:val="en-GB"/>
        </w:rPr>
        <w:t>system for</w:t>
      </w:r>
      <w:r w:rsidRPr="00C879FF">
        <w:rPr>
          <w:rFonts w:ascii="Calibri" w:hAnsi="Calibri" w:cs="Calibri"/>
          <w:sz w:val="22"/>
          <w:szCs w:val="22"/>
          <w:lang w:val="en-GB"/>
        </w:rPr>
        <w:t xml:space="preserve"> </w:t>
      </w:r>
      <w:r w:rsidR="00FE03CF" w:rsidRPr="00C879FF">
        <w:rPr>
          <w:rFonts w:ascii="Calibri" w:hAnsi="Calibri" w:cs="Calibri"/>
          <w:sz w:val="22"/>
          <w:szCs w:val="22"/>
          <w:lang w:val="en-GB"/>
        </w:rPr>
        <w:t>producing</w:t>
      </w:r>
      <w:r w:rsidRPr="00C879FF">
        <w:rPr>
          <w:rFonts w:ascii="Calibri" w:hAnsi="Calibri" w:cs="Calibri"/>
          <w:sz w:val="22"/>
          <w:szCs w:val="22"/>
          <w:lang w:val="en-GB"/>
        </w:rPr>
        <w:t xml:space="preserve"> MAP, DAP, NPK and NPS fertilizers using best available technologies. Once all three modernization phases have been completed and full capacity is reached, the facility</w:t>
      </w:r>
      <w:r w:rsidR="00FE03CF" w:rsidRPr="00C879FF">
        <w:rPr>
          <w:rFonts w:ascii="Calibri" w:hAnsi="Calibri" w:cs="Calibri"/>
          <w:sz w:val="22"/>
          <w:szCs w:val="22"/>
          <w:lang w:val="en-GB"/>
        </w:rPr>
        <w:t>’s</w:t>
      </w:r>
      <w:r w:rsidRPr="00C879FF">
        <w:rPr>
          <w:rFonts w:ascii="Calibri" w:hAnsi="Calibri" w:cs="Calibri"/>
          <w:sz w:val="22"/>
          <w:szCs w:val="22"/>
          <w:lang w:val="en-GB"/>
        </w:rPr>
        <w:t xml:space="preserve"> production capacity is expected to increase by nearly 1 million tonnes per year compared with 2024 levels, reaching 3.5 million tonnes of fertilizers in high demand among Russian farmers.</w:t>
      </w:r>
    </w:p>
    <w:p w14:paraId="7A0BB931" w14:textId="2F7684C6" w:rsidR="00E90CED" w:rsidRPr="00C879FF" w:rsidRDefault="00D32FCB" w:rsidP="00F775E6">
      <w:pPr>
        <w:pStyle w:val="P68B1DB1-ListParagraph4"/>
        <w:numPr>
          <w:ilvl w:val="0"/>
          <w:numId w:val="9"/>
        </w:numPr>
        <w:ind w:left="426" w:right="-227"/>
        <w:jc w:val="both"/>
        <w:rPr>
          <w:rFonts w:ascii="Calibri" w:hAnsi="Calibri" w:cs="Calibri"/>
          <w:sz w:val="22"/>
          <w:szCs w:val="22"/>
          <w:lang w:val="en-GB"/>
        </w:rPr>
      </w:pPr>
      <w:r w:rsidRPr="00C879FF">
        <w:rPr>
          <w:rFonts w:ascii="Calibri" w:hAnsi="Calibri" w:cs="Calibri"/>
          <w:sz w:val="22"/>
          <w:szCs w:val="22"/>
          <w:lang w:val="en-GB"/>
        </w:rPr>
        <w:t xml:space="preserve">As part of efforts to expand the Company’s resource base, underground mining of the Rasvumchorr Plateau deposit began in October at the </w:t>
      </w:r>
      <w:proofErr w:type="spellStart"/>
      <w:r w:rsidRPr="00C879FF">
        <w:rPr>
          <w:rFonts w:ascii="Calibri" w:hAnsi="Calibri" w:cs="Calibri"/>
          <w:sz w:val="22"/>
          <w:szCs w:val="22"/>
          <w:lang w:val="en-GB"/>
        </w:rPr>
        <w:t>Kirovsk</w:t>
      </w:r>
      <w:proofErr w:type="spellEnd"/>
      <w:r w:rsidRPr="00C879FF">
        <w:rPr>
          <w:rFonts w:ascii="Calibri" w:hAnsi="Calibri" w:cs="Calibri"/>
          <w:sz w:val="22"/>
          <w:szCs w:val="22"/>
          <w:lang w:val="en-GB"/>
        </w:rPr>
        <w:t xml:space="preserve"> branch of JSC Apatit (part of PhosAgro Group). The new mine will reach its design capacity of 6 million tonnes of apatite-nepheline ore per year in 2034.</w:t>
      </w:r>
    </w:p>
    <w:p w14:paraId="2ECC82E4" w14:textId="4A0937A7" w:rsidR="00E90CED" w:rsidRPr="00C879FF" w:rsidRDefault="00D32FCB" w:rsidP="00F775E6">
      <w:pPr>
        <w:pStyle w:val="P68B1DB1-ListParagraph4"/>
        <w:numPr>
          <w:ilvl w:val="0"/>
          <w:numId w:val="9"/>
        </w:numPr>
        <w:ind w:left="426" w:right="-227"/>
        <w:jc w:val="both"/>
        <w:rPr>
          <w:rFonts w:ascii="Calibri" w:hAnsi="Calibri" w:cs="Calibri"/>
          <w:sz w:val="22"/>
          <w:szCs w:val="22"/>
          <w:lang w:val="en-GB"/>
        </w:rPr>
      </w:pPr>
      <w:r w:rsidRPr="00C879FF">
        <w:rPr>
          <w:rFonts w:ascii="Calibri" w:hAnsi="Calibri" w:cs="Calibri"/>
          <w:sz w:val="22"/>
          <w:szCs w:val="22"/>
          <w:lang w:val="en-GB"/>
        </w:rPr>
        <w:t xml:space="preserve">In October 2025, a phosphogypsum conversion unit developed by the Samoilov Scientific Research Institute for Fertilizers and Insectofungicides was </w:t>
      </w:r>
      <w:r w:rsidR="00FE03CF" w:rsidRPr="00C879FF">
        <w:rPr>
          <w:rFonts w:ascii="Calibri" w:hAnsi="Calibri" w:cs="Calibri"/>
          <w:sz w:val="22"/>
          <w:szCs w:val="22"/>
          <w:lang w:val="en-GB"/>
        </w:rPr>
        <w:t>brought online</w:t>
      </w:r>
      <w:r w:rsidRPr="00C879FF">
        <w:rPr>
          <w:rFonts w:ascii="Calibri" w:hAnsi="Calibri" w:cs="Calibri"/>
          <w:sz w:val="22"/>
          <w:szCs w:val="22"/>
          <w:lang w:val="en-GB"/>
        </w:rPr>
        <w:t xml:space="preserve"> in Balakovo. The unit </w:t>
      </w:r>
      <w:r w:rsidR="00FE03CF" w:rsidRPr="00C879FF">
        <w:rPr>
          <w:rFonts w:ascii="Calibri" w:hAnsi="Calibri" w:cs="Calibri"/>
          <w:sz w:val="22"/>
          <w:szCs w:val="22"/>
          <w:lang w:val="en-GB"/>
        </w:rPr>
        <w:t>enables the conversion of</w:t>
      </w:r>
      <w:r w:rsidRPr="00C879FF">
        <w:rPr>
          <w:rFonts w:ascii="Calibri" w:hAnsi="Calibri" w:cs="Calibri"/>
          <w:sz w:val="22"/>
          <w:szCs w:val="22"/>
          <w:lang w:val="en-GB"/>
        </w:rPr>
        <w:t xml:space="preserve"> phosphogypsum and fluosilicic acid (by-products of extractive phosphoric acid production) into an ammonium sulphate conversion solution, which is subsequently processed into a granulated product, partially replacing the consumption of sulphuric acid.</w:t>
      </w:r>
    </w:p>
    <w:bookmarkEnd w:id="0"/>
    <w:p w14:paraId="61B7036E" w14:textId="16CDF732" w:rsidR="00E90CED" w:rsidRPr="00C879FF" w:rsidRDefault="00D32FCB" w:rsidP="00F775E6">
      <w:pPr>
        <w:pStyle w:val="P68B1DB1-Normal3"/>
        <w:ind w:right="-227"/>
        <w:contextualSpacing/>
        <w:jc w:val="both"/>
        <w:rPr>
          <w:rFonts w:ascii="Calibri" w:hAnsi="Calibri" w:cs="Calibri"/>
          <w:sz w:val="22"/>
          <w:szCs w:val="22"/>
          <w:lang w:val="en-GB"/>
        </w:rPr>
      </w:pPr>
      <w:r w:rsidRPr="00C879FF">
        <w:rPr>
          <w:rFonts w:ascii="Calibri" w:hAnsi="Calibri" w:cs="Calibri"/>
          <w:sz w:val="22"/>
          <w:szCs w:val="22"/>
          <w:lang w:val="en-GB"/>
        </w:rPr>
        <w:t xml:space="preserve">The Board of Directors also reviewed the Group’s financial results for the first nine months of 2025, including its interim IFRS consolidated financial statements. </w:t>
      </w:r>
    </w:p>
    <w:p w14:paraId="5B8EA5D5" w14:textId="77777777" w:rsidR="00C879FF" w:rsidRPr="00C879FF" w:rsidRDefault="00C879FF" w:rsidP="00F775E6">
      <w:pPr>
        <w:pStyle w:val="P68B1DB1-Normal3"/>
        <w:ind w:right="-227"/>
        <w:contextualSpacing/>
        <w:jc w:val="both"/>
        <w:rPr>
          <w:rFonts w:ascii="Calibri" w:hAnsi="Calibri" w:cs="Calibri"/>
          <w:sz w:val="22"/>
          <w:szCs w:val="22"/>
          <w:lang w:val="en-GB"/>
        </w:rPr>
      </w:pPr>
    </w:p>
    <w:p w14:paraId="450B84A1" w14:textId="146AAD7F" w:rsidR="00E90CED" w:rsidRPr="00C879FF" w:rsidRDefault="00D32FCB" w:rsidP="00F775E6">
      <w:pPr>
        <w:pStyle w:val="P68B1DB1-Normal3"/>
        <w:ind w:right="-227"/>
        <w:contextualSpacing/>
        <w:jc w:val="both"/>
        <w:rPr>
          <w:rFonts w:ascii="Calibri" w:hAnsi="Calibri" w:cs="Calibri"/>
          <w:sz w:val="22"/>
          <w:szCs w:val="22"/>
          <w:lang w:val="en-GB"/>
        </w:rPr>
      </w:pPr>
      <w:r w:rsidRPr="00C879FF">
        <w:rPr>
          <w:rFonts w:ascii="Calibri" w:hAnsi="Calibri" w:cs="Calibri"/>
          <w:sz w:val="22"/>
          <w:szCs w:val="22"/>
          <w:lang w:val="en-GB"/>
        </w:rPr>
        <w:t>Reports were also heard on occupational health and industrial safety at PhosAgro Group companies, on the monitoring of key risk management in 3Q 2025 and on key aspects of cybersecurity efforts at PhosAgro Group production sites. The Board postponed consideration of the Company</w:t>
      </w:r>
      <w:r w:rsidR="00FE03CF" w:rsidRPr="00C879FF">
        <w:rPr>
          <w:rFonts w:ascii="Calibri" w:hAnsi="Calibri" w:cs="Calibri"/>
          <w:sz w:val="22"/>
          <w:szCs w:val="22"/>
          <w:lang w:val="en-GB"/>
        </w:rPr>
        <w:t xml:space="preserve">’s </w:t>
      </w:r>
      <w:r w:rsidRPr="00C879FF">
        <w:rPr>
          <w:rFonts w:ascii="Calibri" w:hAnsi="Calibri" w:cs="Calibri"/>
          <w:sz w:val="22"/>
          <w:szCs w:val="22"/>
          <w:lang w:val="en-GB"/>
        </w:rPr>
        <w:t xml:space="preserve">development strategy to 2030 until one of its </w:t>
      </w:r>
      <w:r w:rsidR="00FE03CF" w:rsidRPr="00C879FF">
        <w:rPr>
          <w:rFonts w:ascii="Calibri" w:hAnsi="Calibri" w:cs="Calibri"/>
          <w:sz w:val="22"/>
          <w:szCs w:val="22"/>
          <w:lang w:val="en-GB"/>
        </w:rPr>
        <w:t>upcoming</w:t>
      </w:r>
      <w:r w:rsidRPr="00C879FF">
        <w:rPr>
          <w:rFonts w:ascii="Calibri" w:hAnsi="Calibri" w:cs="Calibri"/>
          <w:sz w:val="22"/>
          <w:szCs w:val="22"/>
          <w:lang w:val="en-GB"/>
        </w:rPr>
        <w:t xml:space="preserve"> meetings.</w:t>
      </w:r>
    </w:p>
    <w:p w14:paraId="025F130E" w14:textId="77777777" w:rsidR="00C879FF" w:rsidRPr="00C879FF" w:rsidRDefault="00C879FF" w:rsidP="00F775E6">
      <w:pPr>
        <w:pStyle w:val="P68B1DB1-Normal3"/>
        <w:ind w:right="-227"/>
        <w:contextualSpacing/>
        <w:jc w:val="both"/>
        <w:rPr>
          <w:rFonts w:ascii="Calibri" w:hAnsi="Calibri" w:cs="Calibri"/>
          <w:sz w:val="22"/>
          <w:szCs w:val="22"/>
          <w:lang w:val="en-GB"/>
        </w:rPr>
      </w:pPr>
    </w:p>
    <w:p w14:paraId="65EBDD04" w14:textId="0020B8D2" w:rsidR="00E90CED" w:rsidRDefault="00D32FCB" w:rsidP="00F775E6">
      <w:pPr>
        <w:pStyle w:val="P68B1DB1-Normal3"/>
        <w:ind w:right="-227"/>
        <w:contextualSpacing/>
        <w:jc w:val="both"/>
        <w:rPr>
          <w:rFonts w:ascii="Calibri" w:hAnsi="Calibri" w:cs="Calibri"/>
          <w:sz w:val="22"/>
          <w:szCs w:val="22"/>
          <w:lang w:val="en-GB"/>
        </w:rPr>
      </w:pPr>
      <w:r w:rsidRPr="00C879FF">
        <w:rPr>
          <w:rFonts w:ascii="Calibri" w:hAnsi="Calibri" w:cs="Calibri"/>
          <w:sz w:val="22"/>
          <w:szCs w:val="22"/>
          <w:lang w:val="en-GB"/>
        </w:rPr>
        <w:t xml:space="preserve">In addition, the Board approved related-party transactions concluded by the Company, reviewed reports from the chairs of Board committees on the work of </w:t>
      </w:r>
      <w:r w:rsidR="00FE03CF" w:rsidRPr="00C879FF">
        <w:rPr>
          <w:rFonts w:ascii="Calibri" w:hAnsi="Calibri" w:cs="Calibri"/>
          <w:sz w:val="22"/>
          <w:szCs w:val="22"/>
          <w:lang w:val="en-GB"/>
        </w:rPr>
        <w:t>those</w:t>
      </w:r>
      <w:r w:rsidRPr="00C879FF">
        <w:rPr>
          <w:rFonts w:ascii="Calibri" w:hAnsi="Calibri" w:cs="Calibri"/>
          <w:sz w:val="22"/>
          <w:szCs w:val="22"/>
          <w:lang w:val="en-GB"/>
        </w:rPr>
        <w:t xml:space="preserve"> committees in 3Q 2025 and discussed arrangements for the Board’s 2025 self-assessment.</w:t>
      </w:r>
    </w:p>
    <w:p w14:paraId="35A66C5D" w14:textId="77777777" w:rsidR="00F775E6" w:rsidRDefault="00F775E6" w:rsidP="00C879FF">
      <w:pPr>
        <w:pStyle w:val="P68B1DB1-Normal3"/>
        <w:ind w:left="-624" w:right="-227"/>
        <w:contextualSpacing/>
        <w:jc w:val="both"/>
        <w:rPr>
          <w:rFonts w:ascii="Calibri" w:hAnsi="Calibri" w:cs="Calibri"/>
          <w:sz w:val="22"/>
          <w:szCs w:val="22"/>
          <w:lang w:val="en-GB"/>
        </w:rPr>
      </w:pPr>
    </w:p>
    <w:p w14:paraId="36FFC997" w14:textId="77777777" w:rsidR="00F775E6" w:rsidRPr="00B373FD" w:rsidRDefault="00F775E6" w:rsidP="00F775E6">
      <w:pPr>
        <w:spacing w:after="120"/>
        <w:jc w:val="both"/>
        <w:rPr>
          <w:b/>
          <w:bCs/>
          <w:szCs w:val="22"/>
        </w:rPr>
      </w:pPr>
      <w:r w:rsidRPr="00B373FD">
        <w:rPr>
          <w:b/>
          <w:bCs/>
          <w:szCs w:val="22"/>
        </w:rPr>
        <w:t>About the Company</w:t>
      </w:r>
    </w:p>
    <w:p w14:paraId="0DE58817" w14:textId="77777777" w:rsidR="00F775E6" w:rsidRPr="00B373FD" w:rsidRDefault="00F775E6" w:rsidP="00F775E6">
      <w:pPr>
        <w:spacing w:after="120"/>
        <w:jc w:val="both"/>
        <w:rPr>
          <w:bCs/>
          <w:i/>
          <w:iCs/>
          <w:szCs w:val="22"/>
        </w:rPr>
      </w:pPr>
      <w:r w:rsidRPr="00B373FD">
        <w:rPr>
          <w:bCs/>
          <w:i/>
          <w:iCs/>
          <w:szCs w:val="22"/>
        </w:rPr>
        <w:lastRenderedPageBreak/>
        <w:t>PhosAgro (</w:t>
      </w:r>
      <w:hyperlink>
        <w:r w:rsidRPr="00B373FD">
          <w:rPr>
            <w:rStyle w:val="Hyperlink"/>
            <w:bCs/>
            <w:i/>
            <w:iCs/>
            <w:szCs w:val="22"/>
          </w:rPr>
          <w:t>www.phosagro.ru</w:t>
        </w:r>
      </w:hyperlink>
      <w:r w:rsidRPr="00B373FD">
        <w:rPr>
          <w:bCs/>
          <w:i/>
          <w:iCs/>
          <w:szCs w:val="22"/>
        </w:rPr>
        <w:t>) is a vertically integrated Russian company and one of the world’s leading producers of phosphate-based fertilizers and high-grade phosphate rock with P2O5 content of 39% or more (according to the IFA). PhosAgro’s high-performance fertilizers produce crops with advanced features.</w:t>
      </w:r>
    </w:p>
    <w:p w14:paraId="39A292DA" w14:textId="77777777" w:rsidR="00F775E6" w:rsidRPr="00B373FD" w:rsidRDefault="00F775E6" w:rsidP="00F775E6">
      <w:pPr>
        <w:spacing w:after="120"/>
        <w:jc w:val="both"/>
        <w:rPr>
          <w:bCs/>
          <w:i/>
          <w:iCs/>
          <w:szCs w:val="22"/>
        </w:rPr>
      </w:pPr>
      <w:r w:rsidRPr="00B373FD">
        <w:rPr>
          <w:bCs/>
          <w:i/>
          <w:iCs/>
          <w:szCs w:val="22"/>
        </w:rPr>
        <w:t>PhosAgro Group is the largest producer of phosphate-based fertilizers in Europe (by total combined capacity for the production of DAP, MAP, NP, NPK and NPS fertilizers, according to the CRU), the largest global producer of high-grade phosphate rock with P2O5 content of 39% (according to the IFA), one of the leading producers of MAP and DAP fertilizers globally, one of the leading producers of monocalcium feed phosphates (MCP) in Europe – and the only such producer in Russia – and Russia’s only producer of nepheline concentrate.</w:t>
      </w:r>
    </w:p>
    <w:p w14:paraId="2CE88D63" w14:textId="77777777" w:rsidR="00F775E6" w:rsidRPr="00B373FD" w:rsidRDefault="00F775E6" w:rsidP="00F775E6">
      <w:pPr>
        <w:spacing w:after="120"/>
        <w:jc w:val="both"/>
        <w:rPr>
          <w:bCs/>
          <w:i/>
          <w:iCs/>
          <w:szCs w:val="22"/>
        </w:rPr>
      </w:pPr>
      <w:r w:rsidRPr="00B373FD">
        <w:rPr>
          <w:bCs/>
          <w:i/>
          <w:iCs/>
          <w:szCs w:val="22"/>
        </w:rPr>
        <w:t xml:space="preserve">PhosAgro’s main products, including phosphate rock, 58 grades of fertilizers, feed phosphates, ammonia and sodium tripolyphosphate, are used by customers in around 100 countries spanning all the world’s inhabited continents. The Company’s priority markets beyond Russia and the CIS are Latin America, Europe and Asia. </w:t>
      </w:r>
    </w:p>
    <w:p w14:paraId="6F383253" w14:textId="032C1F38" w:rsidR="00E90CED" w:rsidRPr="00DA1B2D" w:rsidRDefault="00F775E6" w:rsidP="00A71F94">
      <w:pPr>
        <w:spacing w:after="120"/>
        <w:jc w:val="both"/>
        <w:rPr>
          <w:rFonts w:ascii="Times New Roman" w:hAnsi="Times New Roman" w:cs="Times New Roman"/>
          <w:sz w:val="24"/>
          <w:lang w:val="en-GB"/>
        </w:rPr>
      </w:pPr>
      <w:r w:rsidRPr="00B373FD">
        <w:rPr>
          <w:bCs/>
          <w:i/>
          <w:iCs/>
          <w:szCs w:val="22"/>
        </w:rPr>
        <w:t>The Company’s shares are traded on the Moscow Exchange, and its global depositary receipts (GDRs) are listed on the London Stock Exchange (MOEX and LSE ticker: PHOR)</w:t>
      </w:r>
    </w:p>
    <w:sectPr w:rsidR="00E90CED" w:rsidRPr="00DA1B2D">
      <w:headerReference w:type="default" r:id="rId9"/>
      <w:footerReference w:type="default" r:id="rId10"/>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8E59" w14:textId="77777777" w:rsidR="00782DDE" w:rsidRDefault="00782DDE">
      <w:pPr>
        <w:spacing w:after="0" w:line="240" w:lineRule="auto"/>
      </w:pPr>
      <w:r>
        <w:separator/>
      </w:r>
    </w:p>
  </w:endnote>
  <w:endnote w:type="continuationSeparator" w:id="0">
    <w:p w14:paraId="79A204B7" w14:textId="77777777" w:rsidR="00782DDE" w:rsidRDefault="0078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11CD" w14:textId="77777777" w:rsidR="00F775E6" w:rsidRPr="00E608B3" w:rsidRDefault="00F775E6" w:rsidP="00C43C57">
    <w:pPr>
      <w:tabs>
        <w:tab w:val="center" w:pos="4844"/>
        <w:tab w:val="right" w:pos="9689"/>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04018" w14:textId="77777777" w:rsidR="00782DDE" w:rsidRDefault="00782DDE">
      <w:pPr>
        <w:spacing w:after="0" w:line="240" w:lineRule="auto"/>
      </w:pPr>
      <w:r>
        <w:separator/>
      </w:r>
    </w:p>
  </w:footnote>
  <w:footnote w:type="continuationSeparator" w:id="0">
    <w:p w14:paraId="10BA1522" w14:textId="77777777" w:rsidR="00782DDE" w:rsidRDefault="0078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06659" w14:textId="77777777" w:rsidR="00F775E6" w:rsidRPr="00E608B3" w:rsidRDefault="00F775E6" w:rsidP="00BA361D">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36B"/>
    <w:multiLevelType w:val="hybridMultilevel"/>
    <w:tmpl w:val="88083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84D4F93"/>
    <w:multiLevelType w:val="hybridMultilevel"/>
    <w:tmpl w:val="11FA21F4"/>
    <w:lvl w:ilvl="0" w:tplc="A3C42FE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DD45EF7"/>
    <w:multiLevelType w:val="hybridMultilevel"/>
    <w:tmpl w:val="E0D861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47623F02"/>
    <w:multiLevelType w:val="hybridMultilevel"/>
    <w:tmpl w:val="DBACF8C0"/>
    <w:lvl w:ilvl="0" w:tplc="04190001">
      <w:start w:val="1"/>
      <w:numFmt w:val="bullet"/>
      <w:lvlText w:val=""/>
      <w:lvlJc w:val="left"/>
      <w:pPr>
        <w:ind w:left="805" w:hanging="360"/>
      </w:pPr>
      <w:rPr>
        <w:rFonts w:ascii="Symbol" w:hAnsi="Symbol"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 w15:restartNumberingAfterBreak="0">
    <w:nsid w:val="48E9684E"/>
    <w:multiLevelType w:val="hybridMultilevel"/>
    <w:tmpl w:val="941C7E5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5ACF132C"/>
    <w:multiLevelType w:val="hybridMultilevel"/>
    <w:tmpl w:val="75C0AA5A"/>
    <w:lvl w:ilvl="0" w:tplc="04190001">
      <w:start w:val="1"/>
      <w:numFmt w:val="bullet"/>
      <w:lvlText w:val=""/>
      <w:lvlJc w:val="left"/>
      <w:pPr>
        <w:ind w:left="323" w:hanging="360"/>
      </w:pPr>
      <w:rPr>
        <w:rFonts w:ascii="Symbol" w:hAnsi="Symbol" w:hint="default"/>
      </w:rPr>
    </w:lvl>
    <w:lvl w:ilvl="1" w:tplc="04190003">
      <w:start w:val="1"/>
      <w:numFmt w:val="bullet"/>
      <w:lvlText w:val="o"/>
      <w:lvlJc w:val="left"/>
      <w:pPr>
        <w:ind w:left="1043" w:hanging="360"/>
      </w:pPr>
      <w:rPr>
        <w:rFonts w:ascii="Courier New" w:hAnsi="Courier New" w:cs="Courier New" w:hint="default"/>
      </w:rPr>
    </w:lvl>
    <w:lvl w:ilvl="2" w:tplc="04190005">
      <w:start w:val="1"/>
      <w:numFmt w:val="bullet"/>
      <w:lvlText w:val=""/>
      <w:lvlJc w:val="left"/>
      <w:pPr>
        <w:ind w:left="1763" w:hanging="360"/>
      </w:pPr>
      <w:rPr>
        <w:rFonts w:ascii="Wingdings" w:hAnsi="Wingdings" w:hint="default"/>
      </w:rPr>
    </w:lvl>
    <w:lvl w:ilvl="3" w:tplc="04190001">
      <w:start w:val="1"/>
      <w:numFmt w:val="bullet"/>
      <w:lvlText w:val=""/>
      <w:lvlJc w:val="left"/>
      <w:pPr>
        <w:ind w:left="2483" w:hanging="360"/>
      </w:pPr>
      <w:rPr>
        <w:rFonts w:ascii="Symbol" w:hAnsi="Symbol" w:hint="default"/>
      </w:rPr>
    </w:lvl>
    <w:lvl w:ilvl="4" w:tplc="04190003">
      <w:start w:val="1"/>
      <w:numFmt w:val="bullet"/>
      <w:lvlText w:val="o"/>
      <w:lvlJc w:val="left"/>
      <w:pPr>
        <w:ind w:left="3203" w:hanging="360"/>
      </w:pPr>
      <w:rPr>
        <w:rFonts w:ascii="Courier New" w:hAnsi="Courier New" w:cs="Courier New" w:hint="default"/>
      </w:rPr>
    </w:lvl>
    <w:lvl w:ilvl="5" w:tplc="04190005">
      <w:start w:val="1"/>
      <w:numFmt w:val="bullet"/>
      <w:lvlText w:val=""/>
      <w:lvlJc w:val="left"/>
      <w:pPr>
        <w:ind w:left="3923" w:hanging="360"/>
      </w:pPr>
      <w:rPr>
        <w:rFonts w:ascii="Wingdings" w:hAnsi="Wingdings" w:hint="default"/>
      </w:rPr>
    </w:lvl>
    <w:lvl w:ilvl="6" w:tplc="04190001">
      <w:start w:val="1"/>
      <w:numFmt w:val="bullet"/>
      <w:lvlText w:val=""/>
      <w:lvlJc w:val="left"/>
      <w:pPr>
        <w:ind w:left="4643" w:hanging="360"/>
      </w:pPr>
      <w:rPr>
        <w:rFonts w:ascii="Symbol" w:hAnsi="Symbol" w:hint="default"/>
      </w:rPr>
    </w:lvl>
    <w:lvl w:ilvl="7" w:tplc="04190003">
      <w:start w:val="1"/>
      <w:numFmt w:val="bullet"/>
      <w:lvlText w:val="o"/>
      <w:lvlJc w:val="left"/>
      <w:pPr>
        <w:ind w:left="5363" w:hanging="360"/>
      </w:pPr>
      <w:rPr>
        <w:rFonts w:ascii="Courier New" w:hAnsi="Courier New" w:cs="Courier New" w:hint="default"/>
      </w:rPr>
    </w:lvl>
    <w:lvl w:ilvl="8" w:tplc="04190005">
      <w:start w:val="1"/>
      <w:numFmt w:val="bullet"/>
      <w:lvlText w:val=""/>
      <w:lvlJc w:val="left"/>
      <w:pPr>
        <w:ind w:left="6083" w:hanging="360"/>
      </w:pPr>
      <w:rPr>
        <w:rFonts w:ascii="Wingdings" w:hAnsi="Wingdings" w:hint="default"/>
      </w:rPr>
    </w:lvl>
  </w:abstractNum>
  <w:abstractNum w:abstractNumId="6" w15:restartNumberingAfterBreak="0">
    <w:nsid w:val="72A90360"/>
    <w:multiLevelType w:val="hybridMultilevel"/>
    <w:tmpl w:val="4E72EC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773014621">
    <w:abstractNumId w:val="2"/>
  </w:num>
  <w:num w:numId="2" w16cid:durableId="1652325300">
    <w:abstractNumId w:val="6"/>
  </w:num>
  <w:num w:numId="3" w16cid:durableId="1229614815">
    <w:abstractNumId w:val="1"/>
  </w:num>
  <w:num w:numId="4" w16cid:durableId="170871662">
    <w:abstractNumId w:val="0"/>
  </w:num>
  <w:num w:numId="5" w16cid:durableId="870846036">
    <w:abstractNumId w:val="4"/>
  </w:num>
  <w:num w:numId="6" w16cid:durableId="922878842">
    <w:abstractNumId w:val="2"/>
  </w:num>
  <w:num w:numId="7" w16cid:durableId="360742085">
    <w:abstractNumId w:val="5"/>
  </w:num>
  <w:num w:numId="8" w16cid:durableId="844134074">
    <w:abstractNumId w:val="4"/>
  </w:num>
  <w:num w:numId="9" w16cid:durableId="1536623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2F"/>
    <w:rsid w:val="000034C6"/>
    <w:rsid w:val="00011947"/>
    <w:rsid w:val="00011E62"/>
    <w:rsid w:val="0006498A"/>
    <w:rsid w:val="00072E37"/>
    <w:rsid w:val="00097383"/>
    <w:rsid w:val="00140FAE"/>
    <w:rsid w:val="00141E2F"/>
    <w:rsid w:val="00153C55"/>
    <w:rsid w:val="0019300F"/>
    <w:rsid w:val="00203808"/>
    <w:rsid w:val="00203A9B"/>
    <w:rsid w:val="00224BA1"/>
    <w:rsid w:val="00270116"/>
    <w:rsid w:val="00285894"/>
    <w:rsid w:val="00285CA9"/>
    <w:rsid w:val="002A3EE2"/>
    <w:rsid w:val="002D69A5"/>
    <w:rsid w:val="002E7326"/>
    <w:rsid w:val="00334C7C"/>
    <w:rsid w:val="003373BB"/>
    <w:rsid w:val="003524B7"/>
    <w:rsid w:val="00363A7F"/>
    <w:rsid w:val="00394176"/>
    <w:rsid w:val="00394D69"/>
    <w:rsid w:val="003A5148"/>
    <w:rsid w:val="003D50A9"/>
    <w:rsid w:val="003D739A"/>
    <w:rsid w:val="003E7DE2"/>
    <w:rsid w:val="004A1848"/>
    <w:rsid w:val="004A1B47"/>
    <w:rsid w:val="004B40E1"/>
    <w:rsid w:val="004B4E53"/>
    <w:rsid w:val="004C2F7F"/>
    <w:rsid w:val="004C3FEA"/>
    <w:rsid w:val="004E13D2"/>
    <w:rsid w:val="004E6FD6"/>
    <w:rsid w:val="00530EFD"/>
    <w:rsid w:val="00591171"/>
    <w:rsid w:val="005A153B"/>
    <w:rsid w:val="005B78D8"/>
    <w:rsid w:val="005B7C5D"/>
    <w:rsid w:val="006B45A0"/>
    <w:rsid w:val="006F6677"/>
    <w:rsid w:val="006F7142"/>
    <w:rsid w:val="00734143"/>
    <w:rsid w:val="00745D85"/>
    <w:rsid w:val="00782DDE"/>
    <w:rsid w:val="007C6CE6"/>
    <w:rsid w:val="007E1B9B"/>
    <w:rsid w:val="00847185"/>
    <w:rsid w:val="00854D36"/>
    <w:rsid w:val="0087467A"/>
    <w:rsid w:val="00896AC0"/>
    <w:rsid w:val="008A47BE"/>
    <w:rsid w:val="008A5A2C"/>
    <w:rsid w:val="008C52C3"/>
    <w:rsid w:val="008C6302"/>
    <w:rsid w:val="008F11C0"/>
    <w:rsid w:val="008F1C96"/>
    <w:rsid w:val="008F51BC"/>
    <w:rsid w:val="008F5502"/>
    <w:rsid w:val="00907831"/>
    <w:rsid w:val="00961E5C"/>
    <w:rsid w:val="0098121F"/>
    <w:rsid w:val="00992976"/>
    <w:rsid w:val="009B7AC5"/>
    <w:rsid w:val="009D6C56"/>
    <w:rsid w:val="00A04241"/>
    <w:rsid w:val="00A13A2A"/>
    <w:rsid w:val="00A660E4"/>
    <w:rsid w:val="00A71F94"/>
    <w:rsid w:val="00A91AB9"/>
    <w:rsid w:val="00A94679"/>
    <w:rsid w:val="00AA486C"/>
    <w:rsid w:val="00AB1083"/>
    <w:rsid w:val="00AB2EF4"/>
    <w:rsid w:val="00AE366A"/>
    <w:rsid w:val="00B01246"/>
    <w:rsid w:val="00B037B9"/>
    <w:rsid w:val="00B21175"/>
    <w:rsid w:val="00B32708"/>
    <w:rsid w:val="00B908D0"/>
    <w:rsid w:val="00BD3C1A"/>
    <w:rsid w:val="00C0083E"/>
    <w:rsid w:val="00C16FB0"/>
    <w:rsid w:val="00C274AA"/>
    <w:rsid w:val="00C86C4C"/>
    <w:rsid w:val="00C879FF"/>
    <w:rsid w:val="00CA78BD"/>
    <w:rsid w:val="00CC7646"/>
    <w:rsid w:val="00CD3127"/>
    <w:rsid w:val="00CD5193"/>
    <w:rsid w:val="00D32377"/>
    <w:rsid w:val="00D32FCB"/>
    <w:rsid w:val="00D33EA8"/>
    <w:rsid w:val="00D76BE3"/>
    <w:rsid w:val="00DA1B2D"/>
    <w:rsid w:val="00DA61A3"/>
    <w:rsid w:val="00DB7069"/>
    <w:rsid w:val="00DC4736"/>
    <w:rsid w:val="00DF21EE"/>
    <w:rsid w:val="00DF6600"/>
    <w:rsid w:val="00E069EF"/>
    <w:rsid w:val="00E200AF"/>
    <w:rsid w:val="00E270E3"/>
    <w:rsid w:val="00E43E8D"/>
    <w:rsid w:val="00E4691D"/>
    <w:rsid w:val="00E46952"/>
    <w:rsid w:val="00E90CED"/>
    <w:rsid w:val="00E9172A"/>
    <w:rsid w:val="00E91F8F"/>
    <w:rsid w:val="00E923D0"/>
    <w:rsid w:val="00EC4452"/>
    <w:rsid w:val="00EC77A4"/>
    <w:rsid w:val="00ED25C3"/>
    <w:rsid w:val="00F00BC8"/>
    <w:rsid w:val="00F03348"/>
    <w:rsid w:val="00F65BDE"/>
    <w:rsid w:val="00F775E6"/>
    <w:rsid w:val="00F85697"/>
    <w:rsid w:val="00FA39AC"/>
    <w:rsid w:val="00FB60D3"/>
    <w:rsid w:val="00FE03CF"/>
    <w:rsid w:val="00FE41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D13E2"/>
  <w15:chartTrackingRefBased/>
  <w15:docId w15:val="{213FA6BA-DE9D-4A32-87F5-06CA15E07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9A5"/>
    <w:pPr>
      <w:keepNext/>
      <w:keepLines/>
      <w:spacing w:before="240" w:after="0"/>
      <w:outlineLvl w:val="0"/>
    </w:pPr>
    <w:rPr>
      <w:rFonts w:asciiTheme="majorHAnsi" w:eastAsiaTheme="majorEastAsia" w:hAnsiTheme="majorHAnsi" w:cstheme="majorBidi"/>
      <w:color w:val="2F5496" w:themeColor="accent1" w:themeShade="BF"/>
      <w:sz w:val="32"/>
    </w:rPr>
  </w:style>
  <w:style w:type="paragraph" w:styleId="Heading2">
    <w:name w:val="heading 2"/>
    <w:basedOn w:val="Normal"/>
    <w:link w:val="Heading2Char"/>
    <w:uiPriority w:val="9"/>
    <w:qFormat/>
    <w:rsid w:val="00591171"/>
    <w:pPr>
      <w:spacing w:before="100" w:beforeAutospacing="1" w:after="100" w:afterAutospacing="1" w:line="240" w:lineRule="auto"/>
      <w:outlineLvl w:val="1"/>
    </w:pPr>
    <w:rPr>
      <w:rFonts w:ascii="Times New Roman" w:eastAsia="Times New Roman" w:hAnsi="Times New Roman" w:cs="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91171"/>
    <w:rPr>
      <w:rFonts w:ascii="Times New Roman" w:eastAsia="Times New Roman" w:hAnsi="Times New Roman" w:cs="Times New Roman"/>
      <w:b/>
      <w:sz w:val="36"/>
    </w:rPr>
  </w:style>
  <w:style w:type="paragraph" w:styleId="PlainText">
    <w:name w:val="Plain Text"/>
    <w:basedOn w:val="Normal"/>
    <w:link w:val="PlainTextChar"/>
    <w:uiPriority w:val="99"/>
    <w:semiHidden/>
    <w:unhideWhenUsed/>
    <w:rsid w:val="004C3FEA"/>
    <w:pPr>
      <w:spacing w:after="0" w:line="240" w:lineRule="auto"/>
    </w:pPr>
    <w:rPr>
      <w:rFonts w:ascii="Calibri" w:hAnsi="Calibri"/>
    </w:rPr>
  </w:style>
  <w:style w:type="character" w:customStyle="1" w:styleId="PlainTextChar">
    <w:name w:val="Plain Text Char"/>
    <w:basedOn w:val="DefaultParagraphFont"/>
    <w:link w:val="PlainText"/>
    <w:uiPriority w:val="99"/>
    <w:semiHidden/>
    <w:rsid w:val="004C3FEA"/>
    <w:rPr>
      <w:rFonts w:ascii="Calibri" w:hAnsi="Calibri"/>
    </w:rPr>
  </w:style>
  <w:style w:type="character" w:styleId="Hyperlink">
    <w:name w:val="Hyperlink"/>
    <w:basedOn w:val="DefaultParagraphFont"/>
    <w:uiPriority w:val="99"/>
    <w:unhideWhenUsed/>
    <w:rsid w:val="009D6C56"/>
    <w:rPr>
      <w:color w:val="0000FF"/>
      <w:u w:val="single"/>
    </w:rPr>
  </w:style>
  <w:style w:type="character" w:customStyle="1" w:styleId="fStyle">
    <w:name w:val="fStyle"/>
    <w:rsid w:val="008F11C0"/>
    <w:rPr>
      <w:rFonts w:ascii="Times New Roman" w:eastAsia="Times New Roman" w:hAnsi="Times New Roman" w:cs="Times New Roman" w:hint="default"/>
      <w:color w:val="000000"/>
      <w:sz w:val="28"/>
    </w:rPr>
  </w:style>
  <w:style w:type="paragraph" w:styleId="ListParagraph">
    <w:name w:val="List Paragraph"/>
    <w:aliases w:val="L"/>
    <w:basedOn w:val="Normal"/>
    <w:link w:val="ListParagraphChar1"/>
    <w:uiPriority w:val="34"/>
    <w:qFormat/>
    <w:rsid w:val="008F11C0"/>
    <w:pPr>
      <w:spacing w:line="256" w:lineRule="auto"/>
      <w:ind w:left="720"/>
      <w:contextualSpacing/>
    </w:pPr>
  </w:style>
  <w:style w:type="character" w:styleId="Emphasis">
    <w:name w:val="Emphasis"/>
    <w:basedOn w:val="DefaultParagraphFont"/>
    <w:uiPriority w:val="20"/>
    <w:qFormat/>
    <w:rsid w:val="00D76BE3"/>
    <w:rPr>
      <w:i/>
    </w:rPr>
  </w:style>
  <w:style w:type="character" w:customStyle="1" w:styleId="Heading1Char">
    <w:name w:val="Heading 1 Char"/>
    <w:basedOn w:val="DefaultParagraphFont"/>
    <w:link w:val="Heading1"/>
    <w:uiPriority w:val="9"/>
    <w:rsid w:val="002D69A5"/>
    <w:rPr>
      <w:rFonts w:asciiTheme="majorHAnsi" w:eastAsiaTheme="majorEastAsia" w:hAnsiTheme="majorHAnsi" w:cstheme="majorBidi"/>
      <w:color w:val="2F5496" w:themeColor="accent1" w:themeShade="BF"/>
      <w:sz w:val="32"/>
    </w:rPr>
  </w:style>
  <w:style w:type="paragraph" w:customStyle="1" w:styleId="1">
    <w:name w:val="Абзац списка1"/>
    <w:aliases w:val="ПАРАГРАФ,List Paragraph à moi,Абзац списка для документа,List Paragraph1,Proposal Bullet List,TOC style,Table,Содержание. 2 уровень,Список нумерованный цифры,Варианты ответов,UL,Абзац маркированнный,Список_Ав,Список с булитами,LSTBUL,lp1"/>
    <w:basedOn w:val="Normal"/>
    <w:link w:val="ListParagraphChar"/>
    <w:rsid w:val="002D69A5"/>
    <w:pPr>
      <w:spacing w:after="0" w:line="360" w:lineRule="atLeast"/>
      <w:ind w:left="720" w:firstLine="709"/>
      <w:contextualSpacing/>
      <w:jc w:val="both"/>
    </w:pPr>
    <w:rPr>
      <w:rFonts w:ascii="Times New Roman" w:eastAsia="Times New Roman" w:hAnsi="Times New Roman" w:cs="Times New Roman"/>
      <w:sz w:val="30"/>
    </w:rPr>
  </w:style>
  <w:style w:type="character" w:customStyle="1" w:styleId="ListParagraphChar">
    <w:name w:val="List Paragraph Char"/>
    <w:aliases w:val="ПАРАГРАФ Char,List Paragraph à moi Char,Абзац списка для документа Char,List Paragraph1 Char,Proposal Bullet List Char,TOC style Char,Table Char,Содержание. 2 уровень Char,Список нумерованный цифры Char,Варианты ответов Char,UL Char"/>
    <w:link w:val="1"/>
    <w:locked/>
    <w:rsid w:val="002D69A5"/>
    <w:rPr>
      <w:rFonts w:ascii="Times New Roman" w:eastAsia="Times New Roman" w:hAnsi="Times New Roman" w:cs="Times New Roman"/>
      <w:sz w:val="30"/>
    </w:rPr>
  </w:style>
  <w:style w:type="character" w:customStyle="1" w:styleId="ListParagraphChar1">
    <w:name w:val="List Paragraph Char1"/>
    <w:aliases w:val="L Char"/>
    <w:basedOn w:val="DefaultParagraphFont"/>
    <w:link w:val="ListParagraph"/>
    <w:uiPriority w:val="34"/>
    <w:qFormat/>
    <w:locked/>
    <w:rsid w:val="00CD5193"/>
  </w:style>
  <w:style w:type="paragraph" w:styleId="NormalWeb">
    <w:name w:val="Normal (Web)"/>
    <w:basedOn w:val="Normal"/>
    <w:uiPriority w:val="99"/>
    <w:rsid w:val="00FE4123"/>
    <w:pPr>
      <w:spacing w:before="100" w:beforeAutospacing="1" w:after="100" w:afterAutospacing="1" w:line="240" w:lineRule="auto"/>
    </w:pPr>
    <w:rPr>
      <w:rFonts w:ascii="Times New Roman" w:eastAsia="Times New Roman" w:hAnsi="Times New Roman" w:cs="Times New Roman"/>
      <w:sz w:val="24"/>
    </w:rPr>
  </w:style>
  <w:style w:type="character" w:customStyle="1" w:styleId="content-speakersname">
    <w:name w:val="content-speakers__name"/>
    <w:basedOn w:val="DefaultParagraphFont"/>
    <w:rsid w:val="008A47BE"/>
  </w:style>
  <w:style w:type="character" w:customStyle="1" w:styleId="content-speakershelp">
    <w:name w:val="content-speakers__help"/>
    <w:basedOn w:val="DefaultParagraphFont"/>
    <w:rsid w:val="008A47BE"/>
  </w:style>
  <w:style w:type="paragraph" w:customStyle="1" w:styleId="Default">
    <w:name w:val="Default"/>
    <w:rsid w:val="005B78D8"/>
    <w:pPr>
      <w:autoSpaceDE w:val="0"/>
      <w:autoSpaceDN w:val="0"/>
      <w:adjustRightInd w:val="0"/>
      <w:spacing w:after="0" w:line="240" w:lineRule="auto"/>
    </w:pPr>
    <w:rPr>
      <w:rFonts w:ascii="Calibri" w:hAnsi="Calibri" w:cs="Calibri"/>
      <w:color w:val="000000"/>
      <w:sz w:val="24"/>
    </w:rPr>
  </w:style>
  <w:style w:type="paragraph" w:customStyle="1" w:styleId="P68B1DB1-Normal1">
    <w:name w:val="P68B1DB1-Normal1"/>
    <w:basedOn w:val="Normal"/>
    <w:rPr>
      <w:rFonts w:ascii="Calibri" w:eastAsia="Calibri" w:hAnsi="Calibri" w:cs="Calibri"/>
      <w:i/>
      <w:color w:val="404040"/>
      <w:sz w:val="24"/>
      <w:u w:color="000000"/>
      <w:bdr w:val="nil"/>
    </w:rPr>
  </w:style>
  <w:style w:type="paragraph" w:customStyle="1" w:styleId="P68B1DB1-Normal2">
    <w:name w:val="P68B1DB1-Normal2"/>
    <w:basedOn w:val="Normal"/>
    <w:rPr>
      <w:rFonts w:ascii="Times New Roman" w:hAnsi="Times New Roman" w:cs="Times New Roman"/>
      <w:b/>
      <w:sz w:val="24"/>
    </w:rPr>
  </w:style>
  <w:style w:type="paragraph" w:customStyle="1" w:styleId="P68B1DB1-Normal3">
    <w:name w:val="P68B1DB1-Normal3"/>
    <w:basedOn w:val="Normal"/>
    <w:rPr>
      <w:rFonts w:ascii="Times New Roman" w:hAnsi="Times New Roman" w:cs="Times New Roman"/>
      <w:sz w:val="24"/>
    </w:rPr>
  </w:style>
  <w:style w:type="paragraph" w:customStyle="1" w:styleId="P68B1DB1-ListParagraph4">
    <w:name w:val="P68B1DB1-ListParagraph4"/>
    <w:basedOn w:val="ListParagraph"/>
    <w:rPr>
      <w:rFonts w:ascii="Times New Roman" w:hAnsi="Times New Roman" w:cs="Times New Roman"/>
      <w:sz w:val="24"/>
    </w:rPr>
  </w:style>
  <w:style w:type="paragraph" w:styleId="Header">
    <w:name w:val="header"/>
    <w:aliases w:val="site"/>
    <w:basedOn w:val="Normal"/>
    <w:link w:val="HeaderChar"/>
    <w:uiPriority w:val="99"/>
    <w:rsid w:val="00F775E6"/>
    <w:pPr>
      <w:spacing w:after="0" w:line="220" w:lineRule="atLeast"/>
      <w:jc w:val="right"/>
    </w:pPr>
    <w:rPr>
      <w:rFonts w:ascii="Times New Roman" w:eastAsia="Times New Roman" w:hAnsi="Times New Roman" w:cs="Times New Roman"/>
      <w:i/>
      <w:sz w:val="18"/>
      <w:lang w:val="en-GB"/>
    </w:rPr>
  </w:style>
  <w:style w:type="character" w:customStyle="1" w:styleId="HeaderChar">
    <w:name w:val="Header Char"/>
    <w:aliases w:val="site Char"/>
    <w:basedOn w:val="DefaultParagraphFont"/>
    <w:link w:val="Header"/>
    <w:uiPriority w:val="99"/>
    <w:rsid w:val="00F775E6"/>
    <w:rPr>
      <w:rFonts w:ascii="Times New Roman" w:eastAsia="Times New Roman" w:hAnsi="Times New Roman" w:cs="Times New Roman"/>
      <w:i/>
      <w:sz w:val="18"/>
      <w:lang w:val="en-GB"/>
    </w:rPr>
  </w:style>
  <w:style w:type="paragraph" w:styleId="Revision">
    <w:name w:val="Revision"/>
    <w:hidden/>
    <w:uiPriority w:val="99"/>
    <w:semiHidden/>
    <w:rsid w:val="00203808"/>
    <w:pPr>
      <w:spacing w:after="0" w:line="240" w:lineRule="auto"/>
    </w:pPr>
  </w:style>
  <w:style w:type="character" w:styleId="CommentReference">
    <w:name w:val="annotation reference"/>
    <w:basedOn w:val="DefaultParagraphFont"/>
    <w:uiPriority w:val="99"/>
    <w:semiHidden/>
    <w:unhideWhenUsed/>
    <w:rsid w:val="00203808"/>
    <w:rPr>
      <w:sz w:val="16"/>
      <w:szCs w:val="16"/>
    </w:rPr>
  </w:style>
  <w:style w:type="paragraph" w:styleId="CommentText">
    <w:name w:val="annotation text"/>
    <w:basedOn w:val="Normal"/>
    <w:link w:val="CommentTextChar"/>
    <w:uiPriority w:val="99"/>
    <w:semiHidden/>
    <w:unhideWhenUsed/>
    <w:rsid w:val="00203808"/>
    <w:pPr>
      <w:spacing w:line="240" w:lineRule="auto"/>
    </w:pPr>
    <w:rPr>
      <w:sz w:val="20"/>
    </w:rPr>
  </w:style>
  <w:style w:type="character" w:customStyle="1" w:styleId="CommentTextChar">
    <w:name w:val="Comment Text Char"/>
    <w:basedOn w:val="DefaultParagraphFont"/>
    <w:link w:val="CommentText"/>
    <w:uiPriority w:val="99"/>
    <w:semiHidden/>
    <w:rsid w:val="00203808"/>
    <w:rPr>
      <w:sz w:val="20"/>
    </w:rPr>
  </w:style>
  <w:style w:type="paragraph" w:styleId="CommentSubject">
    <w:name w:val="annotation subject"/>
    <w:basedOn w:val="CommentText"/>
    <w:next w:val="CommentText"/>
    <w:link w:val="CommentSubjectChar"/>
    <w:uiPriority w:val="99"/>
    <w:semiHidden/>
    <w:unhideWhenUsed/>
    <w:rsid w:val="00203808"/>
    <w:rPr>
      <w:b/>
      <w:bCs/>
    </w:rPr>
  </w:style>
  <w:style w:type="character" w:customStyle="1" w:styleId="CommentSubjectChar">
    <w:name w:val="Comment Subject Char"/>
    <w:basedOn w:val="CommentTextChar"/>
    <w:link w:val="CommentSubject"/>
    <w:uiPriority w:val="99"/>
    <w:semiHidden/>
    <w:rsid w:val="0020380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6875">
      <w:bodyDiv w:val="1"/>
      <w:marLeft w:val="0"/>
      <w:marRight w:val="0"/>
      <w:marTop w:val="0"/>
      <w:marBottom w:val="0"/>
      <w:divBdr>
        <w:top w:val="none" w:sz="0" w:space="0" w:color="auto"/>
        <w:left w:val="none" w:sz="0" w:space="0" w:color="auto"/>
        <w:bottom w:val="none" w:sz="0" w:space="0" w:color="auto"/>
        <w:right w:val="none" w:sz="0" w:space="0" w:color="auto"/>
      </w:divBdr>
    </w:div>
    <w:div w:id="523634262">
      <w:bodyDiv w:val="1"/>
      <w:marLeft w:val="0"/>
      <w:marRight w:val="0"/>
      <w:marTop w:val="0"/>
      <w:marBottom w:val="0"/>
      <w:divBdr>
        <w:top w:val="none" w:sz="0" w:space="0" w:color="auto"/>
        <w:left w:val="none" w:sz="0" w:space="0" w:color="auto"/>
        <w:bottom w:val="none" w:sz="0" w:space="0" w:color="auto"/>
        <w:right w:val="none" w:sz="0" w:space="0" w:color="auto"/>
      </w:divBdr>
      <w:divsChild>
        <w:div w:id="2108652293">
          <w:marLeft w:val="0"/>
          <w:marRight w:val="0"/>
          <w:marTop w:val="0"/>
          <w:marBottom w:val="0"/>
          <w:divBdr>
            <w:top w:val="none" w:sz="0" w:space="0" w:color="auto"/>
            <w:left w:val="none" w:sz="0" w:space="0" w:color="auto"/>
            <w:bottom w:val="none" w:sz="0" w:space="0" w:color="auto"/>
            <w:right w:val="none" w:sz="0" w:space="0" w:color="auto"/>
          </w:divBdr>
        </w:div>
      </w:divsChild>
    </w:div>
    <w:div w:id="564611360">
      <w:bodyDiv w:val="1"/>
      <w:marLeft w:val="0"/>
      <w:marRight w:val="0"/>
      <w:marTop w:val="0"/>
      <w:marBottom w:val="0"/>
      <w:divBdr>
        <w:top w:val="none" w:sz="0" w:space="0" w:color="auto"/>
        <w:left w:val="none" w:sz="0" w:space="0" w:color="auto"/>
        <w:bottom w:val="none" w:sz="0" w:space="0" w:color="auto"/>
        <w:right w:val="none" w:sz="0" w:space="0" w:color="auto"/>
      </w:divBdr>
    </w:div>
    <w:div w:id="570503729">
      <w:bodyDiv w:val="1"/>
      <w:marLeft w:val="0"/>
      <w:marRight w:val="0"/>
      <w:marTop w:val="0"/>
      <w:marBottom w:val="0"/>
      <w:divBdr>
        <w:top w:val="none" w:sz="0" w:space="0" w:color="auto"/>
        <w:left w:val="none" w:sz="0" w:space="0" w:color="auto"/>
        <w:bottom w:val="none" w:sz="0" w:space="0" w:color="auto"/>
        <w:right w:val="none" w:sz="0" w:space="0" w:color="auto"/>
      </w:divBdr>
    </w:div>
    <w:div w:id="612249606">
      <w:bodyDiv w:val="1"/>
      <w:marLeft w:val="0"/>
      <w:marRight w:val="0"/>
      <w:marTop w:val="0"/>
      <w:marBottom w:val="0"/>
      <w:divBdr>
        <w:top w:val="none" w:sz="0" w:space="0" w:color="auto"/>
        <w:left w:val="none" w:sz="0" w:space="0" w:color="auto"/>
        <w:bottom w:val="none" w:sz="0" w:space="0" w:color="auto"/>
        <w:right w:val="none" w:sz="0" w:space="0" w:color="auto"/>
      </w:divBdr>
    </w:div>
    <w:div w:id="732117776">
      <w:bodyDiv w:val="1"/>
      <w:marLeft w:val="0"/>
      <w:marRight w:val="0"/>
      <w:marTop w:val="0"/>
      <w:marBottom w:val="0"/>
      <w:divBdr>
        <w:top w:val="none" w:sz="0" w:space="0" w:color="auto"/>
        <w:left w:val="none" w:sz="0" w:space="0" w:color="auto"/>
        <w:bottom w:val="none" w:sz="0" w:space="0" w:color="auto"/>
        <w:right w:val="none" w:sz="0" w:space="0" w:color="auto"/>
      </w:divBdr>
    </w:div>
    <w:div w:id="742525886">
      <w:bodyDiv w:val="1"/>
      <w:marLeft w:val="0"/>
      <w:marRight w:val="0"/>
      <w:marTop w:val="0"/>
      <w:marBottom w:val="0"/>
      <w:divBdr>
        <w:top w:val="none" w:sz="0" w:space="0" w:color="auto"/>
        <w:left w:val="none" w:sz="0" w:space="0" w:color="auto"/>
        <w:bottom w:val="none" w:sz="0" w:space="0" w:color="auto"/>
        <w:right w:val="none" w:sz="0" w:space="0" w:color="auto"/>
      </w:divBdr>
    </w:div>
    <w:div w:id="818615495">
      <w:bodyDiv w:val="1"/>
      <w:marLeft w:val="0"/>
      <w:marRight w:val="0"/>
      <w:marTop w:val="0"/>
      <w:marBottom w:val="0"/>
      <w:divBdr>
        <w:top w:val="none" w:sz="0" w:space="0" w:color="auto"/>
        <w:left w:val="none" w:sz="0" w:space="0" w:color="auto"/>
        <w:bottom w:val="none" w:sz="0" w:space="0" w:color="auto"/>
        <w:right w:val="none" w:sz="0" w:space="0" w:color="auto"/>
      </w:divBdr>
    </w:div>
    <w:div w:id="1055853368">
      <w:bodyDiv w:val="1"/>
      <w:marLeft w:val="0"/>
      <w:marRight w:val="0"/>
      <w:marTop w:val="0"/>
      <w:marBottom w:val="0"/>
      <w:divBdr>
        <w:top w:val="none" w:sz="0" w:space="0" w:color="auto"/>
        <w:left w:val="none" w:sz="0" w:space="0" w:color="auto"/>
        <w:bottom w:val="none" w:sz="0" w:space="0" w:color="auto"/>
        <w:right w:val="none" w:sz="0" w:space="0" w:color="auto"/>
      </w:divBdr>
    </w:div>
    <w:div w:id="1106077543">
      <w:bodyDiv w:val="1"/>
      <w:marLeft w:val="0"/>
      <w:marRight w:val="0"/>
      <w:marTop w:val="0"/>
      <w:marBottom w:val="0"/>
      <w:divBdr>
        <w:top w:val="none" w:sz="0" w:space="0" w:color="auto"/>
        <w:left w:val="none" w:sz="0" w:space="0" w:color="auto"/>
        <w:bottom w:val="none" w:sz="0" w:space="0" w:color="auto"/>
        <w:right w:val="none" w:sz="0" w:space="0" w:color="auto"/>
      </w:divBdr>
    </w:div>
    <w:div w:id="1141732972">
      <w:bodyDiv w:val="1"/>
      <w:marLeft w:val="0"/>
      <w:marRight w:val="0"/>
      <w:marTop w:val="0"/>
      <w:marBottom w:val="0"/>
      <w:divBdr>
        <w:top w:val="none" w:sz="0" w:space="0" w:color="auto"/>
        <w:left w:val="none" w:sz="0" w:space="0" w:color="auto"/>
        <w:bottom w:val="none" w:sz="0" w:space="0" w:color="auto"/>
        <w:right w:val="none" w:sz="0" w:space="0" w:color="auto"/>
      </w:divBdr>
    </w:div>
    <w:div w:id="1185439754">
      <w:bodyDiv w:val="1"/>
      <w:marLeft w:val="0"/>
      <w:marRight w:val="0"/>
      <w:marTop w:val="0"/>
      <w:marBottom w:val="0"/>
      <w:divBdr>
        <w:top w:val="none" w:sz="0" w:space="0" w:color="auto"/>
        <w:left w:val="none" w:sz="0" w:space="0" w:color="auto"/>
        <w:bottom w:val="none" w:sz="0" w:space="0" w:color="auto"/>
        <w:right w:val="none" w:sz="0" w:space="0" w:color="auto"/>
      </w:divBdr>
    </w:div>
    <w:div w:id="1289046038">
      <w:bodyDiv w:val="1"/>
      <w:marLeft w:val="0"/>
      <w:marRight w:val="0"/>
      <w:marTop w:val="0"/>
      <w:marBottom w:val="0"/>
      <w:divBdr>
        <w:top w:val="none" w:sz="0" w:space="0" w:color="auto"/>
        <w:left w:val="none" w:sz="0" w:space="0" w:color="auto"/>
        <w:bottom w:val="none" w:sz="0" w:space="0" w:color="auto"/>
        <w:right w:val="none" w:sz="0" w:space="0" w:color="auto"/>
      </w:divBdr>
    </w:div>
    <w:div w:id="1471938769">
      <w:bodyDiv w:val="1"/>
      <w:marLeft w:val="0"/>
      <w:marRight w:val="0"/>
      <w:marTop w:val="0"/>
      <w:marBottom w:val="0"/>
      <w:divBdr>
        <w:top w:val="none" w:sz="0" w:space="0" w:color="auto"/>
        <w:left w:val="none" w:sz="0" w:space="0" w:color="auto"/>
        <w:bottom w:val="none" w:sz="0" w:space="0" w:color="auto"/>
        <w:right w:val="none" w:sz="0" w:space="0" w:color="auto"/>
      </w:divBdr>
    </w:div>
    <w:div w:id="1516725080">
      <w:bodyDiv w:val="1"/>
      <w:marLeft w:val="0"/>
      <w:marRight w:val="0"/>
      <w:marTop w:val="0"/>
      <w:marBottom w:val="0"/>
      <w:divBdr>
        <w:top w:val="none" w:sz="0" w:space="0" w:color="auto"/>
        <w:left w:val="none" w:sz="0" w:space="0" w:color="auto"/>
        <w:bottom w:val="none" w:sz="0" w:space="0" w:color="auto"/>
        <w:right w:val="none" w:sz="0" w:space="0" w:color="auto"/>
      </w:divBdr>
    </w:div>
    <w:div w:id="1575360704">
      <w:bodyDiv w:val="1"/>
      <w:marLeft w:val="0"/>
      <w:marRight w:val="0"/>
      <w:marTop w:val="0"/>
      <w:marBottom w:val="0"/>
      <w:divBdr>
        <w:top w:val="none" w:sz="0" w:space="0" w:color="auto"/>
        <w:left w:val="none" w:sz="0" w:space="0" w:color="auto"/>
        <w:bottom w:val="none" w:sz="0" w:space="0" w:color="auto"/>
        <w:right w:val="none" w:sz="0" w:space="0" w:color="auto"/>
      </w:divBdr>
    </w:div>
    <w:div w:id="1649944280">
      <w:bodyDiv w:val="1"/>
      <w:marLeft w:val="0"/>
      <w:marRight w:val="0"/>
      <w:marTop w:val="0"/>
      <w:marBottom w:val="0"/>
      <w:divBdr>
        <w:top w:val="none" w:sz="0" w:space="0" w:color="auto"/>
        <w:left w:val="none" w:sz="0" w:space="0" w:color="auto"/>
        <w:bottom w:val="none" w:sz="0" w:space="0" w:color="auto"/>
        <w:right w:val="none" w:sz="0" w:space="0" w:color="auto"/>
      </w:divBdr>
    </w:div>
    <w:div w:id="1652363774">
      <w:bodyDiv w:val="1"/>
      <w:marLeft w:val="0"/>
      <w:marRight w:val="0"/>
      <w:marTop w:val="0"/>
      <w:marBottom w:val="0"/>
      <w:divBdr>
        <w:top w:val="none" w:sz="0" w:space="0" w:color="auto"/>
        <w:left w:val="none" w:sz="0" w:space="0" w:color="auto"/>
        <w:bottom w:val="none" w:sz="0" w:space="0" w:color="auto"/>
        <w:right w:val="none" w:sz="0" w:space="0" w:color="auto"/>
      </w:divBdr>
    </w:div>
    <w:div w:id="1677998990">
      <w:bodyDiv w:val="1"/>
      <w:marLeft w:val="0"/>
      <w:marRight w:val="0"/>
      <w:marTop w:val="0"/>
      <w:marBottom w:val="0"/>
      <w:divBdr>
        <w:top w:val="none" w:sz="0" w:space="0" w:color="auto"/>
        <w:left w:val="none" w:sz="0" w:space="0" w:color="auto"/>
        <w:bottom w:val="none" w:sz="0" w:space="0" w:color="auto"/>
        <w:right w:val="none" w:sz="0" w:space="0" w:color="auto"/>
      </w:divBdr>
    </w:div>
    <w:div w:id="178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91A83-D7D7-42B0-8399-11129D85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3930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Глебова Татьяна Васильевна</dc:creator>
  <cp:keywords/>
  <dc:description/>
  <cp:lastModifiedBy>Diana Kuspanova</cp:lastModifiedBy>
  <cp:revision>2</cp:revision>
  <dcterms:created xsi:type="dcterms:W3CDTF">2025-11-20T16:00:00Z</dcterms:created>
  <dcterms:modified xsi:type="dcterms:W3CDTF">2025-11-20T16:00:00Z</dcterms:modified>
</cp:coreProperties>
</file>