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4703" w14:textId="15C2C3FB" w:rsidR="00455EE2" w:rsidRPr="00AC5CD6" w:rsidRDefault="00FB5815">
      <w:pPr>
        <w:pStyle w:val="23"/>
        <w:rPr>
          <w:sz w:val="22"/>
          <w:szCs w:val="22"/>
        </w:rPr>
      </w:pPr>
      <w:bookmarkStart w:id="0" w:name="_Hlk166688531"/>
      <w:r w:rsidRPr="002D6889">
        <w:rPr>
          <w:rFonts w:cstheme="minorHAnsi"/>
          <w:noProof/>
          <w:lang w:val="ru-RU"/>
        </w:rPr>
        <w:drawing>
          <wp:inline distT="0" distB="0" distL="0" distR="0" wp14:anchorId="6BE53FEF" wp14:editId="54D2A62A">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3053C6B" w14:textId="77777777" w:rsidR="00455EE2" w:rsidRPr="00AC5CD6" w:rsidRDefault="00455EE2">
      <w:pPr>
        <w:jc w:val="both"/>
        <w:rPr>
          <w:b/>
          <w:bCs/>
          <w:sz w:val="22"/>
          <w:szCs w:val="22"/>
          <w:lang w:val="en-GB"/>
        </w:rPr>
      </w:pPr>
    </w:p>
    <w:bookmarkEnd w:id="0"/>
    <w:p w14:paraId="4353F9A1" w14:textId="54E07476" w:rsidR="004266B5" w:rsidRPr="00AC5CD6" w:rsidRDefault="00D87467" w:rsidP="004266B5">
      <w:pPr>
        <w:pStyle w:val="a3"/>
        <w:jc w:val="center"/>
        <w:rPr>
          <w:rFonts w:ascii="Calibri" w:hAnsi="Calibri" w:cs="Calibri"/>
          <w:b/>
          <w:bCs/>
          <w:lang w:val="en-GB"/>
        </w:rPr>
      </w:pPr>
      <w:r w:rsidRPr="00AC5CD6">
        <w:rPr>
          <w:rFonts w:ascii="Calibri" w:hAnsi="Calibri" w:cs="Calibri"/>
          <w:b/>
          <w:bCs/>
          <w:lang w:val="en-GB"/>
        </w:rPr>
        <w:t xml:space="preserve">PhosAgro Issues USD 250 Million in Bonds at </w:t>
      </w:r>
      <w:r w:rsidR="00050E0A" w:rsidRPr="00AC5CD6">
        <w:rPr>
          <w:rFonts w:ascii="Calibri" w:hAnsi="Calibri" w:cs="Calibri"/>
          <w:b/>
          <w:bCs/>
          <w:lang w:val="en-GB"/>
        </w:rPr>
        <w:t>Record-Low Rate</w:t>
      </w:r>
      <w:r w:rsidRPr="00AC5CD6">
        <w:rPr>
          <w:rFonts w:ascii="Calibri" w:hAnsi="Calibri" w:cs="Calibri"/>
          <w:b/>
          <w:bCs/>
          <w:lang w:val="en-GB"/>
        </w:rPr>
        <w:t xml:space="preserve"> </w:t>
      </w:r>
    </w:p>
    <w:p w14:paraId="079C7553" w14:textId="77777777" w:rsidR="004266B5" w:rsidRPr="00AC5CD6" w:rsidRDefault="004266B5" w:rsidP="004266B5">
      <w:pPr>
        <w:pStyle w:val="a3"/>
        <w:rPr>
          <w:rFonts w:ascii="Calibri" w:hAnsi="Calibri" w:cs="Calibri"/>
          <w:lang w:val="en-GB"/>
        </w:rPr>
      </w:pPr>
    </w:p>
    <w:p w14:paraId="2ECBFD4C" w14:textId="509F4FBC" w:rsidR="00D87467" w:rsidRPr="00AC5CD6" w:rsidRDefault="00D87467" w:rsidP="00D87467">
      <w:pPr>
        <w:pStyle w:val="P68B1DB1-Normal1"/>
        <w:jc w:val="both"/>
        <w:rPr>
          <w:rFonts w:ascii="Calibri" w:hAnsi="Calibri" w:cs="Calibri"/>
          <w:sz w:val="22"/>
          <w:szCs w:val="22"/>
          <w:lang w:val="en-GB"/>
        </w:rPr>
      </w:pPr>
      <w:r w:rsidRPr="00AC5CD6">
        <w:rPr>
          <w:rFonts w:ascii="Calibri" w:hAnsi="Calibri" w:cs="Calibri"/>
          <w:b/>
          <w:bCs/>
          <w:color w:val="000000"/>
          <w:sz w:val="22"/>
          <w:szCs w:val="22"/>
          <w:lang w:val="en-GB"/>
        </w:rPr>
        <w:t>Moscow</w:t>
      </w:r>
      <w:r w:rsidR="00AC5CD6" w:rsidRPr="00AC5CD6">
        <w:rPr>
          <w:rFonts w:ascii="Calibri" w:hAnsi="Calibri" w:cs="Calibri"/>
          <w:b/>
          <w:bCs/>
          <w:color w:val="000000"/>
          <w:sz w:val="22"/>
          <w:szCs w:val="22"/>
          <w:lang w:val="en-US"/>
        </w:rPr>
        <w:t xml:space="preserve"> </w:t>
      </w:r>
      <w:r w:rsidRPr="00AC5CD6">
        <w:rPr>
          <w:rFonts w:ascii="Calibri" w:hAnsi="Calibri" w:cs="Calibri"/>
          <w:color w:val="000000"/>
          <w:sz w:val="22"/>
          <w:szCs w:val="22"/>
          <w:lang w:val="en-GB"/>
        </w:rPr>
        <w:t>–</w:t>
      </w:r>
      <w:r w:rsidRPr="00AC5CD6">
        <w:rPr>
          <w:rFonts w:ascii="Calibri" w:hAnsi="Calibri" w:cs="Calibri"/>
          <w:sz w:val="22"/>
          <w:szCs w:val="22"/>
          <w:lang w:val="en-GB"/>
        </w:rPr>
        <w:t xml:space="preserve"> </w:t>
      </w:r>
      <w:proofErr w:type="spellStart"/>
      <w:r w:rsidRPr="00AC5CD6">
        <w:rPr>
          <w:rFonts w:ascii="Calibri" w:hAnsi="Calibri" w:cs="Calibri"/>
          <w:sz w:val="22"/>
          <w:szCs w:val="22"/>
          <w:lang w:val="en-GB"/>
        </w:rPr>
        <w:t>PhosAgro</w:t>
      </w:r>
      <w:proofErr w:type="spellEnd"/>
      <w:r w:rsidRPr="00AC5CD6">
        <w:rPr>
          <w:rFonts w:ascii="Calibri" w:hAnsi="Calibri" w:cs="Calibri"/>
          <w:sz w:val="22"/>
          <w:szCs w:val="22"/>
          <w:lang w:val="en-GB"/>
        </w:rPr>
        <w:t xml:space="preserve"> (Moscow Exchange, LSE: PHOR), one of the world’s leading producers of phosphate-based fertilizers, has successfully completed the book build for an issue of bonds denominated in US dollars with settlement in Russian roubles.</w:t>
      </w:r>
    </w:p>
    <w:p w14:paraId="62C11EF4" w14:textId="77777777" w:rsidR="00D87467" w:rsidRPr="00AC5CD6" w:rsidRDefault="00D87467" w:rsidP="00D87467">
      <w:pPr>
        <w:jc w:val="both"/>
        <w:rPr>
          <w:rFonts w:eastAsia="Times New Roman"/>
          <w:sz w:val="22"/>
          <w:szCs w:val="22"/>
          <w:lang w:val="en-GB"/>
        </w:rPr>
      </w:pPr>
    </w:p>
    <w:p w14:paraId="25CD6862" w14:textId="295F5F07" w:rsidR="00D87467" w:rsidRPr="00AC5CD6" w:rsidRDefault="00D87467" w:rsidP="00D87467">
      <w:pPr>
        <w:pStyle w:val="P68B1DB1-Normal1"/>
        <w:jc w:val="both"/>
        <w:rPr>
          <w:rFonts w:ascii="Calibri" w:hAnsi="Calibri" w:cs="Calibri"/>
          <w:sz w:val="22"/>
          <w:szCs w:val="22"/>
          <w:lang w:val="en-GB"/>
        </w:rPr>
      </w:pPr>
      <w:r w:rsidRPr="00AC5CD6">
        <w:rPr>
          <w:rFonts w:ascii="Calibri" w:hAnsi="Calibri" w:cs="Calibri"/>
          <w:sz w:val="22"/>
          <w:szCs w:val="22"/>
          <w:lang w:val="en-GB"/>
        </w:rPr>
        <w:t xml:space="preserve">The total volume of the BO-02-03 series bonds is USD 250 million, with a maturity period of 2.5 years. The bonds have a fixed coupon rate of 7.50% per annum, with payments to be made </w:t>
      </w:r>
      <w:proofErr w:type="gramStart"/>
      <w:r w:rsidRPr="00AC5CD6">
        <w:rPr>
          <w:rFonts w:ascii="Calibri" w:hAnsi="Calibri" w:cs="Calibri"/>
          <w:sz w:val="22"/>
          <w:szCs w:val="22"/>
          <w:lang w:val="en-GB"/>
        </w:rPr>
        <w:t>on a monthly basis</w:t>
      </w:r>
      <w:proofErr w:type="gramEnd"/>
      <w:r w:rsidRPr="00AC5CD6">
        <w:rPr>
          <w:rFonts w:ascii="Calibri" w:hAnsi="Calibri" w:cs="Calibri"/>
          <w:sz w:val="22"/>
          <w:szCs w:val="22"/>
          <w:lang w:val="en-GB"/>
        </w:rPr>
        <w:t>.</w:t>
      </w:r>
    </w:p>
    <w:p w14:paraId="542A4719" w14:textId="77777777" w:rsidR="00D87467" w:rsidRPr="00AC5CD6" w:rsidRDefault="00D87467" w:rsidP="00D87467">
      <w:pPr>
        <w:jc w:val="both"/>
        <w:rPr>
          <w:rFonts w:eastAsia="Times New Roman"/>
          <w:sz w:val="22"/>
          <w:szCs w:val="22"/>
          <w:lang w:val="en-GB"/>
        </w:rPr>
      </w:pPr>
    </w:p>
    <w:p w14:paraId="74F67F91" w14:textId="41E0BC4B" w:rsidR="00D87467" w:rsidRPr="00AC5CD6" w:rsidRDefault="00050E0A" w:rsidP="00D87467">
      <w:pPr>
        <w:jc w:val="both"/>
        <w:rPr>
          <w:rFonts w:eastAsia="Times New Roman"/>
          <w:sz w:val="22"/>
          <w:szCs w:val="22"/>
          <w:lang w:val="en-GB"/>
        </w:rPr>
      </w:pPr>
      <w:r w:rsidRPr="00AC5CD6">
        <w:rPr>
          <w:sz w:val="22"/>
          <w:szCs w:val="22"/>
          <w:lang w:val="en-GB"/>
        </w:rPr>
        <w:t>S</w:t>
      </w:r>
      <w:r w:rsidR="00D87467" w:rsidRPr="00AC5CD6">
        <w:rPr>
          <w:sz w:val="22"/>
          <w:szCs w:val="22"/>
          <w:lang w:val="en-GB"/>
        </w:rPr>
        <w:t>trong demand from investors</w:t>
      </w:r>
      <w:r w:rsidRPr="00AC5CD6">
        <w:rPr>
          <w:sz w:val="22"/>
          <w:szCs w:val="22"/>
          <w:lang w:val="en-GB"/>
        </w:rPr>
        <w:t xml:space="preserve"> enabled the Company to revise</w:t>
      </w:r>
      <w:r w:rsidR="00D87467" w:rsidRPr="00AC5CD6">
        <w:rPr>
          <w:sz w:val="22"/>
          <w:szCs w:val="22"/>
          <w:lang w:val="en-GB"/>
        </w:rPr>
        <w:t xml:space="preserve"> the initial coupon guidance </w:t>
      </w:r>
      <w:r w:rsidR="00D87467" w:rsidRPr="00AC5CD6">
        <w:rPr>
          <w:rFonts w:eastAsia="Times New Roman"/>
          <w:sz w:val="22"/>
          <w:szCs w:val="22"/>
          <w:lang w:val="en-GB"/>
        </w:rPr>
        <w:t>downwards three times, by a total of 150 bps</w:t>
      </w:r>
      <w:r w:rsidR="00D87467" w:rsidRPr="00AC5CD6">
        <w:rPr>
          <w:sz w:val="22"/>
          <w:szCs w:val="22"/>
          <w:lang w:val="en-GB"/>
        </w:rPr>
        <w:t>,</w:t>
      </w:r>
      <w:r w:rsidR="00D87467" w:rsidRPr="00AC5CD6">
        <w:rPr>
          <w:rFonts w:eastAsia="Times New Roman"/>
          <w:sz w:val="22"/>
          <w:szCs w:val="22"/>
          <w:lang w:val="en-GB"/>
        </w:rPr>
        <w:t xml:space="preserve"> </w:t>
      </w:r>
      <w:r w:rsidRPr="00AC5CD6">
        <w:rPr>
          <w:rFonts w:eastAsia="Times New Roman"/>
          <w:sz w:val="22"/>
          <w:szCs w:val="22"/>
          <w:lang w:val="en-GB"/>
        </w:rPr>
        <w:t>while</w:t>
      </w:r>
      <w:r w:rsidR="00D87467" w:rsidRPr="00AC5CD6">
        <w:rPr>
          <w:rFonts w:eastAsia="Times New Roman"/>
          <w:sz w:val="22"/>
          <w:szCs w:val="22"/>
          <w:lang w:val="en-GB"/>
        </w:rPr>
        <w:t xml:space="preserve"> the final placement volume increased</w:t>
      </w:r>
      <w:r w:rsidRPr="00AC5CD6">
        <w:rPr>
          <w:rFonts w:eastAsia="Times New Roman"/>
          <w:sz w:val="22"/>
          <w:szCs w:val="22"/>
          <w:lang w:val="en-GB"/>
        </w:rPr>
        <w:t xml:space="preserve"> in rouble terms</w:t>
      </w:r>
      <w:r w:rsidR="00D87467" w:rsidRPr="00AC5CD6">
        <w:rPr>
          <w:rFonts w:eastAsia="Times New Roman"/>
          <w:sz w:val="22"/>
          <w:szCs w:val="22"/>
          <w:lang w:val="en-GB"/>
        </w:rPr>
        <w:t xml:space="preserve"> from the equivalent of USD 200 million to USD 250 million. </w:t>
      </w:r>
      <w:r w:rsidR="00D87467" w:rsidRPr="00AC5CD6">
        <w:rPr>
          <w:sz w:val="22"/>
          <w:szCs w:val="22"/>
          <w:lang w:val="en-GB"/>
        </w:rPr>
        <w:t xml:space="preserve"> </w:t>
      </w:r>
    </w:p>
    <w:p w14:paraId="2F88D6B0" w14:textId="77777777" w:rsidR="00D87467" w:rsidRPr="00AC5CD6" w:rsidRDefault="00D87467" w:rsidP="00D87467">
      <w:pPr>
        <w:jc w:val="both"/>
        <w:rPr>
          <w:rFonts w:eastAsia="Times New Roman"/>
          <w:sz w:val="22"/>
          <w:szCs w:val="22"/>
          <w:lang w:val="en-GB"/>
        </w:rPr>
      </w:pPr>
    </w:p>
    <w:p w14:paraId="2FA0DEE7" w14:textId="16169327" w:rsidR="00D87467" w:rsidRPr="00AC5CD6" w:rsidRDefault="00D87467" w:rsidP="00D87467">
      <w:pPr>
        <w:pStyle w:val="P68B1DB1-Normal2"/>
        <w:jc w:val="both"/>
        <w:rPr>
          <w:rFonts w:ascii="Calibri" w:hAnsi="Calibri" w:cs="Calibri"/>
          <w:b w:val="0"/>
          <w:bCs/>
          <w:sz w:val="22"/>
          <w:szCs w:val="22"/>
          <w:lang w:val="en-GB"/>
        </w:rPr>
      </w:pPr>
      <w:r w:rsidRPr="00AC5CD6">
        <w:rPr>
          <w:rFonts w:ascii="Calibri" w:hAnsi="Calibri" w:cs="Calibri"/>
          <w:b w:val="0"/>
          <w:bCs/>
          <w:sz w:val="22"/>
          <w:szCs w:val="22"/>
          <w:lang w:val="en-GB"/>
        </w:rPr>
        <w:t xml:space="preserve">As a result of the book-building process, the issue achieved </w:t>
      </w:r>
      <w:r w:rsidRPr="00AC5CD6">
        <w:rPr>
          <w:rFonts w:ascii="Calibri" w:hAnsi="Calibri" w:cs="Calibri"/>
          <w:sz w:val="22"/>
          <w:szCs w:val="22"/>
          <w:lang w:val="en-GB"/>
        </w:rPr>
        <w:t>the lowest coupon rate among all foreign currency–denominated bond placements</w:t>
      </w:r>
      <w:r w:rsidRPr="00AC5CD6">
        <w:rPr>
          <w:rFonts w:ascii="Calibri" w:hAnsi="Calibri" w:cs="Calibri"/>
          <w:b w:val="0"/>
          <w:bCs/>
          <w:sz w:val="22"/>
          <w:szCs w:val="22"/>
          <w:lang w:val="en-GB"/>
        </w:rPr>
        <w:t xml:space="preserve"> on the Russian primary market since the start of 2025.</w:t>
      </w:r>
    </w:p>
    <w:p w14:paraId="499409E7" w14:textId="77777777" w:rsidR="00D87467" w:rsidRPr="00AC5CD6" w:rsidRDefault="00D87467" w:rsidP="00D87467">
      <w:pPr>
        <w:jc w:val="both"/>
        <w:rPr>
          <w:rFonts w:eastAsia="Times New Roman"/>
          <w:sz w:val="22"/>
          <w:szCs w:val="22"/>
          <w:lang w:val="en-GB"/>
        </w:rPr>
      </w:pPr>
    </w:p>
    <w:p w14:paraId="4F4CAF6B" w14:textId="7F3D338E" w:rsidR="00D87467" w:rsidRPr="00AC5CD6" w:rsidRDefault="00D87467" w:rsidP="00D87467">
      <w:pPr>
        <w:pStyle w:val="P68B1DB1-Normal1"/>
        <w:jc w:val="both"/>
        <w:rPr>
          <w:rFonts w:ascii="Calibri" w:hAnsi="Calibri" w:cs="Calibri"/>
          <w:sz w:val="22"/>
          <w:szCs w:val="22"/>
          <w:lang w:val="en-GB"/>
        </w:rPr>
      </w:pPr>
      <w:r w:rsidRPr="00AC5CD6">
        <w:rPr>
          <w:rFonts w:ascii="Calibri" w:hAnsi="Calibri" w:cs="Calibri"/>
          <w:sz w:val="22"/>
          <w:szCs w:val="22"/>
          <w:lang w:val="en-GB"/>
        </w:rPr>
        <w:t xml:space="preserve">Expert RA has assigned the bond issue its expected highest-possible </w:t>
      </w:r>
      <w:r w:rsidR="00050E0A" w:rsidRPr="00AC5CD6">
        <w:rPr>
          <w:rFonts w:ascii="Calibri" w:hAnsi="Calibri" w:cs="Calibri"/>
          <w:sz w:val="22"/>
          <w:szCs w:val="22"/>
          <w:lang w:val="en-GB"/>
        </w:rPr>
        <w:t xml:space="preserve">credit </w:t>
      </w:r>
      <w:r w:rsidRPr="00AC5CD6">
        <w:rPr>
          <w:rFonts w:ascii="Calibri" w:hAnsi="Calibri" w:cs="Calibri"/>
          <w:sz w:val="22"/>
          <w:szCs w:val="22"/>
          <w:lang w:val="en-GB"/>
        </w:rPr>
        <w:t xml:space="preserve">rating of </w:t>
      </w:r>
      <w:proofErr w:type="spellStart"/>
      <w:proofErr w:type="gramStart"/>
      <w:r w:rsidRPr="00AC5CD6">
        <w:rPr>
          <w:rFonts w:ascii="Calibri" w:hAnsi="Calibri" w:cs="Calibri"/>
          <w:sz w:val="22"/>
          <w:szCs w:val="22"/>
          <w:lang w:val="en-GB"/>
        </w:rPr>
        <w:t>ruAAA</w:t>
      </w:r>
      <w:proofErr w:type="spellEnd"/>
      <w:r w:rsidRPr="00AC5CD6">
        <w:rPr>
          <w:rFonts w:ascii="Calibri" w:hAnsi="Calibri" w:cs="Calibri"/>
          <w:sz w:val="22"/>
          <w:szCs w:val="22"/>
          <w:lang w:val="en-GB"/>
        </w:rPr>
        <w:t>(</w:t>
      </w:r>
      <w:proofErr w:type="gramEnd"/>
      <w:r w:rsidR="00050E0A" w:rsidRPr="00AC5CD6">
        <w:rPr>
          <w:rFonts w:ascii="Calibri" w:hAnsi="Calibri" w:cs="Calibri"/>
          <w:sz w:val="22"/>
          <w:szCs w:val="22"/>
          <w:lang w:val="en-GB"/>
        </w:rPr>
        <w:t>EXP</w:t>
      </w:r>
      <w:r w:rsidRPr="00AC5CD6">
        <w:rPr>
          <w:rFonts w:ascii="Calibri" w:hAnsi="Calibri" w:cs="Calibri"/>
          <w:sz w:val="22"/>
          <w:szCs w:val="22"/>
          <w:lang w:val="en-GB"/>
        </w:rPr>
        <w:t>).</w:t>
      </w:r>
    </w:p>
    <w:p w14:paraId="4BF2872B" w14:textId="77777777" w:rsidR="00D87467" w:rsidRPr="00AC5CD6" w:rsidRDefault="00D87467" w:rsidP="00D87467">
      <w:pPr>
        <w:jc w:val="both"/>
        <w:rPr>
          <w:rFonts w:eastAsia="Times New Roman"/>
          <w:sz w:val="22"/>
          <w:szCs w:val="22"/>
          <w:lang w:val="en-GB"/>
        </w:rPr>
      </w:pPr>
    </w:p>
    <w:p w14:paraId="7C2DB9BF" w14:textId="0AC2B11F" w:rsidR="004E21A3" w:rsidRPr="00AC5CD6" w:rsidRDefault="00D87467" w:rsidP="00AC5CD6">
      <w:pPr>
        <w:pStyle w:val="P68B1DB1-Normal1"/>
        <w:jc w:val="both"/>
        <w:rPr>
          <w:rFonts w:ascii="Calibri" w:hAnsi="Calibri" w:cs="Calibri"/>
          <w:sz w:val="22"/>
          <w:szCs w:val="22"/>
          <w:lang w:val="ru-RU"/>
        </w:rPr>
      </w:pPr>
      <w:r w:rsidRPr="00AC5CD6">
        <w:rPr>
          <w:rFonts w:ascii="Calibri" w:hAnsi="Calibri" w:cs="Calibri"/>
          <w:sz w:val="22"/>
          <w:szCs w:val="22"/>
          <w:lang w:val="en-GB"/>
        </w:rPr>
        <w:t>The placement of the BO-02-03 series bonds is scheduled for 1 April 2025 on Moscow Exchange. Gazprombank will act as the bookrunner and placement agent.</w:t>
      </w:r>
    </w:p>
    <w:p w14:paraId="44157E0E" w14:textId="77777777" w:rsidR="00AC5CD6" w:rsidRDefault="00AC5CD6" w:rsidP="00AC5CD6">
      <w:pPr>
        <w:pStyle w:val="P68B1DB1-Normal1"/>
        <w:jc w:val="both"/>
        <w:rPr>
          <w:rFonts w:ascii="Calibri" w:hAnsi="Calibri" w:cs="Calibri"/>
          <w:sz w:val="22"/>
          <w:szCs w:val="22"/>
          <w:lang w:val="en-US"/>
        </w:rPr>
      </w:pPr>
    </w:p>
    <w:p w14:paraId="75835200" w14:textId="77777777" w:rsidR="00AC5CD6" w:rsidRPr="00B373FD" w:rsidRDefault="00AC5CD6" w:rsidP="00AC5CD6">
      <w:pPr>
        <w:spacing w:after="120"/>
        <w:jc w:val="both"/>
        <w:rPr>
          <w:b/>
          <w:bCs/>
          <w:color w:val="auto"/>
          <w:sz w:val="22"/>
          <w:szCs w:val="22"/>
          <w:lang w:val="en-GB"/>
        </w:rPr>
      </w:pPr>
      <w:r w:rsidRPr="00B373FD">
        <w:rPr>
          <w:b/>
          <w:bCs/>
          <w:color w:val="auto"/>
          <w:sz w:val="22"/>
          <w:szCs w:val="22"/>
          <w:lang w:val="en-GB"/>
        </w:rPr>
        <w:t>About the Company</w:t>
      </w:r>
    </w:p>
    <w:p w14:paraId="49EDBD8A" w14:textId="77777777" w:rsidR="00AC5CD6" w:rsidRPr="00B373FD" w:rsidRDefault="00AC5CD6" w:rsidP="00AC5CD6">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w:t>
      </w:r>
      <w:hyperlink>
        <w:r w:rsidRPr="00B373FD">
          <w:rPr>
            <w:rStyle w:val="aff3"/>
            <w:bCs/>
            <w:i/>
            <w:iCs/>
            <w:sz w:val="22"/>
            <w:szCs w:val="22"/>
            <w:lang w:val="en-GB"/>
          </w:rPr>
          <w:t>www.phosagro.ru</w:t>
        </w:r>
      </w:hyperlink>
      <w:r w:rsidRPr="00B373FD">
        <w:rPr>
          <w:bCs/>
          <w:i/>
          <w:iCs/>
          <w:color w:val="auto"/>
          <w:sz w:val="22"/>
          <w:szCs w:val="22"/>
          <w:lang w:val="en-GB"/>
        </w:rPr>
        <w:t>) is a vertically integrated Russian company and one of the world’s leading producers of phosphate-based fertilizers and high-grade phosphate rock with P2O5 content of 39% or more (according to the IFA</w:t>
      </w:r>
      <w:proofErr w:type="gramStart"/>
      <w:r w:rsidRPr="00B373FD">
        <w:rPr>
          <w:bCs/>
          <w:i/>
          <w:iCs/>
          <w:color w:val="auto"/>
          <w:sz w:val="22"/>
          <w:szCs w:val="22"/>
          <w:lang w:val="en-GB"/>
        </w:rPr>
        <w:t>) .</w:t>
      </w:r>
      <w:proofErr w:type="gramEnd"/>
      <w:r w:rsidRPr="00B373FD">
        <w:rPr>
          <w:bCs/>
          <w:i/>
          <w:iCs/>
          <w:color w:val="auto"/>
          <w:sz w:val="22"/>
          <w:szCs w:val="22"/>
          <w:lang w:val="en-GB"/>
        </w:rPr>
        <w:t xml:space="preserve">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408D346B" w14:textId="77777777" w:rsidR="00AC5CD6" w:rsidRPr="00B373FD" w:rsidRDefault="00AC5CD6" w:rsidP="00AC5CD6">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0420CC2F" w14:textId="77777777" w:rsidR="00AC5CD6" w:rsidRPr="00B373FD" w:rsidRDefault="00AC5CD6" w:rsidP="00AC5CD6">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7945DC58" w14:textId="77777777" w:rsidR="00AC5CD6" w:rsidRPr="00E22B9F" w:rsidRDefault="00AC5CD6" w:rsidP="00AC5CD6">
      <w:pPr>
        <w:spacing w:after="120"/>
        <w:jc w:val="both"/>
        <w:rPr>
          <w:bCs/>
          <w:i/>
          <w:iCs/>
          <w:color w:val="auto"/>
          <w:sz w:val="22"/>
          <w:szCs w:val="22"/>
          <w:lang w:val="en-GB"/>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5632CA2F" w14:textId="77777777" w:rsidR="00AC5CD6" w:rsidRPr="00AC5CD6" w:rsidRDefault="00AC5CD6" w:rsidP="00AC5CD6">
      <w:pPr>
        <w:pStyle w:val="P68B1DB1-Normal1"/>
        <w:jc w:val="both"/>
        <w:rPr>
          <w:rFonts w:ascii="Calibri" w:hAnsi="Calibri" w:cs="Calibri"/>
          <w:sz w:val="22"/>
          <w:szCs w:val="22"/>
          <w:lang w:val="en-GB"/>
        </w:rPr>
      </w:pPr>
    </w:p>
    <w:p w14:paraId="7A7084C9" w14:textId="77777777" w:rsidR="00AC5CD6" w:rsidRPr="00AC5CD6" w:rsidRDefault="00AC5CD6" w:rsidP="00AC5CD6">
      <w:pPr>
        <w:pStyle w:val="P68B1DB1-Normal1"/>
        <w:jc w:val="both"/>
        <w:rPr>
          <w:rFonts w:ascii="Calibri" w:hAnsi="Calibri" w:cs="Calibri"/>
          <w:sz w:val="22"/>
          <w:szCs w:val="22"/>
          <w:lang w:val="en-US"/>
        </w:rPr>
      </w:pPr>
    </w:p>
    <w:sectPr w:rsidR="00AC5CD6" w:rsidRPr="00AC5CD6" w:rsidSect="00AC5CD6">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A0B2" w14:textId="77777777" w:rsidR="005F483F" w:rsidRDefault="005F483F">
      <w:r>
        <w:separator/>
      </w:r>
    </w:p>
  </w:endnote>
  <w:endnote w:type="continuationSeparator" w:id="0">
    <w:p w14:paraId="4E3E1629" w14:textId="77777777" w:rsidR="005F483F" w:rsidRDefault="005F483F">
      <w:r>
        <w:continuationSeparator/>
      </w:r>
    </w:p>
  </w:endnote>
  <w:endnote w:type="continuationNotice" w:id="1">
    <w:p w14:paraId="7147CF66" w14:textId="77777777" w:rsidR="005F483F" w:rsidRDefault="005F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3E15" w14:textId="77777777" w:rsidR="005F483F" w:rsidRDefault="005F483F">
      <w:r>
        <w:separator/>
      </w:r>
    </w:p>
  </w:footnote>
  <w:footnote w:type="continuationSeparator" w:id="0">
    <w:p w14:paraId="43ECD6F4" w14:textId="77777777" w:rsidR="005F483F" w:rsidRDefault="005F483F">
      <w:r>
        <w:continuationSeparator/>
      </w:r>
    </w:p>
  </w:footnote>
  <w:footnote w:type="continuationNotice" w:id="1">
    <w:p w14:paraId="2A05F0C3" w14:textId="77777777" w:rsidR="005F483F" w:rsidRDefault="005F4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07266E87"/>
    <w:multiLevelType w:val="hybridMultilevel"/>
    <w:tmpl w:val="939E7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4"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1"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2"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3"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4"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5"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6"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7"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16cid:durableId="1534611169">
    <w:abstractNumId w:val="9"/>
  </w:num>
  <w:num w:numId="2" w16cid:durableId="1857498936">
    <w:abstractNumId w:val="8"/>
  </w:num>
  <w:num w:numId="3" w16cid:durableId="2141261915">
    <w:abstractNumId w:val="4"/>
  </w:num>
  <w:num w:numId="4" w16cid:durableId="1705448924">
    <w:abstractNumId w:val="15"/>
  </w:num>
  <w:num w:numId="5" w16cid:durableId="1860700988">
    <w:abstractNumId w:val="12"/>
  </w:num>
  <w:num w:numId="6" w16cid:durableId="356664068">
    <w:abstractNumId w:val="6"/>
  </w:num>
  <w:num w:numId="7" w16cid:durableId="23135258">
    <w:abstractNumId w:val="13"/>
  </w:num>
  <w:num w:numId="8" w16cid:durableId="1192694223">
    <w:abstractNumId w:val="17"/>
  </w:num>
  <w:num w:numId="9" w16cid:durableId="1533570161">
    <w:abstractNumId w:val="3"/>
  </w:num>
  <w:num w:numId="10" w16cid:durableId="1259680256">
    <w:abstractNumId w:val="0"/>
  </w:num>
  <w:num w:numId="11" w16cid:durableId="1746150739">
    <w:abstractNumId w:val="11"/>
  </w:num>
  <w:num w:numId="12" w16cid:durableId="296836122">
    <w:abstractNumId w:val="1"/>
  </w:num>
  <w:num w:numId="13" w16cid:durableId="571083365">
    <w:abstractNumId w:val="7"/>
  </w:num>
  <w:num w:numId="14" w16cid:durableId="1338653143">
    <w:abstractNumId w:val="10"/>
  </w:num>
  <w:num w:numId="15" w16cid:durableId="920674218">
    <w:abstractNumId w:val="16"/>
  </w:num>
  <w:num w:numId="16" w16cid:durableId="1605069527">
    <w:abstractNumId w:val="14"/>
  </w:num>
  <w:num w:numId="17" w16cid:durableId="576749056">
    <w:abstractNumId w:val="5"/>
  </w:num>
  <w:num w:numId="18" w16cid:durableId="1301886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12D32"/>
    <w:rsid w:val="0002493C"/>
    <w:rsid w:val="000253FA"/>
    <w:rsid w:val="00031B64"/>
    <w:rsid w:val="00034F8C"/>
    <w:rsid w:val="00040779"/>
    <w:rsid w:val="00050E0A"/>
    <w:rsid w:val="0005578D"/>
    <w:rsid w:val="000712AB"/>
    <w:rsid w:val="000738D7"/>
    <w:rsid w:val="0008161A"/>
    <w:rsid w:val="000875ED"/>
    <w:rsid w:val="00095470"/>
    <w:rsid w:val="0009749F"/>
    <w:rsid w:val="00097FAB"/>
    <w:rsid w:val="000A6E50"/>
    <w:rsid w:val="000A7683"/>
    <w:rsid w:val="000B247C"/>
    <w:rsid w:val="000D06AA"/>
    <w:rsid w:val="000D2E38"/>
    <w:rsid w:val="000D5700"/>
    <w:rsid w:val="000E0F3C"/>
    <w:rsid w:val="000F4F9C"/>
    <w:rsid w:val="000F671A"/>
    <w:rsid w:val="00105925"/>
    <w:rsid w:val="0010668B"/>
    <w:rsid w:val="00116F98"/>
    <w:rsid w:val="00117504"/>
    <w:rsid w:val="00120248"/>
    <w:rsid w:val="00122483"/>
    <w:rsid w:val="00135F85"/>
    <w:rsid w:val="0013632A"/>
    <w:rsid w:val="00142389"/>
    <w:rsid w:val="00145800"/>
    <w:rsid w:val="00145BA5"/>
    <w:rsid w:val="0015028C"/>
    <w:rsid w:val="001612BF"/>
    <w:rsid w:val="00163D3E"/>
    <w:rsid w:val="0016613F"/>
    <w:rsid w:val="00172F8C"/>
    <w:rsid w:val="00173751"/>
    <w:rsid w:val="0017598B"/>
    <w:rsid w:val="00175FE7"/>
    <w:rsid w:val="00182BA2"/>
    <w:rsid w:val="00183916"/>
    <w:rsid w:val="00184E80"/>
    <w:rsid w:val="00186A8D"/>
    <w:rsid w:val="00193BF6"/>
    <w:rsid w:val="0019742D"/>
    <w:rsid w:val="001B13F0"/>
    <w:rsid w:val="001D1F32"/>
    <w:rsid w:val="001E3D87"/>
    <w:rsid w:val="001E6E57"/>
    <w:rsid w:val="001F090D"/>
    <w:rsid w:val="001F123F"/>
    <w:rsid w:val="001F5E88"/>
    <w:rsid w:val="001F77F2"/>
    <w:rsid w:val="00203C2B"/>
    <w:rsid w:val="00205A73"/>
    <w:rsid w:val="00211311"/>
    <w:rsid w:val="002313FC"/>
    <w:rsid w:val="00236E9A"/>
    <w:rsid w:val="00240D55"/>
    <w:rsid w:val="0024226D"/>
    <w:rsid w:val="00245815"/>
    <w:rsid w:val="0026543A"/>
    <w:rsid w:val="00282A9C"/>
    <w:rsid w:val="0028460B"/>
    <w:rsid w:val="00285B1A"/>
    <w:rsid w:val="00292B08"/>
    <w:rsid w:val="00293297"/>
    <w:rsid w:val="002A1711"/>
    <w:rsid w:val="002B457A"/>
    <w:rsid w:val="002B7001"/>
    <w:rsid w:val="002C47D4"/>
    <w:rsid w:val="002E6309"/>
    <w:rsid w:val="002F148F"/>
    <w:rsid w:val="002F6273"/>
    <w:rsid w:val="00306247"/>
    <w:rsid w:val="00310F48"/>
    <w:rsid w:val="003129D8"/>
    <w:rsid w:val="00312B2A"/>
    <w:rsid w:val="00316380"/>
    <w:rsid w:val="003201E9"/>
    <w:rsid w:val="00322B53"/>
    <w:rsid w:val="003344CF"/>
    <w:rsid w:val="00335A7D"/>
    <w:rsid w:val="00337E7D"/>
    <w:rsid w:val="00340947"/>
    <w:rsid w:val="003423F4"/>
    <w:rsid w:val="00372A1E"/>
    <w:rsid w:val="00372B4C"/>
    <w:rsid w:val="003735C7"/>
    <w:rsid w:val="00377ABC"/>
    <w:rsid w:val="00391047"/>
    <w:rsid w:val="00395D53"/>
    <w:rsid w:val="003D180A"/>
    <w:rsid w:val="003D1DF6"/>
    <w:rsid w:val="003E578E"/>
    <w:rsid w:val="003F1955"/>
    <w:rsid w:val="004130F4"/>
    <w:rsid w:val="004266B5"/>
    <w:rsid w:val="004303E9"/>
    <w:rsid w:val="00440438"/>
    <w:rsid w:val="00440ACA"/>
    <w:rsid w:val="00440DA2"/>
    <w:rsid w:val="00445A67"/>
    <w:rsid w:val="00452745"/>
    <w:rsid w:val="00455EE2"/>
    <w:rsid w:val="004568DC"/>
    <w:rsid w:val="004614BC"/>
    <w:rsid w:val="00472001"/>
    <w:rsid w:val="00474C61"/>
    <w:rsid w:val="00475A54"/>
    <w:rsid w:val="00477D4D"/>
    <w:rsid w:val="00480AEC"/>
    <w:rsid w:val="004823CF"/>
    <w:rsid w:val="004926A2"/>
    <w:rsid w:val="004A0B64"/>
    <w:rsid w:val="004A6CD8"/>
    <w:rsid w:val="004B1F79"/>
    <w:rsid w:val="004B2A61"/>
    <w:rsid w:val="004C230F"/>
    <w:rsid w:val="004D4EFB"/>
    <w:rsid w:val="004E14E2"/>
    <w:rsid w:val="004E21A3"/>
    <w:rsid w:val="004E453B"/>
    <w:rsid w:val="004E6347"/>
    <w:rsid w:val="004F15B5"/>
    <w:rsid w:val="00501BED"/>
    <w:rsid w:val="005056CA"/>
    <w:rsid w:val="005104ED"/>
    <w:rsid w:val="00511306"/>
    <w:rsid w:val="005146DD"/>
    <w:rsid w:val="00516C61"/>
    <w:rsid w:val="00524134"/>
    <w:rsid w:val="00535EF9"/>
    <w:rsid w:val="00560A98"/>
    <w:rsid w:val="005626CB"/>
    <w:rsid w:val="005701CA"/>
    <w:rsid w:val="00575CF0"/>
    <w:rsid w:val="005772C4"/>
    <w:rsid w:val="00584859"/>
    <w:rsid w:val="00590A25"/>
    <w:rsid w:val="005A20A4"/>
    <w:rsid w:val="005B12B2"/>
    <w:rsid w:val="005C6EC2"/>
    <w:rsid w:val="005D0703"/>
    <w:rsid w:val="005D23F8"/>
    <w:rsid w:val="005D649D"/>
    <w:rsid w:val="005E71D0"/>
    <w:rsid w:val="005F1D1C"/>
    <w:rsid w:val="005F483F"/>
    <w:rsid w:val="005F6DE1"/>
    <w:rsid w:val="00613ED6"/>
    <w:rsid w:val="00614606"/>
    <w:rsid w:val="0061557B"/>
    <w:rsid w:val="00621819"/>
    <w:rsid w:val="00631266"/>
    <w:rsid w:val="00634301"/>
    <w:rsid w:val="00634EF1"/>
    <w:rsid w:val="00660CC4"/>
    <w:rsid w:val="00665255"/>
    <w:rsid w:val="0068295C"/>
    <w:rsid w:val="00684A9B"/>
    <w:rsid w:val="0069244D"/>
    <w:rsid w:val="0069750A"/>
    <w:rsid w:val="006A3609"/>
    <w:rsid w:val="006A5DEA"/>
    <w:rsid w:val="006A7C25"/>
    <w:rsid w:val="006B00E1"/>
    <w:rsid w:val="006B05A4"/>
    <w:rsid w:val="006B0744"/>
    <w:rsid w:val="006B6420"/>
    <w:rsid w:val="006D245A"/>
    <w:rsid w:val="006D32BC"/>
    <w:rsid w:val="006E5BA2"/>
    <w:rsid w:val="006F196A"/>
    <w:rsid w:val="006F2D80"/>
    <w:rsid w:val="006F7068"/>
    <w:rsid w:val="00701D5E"/>
    <w:rsid w:val="00705B3C"/>
    <w:rsid w:val="00706F43"/>
    <w:rsid w:val="0072253D"/>
    <w:rsid w:val="007238AB"/>
    <w:rsid w:val="007318DA"/>
    <w:rsid w:val="007440E5"/>
    <w:rsid w:val="007509E7"/>
    <w:rsid w:val="007610D0"/>
    <w:rsid w:val="00764556"/>
    <w:rsid w:val="00774AF6"/>
    <w:rsid w:val="00775DC0"/>
    <w:rsid w:val="00775FCD"/>
    <w:rsid w:val="00783A12"/>
    <w:rsid w:val="007849AF"/>
    <w:rsid w:val="007C750F"/>
    <w:rsid w:val="007D2C32"/>
    <w:rsid w:val="007D30D8"/>
    <w:rsid w:val="007E73E6"/>
    <w:rsid w:val="008004E3"/>
    <w:rsid w:val="00804A84"/>
    <w:rsid w:val="008101C1"/>
    <w:rsid w:val="00812B05"/>
    <w:rsid w:val="008174D7"/>
    <w:rsid w:val="00826748"/>
    <w:rsid w:val="00831D88"/>
    <w:rsid w:val="00832D26"/>
    <w:rsid w:val="00836065"/>
    <w:rsid w:val="008408C7"/>
    <w:rsid w:val="00841FE3"/>
    <w:rsid w:val="008501FC"/>
    <w:rsid w:val="0085607A"/>
    <w:rsid w:val="00860C35"/>
    <w:rsid w:val="00864807"/>
    <w:rsid w:val="00867415"/>
    <w:rsid w:val="00884DF5"/>
    <w:rsid w:val="008905A2"/>
    <w:rsid w:val="00892715"/>
    <w:rsid w:val="008971B8"/>
    <w:rsid w:val="008A2C97"/>
    <w:rsid w:val="008B2806"/>
    <w:rsid w:val="008C195F"/>
    <w:rsid w:val="008D06BC"/>
    <w:rsid w:val="008E0988"/>
    <w:rsid w:val="008F1934"/>
    <w:rsid w:val="008F52CD"/>
    <w:rsid w:val="00903219"/>
    <w:rsid w:val="00911A67"/>
    <w:rsid w:val="00914C9B"/>
    <w:rsid w:val="009242A0"/>
    <w:rsid w:val="009313BD"/>
    <w:rsid w:val="0093343A"/>
    <w:rsid w:val="00933B75"/>
    <w:rsid w:val="00951B57"/>
    <w:rsid w:val="00954EAB"/>
    <w:rsid w:val="00962C40"/>
    <w:rsid w:val="00970107"/>
    <w:rsid w:val="009709BA"/>
    <w:rsid w:val="0097551C"/>
    <w:rsid w:val="00983CA2"/>
    <w:rsid w:val="009A2E93"/>
    <w:rsid w:val="009B2C5E"/>
    <w:rsid w:val="009C388D"/>
    <w:rsid w:val="009C4AB0"/>
    <w:rsid w:val="009D586B"/>
    <w:rsid w:val="009E00A0"/>
    <w:rsid w:val="009E2396"/>
    <w:rsid w:val="009F3477"/>
    <w:rsid w:val="009F6B32"/>
    <w:rsid w:val="00A01C58"/>
    <w:rsid w:val="00A02350"/>
    <w:rsid w:val="00A02983"/>
    <w:rsid w:val="00A07ED3"/>
    <w:rsid w:val="00A1109C"/>
    <w:rsid w:val="00A111B8"/>
    <w:rsid w:val="00A13983"/>
    <w:rsid w:val="00A16916"/>
    <w:rsid w:val="00A17BAE"/>
    <w:rsid w:val="00A30034"/>
    <w:rsid w:val="00A34426"/>
    <w:rsid w:val="00A41EB8"/>
    <w:rsid w:val="00A42977"/>
    <w:rsid w:val="00A45BF7"/>
    <w:rsid w:val="00A5059D"/>
    <w:rsid w:val="00A541D6"/>
    <w:rsid w:val="00A60484"/>
    <w:rsid w:val="00A621E9"/>
    <w:rsid w:val="00A62A46"/>
    <w:rsid w:val="00A75646"/>
    <w:rsid w:val="00A81DB9"/>
    <w:rsid w:val="00A86DB0"/>
    <w:rsid w:val="00A93B97"/>
    <w:rsid w:val="00A95645"/>
    <w:rsid w:val="00AA27CB"/>
    <w:rsid w:val="00AA6220"/>
    <w:rsid w:val="00AC4578"/>
    <w:rsid w:val="00AC59CB"/>
    <w:rsid w:val="00AC5CD6"/>
    <w:rsid w:val="00AD7607"/>
    <w:rsid w:val="00AF3DF9"/>
    <w:rsid w:val="00AF4512"/>
    <w:rsid w:val="00B034CE"/>
    <w:rsid w:val="00B21BA5"/>
    <w:rsid w:val="00B23146"/>
    <w:rsid w:val="00B25863"/>
    <w:rsid w:val="00B27614"/>
    <w:rsid w:val="00B27837"/>
    <w:rsid w:val="00B32086"/>
    <w:rsid w:val="00B351E9"/>
    <w:rsid w:val="00B40160"/>
    <w:rsid w:val="00B42036"/>
    <w:rsid w:val="00B4464C"/>
    <w:rsid w:val="00B45723"/>
    <w:rsid w:val="00B462E0"/>
    <w:rsid w:val="00B55256"/>
    <w:rsid w:val="00B7441B"/>
    <w:rsid w:val="00B8647E"/>
    <w:rsid w:val="00B91DE1"/>
    <w:rsid w:val="00B93015"/>
    <w:rsid w:val="00B9579A"/>
    <w:rsid w:val="00BB2AC1"/>
    <w:rsid w:val="00BD154A"/>
    <w:rsid w:val="00BE0F1C"/>
    <w:rsid w:val="00BE369C"/>
    <w:rsid w:val="00BE4CEE"/>
    <w:rsid w:val="00BF43FA"/>
    <w:rsid w:val="00BF726A"/>
    <w:rsid w:val="00C06521"/>
    <w:rsid w:val="00C110A2"/>
    <w:rsid w:val="00C13086"/>
    <w:rsid w:val="00C13D0B"/>
    <w:rsid w:val="00C22C2F"/>
    <w:rsid w:val="00C23769"/>
    <w:rsid w:val="00C32765"/>
    <w:rsid w:val="00C33B3E"/>
    <w:rsid w:val="00C3444A"/>
    <w:rsid w:val="00C34932"/>
    <w:rsid w:val="00C356BD"/>
    <w:rsid w:val="00C5433C"/>
    <w:rsid w:val="00C57122"/>
    <w:rsid w:val="00C5755A"/>
    <w:rsid w:val="00C60132"/>
    <w:rsid w:val="00C60D98"/>
    <w:rsid w:val="00C63C6E"/>
    <w:rsid w:val="00C7430C"/>
    <w:rsid w:val="00C86D65"/>
    <w:rsid w:val="00C87800"/>
    <w:rsid w:val="00C93612"/>
    <w:rsid w:val="00C967B7"/>
    <w:rsid w:val="00CA21D6"/>
    <w:rsid w:val="00CB69C1"/>
    <w:rsid w:val="00CB7BE2"/>
    <w:rsid w:val="00CC30BD"/>
    <w:rsid w:val="00CE0516"/>
    <w:rsid w:val="00CE15C0"/>
    <w:rsid w:val="00CE5C05"/>
    <w:rsid w:val="00CF51DC"/>
    <w:rsid w:val="00CF529B"/>
    <w:rsid w:val="00CF5503"/>
    <w:rsid w:val="00CF5BEB"/>
    <w:rsid w:val="00CF7E76"/>
    <w:rsid w:val="00D065D3"/>
    <w:rsid w:val="00D12E4B"/>
    <w:rsid w:val="00D15F60"/>
    <w:rsid w:val="00D16F42"/>
    <w:rsid w:val="00D20E79"/>
    <w:rsid w:val="00D23D4F"/>
    <w:rsid w:val="00D24FB1"/>
    <w:rsid w:val="00D51926"/>
    <w:rsid w:val="00D63E8E"/>
    <w:rsid w:val="00D64C5D"/>
    <w:rsid w:val="00D66BC6"/>
    <w:rsid w:val="00D72E0B"/>
    <w:rsid w:val="00D77372"/>
    <w:rsid w:val="00D87467"/>
    <w:rsid w:val="00D918CA"/>
    <w:rsid w:val="00D96948"/>
    <w:rsid w:val="00DA0B7F"/>
    <w:rsid w:val="00DD1B5A"/>
    <w:rsid w:val="00DE48B5"/>
    <w:rsid w:val="00DE636D"/>
    <w:rsid w:val="00DE7F34"/>
    <w:rsid w:val="00DF66AE"/>
    <w:rsid w:val="00E04DBB"/>
    <w:rsid w:val="00E21886"/>
    <w:rsid w:val="00E33201"/>
    <w:rsid w:val="00E50F29"/>
    <w:rsid w:val="00E511AA"/>
    <w:rsid w:val="00E56A4E"/>
    <w:rsid w:val="00E628CA"/>
    <w:rsid w:val="00E6327B"/>
    <w:rsid w:val="00E67362"/>
    <w:rsid w:val="00E75FF1"/>
    <w:rsid w:val="00E76EEC"/>
    <w:rsid w:val="00E81C36"/>
    <w:rsid w:val="00E86E56"/>
    <w:rsid w:val="00EB5CF9"/>
    <w:rsid w:val="00ED1150"/>
    <w:rsid w:val="00EE35D8"/>
    <w:rsid w:val="00EF0F08"/>
    <w:rsid w:val="00EF3199"/>
    <w:rsid w:val="00EF64A3"/>
    <w:rsid w:val="00F07CFC"/>
    <w:rsid w:val="00F2009B"/>
    <w:rsid w:val="00F2511D"/>
    <w:rsid w:val="00F349D9"/>
    <w:rsid w:val="00F3523A"/>
    <w:rsid w:val="00F43F6D"/>
    <w:rsid w:val="00F46CBF"/>
    <w:rsid w:val="00F647C6"/>
    <w:rsid w:val="00F67544"/>
    <w:rsid w:val="00F7684F"/>
    <w:rsid w:val="00F7703A"/>
    <w:rsid w:val="00F8402F"/>
    <w:rsid w:val="00FB086E"/>
    <w:rsid w:val="00FB5815"/>
    <w:rsid w:val="00FD5438"/>
    <w:rsid w:val="00FD548C"/>
    <w:rsid w:val="00FF2A8F"/>
    <w:rsid w:val="00FF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10B"/>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80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szCs w:val="24"/>
      <w:lang w:val="en-US"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iCs/>
      <w:color w:val="0563C1"/>
      <w:sz w:val="18"/>
      <w:szCs w:val="18"/>
      <w:u w:val="single"/>
      <w:lang w:val="ru-RU"/>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lang w:val="ru-RU"/>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Calibri" w:hAnsi="Segoe UI" w:cs="Segoe UI"/>
      <w:color w:val="000000"/>
      <w:sz w:val="18"/>
      <w:szCs w:val="18"/>
      <w:lang w:val="en-US" w:eastAsia="ru-RU"/>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Calibri" w:eastAsia="Calibri" w:hAnsi="Calibri" w:cs="Calibri"/>
      <w:color w:val="000000"/>
      <w:sz w:val="20"/>
      <w:szCs w:val="20"/>
      <w:lang w:val="en-US"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Calibri" w:eastAsia="Calibri" w:hAnsi="Calibri" w:cs="Calibri"/>
      <w:b/>
      <w:bCs/>
      <w:color w:val="000000"/>
      <w:sz w:val="20"/>
      <w:szCs w:val="20"/>
      <w:lang w:val="en-US" w:eastAsia="ru-RU"/>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szCs w:val="22"/>
      <w:lang w:val="ru-RU" w:eastAsia="en-US"/>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Pr>
      <w:rFonts w:ascii="Calibri" w:eastAsia="Calibri" w:hAnsi="Calibri" w:cs="Calibri"/>
      <w:i/>
      <w:iCs/>
      <w:color w:val="404040" w:themeColor="text1" w:themeTint="BF"/>
      <w:sz w:val="24"/>
      <w:szCs w:val="24"/>
      <w:lang w:val="en-US" w:eastAsia="ru-RU"/>
    </w:rPr>
  </w:style>
  <w:style w:type="paragraph" w:customStyle="1" w:styleId="P68B1DB1-Normal1">
    <w:name w:val="P68B1DB1-Normal1"/>
    <w:basedOn w:val="a"/>
    <w:rsid w:val="00D87467"/>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Cs w:val="20"/>
      <w:lang w:val="en-CA" w:eastAsia="en-US"/>
    </w:rPr>
  </w:style>
  <w:style w:type="paragraph" w:customStyle="1" w:styleId="P68B1DB1-Normal2">
    <w:name w:val="P68B1DB1-Normal2"/>
    <w:basedOn w:val="a"/>
    <w:rsid w:val="00D87467"/>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b/>
      <w:color w:val="auto"/>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9961">
      <w:bodyDiv w:val="1"/>
      <w:marLeft w:val="0"/>
      <w:marRight w:val="0"/>
      <w:marTop w:val="0"/>
      <w:marBottom w:val="0"/>
      <w:divBdr>
        <w:top w:val="none" w:sz="0" w:space="0" w:color="auto"/>
        <w:left w:val="none" w:sz="0" w:space="0" w:color="auto"/>
        <w:bottom w:val="none" w:sz="0" w:space="0" w:color="auto"/>
        <w:right w:val="none" w:sz="0" w:space="0" w:color="auto"/>
      </w:divBdr>
    </w:div>
    <w:div w:id="402072693">
      <w:bodyDiv w:val="1"/>
      <w:marLeft w:val="0"/>
      <w:marRight w:val="0"/>
      <w:marTop w:val="0"/>
      <w:marBottom w:val="0"/>
      <w:divBdr>
        <w:top w:val="none" w:sz="0" w:space="0" w:color="auto"/>
        <w:left w:val="none" w:sz="0" w:space="0" w:color="auto"/>
        <w:bottom w:val="none" w:sz="0" w:space="0" w:color="auto"/>
        <w:right w:val="none" w:sz="0" w:space="0" w:color="auto"/>
      </w:divBdr>
    </w:div>
    <w:div w:id="446899715">
      <w:bodyDiv w:val="1"/>
      <w:marLeft w:val="0"/>
      <w:marRight w:val="0"/>
      <w:marTop w:val="0"/>
      <w:marBottom w:val="0"/>
      <w:divBdr>
        <w:top w:val="none" w:sz="0" w:space="0" w:color="auto"/>
        <w:left w:val="none" w:sz="0" w:space="0" w:color="auto"/>
        <w:bottom w:val="none" w:sz="0" w:space="0" w:color="auto"/>
        <w:right w:val="none" w:sz="0" w:space="0" w:color="auto"/>
      </w:divBdr>
    </w:div>
    <w:div w:id="598177912">
      <w:bodyDiv w:val="1"/>
      <w:marLeft w:val="0"/>
      <w:marRight w:val="0"/>
      <w:marTop w:val="0"/>
      <w:marBottom w:val="0"/>
      <w:divBdr>
        <w:top w:val="none" w:sz="0" w:space="0" w:color="auto"/>
        <w:left w:val="none" w:sz="0" w:space="0" w:color="auto"/>
        <w:bottom w:val="none" w:sz="0" w:space="0" w:color="auto"/>
        <w:right w:val="none" w:sz="0" w:space="0" w:color="auto"/>
      </w:divBdr>
    </w:div>
    <w:div w:id="781537079">
      <w:bodyDiv w:val="1"/>
      <w:marLeft w:val="0"/>
      <w:marRight w:val="0"/>
      <w:marTop w:val="0"/>
      <w:marBottom w:val="0"/>
      <w:divBdr>
        <w:top w:val="none" w:sz="0" w:space="0" w:color="auto"/>
        <w:left w:val="none" w:sz="0" w:space="0" w:color="auto"/>
        <w:bottom w:val="none" w:sz="0" w:space="0" w:color="auto"/>
        <w:right w:val="none" w:sz="0" w:space="0" w:color="auto"/>
      </w:divBdr>
    </w:div>
    <w:div w:id="861632162">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 w:id="1560366071">
      <w:bodyDiv w:val="1"/>
      <w:marLeft w:val="0"/>
      <w:marRight w:val="0"/>
      <w:marTop w:val="0"/>
      <w:marBottom w:val="0"/>
      <w:divBdr>
        <w:top w:val="none" w:sz="0" w:space="0" w:color="auto"/>
        <w:left w:val="none" w:sz="0" w:space="0" w:color="auto"/>
        <w:bottom w:val="none" w:sz="0" w:space="0" w:color="auto"/>
        <w:right w:val="none" w:sz="0" w:space="0" w:color="auto"/>
      </w:divBdr>
    </w:div>
    <w:div w:id="2139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B55-4731-414D-9059-2C0FAED4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Maria Zhmurko</cp:lastModifiedBy>
  <cp:revision>5</cp:revision>
  <dcterms:created xsi:type="dcterms:W3CDTF">2025-03-28T15:12:00Z</dcterms:created>
  <dcterms:modified xsi:type="dcterms:W3CDTF">2025-03-28T15:19:00Z</dcterms:modified>
</cp:coreProperties>
</file>