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F49D" w14:textId="6FACF88D" w:rsidR="00455EE2" w:rsidRDefault="0038259C">
      <w:pPr>
        <w:pStyle w:val="23"/>
      </w:pPr>
      <w:bookmarkStart w:id="0" w:name="_Hlk166688531"/>
      <w:r w:rsidRPr="00A56CE1">
        <w:rPr>
          <w:noProof/>
          <w:lang w:val="ru-RU"/>
        </w:rPr>
        <w:drawing>
          <wp:inline distT="0" distB="0" distL="0" distR="0" wp14:anchorId="59C81C5A" wp14:editId="6CF48E85">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DE024CB" w14:textId="77777777" w:rsidR="00455EE2" w:rsidRDefault="00455EE2">
      <w:pPr>
        <w:jc w:val="both"/>
        <w:rPr>
          <w:rFonts w:ascii="Times New Roman" w:hAnsi="Times New Roman" w:cs="Times New Roman"/>
          <w:b/>
          <w:bCs/>
          <w:lang w:val="ru-RU"/>
        </w:rPr>
      </w:pPr>
    </w:p>
    <w:p w14:paraId="5D70145D" w14:textId="73112BDD" w:rsidR="00B321AB" w:rsidRPr="0096493A" w:rsidRDefault="00B321AB" w:rsidP="00B321AB">
      <w:pPr>
        <w:spacing w:after="120"/>
        <w:jc w:val="center"/>
        <w:rPr>
          <w:rFonts w:asciiTheme="minorHAnsi" w:hAnsiTheme="minorHAnsi" w:cstheme="minorHAnsi"/>
          <w:b/>
          <w:bCs/>
          <w:sz w:val="22"/>
          <w:szCs w:val="22"/>
        </w:rPr>
      </w:pPr>
      <w:proofErr w:type="spellStart"/>
      <w:r w:rsidRPr="00B321AB">
        <w:rPr>
          <w:rFonts w:asciiTheme="minorHAnsi" w:hAnsiTheme="minorHAnsi" w:cstheme="minorHAnsi"/>
          <w:b/>
          <w:bCs/>
          <w:sz w:val="22"/>
          <w:szCs w:val="22"/>
        </w:rPr>
        <w:t>PhosAgro</w:t>
      </w:r>
      <w:proofErr w:type="spellEnd"/>
      <w:r w:rsidRPr="00B321AB">
        <w:rPr>
          <w:rFonts w:asciiTheme="minorHAnsi" w:hAnsiTheme="minorHAnsi" w:cstheme="minorHAnsi"/>
          <w:b/>
          <w:bCs/>
          <w:sz w:val="22"/>
          <w:szCs w:val="22"/>
        </w:rPr>
        <w:t xml:space="preserve"> Successfully Launches New Placement of Yuan-Denominated Bonds</w:t>
      </w:r>
    </w:p>
    <w:p w14:paraId="19F99B21" w14:textId="683BE93F" w:rsidR="007D2C32" w:rsidRPr="0038259C" w:rsidRDefault="00E2695C" w:rsidP="0095639F">
      <w:pPr>
        <w:spacing w:after="120"/>
        <w:jc w:val="both"/>
        <w:rPr>
          <w:rFonts w:asciiTheme="minorHAnsi" w:hAnsiTheme="minorHAnsi" w:cstheme="minorHAnsi"/>
          <w:b/>
          <w:bCs/>
          <w:color w:val="auto"/>
          <w:sz w:val="22"/>
          <w:szCs w:val="22"/>
          <w:lang w:val="en-GB"/>
        </w:rPr>
      </w:pPr>
      <w:r w:rsidRPr="0038259C">
        <w:rPr>
          <w:rFonts w:asciiTheme="minorHAnsi" w:hAnsiTheme="minorHAnsi" w:cstheme="minorHAnsi"/>
          <w:b/>
          <w:bCs/>
          <w:color w:val="auto"/>
          <w:sz w:val="22"/>
          <w:szCs w:val="22"/>
          <w:lang w:val="en-GB"/>
        </w:rPr>
        <w:t>Moscow</w:t>
      </w:r>
      <w:r w:rsidR="0095639F" w:rsidRPr="0038259C">
        <w:rPr>
          <w:rFonts w:asciiTheme="minorHAnsi" w:hAnsiTheme="minorHAnsi" w:cstheme="minorHAnsi"/>
          <w:b/>
          <w:bCs/>
          <w:color w:val="auto"/>
          <w:sz w:val="22"/>
          <w:szCs w:val="22"/>
          <w:lang w:val="en-GB"/>
        </w:rPr>
        <w:t xml:space="preserve"> –</w:t>
      </w:r>
      <w:r w:rsidR="00BF43FA"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PJSC </w:t>
      </w:r>
      <w:proofErr w:type="spellStart"/>
      <w:r w:rsidRPr="0038259C">
        <w:rPr>
          <w:rFonts w:asciiTheme="minorHAnsi" w:hAnsiTheme="minorHAnsi" w:cstheme="minorHAnsi"/>
          <w:bCs/>
          <w:color w:val="auto"/>
          <w:sz w:val="22"/>
          <w:szCs w:val="22"/>
          <w:lang w:val="en-GB"/>
        </w:rPr>
        <w:t>PhosAgro</w:t>
      </w:r>
      <w:proofErr w:type="spellEnd"/>
      <w:r w:rsidRPr="0038259C">
        <w:rPr>
          <w:rFonts w:asciiTheme="minorHAnsi" w:hAnsiTheme="minorHAnsi" w:cstheme="minorHAnsi"/>
          <w:bCs/>
          <w:color w:val="auto"/>
          <w:sz w:val="22"/>
          <w:szCs w:val="22"/>
          <w:lang w:val="en-GB"/>
        </w:rPr>
        <w:t xml:space="preserve"> (Moscow Exchange, LSE: PHOR) (</w:t>
      </w:r>
      <w:r w:rsidR="0039639A" w:rsidRPr="0038259C">
        <w:rPr>
          <w:rFonts w:asciiTheme="minorHAnsi" w:hAnsiTheme="minorHAnsi" w:cstheme="minorHAnsi"/>
          <w:bCs/>
          <w:color w:val="auto"/>
          <w:sz w:val="22"/>
          <w:szCs w:val="22"/>
          <w:lang w:val="en-GB"/>
        </w:rPr>
        <w:t>“</w:t>
      </w:r>
      <w:proofErr w:type="spellStart"/>
      <w:r w:rsidRPr="0038259C">
        <w:rPr>
          <w:rFonts w:asciiTheme="minorHAnsi" w:hAnsiTheme="minorHAnsi" w:cstheme="minorHAnsi"/>
          <w:bCs/>
          <w:color w:val="auto"/>
          <w:sz w:val="22"/>
          <w:szCs w:val="22"/>
          <w:lang w:val="en-GB"/>
        </w:rPr>
        <w:t>PhosAgro</w:t>
      </w:r>
      <w:proofErr w:type="spellEnd"/>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xml:space="preserve">, the </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Company</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one of the world’s leading vertically integrated phosphate-based fertilizer producers</w:t>
      </w:r>
      <w:r w:rsidR="00EE35D8"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has successfully completed bookbuilding for </w:t>
      </w:r>
      <w:r w:rsidR="00A00BC1" w:rsidRPr="0038259C">
        <w:rPr>
          <w:rFonts w:asciiTheme="minorHAnsi" w:hAnsiTheme="minorHAnsi" w:cstheme="minorHAnsi"/>
          <w:bCs/>
          <w:color w:val="auto"/>
          <w:sz w:val="22"/>
          <w:szCs w:val="22"/>
          <w:lang w:val="en-GB"/>
        </w:rPr>
        <w:t>the placement of</w:t>
      </w:r>
      <w:r w:rsidRPr="0038259C">
        <w:rPr>
          <w:rFonts w:asciiTheme="minorHAnsi" w:hAnsiTheme="minorHAnsi" w:cstheme="minorHAnsi"/>
          <w:bCs/>
          <w:color w:val="auto"/>
          <w:sz w:val="22"/>
          <w:szCs w:val="22"/>
          <w:lang w:val="en-GB"/>
        </w:rPr>
        <w:t xml:space="preserve"> </w:t>
      </w:r>
      <w:r w:rsidR="0039639A" w:rsidRPr="0038259C">
        <w:rPr>
          <w:rFonts w:asciiTheme="minorHAnsi" w:hAnsiTheme="minorHAnsi" w:cstheme="minorHAnsi"/>
          <w:bCs/>
          <w:color w:val="auto"/>
          <w:sz w:val="22"/>
          <w:szCs w:val="22"/>
          <w:lang w:val="en-GB"/>
        </w:rPr>
        <w:t>an</w:t>
      </w:r>
      <w:r w:rsidRPr="0038259C">
        <w:rPr>
          <w:rFonts w:asciiTheme="minorHAnsi" w:hAnsiTheme="minorHAnsi" w:cstheme="minorHAnsi"/>
          <w:bCs/>
          <w:color w:val="auto"/>
          <w:sz w:val="22"/>
          <w:szCs w:val="22"/>
          <w:lang w:val="en-GB"/>
        </w:rPr>
        <w:t xml:space="preserve"> issue of </w:t>
      </w:r>
      <w:r w:rsidR="00A00BC1" w:rsidRPr="00EF6C3E">
        <w:rPr>
          <w:rFonts w:asciiTheme="minorHAnsi" w:hAnsiTheme="minorHAnsi" w:cstheme="minorHAnsi"/>
          <w:bCs/>
          <w:color w:val="auto"/>
          <w:sz w:val="22"/>
          <w:szCs w:val="22"/>
          <w:lang w:val="en-GB"/>
        </w:rPr>
        <w:t>CNY 1 billion</w:t>
      </w:r>
      <w:r w:rsidR="00A00BC1" w:rsidRPr="0038259C">
        <w:rPr>
          <w:rFonts w:asciiTheme="minorHAnsi" w:hAnsiTheme="minorHAnsi" w:cstheme="minorHAnsi"/>
          <w:bCs/>
          <w:color w:val="auto"/>
          <w:sz w:val="22"/>
          <w:szCs w:val="22"/>
          <w:lang w:val="en-GB"/>
        </w:rPr>
        <w:t xml:space="preserve"> in BO-02-02 series </w:t>
      </w:r>
      <w:r w:rsidRPr="0038259C">
        <w:rPr>
          <w:rFonts w:asciiTheme="minorHAnsi" w:hAnsiTheme="minorHAnsi" w:cstheme="minorHAnsi"/>
          <w:bCs/>
          <w:color w:val="auto"/>
          <w:sz w:val="22"/>
          <w:szCs w:val="22"/>
          <w:lang w:val="en-GB"/>
        </w:rPr>
        <w:t>bonds</w:t>
      </w:r>
      <w:r w:rsidR="00A00BC1" w:rsidRPr="0038259C">
        <w:rPr>
          <w:rFonts w:asciiTheme="minorHAnsi" w:hAnsiTheme="minorHAnsi" w:cstheme="minorHAnsi"/>
          <w:bCs/>
          <w:color w:val="auto"/>
          <w:sz w:val="22"/>
          <w:szCs w:val="22"/>
          <w:lang w:val="en-GB"/>
        </w:rPr>
        <w:t xml:space="preserve"> with </w:t>
      </w:r>
      <w:r w:rsidRPr="0038259C">
        <w:rPr>
          <w:rFonts w:asciiTheme="minorHAnsi" w:hAnsiTheme="minorHAnsi" w:cstheme="minorHAnsi"/>
          <w:bCs/>
          <w:color w:val="auto"/>
          <w:sz w:val="22"/>
          <w:szCs w:val="22"/>
          <w:lang w:val="en-GB"/>
        </w:rPr>
        <w:t>a maturity period of 1.5 years.</w:t>
      </w:r>
      <w:r w:rsidR="007D2C32"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The bonds have a fixed coupon rate of</w:t>
      </w:r>
      <w:r w:rsidR="007D2C32" w:rsidRPr="0038259C">
        <w:rPr>
          <w:rFonts w:asciiTheme="minorHAnsi" w:hAnsiTheme="minorHAnsi" w:cstheme="minorHAnsi"/>
          <w:bCs/>
          <w:color w:val="auto"/>
          <w:sz w:val="22"/>
          <w:szCs w:val="22"/>
          <w:lang w:val="en-GB"/>
        </w:rPr>
        <w:t xml:space="preserve"> </w:t>
      </w:r>
      <w:r w:rsidR="00FD548C" w:rsidRPr="0038259C">
        <w:rPr>
          <w:rFonts w:asciiTheme="minorHAnsi" w:hAnsiTheme="minorHAnsi" w:cstheme="minorHAnsi"/>
          <w:bCs/>
          <w:color w:val="auto"/>
          <w:sz w:val="22"/>
          <w:szCs w:val="22"/>
          <w:lang w:val="en-GB"/>
        </w:rPr>
        <w:t>10</w:t>
      </w:r>
      <w:r w:rsidRPr="0038259C">
        <w:rPr>
          <w:rFonts w:asciiTheme="minorHAnsi" w:hAnsiTheme="minorHAnsi" w:cstheme="minorHAnsi"/>
          <w:bCs/>
          <w:color w:val="auto"/>
          <w:sz w:val="22"/>
          <w:szCs w:val="22"/>
          <w:lang w:val="en-GB"/>
        </w:rPr>
        <w:t>.</w:t>
      </w:r>
      <w:r w:rsidR="00E3309D">
        <w:rPr>
          <w:rFonts w:asciiTheme="minorHAnsi" w:hAnsiTheme="minorHAnsi" w:cstheme="minorHAnsi"/>
          <w:bCs/>
          <w:color w:val="auto"/>
          <w:sz w:val="22"/>
          <w:szCs w:val="22"/>
          <w:lang w:val="en-GB"/>
        </w:rPr>
        <w:t>4</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per annum, with monthly interest payments</w:t>
      </w:r>
      <w:r w:rsidR="007D2C32" w:rsidRPr="0038259C">
        <w:rPr>
          <w:rFonts w:asciiTheme="minorHAnsi" w:hAnsiTheme="minorHAnsi" w:cstheme="minorHAnsi"/>
          <w:bCs/>
          <w:color w:val="auto"/>
          <w:sz w:val="22"/>
          <w:szCs w:val="22"/>
          <w:lang w:val="en-GB"/>
        </w:rPr>
        <w:t xml:space="preserve">. </w:t>
      </w:r>
    </w:p>
    <w:p w14:paraId="03525585" w14:textId="7FEDC2CD" w:rsidR="00440ACA" w:rsidRPr="0038259C" w:rsidRDefault="00E3309D" w:rsidP="0095639F">
      <w:pPr>
        <w:spacing w:after="120"/>
        <w:jc w:val="both"/>
        <w:rPr>
          <w:rFonts w:asciiTheme="minorHAnsi" w:hAnsiTheme="minorHAnsi" w:cstheme="minorHAnsi"/>
          <w:bCs/>
          <w:color w:val="auto"/>
          <w:sz w:val="22"/>
          <w:szCs w:val="22"/>
          <w:lang w:val="en-GB"/>
        </w:rPr>
      </w:pPr>
      <w:r>
        <w:rPr>
          <w:rFonts w:asciiTheme="minorHAnsi" w:hAnsiTheme="minorHAnsi" w:cstheme="minorHAnsi"/>
          <w:bCs/>
          <w:color w:val="auto"/>
          <w:sz w:val="22"/>
          <w:szCs w:val="22"/>
          <w:lang w:val="en-GB"/>
        </w:rPr>
        <w:t xml:space="preserve">The placement marks the first issue of yuan-denominated bonds in the Russian market since June 2024. Thanks to strong investor demand, the coupon rate was revised downward three times during the bookbuilding process, from an initial target of 11.0% per annum to the final rate of 10.4% per annum. </w:t>
      </w:r>
      <w:r w:rsidR="00E2695C" w:rsidRPr="0038259C">
        <w:rPr>
          <w:rFonts w:asciiTheme="minorHAnsi" w:hAnsiTheme="minorHAnsi" w:cstheme="minorHAnsi"/>
          <w:bCs/>
          <w:color w:val="auto"/>
          <w:sz w:val="22"/>
          <w:szCs w:val="22"/>
          <w:lang w:val="en-GB"/>
        </w:rPr>
        <w:t xml:space="preserve">The bonds were purchased primarily by institutional </w:t>
      </w:r>
      <w:r w:rsidR="00E2695C" w:rsidRPr="00EF6C3E">
        <w:rPr>
          <w:rFonts w:asciiTheme="minorHAnsi" w:hAnsiTheme="minorHAnsi" w:cstheme="minorHAnsi"/>
          <w:bCs/>
          <w:color w:val="auto"/>
          <w:sz w:val="22"/>
          <w:szCs w:val="22"/>
          <w:lang w:val="en-GB"/>
        </w:rPr>
        <w:t>and</w:t>
      </w:r>
      <w:r w:rsidR="00E2695C" w:rsidRPr="00742DCB">
        <w:rPr>
          <w:rFonts w:asciiTheme="minorHAnsi" w:hAnsiTheme="minorHAnsi" w:cstheme="minorHAnsi"/>
          <w:bCs/>
          <w:color w:val="auto"/>
          <w:sz w:val="22"/>
          <w:szCs w:val="22"/>
          <w:lang w:val="en-GB"/>
        </w:rPr>
        <w:t xml:space="preserve"> </w:t>
      </w:r>
      <w:r w:rsidR="00E2695C" w:rsidRPr="00EF6C3E">
        <w:rPr>
          <w:rFonts w:asciiTheme="minorHAnsi" w:hAnsiTheme="minorHAnsi" w:cstheme="minorHAnsi"/>
          <w:bCs/>
          <w:color w:val="auto"/>
          <w:sz w:val="22"/>
          <w:szCs w:val="22"/>
          <w:lang w:val="en-GB"/>
        </w:rPr>
        <w:t>private</w:t>
      </w:r>
      <w:r w:rsidR="00E2695C" w:rsidRPr="0038259C">
        <w:rPr>
          <w:rFonts w:asciiTheme="minorHAnsi" w:hAnsiTheme="minorHAnsi" w:cstheme="minorHAnsi"/>
          <w:bCs/>
          <w:color w:val="auto"/>
          <w:sz w:val="22"/>
          <w:szCs w:val="22"/>
          <w:lang w:val="en-GB"/>
        </w:rPr>
        <w:t xml:space="preserve"> investors</w:t>
      </w:r>
      <w:r w:rsidR="007D2C32" w:rsidRPr="0038259C">
        <w:rPr>
          <w:rFonts w:asciiTheme="minorHAnsi" w:hAnsiTheme="minorHAnsi" w:cstheme="minorHAnsi"/>
          <w:bCs/>
          <w:color w:val="auto"/>
          <w:sz w:val="22"/>
          <w:szCs w:val="22"/>
          <w:lang w:val="en-GB"/>
        </w:rPr>
        <w:t xml:space="preserve">. </w:t>
      </w:r>
      <w:r w:rsidR="00E2695C" w:rsidRPr="0038259C">
        <w:rPr>
          <w:rFonts w:asciiTheme="minorHAnsi" w:hAnsiTheme="minorHAnsi" w:cstheme="minorHAnsi"/>
          <w:bCs/>
          <w:color w:val="auto"/>
          <w:sz w:val="22"/>
          <w:szCs w:val="22"/>
          <w:lang w:val="en-GB"/>
        </w:rPr>
        <w:t>Trading on Moscow Exchange is expected to begin on</w:t>
      </w:r>
      <w:r w:rsidR="00EE35D8" w:rsidRPr="0038259C">
        <w:rPr>
          <w:rFonts w:asciiTheme="minorHAnsi" w:hAnsiTheme="minorHAnsi" w:cstheme="minorHAnsi"/>
          <w:bCs/>
          <w:color w:val="auto"/>
          <w:sz w:val="22"/>
          <w:szCs w:val="22"/>
          <w:lang w:val="en-GB"/>
        </w:rPr>
        <w:t xml:space="preserve"> 18 </w:t>
      </w:r>
      <w:r w:rsidR="00E2695C" w:rsidRPr="0038259C">
        <w:rPr>
          <w:rFonts w:asciiTheme="minorHAnsi" w:hAnsiTheme="minorHAnsi" w:cstheme="minorHAnsi"/>
          <w:bCs/>
          <w:color w:val="auto"/>
          <w:sz w:val="22"/>
          <w:szCs w:val="22"/>
          <w:lang w:val="en-GB"/>
        </w:rPr>
        <w:t>February</w:t>
      </w:r>
      <w:r w:rsidR="00EE35D8" w:rsidRPr="0038259C">
        <w:rPr>
          <w:rFonts w:asciiTheme="minorHAnsi" w:hAnsiTheme="minorHAnsi" w:cstheme="minorHAnsi"/>
          <w:bCs/>
          <w:color w:val="auto"/>
          <w:sz w:val="22"/>
          <w:szCs w:val="22"/>
          <w:lang w:val="en-GB"/>
        </w:rPr>
        <w:t xml:space="preserve"> 202</w:t>
      </w:r>
      <w:r w:rsidR="0096493A">
        <w:rPr>
          <w:rFonts w:asciiTheme="minorHAnsi" w:hAnsiTheme="minorHAnsi" w:cstheme="minorHAnsi"/>
          <w:bCs/>
          <w:color w:val="auto"/>
          <w:sz w:val="22"/>
          <w:szCs w:val="22"/>
          <w:lang w:val="en-GB"/>
        </w:rPr>
        <w:t>5</w:t>
      </w:r>
      <w:r w:rsidR="00EE35D8" w:rsidRPr="0038259C">
        <w:rPr>
          <w:rFonts w:asciiTheme="minorHAnsi" w:hAnsiTheme="minorHAnsi" w:cstheme="minorHAnsi"/>
          <w:bCs/>
          <w:color w:val="auto"/>
          <w:sz w:val="22"/>
          <w:szCs w:val="22"/>
          <w:lang w:val="en-GB"/>
        </w:rPr>
        <w:t>.</w:t>
      </w:r>
      <w:bookmarkEnd w:id="0"/>
    </w:p>
    <w:p w14:paraId="6D8C9981" w14:textId="58397024" w:rsidR="008174D7" w:rsidRPr="0038259C" w:rsidRDefault="00E2695C" w:rsidP="0095639F">
      <w:pPr>
        <w:spacing w:after="120"/>
        <w:jc w:val="both"/>
        <w:rPr>
          <w:rFonts w:asciiTheme="minorHAnsi" w:hAnsiTheme="minorHAnsi" w:cstheme="minorHAnsi"/>
          <w:bCs/>
          <w:color w:val="auto"/>
          <w:sz w:val="22"/>
          <w:szCs w:val="22"/>
          <w:lang w:val="en-GB"/>
        </w:rPr>
      </w:pPr>
      <w:r w:rsidRPr="0038259C">
        <w:rPr>
          <w:rFonts w:asciiTheme="minorHAnsi" w:hAnsiTheme="minorHAnsi" w:cstheme="minorHAnsi"/>
          <w:bCs/>
          <w:color w:val="auto"/>
          <w:sz w:val="22"/>
          <w:szCs w:val="22"/>
          <w:lang w:val="en-GB"/>
        </w:rPr>
        <w:t xml:space="preserve">The ACRA rating agency has assigned the bond issue </w:t>
      </w:r>
      <w:r w:rsidR="00A00BC1" w:rsidRPr="0038259C">
        <w:rPr>
          <w:rFonts w:asciiTheme="minorHAnsi" w:hAnsiTheme="minorHAnsi" w:cstheme="minorHAnsi"/>
          <w:bCs/>
          <w:color w:val="auto"/>
          <w:sz w:val="22"/>
          <w:szCs w:val="22"/>
          <w:lang w:val="en-GB"/>
        </w:rPr>
        <w:t xml:space="preserve">its </w:t>
      </w:r>
      <w:r w:rsidR="00BA762B">
        <w:rPr>
          <w:rFonts w:asciiTheme="minorHAnsi" w:hAnsiTheme="minorHAnsi" w:cstheme="minorHAnsi"/>
          <w:bCs/>
          <w:color w:val="auto"/>
          <w:sz w:val="22"/>
          <w:szCs w:val="22"/>
        </w:rPr>
        <w:t xml:space="preserve">expected </w:t>
      </w:r>
      <w:r w:rsidR="00A00BC1" w:rsidRPr="0038259C">
        <w:rPr>
          <w:rFonts w:asciiTheme="minorHAnsi" w:hAnsiTheme="minorHAnsi" w:cstheme="minorHAnsi"/>
          <w:bCs/>
          <w:color w:val="auto"/>
          <w:sz w:val="22"/>
          <w:szCs w:val="22"/>
          <w:lang w:val="en-GB"/>
        </w:rPr>
        <w:t xml:space="preserve">highest-possible rating of </w:t>
      </w:r>
      <w:proofErr w:type="spellStart"/>
      <w:proofErr w:type="gramStart"/>
      <w:r w:rsidR="003A206E">
        <w:rPr>
          <w:rFonts w:asciiTheme="minorHAnsi" w:hAnsiTheme="minorHAnsi" w:cstheme="minorHAnsi"/>
          <w:bCs/>
          <w:color w:val="auto"/>
          <w:sz w:val="22"/>
          <w:szCs w:val="22"/>
          <w:lang w:val="en-GB"/>
        </w:rPr>
        <w:t>e</w:t>
      </w:r>
      <w:r w:rsidR="00A00BC1" w:rsidRPr="0038259C">
        <w:rPr>
          <w:rFonts w:asciiTheme="minorHAnsi" w:hAnsiTheme="minorHAnsi" w:cstheme="minorHAnsi"/>
          <w:bCs/>
          <w:color w:val="auto"/>
          <w:sz w:val="22"/>
          <w:szCs w:val="22"/>
          <w:lang w:val="en-GB"/>
        </w:rPr>
        <w:t>AAA</w:t>
      </w:r>
      <w:proofErr w:type="spellEnd"/>
      <w:r w:rsidR="00A00BC1" w:rsidRPr="0038259C">
        <w:rPr>
          <w:rFonts w:asciiTheme="minorHAnsi" w:hAnsiTheme="minorHAnsi" w:cstheme="minorHAnsi"/>
          <w:bCs/>
          <w:color w:val="auto"/>
          <w:sz w:val="22"/>
          <w:szCs w:val="22"/>
          <w:lang w:val="en-GB"/>
        </w:rPr>
        <w:t>(</w:t>
      </w:r>
      <w:proofErr w:type="gramEnd"/>
      <w:r w:rsidR="00A00BC1" w:rsidRPr="0038259C">
        <w:rPr>
          <w:rFonts w:asciiTheme="minorHAnsi" w:hAnsiTheme="minorHAnsi" w:cstheme="minorHAnsi"/>
          <w:bCs/>
          <w:color w:val="auto"/>
          <w:sz w:val="22"/>
          <w:szCs w:val="22"/>
          <w:lang w:val="en-GB"/>
        </w:rPr>
        <w:t>RU)</w:t>
      </w:r>
      <w:r w:rsidR="008174D7" w:rsidRPr="0038259C">
        <w:rPr>
          <w:rFonts w:asciiTheme="minorHAnsi" w:hAnsiTheme="minorHAnsi" w:cstheme="minorHAnsi"/>
          <w:bCs/>
          <w:color w:val="auto"/>
          <w:sz w:val="22"/>
          <w:szCs w:val="22"/>
          <w:lang w:val="en-GB"/>
        </w:rPr>
        <w:t>.</w:t>
      </w:r>
    </w:p>
    <w:p w14:paraId="47610A2A" w14:textId="53164B85" w:rsidR="00516C61" w:rsidRDefault="00A00BC1" w:rsidP="0095639F">
      <w:pPr>
        <w:spacing w:after="120"/>
        <w:jc w:val="both"/>
        <w:rPr>
          <w:rFonts w:asciiTheme="minorHAnsi" w:hAnsiTheme="minorHAnsi" w:cstheme="minorHAnsi"/>
          <w:bCs/>
          <w:color w:val="auto"/>
          <w:sz w:val="22"/>
          <w:szCs w:val="22"/>
          <w:lang w:val="en-GB"/>
        </w:rPr>
      </w:pPr>
      <w:r w:rsidRPr="0038259C">
        <w:rPr>
          <w:rFonts w:asciiTheme="minorHAnsi" w:hAnsiTheme="minorHAnsi" w:cstheme="minorHAnsi"/>
          <w:bCs/>
          <w:color w:val="auto"/>
          <w:sz w:val="22"/>
          <w:szCs w:val="22"/>
          <w:lang w:val="en-GB"/>
        </w:rPr>
        <w:t xml:space="preserve">“The successful placement of this new yuan-denominated bond issue, with a coupon rate of </w:t>
      </w:r>
      <w:r w:rsidRPr="00EF6C3E">
        <w:rPr>
          <w:rFonts w:asciiTheme="minorHAnsi" w:hAnsiTheme="minorHAnsi" w:cstheme="minorHAnsi"/>
          <w:bCs/>
          <w:color w:val="auto"/>
          <w:sz w:val="22"/>
          <w:szCs w:val="22"/>
          <w:lang w:val="en-GB"/>
        </w:rPr>
        <w:t>10.</w:t>
      </w:r>
      <w:r w:rsidR="00E3309D" w:rsidRPr="00EF6C3E">
        <w:rPr>
          <w:rFonts w:asciiTheme="minorHAnsi" w:hAnsiTheme="minorHAnsi" w:cstheme="minorHAnsi"/>
          <w:bCs/>
          <w:color w:val="auto"/>
          <w:sz w:val="22"/>
          <w:szCs w:val="22"/>
          <w:lang w:val="en-GB"/>
        </w:rPr>
        <w:t>4</w:t>
      </w:r>
      <w:r w:rsidRPr="00EF6C3E">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xml:space="preserve"> per annum, is a landmark event for </w:t>
      </w:r>
      <w:proofErr w:type="spellStart"/>
      <w:r w:rsidRPr="0038259C">
        <w:rPr>
          <w:rFonts w:asciiTheme="minorHAnsi" w:hAnsiTheme="minorHAnsi" w:cstheme="minorHAnsi"/>
          <w:bCs/>
          <w:color w:val="auto"/>
          <w:sz w:val="22"/>
          <w:szCs w:val="22"/>
          <w:lang w:val="en-GB"/>
        </w:rPr>
        <w:t>PhosAgro</w:t>
      </w:r>
      <w:proofErr w:type="spellEnd"/>
      <w:r w:rsidRPr="0038259C">
        <w:rPr>
          <w:rFonts w:asciiTheme="minorHAnsi" w:hAnsiTheme="minorHAnsi" w:cstheme="minorHAnsi"/>
          <w:bCs/>
          <w:color w:val="auto"/>
          <w:sz w:val="22"/>
          <w:szCs w:val="22"/>
          <w:lang w:val="en-GB"/>
        </w:rPr>
        <w:t xml:space="preserve"> and </w:t>
      </w:r>
      <w:r w:rsidR="0039639A" w:rsidRPr="0038259C">
        <w:rPr>
          <w:rFonts w:asciiTheme="minorHAnsi" w:hAnsiTheme="minorHAnsi" w:cstheme="minorHAnsi"/>
          <w:bCs/>
          <w:color w:val="auto"/>
          <w:sz w:val="22"/>
          <w:szCs w:val="22"/>
          <w:lang w:val="en-GB"/>
        </w:rPr>
        <w:t>a testament to</w:t>
      </w:r>
      <w:r w:rsidRPr="0038259C">
        <w:rPr>
          <w:rFonts w:asciiTheme="minorHAnsi" w:hAnsiTheme="minorHAnsi" w:cstheme="minorHAnsi"/>
          <w:bCs/>
          <w:color w:val="auto"/>
          <w:sz w:val="22"/>
          <w:szCs w:val="22"/>
          <w:lang w:val="en-GB"/>
        </w:rPr>
        <w:t xml:space="preserve"> investors’ high level of confidence in our company.</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In the current market environment, we were able to secure financing on attractive terms, which underscores our resilience</w:t>
      </w:r>
      <w:r w:rsidR="0039639A" w:rsidRPr="0038259C">
        <w:rPr>
          <w:rFonts w:asciiTheme="minorHAnsi" w:hAnsiTheme="minorHAnsi" w:cstheme="minorHAnsi"/>
          <w:bCs/>
          <w:color w:val="auto"/>
          <w:sz w:val="22"/>
          <w:szCs w:val="22"/>
          <w:lang w:val="en-GB"/>
        </w:rPr>
        <w:t xml:space="preserve"> and</w:t>
      </w:r>
      <w:r w:rsidRPr="0038259C">
        <w:rPr>
          <w:rFonts w:asciiTheme="minorHAnsi" w:hAnsiTheme="minorHAnsi" w:cstheme="minorHAnsi"/>
          <w:bCs/>
          <w:color w:val="auto"/>
          <w:sz w:val="22"/>
          <w:szCs w:val="22"/>
          <w:lang w:val="en-GB"/>
        </w:rPr>
        <w:t xml:space="preserve"> the effectiveness of our financial strategy.</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We will continue </w:t>
      </w:r>
      <w:r w:rsidR="0039639A" w:rsidRPr="0038259C">
        <w:rPr>
          <w:rFonts w:asciiTheme="minorHAnsi" w:hAnsiTheme="minorHAnsi" w:cstheme="minorHAnsi"/>
          <w:bCs/>
          <w:color w:val="auto"/>
          <w:sz w:val="22"/>
          <w:szCs w:val="22"/>
          <w:lang w:val="en-GB"/>
        </w:rPr>
        <w:t xml:space="preserve">to further </w:t>
      </w:r>
      <w:r w:rsidR="007A2B24">
        <w:rPr>
          <w:rFonts w:asciiTheme="minorHAnsi" w:hAnsiTheme="minorHAnsi" w:cstheme="minorHAnsi"/>
          <w:bCs/>
          <w:color w:val="auto"/>
          <w:sz w:val="22"/>
          <w:szCs w:val="22"/>
          <w:lang w:val="en-GB"/>
        </w:rPr>
        <w:t>optimise</w:t>
      </w:r>
      <w:r w:rsidR="007A2B24"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our </w:t>
      </w:r>
      <w:r w:rsidR="007A2B24">
        <w:rPr>
          <w:rFonts w:asciiTheme="minorHAnsi" w:hAnsiTheme="minorHAnsi" w:cstheme="minorHAnsi"/>
          <w:bCs/>
          <w:color w:val="auto"/>
          <w:sz w:val="22"/>
          <w:szCs w:val="22"/>
          <w:lang w:val="en-GB"/>
        </w:rPr>
        <w:t>loan portfolio</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and </w:t>
      </w:r>
      <w:r w:rsidR="0039639A" w:rsidRPr="0038259C">
        <w:rPr>
          <w:rFonts w:asciiTheme="minorHAnsi" w:hAnsiTheme="minorHAnsi" w:cstheme="minorHAnsi"/>
          <w:bCs/>
          <w:color w:val="auto"/>
          <w:sz w:val="22"/>
          <w:szCs w:val="22"/>
          <w:lang w:val="en-GB"/>
        </w:rPr>
        <w:t xml:space="preserve">to </w:t>
      </w:r>
      <w:r w:rsidRPr="0038259C">
        <w:rPr>
          <w:rFonts w:asciiTheme="minorHAnsi" w:hAnsiTheme="minorHAnsi" w:cstheme="minorHAnsi"/>
          <w:bCs/>
          <w:color w:val="auto"/>
          <w:sz w:val="22"/>
          <w:szCs w:val="22"/>
          <w:lang w:val="en-GB"/>
        </w:rPr>
        <w:t>strengthen our position in the debt market</w:t>
      </w:r>
      <w:r w:rsidR="00516C61"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said Alexander </w:t>
      </w:r>
      <w:proofErr w:type="spellStart"/>
      <w:r w:rsidRPr="0038259C">
        <w:rPr>
          <w:rFonts w:asciiTheme="minorHAnsi" w:hAnsiTheme="minorHAnsi" w:cstheme="minorHAnsi"/>
          <w:bCs/>
          <w:color w:val="auto"/>
          <w:sz w:val="22"/>
          <w:szCs w:val="22"/>
          <w:lang w:val="en-GB"/>
        </w:rPr>
        <w:t>Sharabaika</w:t>
      </w:r>
      <w:proofErr w:type="spellEnd"/>
      <w:r w:rsidRPr="0038259C">
        <w:rPr>
          <w:rFonts w:asciiTheme="minorHAnsi" w:hAnsiTheme="minorHAnsi" w:cstheme="minorHAnsi"/>
          <w:bCs/>
          <w:color w:val="auto"/>
          <w:sz w:val="22"/>
          <w:szCs w:val="22"/>
          <w:lang w:val="en-GB"/>
        </w:rPr>
        <w:t>,</w:t>
      </w:r>
      <w:r w:rsidRPr="0038259C">
        <w:rPr>
          <w:rFonts w:asciiTheme="minorHAnsi" w:hAnsiTheme="minorHAnsi" w:cstheme="minorHAnsi"/>
          <w:sz w:val="22"/>
          <w:szCs w:val="22"/>
          <w:lang w:val="en-GB"/>
        </w:rPr>
        <w:t xml:space="preserve"> </w:t>
      </w:r>
      <w:r w:rsidR="00661F5A">
        <w:rPr>
          <w:rFonts w:asciiTheme="minorHAnsi" w:hAnsiTheme="minorHAnsi" w:cstheme="minorHAnsi"/>
          <w:bCs/>
          <w:color w:val="auto"/>
          <w:sz w:val="22"/>
          <w:szCs w:val="22"/>
          <w:lang w:val="en-GB"/>
        </w:rPr>
        <w:t xml:space="preserve">PJSC </w:t>
      </w:r>
      <w:proofErr w:type="spellStart"/>
      <w:r w:rsidR="00661F5A">
        <w:rPr>
          <w:rFonts w:asciiTheme="minorHAnsi" w:hAnsiTheme="minorHAnsi" w:cstheme="minorHAnsi"/>
          <w:bCs/>
          <w:color w:val="auto"/>
          <w:sz w:val="22"/>
          <w:szCs w:val="22"/>
          <w:lang w:val="en-GB"/>
        </w:rPr>
        <w:t>PhosAgro’s</w:t>
      </w:r>
      <w:proofErr w:type="spellEnd"/>
      <w:r w:rsidR="00661F5A">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Deputy CEO for Finance and International Projects</w:t>
      </w:r>
      <w:r w:rsidR="00516C61" w:rsidRPr="0038259C">
        <w:rPr>
          <w:rFonts w:asciiTheme="minorHAnsi" w:hAnsiTheme="minorHAnsi" w:cstheme="minorHAnsi"/>
          <w:bCs/>
          <w:color w:val="auto"/>
          <w:sz w:val="22"/>
          <w:szCs w:val="22"/>
          <w:lang w:val="en-GB"/>
        </w:rPr>
        <w:t>.</w:t>
      </w:r>
    </w:p>
    <w:p w14:paraId="38A4FD00" w14:textId="77777777" w:rsidR="0038259C" w:rsidRDefault="0038259C" w:rsidP="0038259C">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2C8AB102" w14:textId="47D5A72D" w:rsidR="0038259C" w:rsidRDefault="0038259C" w:rsidP="0038259C">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w:t>
      </w:r>
      <w:r w:rsidR="001238D5">
        <w:rPr>
          <w:rFonts w:asciiTheme="minorHAnsi" w:eastAsiaTheme="minorEastAsia" w:hAnsiTheme="minorHAnsi" w:cstheme="minorBidi"/>
          <w:i/>
          <w:iCs/>
          <w:color w:val="auto"/>
          <w:sz w:val="22"/>
          <w:szCs w:val="22"/>
          <w:lang w:val="en-GB"/>
        </w:rPr>
        <w:t xml:space="preserve"> (according to the IFA</w:t>
      </w:r>
      <w:proofErr w:type="gramStart"/>
      <w:r w:rsidR="001238D5">
        <w:rPr>
          <w:rFonts w:asciiTheme="minorHAnsi" w:eastAsiaTheme="minorEastAsia" w:hAnsiTheme="minorHAnsi" w:cstheme="minorBidi"/>
          <w:i/>
          <w:iCs/>
          <w:color w:val="auto"/>
          <w:sz w:val="22"/>
          <w:szCs w:val="22"/>
          <w:lang w:val="en-GB"/>
        </w:rPr>
        <w:t xml:space="preserve">) </w:t>
      </w:r>
      <w:r w:rsidRPr="7C16E36C">
        <w:rPr>
          <w:rFonts w:asciiTheme="minorHAnsi" w:eastAsiaTheme="minorEastAsia" w:hAnsiTheme="minorHAnsi" w:cstheme="minorBidi"/>
          <w:i/>
          <w:iCs/>
          <w:color w:val="auto"/>
          <w:sz w:val="22"/>
          <w:szCs w:val="22"/>
          <w:lang w:val="en-GB"/>
        </w:rPr>
        <w:t>.</w:t>
      </w:r>
      <w:proofErr w:type="gramEnd"/>
      <w:r w:rsidRPr="7C16E36C">
        <w:rPr>
          <w:rFonts w:asciiTheme="minorHAnsi" w:eastAsiaTheme="minorEastAsia" w:hAnsiTheme="minorHAnsi" w:cstheme="minorBidi"/>
          <w:i/>
          <w:iCs/>
          <w:color w:val="auto"/>
          <w:sz w:val="22"/>
          <w:szCs w:val="22"/>
          <w:lang w:val="en-GB"/>
        </w:rPr>
        <w:t xml:space="preserve">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5FB5628E" w14:textId="067628E5" w:rsidR="0038259C" w:rsidRDefault="0038259C" w:rsidP="0038259C">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for the production of DAP, MAP, NP, NPK and NPS fertilizers</w:t>
      </w:r>
      <w:r w:rsidR="001238D5">
        <w:rPr>
          <w:rFonts w:asciiTheme="minorHAnsi" w:eastAsiaTheme="minorEastAsia" w:hAnsiTheme="minorHAnsi" w:cstheme="minorBidi"/>
          <w:i/>
          <w:iCs/>
          <w:color w:val="auto"/>
          <w:sz w:val="22"/>
          <w:szCs w:val="22"/>
          <w:lang w:val="en-GB"/>
        </w:rPr>
        <w:t>, according to the CRU</w:t>
      </w:r>
      <w:r w:rsidRPr="7C16E36C">
        <w:rPr>
          <w:rFonts w:asciiTheme="minorHAnsi" w:eastAsiaTheme="minorEastAsia" w:hAnsiTheme="minorHAnsi" w:cstheme="minorBidi"/>
          <w:i/>
          <w:iCs/>
          <w:color w:val="auto"/>
          <w:sz w:val="22"/>
          <w:szCs w:val="22"/>
          <w:lang w:val="en-GB"/>
        </w:rPr>
        <w:t xml:space="preserve">), </w:t>
      </w:r>
      <w:r w:rsidR="001238D5">
        <w:rPr>
          <w:rFonts w:asciiTheme="minorHAnsi" w:eastAsiaTheme="minorEastAsia" w:hAnsiTheme="minorHAnsi" w:cstheme="minorBidi"/>
          <w:i/>
          <w:iCs/>
          <w:color w:val="auto"/>
          <w:sz w:val="22"/>
          <w:szCs w:val="22"/>
          <w:lang w:val="en-GB"/>
        </w:rPr>
        <w:t xml:space="preserve">the largest global producer of </w:t>
      </w:r>
      <w:r w:rsidR="001238D5" w:rsidRPr="7C16E36C">
        <w:rPr>
          <w:rFonts w:asciiTheme="minorHAnsi" w:eastAsiaTheme="minorEastAsia" w:hAnsiTheme="minorHAnsi" w:cstheme="minorBidi"/>
          <w:i/>
          <w:iCs/>
          <w:color w:val="auto"/>
          <w:sz w:val="22"/>
          <w:szCs w:val="22"/>
          <w:lang w:val="en-GB"/>
        </w:rPr>
        <w:t>high-grade phosphate rock with P2O5 content of 39%</w:t>
      </w:r>
      <w:r w:rsidR="001238D5">
        <w:rPr>
          <w:rFonts w:asciiTheme="minorHAnsi" w:eastAsiaTheme="minorEastAsia" w:hAnsiTheme="minorHAnsi" w:cstheme="minorBidi"/>
          <w:i/>
          <w:iCs/>
          <w:color w:val="auto"/>
          <w:sz w:val="22"/>
          <w:szCs w:val="22"/>
          <w:lang w:val="en-GB"/>
        </w:rPr>
        <w:t xml:space="preserve"> (according to the IFA), </w:t>
      </w:r>
      <w:r w:rsidRPr="7C16E36C">
        <w:rPr>
          <w:rFonts w:asciiTheme="minorHAnsi" w:eastAsiaTheme="minorEastAsia" w:hAnsiTheme="minorHAnsi" w:cstheme="minorBidi"/>
          <w:i/>
          <w:iCs/>
          <w:color w:val="auto"/>
          <w:sz w:val="22"/>
          <w:szCs w:val="22"/>
          <w:lang w:val="en-GB"/>
        </w:rPr>
        <w:t>one of the leading producers of MAP and DAP fertilizers globally, one of the leading producers of monocalcium feed phosphates (MCP) in Europe – and the only such producer in Russia – and Russia’s only producer of nepheline concentrate.</w:t>
      </w:r>
    </w:p>
    <w:p w14:paraId="4C92D0B4" w14:textId="12D11255" w:rsidR="0038259C" w:rsidRDefault="0038259C" w:rsidP="0038259C">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w:t>
      </w:r>
      <w:r w:rsidR="001238D5">
        <w:rPr>
          <w:rFonts w:asciiTheme="minorHAnsi" w:eastAsiaTheme="minorEastAsia" w:hAnsiTheme="minorHAnsi" w:cstheme="minorBidi"/>
          <w:i/>
          <w:iCs/>
          <w:color w:val="auto"/>
          <w:sz w:val="22"/>
          <w:szCs w:val="22"/>
          <w:lang w:val="en-GB"/>
        </w:rPr>
        <w:t xml:space="preserve">around </w:t>
      </w:r>
      <w:r w:rsidRPr="7C16E36C">
        <w:rPr>
          <w:rFonts w:asciiTheme="minorHAnsi" w:eastAsiaTheme="minorEastAsia" w:hAnsiTheme="minorHAnsi" w:cstheme="minorBidi"/>
          <w:i/>
          <w:iCs/>
          <w:color w:val="auto"/>
          <w:sz w:val="22"/>
          <w:szCs w:val="22"/>
          <w:lang w:val="en-GB"/>
        </w:rPr>
        <w:t xml:space="preserve">100 countries spanning all the world’s inhabited continents. The Company’s priority markets beyond Russia and the CIS are Latin America, Europe and Asia. </w:t>
      </w:r>
    </w:p>
    <w:p w14:paraId="375D718B" w14:textId="0D1B2A79" w:rsidR="0038259C" w:rsidRDefault="0038259C" w:rsidP="0038259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6D47B324" w14:textId="36194AAB" w:rsidR="00455EE2" w:rsidRPr="0038259C" w:rsidRDefault="00455EE2" w:rsidP="0095639F">
      <w:pPr>
        <w:spacing w:after="120"/>
        <w:jc w:val="both"/>
        <w:rPr>
          <w:rFonts w:ascii="Times New Roman" w:eastAsia="Times New Roman" w:hAnsi="Times New Roman" w:cs="Times New Roman"/>
          <w:i/>
          <w:iCs/>
          <w:sz w:val="18"/>
          <w:szCs w:val="18"/>
        </w:rPr>
      </w:pPr>
    </w:p>
    <w:sectPr w:rsidR="00455EE2" w:rsidRPr="0038259C" w:rsidSect="0038259C">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40D9" w14:textId="77777777" w:rsidR="00E840DB" w:rsidRDefault="00E840DB">
      <w:r>
        <w:separator/>
      </w:r>
    </w:p>
  </w:endnote>
  <w:endnote w:type="continuationSeparator" w:id="0">
    <w:p w14:paraId="35E11814" w14:textId="77777777" w:rsidR="00E840DB" w:rsidRDefault="00E8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E010" w14:textId="77777777" w:rsidR="00E840DB" w:rsidRDefault="00E840DB">
      <w:r>
        <w:separator/>
      </w:r>
    </w:p>
  </w:footnote>
  <w:footnote w:type="continuationSeparator" w:id="0">
    <w:p w14:paraId="2E1B3BFD" w14:textId="77777777" w:rsidR="00E840DB" w:rsidRDefault="00E8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1265454281">
    <w:abstractNumId w:val="8"/>
  </w:num>
  <w:num w:numId="2" w16cid:durableId="658193569">
    <w:abstractNumId w:val="7"/>
  </w:num>
  <w:num w:numId="3" w16cid:durableId="1303584462">
    <w:abstractNumId w:val="3"/>
  </w:num>
  <w:num w:numId="4" w16cid:durableId="1774864563">
    <w:abstractNumId w:val="14"/>
  </w:num>
  <w:num w:numId="5" w16cid:durableId="1581406520">
    <w:abstractNumId w:val="11"/>
  </w:num>
  <w:num w:numId="6" w16cid:durableId="1017121457">
    <w:abstractNumId w:val="5"/>
  </w:num>
  <w:num w:numId="7" w16cid:durableId="922295861">
    <w:abstractNumId w:val="12"/>
  </w:num>
  <w:num w:numId="8" w16cid:durableId="1550144353">
    <w:abstractNumId w:val="16"/>
  </w:num>
  <w:num w:numId="9" w16cid:durableId="136728669">
    <w:abstractNumId w:val="2"/>
  </w:num>
  <w:num w:numId="10" w16cid:durableId="24672280">
    <w:abstractNumId w:val="0"/>
  </w:num>
  <w:num w:numId="11" w16cid:durableId="1494492018">
    <w:abstractNumId w:val="10"/>
  </w:num>
  <w:num w:numId="12" w16cid:durableId="1316642570">
    <w:abstractNumId w:val="1"/>
  </w:num>
  <w:num w:numId="13" w16cid:durableId="1033654170">
    <w:abstractNumId w:val="6"/>
  </w:num>
  <w:num w:numId="14" w16cid:durableId="184249098">
    <w:abstractNumId w:val="9"/>
  </w:num>
  <w:num w:numId="15" w16cid:durableId="1212426971">
    <w:abstractNumId w:val="15"/>
  </w:num>
  <w:num w:numId="16" w16cid:durableId="146213603">
    <w:abstractNumId w:val="13"/>
  </w:num>
  <w:num w:numId="17" w16cid:durableId="73158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14C57"/>
    <w:rsid w:val="0002493C"/>
    <w:rsid w:val="00034F8C"/>
    <w:rsid w:val="00040779"/>
    <w:rsid w:val="000712AB"/>
    <w:rsid w:val="000875ED"/>
    <w:rsid w:val="00095470"/>
    <w:rsid w:val="000A6E50"/>
    <w:rsid w:val="000A7683"/>
    <w:rsid w:val="000C261B"/>
    <w:rsid w:val="000C76D2"/>
    <w:rsid w:val="000D06AA"/>
    <w:rsid w:val="000D5700"/>
    <w:rsid w:val="000F671A"/>
    <w:rsid w:val="00117504"/>
    <w:rsid w:val="00122483"/>
    <w:rsid w:val="001238D5"/>
    <w:rsid w:val="00135F85"/>
    <w:rsid w:val="0013632A"/>
    <w:rsid w:val="00145800"/>
    <w:rsid w:val="00145BA5"/>
    <w:rsid w:val="00172F8C"/>
    <w:rsid w:val="00186A8D"/>
    <w:rsid w:val="0019742D"/>
    <w:rsid w:val="001B13F0"/>
    <w:rsid w:val="001D1F32"/>
    <w:rsid w:val="001E0249"/>
    <w:rsid w:val="001F123F"/>
    <w:rsid w:val="00203C2B"/>
    <w:rsid w:val="002306E3"/>
    <w:rsid w:val="00236E9A"/>
    <w:rsid w:val="00245815"/>
    <w:rsid w:val="002629AE"/>
    <w:rsid w:val="0026543A"/>
    <w:rsid w:val="0028460B"/>
    <w:rsid w:val="00285B1A"/>
    <w:rsid w:val="002A1711"/>
    <w:rsid w:val="002B457A"/>
    <w:rsid w:val="002B7001"/>
    <w:rsid w:val="002C47D4"/>
    <w:rsid w:val="002E6309"/>
    <w:rsid w:val="002F148F"/>
    <w:rsid w:val="00306247"/>
    <w:rsid w:val="003129D8"/>
    <w:rsid w:val="00312B2A"/>
    <w:rsid w:val="00315BA2"/>
    <w:rsid w:val="00316380"/>
    <w:rsid w:val="003344CF"/>
    <w:rsid w:val="00335A7D"/>
    <w:rsid w:val="00337E7D"/>
    <w:rsid w:val="00372A1E"/>
    <w:rsid w:val="00372B4C"/>
    <w:rsid w:val="003735C7"/>
    <w:rsid w:val="00377ABC"/>
    <w:rsid w:val="0038259C"/>
    <w:rsid w:val="00391047"/>
    <w:rsid w:val="00395D53"/>
    <w:rsid w:val="0039639A"/>
    <w:rsid w:val="003A206E"/>
    <w:rsid w:val="003A4BDE"/>
    <w:rsid w:val="003D180A"/>
    <w:rsid w:val="003E578E"/>
    <w:rsid w:val="003F1955"/>
    <w:rsid w:val="004130F4"/>
    <w:rsid w:val="004303E9"/>
    <w:rsid w:val="00440438"/>
    <w:rsid w:val="00440ACA"/>
    <w:rsid w:val="00440DA2"/>
    <w:rsid w:val="00455EE2"/>
    <w:rsid w:val="00460EF0"/>
    <w:rsid w:val="004614BC"/>
    <w:rsid w:val="00472001"/>
    <w:rsid w:val="00477D4D"/>
    <w:rsid w:val="004A2F2B"/>
    <w:rsid w:val="004A6CD8"/>
    <w:rsid w:val="004B1F79"/>
    <w:rsid w:val="004B2A61"/>
    <w:rsid w:val="004C230F"/>
    <w:rsid w:val="004D4EFB"/>
    <w:rsid w:val="004E14E2"/>
    <w:rsid w:val="004E453B"/>
    <w:rsid w:val="004E6347"/>
    <w:rsid w:val="004F15B5"/>
    <w:rsid w:val="004F482C"/>
    <w:rsid w:val="004F69AE"/>
    <w:rsid w:val="005146DD"/>
    <w:rsid w:val="00516C61"/>
    <w:rsid w:val="00524134"/>
    <w:rsid w:val="00560A98"/>
    <w:rsid w:val="005626CB"/>
    <w:rsid w:val="005701CA"/>
    <w:rsid w:val="005772C4"/>
    <w:rsid w:val="00590A25"/>
    <w:rsid w:val="005A20A4"/>
    <w:rsid w:val="005B12B2"/>
    <w:rsid w:val="005C6EC2"/>
    <w:rsid w:val="005D649D"/>
    <w:rsid w:val="005F6DE1"/>
    <w:rsid w:val="00613ED6"/>
    <w:rsid w:val="00614606"/>
    <w:rsid w:val="0061557B"/>
    <w:rsid w:val="00634301"/>
    <w:rsid w:val="00634EF1"/>
    <w:rsid w:val="00661F5A"/>
    <w:rsid w:val="0068295C"/>
    <w:rsid w:val="00684A9B"/>
    <w:rsid w:val="006A3609"/>
    <w:rsid w:val="006A5DEA"/>
    <w:rsid w:val="006A6795"/>
    <w:rsid w:val="006A7C25"/>
    <w:rsid w:val="006B00E1"/>
    <w:rsid w:val="006B05A4"/>
    <w:rsid w:val="006B0744"/>
    <w:rsid w:val="006D245A"/>
    <w:rsid w:val="006D32BC"/>
    <w:rsid w:val="006E5BA2"/>
    <w:rsid w:val="006F1D92"/>
    <w:rsid w:val="00701D5E"/>
    <w:rsid w:val="00706F43"/>
    <w:rsid w:val="0072253D"/>
    <w:rsid w:val="007238AB"/>
    <w:rsid w:val="00742DCB"/>
    <w:rsid w:val="00775DC0"/>
    <w:rsid w:val="00783A12"/>
    <w:rsid w:val="00784418"/>
    <w:rsid w:val="007849AF"/>
    <w:rsid w:val="007A2B24"/>
    <w:rsid w:val="007D2C32"/>
    <w:rsid w:val="007E73E6"/>
    <w:rsid w:val="008004E3"/>
    <w:rsid w:val="00804A84"/>
    <w:rsid w:val="008174D7"/>
    <w:rsid w:val="00826748"/>
    <w:rsid w:val="00832D26"/>
    <w:rsid w:val="00836065"/>
    <w:rsid w:val="00847C2E"/>
    <w:rsid w:val="008501FC"/>
    <w:rsid w:val="0085607A"/>
    <w:rsid w:val="00860C35"/>
    <w:rsid w:val="00864807"/>
    <w:rsid w:val="00867415"/>
    <w:rsid w:val="00882ECD"/>
    <w:rsid w:val="00884DF5"/>
    <w:rsid w:val="00892715"/>
    <w:rsid w:val="008971B8"/>
    <w:rsid w:val="008D06BC"/>
    <w:rsid w:val="008F1934"/>
    <w:rsid w:val="008F52CD"/>
    <w:rsid w:val="00911A67"/>
    <w:rsid w:val="00914C9B"/>
    <w:rsid w:val="009313BD"/>
    <w:rsid w:val="00933B75"/>
    <w:rsid w:val="00951B57"/>
    <w:rsid w:val="00954EAB"/>
    <w:rsid w:val="0095639F"/>
    <w:rsid w:val="00962C40"/>
    <w:rsid w:val="0096493A"/>
    <w:rsid w:val="00970107"/>
    <w:rsid w:val="009709BA"/>
    <w:rsid w:val="0097551C"/>
    <w:rsid w:val="0098216C"/>
    <w:rsid w:val="00983CA2"/>
    <w:rsid w:val="009B2C5E"/>
    <w:rsid w:val="009C388D"/>
    <w:rsid w:val="009C4AB0"/>
    <w:rsid w:val="00A00BC1"/>
    <w:rsid w:val="00A01C58"/>
    <w:rsid w:val="00A02983"/>
    <w:rsid w:val="00A07ED3"/>
    <w:rsid w:val="00A1109C"/>
    <w:rsid w:val="00A111B8"/>
    <w:rsid w:val="00A30034"/>
    <w:rsid w:val="00A34426"/>
    <w:rsid w:val="00A41EB8"/>
    <w:rsid w:val="00A42977"/>
    <w:rsid w:val="00A45393"/>
    <w:rsid w:val="00A45BF7"/>
    <w:rsid w:val="00A5059D"/>
    <w:rsid w:val="00A60484"/>
    <w:rsid w:val="00A621E9"/>
    <w:rsid w:val="00A75646"/>
    <w:rsid w:val="00A81DB9"/>
    <w:rsid w:val="00A86DB0"/>
    <w:rsid w:val="00A93B97"/>
    <w:rsid w:val="00A95645"/>
    <w:rsid w:val="00AA6220"/>
    <w:rsid w:val="00AC4578"/>
    <w:rsid w:val="00AD7607"/>
    <w:rsid w:val="00AF3DF9"/>
    <w:rsid w:val="00AF4512"/>
    <w:rsid w:val="00B21BA5"/>
    <w:rsid w:val="00B22211"/>
    <w:rsid w:val="00B23146"/>
    <w:rsid w:val="00B27837"/>
    <w:rsid w:val="00B32086"/>
    <w:rsid w:val="00B321AB"/>
    <w:rsid w:val="00B351E9"/>
    <w:rsid w:val="00B40160"/>
    <w:rsid w:val="00B45DD9"/>
    <w:rsid w:val="00B462E0"/>
    <w:rsid w:val="00B7441B"/>
    <w:rsid w:val="00B8647E"/>
    <w:rsid w:val="00B9579A"/>
    <w:rsid w:val="00BA762B"/>
    <w:rsid w:val="00BD154A"/>
    <w:rsid w:val="00BE369C"/>
    <w:rsid w:val="00BF43FA"/>
    <w:rsid w:val="00C02D8B"/>
    <w:rsid w:val="00C110A2"/>
    <w:rsid w:val="00C13086"/>
    <w:rsid w:val="00C13D0B"/>
    <w:rsid w:val="00C32765"/>
    <w:rsid w:val="00C3444A"/>
    <w:rsid w:val="00C50B87"/>
    <w:rsid w:val="00C57122"/>
    <w:rsid w:val="00C5755A"/>
    <w:rsid w:val="00C60132"/>
    <w:rsid w:val="00C60D98"/>
    <w:rsid w:val="00C63C6E"/>
    <w:rsid w:val="00C63D19"/>
    <w:rsid w:val="00C7430C"/>
    <w:rsid w:val="00C86D65"/>
    <w:rsid w:val="00C87800"/>
    <w:rsid w:val="00C93612"/>
    <w:rsid w:val="00C967B7"/>
    <w:rsid w:val="00CA21D6"/>
    <w:rsid w:val="00CB69C1"/>
    <w:rsid w:val="00CE0516"/>
    <w:rsid w:val="00CE15C0"/>
    <w:rsid w:val="00CE5C05"/>
    <w:rsid w:val="00CF5503"/>
    <w:rsid w:val="00CF7E76"/>
    <w:rsid w:val="00D065D3"/>
    <w:rsid w:val="00D12E4B"/>
    <w:rsid w:val="00D15F60"/>
    <w:rsid w:val="00D23D4F"/>
    <w:rsid w:val="00D51926"/>
    <w:rsid w:val="00D63E8E"/>
    <w:rsid w:val="00D64C5D"/>
    <w:rsid w:val="00D66BC6"/>
    <w:rsid w:val="00D71E21"/>
    <w:rsid w:val="00D72E0B"/>
    <w:rsid w:val="00D7538B"/>
    <w:rsid w:val="00D868A7"/>
    <w:rsid w:val="00DA0B7F"/>
    <w:rsid w:val="00DD64E0"/>
    <w:rsid w:val="00DE48B5"/>
    <w:rsid w:val="00DE636D"/>
    <w:rsid w:val="00DF66AE"/>
    <w:rsid w:val="00E20B8B"/>
    <w:rsid w:val="00E2695C"/>
    <w:rsid w:val="00E3309D"/>
    <w:rsid w:val="00E50F29"/>
    <w:rsid w:val="00E67362"/>
    <w:rsid w:val="00E67DFB"/>
    <w:rsid w:val="00E70E40"/>
    <w:rsid w:val="00E75FF1"/>
    <w:rsid w:val="00E76EEC"/>
    <w:rsid w:val="00E840DB"/>
    <w:rsid w:val="00E86E56"/>
    <w:rsid w:val="00EB5CF9"/>
    <w:rsid w:val="00ED1150"/>
    <w:rsid w:val="00ED4AAD"/>
    <w:rsid w:val="00EE35D8"/>
    <w:rsid w:val="00EF0F08"/>
    <w:rsid w:val="00EF6C3E"/>
    <w:rsid w:val="00F07CFC"/>
    <w:rsid w:val="00F349D9"/>
    <w:rsid w:val="00F3523A"/>
    <w:rsid w:val="00F46CBF"/>
    <w:rsid w:val="00F7684F"/>
    <w:rsid w:val="00FB086E"/>
    <w:rsid w:val="00FD0CA8"/>
    <w:rsid w:val="00FD32ED"/>
    <w:rsid w:val="00FD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530"/>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lang w:val="en-US"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iCs/>
      <w:color w:val="0563C1"/>
      <w:sz w:val="18"/>
      <w:szCs w:val="18"/>
      <w:u w:val="single"/>
      <w:lang w:val="ru-RU"/>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Calibri" w:hAnsi="Segoe UI" w:cs="Segoe UI"/>
      <w:color w:val="000000"/>
      <w:sz w:val="18"/>
      <w:szCs w:val="18"/>
      <w:lang w:val="en-US" w:eastAsia="ru-RU"/>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Calibri" w:eastAsia="Calibri" w:hAnsi="Calibri" w:cs="Calibri"/>
      <w:color w:val="000000"/>
      <w:sz w:val="20"/>
      <w:szCs w:val="20"/>
      <w:lang w:val="en-US"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Calibri" w:eastAsia="Calibri" w:hAnsi="Calibri" w:cs="Calibri"/>
      <w:b/>
      <w:bCs/>
      <w:color w:val="000000"/>
      <w:sz w:val="20"/>
      <w:szCs w:val="20"/>
      <w:lang w:val="en-US" w:eastAsia="ru-RU"/>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val="ru-RU" w:eastAsia="en-US"/>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Pr>
      <w:rFonts w:ascii="Calibri" w:eastAsia="Calibri" w:hAnsi="Calibri" w:cs="Calibri"/>
      <w:i/>
      <w:iCs/>
      <w:color w:val="404040" w:themeColor="text1" w:themeTint="BF"/>
      <w:sz w:val="24"/>
      <w:szCs w:val="24"/>
      <w:lang w:val="en-US" w:eastAsia="ru-RU"/>
    </w:rPr>
  </w:style>
  <w:style w:type="paragraph" w:customStyle="1" w:styleId="P68B1DB1-Normal22">
    <w:name w:val="P68B1DB1-Normal22"/>
    <w:basedOn w:val="a"/>
    <w:rsid w:val="0038259C"/>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szCs w:val="20"/>
      <w:u w:color="000000"/>
      <w:lang w:val="en-CA" w:eastAsia="en-US"/>
    </w:rPr>
  </w:style>
  <w:style w:type="paragraph" w:styleId="aff4">
    <w:name w:val="Revision"/>
    <w:hidden/>
    <w:uiPriority w:val="99"/>
    <w:semiHidden/>
    <w:rsid w:val="007A2B24"/>
    <w:pPr>
      <w:spacing w:after="0" w:line="240" w:lineRule="auto"/>
    </w:pPr>
    <w:rPr>
      <w:rFonts w:ascii="Calibri" w:eastAsia="Calibri" w:hAnsi="Calibri" w:cs="Calibri"/>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2207">
      <w:bodyDiv w:val="1"/>
      <w:marLeft w:val="0"/>
      <w:marRight w:val="0"/>
      <w:marTop w:val="0"/>
      <w:marBottom w:val="0"/>
      <w:divBdr>
        <w:top w:val="none" w:sz="0" w:space="0" w:color="auto"/>
        <w:left w:val="none" w:sz="0" w:space="0" w:color="auto"/>
        <w:bottom w:val="none" w:sz="0" w:space="0" w:color="auto"/>
        <w:right w:val="none" w:sz="0" w:space="0" w:color="auto"/>
      </w:divBdr>
    </w:div>
    <w:div w:id="13482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FD2B-ACC3-4515-B048-CE58483A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441</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6</cp:revision>
  <dcterms:created xsi:type="dcterms:W3CDTF">2025-02-11T15:39:00Z</dcterms:created>
  <dcterms:modified xsi:type="dcterms:W3CDTF">2025-02-14T06:55:00Z</dcterms:modified>
</cp:coreProperties>
</file>