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CF50" w14:textId="0C2895F4" w:rsidR="00E26745" w:rsidRDefault="00F6422A">
      <w:pPr>
        <w:pStyle w:val="22"/>
        <w:rPr>
          <w:color w:val="000000"/>
          <w14:textFill>
            <w14:solidFill>
              <w14:srgbClr w14:val="000000">
                <w14:lumMod w14:val="75000"/>
                <w14:lumOff w14:val="25000"/>
              </w14:srgbClr>
            </w14:solidFill>
          </w14:textFill>
        </w:rPr>
      </w:pPr>
      <w:bookmarkStart w:id="0" w:name="_Hlk166688531"/>
      <w:r>
        <w:rPr>
          <w:noProof/>
          <w:color w:val="000000"/>
          <w14:textFill>
            <w14:solidFill>
              <w14:srgbClr w14:val="000000">
                <w14:lumMod w14:val="75000"/>
                <w14:lumOff w14:val="25000"/>
              </w14:srgbClr>
            </w14:solidFill>
          </w14:textFill>
        </w:rPr>
        <w:drawing>
          <wp:inline distT="0" distB="0" distL="0" distR="0" wp14:anchorId="1044782E" wp14:editId="2DC32A58">
            <wp:extent cx="1109345" cy="694690"/>
            <wp:effectExtent l="0" t="0" r="0" b="0"/>
            <wp:docPr id="1116483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8305"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09345" cy="694690"/>
                    </a:xfrm>
                    <a:prstGeom prst="rect">
                      <a:avLst/>
                    </a:prstGeom>
                    <a:noFill/>
                  </pic:spPr>
                </pic:pic>
              </a:graphicData>
            </a:graphic>
          </wp:inline>
        </w:drawing>
      </w:r>
    </w:p>
    <w:p w14:paraId="0C0D7574" w14:textId="77777777" w:rsidR="00F6422A" w:rsidRPr="00F6422A" w:rsidRDefault="00F6422A" w:rsidP="00F6422A"/>
    <w:p w14:paraId="291AEF87" w14:textId="77777777" w:rsidR="00E26745" w:rsidRDefault="00F6422A">
      <w:pPr>
        <w:spacing w:after="12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Expert RA Affirms </w:t>
      </w:r>
      <w:proofErr w:type="spellStart"/>
      <w:r>
        <w:rPr>
          <w:rFonts w:asciiTheme="minorHAnsi" w:hAnsiTheme="minorHAnsi" w:cstheme="minorHAnsi"/>
          <w:b/>
          <w:bCs/>
          <w:color w:val="auto"/>
          <w:sz w:val="22"/>
          <w:szCs w:val="22"/>
        </w:rPr>
        <w:t>PhosAgro’s</w:t>
      </w:r>
      <w:proofErr w:type="spellEnd"/>
      <w:r>
        <w:rPr>
          <w:rFonts w:asciiTheme="minorHAnsi" w:hAnsiTheme="minorHAnsi" w:cstheme="minorHAnsi"/>
          <w:b/>
          <w:bCs/>
          <w:color w:val="auto"/>
          <w:sz w:val="22"/>
          <w:szCs w:val="22"/>
        </w:rPr>
        <w:t xml:space="preserve"> </w:t>
      </w:r>
      <w:proofErr w:type="spellStart"/>
      <w:r>
        <w:rPr>
          <w:rFonts w:asciiTheme="minorHAnsi" w:hAnsiTheme="minorHAnsi" w:cstheme="minorHAnsi"/>
          <w:b/>
          <w:bCs/>
          <w:color w:val="auto"/>
          <w:sz w:val="22"/>
          <w:szCs w:val="22"/>
        </w:rPr>
        <w:t>ruAAA</w:t>
      </w:r>
      <w:proofErr w:type="spellEnd"/>
      <w:r>
        <w:rPr>
          <w:rFonts w:asciiTheme="minorHAnsi" w:hAnsiTheme="minorHAnsi" w:cstheme="minorHAnsi"/>
          <w:b/>
          <w:bCs/>
          <w:color w:val="auto"/>
          <w:sz w:val="22"/>
          <w:szCs w:val="22"/>
        </w:rPr>
        <w:t xml:space="preserve"> Credit Rating with a Stable Outlook</w:t>
      </w:r>
    </w:p>
    <w:p w14:paraId="0963E21E" w14:textId="77777777" w:rsidR="00E26745" w:rsidRDefault="00F6422A">
      <w:pPr>
        <w:spacing w:before="120" w:after="120"/>
        <w:jc w:val="both"/>
        <w:rPr>
          <w:rFonts w:asciiTheme="minorHAnsi" w:hAnsiTheme="minorHAnsi" w:cstheme="minorHAnsi"/>
          <w:bCs/>
          <w:color w:val="auto"/>
          <w:sz w:val="22"/>
          <w:szCs w:val="22"/>
        </w:rPr>
      </w:pPr>
      <w:r>
        <w:rPr>
          <w:rFonts w:asciiTheme="minorHAnsi" w:hAnsiTheme="minorHAnsi" w:cstheme="minorHAnsi"/>
          <w:b/>
          <w:bCs/>
          <w:color w:val="auto"/>
          <w:sz w:val="22"/>
          <w:szCs w:val="22"/>
        </w:rPr>
        <w:t>Moscow</w:t>
      </w:r>
      <w:r>
        <w:rPr>
          <w:rFonts w:asciiTheme="minorHAnsi" w:hAnsiTheme="minorHAnsi" w:cstheme="minorHAnsi"/>
          <w:bCs/>
          <w:color w:val="auto"/>
          <w:sz w:val="22"/>
          <w:szCs w:val="22"/>
        </w:rPr>
        <w:t xml:space="preserve"> – PhosAgro (Moscow Exchange, LSE: PHOR), one of the world’s leading producers of phosphate-based fertilizers, announces that the credit rating agency Expert RA has affirmed the Company’s creditworthiness with a credit rating of </w:t>
      </w:r>
      <w:proofErr w:type="spellStart"/>
      <w:r>
        <w:rPr>
          <w:rFonts w:asciiTheme="minorHAnsi" w:hAnsiTheme="minorHAnsi" w:cstheme="minorHAnsi"/>
          <w:bCs/>
          <w:color w:val="auto"/>
          <w:sz w:val="22"/>
          <w:szCs w:val="22"/>
        </w:rPr>
        <w:t>ruAAA</w:t>
      </w:r>
      <w:proofErr w:type="spellEnd"/>
      <w:r>
        <w:rPr>
          <w:rFonts w:asciiTheme="minorHAnsi" w:hAnsiTheme="minorHAnsi" w:cstheme="minorHAnsi"/>
          <w:bCs/>
          <w:color w:val="auto"/>
          <w:sz w:val="22"/>
          <w:szCs w:val="22"/>
        </w:rPr>
        <w:t xml:space="preserve"> – the highest possibl</w:t>
      </w:r>
      <w:r>
        <w:rPr>
          <w:rFonts w:asciiTheme="minorHAnsi" w:hAnsiTheme="minorHAnsi" w:cstheme="minorHAnsi"/>
          <w:bCs/>
          <w:color w:val="auto"/>
          <w:sz w:val="22"/>
          <w:szCs w:val="22"/>
        </w:rPr>
        <w:t xml:space="preserve">e – with a stable outlook. </w:t>
      </w:r>
    </w:p>
    <w:p w14:paraId="57E644BB" w14:textId="32FBCBBD" w:rsidR="00E26745" w:rsidRDefault="00F6422A">
      <w:pPr>
        <w:spacing w:before="120" w:after="120"/>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Expert RA gave a positive assessment of PhosAgro’s industry risk profile and highlighted the Company’s strong market and competitive position, solid debt position, </w:t>
      </w:r>
      <w:r>
        <w:rPr>
          <w:rFonts w:asciiTheme="minorHAnsi" w:hAnsiTheme="minorHAnsi" w:cstheme="minorHAnsi"/>
          <w:bCs/>
          <w:color w:val="auto"/>
          <w:sz w:val="22"/>
          <w:szCs w:val="22"/>
        </w:rPr>
        <w:t>as well as strong liquidity and low cor</w:t>
      </w:r>
      <w:r>
        <w:rPr>
          <w:rFonts w:asciiTheme="minorHAnsi" w:hAnsiTheme="minorHAnsi" w:cstheme="minorHAnsi"/>
          <w:bCs/>
          <w:color w:val="auto"/>
          <w:sz w:val="22"/>
          <w:szCs w:val="22"/>
        </w:rPr>
        <w:t>porate risk exposure.</w:t>
      </w:r>
    </w:p>
    <w:bookmarkEnd w:id="0"/>
    <w:p w14:paraId="37E79DBD" w14:textId="1CDFC2D5" w:rsidR="00E26745" w:rsidRPr="00F6422A" w:rsidRDefault="00D76E9C">
      <w:pPr>
        <w:spacing w:before="120" w:after="120"/>
        <w:jc w:val="both"/>
        <w:rPr>
          <w:rFonts w:asciiTheme="minorHAnsi" w:hAnsiTheme="minorHAnsi" w:cstheme="minorHAnsi"/>
          <w:bCs/>
          <w:color w:val="auto"/>
          <w:sz w:val="22"/>
          <w:szCs w:val="22"/>
        </w:rPr>
      </w:pPr>
      <w:proofErr w:type="spellStart"/>
      <w:r>
        <w:rPr>
          <w:rFonts w:asciiTheme="minorHAnsi" w:hAnsiTheme="minorHAnsi" w:cstheme="minorHAnsi"/>
          <w:bCs/>
          <w:color w:val="auto"/>
          <w:sz w:val="22"/>
          <w:szCs w:val="22"/>
        </w:rPr>
        <w:t>PhosAgro’s</w:t>
      </w:r>
      <w:proofErr w:type="spellEnd"/>
      <w:r w:rsidR="00F6422A">
        <w:rPr>
          <w:rFonts w:asciiTheme="minorHAnsi" w:hAnsiTheme="minorHAnsi" w:cstheme="minorHAnsi"/>
          <w:bCs/>
          <w:color w:val="auto"/>
          <w:sz w:val="22"/>
          <w:szCs w:val="22"/>
        </w:rPr>
        <w:t xml:space="preserve"> strong market position is driven by </w:t>
      </w:r>
      <w:r>
        <w:rPr>
          <w:rFonts w:asciiTheme="minorHAnsi" w:hAnsiTheme="minorHAnsi" w:cstheme="minorHAnsi"/>
          <w:bCs/>
          <w:color w:val="auto"/>
          <w:sz w:val="22"/>
          <w:szCs w:val="22"/>
        </w:rPr>
        <w:t>its</w:t>
      </w:r>
      <w:r w:rsidR="00F6422A">
        <w:rPr>
          <w:rFonts w:asciiTheme="minorHAnsi" w:hAnsiTheme="minorHAnsi" w:cstheme="minorHAnsi"/>
          <w:bCs/>
          <w:color w:val="auto"/>
          <w:sz w:val="22"/>
          <w:szCs w:val="22"/>
        </w:rPr>
        <w:t xml:space="preserve"> significant share in its strategic priority market – Russia – and main export markets. The agency highlighted </w:t>
      </w:r>
      <w:r>
        <w:rPr>
          <w:rFonts w:asciiTheme="minorHAnsi" w:hAnsiTheme="minorHAnsi" w:cstheme="minorHAnsi"/>
          <w:bCs/>
          <w:color w:val="auto"/>
          <w:sz w:val="22"/>
          <w:szCs w:val="22"/>
        </w:rPr>
        <w:t xml:space="preserve">the Company’s </w:t>
      </w:r>
      <w:r w:rsidR="00F6422A">
        <w:rPr>
          <w:rFonts w:asciiTheme="minorHAnsi" w:hAnsiTheme="minorHAnsi" w:cstheme="minorHAnsi"/>
          <w:bCs/>
          <w:color w:val="auto"/>
          <w:sz w:val="22"/>
          <w:szCs w:val="22"/>
        </w:rPr>
        <w:t xml:space="preserve">strong vertical integration </w:t>
      </w:r>
      <w:r>
        <w:rPr>
          <w:rFonts w:asciiTheme="minorHAnsi" w:hAnsiTheme="minorHAnsi" w:cstheme="minorHAnsi"/>
          <w:bCs/>
          <w:color w:val="auto"/>
          <w:sz w:val="22"/>
          <w:szCs w:val="22"/>
        </w:rPr>
        <w:t>and its reserves of magmatic phosphate rock, which ensure that the Company’s mineral fertilizers have high levels of P2O5 and are environmentally friendly</w:t>
      </w:r>
      <w:r w:rsidR="00F6422A" w:rsidRPr="00F6422A">
        <w:rPr>
          <w:rFonts w:asciiTheme="minorHAnsi" w:hAnsiTheme="minorHAnsi" w:cstheme="minorHAnsi"/>
          <w:bCs/>
          <w:color w:val="auto"/>
          <w:sz w:val="22"/>
          <w:szCs w:val="22"/>
        </w:rPr>
        <w:t xml:space="preserve">. </w:t>
      </w:r>
    </w:p>
    <w:p w14:paraId="4B9B3367" w14:textId="77777777" w:rsidR="00E26745" w:rsidRPr="00F6422A" w:rsidRDefault="00F6422A">
      <w:pPr>
        <w:spacing w:before="120" w:after="120"/>
        <w:jc w:val="both"/>
        <w:rPr>
          <w:rFonts w:asciiTheme="minorHAnsi" w:hAnsiTheme="minorHAnsi" w:cstheme="minorHAnsi"/>
          <w:bCs/>
          <w:color w:val="auto"/>
          <w:sz w:val="22"/>
          <w:szCs w:val="22"/>
        </w:rPr>
      </w:pPr>
      <w:r>
        <w:rPr>
          <w:rFonts w:asciiTheme="minorHAnsi" w:hAnsiTheme="minorHAnsi" w:cstheme="minorHAnsi"/>
          <w:bCs/>
          <w:color w:val="auto"/>
          <w:sz w:val="22"/>
          <w:szCs w:val="22"/>
        </w:rPr>
        <w:t>According to Expert RA, PhosAgro maintains a debt position corresponding to the highest possible credit rating</w:t>
      </w:r>
      <w:r w:rsidRPr="00F6422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The </w:t>
      </w:r>
      <w:r>
        <w:rPr>
          <w:rFonts w:asciiTheme="minorHAnsi" w:hAnsiTheme="minorHAnsi" w:cstheme="minorHAnsi"/>
          <w:bCs/>
          <w:color w:val="auto"/>
          <w:sz w:val="22"/>
          <w:szCs w:val="22"/>
        </w:rPr>
        <w:t>Company’s debt repayment schedule and diversification of the loan portfolio are at a comfortable level</w:t>
      </w:r>
      <w:r w:rsidRPr="00F6422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The agency considers the Company’s currency risks to be low</w:t>
      </w:r>
      <w:r w:rsidRPr="00F6422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The analysts also noted that PhosAgro traditionally pays dividends based on the Company’s a</w:t>
      </w:r>
      <w:r>
        <w:rPr>
          <w:rFonts w:asciiTheme="minorHAnsi" w:hAnsiTheme="minorHAnsi" w:cstheme="minorHAnsi"/>
          <w:bCs/>
          <w:color w:val="auto"/>
          <w:sz w:val="22"/>
          <w:szCs w:val="22"/>
        </w:rPr>
        <w:t>pproved dividend policy</w:t>
      </w:r>
      <w:r w:rsidRPr="00F6422A">
        <w:rPr>
          <w:rFonts w:asciiTheme="minorHAnsi" w:hAnsiTheme="minorHAnsi" w:cstheme="minorHAnsi"/>
          <w:bCs/>
          <w:color w:val="auto"/>
          <w:sz w:val="22"/>
          <w:szCs w:val="22"/>
        </w:rPr>
        <w:t xml:space="preserve">. </w:t>
      </w:r>
    </w:p>
    <w:p w14:paraId="5866CFC3" w14:textId="06710420" w:rsidR="00D76E9C" w:rsidRDefault="00D76E9C">
      <w:pPr>
        <w:spacing w:before="120" w:after="120"/>
        <w:jc w:val="both"/>
        <w:rPr>
          <w:rFonts w:asciiTheme="minorHAnsi" w:hAnsiTheme="minorHAnsi" w:cstheme="minorHAnsi"/>
          <w:bCs/>
          <w:color w:val="auto"/>
          <w:sz w:val="22"/>
          <w:szCs w:val="22"/>
        </w:rPr>
      </w:pPr>
      <w:proofErr w:type="spellStart"/>
      <w:r>
        <w:rPr>
          <w:rFonts w:asciiTheme="minorHAnsi" w:hAnsiTheme="minorHAnsi" w:cstheme="minorHAnsi"/>
          <w:bCs/>
          <w:color w:val="auto"/>
          <w:sz w:val="22"/>
          <w:szCs w:val="22"/>
        </w:rPr>
        <w:t>PhosAgro’s</w:t>
      </w:r>
      <w:proofErr w:type="spellEnd"/>
      <w:r>
        <w:rPr>
          <w:rFonts w:asciiTheme="minorHAnsi" w:hAnsiTheme="minorHAnsi" w:cstheme="minorHAnsi"/>
          <w:bCs/>
          <w:color w:val="auto"/>
          <w:sz w:val="22"/>
          <w:szCs w:val="22"/>
        </w:rPr>
        <w:t xml:space="preserve"> low level of corporate risk is due to two main factors: the Company’s application of best global practices in corporate governance, risk management and strategic support, as well as the Group’s transparent structure. </w:t>
      </w:r>
    </w:p>
    <w:p w14:paraId="1C0FC4CC" w14:textId="34346080" w:rsidR="00E26745" w:rsidRDefault="00F6422A">
      <w:pPr>
        <w:spacing w:before="120" w:after="120"/>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The agency has also affirmed the highest possible rating of </w:t>
      </w:r>
      <w:proofErr w:type="spellStart"/>
      <w:r w:rsidRPr="00F6422A">
        <w:rPr>
          <w:rFonts w:asciiTheme="minorHAnsi" w:hAnsiTheme="minorHAnsi" w:cstheme="minorHAnsi"/>
          <w:bCs/>
          <w:color w:val="auto"/>
          <w:sz w:val="22"/>
          <w:szCs w:val="22"/>
        </w:rPr>
        <w:t>ruAAA</w:t>
      </w:r>
      <w:proofErr w:type="spellEnd"/>
      <w:r w:rsidRPr="00F6422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for PhosAgro bonds</w:t>
      </w:r>
      <w:r w:rsidRPr="00F6422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the issue </w:t>
      </w:r>
      <w:r>
        <w:rPr>
          <w:rFonts w:asciiTheme="minorHAnsi" w:hAnsiTheme="minorHAnsi"/>
          <w:bCs/>
          <w:color w:val="auto"/>
          <w:sz w:val="22"/>
          <w:szCs w:val="22"/>
        </w:rPr>
        <w:t xml:space="preserve">of bonds worth CNY 2 billion </w:t>
      </w:r>
      <w:r>
        <w:rPr>
          <w:rFonts w:asciiTheme="minorHAnsi" w:hAnsiTheme="minorHAnsi" w:cstheme="minorHAnsi"/>
          <w:bCs/>
          <w:color w:val="auto"/>
          <w:sz w:val="22"/>
          <w:szCs w:val="22"/>
        </w:rPr>
        <w:t xml:space="preserve">maturing in </w:t>
      </w:r>
      <w:r w:rsidRPr="00F6422A">
        <w:rPr>
          <w:rFonts w:asciiTheme="minorHAnsi" w:hAnsiTheme="minorHAnsi" w:cstheme="minorHAnsi"/>
          <w:bCs/>
          <w:color w:val="auto"/>
          <w:sz w:val="22"/>
          <w:szCs w:val="22"/>
        </w:rPr>
        <w:t>2026 (</w:t>
      </w:r>
      <w:r>
        <w:rPr>
          <w:rFonts w:asciiTheme="minorHAnsi" w:hAnsiTheme="minorHAnsi" w:cstheme="minorHAnsi"/>
          <w:bCs/>
          <w:color w:val="auto"/>
          <w:sz w:val="22"/>
          <w:szCs w:val="22"/>
        </w:rPr>
        <w:t>BO</w:t>
      </w:r>
      <w:r w:rsidRPr="00F6422A">
        <w:rPr>
          <w:rFonts w:asciiTheme="minorHAnsi" w:hAnsiTheme="minorHAnsi" w:cstheme="minorHAnsi"/>
          <w:bCs/>
          <w:color w:val="auto"/>
          <w:sz w:val="22"/>
          <w:szCs w:val="22"/>
        </w:rPr>
        <w:t>-</w:t>
      </w:r>
      <w:r>
        <w:rPr>
          <w:rFonts w:asciiTheme="minorHAnsi" w:hAnsiTheme="minorHAnsi" w:cstheme="minorHAnsi"/>
          <w:bCs/>
          <w:color w:val="auto"/>
          <w:sz w:val="22"/>
          <w:szCs w:val="22"/>
        </w:rPr>
        <w:t>P</w:t>
      </w:r>
      <w:r w:rsidRPr="00F6422A">
        <w:rPr>
          <w:rFonts w:asciiTheme="minorHAnsi" w:hAnsiTheme="minorHAnsi" w:cstheme="minorHAnsi"/>
          <w:bCs/>
          <w:color w:val="auto"/>
          <w:sz w:val="22"/>
          <w:szCs w:val="22"/>
        </w:rPr>
        <w:t>01-</w:t>
      </w:r>
      <w:r>
        <w:rPr>
          <w:rFonts w:asciiTheme="minorHAnsi" w:hAnsiTheme="minorHAnsi" w:cstheme="minorHAnsi"/>
          <w:bCs/>
          <w:color w:val="auto"/>
          <w:sz w:val="22"/>
          <w:szCs w:val="22"/>
        </w:rPr>
        <w:t>CNY</w:t>
      </w:r>
      <w:r w:rsidRPr="00F6422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the issue of </w:t>
      </w:r>
      <w:proofErr w:type="spellStart"/>
      <w:r>
        <w:rPr>
          <w:rFonts w:asciiTheme="minorHAnsi" w:hAnsiTheme="minorHAnsi" w:cstheme="minorHAnsi"/>
          <w:bCs/>
          <w:color w:val="auto"/>
          <w:sz w:val="22"/>
          <w:szCs w:val="22"/>
        </w:rPr>
        <w:t>rouble</w:t>
      </w:r>
      <w:proofErr w:type="spellEnd"/>
      <w:r>
        <w:rPr>
          <w:rFonts w:asciiTheme="minorHAnsi" w:hAnsiTheme="minorHAnsi" w:cstheme="minorHAnsi"/>
          <w:bCs/>
          <w:color w:val="auto"/>
          <w:sz w:val="22"/>
          <w:szCs w:val="22"/>
        </w:rPr>
        <w:t xml:space="preserve">-denominated bonds worth USD </w:t>
      </w:r>
      <w:r w:rsidRPr="00F6422A">
        <w:rPr>
          <w:rFonts w:asciiTheme="minorHAnsi" w:hAnsiTheme="minorHAnsi" w:cstheme="minorHAnsi"/>
          <w:bCs/>
          <w:color w:val="auto"/>
          <w:sz w:val="22"/>
          <w:szCs w:val="22"/>
        </w:rPr>
        <w:t xml:space="preserve">100 </w:t>
      </w:r>
      <w:r>
        <w:rPr>
          <w:rFonts w:asciiTheme="minorHAnsi" w:hAnsiTheme="minorHAnsi" w:cstheme="minorHAnsi"/>
          <w:bCs/>
          <w:color w:val="auto"/>
          <w:sz w:val="22"/>
          <w:szCs w:val="22"/>
        </w:rPr>
        <w:t xml:space="preserve">million maturing in </w:t>
      </w:r>
      <w:r w:rsidRPr="00F6422A">
        <w:rPr>
          <w:rFonts w:asciiTheme="minorHAnsi" w:hAnsiTheme="minorHAnsi" w:cstheme="minorHAnsi"/>
          <w:bCs/>
          <w:color w:val="auto"/>
          <w:sz w:val="22"/>
          <w:szCs w:val="22"/>
        </w:rPr>
        <w:t>2029 (</w:t>
      </w:r>
      <w:r>
        <w:rPr>
          <w:rFonts w:asciiTheme="minorHAnsi" w:hAnsiTheme="minorHAnsi" w:cstheme="minorHAnsi"/>
          <w:bCs/>
          <w:color w:val="auto"/>
          <w:sz w:val="22"/>
          <w:szCs w:val="22"/>
        </w:rPr>
        <w:t>BO</w:t>
      </w:r>
      <w:r w:rsidRPr="00F6422A">
        <w:rPr>
          <w:rFonts w:asciiTheme="minorHAnsi" w:hAnsiTheme="minorHAnsi" w:cstheme="minorHAnsi"/>
          <w:bCs/>
          <w:color w:val="auto"/>
          <w:sz w:val="22"/>
          <w:szCs w:val="22"/>
        </w:rPr>
        <w:t>-</w:t>
      </w:r>
      <w:r>
        <w:rPr>
          <w:rFonts w:asciiTheme="minorHAnsi" w:hAnsiTheme="minorHAnsi" w:cstheme="minorHAnsi"/>
          <w:bCs/>
          <w:color w:val="auto"/>
          <w:sz w:val="22"/>
          <w:szCs w:val="22"/>
        </w:rPr>
        <w:t>P</w:t>
      </w:r>
      <w:r w:rsidRPr="00F6422A">
        <w:rPr>
          <w:rFonts w:asciiTheme="minorHAnsi" w:hAnsiTheme="minorHAnsi" w:cstheme="minorHAnsi"/>
          <w:bCs/>
          <w:color w:val="auto"/>
          <w:sz w:val="22"/>
          <w:szCs w:val="22"/>
        </w:rPr>
        <w:t>01-</w:t>
      </w:r>
      <w:r>
        <w:rPr>
          <w:rFonts w:asciiTheme="minorHAnsi" w:hAnsiTheme="minorHAnsi" w:cstheme="minorHAnsi"/>
          <w:bCs/>
          <w:color w:val="auto"/>
          <w:sz w:val="22"/>
          <w:szCs w:val="22"/>
        </w:rPr>
        <w:t>USD</w:t>
      </w:r>
      <w:r w:rsidRPr="00F6422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the issue</w:t>
      </w:r>
      <w:r>
        <w:rPr>
          <w:rFonts w:asciiTheme="minorHAnsi" w:hAnsiTheme="minorHAnsi" w:cstheme="minorHAnsi"/>
          <w:bCs/>
          <w:color w:val="auto"/>
          <w:sz w:val="22"/>
          <w:szCs w:val="22"/>
        </w:rPr>
        <w:t xml:space="preserve"> of bonds worth RUB </w:t>
      </w:r>
      <w:r w:rsidRPr="00F6422A">
        <w:rPr>
          <w:rFonts w:asciiTheme="minorHAnsi" w:hAnsiTheme="minorHAnsi" w:cstheme="minorHAnsi"/>
          <w:bCs/>
          <w:color w:val="auto"/>
          <w:sz w:val="22"/>
          <w:szCs w:val="22"/>
        </w:rPr>
        <w:t xml:space="preserve">20 </w:t>
      </w:r>
      <w:r>
        <w:rPr>
          <w:rFonts w:asciiTheme="minorHAnsi" w:hAnsiTheme="minorHAnsi" w:cstheme="minorHAnsi"/>
          <w:bCs/>
          <w:color w:val="auto"/>
          <w:sz w:val="22"/>
          <w:szCs w:val="22"/>
        </w:rPr>
        <w:t xml:space="preserve">billion maturing in </w:t>
      </w:r>
      <w:r w:rsidRPr="00F6422A">
        <w:rPr>
          <w:rFonts w:asciiTheme="minorHAnsi" w:hAnsiTheme="minorHAnsi" w:cstheme="minorHAnsi"/>
          <w:bCs/>
          <w:color w:val="auto"/>
          <w:sz w:val="22"/>
          <w:szCs w:val="22"/>
        </w:rPr>
        <w:t>2026 (</w:t>
      </w:r>
      <w:r>
        <w:rPr>
          <w:rFonts w:asciiTheme="minorHAnsi" w:hAnsiTheme="minorHAnsi" w:cstheme="minorHAnsi"/>
          <w:bCs/>
          <w:color w:val="auto"/>
          <w:sz w:val="22"/>
          <w:szCs w:val="22"/>
        </w:rPr>
        <w:t>BO</w:t>
      </w:r>
      <w:r w:rsidRPr="00F6422A">
        <w:rPr>
          <w:rFonts w:asciiTheme="minorHAnsi" w:hAnsiTheme="minorHAnsi" w:cstheme="minorHAnsi"/>
          <w:bCs/>
          <w:color w:val="auto"/>
          <w:sz w:val="22"/>
          <w:szCs w:val="22"/>
        </w:rPr>
        <w:t>-</w:t>
      </w:r>
      <w:r>
        <w:rPr>
          <w:rFonts w:asciiTheme="minorHAnsi" w:hAnsiTheme="minorHAnsi" w:cstheme="minorHAnsi"/>
          <w:bCs/>
          <w:color w:val="auto"/>
          <w:sz w:val="22"/>
          <w:szCs w:val="22"/>
        </w:rPr>
        <w:t>P</w:t>
      </w:r>
      <w:r w:rsidRPr="00F6422A">
        <w:rPr>
          <w:rFonts w:asciiTheme="minorHAnsi" w:hAnsiTheme="minorHAnsi" w:cstheme="minorHAnsi"/>
          <w:bCs/>
          <w:color w:val="auto"/>
          <w:sz w:val="22"/>
          <w:szCs w:val="22"/>
        </w:rPr>
        <w:t xml:space="preserve">01); </w:t>
      </w:r>
      <w:r>
        <w:rPr>
          <w:rFonts w:asciiTheme="minorHAnsi" w:hAnsiTheme="minorHAnsi" w:cstheme="minorHAnsi"/>
          <w:bCs/>
          <w:color w:val="auto"/>
          <w:sz w:val="22"/>
          <w:szCs w:val="22"/>
        </w:rPr>
        <w:t xml:space="preserve">the issue of bonds worth RUB </w:t>
      </w:r>
      <w:r w:rsidRPr="00F6422A">
        <w:rPr>
          <w:rFonts w:asciiTheme="minorHAnsi" w:hAnsiTheme="minorHAnsi" w:cstheme="minorHAnsi"/>
          <w:bCs/>
          <w:color w:val="auto"/>
          <w:sz w:val="22"/>
          <w:szCs w:val="22"/>
        </w:rPr>
        <w:t xml:space="preserve">60 </w:t>
      </w:r>
      <w:r>
        <w:rPr>
          <w:rFonts w:asciiTheme="minorHAnsi" w:hAnsiTheme="minorHAnsi" w:cstheme="minorHAnsi"/>
          <w:bCs/>
          <w:color w:val="auto"/>
          <w:sz w:val="22"/>
          <w:szCs w:val="22"/>
        </w:rPr>
        <w:t xml:space="preserve">billion maturing in </w:t>
      </w:r>
      <w:r w:rsidRPr="00F6422A">
        <w:rPr>
          <w:rFonts w:asciiTheme="minorHAnsi" w:hAnsiTheme="minorHAnsi" w:cstheme="minorHAnsi"/>
          <w:bCs/>
          <w:color w:val="auto"/>
          <w:sz w:val="22"/>
          <w:szCs w:val="22"/>
        </w:rPr>
        <w:t>2029 (</w:t>
      </w:r>
      <w:r>
        <w:rPr>
          <w:rFonts w:asciiTheme="minorHAnsi" w:hAnsiTheme="minorHAnsi" w:cstheme="minorHAnsi"/>
          <w:bCs/>
          <w:color w:val="auto"/>
          <w:sz w:val="22"/>
          <w:szCs w:val="22"/>
        </w:rPr>
        <w:t>BO</w:t>
      </w:r>
      <w:r w:rsidRPr="00F6422A">
        <w:rPr>
          <w:rFonts w:asciiTheme="minorHAnsi" w:hAnsiTheme="minorHAnsi" w:cstheme="minorHAnsi"/>
          <w:bCs/>
          <w:color w:val="auto"/>
          <w:sz w:val="22"/>
          <w:szCs w:val="22"/>
        </w:rPr>
        <w:t>-02-01).</w:t>
      </w:r>
    </w:p>
    <w:p w14:paraId="23FD7970" w14:textId="77777777" w:rsidR="00E26745" w:rsidRDefault="00F6422A">
      <w:pPr>
        <w:spacing w:before="120" w:after="120"/>
        <w:jc w:val="both"/>
        <w:rPr>
          <w:rFonts w:asciiTheme="minorHAnsi" w:hAnsiTheme="minorHAnsi" w:cstheme="minorHAnsi"/>
          <w:bCs/>
          <w:color w:val="auto"/>
          <w:sz w:val="22"/>
          <w:szCs w:val="22"/>
        </w:rPr>
      </w:pPr>
      <w:r>
        <w:rPr>
          <w:rFonts w:asciiTheme="minorHAnsi" w:hAnsiTheme="minorHAnsi" w:cstheme="minorHAnsi"/>
          <w:bCs/>
          <w:color w:val="auto"/>
          <w:sz w:val="22"/>
          <w:szCs w:val="22"/>
        </w:rPr>
        <w:t>Earlier, Analytical Credit Rating Agency (ACRA) also affirmed PhosAgro’s credit rating of AAA(RU) – the highest possible – with a</w:t>
      </w:r>
      <w:r>
        <w:rPr>
          <w:rFonts w:asciiTheme="minorHAnsi" w:hAnsiTheme="minorHAnsi" w:cstheme="minorHAnsi"/>
          <w:bCs/>
          <w:color w:val="auto"/>
          <w:sz w:val="22"/>
          <w:szCs w:val="22"/>
        </w:rPr>
        <w:t xml:space="preserve"> stable outlook.</w:t>
      </w:r>
    </w:p>
    <w:p w14:paraId="4E28816C" w14:textId="019E5A53" w:rsidR="00E26745" w:rsidRDefault="00F6422A">
      <w:pPr>
        <w:spacing w:before="120" w:after="120"/>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Expert RA’s full </w:t>
      </w:r>
      <w:r w:rsidRPr="00F6422A">
        <w:rPr>
          <w:rFonts w:asciiTheme="minorHAnsi" w:hAnsiTheme="minorHAnsi" w:cstheme="minorHAnsi"/>
          <w:bCs/>
          <w:color w:val="auto"/>
          <w:sz w:val="22"/>
          <w:szCs w:val="22"/>
        </w:rPr>
        <w:t xml:space="preserve">press release is available </w:t>
      </w:r>
      <w:hyperlink r:id="rId6" w:history="1">
        <w:r w:rsidRPr="00F6422A">
          <w:rPr>
            <w:rStyle w:val="a6"/>
            <w:rFonts w:asciiTheme="minorHAnsi" w:hAnsiTheme="minorHAnsi" w:cstheme="minorHAnsi"/>
            <w:bCs/>
            <w:sz w:val="22"/>
            <w:szCs w:val="22"/>
          </w:rPr>
          <w:t>here</w:t>
        </w:r>
      </w:hyperlink>
      <w:r w:rsidRPr="00F6422A">
        <w:rPr>
          <w:rFonts w:asciiTheme="minorHAnsi" w:hAnsiTheme="minorHAnsi" w:cstheme="minorHAnsi"/>
          <w:bCs/>
          <w:color w:val="auto"/>
          <w:sz w:val="22"/>
          <w:szCs w:val="22"/>
        </w:rPr>
        <w:t>.</w:t>
      </w:r>
    </w:p>
    <w:p w14:paraId="02F9EDDF" w14:textId="77777777" w:rsidR="00E26745" w:rsidRDefault="00F6422A">
      <w:pPr>
        <w:spacing w:after="120"/>
        <w:jc w:val="both"/>
        <w:rPr>
          <w:b/>
          <w:bCs/>
          <w:color w:val="auto"/>
          <w:sz w:val="22"/>
          <w:szCs w:val="22"/>
          <w:lang w:val="en-GB"/>
        </w:rPr>
      </w:pPr>
      <w:r>
        <w:rPr>
          <w:b/>
          <w:bCs/>
          <w:color w:val="auto"/>
          <w:sz w:val="22"/>
          <w:szCs w:val="22"/>
          <w:lang w:val="en-GB"/>
        </w:rPr>
        <w:t>About the Company</w:t>
      </w:r>
    </w:p>
    <w:p w14:paraId="49272B20" w14:textId="77777777" w:rsidR="00E26745" w:rsidRDefault="00F6422A">
      <w:pPr>
        <w:spacing w:after="120"/>
        <w:jc w:val="both"/>
        <w:rPr>
          <w:bCs/>
          <w:i/>
          <w:iCs/>
          <w:color w:val="auto"/>
          <w:sz w:val="22"/>
          <w:szCs w:val="22"/>
          <w:lang w:val="en-GB"/>
        </w:rPr>
      </w:pPr>
      <w:r>
        <w:rPr>
          <w:bCs/>
          <w:i/>
          <w:iCs/>
          <w:color w:val="auto"/>
          <w:sz w:val="22"/>
          <w:szCs w:val="22"/>
          <w:lang w:val="en-GB"/>
        </w:rPr>
        <w:t>PhosAgro (</w:t>
      </w:r>
      <w:hyperlink>
        <w:r>
          <w:rPr>
            <w:bCs/>
            <w:i/>
            <w:iCs/>
            <w:color w:val="0000FF" w:themeColor="hyperlink"/>
            <w:sz w:val="22"/>
            <w:szCs w:val="22"/>
            <w:u w:val="single"/>
            <w:lang w:val="en-GB"/>
          </w:rPr>
          <w:t>www.phosagro.ru</w:t>
        </w:r>
      </w:hyperlink>
      <w:r>
        <w:rPr>
          <w:bCs/>
          <w:i/>
          <w:iCs/>
          <w:color w:val="auto"/>
          <w:sz w:val="22"/>
          <w:szCs w:val="22"/>
          <w:lang w:val="en-GB"/>
        </w:rPr>
        <w:t xml:space="preserve">) is a vertically integrated Russian company and one of the world’s leading producers of phosphate-based fertilizers and </w:t>
      </w:r>
      <w:r>
        <w:rPr>
          <w:bCs/>
          <w:i/>
          <w:iCs/>
          <w:color w:val="auto"/>
          <w:sz w:val="22"/>
          <w:szCs w:val="22"/>
          <w:lang w:val="en-GB"/>
        </w:rPr>
        <w:t>high-grade phosphate rock with P2O5 content of 39% or more (according to the IFA) . PhosAgro’s high-performance fertilizers produce crops with advanced features.</w:t>
      </w:r>
    </w:p>
    <w:p w14:paraId="7EAE3D6B" w14:textId="77777777" w:rsidR="00E26745" w:rsidRDefault="00F6422A">
      <w:pPr>
        <w:spacing w:after="120"/>
        <w:jc w:val="both"/>
        <w:rPr>
          <w:bCs/>
          <w:i/>
          <w:iCs/>
          <w:color w:val="auto"/>
          <w:sz w:val="22"/>
          <w:szCs w:val="22"/>
          <w:lang w:val="en-GB"/>
        </w:rPr>
      </w:pPr>
      <w:r>
        <w:rPr>
          <w:bCs/>
          <w:i/>
          <w:iCs/>
          <w:color w:val="auto"/>
          <w:sz w:val="22"/>
          <w:szCs w:val="22"/>
          <w:lang w:val="en-GB"/>
        </w:rPr>
        <w:t>PhosAgro Group is the largest producer of phosphate-based fertilizers in Europe (by total comb</w:t>
      </w:r>
      <w:r>
        <w:rPr>
          <w:bCs/>
          <w:i/>
          <w:iCs/>
          <w:color w:val="auto"/>
          <w:sz w:val="22"/>
          <w:szCs w:val="22"/>
          <w:lang w:val="en-GB"/>
        </w:rPr>
        <w:t>ined capacity for the production of DAP, MAP, NP, NPK and NPS fertilizers, according to the CRU), the largest global producer of high-grade phosphate rock with P2O5 content of 39% (according to the IFA), one of the leading producers of MAP and DAP fertiliz</w:t>
      </w:r>
      <w:r>
        <w:rPr>
          <w:bCs/>
          <w:i/>
          <w:iCs/>
          <w:color w:val="auto"/>
          <w:sz w:val="22"/>
          <w:szCs w:val="22"/>
          <w:lang w:val="en-GB"/>
        </w:rPr>
        <w:t>ers globally, one of the leading producers of monocalcium feed phosphates (MCP) in Europe – and the only such producer in Russia – and Russia’s only producer of nepheline concentrate.</w:t>
      </w:r>
    </w:p>
    <w:p w14:paraId="7D773E0F" w14:textId="77777777" w:rsidR="00E26745" w:rsidRDefault="00F6422A">
      <w:pPr>
        <w:spacing w:after="120"/>
        <w:jc w:val="both"/>
        <w:rPr>
          <w:bCs/>
          <w:i/>
          <w:iCs/>
          <w:color w:val="auto"/>
          <w:sz w:val="22"/>
          <w:szCs w:val="22"/>
          <w:lang w:val="en-GB"/>
        </w:rPr>
      </w:pPr>
      <w:r>
        <w:rPr>
          <w:bCs/>
          <w:i/>
          <w:iCs/>
          <w:color w:val="auto"/>
          <w:sz w:val="22"/>
          <w:szCs w:val="22"/>
          <w:lang w:val="en-GB"/>
        </w:rPr>
        <w:t>PhosAgro’s main products, including phosphate rock, 58 grades of fertili</w:t>
      </w:r>
      <w:r>
        <w:rPr>
          <w:bCs/>
          <w:i/>
          <w:iCs/>
          <w:color w:val="auto"/>
          <w:sz w:val="22"/>
          <w:szCs w:val="22"/>
          <w:lang w:val="en-GB"/>
        </w:rPr>
        <w:t xml:space="preserve">zers, feed phosphates, ammonia and sodium tripolyphosphate, are used by customers in around 100 countries spanning all the world’s inhabited continents. The Company’s priority markets beyond Russia and the CIS are Latin America, Europe and Asia. </w:t>
      </w:r>
    </w:p>
    <w:p w14:paraId="7F94F33D" w14:textId="3EF7DC9D" w:rsidR="00E26745" w:rsidRDefault="00F6422A" w:rsidP="00F6422A">
      <w:pPr>
        <w:spacing w:after="120"/>
        <w:jc w:val="both"/>
        <w:rPr>
          <w:rFonts w:ascii="Times New Roman" w:hAnsi="Times New Roman"/>
          <w:color w:val="auto"/>
          <w:lang w:val="en-GB"/>
        </w:rPr>
      </w:pPr>
      <w:r>
        <w:rPr>
          <w:bCs/>
          <w:i/>
          <w:iCs/>
          <w:color w:val="auto"/>
          <w:sz w:val="22"/>
          <w:szCs w:val="22"/>
          <w:lang w:val="en-GB"/>
        </w:rPr>
        <w:t>The Compa</w:t>
      </w:r>
      <w:r>
        <w:rPr>
          <w:bCs/>
          <w:i/>
          <w:iCs/>
          <w:color w:val="auto"/>
          <w:sz w:val="22"/>
          <w:szCs w:val="22"/>
          <w:lang w:val="en-GB"/>
        </w:rPr>
        <w:t xml:space="preserve">ny’s shares are traded on the Moscow Exchange, and its global depositary receipts (GDRs) are listed on the London Stock Exchange (MOEX and LSE ticker: PHOR). </w:t>
      </w:r>
    </w:p>
    <w:sectPr w:rsidR="00E26745" w:rsidSect="00F6422A">
      <w:pgSz w:w="11906" w:h="16838"/>
      <w:pgMar w:top="851" w:right="1077"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01331"/>
    <w:rsid w:val="0002493C"/>
    <w:rsid w:val="00031595"/>
    <w:rsid w:val="0003234F"/>
    <w:rsid w:val="00034F8C"/>
    <w:rsid w:val="00040779"/>
    <w:rsid w:val="00043551"/>
    <w:rsid w:val="0004659B"/>
    <w:rsid w:val="00055AC1"/>
    <w:rsid w:val="00056E6A"/>
    <w:rsid w:val="000712AB"/>
    <w:rsid w:val="0007199D"/>
    <w:rsid w:val="00072A9B"/>
    <w:rsid w:val="00077AEE"/>
    <w:rsid w:val="0008598E"/>
    <w:rsid w:val="000875ED"/>
    <w:rsid w:val="0009039A"/>
    <w:rsid w:val="00091C07"/>
    <w:rsid w:val="00095470"/>
    <w:rsid w:val="00095D64"/>
    <w:rsid w:val="000A6E50"/>
    <w:rsid w:val="000A7683"/>
    <w:rsid w:val="000B0AC5"/>
    <w:rsid w:val="000B547F"/>
    <w:rsid w:val="000C5275"/>
    <w:rsid w:val="000D06AA"/>
    <w:rsid w:val="000D298F"/>
    <w:rsid w:val="000D5700"/>
    <w:rsid w:val="000E3DCC"/>
    <w:rsid w:val="000F35F0"/>
    <w:rsid w:val="000F671A"/>
    <w:rsid w:val="000F7FBA"/>
    <w:rsid w:val="00104336"/>
    <w:rsid w:val="001133EB"/>
    <w:rsid w:val="00122483"/>
    <w:rsid w:val="00125979"/>
    <w:rsid w:val="00135F85"/>
    <w:rsid w:val="0013632A"/>
    <w:rsid w:val="00136CEE"/>
    <w:rsid w:val="00142668"/>
    <w:rsid w:val="00145800"/>
    <w:rsid w:val="00145BA5"/>
    <w:rsid w:val="00153ACD"/>
    <w:rsid w:val="00156CDB"/>
    <w:rsid w:val="00172F8C"/>
    <w:rsid w:val="00176715"/>
    <w:rsid w:val="00180660"/>
    <w:rsid w:val="00182DA2"/>
    <w:rsid w:val="00186A8D"/>
    <w:rsid w:val="00193125"/>
    <w:rsid w:val="0019742D"/>
    <w:rsid w:val="001B13F0"/>
    <w:rsid w:val="001C1025"/>
    <w:rsid w:val="001C1ACC"/>
    <w:rsid w:val="001D1F32"/>
    <w:rsid w:val="001D54CC"/>
    <w:rsid w:val="001E34A2"/>
    <w:rsid w:val="001F123F"/>
    <w:rsid w:val="00202845"/>
    <w:rsid w:val="00203C2B"/>
    <w:rsid w:val="002112F9"/>
    <w:rsid w:val="00211AA8"/>
    <w:rsid w:val="00213AB6"/>
    <w:rsid w:val="00221AF9"/>
    <w:rsid w:val="00234DC1"/>
    <w:rsid w:val="00236E9A"/>
    <w:rsid w:val="00245815"/>
    <w:rsid w:val="00246C07"/>
    <w:rsid w:val="00263465"/>
    <w:rsid w:val="00264FAA"/>
    <w:rsid w:val="0026543A"/>
    <w:rsid w:val="00273CF2"/>
    <w:rsid w:val="00276D3F"/>
    <w:rsid w:val="0028460B"/>
    <w:rsid w:val="00285B1A"/>
    <w:rsid w:val="00290E5A"/>
    <w:rsid w:val="00292947"/>
    <w:rsid w:val="0029375A"/>
    <w:rsid w:val="00293C52"/>
    <w:rsid w:val="002A1711"/>
    <w:rsid w:val="002A3381"/>
    <w:rsid w:val="002A6186"/>
    <w:rsid w:val="002B131B"/>
    <w:rsid w:val="002B457A"/>
    <w:rsid w:val="002B7001"/>
    <w:rsid w:val="002C47D4"/>
    <w:rsid w:val="002C4993"/>
    <w:rsid w:val="002D5510"/>
    <w:rsid w:val="002D75BE"/>
    <w:rsid w:val="002E2FBD"/>
    <w:rsid w:val="002E5DE7"/>
    <w:rsid w:val="002E6309"/>
    <w:rsid w:val="002F148F"/>
    <w:rsid w:val="002F791E"/>
    <w:rsid w:val="00306247"/>
    <w:rsid w:val="00306FE4"/>
    <w:rsid w:val="00312121"/>
    <w:rsid w:val="003129D8"/>
    <w:rsid w:val="00312B2A"/>
    <w:rsid w:val="003131DC"/>
    <w:rsid w:val="00313F86"/>
    <w:rsid w:val="00315437"/>
    <w:rsid w:val="00316380"/>
    <w:rsid w:val="0031769E"/>
    <w:rsid w:val="00322BCD"/>
    <w:rsid w:val="003267EA"/>
    <w:rsid w:val="003344CF"/>
    <w:rsid w:val="00335A7D"/>
    <w:rsid w:val="00337E7D"/>
    <w:rsid w:val="00341AEE"/>
    <w:rsid w:val="00343552"/>
    <w:rsid w:val="00345456"/>
    <w:rsid w:val="0035552F"/>
    <w:rsid w:val="00357D29"/>
    <w:rsid w:val="00357DF4"/>
    <w:rsid w:val="00366DBC"/>
    <w:rsid w:val="00372A1E"/>
    <w:rsid w:val="00372B4C"/>
    <w:rsid w:val="00372F32"/>
    <w:rsid w:val="003735C7"/>
    <w:rsid w:val="0037680B"/>
    <w:rsid w:val="00377ABC"/>
    <w:rsid w:val="003817CC"/>
    <w:rsid w:val="003903C8"/>
    <w:rsid w:val="00391047"/>
    <w:rsid w:val="00395D53"/>
    <w:rsid w:val="003A1383"/>
    <w:rsid w:val="003A50D5"/>
    <w:rsid w:val="003B0846"/>
    <w:rsid w:val="003B7E4F"/>
    <w:rsid w:val="003C3D0F"/>
    <w:rsid w:val="003D131D"/>
    <w:rsid w:val="003D180A"/>
    <w:rsid w:val="003D234E"/>
    <w:rsid w:val="003D3142"/>
    <w:rsid w:val="003E008A"/>
    <w:rsid w:val="003E2C41"/>
    <w:rsid w:val="003E5348"/>
    <w:rsid w:val="003E578E"/>
    <w:rsid w:val="003E7172"/>
    <w:rsid w:val="003E7927"/>
    <w:rsid w:val="003F1955"/>
    <w:rsid w:val="00412467"/>
    <w:rsid w:val="00412F6A"/>
    <w:rsid w:val="004130F4"/>
    <w:rsid w:val="00417E8B"/>
    <w:rsid w:val="00421C7A"/>
    <w:rsid w:val="00423FD9"/>
    <w:rsid w:val="004303E9"/>
    <w:rsid w:val="00433D9C"/>
    <w:rsid w:val="00434134"/>
    <w:rsid w:val="00440438"/>
    <w:rsid w:val="00440456"/>
    <w:rsid w:val="004406C8"/>
    <w:rsid w:val="00440ACA"/>
    <w:rsid w:val="00440DA2"/>
    <w:rsid w:val="0045002E"/>
    <w:rsid w:val="00452F10"/>
    <w:rsid w:val="00453816"/>
    <w:rsid w:val="00455EE2"/>
    <w:rsid w:val="004577BE"/>
    <w:rsid w:val="004614BC"/>
    <w:rsid w:val="00466FAA"/>
    <w:rsid w:val="00472001"/>
    <w:rsid w:val="00477D4D"/>
    <w:rsid w:val="00484C44"/>
    <w:rsid w:val="00485036"/>
    <w:rsid w:val="0049428C"/>
    <w:rsid w:val="00496C9D"/>
    <w:rsid w:val="00497906"/>
    <w:rsid w:val="004A246A"/>
    <w:rsid w:val="004A50FB"/>
    <w:rsid w:val="004A6CD8"/>
    <w:rsid w:val="004B1F79"/>
    <w:rsid w:val="004B2A61"/>
    <w:rsid w:val="004C230F"/>
    <w:rsid w:val="004D4EFB"/>
    <w:rsid w:val="004D741F"/>
    <w:rsid w:val="004E16F2"/>
    <w:rsid w:val="004E3354"/>
    <w:rsid w:val="004E453B"/>
    <w:rsid w:val="004E6347"/>
    <w:rsid w:val="004F15B5"/>
    <w:rsid w:val="004F1918"/>
    <w:rsid w:val="004F2114"/>
    <w:rsid w:val="00502792"/>
    <w:rsid w:val="005146DD"/>
    <w:rsid w:val="0053247B"/>
    <w:rsid w:val="00536EF5"/>
    <w:rsid w:val="00537674"/>
    <w:rsid w:val="00551FED"/>
    <w:rsid w:val="00560A98"/>
    <w:rsid w:val="005626CB"/>
    <w:rsid w:val="005701CA"/>
    <w:rsid w:val="00573081"/>
    <w:rsid w:val="0057639B"/>
    <w:rsid w:val="005772C4"/>
    <w:rsid w:val="00590A25"/>
    <w:rsid w:val="005929B4"/>
    <w:rsid w:val="005A20A4"/>
    <w:rsid w:val="005A3EF0"/>
    <w:rsid w:val="005B12B2"/>
    <w:rsid w:val="005B6688"/>
    <w:rsid w:val="005C3D7F"/>
    <w:rsid w:val="005C6EC2"/>
    <w:rsid w:val="005D649D"/>
    <w:rsid w:val="005F6DE1"/>
    <w:rsid w:val="006050EC"/>
    <w:rsid w:val="00613ED6"/>
    <w:rsid w:val="00614606"/>
    <w:rsid w:val="0061557B"/>
    <w:rsid w:val="00615F80"/>
    <w:rsid w:val="00630765"/>
    <w:rsid w:val="00634301"/>
    <w:rsid w:val="00634EF1"/>
    <w:rsid w:val="00637412"/>
    <w:rsid w:val="00644BF0"/>
    <w:rsid w:val="00646571"/>
    <w:rsid w:val="00652610"/>
    <w:rsid w:val="00661633"/>
    <w:rsid w:val="0068295C"/>
    <w:rsid w:val="00684A9B"/>
    <w:rsid w:val="006A123F"/>
    <w:rsid w:val="006A1338"/>
    <w:rsid w:val="006A3609"/>
    <w:rsid w:val="006A5DEA"/>
    <w:rsid w:val="006A5E12"/>
    <w:rsid w:val="006A7C25"/>
    <w:rsid w:val="006B00E1"/>
    <w:rsid w:val="006B05A4"/>
    <w:rsid w:val="006B0744"/>
    <w:rsid w:val="006D245A"/>
    <w:rsid w:val="006D32BC"/>
    <w:rsid w:val="006E55D5"/>
    <w:rsid w:val="006E5BA2"/>
    <w:rsid w:val="006F6159"/>
    <w:rsid w:val="00701D5E"/>
    <w:rsid w:val="00704EE6"/>
    <w:rsid w:val="00706F43"/>
    <w:rsid w:val="0072253D"/>
    <w:rsid w:val="0072254D"/>
    <w:rsid w:val="007238AB"/>
    <w:rsid w:val="0073275C"/>
    <w:rsid w:val="00740B85"/>
    <w:rsid w:val="00741BB4"/>
    <w:rsid w:val="0075768A"/>
    <w:rsid w:val="00760FA5"/>
    <w:rsid w:val="007629B2"/>
    <w:rsid w:val="00775DC0"/>
    <w:rsid w:val="00783A12"/>
    <w:rsid w:val="007849AF"/>
    <w:rsid w:val="00784A2B"/>
    <w:rsid w:val="0078523A"/>
    <w:rsid w:val="007870DA"/>
    <w:rsid w:val="00795403"/>
    <w:rsid w:val="007978CC"/>
    <w:rsid w:val="007A3BA1"/>
    <w:rsid w:val="007A4F5A"/>
    <w:rsid w:val="007B0DCC"/>
    <w:rsid w:val="007C0D12"/>
    <w:rsid w:val="007C3377"/>
    <w:rsid w:val="007E087E"/>
    <w:rsid w:val="007E73E6"/>
    <w:rsid w:val="007F3034"/>
    <w:rsid w:val="007F3EB5"/>
    <w:rsid w:val="007F5ED6"/>
    <w:rsid w:val="008004E3"/>
    <w:rsid w:val="0080298F"/>
    <w:rsid w:val="0080394E"/>
    <w:rsid w:val="00804A84"/>
    <w:rsid w:val="00805787"/>
    <w:rsid w:val="00813AE9"/>
    <w:rsid w:val="00816BCA"/>
    <w:rsid w:val="00826748"/>
    <w:rsid w:val="00832D0E"/>
    <w:rsid w:val="00832D26"/>
    <w:rsid w:val="00836065"/>
    <w:rsid w:val="008477B0"/>
    <w:rsid w:val="008501FC"/>
    <w:rsid w:val="008514A2"/>
    <w:rsid w:val="0085607A"/>
    <w:rsid w:val="00860C35"/>
    <w:rsid w:val="00864807"/>
    <w:rsid w:val="00867415"/>
    <w:rsid w:val="00884DF5"/>
    <w:rsid w:val="00892715"/>
    <w:rsid w:val="008A65E3"/>
    <w:rsid w:val="008B2111"/>
    <w:rsid w:val="008C00E6"/>
    <w:rsid w:val="008C3491"/>
    <w:rsid w:val="008D06BC"/>
    <w:rsid w:val="008D4C59"/>
    <w:rsid w:val="008E3322"/>
    <w:rsid w:val="008E4167"/>
    <w:rsid w:val="008E5AAF"/>
    <w:rsid w:val="008F52CD"/>
    <w:rsid w:val="00903075"/>
    <w:rsid w:val="00907E4B"/>
    <w:rsid w:val="00911A67"/>
    <w:rsid w:val="00913976"/>
    <w:rsid w:val="00914C9B"/>
    <w:rsid w:val="0091603F"/>
    <w:rsid w:val="00926E78"/>
    <w:rsid w:val="009313BD"/>
    <w:rsid w:val="00931636"/>
    <w:rsid w:val="00933B75"/>
    <w:rsid w:val="0094186D"/>
    <w:rsid w:val="00946851"/>
    <w:rsid w:val="00951B57"/>
    <w:rsid w:val="00954EAB"/>
    <w:rsid w:val="00954FF8"/>
    <w:rsid w:val="009566FE"/>
    <w:rsid w:val="00962C40"/>
    <w:rsid w:val="009630EF"/>
    <w:rsid w:val="009636EF"/>
    <w:rsid w:val="00966763"/>
    <w:rsid w:val="00970107"/>
    <w:rsid w:val="009709BA"/>
    <w:rsid w:val="0097551C"/>
    <w:rsid w:val="009758EF"/>
    <w:rsid w:val="00980145"/>
    <w:rsid w:val="00982066"/>
    <w:rsid w:val="00983CA2"/>
    <w:rsid w:val="00985786"/>
    <w:rsid w:val="009A5AF2"/>
    <w:rsid w:val="009B2C5E"/>
    <w:rsid w:val="009B3269"/>
    <w:rsid w:val="009C388D"/>
    <w:rsid w:val="009C4AB0"/>
    <w:rsid w:val="009D2742"/>
    <w:rsid w:val="009E6552"/>
    <w:rsid w:val="00A01C58"/>
    <w:rsid w:val="00A02983"/>
    <w:rsid w:val="00A07ED3"/>
    <w:rsid w:val="00A1109C"/>
    <w:rsid w:val="00A111B8"/>
    <w:rsid w:val="00A11898"/>
    <w:rsid w:val="00A149E4"/>
    <w:rsid w:val="00A23EC1"/>
    <w:rsid w:val="00A30034"/>
    <w:rsid w:val="00A34426"/>
    <w:rsid w:val="00A41EB8"/>
    <w:rsid w:val="00A4247A"/>
    <w:rsid w:val="00A42977"/>
    <w:rsid w:val="00A44D82"/>
    <w:rsid w:val="00A45BF7"/>
    <w:rsid w:val="00A45C37"/>
    <w:rsid w:val="00A465F0"/>
    <w:rsid w:val="00A5059D"/>
    <w:rsid w:val="00A600BF"/>
    <w:rsid w:val="00A60484"/>
    <w:rsid w:val="00A621E9"/>
    <w:rsid w:val="00A81DB9"/>
    <w:rsid w:val="00A81FF2"/>
    <w:rsid w:val="00A86DB0"/>
    <w:rsid w:val="00A93A78"/>
    <w:rsid w:val="00A93B97"/>
    <w:rsid w:val="00A95645"/>
    <w:rsid w:val="00AA390A"/>
    <w:rsid w:val="00AA6220"/>
    <w:rsid w:val="00AB0531"/>
    <w:rsid w:val="00AC4578"/>
    <w:rsid w:val="00AC7B79"/>
    <w:rsid w:val="00AD22B6"/>
    <w:rsid w:val="00AD6E46"/>
    <w:rsid w:val="00AD7607"/>
    <w:rsid w:val="00AE3398"/>
    <w:rsid w:val="00AE492A"/>
    <w:rsid w:val="00AF20EF"/>
    <w:rsid w:val="00AF3DF9"/>
    <w:rsid w:val="00AF4512"/>
    <w:rsid w:val="00AF71A8"/>
    <w:rsid w:val="00B05AFF"/>
    <w:rsid w:val="00B124B7"/>
    <w:rsid w:val="00B1424D"/>
    <w:rsid w:val="00B16544"/>
    <w:rsid w:val="00B23146"/>
    <w:rsid w:val="00B27837"/>
    <w:rsid w:val="00B311D9"/>
    <w:rsid w:val="00B32086"/>
    <w:rsid w:val="00B32C7A"/>
    <w:rsid w:val="00B351E9"/>
    <w:rsid w:val="00B40160"/>
    <w:rsid w:val="00B40DB2"/>
    <w:rsid w:val="00B462E0"/>
    <w:rsid w:val="00B52442"/>
    <w:rsid w:val="00B743E5"/>
    <w:rsid w:val="00B7441B"/>
    <w:rsid w:val="00B85345"/>
    <w:rsid w:val="00B8647E"/>
    <w:rsid w:val="00B87DC8"/>
    <w:rsid w:val="00B931A2"/>
    <w:rsid w:val="00B9579A"/>
    <w:rsid w:val="00BA5D32"/>
    <w:rsid w:val="00BA713A"/>
    <w:rsid w:val="00BB7B8A"/>
    <w:rsid w:val="00BC43A8"/>
    <w:rsid w:val="00BD09B6"/>
    <w:rsid w:val="00BD154A"/>
    <w:rsid w:val="00BE3176"/>
    <w:rsid w:val="00BE369C"/>
    <w:rsid w:val="00BF43FA"/>
    <w:rsid w:val="00BF7BC9"/>
    <w:rsid w:val="00C07AE5"/>
    <w:rsid w:val="00C110A2"/>
    <w:rsid w:val="00C13D0B"/>
    <w:rsid w:val="00C21214"/>
    <w:rsid w:val="00C26E13"/>
    <w:rsid w:val="00C32765"/>
    <w:rsid w:val="00C3444A"/>
    <w:rsid w:val="00C40D3B"/>
    <w:rsid w:val="00C52175"/>
    <w:rsid w:val="00C54053"/>
    <w:rsid w:val="00C57122"/>
    <w:rsid w:val="00C5755A"/>
    <w:rsid w:val="00C60132"/>
    <w:rsid w:val="00C60D98"/>
    <w:rsid w:val="00C63C6E"/>
    <w:rsid w:val="00C675DC"/>
    <w:rsid w:val="00C7430C"/>
    <w:rsid w:val="00C83327"/>
    <w:rsid w:val="00C86A2E"/>
    <w:rsid w:val="00C86D65"/>
    <w:rsid w:val="00C87800"/>
    <w:rsid w:val="00C92B75"/>
    <w:rsid w:val="00C92F77"/>
    <w:rsid w:val="00C93612"/>
    <w:rsid w:val="00C948E8"/>
    <w:rsid w:val="00C967B7"/>
    <w:rsid w:val="00CA05F2"/>
    <w:rsid w:val="00CA21D6"/>
    <w:rsid w:val="00CA465D"/>
    <w:rsid w:val="00CB1083"/>
    <w:rsid w:val="00CB19AB"/>
    <w:rsid w:val="00CB69C1"/>
    <w:rsid w:val="00CE0516"/>
    <w:rsid w:val="00CE15C0"/>
    <w:rsid w:val="00CE388E"/>
    <w:rsid w:val="00CE5C05"/>
    <w:rsid w:val="00CF5503"/>
    <w:rsid w:val="00CF63B1"/>
    <w:rsid w:val="00CF7E76"/>
    <w:rsid w:val="00D01879"/>
    <w:rsid w:val="00D065D3"/>
    <w:rsid w:val="00D1122A"/>
    <w:rsid w:val="00D12E4B"/>
    <w:rsid w:val="00D15F60"/>
    <w:rsid w:val="00D23D4F"/>
    <w:rsid w:val="00D3116F"/>
    <w:rsid w:val="00D407DB"/>
    <w:rsid w:val="00D45300"/>
    <w:rsid w:val="00D51926"/>
    <w:rsid w:val="00D526CE"/>
    <w:rsid w:val="00D63E8E"/>
    <w:rsid w:val="00D64C5D"/>
    <w:rsid w:val="00D656E6"/>
    <w:rsid w:val="00D6571C"/>
    <w:rsid w:val="00D66BC6"/>
    <w:rsid w:val="00D72E0B"/>
    <w:rsid w:val="00D76E9C"/>
    <w:rsid w:val="00D77718"/>
    <w:rsid w:val="00D87C02"/>
    <w:rsid w:val="00D909E5"/>
    <w:rsid w:val="00DA0B7F"/>
    <w:rsid w:val="00DA6114"/>
    <w:rsid w:val="00DB25A3"/>
    <w:rsid w:val="00DC0451"/>
    <w:rsid w:val="00DE2931"/>
    <w:rsid w:val="00DE4018"/>
    <w:rsid w:val="00DE48B5"/>
    <w:rsid w:val="00DE636D"/>
    <w:rsid w:val="00DF4400"/>
    <w:rsid w:val="00DF66AE"/>
    <w:rsid w:val="00E14F08"/>
    <w:rsid w:val="00E26745"/>
    <w:rsid w:val="00E27F63"/>
    <w:rsid w:val="00E37EEC"/>
    <w:rsid w:val="00E46CA5"/>
    <w:rsid w:val="00E50A73"/>
    <w:rsid w:val="00E50F29"/>
    <w:rsid w:val="00E67362"/>
    <w:rsid w:val="00E717C6"/>
    <w:rsid w:val="00E72571"/>
    <w:rsid w:val="00E74429"/>
    <w:rsid w:val="00E75FF1"/>
    <w:rsid w:val="00E8551C"/>
    <w:rsid w:val="00E86E56"/>
    <w:rsid w:val="00E94469"/>
    <w:rsid w:val="00EA3526"/>
    <w:rsid w:val="00EA572F"/>
    <w:rsid w:val="00EB5CF9"/>
    <w:rsid w:val="00EC6666"/>
    <w:rsid w:val="00ED0F9E"/>
    <w:rsid w:val="00ED1150"/>
    <w:rsid w:val="00ED7E30"/>
    <w:rsid w:val="00EF0F08"/>
    <w:rsid w:val="00EF1048"/>
    <w:rsid w:val="00F07CFC"/>
    <w:rsid w:val="00F225C9"/>
    <w:rsid w:val="00F349D9"/>
    <w:rsid w:val="00F3523A"/>
    <w:rsid w:val="00F378C2"/>
    <w:rsid w:val="00F41C02"/>
    <w:rsid w:val="00F42A78"/>
    <w:rsid w:val="00F46CBF"/>
    <w:rsid w:val="00F6422A"/>
    <w:rsid w:val="00F7684F"/>
    <w:rsid w:val="00F76D6B"/>
    <w:rsid w:val="00F92AE6"/>
    <w:rsid w:val="00F92CCD"/>
    <w:rsid w:val="00F92D11"/>
    <w:rsid w:val="00FA6753"/>
    <w:rsid w:val="00FB017B"/>
    <w:rsid w:val="00FB086E"/>
    <w:rsid w:val="00FC4096"/>
    <w:rsid w:val="00FD1558"/>
    <w:rsid w:val="00FD2E2D"/>
    <w:rsid w:val="00FD3C58"/>
    <w:rsid w:val="00FE6123"/>
    <w:rsid w:val="08CE10D6"/>
    <w:rsid w:val="109B4DFE"/>
    <w:rsid w:val="23F27430"/>
    <w:rsid w:val="4E437141"/>
    <w:rsid w:val="50667E6F"/>
    <w:rsid w:val="52B56C20"/>
    <w:rsid w:val="60E51702"/>
    <w:rsid w:val="78540376"/>
    <w:rsid w:val="7DAC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3CB9"/>
  <w15:docId w15:val="{2E444959-4E41-B64A-83EE-2C0FD4FA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4"/>
      <w:szCs w:val="24"/>
      <w:lang w:val="en-US"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annotation reference"/>
    <w:basedOn w:val="a0"/>
    <w:uiPriority w:val="99"/>
    <w:semiHidden/>
    <w:unhideWhenUsed/>
    <w:rPr>
      <w:sz w:val="16"/>
      <w:szCs w:val="16"/>
    </w:rPr>
  </w:style>
  <w:style w:type="character" w:styleId="a5">
    <w:name w:val="endnote reference"/>
    <w:basedOn w:val="a0"/>
    <w:uiPriority w:val="99"/>
    <w:semiHidden/>
    <w:unhideWhenUsed/>
    <w:rPr>
      <w:vertAlign w:val="superscript"/>
    </w:rPr>
  </w:style>
  <w:style w:type="character" w:styleId="a6">
    <w:name w:val="Hyperlink"/>
    <w:basedOn w:val="a0"/>
    <w:uiPriority w:val="99"/>
    <w:unhideWhenUsed/>
    <w:rPr>
      <w:color w:val="0000FF" w:themeColor="hyperlink"/>
      <w:u w:val="single"/>
    </w:rPr>
  </w:style>
  <w:style w:type="paragraph" w:styleId="a7">
    <w:name w:val="Balloon Text"/>
    <w:basedOn w:val="a"/>
    <w:link w:val="a8"/>
    <w:uiPriority w:val="99"/>
    <w:semiHidden/>
    <w:unhideWhenUsed/>
    <w:rPr>
      <w:rFonts w:ascii="Segoe UI" w:hAnsi="Segoe UI" w:cs="Segoe UI"/>
      <w:sz w:val="18"/>
      <w:szCs w:val="18"/>
    </w:rPr>
  </w:style>
  <w:style w:type="paragraph" w:styleId="a9">
    <w:name w:val="Plain Text"/>
    <w:basedOn w:val="a"/>
    <w:link w:val="aa"/>
    <w:uiPriority w:val="99"/>
    <w:semiHidden/>
    <w:unhideWhenUsed/>
    <w:pPr>
      <w:pBdr>
        <w:top w:val="none" w:sz="0" w:space="0" w:color="auto"/>
        <w:left w:val="none" w:sz="0" w:space="0" w:color="auto"/>
        <w:bottom w:val="none" w:sz="0" w:space="0" w:color="auto"/>
        <w:right w:val="none" w:sz="0" w:space="0" w:color="auto"/>
        <w:between w:val="none" w:sz="0" w:space="0" w:color="auto"/>
      </w:pBdr>
    </w:pPr>
    <w:rPr>
      <w:rFonts w:eastAsiaTheme="minorHAnsi" w:cstheme="minorBidi"/>
      <w:color w:val="auto"/>
      <w:sz w:val="22"/>
      <w:szCs w:val="21"/>
      <w:lang w:val="ru-RU" w:eastAsia="en-US"/>
    </w:rPr>
  </w:style>
  <w:style w:type="paragraph" w:styleId="ab">
    <w:name w:val="endnote text"/>
    <w:basedOn w:val="a"/>
    <w:link w:val="ac"/>
    <w:uiPriority w:val="99"/>
    <w:semiHidden/>
    <w:unhideWhenUsed/>
    <w:rPr>
      <w:sz w:val="20"/>
    </w:rPr>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paragraph" w:styleId="ae">
    <w:name w:val="annotation text"/>
    <w:basedOn w:val="a"/>
    <w:link w:val="af"/>
    <w:uiPriority w:val="99"/>
    <w:semiHidden/>
    <w:unhideWhenUsed/>
    <w:rPr>
      <w:sz w:val="20"/>
      <w:szCs w:val="20"/>
    </w:rPr>
  </w:style>
  <w:style w:type="paragraph" w:styleId="af0">
    <w:name w:val="annotation subject"/>
    <w:basedOn w:val="ae"/>
    <w:next w:val="ae"/>
    <w:link w:val="af1"/>
    <w:uiPriority w:val="99"/>
    <w:semiHidden/>
    <w:unhideWhenUsed/>
    <w:rPr>
      <w:b/>
      <w:bCs/>
    </w:rPr>
  </w:style>
  <w:style w:type="paragraph" w:styleId="af2">
    <w:name w:val="footnote text"/>
    <w:basedOn w:val="a"/>
    <w:link w:val="af3"/>
    <w:uiPriority w:val="99"/>
    <w:semiHidden/>
    <w:unhideWhenUsed/>
    <w:pPr>
      <w:spacing w:after="40"/>
    </w:pPr>
    <w:rPr>
      <w:sz w:val="18"/>
    </w:rPr>
  </w:style>
  <w:style w:type="paragraph" w:styleId="81">
    <w:name w:val="toc 8"/>
    <w:basedOn w:val="a"/>
    <w:next w:val="a"/>
    <w:uiPriority w:val="39"/>
    <w:unhideWhenUsed/>
    <w:pPr>
      <w:spacing w:after="57"/>
      <w:ind w:left="1984"/>
    </w:pPr>
  </w:style>
  <w:style w:type="paragraph" w:styleId="af4">
    <w:name w:val="header"/>
    <w:basedOn w:val="a"/>
    <w:link w:val="af5"/>
    <w:uiPriority w:val="99"/>
    <w:unhideWhenUsed/>
    <w:pPr>
      <w:tabs>
        <w:tab w:val="center" w:pos="7143"/>
        <w:tab w:val="right" w:pos="14287"/>
      </w:tabs>
    </w:p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af6">
    <w:name w:val="table of figures"/>
    <w:basedOn w:val="a"/>
    <w:next w:val="a"/>
    <w:uiPriority w:val="99"/>
    <w:unhideWhenUsed/>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f7">
    <w:name w:val="Title"/>
    <w:basedOn w:val="a"/>
    <w:next w:val="a"/>
    <w:link w:val="af8"/>
    <w:uiPriority w:val="10"/>
    <w:qFormat/>
    <w:pPr>
      <w:spacing w:before="300" w:after="200"/>
      <w:contextualSpacing/>
    </w:pPr>
    <w:rPr>
      <w:sz w:val="48"/>
      <w:szCs w:val="48"/>
    </w:rPr>
  </w:style>
  <w:style w:type="paragraph" w:styleId="af9">
    <w:name w:val="footer"/>
    <w:basedOn w:val="a"/>
    <w:link w:val="afa"/>
    <w:uiPriority w:val="99"/>
    <w:unhideWhenUsed/>
    <w:pPr>
      <w:tabs>
        <w:tab w:val="center" w:pos="7143"/>
        <w:tab w:val="right" w:pos="14287"/>
      </w:tabs>
    </w:pPr>
  </w:style>
  <w:style w:type="paragraph" w:styleId="afb">
    <w:name w:val="Normal (Web)"/>
    <w:basedOn w:val="a"/>
    <w:uiPriority w:val="99"/>
    <w:unhideWhenUsed/>
    <w:pPr>
      <w:spacing w:before="100" w:beforeAutospacing="1" w:after="100" w:afterAutospacing="1"/>
    </w:pPr>
    <w:rPr>
      <w:rFonts w:ascii="Times New Roman" w:eastAsia="Times New Roman" w:hAnsi="Times New Roman" w:cs="Times New Roman"/>
      <w:color w:val="auto"/>
      <w:lang w:val="ru-RU"/>
    </w:rPr>
  </w:style>
  <w:style w:type="paragraph" w:styleId="afc">
    <w:name w:val="Subtitle"/>
    <w:basedOn w:val="a"/>
    <w:next w:val="a"/>
    <w:link w:val="afd"/>
    <w:uiPriority w:val="11"/>
    <w:qFormat/>
    <w:pPr>
      <w:spacing w:before="200" w:after="200"/>
    </w:pPr>
  </w:style>
  <w:style w:type="table" w:styleId="af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f">
    <w:name w:val="No Spacing"/>
    <w:uiPriority w:val="1"/>
    <w:qFormat/>
    <w:rPr>
      <w:rFonts w:asciiTheme="minorHAnsi" w:eastAsiaTheme="minorHAnsi" w:hAnsiTheme="minorHAnsi" w:cstheme="minorBidi"/>
      <w:sz w:val="22"/>
      <w:szCs w:val="22"/>
      <w:lang w:val="ru-RU"/>
    </w:rPr>
  </w:style>
  <w:style w:type="character" w:customStyle="1" w:styleId="af8">
    <w:name w:val="Заголовок Знак"/>
    <w:basedOn w:val="a0"/>
    <w:link w:val="af7"/>
    <w:uiPriority w:val="10"/>
    <w:rPr>
      <w:sz w:val="48"/>
      <w:szCs w:val="48"/>
    </w:rPr>
  </w:style>
  <w:style w:type="character" w:customStyle="1" w:styleId="afd">
    <w:name w:val="Подзаголовок Знак"/>
    <w:basedOn w:val="a0"/>
    <w:link w:val="afc"/>
    <w:uiPriority w:val="11"/>
    <w:rPr>
      <w:sz w:val="24"/>
      <w:szCs w:val="24"/>
    </w:rPr>
  </w:style>
  <w:style w:type="character" w:customStyle="1" w:styleId="QuoteChar">
    <w:name w:val="Quote Char"/>
    <w:uiPriority w:val="29"/>
    <w:rPr>
      <w:i/>
    </w:rPr>
  </w:style>
  <w:style w:type="paragraph" w:styleId="aff0">
    <w:name w:val="Intense Quote"/>
    <w:basedOn w:val="a"/>
    <w:next w:val="a"/>
    <w:link w:val="af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1">
    <w:name w:val="Выделенная цитата Знак"/>
    <w:link w:val="aff0"/>
    <w:uiPriority w:val="30"/>
    <w:rPr>
      <w:i/>
    </w:rPr>
  </w:style>
  <w:style w:type="character" w:customStyle="1" w:styleId="af5">
    <w:name w:val="Верхний колонтитул Знак"/>
    <w:basedOn w:val="a0"/>
    <w:link w:val="af4"/>
    <w:uiPriority w:val="99"/>
  </w:style>
  <w:style w:type="character" w:customStyle="1" w:styleId="FooterChar">
    <w:name w:val="Footer Char"/>
    <w:basedOn w:val="a0"/>
    <w:uiPriority w:val="99"/>
  </w:style>
  <w:style w:type="character" w:customStyle="1" w:styleId="afa">
    <w:name w:val="Нижний колонтитул Знак"/>
    <w:link w:val="af9"/>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uiPriority w:val="99"/>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1">
    <w:name w:val="Grid Table 6 Colorful - Accent 21"/>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1">
    <w:name w:val="Grid Table 6 Colorful - Accent 31"/>
    <w:basedOn w:val="a1"/>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1">
    <w:name w:val="Grid Table 6 Colorful - Accent 41"/>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1">
    <w:name w:val="Grid Table 6 Colorful - Accent 51"/>
    <w:basedOn w:val="a1"/>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1">
    <w:name w:val="Grid Table 6 Colorful - Accent 61"/>
    <w:basedOn w:val="a1"/>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uiPriority w:val="99"/>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1">
    <w:name w:val="Grid Table 7 Colorful - Accent 21"/>
    <w:basedOn w:val="a1"/>
    <w:uiPriority w:val="99"/>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1">
    <w:name w:val="Grid Table 7 Colorful - Accent 31"/>
    <w:basedOn w:val="a1"/>
    <w:uiPriority w:val="99"/>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1">
    <w:name w:val="Grid Table 7 Colorful - Accent 41"/>
    <w:basedOn w:val="a1"/>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1">
    <w:name w:val="Grid Table 7 Colorful - Accent 51"/>
    <w:basedOn w:val="a1"/>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1">
    <w:name w:val="Grid Table 7 Colorful - Accent 61"/>
    <w:basedOn w:val="a1"/>
    <w:uiPriority w:val="99"/>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1">
    <w:name w:val="List Table 6 Colorful - Accent 21"/>
    <w:basedOn w:val="a1"/>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1">
    <w:name w:val="List Table 6 Colorful - Accent 31"/>
    <w:basedOn w:val="a1"/>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1">
    <w:name w:val="List Table 6 Colorful - Accent 41"/>
    <w:basedOn w:val="a1"/>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1">
    <w:name w:val="List Table 6 Colorful - Accent 51"/>
    <w:basedOn w:val="a1"/>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1">
    <w:name w:val="List Table 6 Colorful - Accent 61"/>
    <w:basedOn w:val="a1"/>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1">
    <w:name w:val="List Table 7 Colorful - Accent 21"/>
    <w:basedOn w:val="a1"/>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1">
    <w:name w:val="List Table 7 Colorful - Accent 31"/>
    <w:basedOn w:val="a1"/>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1">
    <w:name w:val="List Table 7 Colorful - Accent 41"/>
    <w:basedOn w:val="a1"/>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1">
    <w:name w:val="List Table 7 Colorful - Accent 51"/>
    <w:basedOn w:val="a1"/>
    <w:uiPriority w:val="99"/>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1">
    <w:name w:val="List Table 7 Colorful - Accent 61"/>
    <w:basedOn w:val="a1"/>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3">
    <w:name w:val="Текст сноски Знак"/>
    <w:link w:val="af2"/>
    <w:uiPriority w:val="99"/>
    <w:rPr>
      <w:sz w:val="18"/>
    </w:rPr>
  </w:style>
  <w:style w:type="character" w:customStyle="1" w:styleId="ac">
    <w:name w:val="Текст концевой сноски Знак"/>
    <w:link w:val="ab"/>
    <w:uiPriority w:val="99"/>
    <w:rPr>
      <w:sz w:val="20"/>
    </w:rPr>
  </w:style>
  <w:style w:type="paragraph" w:customStyle="1" w:styleId="12">
    <w:name w:val="Заголовок оглавления1"/>
    <w:uiPriority w:val="39"/>
    <w:unhideWhenUsed/>
    <w:pPr>
      <w:spacing w:after="200" w:line="276" w:lineRule="auto"/>
    </w:pPr>
    <w:rPr>
      <w:rFonts w:asciiTheme="minorHAnsi" w:eastAsiaTheme="minorHAnsi" w:hAnsiTheme="minorHAnsi" w:cstheme="minorBidi"/>
      <w:sz w:val="22"/>
      <w:szCs w:val="22"/>
      <w:lang w:val="ru-RU"/>
    </w:rPr>
  </w:style>
  <w:style w:type="character" w:customStyle="1" w:styleId="Hyperlink0">
    <w:name w:val="Hyperlink.0"/>
    <w:basedOn w:val="a0"/>
    <w:rPr>
      <w:rFonts w:ascii="Times New Roman" w:eastAsia="Times New Roman" w:hAnsi="Times New Roman" w:cs="Times New Roman"/>
      <w:i/>
      <w:iCs/>
      <w:color w:val="0563C1"/>
      <w:sz w:val="18"/>
      <w:szCs w:val="18"/>
      <w:u w:val="single"/>
      <w:lang w:val="ru-RU"/>
    </w:rPr>
  </w:style>
  <w:style w:type="character" w:customStyle="1" w:styleId="a8">
    <w:name w:val="Текст выноски Знак"/>
    <w:basedOn w:val="a0"/>
    <w:link w:val="a7"/>
    <w:uiPriority w:val="99"/>
    <w:semiHidden/>
    <w:rPr>
      <w:rFonts w:ascii="Segoe UI" w:eastAsia="Calibri" w:hAnsi="Segoe UI" w:cs="Segoe UI"/>
      <w:color w:val="000000"/>
      <w:sz w:val="18"/>
      <w:szCs w:val="18"/>
      <w:lang w:val="en-US" w:eastAsia="ru-RU"/>
    </w:rPr>
  </w:style>
  <w:style w:type="character" w:customStyle="1" w:styleId="13">
    <w:name w:val="Слабая ссылка1"/>
    <w:basedOn w:val="a0"/>
    <w:uiPriority w:val="31"/>
    <w:qFormat/>
    <w:rPr>
      <w:smallCaps/>
      <w:color w:val="595959" w:themeColor="text1" w:themeTint="A6"/>
    </w:rPr>
  </w:style>
  <w:style w:type="character" w:customStyle="1" w:styleId="af">
    <w:name w:val="Текст примечания Знак"/>
    <w:basedOn w:val="a0"/>
    <w:link w:val="ae"/>
    <w:uiPriority w:val="99"/>
    <w:semiHidden/>
    <w:rPr>
      <w:rFonts w:ascii="Calibri" w:eastAsia="Calibri" w:hAnsi="Calibri" w:cs="Calibri"/>
      <w:color w:val="000000"/>
      <w:sz w:val="20"/>
      <w:szCs w:val="20"/>
      <w:lang w:val="en-US" w:eastAsia="ru-RU"/>
    </w:rPr>
  </w:style>
  <w:style w:type="character" w:customStyle="1" w:styleId="af1">
    <w:name w:val="Тема примечания Знак"/>
    <w:basedOn w:val="af"/>
    <w:link w:val="af0"/>
    <w:uiPriority w:val="99"/>
    <w:semiHidden/>
    <w:rPr>
      <w:rFonts w:ascii="Calibri" w:eastAsia="Calibri" w:hAnsi="Calibri" w:cs="Calibri"/>
      <w:b/>
      <w:bCs/>
      <w:color w:val="000000"/>
      <w:sz w:val="20"/>
      <w:szCs w:val="20"/>
      <w:lang w:val="en-US" w:eastAsia="ru-RU"/>
    </w:rPr>
  </w:style>
  <w:style w:type="paragraph" w:styleId="aff2">
    <w:name w:val="List Paragraph"/>
    <w:basedOn w:val="a"/>
    <w:link w:val="aff3"/>
    <w:uiPriority w:val="34"/>
    <w:qFormat/>
    <w:pPr>
      <w:spacing w:after="160" w:line="259" w:lineRule="auto"/>
      <w:ind w:left="720"/>
      <w:contextualSpacing/>
    </w:pPr>
    <w:rPr>
      <w:rFonts w:asciiTheme="minorHAnsi" w:eastAsiaTheme="minorHAnsi" w:hAnsiTheme="minorHAnsi" w:cstheme="minorBidi"/>
      <w:color w:val="auto"/>
      <w:sz w:val="22"/>
      <w:szCs w:val="22"/>
      <w:lang w:val="ru-RU" w:eastAsia="en-US"/>
      <w14:ligatures w14:val="standardContextual"/>
    </w:rPr>
  </w:style>
  <w:style w:type="character" w:customStyle="1" w:styleId="14">
    <w:name w:val="Неразрешенное упоминание1"/>
    <w:basedOn w:val="a0"/>
    <w:uiPriority w:val="99"/>
    <w:semiHidden/>
    <w:unhideWhenUsed/>
    <w:rPr>
      <w:color w:val="605E5C"/>
      <w:shd w:val="clear" w:color="auto" w:fill="E1DFDD"/>
    </w:rPr>
  </w:style>
  <w:style w:type="character" w:customStyle="1" w:styleId="aff3">
    <w:name w:val="Абзац списка Знак"/>
    <w:basedOn w:val="a0"/>
    <w:link w:val="aff2"/>
    <w:uiPriority w:val="34"/>
    <w:qFormat/>
    <w:rPr>
      <w14:ligatures w14:val="standardContextual"/>
    </w:rPr>
  </w:style>
  <w:style w:type="paragraph" w:styleId="22">
    <w:name w:val="Quote"/>
    <w:basedOn w:val="a"/>
    <w:next w:val="a"/>
    <w:link w:val="23"/>
    <w:uiPriority w:val="29"/>
    <w:qFormat/>
    <w:pPr>
      <w:spacing w:before="200" w:after="160"/>
      <w:ind w:left="864" w:right="864"/>
      <w:jc w:val="center"/>
    </w:pPr>
    <w:rPr>
      <w:i/>
      <w:iCs/>
      <w:color w:val="404040" w:themeColor="text1" w:themeTint="BF"/>
    </w:rPr>
  </w:style>
  <w:style w:type="character" w:customStyle="1" w:styleId="23">
    <w:name w:val="Цитата 2 Знак"/>
    <w:basedOn w:val="a0"/>
    <w:link w:val="22"/>
    <w:uiPriority w:val="29"/>
    <w:rPr>
      <w:rFonts w:ascii="Calibri" w:eastAsia="Calibri" w:hAnsi="Calibri" w:cs="Calibri"/>
      <w:i/>
      <w:iCs/>
      <w:color w:val="404040" w:themeColor="text1" w:themeTint="BF"/>
      <w:sz w:val="24"/>
      <w:szCs w:val="24"/>
      <w:lang w:val="en-US" w:eastAsia="ru-RU"/>
    </w:rPr>
  </w:style>
  <w:style w:type="character" w:customStyle="1" w:styleId="24">
    <w:name w:val="Неразрешенное упоминание2"/>
    <w:basedOn w:val="a0"/>
    <w:uiPriority w:val="99"/>
    <w:semiHidden/>
    <w:unhideWhenUsed/>
    <w:rPr>
      <w:color w:val="605E5C"/>
      <w:shd w:val="clear" w:color="auto" w:fill="E1DFDD"/>
    </w:rPr>
  </w:style>
  <w:style w:type="character" w:customStyle="1" w:styleId="tasspkgtext-oehbr">
    <w:name w:val="tass_pkg_text-oehbr"/>
    <w:basedOn w:val="a0"/>
  </w:style>
  <w:style w:type="character" w:customStyle="1" w:styleId="aa">
    <w:name w:val="Текст Знак"/>
    <w:basedOn w:val="a0"/>
    <w:link w:val="a9"/>
    <w:uiPriority w:val="99"/>
    <w:semiHidden/>
    <w:rPr>
      <w:rFonts w:ascii="Calibri" w:hAnsi="Calibri"/>
      <w:szCs w:val="21"/>
    </w:rPr>
  </w:style>
  <w:style w:type="character" w:customStyle="1" w:styleId="normaltextrun">
    <w:name w:val="normaltextrun"/>
    <w:basedOn w:val="a0"/>
  </w:style>
  <w:style w:type="paragraph" w:customStyle="1" w:styleId="15">
    <w:name w:val="Рецензия1"/>
    <w:hidden/>
    <w:uiPriority w:val="99"/>
    <w:semiHidden/>
    <w:rPr>
      <w:rFonts w:ascii="Calibri" w:eastAsia="Calibri" w:hAnsi="Calibri" w:cs="Calibri"/>
      <w:color w:val="000000"/>
      <w:sz w:val="24"/>
      <w:szCs w:val="24"/>
      <w:lang w:val="en-US" w:eastAsia="ru-RU"/>
    </w:rPr>
  </w:style>
  <w:style w:type="character" w:customStyle="1" w:styleId="32">
    <w:name w:val="Неразрешенное упоминание3"/>
    <w:basedOn w:val="a0"/>
    <w:uiPriority w:val="99"/>
    <w:semiHidden/>
    <w:unhideWhenUsed/>
    <w:rPr>
      <w:color w:val="605E5C"/>
      <w:shd w:val="clear" w:color="auto" w:fill="E1DFDD"/>
    </w:rPr>
  </w:style>
  <w:style w:type="paragraph" w:styleId="aff4">
    <w:name w:val="Revision"/>
    <w:hidden/>
    <w:uiPriority w:val="99"/>
    <w:unhideWhenUsed/>
    <w:rsid w:val="00D76E9C"/>
    <w:rPr>
      <w:rFonts w:ascii="Calibri" w:eastAsia="Calibri" w:hAnsi="Calibri" w:cs="Calibri"/>
      <w:color w:val="000000"/>
      <w:sz w:val="24"/>
      <w:szCs w:val="24"/>
      <w:lang w:val="en-US" w:eastAsia="ru-RU"/>
    </w:rPr>
  </w:style>
  <w:style w:type="character" w:styleId="aff5">
    <w:name w:val="Unresolved Mention"/>
    <w:basedOn w:val="a0"/>
    <w:uiPriority w:val="99"/>
    <w:semiHidden/>
    <w:unhideWhenUsed/>
    <w:rsid w:val="00F6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aexpert.ru/releases/2025/mar19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6552-07A2-418B-9E58-A56D400D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3044</Characters>
  <Application>Microsoft Office Word</Application>
  <DocSecurity>4</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Кузеванов Иван Сергеевич</dc:creator>
  <cp:lastModifiedBy>Кузеванов Иван Сергеевич</cp:lastModifiedBy>
  <cp:revision>2</cp:revision>
  <cp:lastPrinted>2024-10-07T07:18:00Z</cp:lastPrinted>
  <dcterms:created xsi:type="dcterms:W3CDTF">2025-03-21T12:38:00Z</dcterms:created>
  <dcterms:modified xsi:type="dcterms:W3CDTF">2025-03-21T12:38:00Z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94087AF01F4B43FDA8B65014990BFABA_13</vt:lpwstr>
  </property>
</Properties>
</file>