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6AFC" w:rsidRDefault="00676AFC">
      <w:pPr>
        <w:pStyle w:val="ParaIMS"/>
        <w:spacing w:before="0"/>
        <w:rPr>
          <w:rFonts w:ascii="Arial" w:hAnsi="Arial" w:cs="Arial"/>
        </w:rPr>
      </w:pPr>
    </w:p>
    <w:p w:rsidR="00676AFC" w:rsidRPr="00FA4FB5" w:rsidRDefault="00676AFC">
      <w:pPr>
        <w:pStyle w:val="ParaIMS"/>
        <w:spacing w:before="0"/>
        <w:rPr>
          <w:rFonts w:ascii="Arial" w:hAnsi="Arial" w:cs="Arial"/>
          <w:sz w:val="28"/>
          <w:szCs w:val="46"/>
        </w:rPr>
      </w:pPr>
      <w:r w:rsidRPr="00FA4FB5">
        <w:rPr>
          <w:rFonts w:ascii="Arial" w:hAnsi="Arial" w:cs="Arial"/>
          <w:sz w:val="28"/>
          <w:szCs w:val="46"/>
        </w:rPr>
        <w:t>BH Global Limited</w:t>
      </w:r>
    </w:p>
    <w:p w:rsidR="00676AFC" w:rsidRPr="00FA4FB5" w:rsidRDefault="00676AFC">
      <w:pPr>
        <w:pStyle w:val="ParaIMS"/>
        <w:spacing w:before="0"/>
        <w:rPr>
          <w:rFonts w:ascii="Arial" w:hAnsi="Arial" w:cs="Arial"/>
          <w:sz w:val="28"/>
          <w:szCs w:val="46"/>
        </w:rPr>
      </w:pPr>
      <w:r w:rsidRPr="00FA4FB5">
        <w:rPr>
          <w:rFonts w:ascii="Arial" w:hAnsi="Arial" w:cs="Arial"/>
          <w:sz w:val="28"/>
          <w:szCs w:val="46"/>
        </w:rPr>
        <w:t>Interim Unaudited Financial Statements 2012</w:t>
      </w:r>
    </w:p>
    <w:p w:rsidR="00676AFC" w:rsidRDefault="00676AFC">
      <w:pPr>
        <w:pStyle w:val="ParaIMS"/>
        <w:spacing w:before="0"/>
        <w:rPr>
          <w:rFonts w:ascii="Arial" w:hAnsi="Arial" w:cs="Arial"/>
        </w:rPr>
      </w:pPr>
    </w:p>
    <w:p w:rsidR="00676AFC" w:rsidRDefault="003660B1">
      <w:pPr>
        <w:pStyle w:val="ParaIMS"/>
        <w:spacing w:before="0"/>
        <w:rPr>
          <w:rFonts w:ascii="Arial" w:hAnsi="Arial" w:cs="Arial"/>
          <w:szCs w:val="17"/>
        </w:rPr>
      </w:pPr>
      <w:r>
        <w:rPr>
          <w:rFonts w:ascii="Arial" w:hAnsi="Arial" w:cs="Arial"/>
          <w:szCs w:val="17"/>
        </w:rPr>
        <w:t xml:space="preserve">INTERIM UNAUDITED FINANCIAL </w:t>
      </w:r>
      <w:r w:rsidR="00676AFC">
        <w:rPr>
          <w:rFonts w:ascii="Arial" w:hAnsi="Arial" w:cs="Arial"/>
          <w:szCs w:val="17"/>
        </w:rPr>
        <w:t xml:space="preserve">STATEMENTS </w:t>
      </w:r>
    </w:p>
    <w:p w:rsidR="00676AFC" w:rsidRDefault="00676AFC">
      <w:pPr>
        <w:pStyle w:val="ParaIMS"/>
        <w:spacing w:before="0"/>
        <w:rPr>
          <w:rFonts w:ascii="Arial" w:hAnsi="Arial" w:cs="Arial"/>
          <w:szCs w:val="17"/>
        </w:rPr>
      </w:pPr>
      <w:r>
        <w:rPr>
          <w:rFonts w:ascii="Arial" w:hAnsi="Arial" w:cs="Arial"/>
          <w:szCs w:val="17"/>
        </w:rPr>
        <w:t>30 June 2012</w:t>
      </w:r>
    </w:p>
    <w:p w:rsidR="00676AFC" w:rsidRDefault="00676AFC">
      <w:pPr>
        <w:pStyle w:val="ParaIMS"/>
        <w:spacing w:before="0"/>
        <w:rPr>
          <w:rFonts w:ascii="Arial" w:hAnsi="Arial" w:cs="Arial"/>
        </w:rPr>
      </w:pPr>
    </w:p>
    <w:p w:rsidR="00676AFC" w:rsidRPr="00FA4FB5" w:rsidRDefault="00676AFC">
      <w:pPr>
        <w:pStyle w:val="ParaIMS"/>
        <w:spacing w:before="0"/>
        <w:rPr>
          <w:rFonts w:ascii="Arial" w:hAnsi="Arial" w:cs="Arial"/>
          <w:bCs/>
        </w:rPr>
      </w:pPr>
      <w:r w:rsidRPr="00FA4FB5">
        <w:rPr>
          <w:rFonts w:ascii="Arial" w:hAnsi="Arial" w:cs="Arial"/>
          <w:bCs/>
          <w:szCs w:val="46"/>
        </w:rPr>
        <w:t>Chairman’s Statement</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In the first half of 2012, BH Global Limited (the “Company”) demonstrated the value of portfolio diversification. Overall, the net asset value (“NAV”) of the Company was down 0.47% (</w:t>
      </w:r>
      <w:r w:rsidR="00A14952">
        <w:rPr>
          <w:rFonts w:ascii="Arial" w:hAnsi="Arial" w:cs="Arial"/>
          <w:szCs w:val="18"/>
        </w:rPr>
        <w:t>GBP shares</w:t>
      </w:r>
      <w:r>
        <w:rPr>
          <w:rFonts w:ascii="Arial" w:hAnsi="Arial" w:cs="Arial"/>
          <w:szCs w:val="18"/>
        </w:rPr>
        <w:t>), but this disguised the strong performance of a number of the underlying funds in the portfolio.</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6"/>
        </w:rPr>
        <w:t>The Company invests all of its assets (net of short-term working capital) in the ordinary shares of Brevan Howard Global Opportunities Master Fund Limited (“BHGO”). Brevan Howard Master Fund Limited (“BHMF”) currently accounts for just under half of BHGO’s portfolio. BHMF has historically been the strongest contributor to BHGO’s portfolio since the Company’s IPO in 2008, but the first half of 2012 proved a difficult trading environment, with BHMF (USD shares) declining by 3.63% over the period. However, this decline was largely offset by the strong performance of other underlying funds in BHGO’s portfolio, in particular by Brevan Howard Emerging Markets Strategies Master Fund Limited (“BHEMS”) and Brevan Howard Credit Catalysts Master Fund Limited (“BHCC”), which returned 9.23% and 7.13% respectively over the period.</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6"/>
        </w:rPr>
        <w:t xml:space="preserve">The positive contribution to performance made by the credit and emerging markets components of BHGO’s portfolio highlights the complementary nature of the Company’s underlying fund exposures and the value of having a broad-based exposure to Brevan Howard’s trading strategies. </w:t>
      </w:r>
      <w:r w:rsidR="00A14952">
        <w:rPr>
          <w:rFonts w:ascii="Arial" w:hAnsi="Arial" w:cs="Arial"/>
          <w:szCs w:val="16"/>
        </w:rPr>
        <w:t>T</w:t>
      </w:r>
      <w:r>
        <w:rPr>
          <w:rFonts w:ascii="Arial" w:hAnsi="Arial" w:cs="Arial"/>
          <w:szCs w:val="16"/>
        </w:rPr>
        <w:t xml:space="preserve">he investment policy of BHGO </w:t>
      </w:r>
      <w:r w:rsidR="00A14952">
        <w:rPr>
          <w:rFonts w:ascii="Arial" w:hAnsi="Arial" w:cs="Arial"/>
          <w:szCs w:val="16"/>
        </w:rPr>
        <w:t xml:space="preserve">therefore </w:t>
      </w:r>
      <w:r>
        <w:rPr>
          <w:rFonts w:ascii="Arial" w:hAnsi="Arial" w:cs="Arial"/>
          <w:szCs w:val="16"/>
        </w:rPr>
        <w:t xml:space="preserve">remains unchanged – to invest in a variety of funds managed </w:t>
      </w:r>
      <w:r>
        <w:rPr>
          <w:rFonts w:ascii="Arial" w:hAnsi="Arial" w:cs="Arial"/>
          <w:szCs w:val="18"/>
        </w:rPr>
        <w:t>by Brevan Howard in order to provide exposure to the range of strategies, asset classes and geographies that fall within Brevan Howard’s investment activities.</w:t>
      </w:r>
    </w:p>
    <w:p w:rsidR="00676AFC" w:rsidRDefault="00676AFC">
      <w:pPr>
        <w:pStyle w:val="ParaIMS"/>
        <w:spacing w:before="0"/>
        <w:rPr>
          <w:rFonts w:ascii="Arial" w:hAnsi="Arial" w:cs="Arial"/>
        </w:rPr>
      </w:pPr>
    </w:p>
    <w:p w:rsidR="00A14952" w:rsidRDefault="00A14952" w:rsidP="00A14952">
      <w:pPr>
        <w:autoSpaceDE w:val="0"/>
        <w:autoSpaceDN w:val="0"/>
        <w:adjustRightInd w:val="0"/>
        <w:rPr>
          <w:rFonts w:ascii="Helv" w:hAnsi="Helv" w:cs="Helv"/>
          <w:color w:val="000000"/>
          <w:sz w:val="20"/>
          <w:szCs w:val="20"/>
          <w:lang w:val="en-GB" w:eastAsia="en-GB"/>
        </w:rPr>
      </w:pPr>
      <w:r>
        <w:rPr>
          <w:rFonts w:ascii="Helv" w:hAnsi="Helv" w:cs="Helv"/>
          <w:color w:val="000000"/>
          <w:sz w:val="20"/>
          <w:szCs w:val="20"/>
          <w:lang w:val="en-GB" w:eastAsia="en-GB"/>
        </w:rPr>
        <w:t>In the period from 30 June to early August, Brevan Howard Master Fund recovered a substantial part of the losses in the first six months of the year, taking the NAV for the Company for the year to date from a small loss to a small gain.</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6"/>
        </w:rPr>
        <w:t>Throughout the reporting period, trading conditions proved extremely difficult due to sharp changes in sentiment – markets showed no clear trend but alternated between being “risk-on” and “risk-off”, which in turn created a highly volatile trading environment. Many of the changes in sentiment were not driven by economic factors, but by changing assessments of the</w:t>
      </w:r>
      <w:r w:rsidRPr="00BB79C3">
        <w:rPr>
          <w:rFonts w:ascii="Arial" w:hAnsi="Arial" w:cs="Arial"/>
          <w:szCs w:val="16"/>
          <w:lang w:val="en-GB"/>
        </w:rPr>
        <w:t xml:space="preserve"> behaviour</w:t>
      </w:r>
      <w:r>
        <w:rPr>
          <w:rFonts w:ascii="Arial" w:hAnsi="Arial" w:cs="Arial"/>
          <w:szCs w:val="16"/>
        </w:rPr>
        <w:t xml:space="preserve"> of policymakers, governments and regulators or by political events. For example: </w:t>
      </w:r>
      <w:r w:rsidRPr="00FA4FB5">
        <w:rPr>
          <w:rFonts w:ascii="Arial" w:hAnsi="Arial" w:cs="Arial"/>
          <w:i/>
          <w:iCs/>
          <w:szCs w:val="16"/>
        </w:rPr>
        <w:t>Would the latest plan for tackling the problems of the euro area carry credibility? Would the Greek election result in a pro-euro or anti-euro government?</w:t>
      </w:r>
      <w:r>
        <w:rPr>
          <w:rFonts w:ascii="Arial" w:hAnsi="Arial" w:cs="Arial"/>
          <w:i/>
          <w:iCs/>
          <w:szCs w:val="16"/>
        </w:rPr>
        <w:t xml:space="preserve"> </w:t>
      </w:r>
      <w:r>
        <w:rPr>
          <w:rFonts w:ascii="Arial" w:hAnsi="Arial" w:cs="Arial"/>
          <w:szCs w:val="16"/>
        </w:rPr>
        <w:t xml:space="preserve">These </w:t>
      </w:r>
      <w:r w:rsidR="00A14952">
        <w:rPr>
          <w:rFonts w:ascii="Arial" w:hAnsi="Arial" w:cs="Arial"/>
          <w:szCs w:val="16"/>
        </w:rPr>
        <w:t>swings</w:t>
      </w:r>
      <w:r>
        <w:rPr>
          <w:rFonts w:ascii="Arial" w:hAnsi="Arial" w:cs="Arial"/>
          <w:szCs w:val="16"/>
        </w:rPr>
        <w:t xml:space="preserve"> </w:t>
      </w:r>
      <w:r w:rsidR="00A14952">
        <w:rPr>
          <w:rFonts w:ascii="Arial" w:hAnsi="Arial" w:cs="Arial"/>
          <w:szCs w:val="16"/>
        </w:rPr>
        <w:t>in</w:t>
      </w:r>
      <w:r>
        <w:rPr>
          <w:rFonts w:ascii="Arial" w:hAnsi="Arial" w:cs="Arial"/>
          <w:szCs w:val="16"/>
        </w:rPr>
        <w:t xml:space="preserve"> sentiment affected BHMF</w:t>
      </w:r>
      <w:r>
        <w:rPr>
          <w:rFonts w:ascii="Arial" w:hAnsi="Arial" w:cs="Arial"/>
          <w:i/>
          <w:iCs/>
          <w:szCs w:val="16"/>
        </w:rPr>
        <w:t xml:space="preserve"> </w:t>
      </w:r>
      <w:r>
        <w:rPr>
          <w:rFonts w:ascii="Arial" w:hAnsi="Arial" w:cs="Arial"/>
          <w:szCs w:val="16"/>
        </w:rPr>
        <w:t>on a number of occasions. However, Brevan Howard’s disciplined risk management culture limited the downside on losing trades.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6"/>
        </w:rPr>
        <w:t xml:space="preserve">In the first half of 2012, Brevan Howard Capital Management LP (the “Manager”) made a number of </w:t>
      </w:r>
      <w:r w:rsidR="00CC2256">
        <w:rPr>
          <w:rFonts w:ascii="Arial" w:hAnsi="Arial" w:cs="Arial"/>
          <w:szCs w:val="16"/>
        </w:rPr>
        <w:t xml:space="preserve">modest </w:t>
      </w:r>
      <w:r>
        <w:rPr>
          <w:rFonts w:ascii="Arial" w:hAnsi="Arial" w:cs="Arial"/>
          <w:szCs w:val="16"/>
        </w:rPr>
        <w:t xml:space="preserve">adjustments to </w:t>
      </w:r>
      <w:r>
        <w:rPr>
          <w:rFonts w:ascii="Arial" w:hAnsi="Arial" w:cs="Arial"/>
          <w:szCs w:val="17"/>
        </w:rPr>
        <w:t>BHGO’s underlying fund allocations. These included a reduction in the allocations to BHMF and to BHEMS and a new allocation of approximately 4% to Brevan Howard Investment Fund – Emerging Markets Local Fixed Income Fund, which further diversifies the Company’s emerging markets exposure.</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6"/>
        </w:rPr>
        <w:t xml:space="preserve">Over the reporting period, the price of the Company’s shares fell by approximately 3%, although on very low trading volumes. As a </w:t>
      </w:r>
      <w:r>
        <w:rPr>
          <w:rFonts w:ascii="Arial" w:hAnsi="Arial" w:cs="Arial"/>
          <w:szCs w:val="18"/>
        </w:rPr>
        <w:t>result, the discounts of each of the three share classes widened from approximately 6% to 8-9%.</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6"/>
        </w:rPr>
        <w:t xml:space="preserve">In February, the Company announced a return of capital equal to 100% of the increase in NAV of the previous calendar year, which averaged approximately 5% across the three share classes. The return was offered at a discount to the prevailing NAV of 3% at the time the capital return was made. Given the widening of the discount by June when the capital return offer closed, it is not </w:t>
      </w:r>
      <w:r>
        <w:rPr>
          <w:rFonts w:ascii="Arial" w:hAnsi="Arial" w:cs="Arial"/>
          <w:szCs w:val="18"/>
        </w:rPr>
        <w:t xml:space="preserve">surprising that allocations were taken up in full. The amount returned to investors </w:t>
      </w:r>
      <w:proofErr w:type="spellStart"/>
      <w:r>
        <w:rPr>
          <w:rFonts w:ascii="Arial" w:hAnsi="Arial" w:cs="Arial"/>
          <w:szCs w:val="18"/>
        </w:rPr>
        <w:t>totalled</w:t>
      </w:r>
      <w:proofErr w:type="spellEnd"/>
      <w:r>
        <w:rPr>
          <w:rFonts w:ascii="Arial" w:hAnsi="Arial" w:cs="Arial"/>
          <w:szCs w:val="18"/>
        </w:rPr>
        <w:t xml:space="preserve"> approximately US$45 million</w:t>
      </w:r>
      <w:r w:rsidR="00BB03AF">
        <w:rPr>
          <w:rFonts w:ascii="Arial" w:hAnsi="Arial" w:cs="Arial"/>
          <w:vertAlign w:val="superscript"/>
        </w:rPr>
        <w:t>1</w:t>
      </w:r>
      <w:r>
        <w:rPr>
          <w:rFonts w:ascii="Arial" w:hAnsi="Arial" w:cs="Arial"/>
          <w:szCs w:val="18"/>
        </w:rPr>
        <w:t>.There were no other purchases by the Company of its own shares during the reporting period.</w:t>
      </w:r>
    </w:p>
    <w:p w:rsidR="00676AFC" w:rsidRDefault="00676AFC">
      <w:pPr>
        <w:pStyle w:val="ParaIMS"/>
        <w:spacing w:before="0"/>
        <w:rPr>
          <w:rFonts w:ascii="Arial" w:hAnsi="Arial" w:cs="Arial"/>
        </w:rPr>
      </w:pPr>
    </w:p>
    <w:p w:rsidR="00BB03AF" w:rsidRDefault="00BB03AF">
      <w:pPr>
        <w:pStyle w:val="ParaIMS"/>
        <w:spacing w:before="0"/>
        <w:rPr>
          <w:rFonts w:ascii="Arial" w:hAnsi="Arial" w:cs="Arial"/>
        </w:rPr>
      </w:pPr>
      <w:r>
        <w:rPr>
          <w:rFonts w:ascii="Arial" w:hAnsi="Arial" w:cs="Arial"/>
          <w:vertAlign w:val="superscript"/>
        </w:rPr>
        <w:t xml:space="preserve">1 </w:t>
      </w:r>
      <w:r w:rsidRPr="00BB03AF">
        <w:rPr>
          <w:rFonts w:ascii="Arial" w:hAnsi="Arial" w:cs="Arial"/>
        </w:rPr>
        <w:t>Calculated</w:t>
      </w:r>
      <w:r>
        <w:rPr>
          <w:rFonts w:ascii="Arial" w:hAnsi="Arial" w:cs="Arial"/>
          <w:vertAlign w:val="superscript"/>
        </w:rPr>
        <w:t xml:space="preserve"> </w:t>
      </w:r>
      <w:r>
        <w:rPr>
          <w:rFonts w:ascii="Arial" w:hAnsi="Arial" w:cs="Arial"/>
        </w:rPr>
        <w:t>at 31 May 2012 exchange rates.</w:t>
      </w:r>
    </w:p>
    <w:p w:rsidR="00BB03AF" w:rsidRDefault="00BB03AF">
      <w:pPr>
        <w:pStyle w:val="ParaIMS"/>
        <w:spacing w:before="0"/>
        <w:rPr>
          <w:rFonts w:ascii="Arial" w:hAnsi="Arial" w:cs="Arial"/>
        </w:rPr>
      </w:pPr>
    </w:p>
    <w:p w:rsidR="00BB03AF" w:rsidRDefault="00676AFC">
      <w:pPr>
        <w:pStyle w:val="ParaIMS"/>
        <w:spacing w:before="0"/>
        <w:rPr>
          <w:rFonts w:ascii="Arial" w:hAnsi="Arial" w:cs="Arial"/>
        </w:rPr>
      </w:pPr>
      <w:r>
        <w:rPr>
          <w:rFonts w:ascii="Arial" w:hAnsi="Arial" w:cs="Arial"/>
          <w:szCs w:val="16"/>
        </w:rPr>
        <w:t xml:space="preserve">The Board continues to believe that the multi-strategy structure of the Company offers a number of advantages. It provides some of the features of a fund of funds, allowing investors access to a diverse range of strategies, whether by geography, asset class or trading style. But unlike many fund of funds, all the investments are managed by a single </w:t>
      </w:r>
      <w:r>
        <w:rPr>
          <w:rFonts w:ascii="Arial" w:hAnsi="Arial" w:cs="Arial"/>
          <w:szCs w:val="16"/>
        </w:rPr>
        <w:lastRenderedPageBreak/>
        <w:t xml:space="preserve">manager, Brevan Howard, ensuring a consistent and rigorous approach to both asset allocation and risk </w:t>
      </w:r>
      <w:r>
        <w:rPr>
          <w:rFonts w:ascii="Arial" w:hAnsi="Arial" w:cs="Arial"/>
          <w:szCs w:val="17"/>
        </w:rPr>
        <w:t>management. There is also no additional layer of performance fees.</w:t>
      </w:r>
      <w:r w:rsidR="00AA347F">
        <w:rPr>
          <w:rFonts w:ascii="Arial" w:hAnsi="Arial" w:cs="Arial"/>
        </w:rPr>
        <w:t xml:space="preserve"> </w:t>
      </w:r>
    </w:p>
    <w:p w:rsidR="00BB03AF" w:rsidRDefault="00BB03AF">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The Company will continue to seek long-term appreciation combined with low volatility and is confident that the Manager will be able to deliver this.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Lord Turnbull</w:t>
      </w:r>
    </w:p>
    <w:p w:rsidR="00676AFC" w:rsidRDefault="00676AFC">
      <w:pPr>
        <w:pStyle w:val="ParaIMS"/>
        <w:spacing w:before="0"/>
        <w:rPr>
          <w:rFonts w:ascii="Arial" w:hAnsi="Arial" w:cs="Arial"/>
        </w:rPr>
      </w:pPr>
      <w:r>
        <w:rPr>
          <w:rFonts w:ascii="Arial" w:hAnsi="Arial" w:cs="Arial"/>
          <w:szCs w:val="18"/>
        </w:rPr>
        <w:t>Chairman</w:t>
      </w:r>
    </w:p>
    <w:p w:rsidR="00676AFC" w:rsidRDefault="00676AFC">
      <w:pPr>
        <w:pStyle w:val="ParaIMS"/>
        <w:spacing w:before="0"/>
        <w:rPr>
          <w:rFonts w:ascii="Arial" w:hAnsi="Arial" w:cs="Arial"/>
        </w:rPr>
      </w:pPr>
    </w:p>
    <w:p w:rsidR="00676AFC" w:rsidRDefault="00381813">
      <w:pPr>
        <w:pStyle w:val="ParaIMS"/>
        <w:spacing w:before="0"/>
        <w:rPr>
          <w:rFonts w:ascii="Arial" w:hAnsi="Arial" w:cs="Arial"/>
        </w:rPr>
      </w:pPr>
      <w:r w:rsidRPr="00381813">
        <w:rPr>
          <w:rFonts w:ascii="Arial" w:hAnsi="Arial" w:cs="Arial"/>
          <w:szCs w:val="18"/>
        </w:rPr>
        <w:t>2</w:t>
      </w:r>
      <w:r>
        <w:rPr>
          <w:rFonts w:ascii="Arial" w:hAnsi="Arial" w:cs="Arial"/>
          <w:szCs w:val="18"/>
        </w:rPr>
        <w:t>2 August 2012</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b/>
          <w:bCs/>
        </w:rPr>
      </w:pPr>
      <w:r>
        <w:rPr>
          <w:rFonts w:ascii="Arial" w:hAnsi="Arial" w:cs="Arial"/>
          <w:b/>
          <w:bCs/>
          <w:szCs w:val="46"/>
        </w:rPr>
        <w:t>Manager’s Report</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Brevan Howard Capital Management LP is the Manager of the Company and of BHGO.</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Performance Summary</w:t>
      </w:r>
    </w:p>
    <w:p w:rsidR="00676AFC" w:rsidRDefault="00676AFC">
      <w:pPr>
        <w:pStyle w:val="ParaIMS"/>
        <w:spacing w:before="0"/>
        <w:rPr>
          <w:rFonts w:ascii="Arial" w:hAnsi="Arial" w:cs="Arial"/>
        </w:rPr>
      </w:pPr>
      <w:r>
        <w:rPr>
          <w:rFonts w:ascii="Arial" w:hAnsi="Arial" w:cs="Arial"/>
          <w:szCs w:val="18"/>
        </w:rPr>
        <w:t>The Net Asset Value of the Company ended the first half of 2012 marginally down. The month-by-month NAV performance of each currency class of the Company since it commenced operations in 2008 is set out below:</w:t>
      </w:r>
    </w:p>
    <w:p w:rsidR="00676AFC" w:rsidRDefault="00676AFC">
      <w:pPr>
        <w:pStyle w:val="ParaIMS"/>
        <w:spacing w:before="0"/>
        <w:rPr>
          <w:rFonts w:ascii="Arial" w:hAnsi="Arial" w:cs="Arial"/>
        </w:rPr>
      </w:pPr>
    </w:p>
    <w:tbl>
      <w:tblPr>
        <w:tblW w:w="5000" w:type="pct"/>
        <w:tblCellMar>
          <w:left w:w="0" w:type="dxa"/>
          <w:right w:w="0" w:type="dxa"/>
        </w:tblCellMar>
        <w:tblLook w:val="0000"/>
      </w:tblPr>
      <w:tblGrid>
        <w:gridCol w:w="948"/>
        <w:gridCol w:w="737"/>
        <w:gridCol w:w="737"/>
        <w:gridCol w:w="738"/>
        <w:gridCol w:w="738"/>
        <w:gridCol w:w="738"/>
        <w:gridCol w:w="738"/>
        <w:gridCol w:w="738"/>
        <w:gridCol w:w="738"/>
        <w:gridCol w:w="738"/>
        <w:gridCol w:w="738"/>
        <w:gridCol w:w="738"/>
        <w:gridCol w:w="738"/>
        <w:gridCol w:w="738"/>
      </w:tblGrid>
      <w:tr w:rsidR="00676AFC">
        <w:tc>
          <w:tcPr>
            <w:tcW w:w="450" w:type="pct"/>
            <w:tcBorders>
              <w:bottom w:val="single" w:sz="4" w:space="0" w:color="auto"/>
            </w:tcBorders>
            <w:vAlign w:val="bottom"/>
          </w:tcPr>
          <w:p w:rsidR="00676AFC" w:rsidRPr="00FA4FB5" w:rsidRDefault="00676AFC">
            <w:pPr>
              <w:pStyle w:val="TableStubIMS"/>
              <w:ind w:left="173" w:hanging="173"/>
              <w:rPr>
                <w:rFonts w:ascii="Arial" w:hAnsi="Arial" w:cs="Arial"/>
                <w:b/>
                <w:bCs/>
              </w:rPr>
            </w:pPr>
            <w:r w:rsidRPr="00FA4FB5">
              <w:rPr>
                <w:rFonts w:ascii="Arial" w:hAnsi="Arial" w:cs="Arial"/>
                <w:b/>
                <w:bCs/>
              </w:rPr>
              <w:t>USD</w:t>
            </w:r>
          </w:p>
        </w:tc>
        <w:tc>
          <w:tcPr>
            <w:tcW w:w="350" w:type="pct"/>
            <w:tcBorders>
              <w:bottom w:val="single" w:sz="4" w:space="0" w:color="auto"/>
            </w:tcBorders>
            <w:vAlign w:val="bottom"/>
          </w:tcPr>
          <w:p w:rsidR="00676AFC" w:rsidRDefault="00676AFC">
            <w:pPr>
              <w:pStyle w:val="TableColumnHeadingIMS"/>
              <w:jc w:val="right"/>
              <w:rPr>
                <w:rFonts w:ascii="Arial" w:hAnsi="Arial" w:cs="Arial"/>
                <w:sz w:val="20"/>
              </w:rPr>
            </w:pPr>
            <w:r>
              <w:rPr>
                <w:rFonts w:ascii="Arial" w:hAnsi="Arial" w:cs="Arial"/>
                <w:sz w:val="20"/>
              </w:rPr>
              <w:t>Jan</w:t>
            </w:r>
          </w:p>
        </w:tc>
        <w:tc>
          <w:tcPr>
            <w:tcW w:w="350" w:type="pct"/>
            <w:tcBorders>
              <w:bottom w:val="single" w:sz="4" w:space="0" w:color="auto"/>
            </w:tcBorders>
            <w:vAlign w:val="bottom"/>
          </w:tcPr>
          <w:p w:rsidR="00676AFC" w:rsidRDefault="00676AFC">
            <w:pPr>
              <w:pStyle w:val="TableColumnHeadingIMS"/>
              <w:jc w:val="right"/>
              <w:rPr>
                <w:rFonts w:ascii="Arial" w:hAnsi="Arial" w:cs="Arial"/>
                <w:sz w:val="20"/>
              </w:rPr>
            </w:pPr>
            <w:r>
              <w:rPr>
                <w:rFonts w:ascii="Arial" w:hAnsi="Arial" w:cs="Arial"/>
                <w:sz w:val="20"/>
              </w:rPr>
              <w:t>Feb</w:t>
            </w:r>
          </w:p>
        </w:tc>
        <w:tc>
          <w:tcPr>
            <w:tcW w:w="350" w:type="pct"/>
            <w:tcBorders>
              <w:bottom w:val="single" w:sz="4" w:space="0" w:color="auto"/>
            </w:tcBorders>
            <w:vAlign w:val="bottom"/>
          </w:tcPr>
          <w:p w:rsidR="00676AFC" w:rsidRDefault="00676AFC">
            <w:pPr>
              <w:pStyle w:val="TableColumnHeadingIMS"/>
              <w:jc w:val="right"/>
              <w:rPr>
                <w:rFonts w:ascii="Arial" w:hAnsi="Arial" w:cs="Arial"/>
                <w:sz w:val="20"/>
              </w:rPr>
            </w:pPr>
            <w:r>
              <w:rPr>
                <w:rFonts w:ascii="Arial" w:hAnsi="Arial" w:cs="Arial"/>
                <w:sz w:val="20"/>
              </w:rPr>
              <w:t>Mar</w:t>
            </w:r>
          </w:p>
        </w:tc>
        <w:tc>
          <w:tcPr>
            <w:tcW w:w="350" w:type="pct"/>
            <w:tcBorders>
              <w:bottom w:val="single" w:sz="4" w:space="0" w:color="auto"/>
            </w:tcBorders>
            <w:vAlign w:val="bottom"/>
          </w:tcPr>
          <w:p w:rsidR="00676AFC" w:rsidRDefault="00676AFC">
            <w:pPr>
              <w:pStyle w:val="TableColumnHeadingIMS"/>
              <w:jc w:val="right"/>
              <w:rPr>
                <w:rFonts w:ascii="Arial" w:hAnsi="Arial" w:cs="Arial"/>
                <w:sz w:val="20"/>
              </w:rPr>
            </w:pPr>
            <w:r>
              <w:rPr>
                <w:rFonts w:ascii="Arial" w:hAnsi="Arial" w:cs="Arial"/>
                <w:sz w:val="20"/>
              </w:rPr>
              <w:t>Apr</w:t>
            </w:r>
          </w:p>
        </w:tc>
        <w:tc>
          <w:tcPr>
            <w:tcW w:w="350" w:type="pct"/>
            <w:tcBorders>
              <w:bottom w:val="single" w:sz="4" w:space="0" w:color="auto"/>
            </w:tcBorders>
            <w:vAlign w:val="bottom"/>
          </w:tcPr>
          <w:p w:rsidR="00676AFC" w:rsidRDefault="00676AFC">
            <w:pPr>
              <w:pStyle w:val="TableColumnHeadingIMS"/>
              <w:jc w:val="right"/>
              <w:rPr>
                <w:rFonts w:ascii="Arial" w:hAnsi="Arial" w:cs="Arial"/>
                <w:sz w:val="20"/>
              </w:rPr>
            </w:pPr>
            <w:r>
              <w:rPr>
                <w:rFonts w:ascii="Arial" w:hAnsi="Arial" w:cs="Arial"/>
                <w:sz w:val="20"/>
              </w:rPr>
              <w:t>May</w:t>
            </w:r>
          </w:p>
        </w:tc>
        <w:tc>
          <w:tcPr>
            <w:tcW w:w="350" w:type="pct"/>
            <w:tcBorders>
              <w:bottom w:val="single" w:sz="4" w:space="0" w:color="auto"/>
            </w:tcBorders>
            <w:vAlign w:val="bottom"/>
          </w:tcPr>
          <w:p w:rsidR="00676AFC" w:rsidRDefault="00676AFC">
            <w:pPr>
              <w:pStyle w:val="TableColumnHeadingIMS"/>
              <w:jc w:val="right"/>
              <w:rPr>
                <w:rFonts w:ascii="Arial" w:hAnsi="Arial" w:cs="Arial"/>
                <w:sz w:val="20"/>
              </w:rPr>
            </w:pPr>
            <w:r>
              <w:rPr>
                <w:rFonts w:ascii="Arial" w:hAnsi="Arial" w:cs="Arial"/>
                <w:sz w:val="20"/>
              </w:rPr>
              <w:t>Jun</w:t>
            </w:r>
          </w:p>
        </w:tc>
        <w:tc>
          <w:tcPr>
            <w:tcW w:w="350" w:type="pct"/>
            <w:tcBorders>
              <w:bottom w:val="single" w:sz="4" w:space="0" w:color="auto"/>
            </w:tcBorders>
            <w:vAlign w:val="bottom"/>
          </w:tcPr>
          <w:p w:rsidR="00676AFC" w:rsidRDefault="00676AFC">
            <w:pPr>
              <w:pStyle w:val="TableColumnHeadingIMS"/>
              <w:jc w:val="right"/>
              <w:rPr>
                <w:rFonts w:ascii="Arial" w:hAnsi="Arial" w:cs="Arial"/>
                <w:sz w:val="20"/>
              </w:rPr>
            </w:pPr>
            <w:r>
              <w:rPr>
                <w:rFonts w:ascii="Arial" w:hAnsi="Arial" w:cs="Arial"/>
                <w:sz w:val="20"/>
              </w:rPr>
              <w:t>Jul</w:t>
            </w:r>
          </w:p>
        </w:tc>
        <w:tc>
          <w:tcPr>
            <w:tcW w:w="350" w:type="pct"/>
            <w:tcBorders>
              <w:bottom w:val="single" w:sz="4" w:space="0" w:color="auto"/>
            </w:tcBorders>
            <w:vAlign w:val="bottom"/>
          </w:tcPr>
          <w:p w:rsidR="00676AFC" w:rsidRDefault="00676AFC">
            <w:pPr>
              <w:pStyle w:val="TableColumnHeadingIMS"/>
              <w:jc w:val="right"/>
              <w:rPr>
                <w:rFonts w:ascii="Arial" w:hAnsi="Arial" w:cs="Arial"/>
                <w:sz w:val="20"/>
              </w:rPr>
            </w:pPr>
            <w:r>
              <w:rPr>
                <w:rFonts w:ascii="Arial" w:hAnsi="Arial" w:cs="Arial"/>
                <w:sz w:val="20"/>
              </w:rPr>
              <w:t>Aug</w:t>
            </w:r>
          </w:p>
        </w:tc>
        <w:tc>
          <w:tcPr>
            <w:tcW w:w="350" w:type="pct"/>
            <w:tcBorders>
              <w:bottom w:val="single" w:sz="4" w:space="0" w:color="auto"/>
            </w:tcBorders>
            <w:vAlign w:val="bottom"/>
          </w:tcPr>
          <w:p w:rsidR="00676AFC" w:rsidRDefault="00676AFC">
            <w:pPr>
              <w:pStyle w:val="TableColumnHeadingIMS"/>
              <w:jc w:val="right"/>
              <w:rPr>
                <w:rFonts w:ascii="Arial" w:hAnsi="Arial" w:cs="Arial"/>
                <w:sz w:val="20"/>
              </w:rPr>
            </w:pPr>
            <w:r>
              <w:rPr>
                <w:rFonts w:ascii="Arial" w:hAnsi="Arial" w:cs="Arial"/>
                <w:sz w:val="20"/>
              </w:rPr>
              <w:t>Sep</w:t>
            </w:r>
          </w:p>
        </w:tc>
        <w:tc>
          <w:tcPr>
            <w:tcW w:w="350" w:type="pct"/>
            <w:tcBorders>
              <w:bottom w:val="single" w:sz="4" w:space="0" w:color="auto"/>
            </w:tcBorders>
            <w:vAlign w:val="bottom"/>
          </w:tcPr>
          <w:p w:rsidR="00676AFC" w:rsidRDefault="00676AFC">
            <w:pPr>
              <w:pStyle w:val="TableColumnHeadingIMS"/>
              <w:jc w:val="right"/>
              <w:rPr>
                <w:rFonts w:ascii="Arial" w:hAnsi="Arial" w:cs="Arial"/>
                <w:sz w:val="20"/>
              </w:rPr>
            </w:pPr>
            <w:r>
              <w:rPr>
                <w:rFonts w:ascii="Arial" w:hAnsi="Arial" w:cs="Arial"/>
                <w:sz w:val="20"/>
              </w:rPr>
              <w:t>Oct</w:t>
            </w:r>
          </w:p>
        </w:tc>
        <w:tc>
          <w:tcPr>
            <w:tcW w:w="350" w:type="pct"/>
            <w:tcBorders>
              <w:bottom w:val="single" w:sz="4" w:space="0" w:color="auto"/>
            </w:tcBorders>
            <w:vAlign w:val="bottom"/>
          </w:tcPr>
          <w:p w:rsidR="00676AFC" w:rsidRDefault="00676AFC">
            <w:pPr>
              <w:pStyle w:val="TableColumnHeadingIMS"/>
              <w:jc w:val="right"/>
              <w:rPr>
                <w:rFonts w:ascii="Arial" w:hAnsi="Arial" w:cs="Arial"/>
                <w:sz w:val="20"/>
              </w:rPr>
            </w:pPr>
            <w:r>
              <w:rPr>
                <w:rFonts w:ascii="Arial" w:hAnsi="Arial" w:cs="Arial"/>
                <w:sz w:val="20"/>
              </w:rPr>
              <w:t>Nov</w:t>
            </w:r>
          </w:p>
        </w:tc>
        <w:tc>
          <w:tcPr>
            <w:tcW w:w="350" w:type="pct"/>
            <w:tcBorders>
              <w:bottom w:val="single" w:sz="4" w:space="0" w:color="auto"/>
            </w:tcBorders>
            <w:vAlign w:val="bottom"/>
          </w:tcPr>
          <w:p w:rsidR="00676AFC" w:rsidRDefault="00676AFC">
            <w:pPr>
              <w:pStyle w:val="TableColumnHeadingIMS"/>
              <w:jc w:val="right"/>
              <w:rPr>
                <w:rFonts w:ascii="Arial" w:hAnsi="Arial" w:cs="Arial"/>
                <w:sz w:val="20"/>
              </w:rPr>
            </w:pPr>
            <w:r>
              <w:rPr>
                <w:rFonts w:ascii="Arial" w:hAnsi="Arial" w:cs="Arial"/>
                <w:sz w:val="20"/>
              </w:rPr>
              <w:t>Dec</w:t>
            </w:r>
          </w:p>
        </w:tc>
        <w:tc>
          <w:tcPr>
            <w:tcW w:w="350" w:type="pct"/>
            <w:tcBorders>
              <w:bottom w:val="single" w:sz="4" w:space="0" w:color="auto"/>
            </w:tcBorders>
            <w:vAlign w:val="bottom"/>
          </w:tcPr>
          <w:p w:rsidR="00676AFC" w:rsidRDefault="00676AFC">
            <w:pPr>
              <w:pStyle w:val="TableColumnHeadingIMS"/>
              <w:jc w:val="right"/>
              <w:rPr>
                <w:rFonts w:ascii="Arial" w:hAnsi="Arial" w:cs="Arial"/>
                <w:sz w:val="20"/>
              </w:rPr>
            </w:pPr>
            <w:r>
              <w:rPr>
                <w:rFonts w:ascii="Arial" w:hAnsi="Arial" w:cs="Arial"/>
                <w:sz w:val="20"/>
              </w:rPr>
              <w:t>YTD</w:t>
            </w:r>
          </w:p>
        </w:tc>
      </w:tr>
      <w:tr w:rsidR="00676AFC">
        <w:tc>
          <w:tcPr>
            <w:tcW w:w="450" w:type="pct"/>
            <w:tcBorders>
              <w:top w:val="single" w:sz="4" w:space="0" w:color="auto"/>
            </w:tcBorders>
            <w:vAlign w:val="bottom"/>
          </w:tcPr>
          <w:p w:rsidR="00676AFC" w:rsidRPr="00FA4FB5" w:rsidRDefault="00676AFC">
            <w:pPr>
              <w:pStyle w:val="TableStubIMS"/>
              <w:ind w:left="173" w:hanging="173"/>
              <w:rPr>
                <w:rFonts w:ascii="Arial" w:hAnsi="Arial" w:cs="Arial"/>
                <w:b/>
              </w:rPr>
            </w:pPr>
            <w:r w:rsidRPr="00FA4FB5">
              <w:rPr>
                <w:rFonts w:ascii="Arial" w:hAnsi="Arial" w:cs="Arial"/>
                <w:b/>
              </w:rPr>
              <w:t>2008</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1.16*</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0.10</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0.05</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(3.89)</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1.13</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2.74</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0.38</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1.55</w:t>
            </w:r>
          </w:p>
        </w:tc>
      </w:tr>
      <w:tr w:rsidR="00676AFC">
        <w:tc>
          <w:tcPr>
            <w:tcW w:w="450" w:type="pct"/>
            <w:vAlign w:val="bottom"/>
          </w:tcPr>
          <w:p w:rsidR="00676AFC" w:rsidRPr="00FA4FB5" w:rsidRDefault="00676AFC">
            <w:pPr>
              <w:pStyle w:val="TableStubIMS"/>
              <w:ind w:left="173" w:hanging="173"/>
              <w:rPr>
                <w:rFonts w:ascii="Arial" w:hAnsi="Arial" w:cs="Arial"/>
                <w:b/>
              </w:rPr>
            </w:pPr>
            <w:r w:rsidRPr="00FA4FB5">
              <w:rPr>
                <w:rFonts w:ascii="Arial" w:hAnsi="Arial" w:cs="Arial"/>
                <w:b/>
              </w:rPr>
              <w:t>2009</w:t>
            </w:r>
          </w:p>
        </w:tc>
        <w:tc>
          <w:tcPr>
            <w:tcW w:w="350" w:type="pct"/>
            <w:vAlign w:val="bottom"/>
          </w:tcPr>
          <w:p w:rsidR="00676AFC" w:rsidRDefault="00676AFC">
            <w:pPr>
              <w:pStyle w:val="TableColumnIMS"/>
              <w:rPr>
                <w:rFonts w:ascii="Arial" w:hAnsi="Arial" w:cs="Arial"/>
              </w:rPr>
            </w:pPr>
            <w:r>
              <w:rPr>
                <w:rFonts w:ascii="Arial" w:hAnsi="Arial" w:cs="Arial"/>
              </w:rPr>
              <w:t>3.35</w:t>
            </w:r>
          </w:p>
        </w:tc>
        <w:tc>
          <w:tcPr>
            <w:tcW w:w="350" w:type="pct"/>
            <w:vAlign w:val="bottom"/>
          </w:tcPr>
          <w:p w:rsidR="00676AFC" w:rsidRDefault="00676AFC">
            <w:pPr>
              <w:pStyle w:val="TableColumnIMS"/>
              <w:rPr>
                <w:rFonts w:ascii="Arial" w:hAnsi="Arial" w:cs="Arial"/>
              </w:rPr>
            </w:pPr>
            <w:r>
              <w:rPr>
                <w:rFonts w:ascii="Arial" w:hAnsi="Arial" w:cs="Arial"/>
              </w:rPr>
              <w:t>1.86</w:t>
            </w:r>
          </w:p>
        </w:tc>
        <w:tc>
          <w:tcPr>
            <w:tcW w:w="350" w:type="pct"/>
            <w:vAlign w:val="bottom"/>
          </w:tcPr>
          <w:p w:rsidR="00676AFC" w:rsidRDefault="00676AFC">
            <w:pPr>
              <w:pStyle w:val="TableColumnIMS"/>
              <w:rPr>
                <w:rFonts w:ascii="Arial" w:hAnsi="Arial" w:cs="Arial"/>
              </w:rPr>
            </w:pPr>
            <w:r>
              <w:rPr>
                <w:rFonts w:ascii="Arial" w:hAnsi="Arial" w:cs="Arial"/>
              </w:rPr>
              <w:t>1.16</w:t>
            </w:r>
          </w:p>
        </w:tc>
        <w:tc>
          <w:tcPr>
            <w:tcW w:w="350" w:type="pct"/>
            <w:vAlign w:val="bottom"/>
          </w:tcPr>
          <w:p w:rsidR="00676AFC" w:rsidRDefault="00676AFC">
            <w:pPr>
              <w:pStyle w:val="TableColumnIMS"/>
              <w:rPr>
                <w:rFonts w:ascii="Arial" w:hAnsi="Arial" w:cs="Arial"/>
              </w:rPr>
            </w:pPr>
            <w:r>
              <w:rPr>
                <w:rFonts w:ascii="Arial" w:hAnsi="Arial" w:cs="Arial"/>
              </w:rPr>
              <w:t>1.06</w:t>
            </w:r>
          </w:p>
        </w:tc>
        <w:tc>
          <w:tcPr>
            <w:tcW w:w="350" w:type="pct"/>
            <w:vAlign w:val="bottom"/>
          </w:tcPr>
          <w:p w:rsidR="00676AFC" w:rsidRDefault="00676AFC">
            <w:pPr>
              <w:pStyle w:val="TableColumnIMS"/>
              <w:rPr>
                <w:rFonts w:ascii="Arial" w:hAnsi="Arial" w:cs="Arial"/>
              </w:rPr>
            </w:pPr>
            <w:r>
              <w:rPr>
                <w:rFonts w:ascii="Arial" w:hAnsi="Arial" w:cs="Arial"/>
              </w:rPr>
              <w:t>2.79</w:t>
            </w:r>
          </w:p>
        </w:tc>
        <w:tc>
          <w:tcPr>
            <w:tcW w:w="350" w:type="pct"/>
            <w:vAlign w:val="bottom"/>
          </w:tcPr>
          <w:p w:rsidR="00676AFC" w:rsidRDefault="00676AFC">
            <w:pPr>
              <w:pStyle w:val="TableColumnIMS"/>
              <w:rPr>
                <w:rFonts w:ascii="Arial" w:hAnsi="Arial" w:cs="Arial"/>
              </w:rPr>
            </w:pPr>
            <w:r>
              <w:rPr>
                <w:rFonts w:ascii="Arial" w:hAnsi="Arial" w:cs="Arial"/>
              </w:rPr>
              <w:t>(0.21)</w:t>
            </w:r>
          </w:p>
        </w:tc>
        <w:tc>
          <w:tcPr>
            <w:tcW w:w="350" w:type="pct"/>
            <w:vAlign w:val="bottom"/>
          </w:tcPr>
          <w:p w:rsidR="00676AFC" w:rsidRDefault="00676AFC">
            <w:pPr>
              <w:pStyle w:val="TableColumnIMS"/>
              <w:rPr>
                <w:rFonts w:ascii="Arial" w:hAnsi="Arial" w:cs="Arial"/>
              </w:rPr>
            </w:pPr>
            <w:r>
              <w:rPr>
                <w:rFonts w:ascii="Arial" w:hAnsi="Arial" w:cs="Arial"/>
              </w:rPr>
              <w:t>1.07</w:t>
            </w:r>
          </w:p>
        </w:tc>
        <w:tc>
          <w:tcPr>
            <w:tcW w:w="350" w:type="pct"/>
            <w:vAlign w:val="bottom"/>
          </w:tcPr>
          <w:p w:rsidR="00676AFC" w:rsidRDefault="00676AFC">
            <w:pPr>
              <w:pStyle w:val="TableColumnIMS"/>
              <w:rPr>
                <w:rFonts w:ascii="Arial" w:hAnsi="Arial" w:cs="Arial"/>
              </w:rPr>
            </w:pPr>
            <w:r>
              <w:rPr>
                <w:rFonts w:ascii="Arial" w:hAnsi="Arial" w:cs="Arial"/>
              </w:rPr>
              <w:t>0.27</w:t>
            </w:r>
          </w:p>
        </w:tc>
        <w:tc>
          <w:tcPr>
            <w:tcW w:w="350" w:type="pct"/>
            <w:vAlign w:val="bottom"/>
          </w:tcPr>
          <w:p w:rsidR="00676AFC" w:rsidRDefault="00676AFC">
            <w:pPr>
              <w:pStyle w:val="TableColumnIMS"/>
              <w:rPr>
                <w:rFonts w:ascii="Arial" w:hAnsi="Arial" w:cs="Arial"/>
              </w:rPr>
            </w:pPr>
            <w:r>
              <w:rPr>
                <w:rFonts w:ascii="Arial" w:hAnsi="Arial" w:cs="Arial"/>
              </w:rPr>
              <w:t>1.49</w:t>
            </w:r>
          </w:p>
        </w:tc>
        <w:tc>
          <w:tcPr>
            <w:tcW w:w="350" w:type="pct"/>
            <w:vAlign w:val="bottom"/>
          </w:tcPr>
          <w:p w:rsidR="00676AFC" w:rsidRDefault="00676AFC">
            <w:pPr>
              <w:pStyle w:val="TableColumnIMS"/>
              <w:rPr>
                <w:rFonts w:ascii="Arial" w:hAnsi="Arial" w:cs="Arial"/>
              </w:rPr>
            </w:pPr>
            <w:r>
              <w:rPr>
                <w:rFonts w:ascii="Arial" w:hAnsi="Arial" w:cs="Arial"/>
              </w:rPr>
              <w:t>0.54</w:t>
            </w:r>
          </w:p>
        </w:tc>
        <w:tc>
          <w:tcPr>
            <w:tcW w:w="350" w:type="pct"/>
            <w:vAlign w:val="bottom"/>
          </w:tcPr>
          <w:p w:rsidR="00676AFC" w:rsidRDefault="00676AFC">
            <w:pPr>
              <w:pStyle w:val="TableColumnIMS"/>
              <w:rPr>
                <w:rFonts w:ascii="Arial" w:hAnsi="Arial" w:cs="Arial"/>
              </w:rPr>
            </w:pPr>
            <w:r>
              <w:rPr>
                <w:rFonts w:ascii="Arial" w:hAnsi="Arial" w:cs="Arial"/>
              </w:rPr>
              <w:t>0.11</w:t>
            </w:r>
          </w:p>
        </w:tc>
        <w:tc>
          <w:tcPr>
            <w:tcW w:w="350" w:type="pct"/>
            <w:vAlign w:val="bottom"/>
          </w:tcPr>
          <w:p w:rsidR="00676AFC" w:rsidRDefault="00676AFC">
            <w:pPr>
              <w:pStyle w:val="TableColumnIMS"/>
              <w:rPr>
                <w:rFonts w:ascii="Arial" w:hAnsi="Arial" w:cs="Arial"/>
              </w:rPr>
            </w:pPr>
            <w:r>
              <w:rPr>
                <w:rFonts w:ascii="Arial" w:hAnsi="Arial" w:cs="Arial"/>
              </w:rPr>
              <w:t>0.04</w:t>
            </w:r>
          </w:p>
        </w:tc>
        <w:tc>
          <w:tcPr>
            <w:tcW w:w="350" w:type="pct"/>
            <w:vAlign w:val="bottom"/>
          </w:tcPr>
          <w:p w:rsidR="00676AFC" w:rsidRDefault="00676AFC">
            <w:pPr>
              <w:pStyle w:val="TableColumnIMS"/>
              <w:rPr>
                <w:rFonts w:ascii="Arial" w:hAnsi="Arial" w:cs="Arial"/>
              </w:rPr>
            </w:pPr>
            <w:r>
              <w:rPr>
                <w:rFonts w:ascii="Arial" w:hAnsi="Arial" w:cs="Arial"/>
              </w:rPr>
              <w:t>14.31</w:t>
            </w:r>
          </w:p>
        </w:tc>
      </w:tr>
      <w:tr w:rsidR="00676AFC">
        <w:tc>
          <w:tcPr>
            <w:tcW w:w="450" w:type="pct"/>
            <w:vAlign w:val="bottom"/>
          </w:tcPr>
          <w:p w:rsidR="00676AFC" w:rsidRPr="00FA4FB5" w:rsidRDefault="00676AFC">
            <w:pPr>
              <w:pStyle w:val="TableStubIMS"/>
              <w:ind w:left="173" w:hanging="173"/>
              <w:rPr>
                <w:rFonts w:ascii="Arial" w:hAnsi="Arial" w:cs="Arial"/>
                <w:b/>
              </w:rPr>
            </w:pPr>
            <w:r w:rsidRPr="00FA4FB5">
              <w:rPr>
                <w:rFonts w:ascii="Arial" w:hAnsi="Arial" w:cs="Arial"/>
                <w:b/>
              </w:rPr>
              <w:t>2010</w:t>
            </w:r>
          </w:p>
        </w:tc>
        <w:tc>
          <w:tcPr>
            <w:tcW w:w="350" w:type="pct"/>
            <w:vAlign w:val="bottom"/>
          </w:tcPr>
          <w:p w:rsidR="00676AFC" w:rsidRDefault="00676AFC">
            <w:pPr>
              <w:pStyle w:val="TableColumnIMS"/>
              <w:rPr>
                <w:rFonts w:ascii="Arial" w:hAnsi="Arial" w:cs="Arial"/>
              </w:rPr>
            </w:pPr>
            <w:r>
              <w:rPr>
                <w:rFonts w:ascii="Arial" w:hAnsi="Arial" w:cs="Arial"/>
              </w:rPr>
              <w:t>0.32</w:t>
            </w:r>
          </w:p>
        </w:tc>
        <w:tc>
          <w:tcPr>
            <w:tcW w:w="350" w:type="pct"/>
            <w:vAlign w:val="bottom"/>
          </w:tcPr>
          <w:p w:rsidR="00676AFC" w:rsidRDefault="00676AFC">
            <w:pPr>
              <w:pStyle w:val="TableColumnIMS"/>
              <w:rPr>
                <w:rFonts w:ascii="Arial" w:hAnsi="Arial" w:cs="Arial"/>
              </w:rPr>
            </w:pPr>
            <w:r>
              <w:rPr>
                <w:rFonts w:ascii="Arial" w:hAnsi="Arial" w:cs="Arial"/>
              </w:rPr>
              <w:t>(0.85)</w:t>
            </w:r>
          </w:p>
        </w:tc>
        <w:tc>
          <w:tcPr>
            <w:tcW w:w="350" w:type="pct"/>
            <w:vAlign w:val="bottom"/>
          </w:tcPr>
          <w:p w:rsidR="00676AFC" w:rsidRDefault="00676AFC">
            <w:pPr>
              <w:pStyle w:val="TableColumnIMS"/>
              <w:rPr>
                <w:rFonts w:ascii="Arial" w:hAnsi="Arial" w:cs="Arial"/>
              </w:rPr>
            </w:pPr>
            <w:r>
              <w:rPr>
                <w:rFonts w:ascii="Arial" w:hAnsi="Arial" w:cs="Arial"/>
              </w:rPr>
              <w:t>(0.35)</w:t>
            </w:r>
          </w:p>
        </w:tc>
        <w:tc>
          <w:tcPr>
            <w:tcW w:w="350" w:type="pct"/>
            <w:vAlign w:val="bottom"/>
          </w:tcPr>
          <w:p w:rsidR="00676AFC" w:rsidRDefault="00676AFC">
            <w:pPr>
              <w:pStyle w:val="TableColumnIMS"/>
              <w:rPr>
                <w:rFonts w:ascii="Arial" w:hAnsi="Arial" w:cs="Arial"/>
              </w:rPr>
            </w:pPr>
            <w:r>
              <w:rPr>
                <w:rFonts w:ascii="Arial" w:hAnsi="Arial" w:cs="Arial"/>
              </w:rPr>
              <w:t>0.53</w:t>
            </w:r>
          </w:p>
        </w:tc>
        <w:tc>
          <w:tcPr>
            <w:tcW w:w="350" w:type="pct"/>
            <w:vAlign w:val="bottom"/>
          </w:tcPr>
          <w:p w:rsidR="00676AFC" w:rsidRDefault="00676AFC">
            <w:pPr>
              <w:pStyle w:val="TableColumnIMS"/>
              <w:rPr>
                <w:rFonts w:ascii="Arial" w:hAnsi="Arial" w:cs="Arial"/>
              </w:rPr>
            </w:pPr>
            <w:r>
              <w:rPr>
                <w:rFonts w:ascii="Arial" w:hAnsi="Arial" w:cs="Arial"/>
              </w:rPr>
              <w:t>(0.06)</w:t>
            </w:r>
          </w:p>
        </w:tc>
        <w:tc>
          <w:tcPr>
            <w:tcW w:w="350" w:type="pct"/>
            <w:vAlign w:val="bottom"/>
          </w:tcPr>
          <w:p w:rsidR="00676AFC" w:rsidRDefault="00676AFC">
            <w:pPr>
              <w:pStyle w:val="TableColumnIMS"/>
              <w:rPr>
                <w:rFonts w:ascii="Arial" w:hAnsi="Arial" w:cs="Arial"/>
              </w:rPr>
            </w:pPr>
            <w:r>
              <w:rPr>
                <w:rFonts w:ascii="Arial" w:hAnsi="Arial" w:cs="Arial"/>
              </w:rPr>
              <w:t>0.60</w:t>
            </w:r>
          </w:p>
        </w:tc>
        <w:tc>
          <w:tcPr>
            <w:tcW w:w="350" w:type="pct"/>
            <w:vAlign w:val="bottom"/>
          </w:tcPr>
          <w:p w:rsidR="00676AFC" w:rsidRDefault="00676AFC">
            <w:pPr>
              <w:pStyle w:val="TableColumnIMS"/>
              <w:rPr>
                <w:rFonts w:ascii="Arial" w:hAnsi="Arial" w:cs="Arial"/>
              </w:rPr>
            </w:pPr>
            <w:r>
              <w:rPr>
                <w:rFonts w:ascii="Arial" w:hAnsi="Arial" w:cs="Arial"/>
              </w:rPr>
              <w:t>(0.79)</w:t>
            </w:r>
          </w:p>
        </w:tc>
        <w:tc>
          <w:tcPr>
            <w:tcW w:w="350" w:type="pct"/>
            <w:vAlign w:val="bottom"/>
          </w:tcPr>
          <w:p w:rsidR="00676AFC" w:rsidRDefault="00676AFC">
            <w:pPr>
              <w:pStyle w:val="TableColumnIMS"/>
              <w:rPr>
                <w:rFonts w:ascii="Arial" w:hAnsi="Arial" w:cs="Arial"/>
              </w:rPr>
            </w:pPr>
            <w:r>
              <w:rPr>
                <w:rFonts w:ascii="Arial" w:hAnsi="Arial" w:cs="Arial"/>
              </w:rPr>
              <w:t>0.80</w:t>
            </w:r>
          </w:p>
        </w:tc>
        <w:tc>
          <w:tcPr>
            <w:tcW w:w="350" w:type="pct"/>
            <w:vAlign w:val="bottom"/>
          </w:tcPr>
          <w:p w:rsidR="00676AFC" w:rsidRDefault="00676AFC">
            <w:pPr>
              <w:pStyle w:val="TableColumnIMS"/>
              <w:rPr>
                <w:rFonts w:ascii="Arial" w:hAnsi="Arial" w:cs="Arial"/>
              </w:rPr>
            </w:pPr>
            <w:r>
              <w:rPr>
                <w:rFonts w:ascii="Arial" w:hAnsi="Arial" w:cs="Arial"/>
              </w:rPr>
              <w:t>1.23</w:t>
            </w:r>
          </w:p>
        </w:tc>
        <w:tc>
          <w:tcPr>
            <w:tcW w:w="350" w:type="pct"/>
            <w:vAlign w:val="bottom"/>
          </w:tcPr>
          <w:p w:rsidR="00676AFC" w:rsidRDefault="00676AFC">
            <w:pPr>
              <w:pStyle w:val="TableColumnIMS"/>
              <w:rPr>
                <w:rFonts w:ascii="Arial" w:hAnsi="Arial" w:cs="Arial"/>
              </w:rPr>
            </w:pPr>
            <w:r>
              <w:rPr>
                <w:rFonts w:ascii="Arial" w:hAnsi="Arial" w:cs="Arial"/>
              </w:rPr>
              <w:t>0.39</w:t>
            </w:r>
          </w:p>
        </w:tc>
        <w:tc>
          <w:tcPr>
            <w:tcW w:w="350" w:type="pct"/>
            <w:vAlign w:val="bottom"/>
          </w:tcPr>
          <w:p w:rsidR="00676AFC" w:rsidRDefault="00676AFC">
            <w:pPr>
              <w:pStyle w:val="TableColumnIMS"/>
              <w:rPr>
                <w:rFonts w:ascii="Arial" w:hAnsi="Arial" w:cs="Arial"/>
              </w:rPr>
            </w:pPr>
            <w:r>
              <w:rPr>
                <w:rFonts w:ascii="Arial" w:hAnsi="Arial" w:cs="Arial"/>
              </w:rPr>
              <w:t>(0.21)</w:t>
            </w:r>
          </w:p>
        </w:tc>
        <w:tc>
          <w:tcPr>
            <w:tcW w:w="350" w:type="pct"/>
            <w:vAlign w:val="bottom"/>
          </w:tcPr>
          <w:p w:rsidR="00676AFC" w:rsidRDefault="00676AFC">
            <w:pPr>
              <w:pStyle w:val="TableColumnIMS"/>
              <w:rPr>
                <w:rFonts w:ascii="Arial" w:hAnsi="Arial" w:cs="Arial"/>
              </w:rPr>
            </w:pPr>
            <w:r>
              <w:rPr>
                <w:rFonts w:ascii="Arial" w:hAnsi="Arial" w:cs="Arial"/>
              </w:rPr>
              <w:t>(0.06)</w:t>
            </w:r>
          </w:p>
        </w:tc>
        <w:tc>
          <w:tcPr>
            <w:tcW w:w="350" w:type="pct"/>
            <w:vAlign w:val="bottom"/>
          </w:tcPr>
          <w:p w:rsidR="00676AFC" w:rsidRDefault="00676AFC">
            <w:pPr>
              <w:pStyle w:val="TableColumnIMS"/>
              <w:rPr>
                <w:rFonts w:ascii="Arial" w:hAnsi="Arial" w:cs="Arial"/>
              </w:rPr>
            </w:pPr>
            <w:r>
              <w:rPr>
                <w:rFonts w:ascii="Arial" w:hAnsi="Arial" w:cs="Arial"/>
              </w:rPr>
              <w:t>1.54</w:t>
            </w:r>
          </w:p>
        </w:tc>
      </w:tr>
      <w:tr w:rsidR="00676AFC">
        <w:tc>
          <w:tcPr>
            <w:tcW w:w="450" w:type="pct"/>
            <w:vAlign w:val="bottom"/>
          </w:tcPr>
          <w:p w:rsidR="00676AFC" w:rsidRPr="00FA4FB5" w:rsidRDefault="00676AFC">
            <w:pPr>
              <w:pStyle w:val="TableStubIMS"/>
              <w:ind w:left="173" w:hanging="173"/>
              <w:rPr>
                <w:rFonts w:ascii="Arial" w:hAnsi="Arial" w:cs="Arial"/>
                <w:b/>
              </w:rPr>
            </w:pPr>
            <w:r w:rsidRPr="00FA4FB5">
              <w:rPr>
                <w:rFonts w:ascii="Arial" w:hAnsi="Arial" w:cs="Arial"/>
                <w:b/>
              </w:rPr>
              <w:t>2011</w:t>
            </w:r>
          </w:p>
        </w:tc>
        <w:tc>
          <w:tcPr>
            <w:tcW w:w="350" w:type="pct"/>
            <w:vAlign w:val="bottom"/>
          </w:tcPr>
          <w:p w:rsidR="00676AFC" w:rsidRDefault="00676AFC">
            <w:pPr>
              <w:pStyle w:val="TableColumnIMS"/>
              <w:rPr>
                <w:rFonts w:ascii="Arial" w:hAnsi="Arial" w:cs="Arial"/>
              </w:rPr>
            </w:pPr>
            <w:r>
              <w:rPr>
                <w:rFonts w:ascii="Arial" w:hAnsi="Arial" w:cs="Arial"/>
              </w:rPr>
              <w:t>0.09</w:t>
            </w:r>
          </w:p>
        </w:tc>
        <w:tc>
          <w:tcPr>
            <w:tcW w:w="350" w:type="pct"/>
            <w:vAlign w:val="bottom"/>
          </w:tcPr>
          <w:p w:rsidR="00676AFC" w:rsidRDefault="00676AFC">
            <w:pPr>
              <w:pStyle w:val="TableColumnIMS"/>
              <w:rPr>
                <w:rFonts w:ascii="Arial" w:hAnsi="Arial" w:cs="Arial"/>
              </w:rPr>
            </w:pPr>
            <w:r>
              <w:rPr>
                <w:rFonts w:ascii="Arial" w:hAnsi="Arial" w:cs="Arial"/>
              </w:rPr>
              <w:t>0.42</w:t>
            </w:r>
          </w:p>
        </w:tc>
        <w:tc>
          <w:tcPr>
            <w:tcW w:w="350" w:type="pct"/>
            <w:vAlign w:val="bottom"/>
          </w:tcPr>
          <w:p w:rsidR="00676AFC" w:rsidRDefault="00676AFC">
            <w:pPr>
              <w:pStyle w:val="TableColumnIMS"/>
              <w:rPr>
                <w:rFonts w:ascii="Arial" w:hAnsi="Arial" w:cs="Arial"/>
              </w:rPr>
            </w:pPr>
            <w:r>
              <w:rPr>
                <w:rFonts w:ascii="Arial" w:hAnsi="Arial" w:cs="Arial"/>
              </w:rPr>
              <w:t>0.34</w:t>
            </w:r>
          </w:p>
        </w:tc>
        <w:tc>
          <w:tcPr>
            <w:tcW w:w="350" w:type="pct"/>
            <w:vAlign w:val="bottom"/>
          </w:tcPr>
          <w:p w:rsidR="00676AFC" w:rsidRDefault="00676AFC">
            <w:pPr>
              <w:pStyle w:val="TableColumnIMS"/>
              <w:rPr>
                <w:rFonts w:ascii="Arial" w:hAnsi="Arial" w:cs="Arial"/>
              </w:rPr>
            </w:pPr>
            <w:r>
              <w:rPr>
                <w:rFonts w:ascii="Arial" w:hAnsi="Arial" w:cs="Arial"/>
              </w:rPr>
              <w:t>1.20</w:t>
            </w:r>
          </w:p>
        </w:tc>
        <w:tc>
          <w:tcPr>
            <w:tcW w:w="350" w:type="pct"/>
            <w:vAlign w:val="bottom"/>
          </w:tcPr>
          <w:p w:rsidR="00676AFC" w:rsidRDefault="00676AFC">
            <w:pPr>
              <w:pStyle w:val="TableColumnIMS"/>
              <w:rPr>
                <w:rFonts w:ascii="Arial" w:hAnsi="Arial" w:cs="Arial"/>
              </w:rPr>
            </w:pPr>
            <w:r>
              <w:rPr>
                <w:rFonts w:ascii="Arial" w:hAnsi="Arial" w:cs="Arial"/>
              </w:rPr>
              <w:t>0.19</w:t>
            </w:r>
          </w:p>
        </w:tc>
        <w:tc>
          <w:tcPr>
            <w:tcW w:w="350" w:type="pct"/>
            <w:vAlign w:val="bottom"/>
          </w:tcPr>
          <w:p w:rsidR="00676AFC" w:rsidRDefault="00676AFC">
            <w:pPr>
              <w:pStyle w:val="TableColumnIMS"/>
              <w:rPr>
                <w:rFonts w:ascii="Arial" w:hAnsi="Arial" w:cs="Arial"/>
              </w:rPr>
            </w:pPr>
            <w:r>
              <w:rPr>
                <w:rFonts w:ascii="Arial" w:hAnsi="Arial" w:cs="Arial"/>
              </w:rPr>
              <w:t>(0.56)</w:t>
            </w:r>
          </w:p>
        </w:tc>
        <w:tc>
          <w:tcPr>
            <w:tcW w:w="350" w:type="pct"/>
            <w:vAlign w:val="bottom"/>
          </w:tcPr>
          <w:p w:rsidR="00676AFC" w:rsidRDefault="00676AFC">
            <w:pPr>
              <w:pStyle w:val="TableColumnIMS"/>
              <w:rPr>
                <w:rFonts w:ascii="Arial" w:hAnsi="Arial" w:cs="Arial"/>
              </w:rPr>
            </w:pPr>
            <w:r>
              <w:rPr>
                <w:rFonts w:ascii="Arial" w:hAnsi="Arial" w:cs="Arial"/>
              </w:rPr>
              <w:t>1.61</w:t>
            </w:r>
          </w:p>
        </w:tc>
        <w:tc>
          <w:tcPr>
            <w:tcW w:w="350" w:type="pct"/>
            <w:vAlign w:val="bottom"/>
          </w:tcPr>
          <w:p w:rsidR="00676AFC" w:rsidRDefault="00676AFC">
            <w:pPr>
              <w:pStyle w:val="TableColumnIMS"/>
              <w:rPr>
                <w:rFonts w:ascii="Arial" w:hAnsi="Arial" w:cs="Arial"/>
              </w:rPr>
            </w:pPr>
            <w:r>
              <w:rPr>
                <w:rFonts w:ascii="Arial" w:hAnsi="Arial" w:cs="Arial"/>
              </w:rPr>
              <w:t>3.51</w:t>
            </w:r>
          </w:p>
        </w:tc>
        <w:tc>
          <w:tcPr>
            <w:tcW w:w="350" w:type="pct"/>
            <w:vAlign w:val="bottom"/>
          </w:tcPr>
          <w:p w:rsidR="00676AFC" w:rsidRDefault="00676AFC">
            <w:pPr>
              <w:pStyle w:val="TableColumnIMS"/>
              <w:rPr>
                <w:rFonts w:ascii="Arial" w:hAnsi="Arial" w:cs="Arial"/>
              </w:rPr>
            </w:pPr>
            <w:r>
              <w:rPr>
                <w:rFonts w:ascii="Arial" w:hAnsi="Arial" w:cs="Arial"/>
              </w:rPr>
              <w:t>(1.29)</w:t>
            </w:r>
          </w:p>
        </w:tc>
        <w:tc>
          <w:tcPr>
            <w:tcW w:w="350" w:type="pct"/>
            <w:vAlign w:val="bottom"/>
          </w:tcPr>
          <w:p w:rsidR="00676AFC" w:rsidRDefault="00676AFC">
            <w:pPr>
              <w:pStyle w:val="TableColumnIMS"/>
              <w:rPr>
                <w:rFonts w:ascii="Arial" w:hAnsi="Arial" w:cs="Arial"/>
              </w:rPr>
            </w:pPr>
            <w:r>
              <w:rPr>
                <w:rFonts w:ascii="Arial" w:hAnsi="Arial" w:cs="Arial"/>
              </w:rPr>
              <w:t>(0.14)</w:t>
            </w:r>
          </w:p>
        </w:tc>
        <w:tc>
          <w:tcPr>
            <w:tcW w:w="350" w:type="pct"/>
            <w:vAlign w:val="bottom"/>
          </w:tcPr>
          <w:p w:rsidR="00676AFC" w:rsidRDefault="00676AFC">
            <w:pPr>
              <w:pStyle w:val="TableColumnIMS"/>
              <w:rPr>
                <w:rFonts w:ascii="Arial" w:hAnsi="Arial" w:cs="Arial"/>
              </w:rPr>
            </w:pPr>
            <w:r>
              <w:rPr>
                <w:rFonts w:ascii="Arial" w:hAnsi="Arial" w:cs="Arial"/>
              </w:rPr>
              <w:t>0.19</w:t>
            </w:r>
          </w:p>
        </w:tc>
        <w:tc>
          <w:tcPr>
            <w:tcW w:w="350" w:type="pct"/>
            <w:vAlign w:val="bottom"/>
          </w:tcPr>
          <w:p w:rsidR="00676AFC" w:rsidRDefault="00676AFC">
            <w:pPr>
              <w:pStyle w:val="TableColumnIMS"/>
              <w:rPr>
                <w:rFonts w:ascii="Arial" w:hAnsi="Arial" w:cs="Arial"/>
              </w:rPr>
            </w:pPr>
            <w:r>
              <w:rPr>
                <w:rFonts w:ascii="Arial" w:hAnsi="Arial" w:cs="Arial"/>
              </w:rPr>
              <w:t>(0.88)</w:t>
            </w:r>
          </w:p>
        </w:tc>
        <w:tc>
          <w:tcPr>
            <w:tcW w:w="350" w:type="pct"/>
            <w:vAlign w:val="bottom"/>
          </w:tcPr>
          <w:p w:rsidR="00676AFC" w:rsidRDefault="00676AFC">
            <w:pPr>
              <w:pStyle w:val="TableColumnIMS"/>
              <w:rPr>
                <w:rFonts w:ascii="Arial" w:hAnsi="Arial" w:cs="Arial"/>
              </w:rPr>
            </w:pPr>
            <w:r>
              <w:rPr>
                <w:rFonts w:ascii="Arial" w:hAnsi="Arial" w:cs="Arial"/>
              </w:rPr>
              <w:t>4.69</w:t>
            </w:r>
          </w:p>
        </w:tc>
      </w:tr>
      <w:tr w:rsidR="00676AFC">
        <w:tc>
          <w:tcPr>
            <w:tcW w:w="450" w:type="pct"/>
            <w:tcBorders>
              <w:bottom w:val="single" w:sz="4" w:space="0" w:color="auto"/>
            </w:tcBorders>
            <w:vAlign w:val="bottom"/>
          </w:tcPr>
          <w:p w:rsidR="00676AFC" w:rsidRPr="00FA4FB5" w:rsidRDefault="00676AFC">
            <w:pPr>
              <w:pStyle w:val="TableStubIMS"/>
              <w:ind w:left="173" w:hanging="173"/>
              <w:rPr>
                <w:rFonts w:ascii="Arial" w:hAnsi="Arial" w:cs="Arial"/>
                <w:b/>
              </w:rPr>
            </w:pPr>
            <w:r w:rsidRPr="00FA4FB5">
              <w:rPr>
                <w:rFonts w:ascii="Arial" w:hAnsi="Arial" w:cs="Arial"/>
                <w:b/>
              </w:rPr>
              <w:t>2012</w:t>
            </w:r>
          </w:p>
        </w:tc>
        <w:tc>
          <w:tcPr>
            <w:tcW w:w="350" w:type="pct"/>
            <w:tcBorders>
              <w:bottom w:val="single" w:sz="4" w:space="0" w:color="auto"/>
            </w:tcBorders>
            <w:vAlign w:val="bottom"/>
          </w:tcPr>
          <w:p w:rsidR="00676AFC" w:rsidRDefault="00676AFC">
            <w:pPr>
              <w:pStyle w:val="TableColumnIMS"/>
              <w:rPr>
                <w:rFonts w:ascii="Arial" w:hAnsi="Arial" w:cs="Arial"/>
              </w:rPr>
            </w:pPr>
            <w:r>
              <w:rPr>
                <w:rFonts w:ascii="Arial" w:hAnsi="Arial" w:cs="Arial"/>
              </w:rPr>
              <w:t>1.22</w:t>
            </w:r>
          </w:p>
        </w:tc>
        <w:tc>
          <w:tcPr>
            <w:tcW w:w="350" w:type="pct"/>
            <w:tcBorders>
              <w:bottom w:val="single" w:sz="4" w:space="0" w:color="auto"/>
            </w:tcBorders>
            <w:vAlign w:val="bottom"/>
          </w:tcPr>
          <w:p w:rsidR="00676AFC" w:rsidRDefault="00676AFC">
            <w:pPr>
              <w:pStyle w:val="TableColumnIMS"/>
              <w:rPr>
                <w:rFonts w:ascii="Arial" w:hAnsi="Arial" w:cs="Arial"/>
              </w:rPr>
            </w:pPr>
            <w:r>
              <w:rPr>
                <w:rFonts w:ascii="Arial" w:hAnsi="Arial" w:cs="Arial"/>
              </w:rPr>
              <w:t>1.02</w:t>
            </w:r>
          </w:p>
        </w:tc>
        <w:tc>
          <w:tcPr>
            <w:tcW w:w="350" w:type="pct"/>
            <w:tcBorders>
              <w:bottom w:val="single" w:sz="4" w:space="0" w:color="auto"/>
            </w:tcBorders>
            <w:vAlign w:val="bottom"/>
          </w:tcPr>
          <w:p w:rsidR="00676AFC" w:rsidRDefault="00676AFC">
            <w:pPr>
              <w:pStyle w:val="TableColumnIMS"/>
              <w:rPr>
                <w:rFonts w:ascii="Arial" w:hAnsi="Arial" w:cs="Arial"/>
              </w:rPr>
            </w:pPr>
            <w:r>
              <w:rPr>
                <w:rFonts w:ascii="Arial" w:hAnsi="Arial" w:cs="Arial"/>
              </w:rPr>
              <w:t>(0.54)</w:t>
            </w:r>
          </w:p>
        </w:tc>
        <w:tc>
          <w:tcPr>
            <w:tcW w:w="350" w:type="pct"/>
            <w:tcBorders>
              <w:bottom w:val="single" w:sz="4" w:space="0" w:color="auto"/>
            </w:tcBorders>
            <w:vAlign w:val="bottom"/>
          </w:tcPr>
          <w:p w:rsidR="00676AFC" w:rsidRDefault="00676AFC">
            <w:pPr>
              <w:pStyle w:val="TableColumnIMS"/>
              <w:rPr>
                <w:rFonts w:ascii="Arial" w:hAnsi="Arial" w:cs="Arial"/>
              </w:rPr>
            </w:pPr>
            <w:r>
              <w:rPr>
                <w:rFonts w:ascii="Arial" w:hAnsi="Arial" w:cs="Arial"/>
              </w:rPr>
              <w:t>(0.10)</w:t>
            </w:r>
          </w:p>
        </w:tc>
        <w:tc>
          <w:tcPr>
            <w:tcW w:w="350" w:type="pct"/>
            <w:tcBorders>
              <w:bottom w:val="single" w:sz="4" w:space="0" w:color="auto"/>
            </w:tcBorders>
            <w:vAlign w:val="bottom"/>
          </w:tcPr>
          <w:p w:rsidR="00676AFC" w:rsidRDefault="00676AFC">
            <w:pPr>
              <w:pStyle w:val="TableColumnIMS"/>
              <w:rPr>
                <w:rFonts w:ascii="Arial" w:hAnsi="Arial" w:cs="Arial"/>
              </w:rPr>
            </w:pPr>
            <w:r>
              <w:rPr>
                <w:rFonts w:ascii="Arial" w:hAnsi="Arial" w:cs="Arial"/>
              </w:rPr>
              <w:t>(0.65)</w:t>
            </w:r>
          </w:p>
        </w:tc>
        <w:tc>
          <w:tcPr>
            <w:tcW w:w="350" w:type="pct"/>
            <w:tcBorders>
              <w:bottom w:val="single" w:sz="4" w:space="0" w:color="auto"/>
            </w:tcBorders>
            <w:vAlign w:val="bottom"/>
          </w:tcPr>
          <w:p w:rsidR="00676AFC" w:rsidRDefault="00676AFC">
            <w:pPr>
              <w:pStyle w:val="TableColumnIMS"/>
              <w:rPr>
                <w:rFonts w:ascii="Arial" w:hAnsi="Arial" w:cs="Arial"/>
              </w:rPr>
            </w:pPr>
            <w:r>
              <w:rPr>
                <w:rFonts w:ascii="Arial" w:hAnsi="Arial" w:cs="Arial"/>
              </w:rPr>
              <w:t>(1.53)</w:t>
            </w:r>
          </w:p>
        </w:tc>
        <w:tc>
          <w:tcPr>
            <w:tcW w:w="350" w:type="pct"/>
            <w:tcBorders>
              <w:bottom w:val="single" w:sz="4" w:space="0" w:color="auto"/>
            </w:tcBorders>
            <w:vAlign w:val="bottom"/>
          </w:tcPr>
          <w:p w:rsidR="00676AFC" w:rsidRDefault="00676AFC">
            <w:pPr>
              <w:pStyle w:val="TableColumnIMS"/>
              <w:rPr>
                <w:rFonts w:ascii="Arial" w:hAnsi="Arial" w:cs="Arial"/>
              </w:rPr>
            </w:pPr>
          </w:p>
        </w:tc>
        <w:tc>
          <w:tcPr>
            <w:tcW w:w="350" w:type="pct"/>
            <w:tcBorders>
              <w:bottom w:val="single" w:sz="4" w:space="0" w:color="auto"/>
            </w:tcBorders>
            <w:vAlign w:val="bottom"/>
          </w:tcPr>
          <w:p w:rsidR="00676AFC" w:rsidRDefault="00676AFC">
            <w:pPr>
              <w:pStyle w:val="TableColumnIMS"/>
              <w:rPr>
                <w:rFonts w:ascii="Arial" w:hAnsi="Arial" w:cs="Arial"/>
              </w:rPr>
            </w:pPr>
          </w:p>
        </w:tc>
        <w:tc>
          <w:tcPr>
            <w:tcW w:w="350" w:type="pct"/>
            <w:tcBorders>
              <w:bottom w:val="single" w:sz="4" w:space="0" w:color="auto"/>
            </w:tcBorders>
            <w:vAlign w:val="bottom"/>
          </w:tcPr>
          <w:p w:rsidR="00676AFC" w:rsidRDefault="00676AFC">
            <w:pPr>
              <w:pStyle w:val="TableColumnIMS"/>
              <w:rPr>
                <w:rFonts w:ascii="Arial" w:hAnsi="Arial" w:cs="Arial"/>
              </w:rPr>
            </w:pPr>
          </w:p>
        </w:tc>
        <w:tc>
          <w:tcPr>
            <w:tcW w:w="350" w:type="pct"/>
            <w:tcBorders>
              <w:bottom w:val="single" w:sz="4" w:space="0" w:color="auto"/>
            </w:tcBorders>
            <w:vAlign w:val="bottom"/>
          </w:tcPr>
          <w:p w:rsidR="00676AFC" w:rsidRDefault="00676AFC">
            <w:pPr>
              <w:pStyle w:val="TableColumnIMS"/>
              <w:rPr>
                <w:rFonts w:ascii="Arial" w:hAnsi="Arial" w:cs="Arial"/>
              </w:rPr>
            </w:pPr>
          </w:p>
        </w:tc>
        <w:tc>
          <w:tcPr>
            <w:tcW w:w="350" w:type="pct"/>
            <w:tcBorders>
              <w:bottom w:val="single" w:sz="4" w:space="0" w:color="auto"/>
            </w:tcBorders>
            <w:vAlign w:val="bottom"/>
          </w:tcPr>
          <w:p w:rsidR="00676AFC" w:rsidRDefault="00676AFC">
            <w:pPr>
              <w:pStyle w:val="TableColumnIMS"/>
              <w:rPr>
                <w:rFonts w:ascii="Arial" w:hAnsi="Arial" w:cs="Arial"/>
              </w:rPr>
            </w:pPr>
          </w:p>
        </w:tc>
        <w:tc>
          <w:tcPr>
            <w:tcW w:w="350" w:type="pct"/>
            <w:tcBorders>
              <w:bottom w:val="single" w:sz="4" w:space="0" w:color="auto"/>
            </w:tcBorders>
            <w:vAlign w:val="bottom"/>
          </w:tcPr>
          <w:p w:rsidR="00676AFC" w:rsidRDefault="00676AFC">
            <w:pPr>
              <w:pStyle w:val="TableColumnIMS"/>
              <w:rPr>
                <w:rFonts w:ascii="Arial" w:hAnsi="Arial" w:cs="Arial"/>
              </w:rPr>
            </w:pPr>
          </w:p>
        </w:tc>
        <w:tc>
          <w:tcPr>
            <w:tcW w:w="350" w:type="pct"/>
            <w:tcBorders>
              <w:bottom w:val="single" w:sz="4" w:space="0" w:color="auto"/>
            </w:tcBorders>
            <w:vAlign w:val="bottom"/>
          </w:tcPr>
          <w:p w:rsidR="00676AFC" w:rsidRDefault="00676AFC">
            <w:pPr>
              <w:pStyle w:val="TableColumnIMS"/>
              <w:rPr>
                <w:rFonts w:ascii="Arial" w:hAnsi="Arial" w:cs="Arial"/>
              </w:rPr>
            </w:pPr>
            <w:r>
              <w:rPr>
                <w:rFonts w:ascii="Arial" w:hAnsi="Arial" w:cs="Arial"/>
              </w:rPr>
              <w:t>(0.61)</w:t>
            </w:r>
          </w:p>
        </w:tc>
      </w:tr>
      <w:tr w:rsidR="00676AFC">
        <w:tc>
          <w:tcPr>
            <w:tcW w:w="450" w:type="pct"/>
            <w:tcBorders>
              <w:top w:val="single" w:sz="4" w:space="0" w:color="auto"/>
            </w:tcBorders>
            <w:vAlign w:val="bottom"/>
          </w:tcPr>
          <w:p w:rsidR="00676AFC" w:rsidRPr="00FA4FB5" w:rsidRDefault="00676AFC">
            <w:pPr>
              <w:pStyle w:val="TableStubIMS"/>
              <w:ind w:left="173" w:hanging="173"/>
              <w:rPr>
                <w:rFonts w:ascii="Arial" w:hAnsi="Arial" w:cs="Arial"/>
                <w:b/>
              </w:rPr>
            </w:pPr>
          </w:p>
        </w:tc>
        <w:tc>
          <w:tcPr>
            <w:tcW w:w="350" w:type="pct"/>
            <w:tcBorders>
              <w:top w:val="single" w:sz="4" w:space="0" w:color="auto"/>
            </w:tcBorders>
            <w:vAlign w:val="bottom"/>
          </w:tcPr>
          <w:p w:rsidR="00676AFC" w:rsidRDefault="00676AFC">
            <w:pPr>
              <w:pStyle w:val="TableColumnIMS"/>
              <w:rPr>
                <w:rFonts w:ascii="Arial" w:hAnsi="Arial" w:cs="Arial"/>
              </w:rPr>
            </w:pPr>
          </w:p>
        </w:tc>
        <w:tc>
          <w:tcPr>
            <w:tcW w:w="350" w:type="pct"/>
            <w:tcBorders>
              <w:top w:val="single" w:sz="4" w:space="0" w:color="auto"/>
            </w:tcBorders>
            <w:vAlign w:val="bottom"/>
          </w:tcPr>
          <w:p w:rsidR="00676AFC" w:rsidRDefault="00676AFC">
            <w:pPr>
              <w:pStyle w:val="TableColumnIMS"/>
              <w:rPr>
                <w:rFonts w:ascii="Arial" w:hAnsi="Arial" w:cs="Arial"/>
              </w:rPr>
            </w:pPr>
          </w:p>
        </w:tc>
        <w:tc>
          <w:tcPr>
            <w:tcW w:w="350" w:type="pct"/>
            <w:tcBorders>
              <w:top w:val="single" w:sz="4" w:space="0" w:color="auto"/>
            </w:tcBorders>
            <w:vAlign w:val="bottom"/>
          </w:tcPr>
          <w:p w:rsidR="00676AFC" w:rsidRDefault="00676AFC">
            <w:pPr>
              <w:pStyle w:val="TableColumnIMS"/>
              <w:rPr>
                <w:rFonts w:ascii="Arial" w:hAnsi="Arial" w:cs="Arial"/>
              </w:rPr>
            </w:pPr>
          </w:p>
        </w:tc>
        <w:tc>
          <w:tcPr>
            <w:tcW w:w="350" w:type="pct"/>
            <w:tcBorders>
              <w:top w:val="single" w:sz="4" w:space="0" w:color="auto"/>
            </w:tcBorders>
            <w:vAlign w:val="bottom"/>
          </w:tcPr>
          <w:p w:rsidR="00676AFC" w:rsidRDefault="00676AFC">
            <w:pPr>
              <w:pStyle w:val="TableColumnIMS"/>
              <w:rPr>
                <w:rFonts w:ascii="Arial" w:hAnsi="Arial" w:cs="Arial"/>
              </w:rPr>
            </w:pPr>
          </w:p>
        </w:tc>
        <w:tc>
          <w:tcPr>
            <w:tcW w:w="350" w:type="pct"/>
            <w:tcBorders>
              <w:top w:val="single" w:sz="4" w:space="0" w:color="auto"/>
            </w:tcBorders>
            <w:vAlign w:val="bottom"/>
          </w:tcPr>
          <w:p w:rsidR="00676AFC" w:rsidRDefault="00676AFC">
            <w:pPr>
              <w:pStyle w:val="TableColumnIMS"/>
              <w:rPr>
                <w:rFonts w:ascii="Arial" w:hAnsi="Arial" w:cs="Arial"/>
              </w:rPr>
            </w:pPr>
          </w:p>
        </w:tc>
        <w:tc>
          <w:tcPr>
            <w:tcW w:w="350" w:type="pct"/>
            <w:tcBorders>
              <w:top w:val="single" w:sz="4" w:space="0" w:color="auto"/>
            </w:tcBorders>
            <w:vAlign w:val="bottom"/>
          </w:tcPr>
          <w:p w:rsidR="00676AFC" w:rsidRDefault="00676AFC">
            <w:pPr>
              <w:pStyle w:val="TableColumnIMS"/>
              <w:rPr>
                <w:rFonts w:ascii="Arial" w:hAnsi="Arial" w:cs="Arial"/>
              </w:rPr>
            </w:pPr>
          </w:p>
        </w:tc>
        <w:tc>
          <w:tcPr>
            <w:tcW w:w="350" w:type="pct"/>
            <w:tcBorders>
              <w:top w:val="single" w:sz="4" w:space="0" w:color="auto"/>
            </w:tcBorders>
            <w:vAlign w:val="bottom"/>
          </w:tcPr>
          <w:p w:rsidR="00676AFC" w:rsidRDefault="00676AFC">
            <w:pPr>
              <w:pStyle w:val="TableColumnIMS"/>
              <w:rPr>
                <w:rFonts w:ascii="Arial" w:hAnsi="Arial" w:cs="Arial"/>
              </w:rPr>
            </w:pPr>
          </w:p>
        </w:tc>
        <w:tc>
          <w:tcPr>
            <w:tcW w:w="350" w:type="pct"/>
            <w:tcBorders>
              <w:top w:val="single" w:sz="4" w:space="0" w:color="auto"/>
            </w:tcBorders>
            <w:vAlign w:val="bottom"/>
          </w:tcPr>
          <w:p w:rsidR="00676AFC" w:rsidRDefault="00676AFC">
            <w:pPr>
              <w:pStyle w:val="TableColumnIMS"/>
              <w:rPr>
                <w:rFonts w:ascii="Arial" w:hAnsi="Arial" w:cs="Arial"/>
              </w:rPr>
            </w:pPr>
          </w:p>
        </w:tc>
        <w:tc>
          <w:tcPr>
            <w:tcW w:w="350" w:type="pct"/>
            <w:tcBorders>
              <w:top w:val="single" w:sz="4" w:space="0" w:color="auto"/>
            </w:tcBorders>
            <w:vAlign w:val="bottom"/>
          </w:tcPr>
          <w:p w:rsidR="00676AFC" w:rsidRDefault="00676AFC">
            <w:pPr>
              <w:pStyle w:val="TableColumnIMS"/>
              <w:rPr>
                <w:rFonts w:ascii="Arial" w:hAnsi="Arial" w:cs="Arial"/>
              </w:rPr>
            </w:pPr>
          </w:p>
        </w:tc>
        <w:tc>
          <w:tcPr>
            <w:tcW w:w="350" w:type="pct"/>
            <w:tcBorders>
              <w:top w:val="single" w:sz="4" w:space="0" w:color="auto"/>
            </w:tcBorders>
            <w:vAlign w:val="bottom"/>
          </w:tcPr>
          <w:p w:rsidR="00676AFC" w:rsidRDefault="00676AFC">
            <w:pPr>
              <w:pStyle w:val="TableColumnIMS"/>
              <w:rPr>
                <w:rFonts w:ascii="Arial" w:hAnsi="Arial" w:cs="Arial"/>
              </w:rPr>
            </w:pPr>
          </w:p>
        </w:tc>
        <w:tc>
          <w:tcPr>
            <w:tcW w:w="350" w:type="pct"/>
            <w:tcBorders>
              <w:top w:val="single" w:sz="4" w:space="0" w:color="auto"/>
            </w:tcBorders>
            <w:vAlign w:val="bottom"/>
          </w:tcPr>
          <w:p w:rsidR="00676AFC" w:rsidRDefault="00676AFC">
            <w:pPr>
              <w:pStyle w:val="TableColumnIMS"/>
              <w:rPr>
                <w:rFonts w:ascii="Arial" w:hAnsi="Arial" w:cs="Arial"/>
              </w:rPr>
            </w:pPr>
          </w:p>
        </w:tc>
        <w:tc>
          <w:tcPr>
            <w:tcW w:w="350" w:type="pct"/>
            <w:tcBorders>
              <w:top w:val="single" w:sz="4" w:space="0" w:color="auto"/>
            </w:tcBorders>
            <w:vAlign w:val="bottom"/>
          </w:tcPr>
          <w:p w:rsidR="00676AFC" w:rsidRDefault="00676AFC">
            <w:pPr>
              <w:pStyle w:val="TableColumnIMS"/>
              <w:rPr>
                <w:rFonts w:ascii="Arial" w:hAnsi="Arial" w:cs="Arial"/>
              </w:rPr>
            </w:pPr>
          </w:p>
        </w:tc>
        <w:tc>
          <w:tcPr>
            <w:tcW w:w="350" w:type="pct"/>
            <w:tcBorders>
              <w:top w:val="single" w:sz="4" w:space="0" w:color="auto"/>
            </w:tcBorders>
            <w:vAlign w:val="bottom"/>
          </w:tcPr>
          <w:p w:rsidR="00676AFC" w:rsidRDefault="00676AFC">
            <w:pPr>
              <w:pStyle w:val="TableColumnIMS"/>
              <w:rPr>
                <w:rFonts w:ascii="Arial" w:hAnsi="Arial" w:cs="Arial"/>
              </w:rPr>
            </w:pPr>
          </w:p>
        </w:tc>
      </w:tr>
      <w:tr w:rsidR="00676AFC">
        <w:tc>
          <w:tcPr>
            <w:tcW w:w="450" w:type="pct"/>
            <w:tcBorders>
              <w:bottom w:val="single" w:sz="4" w:space="0" w:color="auto"/>
            </w:tcBorders>
            <w:vAlign w:val="bottom"/>
          </w:tcPr>
          <w:p w:rsidR="00676AFC" w:rsidRPr="00FA4FB5" w:rsidRDefault="00676AFC">
            <w:pPr>
              <w:pStyle w:val="TableStubIMS"/>
              <w:ind w:left="173" w:hanging="173"/>
              <w:rPr>
                <w:rFonts w:ascii="Arial" w:hAnsi="Arial" w:cs="Arial"/>
                <w:b/>
                <w:bCs/>
              </w:rPr>
            </w:pPr>
            <w:r w:rsidRPr="00FA4FB5">
              <w:rPr>
                <w:rFonts w:ascii="Arial" w:hAnsi="Arial" w:cs="Arial"/>
                <w:b/>
                <w:bCs/>
              </w:rPr>
              <w:t>EUR</w:t>
            </w:r>
          </w:p>
        </w:tc>
        <w:tc>
          <w:tcPr>
            <w:tcW w:w="350" w:type="pct"/>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Jan</w:t>
            </w:r>
          </w:p>
        </w:tc>
        <w:tc>
          <w:tcPr>
            <w:tcW w:w="350" w:type="pct"/>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Feb</w:t>
            </w:r>
          </w:p>
        </w:tc>
        <w:tc>
          <w:tcPr>
            <w:tcW w:w="350" w:type="pct"/>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Mar</w:t>
            </w:r>
          </w:p>
        </w:tc>
        <w:tc>
          <w:tcPr>
            <w:tcW w:w="350" w:type="pct"/>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Apr</w:t>
            </w:r>
          </w:p>
        </w:tc>
        <w:tc>
          <w:tcPr>
            <w:tcW w:w="350" w:type="pct"/>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May</w:t>
            </w:r>
          </w:p>
        </w:tc>
        <w:tc>
          <w:tcPr>
            <w:tcW w:w="350" w:type="pct"/>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Jun</w:t>
            </w:r>
          </w:p>
        </w:tc>
        <w:tc>
          <w:tcPr>
            <w:tcW w:w="350" w:type="pct"/>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Jul</w:t>
            </w:r>
          </w:p>
        </w:tc>
        <w:tc>
          <w:tcPr>
            <w:tcW w:w="350" w:type="pct"/>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Aug</w:t>
            </w:r>
          </w:p>
        </w:tc>
        <w:tc>
          <w:tcPr>
            <w:tcW w:w="350" w:type="pct"/>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Sep</w:t>
            </w:r>
          </w:p>
        </w:tc>
        <w:tc>
          <w:tcPr>
            <w:tcW w:w="350" w:type="pct"/>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Oct</w:t>
            </w:r>
          </w:p>
        </w:tc>
        <w:tc>
          <w:tcPr>
            <w:tcW w:w="350" w:type="pct"/>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Nov</w:t>
            </w:r>
          </w:p>
        </w:tc>
        <w:tc>
          <w:tcPr>
            <w:tcW w:w="350" w:type="pct"/>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Dec</w:t>
            </w:r>
          </w:p>
        </w:tc>
        <w:tc>
          <w:tcPr>
            <w:tcW w:w="350" w:type="pct"/>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YTD</w:t>
            </w:r>
          </w:p>
        </w:tc>
      </w:tr>
      <w:tr w:rsidR="00676AFC">
        <w:tc>
          <w:tcPr>
            <w:tcW w:w="450" w:type="pct"/>
            <w:tcBorders>
              <w:top w:val="single" w:sz="4" w:space="0" w:color="auto"/>
            </w:tcBorders>
            <w:vAlign w:val="bottom"/>
          </w:tcPr>
          <w:p w:rsidR="00676AFC" w:rsidRPr="00FA4FB5" w:rsidRDefault="00676AFC">
            <w:pPr>
              <w:pStyle w:val="TableStubIMS"/>
              <w:ind w:left="173" w:hanging="173"/>
              <w:rPr>
                <w:rFonts w:ascii="Arial" w:hAnsi="Arial" w:cs="Arial"/>
                <w:b/>
              </w:rPr>
            </w:pPr>
            <w:r w:rsidRPr="00FA4FB5">
              <w:rPr>
                <w:rFonts w:ascii="Arial" w:hAnsi="Arial" w:cs="Arial"/>
                <w:b/>
              </w:rPr>
              <w:t>2008</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1.28*</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0.25</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0.29</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(4.34)</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1.15</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3.01</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0.44</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1.93</w:t>
            </w:r>
          </w:p>
        </w:tc>
      </w:tr>
      <w:tr w:rsidR="00676AFC">
        <w:tc>
          <w:tcPr>
            <w:tcW w:w="450" w:type="pct"/>
            <w:vAlign w:val="bottom"/>
          </w:tcPr>
          <w:p w:rsidR="00676AFC" w:rsidRPr="00FA4FB5" w:rsidRDefault="00676AFC">
            <w:pPr>
              <w:pStyle w:val="TableStubIMS"/>
              <w:ind w:left="173" w:hanging="173"/>
              <w:rPr>
                <w:rFonts w:ascii="Arial" w:hAnsi="Arial" w:cs="Arial"/>
                <w:b/>
              </w:rPr>
            </w:pPr>
            <w:r w:rsidRPr="00FA4FB5">
              <w:rPr>
                <w:rFonts w:ascii="Arial" w:hAnsi="Arial" w:cs="Arial"/>
                <w:b/>
              </w:rPr>
              <w:t>2009</w:t>
            </w:r>
          </w:p>
        </w:tc>
        <w:tc>
          <w:tcPr>
            <w:tcW w:w="350" w:type="pct"/>
            <w:vAlign w:val="bottom"/>
          </w:tcPr>
          <w:p w:rsidR="00676AFC" w:rsidRDefault="00676AFC">
            <w:pPr>
              <w:pStyle w:val="TableColumnIMS"/>
              <w:rPr>
                <w:rFonts w:ascii="Arial" w:hAnsi="Arial" w:cs="Arial"/>
              </w:rPr>
            </w:pPr>
            <w:r>
              <w:rPr>
                <w:rFonts w:ascii="Arial" w:hAnsi="Arial" w:cs="Arial"/>
              </w:rPr>
              <w:t>3.57</w:t>
            </w:r>
          </w:p>
        </w:tc>
        <w:tc>
          <w:tcPr>
            <w:tcW w:w="350" w:type="pct"/>
            <w:vAlign w:val="bottom"/>
          </w:tcPr>
          <w:p w:rsidR="00676AFC" w:rsidRDefault="00676AFC">
            <w:pPr>
              <w:pStyle w:val="TableColumnIMS"/>
              <w:rPr>
                <w:rFonts w:ascii="Arial" w:hAnsi="Arial" w:cs="Arial"/>
              </w:rPr>
            </w:pPr>
            <w:r>
              <w:rPr>
                <w:rFonts w:ascii="Arial" w:hAnsi="Arial" w:cs="Arial"/>
              </w:rPr>
              <w:t>1.94</w:t>
            </w:r>
          </w:p>
        </w:tc>
        <w:tc>
          <w:tcPr>
            <w:tcW w:w="350" w:type="pct"/>
            <w:vAlign w:val="bottom"/>
          </w:tcPr>
          <w:p w:rsidR="00676AFC" w:rsidRDefault="00676AFC">
            <w:pPr>
              <w:pStyle w:val="TableColumnIMS"/>
              <w:rPr>
                <w:rFonts w:ascii="Arial" w:hAnsi="Arial" w:cs="Arial"/>
              </w:rPr>
            </w:pPr>
            <w:r>
              <w:rPr>
                <w:rFonts w:ascii="Arial" w:hAnsi="Arial" w:cs="Arial"/>
              </w:rPr>
              <w:t>1.13</w:t>
            </w:r>
          </w:p>
        </w:tc>
        <w:tc>
          <w:tcPr>
            <w:tcW w:w="350" w:type="pct"/>
            <w:vAlign w:val="bottom"/>
          </w:tcPr>
          <w:p w:rsidR="00676AFC" w:rsidRDefault="00676AFC">
            <w:pPr>
              <w:pStyle w:val="TableColumnIMS"/>
              <w:rPr>
                <w:rFonts w:ascii="Arial" w:hAnsi="Arial" w:cs="Arial"/>
              </w:rPr>
            </w:pPr>
            <w:r>
              <w:rPr>
                <w:rFonts w:ascii="Arial" w:hAnsi="Arial" w:cs="Arial"/>
              </w:rPr>
              <w:t>1.05</w:t>
            </w:r>
          </w:p>
        </w:tc>
        <w:tc>
          <w:tcPr>
            <w:tcW w:w="350" w:type="pct"/>
            <w:vAlign w:val="bottom"/>
          </w:tcPr>
          <w:p w:rsidR="00676AFC" w:rsidRDefault="00676AFC">
            <w:pPr>
              <w:pStyle w:val="TableColumnIMS"/>
              <w:rPr>
                <w:rFonts w:ascii="Arial" w:hAnsi="Arial" w:cs="Arial"/>
              </w:rPr>
            </w:pPr>
            <w:r>
              <w:rPr>
                <w:rFonts w:ascii="Arial" w:hAnsi="Arial" w:cs="Arial"/>
              </w:rPr>
              <w:t>2.54</w:t>
            </w:r>
          </w:p>
        </w:tc>
        <w:tc>
          <w:tcPr>
            <w:tcW w:w="350" w:type="pct"/>
            <w:vAlign w:val="bottom"/>
          </w:tcPr>
          <w:p w:rsidR="00676AFC" w:rsidRDefault="00676AFC">
            <w:pPr>
              <w:pStyle w:val="TableColumnIMS"/>
              <w:rPr>
                <w:rFonts w:ascii="Arial" w:hAnsi="Arial" w:cs="Arial"/>
              </w:rPr>
            </w:pPr>
            <w:r>
              <w:rPr>
                <w:rFonts w:ascii="Arial" w:hAnsi="Arial" w:cs="Arial"/>
              </w:rPr>
              <w:t>(0.21)</w:t>
            </w:r>
          </w:p>
        </w:tc>
        <w:tc>
          <w:tcPr>
            <w:tcW w:w="350" w:type="pct"/>
            <w:vAlign w:val="bottom"/>
          </w:tcPr>
          <w:p w:rsidR="00676AFC" w:rsidRDefault="00676AFC">
            <w:pPr>
              <w:pStyle w:val="TableColumnIMS"/>
              <w:rPr>
                <w:rFonts w:ascii="Arial" w:hAnsi="Arial" w:cs="Arial"/>
              </w:rPr>
            </w:pPr>
            <w:r>
              <w:rPr>
                <w:rFonts w:ascii="Arial" w:hAnsi="Arial" w:cs="Arial"/>
              </w:rPr>
              <w:t>1.11</w:t>
            </w:r>
          </w:p>
        </w:tc>
        <w:tc>
          <w:tcPr>
            <w:tcW w:w="350" w:type="pct"/>
            <w:vAlign w:val="bottom"/>
          </w:tcPr>
          <w:p w:rsidR="00676AFC" w:rsidRDefault="00676AFC">
            <w:pPr>
              <w:pStyle w:val="TableColumnIMS"/>
              <w:rPr>
                <w:rFonts w:ascii="Arial" w:hAnsi="Arial" w:cs="Arial"/>
              </w:rPr>
            </w:pPr>
            <w:r>
              <w:rPr>
                <w:rFonts w:ascii="Arial" w:hAnsi="Arial" w:cs="Arial"/>
              </w:rPr>
              <w:t>0.27</w:t>
            </w:r>
          </w:p>
        </w:tc>
        <w:tc>
          <w:tcPr>
            <w:tcW w:w="350" w:type="pct"/>
            <w:vAlign w:val="bottom"/>
          </w:tcPr>
          <w:p w:rsidR="00676AFC" w:rsidRDefault="00676AFC">
            <w:pPr>
              <w:pStyle w:val="TableColumnIMS"/>
              <w:rPr>
                <w:rFonts w:ascii="Arial" w:hAnsi="Arial" w:cs="Arial"/>
              </w:rPr>
            </w:pPr>
            <w:r>
              <w:rPr>
                <w:rFonts w:ascii="Arial" w:hAnsi="Arial" w:cs="Arial"/>
              </w:rPr>
              <w:t>1.50</w:t>
            </w:r>
          </w:p>
        </w:tc>
        <w:tc>
          <w:tcPr>
            <w:tcW w:w="350" w:type="pct"/>
            <w:vAlign w:val="bottom"/>
          </w:tcPr>
          <w:p w:rsidR="00676AFC" w:rsidRDefault="00676AFC">
            <w:pPr>
              <w:pStyle w:val="TableColumnIMS"/>
              <w:rPr>
                <w:rFonts w:ascii="Arial" w:hAnsi="Arial" w:cs="Arial"/>
              </w:rPr>
            </w:pPr>
            <w:r>
              <w:rPr>
                <w:rFonts w:ascii="Arial" w:hAnsi="Arial" w:cs="Arial"/>
              </w:rPr>
              <w:t>0.50</w:t>
            </w:r>
          </w:p>
        </w:tc>
        <w:tc>
          <w:tcPr>
            <w:tcW w:w="350" w:type="pct"/>
            <w:vAlign w:val="bottom"/>
          </w:tcPr>
          <w:p w:rsidR="00676AFC" w:rsidRDefault="00676AFC">
            <w:pPr>
              <w:pStyle w:val="TableColumnIMS"/>
              <w:rPr>
                <w:rFonts w:ascii="Arial" w:hAnsi="Arial" w:cs="Arial"/>
              </w:rPr>
            </w:pPr>
            <w:r>
              <w:rPr>
                <w:rFonts w:ascii="Arial" w:hAnsi="Arial" w:cs="Arial"/>
              </w:rPr>
              <w:t>0.08</w:t>
            </w:r>
          </w:p>
        </w:tc>
        <w:tc>
          <w:tcPr>
            <w:tcW w:w="350" w:type="pct"/>
            <w:vAlign w:val="bottom"/>
          </w:tcPr>
          <w:p w:rsidR="00676AFC" w:rsidRDefault="00676AFC">
            <w:pPr>
              <w:pStyle w:val="TableColumnIMS"/>
              <w:rPr>
                <w:rFonts w:ascii="Arial" w:hAnsi="Arial" w:cs="Arial"/>
              </w:rPr>
            </w:pPr>
            <w:r>
              <w:rPr>
                <w:rFonts w:ascii="Arial" w:hAnsi="Arial" w:cs="Arial"/>
              </w:rPr>
              <w:t>0.08</w:t>
            </w:r>
          </w:p>
        </w:tc>
        <w:tc>
          <w:tcPr>
            <w:tcW w:w="350" w:type="pct"/>
            <w:vAlign w:val="bottom"/>
          </w:tcPr>
          <w:p w:rsidR="00676AFC" w:rsidRDefault="00676AFC">
            <w:pPr>
              <w:pStyle w:val="TableColumnIMS"/>
              <w:rPr>
                <w:rFonts w:ascii="Arial" w:hAnsi="Arial" w:cs="Arial"/>
              </w:rPr>
            </w:pPr>
            <w:r>
              <w:rPr>
                <w:rFonts w:ascii="Arial" w:hAnsi="Arial" w:cs="Arial"/>
              </w:rPr>
              <w:t>14.36</w:t>
            </w:r>
          </w:p>
        </w:tc>
      </w:tr>
      <w:tr w:rsidR="00676AFC">
        <w:tc>
          <w:tcPr>
            <w:tcW w:w="450" w:type="pct"/>
            <w:vAlign w:val="bottom"/>
          </w:tcPr>
          <w:p w:rsidR="00676AFC" w:rsidRPr="00FA4FB5" w:rsidRDefault="00676AFC">
            <w:pPr>
              <w:pStyle w:val="TableStubIMS"/>
              <w:ind w:left="173" w:hanging="173"/>
              <w:rPr>
                <w:rFonts w:ascii="Arial" w:hAnsi="Arial" w:cs="Arial"/>
                <w:b/>
              </w:rPr>
            </w:pPr>
            <w:r w:rsidRPr="00FA4FB5">
              <w:rPr>
                <w:rFonts w:ascii="Arial" w:hAnsi="Arial" w:cs="Arial"/>
                <w:b/>
              </w:rPr>
              <w:t>2010</w:t>
            </w:r>
          </w:p>
        </w:tc>
        <w:tc>
          <w:tcPr>
            <w:tcW w:w="350" w:type="pct"/>
            <w:vAlign w:val="bottom"/>
          </w:tcPr>
          <w:p w:rsidR="00676AFC" w:rsidRDefault="00676AFC">
            <w:pPr>
              <w:pStyle w:val="TableColumnIMS"/>
              <w:rPr>
                <w:rFonts w:ascii="Arial" w:hAnsi="Arial" w:cs="Arial"/>
              </w:rPr>
            </w:pPr>
            <w:r>
              <w:rPr>
                <w:rFonts w:ascii="Arial" w:hAnsi="Arial" w:cs="Arial"/>
              </w:rPr>
              <w:t>0.37</w:t>
            </w:r>
          </w:p>
        </w:tc>
        <w:tc>
          <w:tcPr>
            <w:tcW w:w="350" w:type="pct"/>
            <w:vAlign w:val="bottom"/>
          </w:tcPr>
          <w:p w:rsidR="00676AFC" w:rsidRDefault="00676AFC">
            <w:pPr>
              <w:pStyle w:val="TableColumnIMS"/>
              <w:rPr>
                <w:rFonts w:ascii="Arial" w:hAnsi="Arial" w:cs="Arial"/>
              </w:rPr>
            </w:pPr>
            <w:r>
              <w:rPr>
                <w:rFonts w:ascii="Arial" w:hAnsi="Arial" w:cs="Arial"/>
              </w:rPr>
              <w:t>(0.90)</w:t>
            </w:r>
          </w:p>
        </w:tc>
        <w:tc>
          <w:tcPr>
            <w:tcW w:w="350" w:type="pct"/>
            <w:vAlign w:val="bottom"/>
          </w:tcPr>
          <w:p w:rsidR="00676AFC" w:rsidRDefault="00676AFC">
            <w:pPr>
              <w:pStyle w:val="TableColumnIMS"/>
              <w:rPr>
                <w:rFonts w:ascii="Arial" w:hAnsi="Arial" w:cs="Arial"/>
              </w:rPr>
            </w:pPr>
            <w:r>
              <w:rPr>
                <w:rFonts w:ascii="Arial" w:hAnsi="Arial" w:cs="Arial"/>
              </w:rPr>
              <w:t>(0.35)</w:t>
            </w:r>
          </w:p>
        </w:tc>
        <w:tc>
          <w:tcPr>
            <w:tcW w:w="350" w:type="pct"/>
            <w:vAlign w:val="bottom"/>
          </w:tcPr>
          <w:p w:rsidR="00676AFC" w:rsidRDefault="00676AFC">
            <w:pPr>
              <w:pStyle w:val="TableColumnIMS"/>
              <w:rPr>
                <w:rFonts w:ascii="Arial" w:hAnsi="Arial" w:cs="Arial"/>
              </w:rPr>
            </w:pPr>
            <w:r>
              <w:rPr>
                <w:rFonts w:ascii="Arial" w:hAnsi="Arial" w:cs="Arial"/>
              </w:rPr>
              <w:t>0.58</w:t>
            </w:r>
          </w:p>
        </w:tc>
        <w:tc>
          <w:tcPr>
            <w:tcW w:w="350" w:type="pct"/>
            <w:vAlign w:val="bottom"/>
          </w:tcPr>
          <w:p w:rsidR="00676AFC" w:rsidRDefault="00676AFC">
            <w:pPr>
              <w:pStyle w:val="TableColumnIMS"/>
              <w:rPr>
                <w:rFonts w:ascii="Arial" w:hAnsi="Arial" w:cs="Arial"/>
              </w:rPr>
            </w:pPr>
            <w:r>
              <w:rPr>
                <w:rFonts w:ascii="Arial" w:hAnsi="Arial" w:cs="Arial"/>
              </w:rPr>
              <w:t>(0.02)</w:t>
            </w:r>
          </w:p>
        </w:tc>
        <w:tc>
          <w:tcPr>
            <w:tcW w:w="350" w:type="pct"/>
            <w:vAlign w:val="bottom"/>
          </w:tcPr>
          <w:p w:rsidR="00676AFC" w:rsidRDefault="00676AFC">
            <w:pPr>
              <w:pStyle w:val="TableColumnIMS"/>
              <w:rPr>
                <w:rFonts w:ascii="Arial" w:hAnsi="Arial" w:cs="Arial"/>
              </w:rPr>
            </w:pPr>
            <w:r>
              <w:rPr>
                <w:rFonts w:ascii="Arial" w:hAnsi="Arial" w:cs="Arial"/>
              </w:rPr>
              <w:t>0.69</w:t>
            </w:r>
          </w:p>
        </w:tc>
        <w:tc>
          <w:tcPr>
            <w:tcW w:w="350" w:type="pct"/>
            <w:vAlign w:val="bottom"/>
          </w:tcPr>
          <w:p w:rsidR="00676AFC" w:rsidRDefault="00676AFC">
            <w:pPr>
              <w:pStyle w:val="TableColumnIMS"/>
              <w:rPr>
                <w:rFonts w:ascii="Arial" w:hAnsi="Arial" w:cs="Arial"/>
              </w:rPr>
            </w:pPr>
            <w:r>
              <w:rPr>
                <w:rFonts w:ascii="Arial" w:hAnsi="Arial" w:cs="Arial"/>
              </w:rPr>
              <w:t>(0.81)</w:t>
            </w:r>
          </w:p>
        </w:tc>
        <w:tc>
          <w:tcPr>
            <w:tcW w:w="350" w:type="pct"/>
            <w:vAlign w:val="bottom"/>
          </w:tcPr>
          <w:p w:rsidR="00676AFC" w:rsidRDefault="00676AFC">
            <w:pPr>
              <w:pStyle w:val="TableColumnIMS"/>
              <w:rPr>
                <w:rFonts w:ascii="Arial" w:hAnsi="Arial" w:cs="Arial"/>
              </w:rPr>
            </w:pPr>
            <w:r>
              <w:rPr>
                <w:rFonts w:ascii="Arial" w:hAnsi="Arial" w:cs="Arial"/>
              </w:rPr>
              <w:t>0.86</w:t>
            </w:r>
          </w:p>
        </w:tc>
        <w:tc>
          <w:tcPr>
            <w:tcW w:w="350" w:type="pct"/>
            <w:vAlign w:val="bottom"/>
          </w:tcPr>
          <w:p w:rsidR="00676AFC" w:rsidRDefault="00676AFC">
            <w:pPr>
              <w:pStyle w:val="TableColumnIMS"/>
              <w:rPr>
                <w:rFonts w:ascii="Arial" w:hAnsi="Arial" w:cs="Arial"/>
              </w:rPr>
            </w:pPr>
            <w:r>
              <w:rPr>
                <w:rFonts w:ascii="Arial" w:hAnsi="Arial" w:cs="Arial"/>
              </w:rPr>
              <w:t>1.06</w:t>
            </w:r>
          </w:p>
        </w:tc>
        <w:tc>
          <w:tcPr>
            <w:tcW w:w="350" w:type="pct"/>
            <w:vAlign w:val="bottom"/>
          </w:tcPr>
          <w:p w:rsidR="00676AFC" w:rsidRDefault="00676AFC">
            <w:pPr>
              <w:pStyle w:val="TableColumnIMS"/>
              <w:rPr>
                <w:rFonts w:ascii="Arial" w:hAnsi="Arial" w:cs="Arial"/>
              </w:rPr>
            </w:pPr>
            <w:r>
              <w:rPr>
                <w:rFonts w:ascii="Arial" w:hAnsi="Arial" w:cs="Arial"/>
              </w:rPr>
              <w:t>0.36</w:t>
            </w:r>
          </w:p>
        </w:tc>
        <w:tc>
          <w:tcPr>
            <w:tcW w:w="350" w:type="pct"/>
            <w:vAlign w:val="bottom"/>
          </w:tcPr>
          <w:p w:rsidR="00676AFC" w:rsidRDefault="00676AFC">
            <w:pPr>
              <w:pStyle w:val="TableColumnIMS"/>
              <w:rPr>
                <w:rFonts w:ascii="Arial" w:hAnsi="Arial" w:cs="Arial"/>
              </w:rPr>
            </w:pPr>
            <w:r>
              <w:rPr>
                <w:rFonts w:ascii="Arial" w:hAnsi="Arial" w:cs="Arial"/>
              </w:rPr>
              <w:t>(0.14)</w:t>
            </w:r>
          </w:p>
        </w:tc>
        <w:tc>
          <w:tcPr>
            <w:tcW w:w="350" w:type="pct"/>
            <w:vAlign w:val="bottom"/>
          </w:tcPr>
          <w:p w:rsidR="00676AFC" w:rsidRDefault="00676AFC">
            <w:pPr>
              <w:pStyle w:val="TableColumnIMS"/>
              <w:rPr>
                <w:rFonts w:ascii="Arial" w:hAnsi="Arial" w:cs="Arial"/>
              </w:rPr>
            </w:pPr>
            <w:r>
              <w:rPr>
                <w:rFonts w:ascii="Arial" w:hAnsi="Arial" w:cs="Arial"/>
              </w:rPr>
              <w:t>0.04</w:t>
            </w:r>
          </w:p>
        </w:tc>
        <w:tc>
          <w:tcPr>
            <w:tcW w:w="350" w:type="pct"/>
            <w:vAlign w:val="bottom"/>
          </w:tcPr>
          <w:p w:rsidR="00676AFC" w:rsidRDefault="00676AFC">
            <w:pPr>
              <w:pStyle w:val="TableColumnIMS"/>
              <w:rPr>
                <w:rFonts w:ascii="Arial" w:hAnsi="Arial" w:cs="Arial"/>
              </w:rPr>
            </w:pPr>
            <w:r>
              <w:rPr>
                <w:rFonts w:ascii="Arial" w:hAnsi="Arial" w:cs="Arial"/>
              </w:rPr>
              <w:t>1.73</w:t>
            </w:r>
          </w:p>
        </w:tc>
      </w:tr>
      <w:tr w:rsidR="00676AFC">
        <w:tc>
          <w:tcPr>
            <w:tcW w:w="450" w:type="pct"/>
            <w:vAlign w:val="bottom"/>
          </w:tcPr>
          <w:p w:rsidR="00676AFC" w:rsidRPr="00FA4FB5" w:rsidRDefault="00676AFC">
            <w:pPr>
              <w:pStyle w:val="TableStubIMS"/>
              <w:ind w:left="173" w:hanging="173"/>
              <w:rPr>
                <w:rFonts w:ascii="Arial" w:hAnsi="Arial" w:cs="Arial"/>
                <w:b/>
              </w:rPr>
            </w:pPr>
            <w:r w:rsidRPr="00FA4FB5">
              <w:rPr>
                <w:rFonts w:ascii="Arial" w:hAnsi="Arial" w:cs="Arial"/>
                <w:b/>
              </w:rPr>
              <w:t>2011</w:t>
            </w:r>
          </w:p>
        </w:tc>
        <w:tc>
          <w:tcPr>
            <w:tcW w:w="350" w:type="pct"/>
            <w:vAlign w:val="bottom"/>
          </w:tcPr>
          <w:p w:rsidR="00676AFC" w:rsidRDefault="00676AFC">
            <w:pPr>
              <w:pStyle w:val="TableColumnIMS"/>
              <w:rPr>
                <w:rFonts w:ascii="Arial" w:hAnsi="Arial" w:cs="Arial"/>
              </w:rPr>
            </w:pPr>
            <w:r>
              <w:rPr>
                <w:rFonts w:ascii="Arial" w:hAnsi="Arial" w:cs="Arial"/>
              </w:rPr>
              <w:t>0.06</w:t>
            </w:r>
          </w:p>
        </w:tc>
        <w:tc>
          <w:tcPr>
            <w:tcW w:w="350" w:type="pct"/>
            <w:vAlign w:val="bottom"/>
          </w:tcPr>
          <w:p w:rsidR="00676AFC" w:rsidRDefault="00676AFC">
            <w:pPr>
              <w:pStyle w:val="TableColumnIMS"/>
              <w:rPr>
                <w:rFonts w:ascii="Arial" w:hAnsi="Arial" w:cs="Arial"/>
              </w:rPr>
            </w:pPr>
            <w:r>
              <w:rPr>
                <w:rFonts w:ascii="Arial" w:hAnsi="Arial" w:cs="Arial"/>
              </w:rPr>
              <w:t>0.43</w:t>
            </w:r>
          </w:p>
        </w:tc>
        <w:tc>
          <w:tcPr>
            <w:tcW w:w="350" w:type="pct"/>
            <w:vAlign w:val="bottom"/>
          </w:tcPr>
          <w:p w:rsidR="00676AFC" w:rsidRDefault="00676AFC">
            <w:pPr>
              <w:pStyle w:val="TableColumnIMS"/>
              <w:rPr>
                <w:rFonts w:ascii="Arial" w:hAnsi="Arial" w:cs="Arial"/>
              </w:rPr>
            </w:pPr>
            <w:r>
              <w:rPr>
                <w:rFonts w:ascii="Arial" w:hAnsi="Arial" w:cs="Arial"/>
              </w:rPr>
              <w:t>0.35</w:t>
            </w:r>
          </w:p>
        </w:tc>
        <w:tc>
          <w:tcPr>
            <w:tcW w:w="350" w:type="pct"/>
            <w:vAlign w:val="bottom"/>
          </w:tcPr>
          <w:p w:rsidR="00676AFC" w:rsidRDefault="00676AFC">
            <w:pPr>
              <w:pStyle w:val="TableColumnIMS"/>
              <w:rPr>
                <w:rFonts w:ascii="Arial" w:hAnsi="Arial" w:cs="Arial"/>
              </w:rPr>
            </w:pPr>
            <w:r>
              <w:rPr>
                <w:rFonts w:ascii="Arial" w:hAnsi="Arial" w:cs="Arial"/>
              </w:rPr>
              <w:t>1.30</w:t>
            </w:r>
          </w:p>
        </w:tc>
        <w:tc>
          <w:tcPr>
            <w:tcW w:w="350" w:type="pct"/>
            <w:vAlign w:val="bottom"/>
          </w:tcPr>
          <w:p w:rsidR="00676AFC" w:rsidRDefault="00676AFC">
            <w:pPr>
              <w:pStyle w:val="TableColumnIMS"/>
              <w:rPr>
                <w:rFonts w:ascii="Arial" w:hAnsi="Arial" w:cs="Arial"/>
              </w:rPr>
            </w:pPr>
            <w:r>
              <w:rPr>
                <w:rFonts w:ascii="Arial" w:hAnsi="Arial" w:cs="Arial"/>
              </w:rPr>
              <w:t>0.27</w:t>
            </w:r>
          </w:p>
        </w:tc>
        <w:tc>
          <w:tcPr>
            <w:tcW w:w="350" w:type="pct"/>
            <w:vAlign w:val="bottom"/>
          </w:tcPr>
          <w:p w:rsidR="00676AFC" w:rsidRDefault="00676AFC">
            <w:pPr>
              <w:pStyle w:val="TableColumnIMS"/>
              <w:rPr>
                <w:rFonts w:ascii="Arial" w:hAnsi="Arial" w:cs="Arial"/>
              </w:rPr>
            </w:pPr>
            <w:r>
              <w:rPr>
                <w:rFonts w:ascii="Arial" w:hAnsi="Arial" w:cs="Arial"/>
              </w:rPr>
              <w:t>(0.63)</w:t>
            </w:r>
          </w:p>
        </w:tc>
        <w:tc>
          <w:tcPr>
            <w:tcW w:w="350" w:type="pct"/>
            <w:vAlign w:val="bottom"/>
          </w:tcPr>
          <w:p w:rsidR="00676AFC" w:rsidRDefault="00676AFC">
            <w:pPr>
              <w:pStyle w:val="TableColumnIMS"/>
              <w:rPr>
                <w:rFonts w:ascii="Arial" w:hAnsi="Arial" w:cs="Arial"/>
              </w:rPr>
            </w:pPr>
            <w:r>
              <w:rPr>
                <w:rFonts w:ascii="Arial" w:hAnsi="Arial" w:cs="Arial"/>
              </w:rPr>
              <w:t>1.78</w:t>
            </w:r>
          </w:p>
        </w:tc>
        <w:tc>
          <w:tcPr>
            <w:tcW w:w="350" w:type="pct"/>
            <w:vAlign w:val="bottom"/>
          </w:tcPr>
          <w:p w:rsidR="00676AFC" w:rsidRDefault="00676AFC">
            <w:pPr>
              <w:pStyle w:val="TableColumnIMS"/>
              <w:rPr>
                <w:rFonts w:ascii="Arial" w:hAnsi="Arial" w:cs="Arial"/>
              </w:rPr>
            </w:pPr>
            <w:r>
              <w:rPr>
                <w:rFonts w:ascii="Arial" w:hAnsi="Arial" w:cs="Arial"/>
              </w:rPr>
              <w:t>3.77</w:t>
            </w:r>
          </w:p>
        </w:tc>
        <w:tc>
          <w:tcPr>
            <w:tcW w:w="350" w:type="pct"/>
            <w:vAlign w:val="bottom"/>
          </w:tcPr>
          <w:p w:rsidR="00676AFC" w:rsidRDefault="00676AFC">
            <w:pPr>
              <w:pStyle w:val="TableColumnIMS"/>
              <w:rPr>
                <w:rFonts w:ascii="Arial" w:hAnsi="Arial" w:cs="Arial"/>
              </w:rPr>
            </w:pPr>
            <w:r>
              <w:rPr>
                <w:rFonts w:ascii="Arial" w:hAnsi="Arial" w:cs="Arial"/>
              </w:rPr>
              <w:t>(1.44)</w:t>
            </w:r>
          </w:p>
        </w:tc>
        <w:tc>
          <w:tcPr>
            <w:tcW w:w="350" w:type="pct"/>
            <w:vAlign w:val="bottom"/>
          </w:tcPr>
          <w:p w:rsidR="00676AFC" w:rsidRDefault="00676AFC">
            <w:pPr>
              <w:pStyle w:val="TableColumnIMS"/>
              <w:rPr>
                <w:rFonts w:ascii="Arial" w:hAnsi="Arial" w:cs="Arial"/>
              </w:rPr>
            </w:pPr>
            <w:r>
              <w:rPr>
                <w:rFonts w:ascii="Arial" w:hAnsi="Arial" w:cs="Arial"/>
              </w:rPr>
              <w:t>(0.14)</w:t>
            </w:r>
          </w:p>
        </w:tc>
        <w:tc>
          <w:tcPr>
            <w:tcW w:w="350" w:type="pct"/>
            <w:vAlign w:val="bottom"/>
          </w:tcPr>
          <w:p w:rsidR="00676AFC" w:rsidRDefault="00676AFC">
            <w:pPr>
              <w:pStyle w:val="TableColumnIMS"/>
              <w:rPr>
                <w:rFonts w:ascii="Arial" w:hAnsi="Arial" w:cs="Arial"/>
              </w:rPr>
            </w:pPr>
            <w:r>
              <w:rPr>
                <w:rFonts w:ascii="Arial" w:hAnsi="Arial" w:cs="Arial"/>
              </w:rPr>
              <w:t>0.19</w:t>
            </w:r>
          </w:p>
        </w:tc>
        <w:tc>
          <w:tcPr>
            <w:tcW w:w="350" w:type="pct"/>
            <w:vAlign w:val="bottom"/>
          </w:tcPr>
          <w:p w:rsidR="00676AFC" w:rsidRDefault="00676AFC">
            <w:pPr>
              <w:pStyle w:val="TableColumnIMS"/>
              <w:rPr>
                <w:rFonts w:ascii="Arial" w:hAnsi="Arial" w:cs="Arial"/>
              </w:rPr>
            </w:pPr>
            <w:r>
              <w:rPr>
                <w:rFonts w:ascii="Arial" w:hAnsi="Arial" w:cs="Arial"/>
              </w:rPr>
              <w:t>(0.91)</w:t>
            </w:r>
          </w:p>
        </w:tc>
        <w:tc>
          <w:tcPr>
            <w:tcW w:w="350" w:type="pct"/>
            <w:vAlign w:val="bottom"/>
          </w:tcPr>
          <w:p w:rsidR="00676AFC" w:rsidRDefault="00676AFC">
            <w:pPr>
              <w:pStyle w:val="TableColumnIMS"/>
              <w:rPr>
                <w:rFonts w:ascii="Arial" w:hAnsi="Arial" w:cs="Arial"/>
              </w:rPr>
            </w:pPr>
            <w:r>
              <w:rPr>
                <w:rFonts w:ascii="Arial" w:hAnsi="Arial" w:cs="Arial"/>
              </w:rPr>
              <w:t>5.04</w:t>
            </w:r>
          </w:p>
        </w:tc>
      </w:tr>
      <w:tr w:rsidR="00676AFC">
        <w:tc>
          <w:tcPr>
            <w:tcW w:w="450" w:type="pct"/>
            <w:tcBorders>
              <w:bottom w:val="single" w:sz="4" w:space="0" w:color="auto"/>
            </w:tcBorders>
            <w:vAlign w:val="bottom"/>
          </w:tcPr>
          <w:p w:rsidR="00676AFC" w:rsidRPr="00FA4FB5" w:rsidRDefault="00676AFC">
            <w:pPr>
              <w:pStyle w:val="TableStubIMS"/>
              <w:ind w:left="173" w:hanging="173"/>
              <w:rPr>
                <w:rFonts w:ascii="Arial" w:hAnsi="Arial" w:cs="Arial"/>
                <w:b/>
              </w:rPr>
            </w:pPr>
            <w:r w:rsidRPr="00FA4FB5">
              <w:rPr>
                <w:rFonts w:ascii="Arial" w:hAnsi="Arial" w:cs="Arial"/>
                <w:b/>
              </w:rPr>
              <w:t>2012</w:t>
            </w:r>
          </w:p>
        </w:tc>
        <w:tc>
          <w:tcPr>
            <w:tcW w:w="350" w:type="pct"/>
            <w:tcBorders>
              <w:bottom w:val="single" w:sz="4" w:space="0" w:color="auto"/>
            </w:tcBorders>
            <w:vAlign w:val="bottom"/>
          </w:tcPr>
          <w:p w:rsidR="00676AFC" w:rsidRDefault="00676AFC">
            <w:pPr>
              <w:pStyle w:val="TableColumnIMS"/>
              <w:rPr>
                <w:rFonts w:ascii="Arial" w:hAnsi="Arial" w:cs="Arial"/>
              </w:rPr>
            </w:pPr>
            <w:r>
              <w:rPr>
                <w:rFonts w:ascii="Arial" w:hAnsi="Arial" w:cs="Arial"/>
              </w:rPr>
              <w:t>1.21</w:t>
            </w:r>
          </w:p>
        </w:tc>
        <w:tc>
          <w:tcPr>
            <w:tcW w:w="350" w:type="pct"/>
            <w:tcBorders>
              <w:bottom w:val="single" w:sz="4" w:space="0" w:color="auto"/>
            </w:tcBorders>
            <w:vAlign w:val="bottom"/>
          </w:tcPr>
          <w:p w:rsidR="00676AFC" w:rsidRDefault="00676AFC">
            <w:pPr>
              <w:pStyle w:val="TableColumnIMS"/>
              <w:rPr>
                <w:rFonts w:ascii="Arial" w:hAnsi="Arial" w:cs="Arial"/>
              </w:rPr>
            </w:pPr>
            <w:r>
              <w:rPr>
                <w:rFonts w:ascii="Arial" w:hAnsi="Arial" w:cs="Arial"/>
              </w:rPr>
              <w:t>1.01</w:t>
            </w:r>
          </w:p>
        </w:tc>
        <w:tc>
          <w:tcPr>
            <w:tcW w:w="350" w:type="pct"/>
            <w:tcBorders>
              <w:bottom w:val="single" w:sz="4" w:space="0" w:color="auto"/>
            </w:tcBorders>
            <w:vAlign w:val="bottom"/>
          </w:tcPr>
          <w:p w:rsidR="00676AFC" w:rsidRDefault="00676AFC">
            <w:pPr>
              <w:pStyle w:val="TableColumnIMS"/>
              <w:rPr>
                <w:rFonts w:ascii="Arial" w:hAnsi="Arial" w:cs="Arial"/>
              </w:rPr>
            </w:pPr>
            <w:r>
              <w:rPr>
                <w:rFonts w:ascii="Arial" w:hAnsi="Arial" w:cs="Arial"/>
              </w:rPr>
              <w:t>(0.56)</w:t>
            </w:r>
          </w:p>
        </w:tc>
        <w:tc>
          <w:tcPr>
            <w:tcW w:w="350" w:type="pct"/>
            <w:tcBorders>
              <w:bottom w:val="single" w:sz="4" w:space="0" w:color="auto"/>
            </w:tcBorders>
            <w:vAlign w:val="bottom"/>
          </w:tcPr>
          <w:p w:rsidR="00676AFC" w:rsidRDefault="00676AFC">
            <w:pPr>
              <w:pStyle w:val="TableColumnIMS"/>
              <w:rPr>
                <w:rFonts w:ascii="Arial" w:hAnsi="Arial" w:cs="Arial"/>
              </w:rPr>
            </w:pPr>
            <w:r>
              <w:rPr>
                <w:rFonts w:ascii="Arial" w:hAnsi="Arial" w:cs="Arial"/>
              </w:rPr>
              <w:t>(0.12)</w:t>
            </w:r>
          </w:p>
        </w:tc>
        <w:tc>
          <w:tcPr>
            <w:tcW w:w="350" w:type="pct"/>
            <w:tcBorders>
              <w:bottom w:val="single" w:sz="4" w:space="0" w:color="auto"/>
            </w:tcBorders>
            <w:vAlign w:val="bottom"/>
          </w:tcPr>
          <w:p w:rsidR="00676AFC" w:rsidRDefault="00676AFC">
            <w:pPr>
              <w:pStyle w:val="TableColumnIMS"/>
              <w:rPr>
                <w:rFonts w:ascii="Arial" w:hAnsi="Arial" w:cs="Arial"/>
              </w:rPr>
            </w:pPr>
            <w:r>
              <w:rPr>
                <w:rFonts w:ascii="Arial" w:hAnsi="Arial" w:cs="Arial"/>
              </w:rPr>
              <w:t>(0.61)</w:t>
            </w:r>
          </w:p>
        </w:tc>
        <w:tc>
          <w:tcPr>
            <w:tcW w:w="350" w:type="pct"/>
            <w:tcBorders>
              <w:bottom w:val="single" w:sz="4" w:space="0" w:color="auto"/>
            </w:tcBorders>
            <w:vAlign w:val="bottom"/>
          </w:tcPr>
          <w:p w:rsidR="00676AFC" w:rsidRDefault="00676AFC">
            <w:pPr>
              <w:pStyle w:val="TableColumnIMS"/>
              <w:rPr>
                <w:rFonts w:ascii="Arial" w:hAnsi="Arial" w:cs="Arial"/>
              </w:rPr>
            </w:pPr>
            <w:r>
              <w:rPr>
                <w:rFonts w:ascii="Arial" w:hAnsi="Arial" w:cs="Arial"/>
              </w:rPr>
              <w:t>(1.45)</w:t>
            </w:r>
          </w:p>
        </w:tc>
        <w:tc>
          <w:tcPr>
            <w:tcW w:w="350" w:type="pct"/>
            <w:tcBorders>
              <w:bottom w:val="single" w:sz="4" w:space="0" w:color="auto"/>
            </w:tcBorders>
            <w:vAlign w:val="bottom"/>
          </w:tcPr>
          <w:p w:rsidR="00676AFC" w:rsidRDefault="00676AFC">
            <w:pPr>
              <w:pStyle w:val="TableColumnIMS"/>
              <w:rPr>
                <w:rFonts w:ascii="Arial" w:hAnsi="Arial" w:cs="Arial"/>
              </w:rPr>
            </w:pPr>
          </w:p>
        </w:tc>
        <w:tc>
          <w:tcPr>
            <w:tcW w:w="350" w:type="pct"/>
            <w:tcBorders>
              <w:bottom w:val="single" w:sz="4" w:space="0" w:color="auto"/>
            </w:tcBorders>
            <w:vAlign w:val="bottom"/>
          </w:tcPr>
          <w:p w:rsidR="00676AFC" w:rsidRDefault="00676AFC">
            <w:pPr>
              <w:pStyle w:val="TableColumnIMS"/>
              <w:rPr>
                <w:rFonts w:ascii="Arial" w:hAnsi="Arial" w:cs="Arial"/>
              </w:rPr>
            </w:pPr>
          </w:p>
        </w:tc>
        <w:tc>
          <w:tcPr>
            <w:tcW w:w="350" w:type="pct"/>
            <w:tcBorders>
              <w:bottom w:val="single" w:sz="4" w:space="0" w:color="auto"/>
            </w:tcBorders>
            <w:vAlign w:val="bottom"/>
          </w:tcPr>
          <w:p w:rsidR="00676AFC" w:rsidRDefault="00676AFC">
            <w:pPr>
              <w:pStyle w:val="TableColumnIMS"/>
              <w:rPr>
                <w:rFonts w:ascii="Arial" w:hAnsi="Arial" w:cs="Arial"/>
              </w:rPr>
            </w:pPr>
          </w:p>
        </w:tc>
        <w:tc>
          <w:tcPr>
            <w:tcW w:w="350" w:type="pct"/>
            <w:tcBorders>
              <w:bottom w:val="single" w:sz="4" w:space="0" w:color="auto"/>
            </w:tcBorders>
            <w:vAlign w:val="bottom"/>
          </w:tcPr>
          <w:p w:rsidR="00676AFC" w:rsidRDefault="00676AFC">
            <w:pPr>
              <w:pStyle w:val="TableColumnIMS"/>
              <w:rPr>
                <w:rFonts w:ascii="Arial" w:hAnsi="Arial" w:cs="Arial"/>
              </w:rPr>
            </w:pPr>
          </w:p>
        </w:tc>
        <w:tc>
          <w:tcPr>
            <w:tcW w:w="350" w:type="pct"/>
            <w:tcBorders>
              <w:bottom w:val="single" w:sz="4" w:space="0" w:color="auto"/>
            </w:tcBorders>
            <w:vAlign w:val="bottom"/>
          </w:tcPr>
          <w:p w:rsidR="00676AFC" w:rsidRDefault="00676AFC">
            <w:pPr>
              <w:pStyle w:val="TableColumnIMS"/>
              <w:rPr>
                <w:rFonts w:ascii="Arial" w:hAnsi="Arial" w:cs="Arial"/>
              </w:rPr>
            </w:pPr>
          </w:p>
        </w:tc>
        <w:tc>
          <w:tcPr>
            <w:tcW w:w="350" w:type="pct"/>
            <w:tcBorders>
              <w:bottom w:val="single" w:sz="4" w:space="0" w:color="auto"/>
            </w:tcBorders>
            <w:vAlign w:val="bottom"/>
          </w:tcPr>
          <w:p w:rsidR="00676AFC" w:rsidRDefault="00676AFC">
            <w:pPr>
              <w:pStyle w:val="TableColumnIMS"/>
              <w:rPr>
                <w:rFonts w:ascii="Arial" w:hAnsi="Arial" w:cs="Arial"/>
              </w:rPr>
            </w:pPr>
          </w:p>
        </w:tc>
        <w:tc>
          <w:tcPr>
            <w:tcW w:w="350" w:type="pct"/>
            <w:tcBorders>
              <w:bottom w:val="single" w:sz="4" w:space="0" w:color="auto"/>
            </w:tcBorders>
            <w:vAlign w:val="bottom"/>
          </w:tcPr>
          <w:p w:rsidR="00676AFC" w:rsidRDefault="00676AFC">
            <w:pPr>
              <w:pStyle w:val="TableColumnIMS"/>
              <w:rPr>
                <w:rFonts w:ascii="Arial" w:hAnsi="Arial" w:cs="Arial"/>
              </w:rPr>
            </w:pPr>
            <w:r>
              <w:rPr>
                <w:rFonts w:ascii="Arial" w:hAnsi="Arial" w:cs="Arial"/>
              </w:rPr>
              <w:t>(0.53)</w:t>
            </w:r>
          </w:p>
        </w:tc>
      </w:tr>
      <w:tr w:rsidR="00676AFC">
        <w:tc>
          <w:tcPr>
            <w:tcW w:w="450" w:type="pct"/>
            <w:tcBorders>
              <w:top w:val="single" w:sz="4" w:space="0" w:color="auto"/>
            </w:tcBorders>
            <w:vAlign w:val="bottom"/>
          </w:tcPr>
          <w:p w:rsidR="00676AFC" w:rsidRPr="00FA4FB5" w:rsidRDefault="00676AFC">
            <w:pPr>
              <w:pStyle w:val="TableStubIMS"/>
              <w:ind w:left="173" w:hanging="173"/>
              <w:rPr>
                <w:rFonts w:ascii="Arial" w:hAnsi="Arial" w:cs="Arial"/>
                <w:b/>
              </w:rPr>
            </w:pPr>
          </w:p>
        </w:tc>
        <w:tc>
          <w:tcPr>
            <w:tcW w:w="350" w:type="pct"/>
            <w:tcBorders>
              <w:top w:val="single" w:sz="4" w:space="0" w:color="auto"/>
            </w:tcBorders>
            <w:vAlign w:val="bottom"/>
          </w:tcPr>
          <w:p w:rsidR="00676AFC" w:rsidRDefault="00676AFC">
            <w:pPr>
              <w:pStyle w:val="TableColumnIMS"/>
              <w:rPr>
                <w:rFonts w:ascii="Arial" w:hAnsi="Arial" w:cs="Arial"/>
              </w:rPr>
            </w:pPr>
          </w:p>
        </w:tc>
        <w:tc>
          <w:tcPr>
            <w:tcW w:w="350" w:type="pct"/>
            <w:tcBorders>
              <w:top w:val="single" w:sz="4" w:space="0" w:color="auto"/>
            </w:tcBorders>
            <w:vAlign w:val="bottom"/>
          </w:tcPr>
          <w:p w:rsidR="00676AFC" w:rsidRDefault="00676AFC">
            <w:pPr>
              <w:pStyle w:val="TableColumnIMS"/>
              <w:rPr>
                <w:rFonts w:ascii="Arial" w:hAnsi="Arial" w:cs="Arial"/>
              </w:rPr>
            </w:pPr>
          </w:p>
        </w:tc>
        <w:tc>
          <w:tcPr>
            <w:tcW w:w="350" w:type="pct"/>
            <w:tcBorders>
              <w:top w:val="single" w:sz="4" w:space="0" w:color="auto"/>
            </w:tcBorders>
            <w:vAlign w:val="bottom"/>
          </w:tcPr>
          <w:p w:rsidR="00676AFC" w:rsidRDefault="00676AFC">
            <w:pPr>
              <w:pStyle w:val="TableColumnIMS"/>
              <w:rPr>
                <w:rFonts w:ascii="Arial" w:hAnsi="Arial" w:cs="Arial"/>
              </w:rPr>
            </w:pPr>
          </w:p>
        </w:tc>
        <w:tc>
          <w:tcPr>
            <w:tcW w:w="350" w:type="pct"/>
            <w:tcBorders>
              <w:top w:val="single" w:sz="4" w:space="0" w:color="auto"/>
            </w:tcBorders>
            <w:vAlign w:val="bottom"/>
          </w:tcPr>
          <w:p w:rsidR="00676AFC" w:rsidRDefault="00676AFC">
            <w:pPr>
              <w:pStyle w:val="TableColumnIMS"/>
              <w:rPr>
                <w:rFonts w:ascii="Arial" w:hAnsi="Arial" w:cs="Arial"/>
              </w:rPr>
            </w:pPr>
          </w:p>
        </w:tc>
        <w:tc>
          <w:tcPr>
            <w:tcW w:w="350" w:type="pct"/>
            <w:tcBorders>
              <w:top w:val="single" w:sz="4" w:space="0" w:color="auto"/>
            </w:tcBorders>
            <w:vAlign w:val="bottom"/>
          </w:tcPr>
          <w:p w:rsidR="00676AFC" w:rsidRDefault="00676AFC">
            <w:pPr>
              <w:pStyle w:val="TableColumnIMS"/>
              <w:rPr>
                <w:rFonts w:ascii="Arial" w:hAnsi="Arial" w:cs="Arial"/>
              </w:rPr>
            </w:pPr>
          </w:p>
        </w:tc>
        <w:tc>
          <w:tcPr>
            <w:tcW w:w="350" w:type="pct"/>
            <w:tcBorders>
              <w:top w:val="single" w:sz="4" w:space="0" w:color="auto"/>
            </w:tcBorders>
            <w:vAlign w:val="bottom"/>
          </w:tcPr>
          <w:p w:rsidR="00676AFC" w:rsidRDefault="00676AFC">
            <w:pPr>
              <w:pStyle w:val="TableColumnIMS"/>
              <w:rPr>
                <w:rFonts w:ascii="Arial" w:hAnsi="Arial" w:cs="Arial"/>
              </w:rPr>
            </w:pPr>
          </w:p>
        </w:tc>
        <w:tc>
          <w:tcPr>
            <w:tcW w:w="350" w:type="pct"/>
            <w:tcBorders>
              <w:top w:val="single" w:sz="4" w:space="0" w:color="auto"/>
            </w:tcBorders>
            <w:vAlign w:val="bottom"/>
          </w:tcPr>
          <w:p w:rsidR="00676AFC" w:rsidRDefault="00676AFC">
            <w:pPr>
              <w:pStyle w:val="TableColumnIMS"/>
              <w:rPr>
                <w:rFonts w:ascii="Arial" w:hAnsi="Arial" w:cs="Arial"/>
              </w:rPr>
            </w:pPr>
          </w:p>
        </w:tc>
        <w:tc>
          <w:tcPr>
            <w:tcW w:w="350" w:type="pct"/>
            <w:tcBorders>
              <w:top w:val="single" w:sz="4" w:space="0" w:color="auto"/>
            </w:tcBorders>
            <w:vAlign w:val="bottom"/>
          </w:tcPr>
          <w:p w:rsidR="00676AFC" w:rsidRDefault="00676AFC">
            <w:pPr>
              <w:pStyle w:val="TableColumnIMS"/>
              <w:rPr>
                <w:rFonts w:ascii="Arial" w:hAnsi="Arial" w:cs="Arial"/>
              </w:rPr>
            </w:pPr>
          </w:p>
        </w:tc>
        <w:tc>
          <w:tcPr>
            <w:tcW w:w="350" w:type="pct"/>
            <w:tcBorders>
              <w:top w:val="single" w:sz="4" w:space="0" w:color="auto"/>
            </w:tcBorders>
            <w:vAlign w:val="bottom"/>
          </w:tcPr>
          <w:p w:rsidR="00676AFC" w:rsidRDefault="00676AFC">
            <w:pPr>
              <w:pStyle w:val="TableColumnIMS"/>
              <w:rPr>
                <w:rFonts w:ascii="Arial" w:hAnsi="Arial" w:cs="Arial"/>
              </w:rPr>
            </w:pPr>
          </w:p>
        </w:tc>
        <w:tc>
          <w:tcPr>
            <w:tcW w:w="350" w:type="pct"/>
            <w:tcBorders>
              <w:top w:val="single" w:sz="4" w:space="0" w:color="auto"/>
            </w:tcBorders>
            <w:vAlign w:val="bottom"/>
          </w:tcPr>
          <w:p w:rsidR="00676AFC" w:rsidRDefault="00676AFC">
            <w:pPr>
              <w:pStyle w:val="TableColumnIMS"/>
              <w:rPr>
                <w:rFonts w:ascii="Arial" w:hAnsi="Arial" w:cs="Arial"/>
              </w:rPr>
            </w:pPr>
          </w:p>
        </w:tc>
        <w:tc>
          <w:tcPr>
            <w:tcW w:w="350" w:type="pct"/>
            <w:tcBorders>
              <w:top w:val="single" w:sz="4" w:space="0" w:color="auto"/>
            </w:tcBorders>
            <w:vAlign w:val="bottom"/>
          </w:tcPr>
          <w:p w:rsidR="00676AFC" w:rsidRDefault="00676AFC">
            <w:pPr>
              <w:pStyle w:val="TableColumnIMS"/>
              <w:rPr>
                <w:rFonts w:ascii="Arial" w:hAnsi="Arial" w:cs="Arial"/>
              </w:rPr>
            </w:pPr>
          </w:p>
        </w:tc>
        <w:tc>
          <w:tcPr>
            <w:tcW w:w="350" w:type="pct"/>
            <w:tcBorders>
              <w:top w:val="single" w:sz="4" w:space="0" w:color="auto"/>
            </w:tcBorders>
            <w:vAlign w:val="bottom"/>
          </w:tcPr>
          <w:p w:rsidR="00676AFC" w:rsidRDefault="00676AFC">
            <w:pPr>
              <w:pStyle w:val="TableColumnIMS"/>
              <w:rPr>
                <w:rFonts w:ascii="Arial" w:hAnsi="Arial" w:cs="Arial"/>
              </w:rPr>
            </w:pPr>
          </w:p>
        </w:tc>
        <w:tc>
          <w:tcPr>
            <w:tcW w:w="350" w:type="pct"/>
            <w:tcBorders>
              <w:top w:val="single" w:sz="4" w:space="0" w:color="auto"/>
            </w:tcBorders>
            <w:vAlign w:val="bottom"/>
          </w:tcPr>
          <w:p w:rsidR="00676AFC" w:rsidRDefault="00676AFC">
            <w:pPr>
              <w:pStyle w:val="TableColumnIMS"/>
              <w:rPr>
                <w:rFonts w:ascii="Arial" w:hAnsi="Arial" w:cs="Arial"/>
              </w:rPr>
            </w:pPr>
          </w:p>
        </w:tc>
      </w:tr>
      <w:tr w:rsidR="00676AFC">
        <w:tc>
          <w:tcPr>
            <w:tcW w:w="450" w:type="pct"/>
            <w:tcBorders>
              <w:bottom w:val="single" w:sz="4" w:space="0" w:color="auto"/>
            </w:tcBorders>
            <w:vAlign w:val="bottom"/>
          </w:tcPr>
          <w:p w:rsidR="00676AFC" w:rsidRPr="00FA4FB5" w:rsidRDefault="00676AFC">
            <w:pPr>
              <w:pStyle w:val="TableStubIMS"/>
              <w:ind w:left="173" w:hanging="173"/>
              <w:rPr>
                <w:rFonts w:ascii="Arial" w:hAnsi="Arial" w:cs="Arial"/>
                <w:b/>
                <w:bCs/>
              </w:rPr>
            </w:pPr>
            <w:r w:rsidRPr="00FA4FB5">
              <w:rPr>
                <w:rFonts w:ascii="Arial" w:hAnsi="Arial" w:cs="Arial"/>
                <w:b/>
                <w:bCs/>
              </w:rPr>
              <w:t>GBP</w:t>
            </w:r>
          </w:p>
        </w:tc>
        <w:tc>
          <w:tcPr>
            <w:tcW w:w="350" w:type="pct"/>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Jan</w:t>
            </w:r>
          </w:p>
        </w:tc>
        <w:tc>
          <w:tcPr>
            <w:tcW w:w="350" w:type="pct"/>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Feb</w:t>
            </w:r>
          </w:p>
        </w:tc>
        <w:tc>
          <w:tcPr>
            <w:tcW w:w="350" w:type="pct"/>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Mar</w:t>
            </w:r>
          </w:p>
        </w:tc>
        <w:tc>
          <w:tcPr>
            <w:tcW w:w="350" w:type="pct"/>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Apr</w:t>
            </w:r>
          </w:p>
        </w:tc>
        <w:tc>
          <w:tcPr>
            <w:tcW w:w="350" w:type="pct"/>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May</w:t>
            </w:r>
          </w:p>
        </w:tc>
        <w:tc>
          <w:tcPr>
            <w:tcW w:w="350" w:type="pct"/>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Jun</w:t>
            </w:r>
          </w:p>
        </w:tc>
        <w:tc>
          <w:tcPr>
            <w:tcW w:w="350" w:type="pct"/>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Jul</w:t>
            </w:r>
          </w:p>
        </w:tc>
        <w:tc>
          <w:tcPr>
            <w:tcW w:w="350" w:type="pct"/>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Aug</w:t>
            </w:r>
          </w:p>
        </w:tc>
        <w:tc>
          <w:tcPr>
            <w:tcW w:w="350" w:type="pct"/>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Sep</w:t>
            </w:r>
          </w:p>
        </w:tc>
        <w:tc>
          <w:tcPr>
            <w:tcW w:w="350" w:type="pct"/>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Oct</w:t>
            </w:r>
          </w:p>
        </w:tc>
        <w:tc>
          <w:tcPr>
            <w:tcW w:w="350" w:type="pct"/>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Nov</w:t>
            </w:r>
          </w:p>
        </w:tc>
        <w:tc>
          <w:tcPr>
            <w:tcW w:w="350" w:type="pct"/>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Dec</w:t>
            </w:r>
          </w:p>
        </w:tc>
        <w:tc>
          <w:tcPr>
            <w:tcW w:w="350" w:type="pct"/>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YTD</w:t>
            </w:r>
          </w:p>
        </w:tc>
      </w:tr>
      <w:tr w:rsidR="00676AFC">
        <w:tc>
          <w:tcPr>
            <w:tcW w:w="450" w:type="pct"/>
            <w:tcBorders>
              <w:top w:val="single" w:sz="4" w:space="0" w:color="auto"/>
            </w:tcBorders>
            <w:vAlign w:val="bottom"/>
          </w:tcPr>
          <w:p w:rsidR="00676AFC" w:rsidRPr="00FA4FB5" w:rsidRDefault="00676AFC">
            <w:pPr>
              <w:pStyle w:val="TableStubIMS"/>
              <w:ind w:left="173" w:hanging="173"/>
              <w:rPr>
                <w:rFonts w:ascii="Arial" w:hAnsi="Arial" w:cs="Arial"/>
                <w:b/>
              </w:rPr>
            </w:pPr>
            <w:r w:rsidRPr="00FA4FB5">
              <w:rPr>
                <w:rFonts w:ascii="Arial" w:hAnsi="Arial" w:cs="Arial"/>
                <w:b/>
              </w:rPr>
              <w:t>2008</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1.40*</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0.33</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0.40</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(4.17)</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1.25</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3.27</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0.41</w:t>
            </w:r>
          </w:p>
        </w:tc>
        <w:tc>
          <w:tcPr>
            <w:tcW w:w="350" w:type="pct"/>
            <w:tcBorders>
              <w:top w:val="single" w:sz="4" w:space="0" w:color="auto"/>
            </w:tcBorders>
            <w:vAlign w:val="bottom"/>
          </w:tcPr>
          <w:p w:rsidR="00676AFC" w:rsidRDefault="00676AFC">
            <w:pPr>
              <w:pStyle w:val="TableColumnIMS"/>
              <w:rPr>
                <w:rFonts w:ascii="Arial" w:hAnsi="Arial" w:cs="Arial"/>
              </w:rPr>
            </w:pPr>
            <w:r>
              <w:rPr>
                <w:rFonts w:ascii="Arial" w:hAnsi="Arial" w:cs="Arial"/>
              </w:rPr>
              <w:t>2.76</w:t>
            </w:r>
          </w:p>
        </w:tc>
      </w:tr>
      <w:tr w:rsidR="00676AFC">
        <w:tc>
          <w:tcPr>
            <w:tcW w:w="450" w:type="pct"/>
            <w:vAlign w:val="bottom"/>
          </w:tcPr>
          <w:p w:rsidR="00676AFC" w:rsidRPr="00FA4FB5" w:rsidRDefault="00676AFC">
            <w:pPr>
              <w:pStyle w:val="TableStubIMS"/>
              <w:ind w:left="173" w:hanging="173"/>
              <w:rPr>
                <w:rFonts w:ascii="Arial" w:hAnsi="Arial" w:cs="Arial"/>
                <w:b/>
              </w:rPr>
            </w:pPr>
            <w:r w:rsidRPr="00FA4FB5">
              <w:rPr>
                <w:rFonts w:ascii="Arial" w:hAnsi="Arial" w:cs="Arial"/>
                <w:b/>
              </w:rPr>
              <w:t>2009</w:t>
            </w:r>
          </w:p>
        </w:tc>
        <w:tc>
          <w:tcPr>
            <w:tcW w:w="350" w:type="pct"/>
            <w:vAlign w:val="bottom"/>
          </w:tcPr>
          <w:p w:rsidR="00676AFC" w:rsidRDefault="00676AFC">
            <w:pPr>
              <w:pStyle w:val="TableColumnIMS"/>
              <w:rPr>
                <w:rFonts w:ascii="Arial" w:hAnsi="Arial" w:cs="Arial"/>
              </w:rPr>
            </w:pPr>
            <w:r>
              <w:rPr>
                <w:rFonts w:ascii="Arial" w:hAnsi="Arial" w:cs="Arial"/>
              </w:rPr>
              <w:t>3.52</w:t>
            </w:r>
          </w:p>
        </w:tc>
        <w:tc>
          <w:tcPr>
            <w:tcW w:w="350" w:type="pct"/>
            <w:vAlign w:val="bottom"/>
          </w:tcPr>
          <w:p w:rsidR="00676AFC" w:rsidRDefault="00676AFC">
            <w:pPr>
              <w:pStyle w:val="TableColumnIMS"/>
              <w:rPr>
                <w:rFonts w:ascii="Arial" w:hAnsi="Arial" w:cs="Arial"/>
              </w:rPr>
            </w:pPr>
            <w:r>
              <w:rPr>
                <w:rFonts w:ascii="Arial" w:hAnsi="Arial" w:cs="Arial"/>
              </w:rPr>
              <w:t>1.94</w:t>
            </w:r>
          </w:p>
        </w:tc>
        <w:tc>
          <w:tcPr>
            <w:tcW w:w="350" w:type="pct"/>
            <w:vAlign w:val="bottom"/>
          </w:tcPr>
          <w:p w:rsidR="00676AFC" w:rsidRDefault="00676AFC">
            <w:pPr>
              <w:pStyle w:val="TableColumnIMS"/>
              <w:rPr>
                <w:rFonts w:ascii="Arial" w:hAnsi="Arial" w:cs="Arial"/>
              </w:rPr>
            </w:pPr>
            <w:r>
              <w:rPr>
                <w:rFonts w:ascii="Arial" w:hAnsi="Arial" w:cs="Arial"/>
              </w:rPr>
              <w:t>1.03</w:t>
            </w:r>
          </w:p>
        </w:tc>
        <w:tc>
          <w:tcPr>
            <w:tcW w:w="350" w:type="pct"/>
            <w:vAlign w:val="bottom"/>
          </w:tcPr>
          <w:p w:rsidR="00676AFC" w:rsidRDefault="00676AFC">
            <w:pPr>
              <w:pStyle w:val="TableColumnIMS"/>
              <w:rPr>
                <w:rFonts w:ascii="Arial" w:hAnsi="Arial" w:cs="Arial"/>
              </w:rPr>
            </w:pPr>
            <w:r>
              <w:rPr>
                <w:rFonts w:ascii="Arial" w:hAnsi="Arial" w:cs="Arial"/>
              </w:rPr>
              <w:t>0.68</w:t>
            </w:r>
          </w:p>
        </w:tc>
        <w:tc>
          <w:tcPr>
            <w:tcW w:w="350" w:type="pct"/>
            <w:vAlign w:val="bottom"/>
          </w:tcPr>
          <w:p w:rsidR="00676AFC" w:rsidRDefault="00676AFC">
            <w:pPr>
              <w:pStyle w:val="TableColumnIMS"/>
              <w:rPr>
                <w:rFonts w:ascii="Arial" w:hAnsi="Arial" w:cs="Arial"/>
              </w:rPr>
            </w:pPr>
            <w:r>
              <w:rPr>
                <w:rFonts w:ascii="Arial" w:hAnsi="Arial" w:cs="Arial"/>
              </w:rPr>
              <w:t>2.85</w:t>
            </w:r>
          </w:p>
        </w:tc>
        <w:tc>
          <w:tcPr>
            <w:tcW w:w="350" w:type="pct"/>
            <w:vAlign w:val="bottom"/>
          </w:tcPr>
          <w:p w:rsidR="00676AFC" w:rsidRDefault="00676AFC">
            <w:pPr>
              <w:pStyle w:val="TableColumnIMS"/>
              <w:rPr>
                <w:rFonts w:ascii="Arial" w:hAnsi="Arial" w:cs="Arial"/>
              </w:rPr>
            </w:pPr>
            <w:r>
              <w:rPr>
                <w:rFonts w:ascii="Arial" w:hAnsi="Arial" w:cs="Arial"/>
              </w:rPr>
              <w:t>(0.28)</w:t>
            </w:r>
          </w:p>
        </w:tc>
        <w:tc>
          <w:tcPr>
            <w:tcW w:w="350" w:type="pct"/>
            <w:vAlign w:val="bottom"/>
          </w:tcPr>
          <w:p w:rsidR="00676AFC" w:rsidRDefault="00676AFC">
            <w:pPr>
              <w:pStyle w:val="TableColumnIMS"/>
              <w:rPr>
                <w:rFonts w:ascii="Arial" w:hAnsi="Arial" w:cs="Arial"/>
              </w:rPr>
            </w:pPr>
            <w:r>
              <w:rPr>
                <w:rFonts w:ascii="Arial" w:hAnsi="Arial" w:cs="Arial"/>
              </w:rPr>
              <w:t>1.05</w:t>
            </w:r>
          </w:p>
        </w:tc>
        <w:tc>
          <w:tcPr>
            <w:tcW w:w="350" w:type="pct"/>
            <w:vAlign w:val="bottom"/>
          </w:tcPr>
          <w:p w:rsidR="00676AFC" w:rsidRDefault="00676AFC">
            <w:pPr>
              <w:pStyle w:val="TableColumnIMS"/>
              <w:rPr>
                <w:rFonts w:ascii="Arial" w:hAnsi="Arial" w:cs="Arial"/>
              </w:rPr>
            </w:pPr>
            <w:r>
              <w:rPr>
                <w:rFonts w:ascii="Arial" w:hAnsi="Arial" w:cs="Arial"/>
              </w:rPr>
              <w:t>0.31</w:t>
            </w:r>
          </w:p>
        </w:tc>
        <w:tc>
          <w:tcPr>
            <w:tcW w:w="350" w:type="pct"/>
            <w:vAlign w:val="bottom"/>
          </w:tcPr>
          <w:p w:rsidR="00676AFC" w:rsidRDefault="00676AFC">
            <w:pPr>
              <w:pStyle w:val="TableColumnIMS"/>
              <w:rPr>
                <w:rFonts w:ascii="Arial" w:hAnsi="Arial" w:cs="Arial"/>
              </w:rPr>
            </w:pPr>
            <w:r>
              <w:rPr>
                <w:rFonts w:ascii="Arial" w:hAnsi="Arial" w:cs="Arial"/>
              </w:rPr>
              <w:t>1.51</w:t>
            </w:r>
          </w:p>
        </w:tc>
        <w:tc>
          <w:tcPr>
            <w:tcW w:w="350" w:type="pct"/>
            <w:vAlign w:val="bottom"/>
          </w:tcPr>
          <w:p w:rsidR="00676AFC" w:rsidRDefault="00676AFC">
            <w:pPr>
              <w:pStyle w:val="TableColumnIMS"/>
              <w:rPr>
                <w:rFonts w:ascii="Arial" w:hAnsi="Arial" w:cs="Arial"/>
              </w:rPr>
            </w:pPr>
            <w:r>
              <w:rPr>
                <w:rFonts w:ascii="Arial" w:hAnsi="Arial" w:cs="Arial"/>
              </w:rPr>
              <w:t>0.58</w:t>
            </w:r>
          </w:p>
        </w:tc>
        <w:tc>
          <w:tcPr>
            <w:tcW w:w="350" w:type="pct"/>
            <w:vAlign w:val="bottom"/>
          </w:tcPr>
          <w:p w:rsidR="00676AFC" w:rsidRDefault="00676AFC">
            <w:pPr>
              <w:pStyle w:val="TableColumnIMS"/>
              <w:rPr>
                <w:rFonts w:ascii="Arial" w:hAnsi="Arial" w:cs="Arial"/>
              </w:rPr>
            </w:pPr>
            <w:r>
              <w:rPr>
                <w:rFonts w:ascii="Arial" w:hAnsi="Arial" w:cs="Arial"/>
              </w:rPr>
              <w:t>0.12</w:t>
            </w:r>
          </w:p>
        </w:tc>
        <w:tc>
          <w:tcPr>
            <w:tcW w:w="350" w:type="pct"/>
            <w:vAlign w:val="bottom"/>
          </w:tcPr>
          <w:p w:rsidR="00676AFC" w:rsidRDefault="00676AFC">
            <w:pPr>
              <w:pStyle w:val="TableColumnIMS"/>
              <w:rPr>
                <w:rFonts w:ascii="Arial" w:hAnsi="Arial" w:cs="Arial"/>
              </w:rPr>
            </w:pPr>
            <w:r>
              <w:rPr>
                <w:rFonts w:ascii="Arial" w:hAnsi="Arial" w:cs="Arial"/>
              </w:rPr>
              <w:t>0.08</w:t>
            </w:r>
          </w:p>
        </w:tc>
        <w:tc>
          <w:tcPr>
            <w:tcW w:w="350" w:type="pct"/>
            <w:vAlign w:val="bottom"/>
          </w:tcPr>
          <w:p w:rsidR="00676AFC" w:rsidRDefault="00676AFC">
            <w:pPr>
              <w:pStyle w:val="TableColumnIMS"/>
              <w:rPr>
                <w:rFonts w:ascii="Arial" w:hAnsi="Arial" w:cs="Arial"/>
              </w:rPr>
            </w:pPr>
            <w:r>
              <w:rPr>
                <w:rFonts w:ascii="Arial" w:hAnsi="Arial" w:cs="Arial"/>
              </w:rPr>
              <w:t>14.15</w:t>
            </w:r>
          </w:p>
        </w:tc>
      </w:tr>
      <w:tr w:rsidR="00676AFC">
        <w:tc>
          <w:tcPr>
            <w:tcW w:w="450" w:type="pct"/>
            <w:vAlign w:val="bottom"/>
          </w:tcPr>
          <w:p w:rsidR="00676AFC" w:rsidRPr="00FA4FB5" w:rsidRDefault="00676AFC">
            <w:pPr>
              <w:pStyle w:val="TableStubIMS"/>
              <w:ind w:left="173" w:hanging="173"/>
              <w:rPr>
                <w:rFonts w:ascii="Arial" w:hAnsi="Arial" w:cs="Arial"/>
                <w:b/>
              </w:rPr>
            </w:pPr>
            <w:r w:rsidRPr="00FA4FB5">
              <w:rPr>
                <w:rFonts w:ascii="Arial" w:hAnsi="Arial" w:cs="Arial"/>
                <w:b/>
              </w:rPr>
              <w:t>2010</w:t>
            </w:r>
          </w:p>
        </w:tc>
        <w:tc>
          <w:tcPr>
            <w:tcW w:w="350" w:type="pct"/>
            <w:vAlign w:val="bottom"/>
          </w:tcPr>
          <w:p w:rsidR="00676AFC" w:rsidRDefault="00676AFC">
            <w:pPr>
              <w:pStyle w:val="TableColumnIMS"/>
              <w:rPr>
                <w:rFonts w:ascii="Arial" w:hAnsi="Arial" w:cs="Arial"/>
              </w:rPr>
            </w:pPr>
            <w:r>
              <w:rPr>
                <w:rFonts w:ascii="Arial" w:hAnsi="Arial" w:cs="Arial"/>
              </w:rPr>
              <w:t>0.35</w:t>
            </w:r>
          </w:p>
        </w:tc>
        <w:tc>
          <w:tcPr>
            <w:tcW w:w="350" w:type="pct"/>
            <w:vAlign w:val="bottom"/>
          </w:tcPr>
          <w:p w:rsidR="00676AFC" w:rsidRDefault="00676AFC">
            <w:pPr>
              <w:pStyle w:val="TableColumnIMS"/>
              <w:rPr>
                <w:rFonts w:ascii="Arial" w:hAnsi="Arial" w:cs="Arial"/>
              </w:rPr>
            </w:pPr>
            <w:r>
              <w:rPr>
                <w:rFonts w:ascii="Arial" w:hAnsi="Arial" w:cs="Arial"/>
              </w:rPr>
              <w:t>(0.93)</w:t>
            </w:r>
          </w:p>
        </w:tc>
        <w:tc>
          <w:tcPr>
            <w:tcW w:w="350" w:type="pct"/>
            <w:vAlign w:val="bottom"/>
          </w:tcPr>
          <w:p w:rsidR="00676AFC" w:rsidRDefault="00676AFC">
            <w:pPr>
              <w:pStyle w:val="TableColumnIMS"/>
              <w:rPr>
                <w:rFonts w:ascii="Arial" w:hAnsi="Arial" w:cs="Arial"/>
              </w:rPr>
            </w:pPr>
            <w:r>
              <w:rPr>
                <w:rFonts w:ascii="Arial" w:hAnsi="Arial" w:cs="Arial"/>
              </w:rPr>
              <w:t>(0.32)</w:t>
            </w:r>
          </w:p>
        </w:tc>
        <w:tc>
          <w:tcPr>
            <w:tcW w:w="350" w:type="pct"/>
            <w:vAlign w:val="bottom"/>
          </w:tcPr>
          <w:p w:rsidR="00676AFC" w:rsidRDefault="00676AFC">
            <w:pPr>
              <w:pStyle w:val="TableColumnIMS"/>
              <w:rPr>
                <w:rFonts w:ascii="Arial" w:hAnsi="Arial" w:cs="Arial"/>
              </w:rPr>
            </w:pPr>
            <w:r>
              <w:rPr>
                <w:rFonts w:ascii="Arial" w:hAnsi="Arial" w:cs="Arial"/>
              </w:rPr>
              <w:t>0.58</w:t>
            </w:r>
          </w:p>
        </w:tc>
        <w:tc>
          <w:tcPr>
            <w:tcW w:w="350" w:type="pct"/>
            <w:vAlign w:val="bottom"/>
          </w:tcPr>
          <w:p w:rsidR="00676AFC" w:rsidRDefault="00676AFC">
            <w:pPr>
              <w:pStyle w:val="TableColumnIMS"/>
              <w:rPr>
                <w:rFonts w:ascii="Arial" w:hAnsi="Arial" w:cs="Arial"/>
              </w:rPr>
            </w:pPr>
            <w:r>
              <w:rPr>
                <w:rFonts w:ascii="Arial" w:hAnsi="Arial" w:cs="Arial"/>
              </w:rPr>
              <w:t>(0.04)</w:t>
            </w:r>
          </w:p>
        </w:tc>
        <w:tc>
          <w:tcPr>
            <w:tcW w:w="350" w:type="pct"/>
            <w:vAlign w:val="bottom"/>
          </w:tcPr>
          <w:p w:rsidR="00676AFC" w:rsidRDefault="00676AFC">
            <w:pPr>
              <w:pStyle w:val="TableColumnIMS"/>
              <w:rPr>
                <w:rFonts w:ascii="Arial" w:hAnsi="Arial" w:cs="Arial"/>
              </w:rPr>
            </w:pPr>
            <w:r>
              <w:rPr>
                <w:rFonts w:ascii="Arial" w:hAnsi="Arial" w:cs="Arial"/>
              </w:rPr>
              <w:t>0.62</w:t>
            </w:r>
          </w:p>
        </w:tc>
        <w:tc>
          <w:tcPr>
            <w:tcW w:w="350" w:type="pct"/>
            <w:vAlign w:val="bottom"/>
          </w:tcPr>
          <w:p w:rsidR="00676AFC" w:rsidRDefault="00676AFC">
            <w:pPr>
              <w:pStyle w:val="TableColumnIMS"/>
              <w:rPr>
                <w:rFonts w:ascii="Arial" w:hAnsi="Arial" w:cs="Arial"/>
              </w:rPr>
            </w:pPr>
            <w:r>
              <w:rPr>
                <w:rFonts w:ascii="Arial" w:hAnsi="Arial" w:cs="Arial"/>
              </w:rPr>
              <w:t>(0.81)</w:t>
            </w:r>
          </w:p>
        </w:tc>
        <w:tc>
          <w:tcPr>
            <w:tcW w:w="350" w:type="pct"/>
            <w:vAlign w:val="bottom"/>
          </w:tcPr>
          <w:p w:rsidR="00676AFC" w:rsidRDefault="00676AFC">
            <w:pPr>
              <w:pStyle w:val="TableColumnIMS"/>
              <w:rPr>
                <w:rFonts w:ascii="Arial" w:hAnsi="Arial" w:cs="Arial"/>
              </w:rPr>
            </w:pPr>
            <w:r>
              <w:rPr>
                <w:rFonts w:ascii="Arial" w:hAnsi="Arial" w:cs="Arial"/>
              </w:rPr>
              <w:t>0.84</w:t>
            </w:r>
          </w:p>
        </w:tc>
        <w:tc>
          <w:tcPr>
            <w:tcW w:w="350" w:type="pct"/>
            <w:vAlign w:val="bottom"/>
          </w:tcPr>
          <w:p w:rsidR="00676AFC" w:rsidRDefault="00676AFC">
            <w:pPr>
              <w:pStyle w:val="TableColumnIMS"/>
              <w:rPr>
                <w:rFonts w:ascii="Arial" w:hAnsi="Arial" w:cs="Arial"/>
              </w:rPr>
            </w:pPr>
            <w:r>
              <w:rPr>
                <w:rFonts w:ascii="Arial" w:hAnsi="Arial" w:cs="Arial"/>
              </w:rPr>
              <w:t>1.17</w:t>
            </w:r>
          </w:p>
        </w:tc>
        <w:tc>
          <w:tcPr>
            <w:tcW w:w="350" w:type="pct"/>
            <w:vAlign w:val="bottom"/>
          </w:tcPr>
          <w:p w:rsidR="00676AFC" w:rsidRDefault="00676AFC">
            <w:pPr>
              <w:pStyle w:val="TableColumnIMS"/>
              <w:rPr>
                <w:rFonts w:ascii="Arial" w:hAnsi="Arial" w:cs="Arial"/>
              </w:rPr>
            </w:pPr>
            <w:r>
              <w:rPr>
                <w:rFonts w:ascii="Arial" w:hAnsi="Arial" w:cs="Arial"/>
              </w:rPr>
              <w:t>0.37</w:t>
            </w:r>
          </w:p>
        </w:tc>
        <w:tc>
          <w:tcPr>
            <w:tcW w:w="350" w:type="pct"/>
            <w:vAlign w:val="bottom"/>
          </w:tcPr>
          <w:p w:rsidR="00676AFC" w:rsidRDefault="00676AFC">
            <w:pPr>
              <w:pStyle w:val="TableColumnIMS"/>
              <w:rPr>
                <w:rFonts w:ascii="Arial" w:hAnsi="Arial" w:cs="Arial"/>
              </w:rPr>
            </w:pPr>
            <w:r>
              <w:rPr>
                <w:rFonts w:ascii="Arial" w:hAnsi="Arial" w:cs="Arial"/>
              </w:rPr>
              <w:t>(0.20)</w:t>
            </w:r>
          </w:p>
        </w:tc>
        <w:tc>
          <w:tcPr>
            <w:tcW w:w="350" w:type="pct"/>
            <w:vAlign w:val="bottom"/>
          </w:tcPr>
          <w:p w:rsidR="00676AFC" w:rsidRDefault="00676AFC">
            <w:pPr>
              <w:pStyle w:val="TableColumnIMS"/>
              <w:rPr>
                <w:rFonts w:ascii="Arial" w:hAnsi="Arial" w:cs="Arial"/>
              </w:rPr>
            </w:pPr>
            <w:r>
              <w:rPr>
                <w:rFonts w:ascii="Arial" w:hAnsi="Arial" w:cs="Arial"/>
              </w:rPr>
              <w:t>(0.03)</w:t>
            </w:r>
          </w:p>
        </w:tc>
        <w:tc>
          <w:tcPr>
            <w:tcW w:w="350" w:type="pct"/>
            <w:vAlign w:val="bottom"/>
          </w:tcPr>
          <w:p w:rsidR="00676AFC" w:rsidRDefault="00676AFC">
            <w:pPr>
              <w:pStyle w:val="TableColumnIMS"/>
              <w:rPr>
                <w:rFonts w:ascii="Arial" w:hAnsi="Arial" w:cs="Arial"/>
              </w:rPr>
            </w:pPr>
            <w:r>
              <w:rPr>
                <w:rFonts w:ascii="Arial" w:hAnsi="Arial" w:cs="Arial"/>
              </w:rPr>
              <w:t>1.61</w:t>
            </w:r>
          </w:p>
        </w:tc>
      </w:tr>
      <w:tr w:rsidR="00676AFC">
        <w:tc>
          <w:tcPr>
            <w:tcW w:w="450" w:type="pct"/>
            <w:vAlign w:val="bottom"/>
          </w:tcPr>
          <w:p w:rsidR="00676AFC" w:rsidRPr="00FA4FB5" w:rsidRDefault="00676AFC">
            <w:pPr>
              <w:pStyle w:val="TableStubIMS"/>
              <w:ind w:left="173" w:hanging="173"/>
              <w:rPr>
                <w:rFonts w:ascii="Arial" w:hAnsi="Arial" w:cs="Arial"/>
                <w:b/>
              </w:rPr>
            </w:pPr>
            <w:r w:rsidRPr="00FA4FB5">
              <w:rPr>
                <w:rFonts w:ascii="Arial" w:hAnsi="Arial" w:cs="Arial"/>
                <w:b/>
              </w:rPr>
              <w:t>2011</w:t>
            </w:r>
          </w:p>
        </w:tc>
        <w:tc>
          <w:tcPr>
            <w:tcW w:w="350" w:type="pct"/>
            <w:vAlign w:val="bottom"/>
          </w:tcPr>
          <w:p w:rsidR="00676AFC" w:rsidRDefault="00676AFC">
            <w:pPr>
              <w:pStyle w:val="TableColumnIMS"/>
              <w:rPr>
                <w:rFonts w:ascii="Arial" w:hAnsi="Arial" w:cs="Arial"/>
              </w:rPr>
            </w:pPr>
            <w:r>
              <w:rPr>
                <w:rFonts w:ascii="Arial" w:hAnsi="Arial" w:cs="Arial"/>
              </w:rPr>
              <w:t>0.10</w:t>
            </w:r>
          </w:p>
        </w:tc>
        <w:tc>
          <w:tcPr>
            <w:tcW w:w="350" w:type="pct"/>
            <w:vAlign w:val="bottom"/>
          </w:tcPr>
          <w:p w:rsidR="00676AFC" w:rsidRDefault="00676AFC">
            <w:pPr>
              <w:pStyle w:val="TableColumnIMS"/>
              <w:rPr>
                <w:rFonts w:ascii="Arial" w:hAnsi="Arial" w:cs="Arial"/>
              </w:rPr>
            </w:pPr>
            <w:r>
              <w:rPr>
                <w:rFonts w:ascii="Arial" w:hAnsi="Arial" w:cs="Arial"/>
              </w:rPr>
              <w:t>0.41</w:t>
            </w:r>
          </w:p>
        </w:tc>
        <w:tc>
          <w:tcPr>
            <w:tcW w:w="350" w:type="pct"/>
            <w:vAlign w:val="bottom"/>
          </w:tcPr>
          <w:p w:rsidR="00676AFC" w:rsidRDefault="00676AFC">
            <w:pPr>
              <w:pStyle w:val="TableColumnIMS"/>
              <w:rPr>
                <w:rFonts w:ascii="Arial" w:hAnsi="Arial" w:cs="Arial"/>
              </w:rPr>
            </w:pPr>
            <w:r>
              <w:rPr>
                <w:rFonts w:ascii="Arial" w:hAnsi="Arial" w:cs="Arial"/>
              </w:rPr>
              <w:t>0.38</w:t>
            </w:r>
          </w:p>
        </w:tc>
        <w:tc>
          <w:tcPr>
            <w:tcW w:w="350" w:type="pct"/>
            <w:vAlign w:val="bottom"/>
          </w:tcPr>
          <w:p w:rsidR="00676AFC" w:rsidRDefault="00676AFC">
            <w:pPr>
              <w:pStyle w:val="TableColumnIMS"/>
              <w:rPr>
                <w:rFonts w:ascii="Arial" w:hAnsi="Arial" w:cs="Arial"/>
              </w:rPr>
            </w:pPr>
            <w:r>
              <w:rPr>
                <w:rFonts w:ascii="Arial" w:hAnsi="Arial" w:cs="Arial"/>
              </w:rPr>
              <w:t>1.13</w:t>
            </w:r>
          </w:p>
        </w:tc>
        <w:tc>
          <w:tcPr>
            <w:tcW w:w="350" w:type="pct"/>
            <w:vAlign w:val="bottom"/>
          </w:tcPr>
          <w:p w:rsidR="00676AFC" w:rsidRDefault="00676AFC">
            <w:pPr>
              <w:pStyle w:val="TableColumnIMS"/>
              <w:rPr>
                <w:rFonts w:ascii="Arial" w:hAnsi="Arial" w:cs="Arial"/>
              </w:rPr>
            </w:pPr>
            <w:r>
              <w:rPr>
                <w:rFonts w:ascii="Arial" w:hAnsi="Arial" w:cs="Arial"/>
              </w:rPr>
              <w:t>0.04</w:t>
            </w:r>
          </w:p>
        </w:tc>
        <w:tc>
          <w:tcPr>
            <w:tcW w:w="350" w:type="pct"/>
            <w:vAlign w:val="bottom"/>
          </w:tcPr>
          <w:p w:rsidR="00676AFC" w:rsidRDefault="00676AFC">
            <w:pPr>
              <w:pStyle w:val="TableColumnIMS"/>
              <w:rPr>
                <w:rFonts w:ascii="Arial" w:hAnsi="Arial" w:cs="Arial"/>
              </w:rPr>
            </w:pPr>
            <w:r>
              <w:rPr>
                <w:rFonts w:ascii="Arial" w:hAnsi="Arial" w:cs="Arial"/>
              </w:rPr>
              <w:t>(0.59)</w:t>
            </w:r>
          </w:p>
        </w:tc>
        <w:tc>
          <w:tcPr>
            <w:tcW w:w="350" w:type="pct"/>
            <w:vAlign w:val="bottom"/>
          </w:tcPr>
          <w:p w:rsidR="00676AFC" w:rsidRDefault="00676AFC">
            <w:pPr>
              <w:pStyle w:val="TableColumnIMS"/>
              <w:rPr>
                <w:rFonts w:ascii="Arial" w:hAnsi="Arial" w:cs="Arial"/>
              </w:rPr>
            </w:pPr>
            <w:r>
              <w:rPr>
                <w:rFonts w:ascii="Arial" w:hAnsi="Arial" w:cs="Arial"/>
              </w:rPr>
              <w:t>1.69</w:t>
            </w:r>
          </w:p>
        </w:tc>
        <w:tc>
          <w:tcPr>
            <w:tcW w:w="350" w:type="pct"/>
            <w:vAlign w:val="bottom"/>
          </w:tcPr>
          <w:p w:rsidR="00676AFC" w:rsidRDefault="00676AFC">
            <w:pPr>
              <w:pStyle w:val="TableColumnIMS"/>
              <w:rPr>
                <w:rFonts w:ascii="Arial" w:hAnsi="Arial" w:cs="Arial"/>
              </w:rPr>
            </w:pPr>
            <w:r>
              <w:rPr>
                <w:rFonts w:ascii="Arial" w:hAnsi="Arial" w:cs="Arial"/>
              </w:rPr>
              <w:t>3.67</w:t>
            </w:r>
          </w:p>
        </w:tc>
        <w:tc>
          <w:tcPr>
            <w:tcW w:w="350" w:type="pct"/>
            <w:vAlign w:val="bottom"/>
          </w:tcPr>
          <w:p w:rsidR="00676AFC" w:rsidRDefault="00676AFC">
            <w:pPr>
              <w:pStyle w:val="TableColumnIMS"/>
              <w:rPr>
                <w:rFonts w:ascii="Arial" w:hAnsi="Arial" w:cs="Arial"/>
              </w:rPr>
            </w:pPr>
            <w:r>
              <w:rPr>
                <w:rFonts w:ascii="Arial" w:hAnsi="Arial" w:cs="Arial"/>
              </w:rPr>
              <w:t>(1.41)</w:t>
            </w:r>
          </w:p>
        </w:tc>
        <w:tc>
          <w:tcPr>
            <w:tcW w:w="350" w:type="pct"/>
            <w:vAlign w:val="bottom"/>
          </w:tcPr>
          <w:p w:rsidR="00676AFC" w:rsidRDefault="00676AFC">
            <w:pPr>
              <w:pStyle w:val="TableColumnIMS"/>
              <w:rPr>
                <w:rFonts w:ascii="Arial" w:hAnsi="Arial" w:cs="Arial"/>
              </w:rPr>
            </w:pPr>
            <w:r>
              <w:rPr>
                <w:rFonts w:ascii="Arial" w:hAnsi="Arial" w:cs="Arial"/>
              </w:rPr>
              <w:t>(0.15)</w:t>
            </w:r>
          </w:p>
        </w:tc>
        <w:tc>
          <w:tcPr>
            <w:tcW w:w="350" w:type="pct"/>
            <w:vAlign w:val="bottom"/>
          </w:tcPr>
          <w:p w:rsidR="00676AFC" w:rsidRDefault="00676AFC">
            <w:pPr>
              <w:pStyle w:val="TableColumnIMS"/>
              <w:rPr>
                <w:rFonts w:ascii="Arial" w:hAnsi="Arial" w:cs="Arial"/>
              </w:rPr>
            </w:pPr>
            <w:r>
              <w:rPr>
                <w:rFonts w:ascii="Arial" w:hAnsi="Arial" w:cs="Arial"/>
              </w:rPr>
              <w:t>0.21</w:t>
            </w:r>
          </w:p>
        </w:tc>
        <w:tc>
          <w:tcPr>
            <w:tcW w:w="350" w:type="pct"/>
            <w:vAlign w:val="bottom"/>
          </w:tcPr>
          <w:p w:rsidR="00676AFC" w:rsidRDefault="00676AFC">
            <w:pPr>
              <w:pStyle w:val="TableColumnIMS"/>
              <w:rPr>
                <w:rFonts w:ascii="Arial" w:hAnsi="Arial" w:cs="Arial"/>
              </w:rPr>
            </w:pPr>
            <w:r>
              <w:rPr>
                <w:rFonts w:ascii="Arial" w:hAnsi="Arial" w:cs="Arial"/>
              </w:rPr>
              <w:t>(0.84)</w:t>
            </w:r>
          </w:p>
        </w:tc>
        <w:tc>
          <w:tcPr>
            <w:tcW w:w="350" w:type="pct"/>
            <w:vAlign w:val="bottom"/>
          </w:tcPr>
          <w:p w:rsidR="00676AFC" w:rsidRDefault="00676AFC">
            <w:pPr>
              <w:pStyle w:val="TableColumnIMS"/>
              <w:rPr>
                <w:rFonts w:ascii="Arial" w:hAnsi="Arial" w:cs="Arial"/>
              </w:rPr>
            </w:pPr>
            <w:r>
              <w:rPr>
                <w:rFonts w:ascii="Arial" w:hAnsi="Arial" w:cs="Arial"/>
              </w:rPr>
              <w:t>4.65</w:t>
            </w:r>
          </w:p>
        </w:tc>
      </w:tr>
      <w:tr w:rsidR="00676AFC">
        <w:tc>
          <w:tcPr>
            <w:tcW w:w="450" w:type="pct"/>
            <w:tcBorders>
              <w:bottom w:val="single" w:sz="4" w:space="0" w:color="auto"/>
            </w:tcBorders>
            <w:vAlign w:val="bottom"/>
          </w:tcPr>
          <w:p w:rsidR="00676AFC" w:rsidRPr="00FA4FB5" w:rsidRDefault="00676AFC">
            <w:pPr>
              <w:pStyle w:val="TableStubIMS"/>
              <w:ind w:left="173" w:hanging="173"/>
              <w:rPr>
                <w:rFonts w:ascii="Arial" w:hAnsi="Arial" w:cs="Arial"/>
                <w:b/>
              </w:rPr>
            </w:pPr>
            <w:r w:rsidRPr="00FA4FB5">
              <w:rPr>
                <w:rFonts w:ascii="Arial" w:hAnsi="Arial" w:cs="Arial"/>
                <w:b/>
              </w:rPr>
              <w:t>2012</w:t>
            </w:r>
          </w:p>
        </w:tc>
        <w:tc>
          <w:tcPr>
            <w:tcW w:w="350" w:type="pct"/>
            <w:tcBorders>
              <w:bottom w:val="single" w:sz="4" w:space="0" w:color="auto"/>
            </w:tcBorders>
            <w:vAlign w:val="bottom"/>
          </w:tcPr>
          <w:p w:rsidR="00676AFC" w:rsidRDefault="00676AFC">
            <w:pPr>
              <w:pStyle w:val="TableColumnIMS"/>
              <w:rPr>
                <w:rFonts w:ascii="Arial" w:hAnsi="Arial" w:cs="Arial"/>
              </w:rPr>
            </w:pPr>
            <w:r>
              <w:rPr>
                <w:rFonts w:ascii="Arial" w:hAnsi="Arial" w:cs="Arial"/>
              </w:rPr>
              <w:t>1.23</w:t>
            </w:r>
          </w:p>
        </w:tc>
        <w:tc>
          <w:tcPr>
            <w:tcW w:w="350" w:type="pct"/>
            <w:tcBorders>
              <w:bottom w:val="single" w:sz="4" w:space="0" w:color="auto"/>
            </w:tcBorders>
            <w:vAlign w:val="bottom"/>
          </w:tcPr>
          <w:p w:rsidR="00676AFC" w:rsidRDefault="00676AFC">
            <w:pPr>
              <w:pStyle w:val="TableColumnIMS"/>
              <w:rPr>
                <w:rFonts w:ascii="Arial" w:hAnsi="Arial" w:cs="Arial"/>
              </w:rPr>
            </w:pPr>
            <w:r>
              <w:rPr>
                <w:rFonts w:ascii="Arial" w:hAnsi="Arial" w:cs="Arial"/>
              </w:rPr>
              <w:t>1.05</w:t>
            </w:r>
          </w:p>
        </w:tc>
        <w:tc>
          <w:tcPr>
            <w:tcW w:w="350" w:type="pct"/>
            <w:tcBorders>
              <w:bottom w:val="single" w:sz="4" w:space="0" w:color="auto"/>
            </w:tcBorders>
            <w:vAlign w:val="bottom"/>
          </w:tcPr>
          <w:p w:rsidR="00676AFC" w:rsidRDefault="00676AFC">
            <w:pPr>
              <w:pStyle w:val="TableColumnIMS"/>
              <w:rPr>
                <w:rFonts w:ascii="Arial" w:hAnsi="Arial" w:cs="Arial"/>
              </w:rPr>
            </w:pPr>
            <w:r>
              <w:rPr>
                <w:rFonts w:ascii="Arial" w:hAnsi="Arial" w:cs="Arial"/>
              </w:rPr>
              <w:t>(0.51)</w:t>
            </w:r>
          </w:p>
        </w:tc>
        <w:tc>
          <w:tcPr>
            <w:tcW w:w="350" w:type="pct"/>
            <w:tcBorders>
              <w:bottom w:val="single" w:sz="4" w:space="0" w:color="auto"/>
            </w:tcBorders>
            <w:vAlign w:val="bottom"/>
          </w:tcPr>
          <w:p w:rsidR="00676AFC" w:rsidRDefault="00676AFC">
            <w:pPr>
              <w:pStyle w:val="TableColumnIMS"/>
              <w:rPr>
                <w:rFonts w:ascii="Arial" w:hAnsi="Arial" w:cs="Arial"/>
              </w:rPr>
            </w:pPr>
            <w:r>
              <w:rPr>
                <w:rFonts w:ascii="Arial" w:hAnsi="Arial" w:cs="Arial"/>
              </w:rPr>
              <w:t>(0.08)</w:t>
            </w:r>
          </w:p>
        </w:tc>
        <w:tc>
          <w:tcPr>
            <w:tcW w:w="350" w:type="pct"/>
            <w:tcBorders>
              <w:bottom w:val="single" w:sz="4" w:space="0" w:color="auto"/>
            </w:tcBorders>
            <w:vAlign w:val="bottom"/>
          </w:tcPr>
          <w:p w:rsidR="00676AFC" w:rsidRDefault="00676AFC">
            <w:pPr>
              <w:pStyle w:val="TableColumnIMS"/>
              <w:rPr>
                <w:rFonts w:ascii="Arial" w:hAnsi="Arial" w:cs="Arial"/>
              </w:rPr>
            </w:pPr>
            <w:r>
              <w:rPr>
                <w:rFonts w:ascii="Arial" w:hAnsi="Arial" w:cs="Arial"/>
              </w:rPr>
              <w:t>(0.62)</w:t>
            </w:r>
          </w:p>
        </w:tc>
        <w:tc>
          <w:tcPr>
            <w:tcW w:w="350" w:type="pct"/>
            <w:tcBorders>
              <w:bottom w:val="single" w:sz="4" w:space="0" w:color="auto"/>
            </w:tcBorders>
            <w:vAlign w:val="bottom"/>
          </w:tcPr>
          <w:p w:rsidR="00676AFC" w:rsidRDefault="00676AFC">
            <w:pPr>
              <w:pStyle w:val="TableColumnIMS"/>
              <w:rPr>
                <w:rFonts w:ascii="Arial" w:hAnsi="Arial" w:cs="Arial"/>
              </w:rPr>
            </w:pPr>
            <w:r>
              <w:rPr>
                <w:rFonts w:ascii="Arial" w:hAnsi="Arial" w:cs="Arial"/>
              </w:rPr>
              <w:t>(1.51)</w:t>
            </w:r>
          </w:p>
        </w:tc>
        <w:tc>
          <w:tcPr>
            <w:tcW w:w="350" w:type="pct"/>
            <w:tcBorders>
              <w:bottom w:val="single" w:sz="4" w:space="0" w:color="auto"/>
            </w:tcBorders>
            <w:vAlign w:val="bottom"/>
          </w:tcPr>
          <w:p w:rsidR="00676AFC" w:rsidRDefault="00676AFC">
            <w:pPr>
              <w:pStyle w:val="TableColumnIMS"/>
              <w:rPr>
                <w:rFonts w:ascii="Arial" w:hAnsi="Arial" w:cs="Arial"/>
              </w:rPr>
            </w:pPr>
          </w:p>
        </w:tc>
        <w:tc>
          <w:tcPr>
            <w:tcW w:w="350" w:type="pct"/>
            <w:tcBorders>
              <w:bottom w:val="single" w:sz="4" w:space="0" w:color="auto"/>
            </w:tcBorders>
            <w:vAlign w:val="bottom"/>
          </w:tcPr>
          <w:p w:rsidR="00676AFC" w:rsidRDefault="00676AFC">
            <w:pPr>
              <w:pStyle w:val="TableColumnIMS"/>
              <w:rPr>
                <w:rFonts w:ascii="Arial" w:hAnsi="Arial" w:cs="Arial"/>
              </w:rPr>
            </w:pPr>
          </w:p>
        </w:tc>
        <w:tc>
          <w:tcPr>
            <w:tcW w:w="350" w:type="pct"/>
            <w:tcBorders>
              <w:bottom w:val="single" w:sz="4" w:space="0" w:color="auto"/>
            </w:tcBorders>
            <w:vAlign w:val="bottom"/>
          </w:tcPr>
          <w:p w:rsidR="00676AFC" w:rsidRDefault="00676AFC">
            <w:pPr>
              <w:pStyle w:val="TableColumnIMS"/>
              <w:rPr>
                <w:rFonts w:ascii="Arial" w:hAnsi="Arial" w:cs="Arial"/>
              </w:rPr>
            </w:pPr>
          </w:p>
        </w:tc>
        <w:tc>
          <w:tcPr>
            <w:tcW w:w="350" w:type="pct"/>
            <w:tcBorders>
              <w:bottom w:val="single" w:sz="4" w:space="0" w:color="auto"/>
            </w:tcBorders>
            <w:vAlign w:val="bottom"/>
          </w:tcPr>
          <w:p w:rsidR="00676AFC" w:rsidRDefault="00676AFC">
            <w:pPr>
              <w:pStyle w:val="TableColumnIMS"/>
              <w:rPr>
                <w:rFonts w:ascii="Arial" w:hAnsi="Arial" w:cs="Arial"/>
              </w:rPr>
            </w:pPr>
          </w:p>
        </w:tc>
        <w:tc>
          <w:tcPr>
            <w:tcW w:w="350" w:type="pct"/>
            <w:tcBorders>
              <w:bottom w:val="single" w:sz="4" w:space="0" w:color="auto"/>
            </w:tcBorders>
            <w:vAlign w:val="bottom"/>
          </w:tcPr>
          <w:p w:rsidR="00676AFC" w:rsidRDefault="00676AFC">
            <w:pPr>
              <w:pStyle w:val="TableColumnIMS"/>
              <w:rPr>
                <w:rFonts w:ascii="Arial" w:hAnsi="Arial" w:cs="Arial"/>
              </w:rPr>
            </w:pPr>
          </w:p>
        </w:tc>
        <w:tc>
          <w:tcPr>
            <w:tcW w:w="350" w:type="pct"/>
            <w:tcBorders>
              <w:bottom w:val="single" w:sz="4" w:space="0" w:color="auto"/>
            </w:tcBorders>
            <w:vAlign w:val="bottom"/>
          </w:tcPr>
          <w:p w:rsidR="00676AFC" w:rsidRDefault="00676AFC">
            <w:pPr>
              <w:pStyle w:val="TableColumnIMS"/>
              <w:rPr>
                <w:rFonts w:ascii="Arial" w:hAnsi="Arial" w:cs="Arial"/>
              </w:rPr>
            </w:pPr>
          </w:p>
        </w:tc>
        <w:tc>
          <w:tcPr>
            <w:tcW w:w="350" w:type="pct"/>
            <w:tcBorders>
              <w:bottom w:val="single" w:sz="4" w:space="0" w:color="auto"/>
            </w:tcBorders>
            <w:vAlign w:val="bottom"/>
          </w:tcPr>
          <w:p w:rsidR="00676AFC" w:rsidRDefault="00676AFC">
            <w:pPr>
              <w:pStyle w:val="TableColumnIMS"/>
              <w:rPr>
                <w:rFonts w:ascii="Arial" w:hAnsi="Arial" w:cs="Arial"/>
              </w:rPr>
            </w:pPr>
            <w:r>
              <w:rPr>
                <w:rFonts w:ascii="Arial" w:hAnsi="Arial" w:cs="Arial"/>
              </w:rPr>
              <w:t>(0.47)</w:t>
            </w:r>
          </w:p>
        </w:tc>
      </w:tr>
    </w:tbl>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6"/>
        </w:rPr>
        <w:t>Source: The Company’s NAV and NAV per Share data is provided by the Company’s administrator, Northern Trust International Fund Administration Services (Guernsey) Limited. Monthly NAV data is unaudited and net of all investment management fees and all other fees and expenses payable by the Company. Shares in the Company do not necessarily trade at a price equal to the prevailing NAV per Share.</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6"/>
        </w:rPr>
        <w:t>* Performance is calculated from a base NAV per Share of 10.0 in each currency. The opening NAV in May 2008 was 9.9 (after deduction of the IPO costs borne by the Company).</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6"/>
        </w:rPr>
        <w:t>PAST PERFORMANCE IS NOT INDICATIVE OF FUTURE RESULTS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BHGO – Allocations and Investment Performance</w:t>
      </w:r>
    </w:p>
    <w:p w:rsidR="00676AFC" w:rsidRDefault="00676AFC">
      <w:pPr>
        <w:pStyle w:val="ParaIMS"/>
        <w:spacing w:before="0"/>
        <w:rPr>
          <w:rFonts w:ascii="Arial" w:hAnsi="Arial" w:cs="Arial"/>
        </w:rPr>
      </w:pPr>
      <w:r>
        <w:rPr>
          <w:rFonts w:ascii="Arial" w:hAnsi="Arial" w:cs="Arial"/>
          <w:szCs w:val="18"/>
        </w:rPr>
        <w:t>The allocations of BHGO to each of its underlying fund investments changed as follows during the first half of 2012:</w:t>
      </w:r>
    </w:p>
    <w:p w:rsidR="00676AFC" w:rsidRDefault="00676AFC">
      <w:pPr>
        <w:pStyle w:val="ParaIMS"/>
        <w:spacing w:before="0"/>
        <w:rPr>
          <w:rFonts w:ascii="Arial" w:hAnsi="Arial" w:cs="Arial"/>
        </w:rPr>
      </w:pPr>
    </w:p>
    <w:tbl>
      <w:tblPr>
        <w:tblW w:w="5000" w:type="pct"/>
        <w:tblLayout w:type="fixed"/>
        <w:tblCellMar>
          <w:left w:w="0" w:type="dxa"/>
          <w:right w:w="0" w:type="dxa"/>
        </w:tblCellMar>
        <w:tblLook w:val="0000"/>
      </w:tblPr>
      <w:tblGrid>
        <w:gridCol w:w="7317"/>
        <w:gridCol w:w="1078"/>
        <w:gridCol w:w="2145"/>
      </w:tblGrid>
      <w:tr w:rsidR="00676AFC">
        <w:tc>
          <w:tcPr>
            <w:tcW w:w="7328" w:type="dxa"/>
            <w:tcBorders>
              <w:bottom w:val="single" w:sz="4" w:space="0" w:color="auto"/>
            </w:tcBorders>
            <w:vAlign w:val="bottom"/>
          </w:tcPr>
          <w:p w:rsidR="00676AFC" w:rsidRDefault="00676AFC">
            <w:pPr>
              <w:pStyle w:val="TableStubIMS"/>
              <w:ind w:left="173" w:hanging="173"/>
              <w:rPr>
                <w:rFonts w:ascii="Arial" w:hAnsi="Arial" w:cs="Arial"/>
              </w:rPr>
            </w:pPr>
          </w:p>
        </w:tc>
        <w:tc>
          <w:tcPr>
            <w:tcW w:w="1080" w:type="dxa"/>
            <w:tcBorders>
              <w:bottom w:val="single" w:sz="4" w:space="0" w:color="auto"/>
            </w:tcBorders>
            <w:vAlign w:val="bottom"/>
          </w:tcPr>
          <w:p w:rsidR="00676AFC" w:rsidRDefault="00676AFC">
            <w:pPr>
              <w:pStyle w:val="TableColumnIMS"/>
              <w:rPr>
                <w:rFonts w:ascii="Arial" w:hAnsi="Arial" w:cs="Arial"/>
              </w:rPr>
            </w:pPr>
          </w:p>
        </w:tc>
        <w:tc>
          <w:tcPr>
            <w:tcW w:w="2148" w:type="dxa"/>
            <w:tcBorders>
              <w:bottom w:val="single" w:sz="4" w:space="0" w:color="auto"/>
            </w:tcBorders>
            <w:vAlign w:val="bottom"/>
          </w:tcPr>
          <w:p w:rsidR="00676AFC" w:rsidRDefault="00676AFC">
            <w:pPr>
              <w:pStyle w:val="TableColumnHeadingIMS"/>
              <w:jc w:val="right"/>
              <w:rPr>
                <w:rFonts w:ascii="Arial" w:hAnsi="Arial" w:cs="Arial"/>
                <w:sz w:val="20"/>
              </w:rPr>
            </w:pPr>
            <w:r>
              <w:rPr>
                <w:rFonts w:ascii="Arial" w:hAnsi="Arial" w:cs="Arial"/>
                <w:sz w:val="20"/>
              </w:rPr>
              <w:t>Allocation (% NAV)</w:t>
            </w:r>
          </w:p>
        </w:tc>
      </w:tr>
      <w:tr w:rsidR="00676AFC">
        <w:tc>
          <w:tcPr>
            <w:tcW w:w="732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b/>
                <w:bCs/>
              </w:rPr>
            </w:pPr>
            <w:r>
              <w:rPr>
                <w:rFonts w:ascii="Arial" w:hAnsi="Arial" w:cs="Arial"/>
                <w:b/>
                <w:bCs/>
              </w:rPr>
              <w:t>Investment</w:t>
            </w:r>
          </w:p>
        </w:tc>
        <w:tc>
          <w:tcPr>
            <w:tcW w:w="1080"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31.12.11</w:t>
            </w:r>
          </w:p>
        </w:tc>
        <w:tc>
          <w:tcPr>
            <w:tcW w:w="2148"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02.07.12*</w:t>
            </w:r>
          </w:p>
        </w:tc>
      </w:tr>
      <w:tr w:rsidR="00676AFC">
        <w:tc>
          <w:tcPr>
            <w:tcW w:w="7328" w:type="dxa"/>
            <w:tcBorders>
              <w:top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Brevan Howard Master Fund Limited (“BHMF”)</w:t>
            </w:r>
          </w:p>
        </w:tc>
        <w:tc>
          <w:tcPr>
            <w:tcW w:w="1080" w:type="dxa"/>
            <w:tcBorders>
              <w:top w:val="single" w:sz="4" w:space="0" w:color="auto"/>
            </w:tcBorders>
            <w:vAlign w:val="bottom"/>
          </w:tcPr>
          <w:p w:rsidR="00676AFC" w:rsidRDefault="00676AFC">
            <w:pPr>
              <w:pStyle w:val="TableColumnIMS"/>
              <w:rPr>
                <w:rFonts w:ascii="Arial" w:hAnsi="Arial" w:cs="Arial"/>
              </w:rPr>
            </w:pPr>
            <w:r>
              <w:rPr>
                <w:rFonts w:ascii="Arial" w:hAnsi="Arial" w:cs="Arial"/>
              </w:rPr>
              <w:t>50.3</w:t>
            </w:r>
          </w:p>
        </w:tc>
        <w:tc>
          <w:tcPr>
            <w:tcW w:w="2148" w:type="dxa"/>
            <w:tcBorders>
              <w:top w:val="single" w:sz="4" w:space="0" w:color="auto"/>
            </w:tcBorders>
            <w:vAlign w:val="bottom"/>
          </w:tcPr>
          <w:p w:rsidR="00676AFC" w:rsidRDefault="00676AFC">
            <w:pPr>
              <w:pStyle w:val="TableColumnIMS"/>
              <w:rPr>
                <w:rFonts w:ascii="Arial" w:hAnsi="Arial" w:cs="Arial"/>
              </w:rPr>
            </w:pPr>
            <w:r>
              <w:rPr>
                <w:rFonts w:ascii="Arial" w:hAnsi="Arial" w:cs="Arial"/>
              </w:rPr>
              <w:t>47.8</w:t>
            </w:r>
          </w:p>
        </w:tc>
      </w:tr>
      <w:tr w:rsidR="00676AFC">
        <w:tc>
          <w:tcPr>
            <w:tcW w:w="7328" w:type="dxa"/>
            <w:vAlign w:val="bottom"/>
          </w:tcPr>
          <w:p w:rsidR="00676AFC" w:rsidRDefault="00676AFC">
            <w:pPr>
              <w:pStyle w:val="TableStubIMS"/>
              <w:ind w:left="173" w:hanging="173"/>
              <w:rPr>
                <w:rFonts w:ascii="Arial" w:hAnsi="Arial" w:cs="Arial"/>
              </w:rPr>
            </w:pPr>
            <w:r>
              <w:rPr>
                <w:rFonts w:ascii="Arial" w:hAnsi="Arial" w:cs="Arial"/>
              </w:rPr>
              <w:lastRenderedPageBreak/>
              <w:t>Brevan Howard Asia Master Fund Limited (“BHA”)</w:t>
            </w:r>
          </w:p>
        </w:tc>
        <w:tc>
          <w:tcPr>
            <w:tcW w:w="1080" w:type="dxa"/>
            <w:vAlign w:val="bottom"/>
          </w:tcPr>
          <w:p w:rsidR="00676AFC" w:rsidRDefault="00676AFC">
            <w:pPr>
              <w:pStyle w:val="TableColumnIMS"/>
              <w:rPr>
                <w:rFonts w:ascii="Arial" w:hAnsi="Arial" w:cs="Arial"/>
              </w:rPr>
            </w:pPr>
            <w:r>
              <w:rPr>
                <w:rFonts w:ascii="Arial" w:hAnsi="Arial" w:cs="Arial"/>
              </w:rPr>
              <w:t>9.9</w:t>
            </w:r>
          </w:p>
        </w:tc>
        <w:tc>
          <w:tcPr>
            <w:tcW w:w="2148" w:type="dxa"/>
            <w:vAlign w:val="bottom"/>
          </w:tcPr>
          <w:p w:rsidR="00676AFC" w:rsidRDefault="00676AFC">
            <w:pPr>
              <w:pStyle w:val="TableColumnIMS"/>
              <w:rPr>
                <w:rFonts w:ascii="Arial" w:hAnsi="Arial" w:cs="Arial"/>
              </w:rPr>
            </w:pPr>
            <w:r>
              <w:rPr>
                <w:rFonts w:ascii="Arial" w:hAnsi="Arial" w:cs="Arial"/>
              </w:rPr>
              <w:t>8.7</w:t>
            </w:r>
          </w:p>
        </w:tc>
      </w:tr>
      <w:tr w:rsidR="00676AFC">
        <w:tc>
          <w:tcPr>
            <w:tcW w:w="7328" w:type="dxa"/>
            <w:vAlign w:val="bottom"/>
          </w:tcPr>
          <w:p w:rsidR="00676AFC" w:rsidRDefault="00676AFC">
            <w:pPr>
              <w:pStyle w:val="TableStubIMS"/>
              <w:ind w:left="173" w:hanging="173"/>
              <w:rPr>
                <w:rFonts w:ascii="Arial" w:hAnsi="Arial" w:cs="Arial"/>
              </w:rPr>
            </w:pPr>
            <w:r>
              <w:rPr>
                <w:rFonts w:ascii="Arial" w:hAnsi="Arial" w:cs="Arial"/>
              </w:rPr>
              <w:t>Brevan Howard Emerging Markets Strategies Master Fund Limited (“BHEMS”)</w:t>
            </w:r>
          </w:p>
        </w:tc>
        <w:tc>
          <w:tcPr>
            <w:tcW w:w="1080" w:type="dxa"/>
            <w:vAlign w:val="bottom"/>
          </w:tcPr>
          <w:p w:rsidR="00676AFC" w:rsidRDefault="00676AFC">
            <w:pPr>
              <w:pStyle w:val="TableColumnIMS"/>
              <w:rPr>
                <w:rFonts w:ascii="Arial" w:hAnsi="Arial" w:cs="Arial"/>
              </w:rPr>
            </w:pPr>
            <w:r>
              <w:rPr>
                <w:rFonts w:ascii="Arial" w:hAnsi="Arial" w:cs="Arial"/>
              </w:rPr>
              <w:t>11.5</w:t>
            </w:r>
          </w:p>
        </w:tc>
        <w:tc>
          <w:tcPr>
            <w:tcW w:w="2148" w:type="dxa"/>
            <w:vAlign w:val="bottom"/>
          </w:tcPr>
          <w:p w:rsidR="00676AFC" w:rsidRDefault="00676AFC">
            <w:pPr>
              <w:pStyle w:val="TableColumnIMS"/>
              <w:rPr>
                <w:rFonts w:ascii="Arial" w:hAnsi="Arial" w:cs="Arial"/>
              </w:rPr>
            </w:pPr>
            <w:r>
              <w:rPr>
                <w:rFonts w:ascii="Arial" w:hAnsi="Arial" w:cs="Arial"/>
              </w:rPr>
              <w:t>9.3</w:t>
            </w:r>
          </w:p>
        </w:tc>
      </w:tr>
      <w:tr w:rsidR="00676AFC">
        <w:tc>
          <w:tcPr>
            <w:tcW w:w="7328" w:type="dxa"/>
            <w:vAlign w:val="bottom"/>
          </w:tcPr>
          <w:p w:rsidR="00676AFC" w:rsidRDefault="00676AFC">
            <w:pPr>
              <w:pStyle w:val="TableStubIMS"/>
              <w:ind w:left="173" w:hanging="173"/>
              <w:rPr>
                <w:rFonts w:ascii="Arial" w:hAnsi="Arial" w:cs="Arial"/>
              </w:rPr>
            </w:pPr>
            <w:r>
              <w:rPr>
                <w:rFonts w:ascii="Arial" w:hAnsi="Arial" w:cs="Arial"/>
              </w:rPr>
              <w:t>Brevan Howard Credit Catalysts Master Fund Limited (“BHCC”)</w:t>
            </w:r>
          </w:p>
        </w:tc>
        <w:tc>
          <w:tcPr>
            <w:tcW w:w="1080" w:type="dxa"/>
            <w:vAlign w:val="bottom"/>
          </w:tcPr>
          <w:p w:rsidR="00676AFC" w:rsidRDefault="00676AFC">
            <w:pPr>
              <w:pStyle w:val="TableColumnIMS"/>
              <w:rPr>
                <w:rFonts w:ascii="Arial" w:hAnsi="Arial" w:cs="Arial"/>
              </w:rPr>
            </w:pPr>
            <w:r>
              <w:rPr>
                <w:rFonts w:ascii="Arial" w:hAnsi="Arial" w:cs="Arial"/>
              </w:rPr>
              <w:t>11.3</w:t>
            </w:r>
          </w:p>
        </w:tc>
        <w:tc>
          <w:tcPr>
            <w:tcW w:w="2148" w:type="dxa"/>
            <w:vAlign w:val="bottom"/>
          </w:tcPr>
          <w:p w:rsidR="00676AFC" w:rsidRDefault="00676AFC">
            <w:pPr>
              <w:pStyle w:val="TableColumnIMS"/>
              <w:rPr>
                <w:rFonts w:ascii="Arial" w:hAnsi="Arial" w:cs="Arial"/>
              </w:rPr>
            </w:pPr>
            <w:r>
              <w:rPr>
                <w:rFonts w:ascii="Arial" w:hAnsi="Arial" w:cs="Arial"/>
              </w:rPr>
              <w:t>12.5</w:t>
            </w:r>
          </w:p>
        </w:tc>
      </w:tr>
      <w:tr w:rsidR="00676AFC">
        <w:tc>
          <w:tcPr>
            <w:tcW w:w="7328" w:type="dxa"/>
            <w:vAlign w:val="bottom"/>
          </w:tcPr>
          <w:p w:rsidR="00676AFC" w:rsidRDefault="00676AFC">
            <w:pPr>
              <w:pStyle w:val="TableStubIMS"/>
              <w:ind w:left="173" w:hanging="173"/>
              <w:rPr>
                <w:rFonts w:ascii="Arial" w:hAnsi="Arial" w:cs="Arial"/>
              </w:rPr>
            </w:pPr>
            <w:r>
              <w:rPr>
                <w:rFonts w:ascii="Arial" w:hAnsi="Arial" w:cs="Arial"/>
              </w:rPr>
              <w:t>Brevan Howard Commodities Strategies Master Fund Limited (“BHCS”)</w:t>
            </w:r>
          </w:p>
        </w:tc>
        <w:tc>
          <w:tcPr>
            <w:tcW w:w="1080" w:type="dxa"/>
            <w:vAlign w:val="bottom"/>
          </w:tcPr>
          <w:p w:rsidR="00676AFC" w:rsidRDefault="00676AFC">
            <w:pPr>
              <w:pStyle w:val="TableColumnIMS"/>
              <w:rPr>
                <w:rFonts w:ascii="Arial" w:hAnsi="Arial" w:cs="Arial"/>
              </w:rPr>
            </w:pPr>
            <w:r>
              <w:rPr>
                <w:rFonts w:ascii="Arial" w:hAnsi="Arial" w:cs="Arial"/>
              </w:rPr>
              <w:t>4.8</w:t>
            </w:r>
          </w:p>
        </w:tc>
        <w:tc>
          <w:tcPr>
            <w:tcW w:w="2148" w:type="dxa"/>
            <w:vAlign w:val="bottom"/>
          </w:tcPr>
          <w:p w:rsidR="00676AFC" w:rsidRDefault="00676AFC">
            <w:pPr>
              <w:pStyle w:val="TableColumnIMS"/>
              <w:rPr>
                <w:rFonts w:ascii="Arial" w:hAnsi="Arial" w:cs="Arial"/>
              </w:rPr>
            </w:pPr>
            <w:r>
              <w:rPr>
                <w:rFonts w:ascii="Arial" w:hAnsi="Arial" w:cs="Arial"/>
              </w:rPr>
              <w:t>5.0</w:t>
            </w:r>
          </w:p>
        </w:tc>
      </w:tr>
      <w:tr w:rsidR="00676AFC">
        <w:tc>
          <w:tcPr>
            <w:tcW w:w="7328" w:type="dxa"/>
            <w:vAlign w:val="bottom"/>
          </w:tcPr>
          <w:p w:rsidR="00676AFC" w:rsidRDefault="00676AFC">
            <w:pPr>
              <w:pStyle w:val="TableStubIMS"/>
              <w:ind w:left="173" w:hanging="173"/>
              <w:rPr>
                <w:rFonts w:ascii="Arial" w:hAnsi="Arial" w:cs="Arial"/>
              </w:rPr>
            </w:pPr>
            <w:r>
              <w:rPr>
                <w:rFonts w:ascii="Arial" w:hAnsi="Arial" w:cs="Arial"/>
              </w:rPr>
              <w:t>Brevan Howard Systematic Trading Master Fund Limited (“BHST”)</w:t>
            </w:r>
          </w:p>
        </w:tc>
        <w:tc>
          <w:tcPr>
            <w:tcW w:w="1080" w:type="dxa"/>
            <w:vAlign w:val="bottom"/>
          </w:tcPr>
          <w:p w:rsidR="00676AFC" w:rsidRDefault="00676AFC">
            <w:pPr>
              <w:pStyle w:val="TableColumnIMS"/>
              <w:rPr>
                <w:rFonts w:ascii="Arial" w:hAnsi="Arial" w:cs="Arial"/>
              </w:rPr>
            </w:pPr>
            <w:r>
              <w:rPr>
                <w:rFonts w:ascii="Arial" w:hAnsi="Arial" w:cs="Arial"/>
              </w:rPr>
              <w:t>11.6</w:t>
            </w:r>
          </w:p>
        </w:tc>
        <w:tc>
          <w:tcPr>
            <w:tcW w:w="2148" w:type="dxa"/>
            <w:vAlign w:val="bottom"/>
          </w:tcPr>
          <w:p w:rsidR="00676AFC" w:rsidRDefault="00676AFC">
            <w:pPr>
              <w:pStyle w:val="TableColumnIMS"/>
              <w:rPr>
                <w:rFonts w:ascii="Arial" w:hAnsi="Arial" w:cs="Arial"/>
              </w:rPr>
            </w:pPr>
            <w:r>
              <w:rPr>
                <w:rFonts w:ascii="Arial" w:hAnsi="Arial" w:cs="Arial"/>
              </w:rPr>
              <w:t>12.0</w:t>
            </w:r>
          </w:p>
        </w:tc>
      </w:tr>
      <w:tr w:rsidR="00676AFC">
        <w:tc>
          <w:tcPr>
            <w:tcW w:w="7328" w:type="dxa"/>
            <w:vAlign w:val="bottom"/>
          </w:tcPr>
          <w:p w:rsidR="00676AFC" w:rsidRDefault="00676AFC">
            <w:pPr>
              <w:pStyle w:val="TableStubIMS"/>
              <w:ind w:left="173" w:hanging="173"/>
              <w:rPr>
                <w:rFonts w:ascii="Arial" w:hAnsi="Arial" w:cs="Arial"/>
              </w:rPr>
            </w:pPr>
            <w:r>
              <w:rPr>
                <w:rFonts w:ascii="Arial" w:hAnsi="Arial" w:cs="Arial"/>
              </w:rPr>
              <w:t>Brevan Howard Investment Fund – Emerging Markets Local Fixed Income Fund (“BHEML”)</w:t>
            </w:r>
          </w:p>
        </w:tc>
        <w:tc>
          <w:tcPr>
            <w:tcW w:w="1080" w:type="dxa"/>
            <w:vAlign w:val="bottom"/>
          </w:tcPr>
          <w:p w:rsidR="00676AFC" w:rsidRDefault="00676AFC">
            <w:pPr>
              <w:pStyle w:val="TableColumnIMS"/>
              <w:rPr>
                <w:rFonts w:ascii="Arial" w:hAnsi="Arial" w:cs="Arial"/>
              </w:rPr>
            </w:pPr>
            <w:r>
              <w:rPr>
                <w:rFonts w:ascii="Arial" w:hAnsi="Arial" w:cs="Arial"/>
              </w:rPr>
              <w:t>0.0</w:t>
            </w:r>
          </w:p>
        </w:tc>
        <w:tc>
          <w:tcPr>
            <w:tcW w:w="2148" w:type="dxa"/>
            <w:vAlign w:val="bottom"/>
          </w:tcPr>
          <w:p w:rsidR="00676AFC" w:rsidRDefault="00676AFC">
            <w:pPr>
              <w:pStyle w:val="TableColumnIMS"/>
              <w:rPr>
                <w:rFonts w:ascii="Arial" w:hAnsi="Arial" w:cs="Arial"/>
              </w:rPr>
            </w:pPr>
            <w:r>
              <w:rPr>
                <w:rFonts w:ascii="Arial" w:hAnsi="Arial" w:cs="Arial"/>
              </w:rPr>
              <w:t>4.4</w:t>
            </w:r>
          </w:p>
        </w:tc>
      </w:tr>
      <w:tr w:rsidR="00676AFC">
        <w:tc>
          <w:tcPr>
            <w:tcW w:w="7328" w:type="dxa"/>
            <w:tcBorders>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Cash/Other</w:t>
            </w:r>
          </w:p>
        </w:tc>
        <w:tc>
          <w:tcPr>
            <w:tcW w:w="1080" w:type="dxa"/>
            <w:tcBorders>
              <w:bottom w:val="single" w:sz="4" w:space="0" w:color="auto"/>
            </w:tcBorders>
            <w:vAlign w:val="bottom"/>
          </w:tcPr>
          <w:p w:rsidR="00676AFC" w:rsidRDefault="00676AFC">
            <w:pPr>
              <w:pStyle w:val="TableColumnIMS"/>
              <w:rPr>
                <w:rFonts w:ascii="Arial" w:hAnsi="Arial" w:cs="Arial"/>
              </w:rPr>
            </w:pPr>
            <w:r>
              <w:rPr>
                <w:rFonts w:ascii="Arial" w:hAnsi="Arial" w:cs="Arial"/>
              </w:rPr>
              <w:t>0.6</w:t>
            </w:r>
          </w:p>
        </w:tc>
        <w:tc>
          <w:tcPr>
            <w:tcW w:w="2148" w:type="dxa"/>
            <w:tcBorders>
              <w:bottom w:val="single" w:sz="4" w:space="0" w:color="auto"/>
            </w:tcBorders>
            <w:vAlign w:val="bottom"/>
          </w:tcPr>
          <w:p w:rsidR="00676AFC" w:rsidRDefault="00676AFC">
            <w:pPr>
              <w:pStyle w:val="TableColumnIMS"/>
              <w:rPr>
                <w:rFonts w:ascii="Arial" w:hAnsi="Arial" w:cs="Arial"/>
              </w:rPr>
            </w:pPr>
            <w:r>
              <w:rPr>
                <w:rFonts w:ascii="Arial" w:hAnsi="Arial" w:cs="Arial"/>
              </w:rPr>
              <w:t>0.3</w:t>
            </w:r>
          </w:p>
        </w:tc>
      </w:tr>
    </w:tbl>
    <w:p w:rsidR="00676AFC" w:rsidRDefault="00676AFC">
      <w:pPr>
        <w:pStyle w:val="ParaIMS"/>
        <w:spacing w:before="0"/>
        <w:rPr>
          <w:rFonts w:ascii="Arial" w:hAnsi="Arial" w:cs="Arial"/>
        </w:rPr>
      </w:pPr>
    </w:p>
    <w:p w:rsidR="00676AFC" w:rsidRDefault="00676AFC">
      <w:pPr>
        <w:pStyle w:val="ParaIMS"/>
        <w:spacing w:before="0"/>
        <w:rPr>
          <w:rFonts w:ascii="Arial" w:hAnsi="Arial" w:cs="Arial"/>
          <w:szCs w:val="15"/>
        </w:rPr>
      </w:pPr>
      <w:r>
        <w:rPr>
          <w:rFonts w:ascii="Arial" w:hAnsi="Arial" w:cs="Arial"/>
          <w:szCs w:val="15"/>
        </w:rPr>
        <w:t xml:space="preserve">Source: Brevan Howard. </w:t>
      </w:r>
    </w:p>
    <w:p w:rsidR="00676AFC" w:rsidRDefault="00676AFC">
      <w:pPr>
        <w:pStyle w:val="ParaIMS"/>
        <w:spacing w:before="0"/>
        <w:rPr>
          <w:rFonts w:ascii="Arial" w:hAnsi="Arial" w:cs="Arial"/>
        </w:rPr>
      </w:pPr>
      <w:r>
        <w:rPr>
          <w:rFonts w:ascii="Arial" w:hAnsi="Arial" w:cs="Arial"/>
          <w:szCs w:val="15"/>
        </w:rPr>
        <w:t>Allocations are subject to change.</w:t>
      </w:r>
    </w:p>
    <w:p w:rsidR="00676AFC" w:rsidRDefault="00676AFC">
      <w:pPr>
        <w:pStyle w:val="ParaIMS"/>
        <w:spacing w:before="0"/>
        <w:rPr>
          <w:rFonts w:ascii="Arial" w:hAnsi="Arial" w:cs="Arial"/>
          <w:szCs w:val="15"/>
        </w:rPr>
      </w:pPr>
    </w:p>
    <w:p w:rsidR="00676AFC" w:rsidRDefault="00676AFC">
      <w:pPr>
        <w:pStyle w:val="ParaIMS"/>
        <w:spacing w:before="0"/>
        <w:rPr>
          <w:rFonts w:ascii="Arial" w:hAnsi="Arial" w:cs="Arial"/>
        </w:rPr>
      </w:pPr>
      <w:r>
        <w:rPr>
          <w:rFonts w:ascii="Arial" w:hAnsi="Arial" w:cs="Arial"/>
          <w:szCs w:val="15"/>
        </w:rPr>
        <w:t>* Inclusive of subscriptions/redemptions in underlying funds for 2 July 2012.</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The underlying funds performed as follows during the first half of 2012:</w:t>
      </w:r>
    </w:p>
    <w:p w:rsidR="00676AFC" w:rsidRDefault="00676AFC">
      <w:pPr>
        <w:pStyle w:val="ParaIMS"/>
        <w:spacing w:before="0"/>
        <w:rPr>
          <w:rFonts w:ascii="Arial" w:hAnsi="Arial" w:cs="Arial"/>
        </w:rPr>
      </w:pPr>
    </w:p>
    <w:tbl>
      <w:tblPr>
        <w:tblW w:w="5000" w:type="pct"/>
        <w:tblLayout w:type="fixed"/>
        <w:tblCellMar>
          <w:left w:w="0" w:type="dxa"/>
          <w:right w:w="0" w:type="dxa"/>
        </w:tblCellMar>
        <w:tblLook w:val="0000"/>
      </w:tblPr>
      <w:tblGrid>
        <w:gridCol w:w="8635"/>
        <w:gridCol w:w="1905"/>
      </w:tblGrid>
      <w:tr w:rsidR="00676AFC">
        <w:tc>
          <w:tcPr>
            <w:tcW w:w="8648" w:type="dxa"/>
            <w:vAlign w:val="bottom"/>
          </w:tcPr>
          <w:p w:rsidR="00676AFC" w:rsidRDefault="00676AFC">
            <w:pPr>
              <w:pStyle w:val="TableStubIMS"/>
              <w:ind w:left="173" w:hanging="173"/>
              <w:rPr>
                <w:rFonts w:ascii="Arial" w:hAnsi="Arial" w:cs="Arial"/>
                <w:b/>
                <w:bCs/>
              </w:rPr>
            </w:pPr>
          </w:p>
        </w:tc>
        <w:tc>
          <w:tcPr>
            <w:tcW w:w="1908" w:type="dxa"/>
            <w:vAlign w:val="bottom"/>
          </w:tcPr>
          <w:p w:rsidR="00676AFC" w:rsidRDefault="00676AFC">
            <w:pPr>
              <w:pStyle w:val="TableColumnHeadingIMS"/>
              <w:jc w:val="right"/>
              <w:rPr>
                <w:rFonts w:ascii="Arial" w:hAnsi="Arial" w:cs="Arial"/>
                <w:bCs/>
                <w:sz w:val="20"/>
              </w:rPr>
            </w:pPr>
            <w:r>
              <w:rPr>
                <w:rFonts w:ascii="Arial" w:hAnsi="Arial" w:cs="Arial"/>
                <w:bCs/>
                <w:sz w:val="20"/>
              </w:rPr>
              <w:t>YTD Performance</w:t>
            </w:r>
          </w:p>
        </w:tc>
      </w:tr>
      <w:tr w:rsidR="00676AFC">
        <w:tc>
          <w:tcPr>
            <w:tcW w:w="8648" w:type="dxa"/>
            <w:tcBorders>
              <w:bottom w:val="single" w:sz="4" w:space="0" w:color="auto"/>
            </w:tcBorders>
            <w:vAlign w:val="bottom"/>
          </w:tcPr>
          <w:p w:rsidR="00676AFC" w:rsidRDefault="00676AFC">
            <w:pPr>
              <w:pStyle w:val="TableStubIMS"/>
              <w:spacing w:before="0"/>
              <w:ind w:left="173" w:hanging="173"/>
              <w:rPr>
                <w:rFonts w:ascii="Arial" w:hAnsi="Arial" w:cs="Arial"/>
                <w:b/>
                <w:bCs/>
              </w:rPr>
            </w:pPr>
            <w:r>
              <w:rPr>
                <w:rFonts w:ascii="Arial" w:hAnsi="Arial" w:cs="Arial"/>
                <w:b/>
                <w:bCs/>
              </w:rPr>
              <w:t>Investment</w:t>
            </w:r>
          </w:p>
        </w:tc>
        <w:tc>
          <w:tcPr>
            <w:tcW w:w="1908" w:type="dxa"/>
            <w:tcBorders>
              <w:bottom w:val="single" w:sz="4" w:space="0" w:color="auto"/>
            </w:tcBorders>
            <w:vAlign w:val="bottom"/>
          </w:tcPr>
          <w:p w:rsidR="00676AFC" w:rsidRDefault="00676AFC">
            <w:pPr>
              <w:pStyle w:val="TableColumnIMS"/>
              <w:spacing w:before="0"/>
              <w:rPr>
                <w:rFonts w:ascii="Arial" w:hAnsi="Arial" w:cs="Arial"/>
                <w:b/>
                <w:bCs/>
              </w:rPr>
            </w:pPr>
            <w:proofErr w:type="gramStart"/>
            <w:r>
              <w:rPr>
                <w:rFonts w:ascii="Arial" w:hAnsi="Arial" w:cs="Arial"/>
                <w:b/>
                <w:bCs/>
              </w:rPr>
              <w:t>to</w:t>
            </w:r>
            <w:proofErr w:type="gramEnd"/>
            <w:r>
              <w:rPr>
                <w:rFonts w:ascii="Arial" w:hAnsi="Arial" w:cs="Arial"/>
                <w:b/>
                <w:bCs/>
              </w:rPr>
              <w:t xml:space="preserve"> 30.06.2012 (%)*</w:t>
            </w:r>
          </w:p>
        </w:tc>
      </w:tr>
      <w:tr w:rsidR="00676AFC">
        <w:trPr>
          <w:cantSplit/>
        </w:trPr>
        <w:tc>
          <w:tcPr>
            <w:tcW w:w="8648" w:type="dxa"/>
            <w:tcBorders>
              <w:top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Brevan Howard Master Fund Limited Class Y (USD)</w:t>
            </w:r>
          </w:p>
        </w:tc>
        <w:tc>
          <w:tcPr>
            <w:tcW w:w="1908" w:type="dxa"/>
            <w:tcBorders>
              <w:top w:val="single" w:sz="4" w:space="0" w:color="auto"/>
            </w:tcBorders>
            <w:vAlign w:val="bottom"/>
          </w:tcPr>
          <w:p w:rsidR="00676AFC" w:rsidRDefault="00676AFC">
            <w:pPr>
              <w:pStyle w:val="TableColumnIMS"/>
              <w:rPr>
                <w:rFonts w:ascii="Arial" w:hAnsi="Arial" w:cs="Arial"/>
              </w:rPr>
            </w:pPr>
            <w:r>
              <w:rPr>
                <w:rFonts w:ascii="Arial" w:hAnsi="Arial" w:cs="Arial"/>
              </w:rPr>
              <w:t>(3.6)</w:t>
            </w:r>
          </w:p>
        </w:tc>
      </w:tr>
      <w:tr w:rsidR="00676AFC">
        <w:trPr>
          <w:cantSplit/>
        </w:trPr>
        <w:tc>
          <w:tcPr>
            <w:tcW w:w="8648" w:type="dxa"/>
            <w:vAlign w:val="bottom"/>
          </w:tcPr>
          <w:p w:rsidR="00676AFC" w:rsidRDefault="00676AFC">
            <w:pPr>
              <w:pStyle w:val="TableStubIMS"/>
              <w:ind w:left="173" w:hanging="173"/>
              <w:rPr>
                <w:rFonts w:ascii="Arial" w:hAnsi="Arial" w:cs="Arial"/>
              </w:rPr>
            </w:pPr>
            <w:r>
              <w:rPr>
                <w:rFonts w:ascii="Arial" w:hAnsi="Arial" w:cs="Arial"/>
              </w:rPr>
              <w:t>Brevan Howard Asia Master Fund Limited Class X (USD)</w:t>
            </w:r>
          </w:p>
        </w:tc>
        <w:tc>
          <w:tcPr>
            <w:tcW w:w="1908" w:type="dxa"/>
            <w:vAlign w:val="bottom"/>
          </w:tcPr>
          <w:p w:rsidR="00676AFC" w:rsidRDefault="00676AFC">
            <w:pPr>
              <w:pStyle w:val="TableColumnIMS"/>
              <w:rPr>
                <w:rFonts w:ascii="Arial" w:hAnsi="Arial" w:cs="Arial"/>
              </w:rPr>
            </w:pPr>
            <w:r>
              <w:rPr>
                <w:rFonts w:ascii="Arial" w:hAnsi="Arial" w:cs="Arial"/>
              </w:rPr>
              <w:t>(0.3)</w:t>
            </w:r>
          </w:p>
        </w:tc>
      </w:tr>
      <w:tr w:rsidR="00676AFC">
        <w:trPr>
          <w:cantSplit/>
        </w:trPr>
        <w:tc>
          <w:tcPr>
            <w:tcW w:w="8648" w:type="dxa"/>
            <w:vAlign w:val="bottom"/>
          </w:tcPr>
          <w:p w:rsidR="00676AFC" w:rsidRDefault="00676AFC">
            <w:pPr>
              <w:pStyle w:val="TableStubIMS"/>
              <w:ind w:left="173" w:hanging="173"/>
              <w:rPr>
                <w:rFonts w:ascii="Arial" w:hAnsi="Arial" w:cs="Arial"/>
              </w:rPr>
            </w:pPr>
            <w:r>
              <w:rPr>
                <w:rFonts w:ascii="Arial" w:hAnsi="Arial" w:cs="Arial"/>
              </w:rPr>
              <w:t>Brevan Howard Emerging Markets Strategies Master Fund Limited Class X (USD)</w:t>
            </w:r>
          </w:p>
        </w:tc>
        <w:tc>
          <w:tcPr>
            <w:tcW w:w="1908" w:type="dxa"/>
            <w:vAlign w:val="bottom"/>
          </w:tcPr>
          <w:p w:rsidR="00676AFC" w:rsidRDefault="00676AFC">
            <w:pPr>
              <w:pStyle w:val="TableColumnIMS"/>
              <w:rPr>
                <w:rFonts w:ascii="Arial" w:hAnsi="Arial" w:cs="Arial"/>
              </w:rPr>
            </w:pPr>
            <w:r>
              <w:rPr>
                <w:rFonts w:ascii="Arial" w:hAnsi="Arial" w:cs="Arial"/>
              </w:rPr>
              <w:t>9.2</w:t>
            </w:r>
          </w:p>
        </w:tc>
      </w:tr>
      <w:tr w:rsidR="00676AFC">
        <w:trPr>
          <w:cantSplit/>
        </w:trPr>
        <w:tc>
          <w:tcPr>
            <w:tcW w:w="8648" w:type="dxa"/>
            <w:vAlign w:val="bottom"/>
          </w:tcPr>
          <w:p w:rsidR="00676AFC" w:rsidRDefault="00676AFC">
            <w:pPr>
              <w:pStyle w:val="TableStubIMS"/>
              <w:ind w:left="173" w:hanging="173"/>
              <w:rPr>
                <w:rFonts w:ascii="Arial" w:hAnsi="Arial" w:cs="Arial"/>
              </w:rPr>
            </w:pPr>
            <w:r>
              <w:rPr>
                <w:rFonts w:ascii="Arial" w:hAnsi="Arial" w:cs="Arial"/>
              </w:rPr>
              <w:t>Brevan Howard Credit Catalysts Master Fund Limited Class Y (USD)</w:t>
            </w:r>
          </w:p>
        </w:tc>
        <w:tc>
          <w:tcPr>
            <w:tcW w:w="1908" w:type="dxa"/>
            <w:vAlign w:val="bottom"/>
          </w:tcPr>
          <w:p w:rsidR="00676AFC" w:rsidRDefault="00676AFC">
            <w:pPr>
              <w:pStyle w:val="TableColumnIMS"/>
              <w:rPr>
                <w:rFonts w:ascii="Arial" w:hAnsi="Arial" w:cs="Arial"/>
              </w:rPr>
            </w:pPr>
            <w:r>
              <w:rPr>
                <w:rFonts w:ascii="Arial" w:hAnsi="Arial" w:cs="Arial"/>
              </w:rPr>
              <w:t>7.1</w:t>
            </w:r>
          </w:p>
        </w:tc>
      </w:tr>
      <w:tr w:rsidR="00676AFC">
        <w:trPr>
          <w:cantSplit/>
        </w:trPr>
        <w:tc>
          <w:tcPr>
            <w:tcW w:w="8648" w:type="dxa"/>
            <w:vAlign w:val="bottom"/>
          </w:tcPr>
          <w:p w:rsidR="00676AFC" w:rsidRDefault="00676AFC">
            <w:pPr>
              <w:pStyle w:val="TableStubIMS"/>
              <w:ind w:left="173" w:hanging="173"/>
              <w:rPr>
                <w:rFonts w:ascii="Arial" w:hAnsi="Arial" w:cs="Arial"/>
              </w:rPr>
            </w:pPr>
            <w:r>
              <w:rPr>
                <w:rFonts w:ascii="Arial" w:hAnsi="Arial" w:cs="Arial"/>
              </w:rPr>
              <w:t>Brevan Howard Commodities Strategies Master Fund Limited Class X (USD)</w:t>
            </w:r>
          </w:p>
        </w:tc>
        <w:tc>
          <w:tcPr>
            <w:tcW w:w="1908" w:type="dxa"/>
            <w:vAlign w:val="bottom"/>
          </w:tcPr>
          <w:p w:rsidR="00676AFC" w:rsidRDefault="00676AFC">
            <w:pPr>
              <w:pStyle w:val="TableColumnIMS"/>
              <w:rPr>
                <w:rFonts w:ascii="Arial" w:hAnsi="Arial" w:cs="Arial"/>
              </w:rPr>
            </w:pPr>
            <w:r>
              <w:rPr>
                <w:rFonts w:ascii="Arial" w:hAnsi="Arial" w:cs="Arial"/>
              </w:rPr>
              <w:t>3.8</w:t>
            </w:r>
          </w:p>
        </w:tc>
      </w:tr>
      <w:tr w:rsidR="00676AFC">
        <w:trPr>
          <w:cantSplit/>
        </w:trPr>
        <w:tc>
          <w:tcPr>
            <w:tcW w:w="8648" w:type="dxa"/>
            <w:vAlign w:val="bottom"/>
          </w:tcPr>
          <w:p w:rsidR="00676AFC" w:rsidRDefault="00676AFC">
            <w:pPr>
              <w:pStyle w:val="TableStubIMS"/>
              <w:ind w:left="173" w:hanging="173"/>
              <w:rPr>
                <w:rFonts w:ascii="Arial" w:hAnsi="Arial" w:cs="Arial"/>
              </w:rPr>
            </w:pPr>
            <w:r>
              <w:rPr>
                <w:rFonts w:ascii="Arial" w:hAnsi="Arial" w:cs="Arial"/>
              </w:rPr>
              <w:t>Brevan Howard Systematic Trading Master Fund Limited Class B (USD)</w:t>
            </w:r>
          </w:p>
        </w:tc>
        <w:tc>
          <w:tcPr>
            <w:tcW w:w="1908" w:type="dxa"/>
            <w:vAlign w:val="bottom"/>
          </w:tcPr>
          <w:p w:rsidR="00676AFC" w:rsidRDefault="00676AFC">
            <w:pPr>
              <w:pStyle w:val="TableColumnIMS"/>
              <w:rPr>
                <w:rFonts w:ascii="Arial" w:hAnsi="Arial" w:cs="Arial"/>
              </w:rPr>
            </w:pPr>
            <w:r>
              <w:rPr>
                <w:rFonts w:ascii="Arial" w:hAnsi="Arial" w:cs="Arial"/>
              </w:rPr>
              <w:t>(1.8)</w:t>
            </w:r>
          </w:p>
        </w:tc>
      </w:tr>
      <w:tr w:rsidR="00676AFC">
        <w:trPr>
          <w:cantSplit/>
        </w:trPr>
        <w:tc>
          <w:tcPr>
            <w:tcW w:w="8648" w:type="dxa"/>
            <w:tcBorders>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Brevan Howard Investment Fund – Emerging Markets Local Fixed Income Fund Class A (USD)</w:t>
            </w:r>
          </w:p>
        </w:tc>
        <w:tc>
          <w:tcPr>
            <w:tcW w:w="1908" w:type="dxa"/>
            <w:tcBorders>
              <w:bottom w:val="single" w:sz="4" w:space="0" w:color="auto"/>
            </w:tcBorders>
            <w:vAlign w:val="bottom"/>
          </w:tcPr>
          <w:p w:rsidR="00676AFC" w:rsidRDefault="00676AFC">
            <w:pPr>
              <w:pStyle w:val="TableColumnIMS"/>
              <w:rPr>
                <w:rFonts w:ascii="Arial" w:hAnsi="Arial" w:cs="Arial"/>
              </w:rPr>
            </w:pPr>
            <w:r>
              <w:rPr>
                <w:rFonts w:ascii="Arial" w:hAnsi="Arial" w:cs="Arial"/>
              </w:rPr>
              <w:t>2.2</w:t>
            </w:r>
          </w:p>
        </w:tc>
      </w:tr>
    </w:tbl>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6"/>
        </w:rPr>
        <w:t>* USD currency class of each Underlying Fund; the Company also invests in the EUR and GBP of the Underlying Funds.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5"/>
        </w:rPr>
        <w:t xml:space="preserve">Source: Performance data for the Underlying Funds is provided by the administrator, International Fund Services (Ireland) Limited (“IFS”). </w:t>
      </w:r>
      <w:r>
        <w:rPr>
          <w:rFonts w:ascii="Arial" w:hAnsi="Arial" w:cs="Arial"/>
          <w:szCs w:val="16"/>
        </w:rPr>
        <w:t>Performance data is net of all investment management fees and all other fees and expenses payable.</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6"/>
        </w:rPr>
        <w:t>PAST PERFORMANCE IS NOT INDICATIVE OF FUTURE RESULTS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Performance Review</w:t>
      </w:r>
    </w:p>
    <w:p w:rsidR="00676AFC" w:rsidRDefault="00676AFC">
      <w:pPr>
        <w:pStyle w:val="ParaIMS"/>
        <w:spacing w:before="0"/>
        <w:rPr>
          <w:rFonts w:ascii="Arial" w:hAnsi="Arial" w:cs="Arial"/>
        </w:rPr>
      </w:pPr>
      <w:r>
        <w:rPr>
          <w:rFonts w:ascii="Arial" w:hAnsi="Arial" w:cs="Arial"/>
          <w:szCs w:val="18"/>
        </w:rPr>
        <w:t xml:space="preserve">During the first half of 2012, the NAV of the Company depreciated by </w:t>
      </w:r>
      <w:r w:rsidR="00B54361">
        <w:rPr>
          <w:rFonts w:ascii="Arial" w:hAnsi="Arial" w:cs="Arial"/>
          <w:szCs w:val="18"/>
        </w:rPr>
        <w:t xml:space="preserve">0.47% in the GBP class, 0.61% in the USD class and </w:t>
      </w:r>
      <w:r>
        <w:rPr>
          <w:rFonts w:ascii="Arial" w:hAnsi="Arial" w:cs="Arial"/>
          <w:szCs w:val="18"/>
        </w:rPr>
        <w:t xml:space="preserve">0.53% in the </w:t>
      </w:r>
      <w:r w:rsidR="00B54361">
        <w:rPr>
          <w:rFonts w:ascii="Arial" w:hAnsi="Arial" w:cs="Arial"/>
          <w:szCs w:val="18"/>
        </w:rPr>
        <w:t>EUR</w:t>
      </w:r>
      <w:r>
        <w:rPr>
          <w:rFonts w:ascii="Arial" w:hAnsi="Arial" w:cs="Arial"/>
          <w:szCs w:val="18"/>
        </w:rPr>
        <w:t xml:space="preserve"> class.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7"/>
        </w:rPr>
        <w:t xml:space="preserve">The Company started the year strongly, with the NAV appreciating by more than 2.2% by the end February in each of the three share classes. All of the underlying funds apart from BHA made a positive contribution to performance during the first two months of the year, including BHGO’s new allocation (effected in January) to BHEML. </w:t>
      </w:r>
      <w:r>
        <w:rPr>
          <w:rFonts w:ascii="Arial" w:hAnsi="Arial" w:cs="Arial"/>
          <w:szCs w:val="18"/>
        </w:rPr>
        <w:t>A particularly strong contribution to BHGO’s performance in January and February came from BHEMS, returning almost 10% during these two months as a result of its long exposure to emerging market FX, credit and equities.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szCs w:val="17"/>
        </w:rPr>
      </w:pPr>
      <w:r>
        <w:rPr>
          <w:rFonts w:ascii="Arial" w:hAnsi="Arial" w:cs="Arial"/>
          <w:szCs w:val="17"/>
        </w:rPr>
        <w:t>In the period from March to June, the performance of the underlying funds was mixed. BHCC returned over 5% during this period, with strong gains in both its corporate and mortgage strategies. However, these gains were offset by losses incurred by other underlying funds in the portfolio, in particular by BHMF which suffered losses (primarily in June) from directional and volatility positions in interest rate trading. BHST also suffered losses in its FX trend-following strategy and, to a lesser extent, in bonds and equity indices.</w:t>
      </w:r>
    </w:p>
    <w:p w:rsidR="00676AFC" w:rsidRDefault="00676AFC">
      <w:pPr>
        <w:pStyle w:val="ParaIMS"/>
        <w:spacing w:before="0"/>
        <w:rPr>
          <w:rFonts w:ascii="Arial" w:hAnsi="Arial" w:cs="Arial"/>
          <w:szCs w:val="17"/>
        </w:rPr>
      </w:pPr>
    </w:p>
    <w:p w:rsidR="00676AFC" w:rsidRDefault="00676AFC">
      <w:pPr>
        <w:pStyle w:val="ParaIMS"/>
        <w:spacing w:before="0"/>
        <w:rPr>
          <w:rFonts w:ascii="Arial" w:hAnsi="Arial" w:cs="Arial"/>
        </w:rPr>
      </w:pPr>
      <w:r>
        <w:rPr>
          <w:rFonts w:ascii="Arial" w:hAnsi="Arial" w:cs="Arial"/>
          <w:szCs w:val="16"/>
        </w:rPr>
        <w:t xml:space="preserve">Although the Company’s NAV ended the half-year marginally down, the combined performance of the underlying funds demonstrates the diversification benefits of the Company having a wide exposure to the range of strategies, asset classes and geographical locations of Brevan Howard’s investment activities. The macro trading losses suffered during the first half of 2012 were largely offset by gains made in emerging markets and credit-focused strategies, and the Company is well placed to benefit from improved trading performance in the second half of 2012. Subsequent to the reporting period, trading performance has been strong across the majority of the underlying funds, and as at 31 July 2012 the Company’s </w:t>
      </w:r>
      <w:r w:rsidR="0047754B">
        <w:rPr>
          <w:rFonts w:ascii="Arial" w:hAnsi="Arial" w:cs="Arial"/>
          <w:szCs w:val="16"/>
        </w:rPr>
        <w:t>GBP</w:t>
      </w:r>
      <w:r>
        <w:rPr>
          <w:rFonts w:ascii="Arial" w:hAnsi="Arial" w:cs="Arial"/>
          <w:szCs w:val="16"/>
        </w:rPr>
        <w:t xml:space="preserve"> NAV is up by an estimated </w:t>
      </w:r>
      <w:r w:rsidR="00BB03AF">
        <w:rPr>
          <w:rFonts w:ascii="Arial" w:hAnsi="Arial" w:cs="Arial"/>
          <w:szCs w:val="16"/>
        </w:rPr>
        <w:t>0.</w:t>
      </w:r>
      <w:r w:rsidR="009B1219">
        <w:rPr>
          <w:rFonts w:ascii="Arial" w:hAnsi="Arial" w:cs="Arial"/>
          <w:szCs w:val="16"/>
        </w:rPr>
        <w:t>86</w:t>
      </w:r>
      <w:r w:rsidR="00BB03AF">
        <w:rPr>
          <w:rFonts w:ascii="Arial" w:hAnsi="Arial" w:cs="Arial"/>
          <w:szCs w:val="16"/>
        </w:rPr>
        <w:t>%</w:t>
      </w:r>
      <w:r>
        <w:rPr>
          <w:rFonts w:ascii="Arial" w:hAnsi="Arial" w:cs="Arial"/>
          <w:szCs w:val="16"/>
        </w:rPr>
        <w:t xml:space="preserve"> for the year.</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Commentary and Outlook</w:t>
      </w:r>
    </w:p>
    <w:p w:rsidR="00676AFC" w:rsidRDefault="00676AFC">
      <w:pPr>
        <w:pStyle w:val="ParaIMS"/>
        <w:spacing w:before="0"/>
        <w:rPr>
          <w:rFonts w:ascii="Arial" w:hAnsi="Arial" w:cs="Arial"/>
        </w:rPr>
      </w:pPr>
      <w:r>
        <w:rPr>
          <w:rFonts w:ascii="Arial" w:hAnsi="Arial" w:cs="Arial"/>
          <w:szCs w:val="17"/>
        </w:rPr>
        <w:t xml:space="preserve">2012 started off on a relatively positive tone for markets, compared to the very negative and unstable backdrop seen in the second half of 2011. As we entered 2012, the ECB had taken the significant action of offering 3-year Long Term Refinancing Operations (“LTROs”) to banks, significantly reducing the risk of an extreme market shock. Furthermore, many forecasters were optimistic that economies outside of Europe would generate moderate but positive growth. As such, the first couple months of the year witnessed a market rally and a reduction in volatility levels. However, as economic data began to indicate further downshifting in the pace of economic activity, particularly in the US which had been one of the stronger economies on a relative basis, markets became increasingly unstable. Concern over economic fundamentals was further compounded by political uncertainty associated with the </w:t>
      </w:r>
      <w:r>
        <w:rPr>
          <w:rFonts w:ascii="Arial" w:hAnsi="Arial" w:cs="Arial"/>
          <w:szCs w:val="16"/>
        </w:rPr>
        <w:t xml:space="preserve">Greek elections, </w:t>
      </w:r>
      <w:proofErr w:type="spellStart"/>
      <w:r>
        <w:rPr>
          <w:rFonts w:ascii="Arial" w:hAnsi="Arial" w:cs="Arial"/>
          <w:szCs w:val="16"/>
        </w:rPr>
        <w:t>eurozone</w:t>
      </w:r>
      <w:proofErr w:type="spellEnd"/>
      <w:r>
        <w:rPr>
          <w:rFonts w:ascii="Arial" w:hAnsi="Arial" w:cs="Arial"/>
          <w:szCs w:val="16"/>
        </w:rPr>
        <w:t xml:space="preserve"> summit and the bailout of Spanish banks. These economic and political concerns translated into an increase in volatility and a market sell-off during April and May – particularly in emerging market assets which suffered their worst losses since September 2011. In June 2012, the outcomes of the Greek elections, </w:t>
      </w:r>
      <w:proofErr w:type="spellStart"/>
      <w:r>
        <w:rPr>
          <w:rFonts w:ascii="Arial" w:hAnsi="Arial" w:cs="Arial"/>
          <w:szCs w:val="16"/>
        </w:rPr>
        <w:t>eurozone</w:t>
      </w:r>
      <w:proofErr w:type="spellEnd"/>
      <w:r>
        <w:rPr>
          <w:rFonts w:ascii="Arial" w:hAnsi="Arial" w:cs="Arial"/>
          <w:szCs w:val="16"/>
        </w:rPr>
        <w:t xml:space="preserve"> summit and Spanish bank bailout were generally more positive than expected, which triggered a market rally.</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It appears that the global economy has found itself in another “soft patch”, similar to that experienced in both 2010 and 2011. What remains uncertain is how long this “soft patch” will last and whether it will be followed by a continuation of the modest but positive trend growth that the global economy has generally seen over the past few years. The outlook for Europe remains uncertain, and global asset markets continue to be highly correlated with any flare-up of risk in Europe.</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Both developed and emerging markets continue to face a number of cross-currents, both fundamental and political in nature. The Manager remains confident in the ability of the underlying funds to profit from both tactical and structural macro trading activity in this environment.</w:t>
      </w:r>
    </w:p>
    <w:p w:rsidR="00676AFC" w:rsidRDefault="00676AFC">
      <w:pPr>
        <w:pStyle w:val="ParaIMS"/>
        <w:spacing w:before="0"/>
        <w:rPr>
          <w:rFonts w:ascii="Arial" w:hAnsi="Arial" w:cs="Arial"/>
          <w:szCs w:val="17"/>
        </w:rPr>
      </w:pPr>
    </w:p>
    <w:p w:rsidR="00676AFC" w:rsidRDefault="00676AFC">
      <w:pPr>
        <w:pStyle w:val="ParaIMS"/>
        <w:spacing w:before="0"/>
        <w:rPr>
          <w:rFonts w:ascii="Arial" w:hAnsi="Arial" w:cs="Arial"/>
        </w:rPr>
      </w:pPr>
      <w:r>
        <w:rPr>
          <w:rFonts w:ascii="Arial" w:hAnsi="Arial" w:cs="Arial"/>
          <w:szCs w:val="18"/>
        </w:rPr>
        <w:t>Brevan Howard wishes to thank shareholders once again for their continued support.</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proofErr w:type="spellStart"/>
      <w:r>
        <w:rPr>
          <w:rFonts w:ascii="Arial" w:hAnsi="Arial" w:cs="Arial"/>
          <w:b/>
          <w:bCs/>
          <w:szCs w:val="18"/>
        </w:rPr>
        <w:t>Gunther</w:t>
      </w:r>
      <w:proofErr w:type="spellEnd"/>
      <w:r>
        <w:rPr>
          <w:rFonts w:ascii="Arial" w:hAnsi="Arial" w:cs="Arial"/>
          <w:b/>
          <w:bCs/>
          <w:szCs w:val="18"/>
        </w:rPr>
        <w:t xml:space="preserve"> </w:t>
      </w:r>
      <w:proofErr w:type="spellStart"/>
      <w:r>
        <w:rPr>
          <w:rFonts w:ascii="Arial" w:hAnsi="Arial" w:cs="Arial"/>
          <w:b/>
          <w:bCs/>
          <w:szCs w:val="18"/>
        </w:rPr>
        <w:t>Thumann</w:t>
      </w:r>
      <w:proofErr w:type="spellEnd"/>
    </w:p>
    <w:p w:rsidR="00676AFC" w:rsidRDefault="00676AFC">
      <w:pPr>
        <w:pStyle w:val="ParaIMS"/>
        <w:spacing w:before="0"/>
        <w:rPr>
          <w:rFonts w:ascii="Arial" w:hAnsi="Arial" w:cs="Arial"/>
          <w:szCs w:val="18"/>
        </w:rPr>
      </w:pPr>
      <w:r>
        <w:rPr>
          <w:rFonts w:ascii="Arial" w:hAnsi="Arial" w:cs="Arial"/>
          <w:szCs w:val="18"/>
        </w:rPr>
        <w:t xml:space="preserve">Brevan Howard Capital Management, LP, </w:t>
      </w:r>
    </w:p>
    <w:p w:rsidR="00676AFC" w:rsidRDefault="00676AFC">
      <w:pPr>
        <w:pStyle w:val="ParaIMS"/>
        <w:spacing w:before="0"/>
        <w:rPr>
          <w:rFonts w:ascii="Arial" w:hAnsi="Arial" w:cs="Arial"/>
        </w:rPr>
      </w:pPr>
      <w:proofErr w:type="gramStart"/>
      <w:r>
        <w:rPr>
          <w:rFonts w:ascii="Arial" w:hAnsi="Arial" w:cs="Arial"/>
          <w:szCs w:val="18"/>
        </w:rPr>
        <w:t>acting</w:t>
      </w:r>
      <w:proofErr w:type="gramEnd"/>
      <w:r>
        <w:rPr>
          <w:rFonts w:ascii="Arial" w:hAnsi="Arial" w:cs="Arial"/>
          <w:szCs w:val="18"/>
        </w:rPr>
        <w:t xml:space="preserve"> by its sole general partner,</w:t>
      </w:r>
    </w:p>
    <w:p w:rsidR="00676AFC" w:rsidRDefault="00676AFC">
      <w:pPr>
        <w:pStyle w:val="ParaIMS"/>
        <w:spacing w:before="0"/>
        <w:rPr>
          <w:rFonts w:ascii="Arial" w:hAnsi="Arial" w:cs="Arial"/>
        </w:rPr>
      </w:pPr>
      <w:r>
        <w:rPr>
          <w:rFonts w:ascii="Arial" w:hAnsi="Arial" w:cs="Arial"/>
          <w:szCs w:val="18"/>
        </w:rPr>
        <w:t>Brevan Howard Capital Management Limited</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szCs w:val="18"/>
        </w:rPr>
      </w:pPr>
      <w:r>
        <w:rPr>
          <w:rFonts w:ascii="Arial" w:hAnsi="Arial" w:cs="Arial"/>
          <w:szCs w:val="18"/>
        </w:rPr>
        <w:t>22 August 2012</w:t>
      </w:r>
    </w:p>
    <w:p w:rsidR="00676AFC" w:rsidRDefault="00676AFC">
      <w:pPr>
        <w:pStyle w:val="ParaIMS"/>
        <w:spacing w:before="0"/>
        <w:rPr>
          <w:rFonts w:ascii="Arial" w:hAnsi="Arial" w:cs="Arial"/>
          <w:szCs w:val="18"/>
        </w:rPr>
      </w:pPr>
    </w:p>
    <w:p w:rsidR="00676AFC" w:rsidRDefault="00676AFC">
      <w:pPr>
        <w:pStyle w:val="ParaIMS"/>
        <w:spacing w:before="0"/>
        <w:rPr>
          <w:rFonts w:ascii="Arial" w:hAnsi="Arial" w:cs="Arial"/>
          <w:b/>
          <w:bCs/>
          <w:szCs w:val="46"/>
        </w:rPr>
      </w:pPr>
      <w:r>
        <w:rPr>
          <w:rFonts w:ascii="Arial" w:hAnsi="Arial" w:cs="Arial"/>
          <w:b/>
          <w:bCs/>
          <w:szCs w:val="46"/>
        </w:rPr>
        <w:t>Statement of Directors’ Responsibility in Respect of the Interim Unaudited Financial Statements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We confirm to the best of our knowledge that:</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szCs w:val="17"/>
        </w:rPr>
      </w:pPr>
      <w:r>
        <w:rPr>
          <w:rFonts w:ascii="Arial" w:hAnsi="Arial" w:cs="Arial"/>
          <w:szCs w:val="17"/>
        </w:rPr>
        <w:t xml:space="preserve">• these Interim Unaudited Financial Statements have been prepared in conformity with Accounting Principles Generally Accepted in the United States of America; and </w:t>
      </w:r>
    </w:p>
    <w:p w:rsidR="00676AFC" w:rsidRDefault="00676AFC">
      <w:pPr>
        <w:pStyle w:val="ParaIMS"/>
        <w:spacing w:before="0"/>
        <w:rPr>
          <w:rFonts w:ascii="Arial" w:hAnsi="Arial" w:cs="Arial"/>
          <w:szCs w:val="17"/>
        </w:rPr>
      </w:pPr>
    </w:p>
    <w:p w:rsidR="00676AFC" w:rsidRDefault="00676AFC">
      <w:pPr>
        <w:pStyle w:val="ParaIMS"/>
        <w:spacing w:before="0"/>
        <w:rPr>
          <w:rFonts w:ascii="Arial" w:hAnsi="Arial" w:cs="Arial"/>
          <w:szCs w:val="16"/>
        </w:rPr>
      </w:pPr>
      <w:r>
        <w:rPr>
          <w:rFonts w:ascii="Arial" w:hAnsi="Arial" w:cs="Arial"/>
          <w:szCs w:val="16"/>
        </w:rPr>
        <w:t xml:space="preserve">• these Interim Unaudited Financial Statements include information detailed in the Chairman’s Statement, the Manager’s Report and the notes to the Interim Unaudited Financial Statements, which provides a fair view of the information required by:- </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szCs w:val="17"/>
        </w:rPr>
      </w:pPr>
      <w:r>
        <w:rPr>
          <w:rFonts w:ascii="Arial" w:hAnsi="Arial" w:cs="Arial"/>
          <w:szCs w:val="17"/>
        </w:rPr>
        <w:t xml:space="preserve">(a) DTR 4.2.7 of the Disclosure and Transparency Rules, being an indication of important events that have occurred during the first six months of the financial year and their impact on these Interim Unaudited Financial Statements; and a description of the principal risks and uncertainties for the remaining six months of the year; and </w:t>
      </w:r>
    </w:p>
    <w:p w:rsidR="00676AFC" w:rsidRDefault="00676AFC">
      <w:pPr>
        <w:pStyle w:val="ParaIMS"/>
        <w:spacing w:before="0"/>
        <w:rPr>
          <w:rFonts w:ascii="Arial" w:hAnsi="Arial" w:cs="Arial"/>
          <w:szCs w:val="17"/>
        </w:rPr>
      </w:pPr>
    </w:p>
    <w:p w:rsidR="00676AFC" w:rsidRDefault="00676AFC">
      <w:pPr>
        <w:pStyle w:val="ParaIMS"/>
        <w:spacing w:before="0"/>
        <w:rPr>
          <w:rFonts w:ascii="Arial" w:hAnsi="Arial" w:cs="Arial"/>
          <w:szCs w:val="17"/>
        </w:rPr>
      </w:pPr>
      <w:r>
        <w:rPr>
          <w:rFonts w:ascii="Arial" w:hAnsi="Arial" w:cs="Arial"/>
          <w:szCs w:val="17"/>
        </w:rPr>
        <w:t xml:space="preserve">(b) DTR 4.2.8 of the Disclosure and Transparency Rules, being related party transactions that have taken place in the first six months of the current financial year and that have materially affected the financial position or performance of the Company during that period; and any changes in the related party transactions described in the last Annual Audited Financial Statements that could materially affect the financial position or performance of the Company. </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Going concern</w:t>
      </w:r>
    </w:p>
    <w:p w:rsidR="00676AFC" w:rsidRDefault="00676AFC">
      <w:pPr>
        <w:pStyle w:val="ParaIMS"/>
        <w:spacing w:before="0"/>
        <w:rPr>
          <w:rFonts w:ascii="Arial" w:hAnsi="Arial" w:cs="Arial"/>
        </w:rPr>
      </w:pPr>
      <w:r>
        <w:rPr>
          <w:rFonts w:ascii="Arial" w:hAnsi="Arial" w:cs="Arial"/>
          <w:szCs w:val="18"/>
        </w:rPr>
        <w:t>After making enquiries and given the nature of the Company and its investment, the Directors are satisfied that it is appropriate to continue to adopt the going concern basis in preparing these Financial Statements, and, after due consideration, the Directors consider that the Company is able to continue for the foreseeable future.</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Signed on behalf of the Board by:</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Lord Turnbull</w:t>
      </w:r>
    </w:p>
    <w:p w:rsidR="00676AFC" w:rsidRDefault="00676AFC">
      <w:pPr>
        <w:pStyle w:val="ParaIMS"/>
        <w:spacing w:before="0"/>
        <w:rPr>
          <w:rFonts w:ascii="Arial" w:hAnsi="Arial" w:cs="Arial"/>
        </w:rPr>
      </w:pPr>
      <w:r>
        <w:rPr>
          <w:rFonts w:ascii="Arial" w:hAnsi="Arial" w:cs="Arial"/>
          <w:szCs w:val="18"/>
        </w:rPr>
        <w:t>Chairman</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 xml:space="preserve">John </w:t>
      </w:r>
      <w:proofErr w:type="spellStart"/>
      <w:r>
        <w:rPr>
          <w:rFonts w:ascii="Arial" w:hAnsi="Arial" w:cs="Arial"/>
          <w:b/>
          <w:bCs/>
          <w:szCs w:val="18"/>
        </w:rPr>
        <w:t>Hallam</w:t>
      </w:r>
      <w:proofErr w:type="spellEnd"/>
    </w:p>
    <w:p w:rsidR="00676AFC" w:rsidRDefault="00676AFC">
      <w:pPr>
        <w:pStyle w:val="ParaIMS"/>
        <w:spacing w:before="0"/>
        <w:rPr>
          <w:rFonts w:ascii="Arial" w:hAnsi="Arial" w:cs="Arial"/>
        </w:rPr>
      </w:pPr>
      <w:r>
        <w:rPr>
          <w:rFonts w:ascii="Arial" w:hAnsi="Arial" w:cs="Arial"/>
          <w:szCs w:val="18"/>
        </w:rPr>
        <w:t>Director</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22 August 2012</w:t>
      </w:r>
    </w:p>
    <w:p w:rsidR="00676AFC" w:rsidRDefault="00676AFC">
      <w:pPr>
        <w:pStyle w:val="ParaIMS"/>
        <w:spacing w:before="0"/>
        <w:rPr>
          <w:rFonts w:ascii="Arial" w:hAnsi="Arial" w:cs="Arial"/>
        </w:rPr>
      </w:pPr>
    </w:p>
    <w:p w:rsidR="00676AFC" w:rsidRDefault="00BB03AF">
      <w:pPr>
        <w:pStyle w:val="ParaIMS"/>
        <w:spacing w:before="0"/>
        <w:rPr>
          <w:rFonts w:ascii="Arial" w:hAnsi="Arial" w:cs="Arial"/>
          <w:b/>
          <w:bCs/>
        </w:rPr>
      </w:pPr>
      <w:r>
        <w:rPr>
          <w:rFonts w:ascii="Arial" w:hAnsi="Arial" w:cs="Arial"/>
          <w:b/>
          <w:bCs/>
        </w:rPr>
        <w:t xml:space="preserve">Independent Review Report to </w:t>
      </w:r>
      <w:r w:rsidR="00676AFC">
        <w:rPr>
          <w:rFonts w:ascii="Arial" w:hAnsi="Arial" w:cs="Arial"/>
          <w:b/>
          <w:bCs/>
        </w:rPr>
        <w:t>BH Global Limited</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7"/>
        </w:rPr>
        <w:t>We have been engaged by the Company to review the Interim Unaudited Financial Statements included in the Interim Report for the six month period to 30 June 2012 which comprises the Unaudited Statement of Assets and Liabilities, the Unaudited Statement of Operations, the Unaudited Statement of Changes in Net Assets, the Unaudited Statement of Cash Flows and the related explanatory notes. We have read the other information contained in the Interim Report and considered whether it contains any apparent misstatements or material inconsistencies with the information in the Interim Unaudited Financial Statements.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7"/>
        </w:rPr>
        <w:t>This Report is made solely to the Company in accordance with the terms of our engagement letter dated 4 July 2012 to assist the Company in meeting the requirements of the Disclosure and Transparency Rules (“the DTR”) of the UK’s Financial Services Authority (“the UK FSA”). Our review has been undertaken so that we might state to the Company those matters we are required to state to it in this Report and for no other purpose. To the fullest extent permitted by law, we do not accept or assume responsibility to anyone other than the Company for our review work, for this Report, or for the conclusions we have reached.</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Directors’ responsibilities</w:t>
      </w:r>
    </w:p>
    <w:p w:rsidR="00676AFC" w:rsidRDefault="00676AFC">
      <w:pPr>
        <w:pStyle w:val="ParaIMS"/>
        <w:spacing w:before="0"/>
        <w:rPr>
          <w:rFonts w:ascii="Arial" w:hAnsi="Arial" w:cs="Arial"/>
        </w:rPr>
      </w:pPr>
      <w:r>
        <w:rPr>
          <w:rFonts w:ascii="Arial" w:hAnsi="Arial" w:cs="Arial"/>
          <w:szCs w:val="16"/>
        </w:rPr>
        <w:t>The Interim Report is the responsibility of, and has been approved by, the Directors. The Directors are responsible for preparing the Interim Report in accordance with the DTR of the UK FSA.</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As disclosed in note 3, the Annual Audited Financial Statements of the Company are prepared in conformity with accounting principles generally accepted in the United States of America and applicable law.</w:t>
      </w:r>
      <w:r w:rsidR="00BB03AF">
        <w:rPr>
          <w:rFonts w:ascii="Arial" w:hAnsi="Arial" w:cs="Arial"/>
          <w:szCs w:val="18"/>
        </w:rPr>
        <w:t xml:space="preserve"> The Interim Unaudited Financial Statements have been prepared following the same basis as the most recent Annual Audited Financial Statements.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Our responsibility</w:t>
      </w:r>
    </w:p>
    <w:p w:rsidR="00676AFC" w:rsidRDefault="00676AFC">
      <w:pPr>
        <w:pStyle w:val="ParaIMS"/>
        <w:spacing w:before="0"/>
        <w:rPr>
          <w:rFonts w:ascii="Arial" w:hAnsi="Arial" w:cs="Arial"/>
        </w:rPr>
      </w:pPr>
      <w:r>
        <w:rPr>
          <w:rFonts w:ascii="Arial" w:hAnsi="Arial" w:cs="Arial"/>
          <w:szCs w:val="18"/>
        </w:rPr>
        <w:t>Our responsibility is to express to the Company a conclusion on the Interim Unaudited Financial Statements included in the Interim Report based on our review.</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Scope of review</w:t>
      </w:r>
    </w:p>
    <w:p w:rsidR="00676AFC" w:rsidRDefault="00676AFC">
      <w:pPr>
        <w:pStyle w:val="ParaIMS"/>
        <w:spacing w:before="0"/>
        <w:rPr>
          <w:rFonts w:ascii="Arial" w:hAnsi="Arial" w:cs="Arial"/>
        </w:rPr>
      </w:pPr>
      <w:r>
        <w:rPr>
          <w:rFonts w:ascii="Arial" w:hAnsi="Arial" w:cs="Arial"/>
          <w:szCs w:val="17"/>
        </w:rPr>
        <w:t>We conducted our review in accordance with International Standard on Review Engagements (UK and Ireland) 2410</w:t>
      </w:r>
      <w:r w:rsidR="00E8452B">
        <w:rPr>
          <w:rFonts w:ascii="Arial" w:hAnsi="Arial" w:cs="Arial"/>
          <w:szCs w:val="17"/>
        </w:rPr>
        <w:t>,</w:t>
      </w:r>
      <w:r>
        <w:rPr>
          <w:rFonts w:ascii="Arial" w:hAnsi="Arial" w:cs="Arial"/>
          <w:szCs w:val="17"/>
        </w:rPr>
        <w:t xml:space="preserve"> </w:t>
      </w:r>
      <w:r w:rsidR="00E8452B">
        <w:rPr>
          <w:rFonts w:ascii="Arial" w:hAnsi="Arial" w:cs="Arial"/>
          <w:szCs w:val="17"/>
        </w:rPr>
        <w:t>“</w:t>
      </w:r>
      <w:r>
        <w:rPr>
          <w:rFonts w:ascii="Arial" w:hAnsi="Arial" w:cs="Arial"/>
          <w:szCs w:val="17"/>
        </w:rPr>
        <w:t>Review of Interim Financial Information Performed by the Independent Auditor of the Entity</w:t>
      </w:r>
      <w:r w:rsidR="00E8452B">
        <w:rPr>
          <w:rFonts w:ascii="Arial" w:hAnsi="Arial" w:cs="Arial"/>
          <w:szCs w:val="17"/>
        </w:rPr>
        <w:t>”</w:t>
      </w:r>
      <w:r>
        <w:rPr>
          <w:rFonts w:ascii="Arial" w:hAnsi="Arial" w:cs="Arial"/>
          <w:szCs w:val="17"/>
        </w:rPr>
        <w:t xml:space="preserve"> issued by the Auditing Practices Board for use in the UK. </w:t>
      </w:r>
      <w:r>
        <w:rPr>
          <w:rFonts w:ascii="Arial" w:hAnsi="Arial" w:cs="Arial"/>
          <w:szCs w:val="16"/>
        </w:rPr>
        <w:t>A review of interim financial information consists of making enquiries, primarily of persons responsible for financial and accounting matters, and applying analytical and other review procedures. A review is substantially less in scope than an audit conducted in accordance with International Standards on Auditing (UK and Ireland) and consequently does not enable us to obtain assurance that we would become aware of all significant matters that might be identified in an audit. Accordingly, we do not express an audit opinion.</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Conclusion</w:t>
      </w:r>
    </w:p>
    <w:p w:rsidR="00676AFC" w:rsidRDefault="00676AFC">
      <w:pPr>
        <w:pStyle w:val="ParaIMS"/>
        <w:spacing w:before="0"/>
        <w:rPr>
          <w:rFonts w:ascii="Arial" w:hAnsi="Arial" w:cs="Arial"/>
        </w:rPr>
      </w:pPr>
      <w:r>
        <w:rPr>
          <w:rFonts w:ascii="Arial" w:hAnsi="Arial" w:cs="Arial"/>
          <w:szCs w:val="17"/>
        </w:rPr>
        <w:t>Based on our review, nothing has come to our attention that causes us to believe that the Interim Unaudited Financial Statements included in the Interim Report for the six month period to 30 June 2012 are not prepared, in all material respects, in conformity with accounting principles generally accepted in the United States of America and the DTR of the UK FSA.</w:t>
      </w:r>
    </w:p>
    <w:p w:rsidR="00676AFC" w:rsidRDefault="00676AFC">
      <w:pPr>
        <w:pStyle w:val="ParaIMS"/>
        <w:spacing w:before="0"/>
        <w:rPr>
          <w:rFonts w:ascii="Arial" w:hAnsi="Arial" w:cs="Arial"/>
        </w:rPr>
      </w:pPr>
    </w:p>
    <w:p w:rsidR="00E8452B" w:rsidRPr="00E8452B" w:rsidRDefault="00E8452B">
      <w:pPr>
        <w:pStyle w:val="ParaIMS"/>
        <w:spacing w:before="0"/>
        <w:rPr>
          <w:rFonts w:ascii="Arial" w:hAnsi="Arial" w:cs="Arial"/>
          <w:b/>
        </w:rPr>
      </w:pPr>
      <w:r w:rsidRPr="00E8452B">
        <w:rPr>
          <w:rFonts w:ascii="Arial" w:hAnsi="Arial" w:cs="Arial"/>
          <w:b/>
        </w:rPr>
        <w:t>Deborah J Smith</w:t>
      </w:r>
    </w:p>
    <w:p w:rsidR="00676AFC" w:rsidRDefault="00676AFC">
      <w:pPr>
        <w:pStyle w:val="ParaIMS"/>
        <w:spacing w:before="0"/>
        <w:rPr>
          <w:rFonts w:ascii="Arial" w:hAnsi="Arial" w:cs="Arial"/>
          <w:szCs w:val="16"/>
        </w:rPr>
      </w:pPr>
      <w:r>
        <w:rPr>
          <w:rFonts w:ascii="Arial" w:hAnsi="Arial" w:cs="Arial"/>
          <w:szCs w:val="16"/>
        </w:rPr>
        <w:t xml:space="preserve">For and on behalf of KPMG Channel Islands Limited </w:t>
      </w:r>
    </w:p>
    <w:p w:rsidR="00676AFC" w:rsidRDefault="00676AFC">
      <w:pPr>
        <w:pStyle w:val="ParaIMS"/>
        <w:spacing w:before="0"/>
        <w:rPr>
          <w:rFonts w:ascii="Arial" w:hAnsi="Arial" w:cs="Arial"/>
        </w:rPr>
      </w:pPr>
      <w:r>
        <w:rPr>
          <w:rFonts w:ascii="Arial" w:hAnsi="Arial" w:cs="Arial"/>
          <w:szCs w:val="16"/>
        </w:rPr>
        <w:t xml:space="preserve">Chartered Accountants </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szCs w:val="18"/>
        </w:rPr>
      </w:pPr>
      <w:r>
        <w:rPr>
          <w:rFonts w:ascii="Arial" w:hAnsi="Arial" w:cs="Arial"/>
          <w:szCs w:val="18"/>
        </w:rPr>
        <w:t>22 August 2012</w:t>
      </w:r>
    </w:p>
    <w:p w:rsidR="00676AFC" w:rsidRDefault="00676AFC">
      <w:pPr>
        <w:pStyle w:val="ParaIMS"/>
        <w:spacing w:before="0"/>
        <w:rPr>
          <w:rFonts w:ascii="Arial" w:hAnsi="Arial" w:cs="Arial"/>
          <w:szCs w:val="18"/>
        </w:rPr>
      </w:pPr>
    </w:p>
    <w:p w:rsidR="00676AFC" w:rsidRDefault="00676AFC">
      <w:pPr>
        <w:pStyle w:val="ParaIMS"/>
        <w:spacing w:before="0"/>
        <w:rPr>
          <w:rFonts w:ascii="Arial" w:hAnsi="Arial" w:cs="Arial"/>
          <w:b/>
          <w:bCs/>
        </w:rPr>
      </w:pPr>
      <w:r>
        <w:rPr>
          <w:rFonts w:ascii="Arial" w:hAnsi="Arial" w:cs="Arial"/>
          <w:b/>
          <w:bCs/>
        </w:rPr>
        <w:t>Unaudited Statement of Assets and Liabilities</w:t>
      </w:r>
    </w:p>
    <w:p w:rsidR="00676AFC" w:rsidRDefault="00676AFC">
      <w:pPr>
        <w:pStyle w:val="ParaIMS"/>
        <w:spacing w:before="0"/>
        <w:rPr>
          <w:rFonts w:ascii="Arial" w:hAnsi="Arial" w:cs="Arial"/>
        </w:rPr>
      </w:pPr>
      <w:r>
        <w:rPr>
          <w:rFonts w:ascii="Arial" w:hAnsi="Arial" w:cs="Arial"/>
          <w:szCs w:val="18"/>
        </w:rPr>
        <w:t>As at 30 June 2012</w:t>
      </w:r>
    </w:p>
    <w:p w:rsidR="00676AFC" w:rsidRDefault="00676AFC">
      <w:pPr>
        <w:pStyle w:val="ParaIMS"/>
        <w:spacing w:before="0"/>
        <w:rPr>
          <w:rFonts w:ascii="Arial" w:hAnsi="Arial" w:cs="Arial"/>
          <w:szCs w:val="18"/>
        </w:rPr>
      </w:pPr>
    </w:p>
    <w:tbl>
      <w:tblPr>
        <w:tblW w:w="5000" w:type="pct"/>
        <w:tblLayout w:type="fixed"/>
        <w:tblCellMar>
          <w:left w:w="0" w:type="dxa"/>
          <w:right w:w="0" w:type="dxa"/>
        </w:tblCellMar>
        <w:tblLook w:val="0000"/>
      </w:tblPr>
      <w:tblGrid>
        <w:gridCol w:w="6622"/>
        <w:gridCol w:w="1174"/>
        <w:gridCol w:w="1389"/>
        <w:gridCol w:w="1355"/>
      </w:tblGrid>
      <w:tr w:rsidR="00676AFC">
        <w:tc>
          <w:tcPr>
            <w:tcW w:w="6632" w:type="dxa"/>
            <w:vAlign w:val="bottom"/>
          </w:tcPr>
          <w:p w:rsidR="00676AFC" w:rsidRDefault="00676AFC">
            <w:pPr>
              <w:pStyle w:val="TableStubIMS"/>
              <w:ind w:left="173" w:hanging="173"/>
              <w:rPr>
                <w:rFonts w:ascii="Arial" w:hAnsi="Arial" w:cs="Arial"/>
              </w:rPr>
            </w:pPr>
          </w:p>
        </w:tc>
        <w:tc>
          <w:tcPr>
            <w:tcW w:w="1176" w:type="dxa"/>
            <w:vAlign w:val="bottom"/>
          </w:tcPr>
          <w:p w:rsidR="00676AFC" w:rsidRDefault="00676AFC">
            <w:pPr>
              <w:pStyle w:val="TableColumnHeadingIMS"/>
              <w:jc w:val="right"/>
              <w:rPr>
                <w:rFonts w:ascii="Arial" w:hAnsi="Arial" w:cs="Arial"/>
                <w:sz w:val="20"/>
              </w:rPr>
            </w:pPr>
            <w:r>
              <w:rPr>
                <w:rFonts w:ascii="Arial" w:hAnsi="Arial" w:cs="Arial"/>
                <w:sz w:val="20"/>
              </w:rPr>
              <w:t>30.06.12</w:t>
            </w:r>
          </w:p>
        </w:tc>
        <w:tc>
          <w:tcPr>
            <w:tcW w:w="1391" w:type="dxa"/>
            <w:vAlign w:val="bottom"/>
          </w:tcPr>
          <w:p w:rsidR="00676AFC" w:rsidRDefault="00676AFC">
            <w:pPr>
              <w:pStyle w:val="TableColumnHeadingIMS"/>
              <w:jc w:val="right"/>
              <w:rPr>
                <w:rFonts w:ascii="Arial" w:hAnsi="Arial" w:cs="Arial"/>
                <w:sz w:val="20"/>
              </w:rPr>
            </w:pPr>
            <w:r>
              <w:rPr>
                <w:rFonts w:ascii="Arial" w:hAnsi="Arial" w:cs="Arial"/>
                <w:sz w:val="20"/>
              </w:rPr>
              <w:t>31.12.11</w:t>
            </w:r>
          </w:p>
        </w:tc>
        <w:tc>
          <w:tcPr>
            <w:tcW w:w="1357" w:type="dxa"/>
            <w:vAlign w:val="bottom"/>
          </w:tcPr>
          <w:p w:rsidR="00676AFC" w:rsidRDefault="00676AFC">
            <w:pPr>
              <w:pStyle w:val="TableColumnHeadingIMS"/>
              <w:jc w:val="right"/>
              <w:rPr>
                <w:rFonts w:ascii="Arial" w:hAnsi="Arial" w:cs="Arial"/>
                <w:sz w:val="20"/>
              </w:rPr>
            </w:pPr>
            <w:r>
              <w:rPr>
                <w:rFonts w:ascii="Arial" w:hAnsi="Arial" w:cs="Arial"/>
                <w:sz w:val="20"/>
              </w:rPr>
              <w:t>30.06.11</w:t>
            </w:r>
          </w:p>
        </w:tc>
      </w:tr>
      <w:tr w:rsidR="00676AFC">
        <w:tc>
          <w:tcPr>
            <w:tcW w:w="6632" w:type="dxa"/>
            <w:vAlign w:val="bottom"/>
          </w:tcPr>
          <w:p w:rsidR="00676AFC" w:rsidRDefault="00676AFC">
            <w:pPr>
              <w:pStyle w:val="TableStubIMS"/>
              <w:ind w:left="173" w:hanging="173"/>
              <w:rPr>
                <w:rFonts w:ascii="Arial" w:hAnsi="Arial" w:cs="Arial"/>
              </w:rPr>
            </w:pPr>
          </w:p>
        </w:tc>
        <w:tc>
          <w:tcPr>
            <w:tcW w:w="1176" w:type="dxa"/>
            <w:vAlign w:val="bottom"/>
          </w:tcPr>
          <w:p w:rsidR="00676AFC" w:rsidRDefault="00676AFC">
            <w:pPr>
              <w:pStyle w:val="TableColumnIMS"/>
              <w:rPr>
                <w:rFonts w:ascii="Arial" w:hAnsi="Arial" w:cs="Arial"/>
                <w:b/>
              </w:rPr>
            </w:pPr>
            <w:r>
              <w:rPr>
                <w:rFonts w:ascii="Arial" w:hAnsi="Arial" w:cs="Arial"/>
                <w:b/>
              </w:rPr>
              <w:t>(Unaudited)</w:t>
            </w:r>
          </w:p>
        </w:tc>
        <w:tc>
          <w:tcPr>
            <w:tcW w:w="1391" w:type="dxa"/>
            <w:vAlign w:val="bottom"/>
          </w:tcPr>
          <w:p w:rsidR="00676AFC" w:rsidRDefault="00676AFC">
            <w:pPr>
              <w:pStyle w:val="TableColumnIMS"/>
              <w:rPr>
                <w:rFonts w:ascii="Arial" w:hAnsi="Arial" w:cs="Arial"/>
                <w:b/>
              </w:rPr>
            </w:pPr>
            <w:r>
              <w:rPr>
                <w:rFonts w:ascii="Arial" w:hAnsi="Arial" w:cs="Arial"/>
                <w:b/>
              </w:rPr>
              <w:t>(Audited)</w:t>
            </w:r>
          </w:p>
        </w:tc>
        <w:tc>
          <w:tcPr>
            <w:tcW w:w="1357" w:type="dxa"/>
            <w:vAlign w:val="bottom"/>
          </w:tcPr>
          <w:p w:rsidR="00676AFC" w:rsidRDefault="00676AFC">
            <w:pPr>
              <w:pStyle w:val="TableColumnIMS"/>
              <w:rPr>
                <w:rFonts w:ascii="Arial" w:hAnsi="Arial" w:cs="Arial"/>
                <w:b/>
              </w:rPr>
            </w:pPr>
            <w:r>
              <w:rPr>
                <w:rFonts w:ascii="Arial" w:hAnsi="Arial" w:cs="Arial"/>
                <w:b/>
              </w:rPr>
              <w:t>(Unaudited)</w:t>
            </w:r>
          </w:p>
        </w:tc>
      </w:tr>
      <w:tr w:rsidR="00676AFC">
        <w:tc>
          <w:tcPr>
            <w:tcW w:w="6632" w:type="dxa"/>
            <w:tcBorders>
              <w:bottom w:val="single" w:sz="4" w:space="0" w:color="auto"/>
            </w:tcBorders>
            <w:vAlign w:val="bottom"/>
          </w:tcPr>
          <w:p w:rsidR="00676AFC" w:rsidRDefault="00676AFC">
            <w:pPr>
              <w:pStyle w:val="TableStubIMS"/>
              <w:ind w:left="173" w:hanging="173"/>
              <w:rPr>
                <w:rFonts w:ascii="Arial" w:hAnsi="Arial" w:cs="Arial"/>
              </w:rPr>
            </w:pPr>
          </w:p>
        </w:tc>
        <w:tc>
          <w:tcPr>
            <w:tcW w:w="1176" w:type="dxa"/>
            <w:tcBorders>
              <w:bottom w:val="single" w:sz="4" w:space="0" w:color="auto"/>
            </w:tcBorders>
            <w:vAlign w:val="bottom"/>
          </w:tcPr>
          <w:p w:rsidR="00676AFC" w:rsidRDefault="00676AFC">
            <w:pPr>
              <w:pStyle w:val="TableColumnIMS"/>
              <w:rPr>
                <w:rFonts w:ascii="Arial" w:hAnsi="Arial" w:cs="Arial"/>
                <w:b/>
              </w:rPr>
            </w:pPr>
            <w:r>
              <w:rPr>
                <w:rFonts w:ascii="Arial" w:hAnsi="Arial" w:cs="Arial"/>
                <w:b/>
              </w:rPr>
              <w:t>US$’000</w:t>
            </w:r>
          </w:p>
        </w:tc>
        <w:tc>
          <w:tcPr>
            <w:tcW w:w="1391" w:type="dxa"/>
            <w:tcBorders>
              <w:bottom w:val="single" w:sz="4" w:space="0" w:color="auto"/>
            </w:tcBorders>
            <w:vAlign w:val="bottom"/>
          </w:tcPr>
          <w:p w:rsidR="00676AFC" w:rsidRDefault="00676AFC">
            <w:pPr>
              <w:pStyle w:val="TableColumnIMS"/>
              <w:rPr>
                <w:rFonts w:ascii="Arial" w:hAnsi="Arial" w:cs="Arial"/>
                <w:b/>
              </w:rPr>
            </w:pPr>
            <w:r>
              <w:rPr>
                <w:rFonts w:ascii="Arial" w:hAnsi="Arial" w:cs="Arial"/>
                <w:b/>
              </w:rPr>
              <w:t>US$’000</w:t>
            </w:r>
          </w:p>
        </w:tc>
        <w:tc>
          <w:tcPr>
            <w:tcW w:w="1357" w:type="dxa"/>
            <w:tcBorders>
              <w:bottom w:val="single" w:sz="4" w:space="0" w:color="auto"/>
            </w:tcBorders>
            <w:vAlign w:val="bottom"/>
          </w:tcPr>
          <w:p w:rsidR="00676AFC" w:rsidRDefault="00676AFC">
            <w:pPr>
              <w:pStyle w:val="TableColumnIMS"/>
              <w:rPr>
                <w:rFonts w:ascii="Arial" w:hAnsi="Arial" w:cs="Arial"/>
                <w:b/>
              </w:rPr>
            </w:pPr>
            <w:r>
              <w:rPr>
                <w:rFonts w:ascii="Arial" w:hAnsi="Arial" w:cs="Arial"/>
                <w:b/>
              </w:rPr>
              <w:t>US$’000</w:t>
            </w:r>
          </w:p>
        </w:tc>
      </w:tr>
      <w:tr w:rsidR="00676AFC">
        <w:tc>
          <w:tcPr>
            <w:tcW w:w="6632"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b/>
                <w:bCs/>
              </w:rPr>
            </w:pPr>
            <w:r>
              <w:rPr>
                <w:rFonts w:ascii="Arial" w:hAnsi="Arial" w:cs="Arial"/>
                <w:b/>
                <w:bCs/>
              </w:rPr>
              <w:t>Assets</w:t>
            </w:r>
          </w:p>
        </w:tc>
        <w:tc>
          <w:tcPr>
            <w:tcW w:w="1176" w:type="dxa"/>
            <w:tcBorders>
              <w:top w:val="single" w:sz="4" w:space="0" w:color="auto"/>
              <w:bottom w:val="single" w:sz="4" w:space="0" w:color="auto"/>
            </w:tcBorders>
            <w:vAlign w:val="bottom"/>
          </w:tcPr>
          <w:p w:rsidR="00676AFC" w:rsidRDefault="00676AFC">
            <w:pPr>
              <w:pStyle w:val="TableColumnIMS"/>
              <w:rPr>
                <w:rFonts w:ascii="Arial" w:hAnsi="Arial" w:cs="Arial"/>
              </w:rPr>
            </w:pPr>
          </w:p>
        </w:tc>
        <w:tc>
          <w:tcPr>
            <w:tcW w:w="1391" w:type="dxa"/>
            <w:tcBorders>
              <w:top w:val="single" w:sz="4" w:space="0" w:color="auto"/>
              <w:bottom w:val="single" w:sz="4" w:space="0" w:color="auto"/>
            </w:tcBorders>
            <w:vAlign w:val="bottom"/>
          </w:tcPr>
          <w:p w:rsidR="00676AFC" w:rsidRDefault="00676AFC">
            <w:pPr>
              <w:pStyle w:val="TableColumnIMS"/>
              <w:rPr>
                <w:rFonts w:ascii="Arial" w:hAnsi="Arial" w:cs="Arial"/>
              </w:rPr>
            </w:pPr>
          </w:p>
        </w:tc>
        <w:tc>
          <w:tcPr>
            <w:tcW w:w="1357" w:type="dxa"/>
            <w:tcBorders>
              <w:top w:val="single" w:sz="4" w:space="0" w:color="auto"/>
              <w:bottom w:val="single" w:sz="4" w:space="0" w:color="auto"/>
            </w:tcBorders>
            <w:vAlign w:val="bottom"/>
          </w:tcPr>
          <w:p w:rsidR="00676AFC" w:rsidRDefault="00676AFC">
            <w:pPr>
              <w:pStyle w:val="TableColumnIMS"/>
              <w:rPr>
                <w:rFonts w:ascii="Arial" w:hAnsi="Arial" w:cs="Arial"/>
              </w:rPr>
            </w:pPr>
          </w:p>
        </w:tc>
      </w:tr>
      <w:tr w:rsidR="00676AFC">
        <w:trPr>
          <w:cantSplit/>
        </w:trPr>
        <w:tc>
          <w:tcPr>
            <w:tcW w:w="6632"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 xml:space="preserve">Investment in BHGO (cost 30 June 2012: US$864,011,754; </w:t>
            </w:r>
            <w:r>
              <w:rPr>
                <w:rFonts w:ascii="Arial" w:hAnsi="Arial" w:cs="Arial"/>
              </w:rPr>
              <w:br/>
              <w:t>31 December 2011: US$911,527,827; 30 June 2011: US$890,909,427)</w:t>
            </w:r>
          </w:p>
        </w:tc>
        <w:tc>
          <w:tcPr>
            <w:tcW w:w="117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962,421</w:t>
            </w:r>
          </w:p>
        </w:tc>
        <w:tc>
          <w:tcPr>
            <w:tcW w:w="1391"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998,086</w:t>
            </w:r>
          </w:p>
        </w:tc>
        <w:tc>
          <w:tcPr>
            <w:tcW w:w="1357"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982,138</w:t>
            </w:r>
          </w:p>
        </w:tc>
      </w:tr>
      <w:tr w:rsidR="00676AFC">
        <w:tc>
          <w:tcPr>
            <w:tcW w:w="6632"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Amounts due from the Master Fund</w:t>
            </w:r>
          </w:p>
        </w:tc>
        <w:tc>
          <w:tcPr>
            <w:tcW w:w="1176" w:type="dxa"/>
            <w:tcBorders>
              <w:top w:val="single" w:sz="4" w:space="0" w:color="auto"/>
              <w:bottom w:val="single" w:sz="4" w:space="0" w:color="auto"/>
            </w:tcBorders>
            <w:vAlign w:val="bottom"/>
          </w:tcPr>
          <w:p w:rsidR="00676AFC" w:rsidRDefault="00D3447B">
            <w:pPr>
              <w:pStyle w:val="TableColumnIMS"/>
              <w:rPr>
                <w:rFonts w:ascii="Arial" w:hAnsi="Arial" w:cs="Arial"/>
              </w:rPr>
            </w:pPr>
            <w:r>
              <w:rPr>
                <w:rFonts w:ascii="Arial" w:hAnsi="Arial" w:cs="Arial"/>
              </w:rPr>
              <w:t>45,164</w:t>
            </w:r>
          </w:p>
        </w:tc>
        <w:tc>
          <w:tcPr>
            <w:tcW w:w="1391"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w:t>
            </w:r>
          </w:p>
        </w:tc>
        <w:tc>
          <w:tcPr>
            <w:tcW w:w="1357"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w:t>
            </w:r>
          </w:p>
        </w:tc>
      </w:tr>
      <w:tr w:rsidR="00676AFC">
        <w:tc>
          <w:tcPr>
            <w:tcW w:w="6632"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Other debtors</w:t>
            </w:r>
          </w:p>
        </w:tc>
        <w:tc>
          <w:tcPr>
            <w:tcW w:w="1176" w:type="dxa"/>
            <w:tcBorders>
              <w:top w:val="single" w:sz="4" w:space="0" w:color="auto"/>
              <w:bottom w:val="single" w:sz="4" w:space="0" w:color="auto"/>
            </w:tcBorders>
            <w:vAlign w:val="bottom"/>
          </w:tcPr>
          <w:p w:rsidR="00676AFC" w:rsidRDefault="00D3447B">
            <w:pPr>
              <w:pStyle w:val="TableColumnIMS"/>
              <w:rPr>
                <w:rFonts w:ascii="Arial" w:hAnsi="Arial" w:cs="Arial"/>
              </w:rPr>
            </w:pPr>
            <w:r>
              <w:rPr>
                <w:rFonts w:ascii="Arial" w:hAnsi="Arial" w:cs="Arial"/>
              </w:rPr>
              <w:t>299</w:t>
            </w:r>
          </w:p>
        </w:tc>
        <w:tc>
          <w:tcPr>
            <w:tcW w:w="1391"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131</w:t>
            </w:r>
          </w:p>
        </w:tc>
        <w:tc>
          <w:tcPr>
            <w:tcW w:w="1357"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34</w:t>
            </w:r>
          </w:p>
        </w:tc>
      </w:tr>
      <w:tr w:rsidR="00676AFC">
        <w:tc>
          <w:tcPr>
            <w:tcW w:w="6632"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Cash and bank balances denominated in US Dollars</w:t>
            </w:r>
          </w:p>
        </w:tc>
        <w:tc>
          <w:tcPr>
            <w:tcW w:w="117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219</w:t>
            </w:r>
          </w:p>
        </w:tc>
        <w:tc>
          <w:tcPr>
            <w:tcW w:w="1391"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594</w:t>
            </w:r>
          </w:p>
        </w:tc>
        <w:tc>
          <w:tcPr>
            <w:tcW w:w="1357"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8,229</w:t>
            </w:r>
          </w:p>
        </w:tc>
      </w:tr>
      <w:tr w:rsidR="00676AFC">
        <w:tc>
          <w:tcPr>
            <w:tcW w:w="6632"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Cash and bank balances denominated in Euro</w:t>
            </w:r>
          </w:p>
        </w:tc>
        <w:tc>
          <w:tcPr>
            <w:tcW w:w="117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109</w:t>
            </w:r>
          </w:p>
        </w:tc>
        <w:tc>
          <w:tcPr>
            <w:tcW w:w="1391"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140</w:t>
            </w:r>
          </w:p>
        </w:tc>
        <w:tc>
          <w:tcPr>
            <w:tcW w:w="1357"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2,453</w:t>
            </w:r>
          </w:p>
        </w:tc>
      </w:tr>
      <w:tr w:rsidR="00676AFC">
        <w:tc>
          <w:tcPr>
            <w:tcW w:w="6632"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Cash and bank balances denominated in Sterling</w:t>
            </w:r>
          </w:p>
        </w:tc>
        <w:tc>
          <w:tcPr>
            <w:tcW w:w="117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1,221</w:t>
            </w:r>
          </w:p>
        </w:tc>
        <w:tc>
          <w:tcPr>
            <w:tcW w:w="1391"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2,042</w:t>
            </w:r>
          </w:p>
        </w:tc>
        <w:tc>
          <w:tcPr>
            <w:tcW w:w="1357"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19,926</w:t>
            </w:r>
          </w:p>
        </w:tc>
      </w:tr>
      <w:tr w:rsidR="00676AFC">
        <w:tc>
          <w:tcPr>
            <w:tcW w:w="6632"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b/>
                <w:bCs/>
              </w:rPr>
            </w:pPr>
            <w:r>
              <w:rPr>
                <w:rFonts w:ascii="Arial" w:hAnsi="Arial" w:cs="Arial"/>
                <w:b/>
                <w:bCs/>
              </w:rPr>
              <w:t>Total assets</w:t>
            </w:r>
          </w:p>
        </w:tc>
        <w:tc>
          <w:tcPr>
            <w:tcW w:w="1176"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1,009,433</w:t>
            </w:r>
          </w:p>
        </w:tc>
        <w:tc>
          <w:tcPr>
            <w:tcW w:w="1391"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1,000,993</w:t>
            </w:r>
          </w:p>
        </w:tc>
        <w:tc>
          <w:tcPr>
            <w:tcW w:w="1357"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1,012,780</w:t>
            </w:r>
          </w:p>
        </w:tc>
      </w:tr>
      <w:tr w:rsidR="00676AFC">
        <w:tc>
          <w:tcPr>
            <w:tcW w:w="6632" w:type="dxa"/>
            <w:tcBorders>
              <w:top w:val="single" w:sz="4" w:space="0" w:color="auto"/>
            </w:tcBorders>
            <w:vAlign w:val="bottom"/>
          </w:tcPr>
          <w:p w:rsidR="00676AFC" w:rsidRDefault="00676AFC">
            <w:pPr>
              <w:pStyle w:val="TableStubIMS"/>
              <w:ind w:left="173" w:hanging="173"/>
              <w:rPr>
                <w:rFonts w:ascii="Arial" w:hAnsi="Arial" w:cs="Arial"/>
              </w:rPr>
            </w:pPr>
          </w:p>
        </w:tc>
        <w:tc>
          <w:tcPr>
            <w:tcW w:w="1176" w:type="dxa"/>
            <w:tcBorders>
              <w:top w:val="single" w:sz="4" w:space="0" w:color="auto"/>
            </w:tcBorders>
            <w:vAlign w:val="bottom"/>
          </w:tcPr>
          <w:p w:rsidR="00676AFC" w:rsidRDefault="00676AFC">
            <w:pPr>
              <w:pStyle w:val="TableColumnIMS"/>
              <w:rPr>
                <w:rFonts w:ascii="Arial" w:hAnsi="Arial" w:cs="Arial"/>
              </w:rPr>
            </w:pPr>
          </w:p>
        </w:tc>
        <w:tc>
          <w:tcPr>
            <w:tcW w:w="1391" w:type="dxa"/>
            <w:tcBorders>
              <w:top w:val="single" w:sz="4" w:space="0" w:color="auto"/>
            </w:tcBorders>
            <w:vAlign w:val="bottom"/>
          </w:tcPr>
          <w:p w:rsidR="00676AFC" w:rsidRDefault="00676AFC">
            <w:pPr>
              <w:pStyle w:val="TableColumnIMS"/>
              <w:rPr>
                <w:rFonts w:ascii="Arial" w:hAnsi="Arial" w:cs="Arial"/>
              </w:rPr>
            </w:pPr>
          </w:p>
        </w:tc>
        <w:tc>
          <w:tcPr>
            <w:tcW w:w="1357" w:type="dxa"/>
            <w:tcBorders>
              <w:top w:val="single" w:sz="4" w:space="0" w:color="auto"/>
            </w:tcBorders>
            <w:vAlign w:val="bottom"/>
          </w:tcPr>
          <w:p w:rsidR="00676AFC" w:rsidRDefault="00676AFC">
            <w:pPr>
              <w:pStyle w:val="TableColumnIMS"/>
              <w:rPr>
                <w:rFonts w:ascii="Arial" w:hAnsi="Arial" w:cs="Arial"/>
              </w:rPr>
            </w:pPr>
          </w:p>
        </w:tc>
      </w:tr>
      <w:tr w:rsidR="00676AFC">
        <w:tc>
          <w:tcPr>
            <w:tcW w:w="6632" w:type="dxa"/>
            <w:tcBorders>
              <w:bottom w:val="single" w:sz="4" w:space="0" w:color="auto"/>
            </w:tcBorders>
            <w:vAlign w:val="bottom"/>
          </w:tcPr>
          <w:p w:rsidR="00676AFC" w:rsidRDefault="00676AFC">
            <w:pPr>
              <w:pStyle w:val="TableStubIMS"/>
              <w:ind w:left="173" w:hanging="173"/>
              <w:rPr>
                <w:rFonts w:ascii="Arial" w:hAnsi="Arial" w:cs="Arial"/>
                <w:b/>
                <w:bCs/>
              </w:rPr>
            </w:pPr>
            <w:r>
              <w:rPr>
                <w:rFonts w:ascii="Arial" w:hAnsi="Arial" w:cs="Arial"/>
                <w:b/>
                <w:bCs/>
              </w:rPr>
              <w:t>Liabilities</w:t>
            </w:r>
          </w:p>
        </w:tc>
        <w:tc>
          <w:tcPr>
            <w:tcW w:w="1176" w:type="dxa"/>
            <w:tcBorders>
              <w:bottom w:val="single" w:sz="4" w:space="0" w:color="auto"/>
            </w:tcBorders>
            <w:vAlign w:val="bottom"/>
          </w:tcPr>
          <w:p w:rsidR="00676AFC" w:rsidRDefault="00676AFC">
            <w:pPr>
              <w:pStyle w:val="TableColumnIMS"/>
              <w:rPr>
                <w:rFonts w:ascii="Arial" w:hAnsi="Arial" w:cs="Arial"/>
              </w:rPr>
            </w:pPr>
          </w:p>
        </w:tc>
        <w:tc>
          <w:tcPr>
            <w:tcW w:w="1391" w:type="dxa"/>
            <w:tcBorders>
              <w:bottom w:val="single" w:sz="4" w:space="0" w:color="auto"/>
            </w:tcBorders>
            <w:vAlign w:val="bottom"/>
          </w:tcPr>
          <w:p w:rsidR="00676AFC" w:rsidRDefault="00676AFC">
            <w:pPr>
              <w:pStyle w:val="TableColumnIMS"/>
              <w:rPr>
                <w:rFonts w:ascii="Arial" w:hAnsi="Arial" w:cs="Arial"/>
              </w:rPr>
            </w:pPr>
          </w:p>
        </w:tc>
        <w:tc>
          <w:tcPr>
            <w:tcW w:w="1357" w:type="dxa"/>
            <w:tcBorders>
              <w:bottom w:val="single" w:sz="4" w:space="0" w:color="auto"/>
            </w:tcBorders>
            <w:vAlign w:val="bottom"/>
          </w:tcPr>
          <w:p w:rsidR="00676AFC" w:rsidRDefault="00676AFC">
            <w:pPr>
              <w:pStyle w:val="TableColumnIMS"/>
              <w:rPr>
                <w:rFonts w:ascii="Arial" w:hAnsi="Arial" w:cs="Arial"/>
              </w:rPr>
            </w:pPr>
          </w:p>
        </w:tc>
      </w:tr>
      <w:tr w:rsidR="00676AFC">
        <w:tc>
          <w:tcPr>
            <w:tcW w:w="6632"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Redemptions payable</w:t>
            </w:r>
            <w:r w:rsidR="00E8452B">
              <w:rPr>
                <w:rFonts w:ascii="Arial" w:hAnsi="Arial" w:cs="Arial"/>
              </w:rPr>
              <w:t xml:space="preserve"> (note 6)</w:t>
            </w:r>
          </w:p>
        </w:tc>
        <w:tc>
          <w:tcPr>
            <w:tcW w:w="117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44,967</w:t>
            </w:r>
          </w:p>
        </w:tc>
        <w:tc>
          <w:tcPr>
            <w:tcW w:w="1391"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w:t>
            </w:r>
          </w:p>
        </w:tc>
        <w:tc>
          <w:tcPr>
            <w:tcW w:w="1357"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w:t>
            </w:r>
          </w:p>
        </w:tc>
      </w:tr>
      <w:tr w:rsidR="00676AFC">
        <w:tc>
          <w:tcPr>
            <w:tcW w:w="6632"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Management fees payable (note 4)</w:t>
            </w:r>
          </w:p>
        </w:tc>
        <w:tc>
          <w:tcPr>
            <w:tcW w:w="117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395</w:t>
            </w:r>
          </w:p>
        </w:tc>
        <w:tc>
          <w:tcPr>
            <w:tcW w:w="1391"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425</w:t>
            </w:r>
          </w:p>
        </w:tc>
        <w:tc>
          <w:tcPr>
            <w:tcW w:w="1357"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416</w:t>
            </w:r>
          </w:p>
        </w:tc>
      </w:tr>
      <w:tr w:rsidR="00676AFC">
        <w:tc>
          <w:tcPr>
            <w:tcW w:w="6632"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Accrued expenses and other liabilities</w:t>
            </w:r>
          </w:p>
        </w:tc>
        <w:tc>
          <w:tcPr>
            <w:tcW w:w="117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176</w:t>
            </w:r>
          </w:p>
        </w:tc>
        <w:tc>
          <w:tcPr>
            <w:tcW w:w="1391"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60</w:t>
            </w:r>
          </w:p>
        </w:tc>
        <w:tc>
          <w:tcPr>
            <w:tcW w:w="1357"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201</w:t>
            </w:r>
          </w:p>
        </w:tc>
      </w:tr>
      <w:tr w:rsidR="00676AFC">
        <w:tc>
          <w:tcPr>
            <w:tcW w:w="6632"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Directors’ fees payable</w:t>
            </w:r>
          </w:p>
        </w:tc>
        <w:tc>
          <w:tcPr>
            <w:tcW w:w="117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115</w:t>
            </w:r>
          </w:p>
        </w:tc>
        <w:tc>
          <w:tcPr>
            <w:tcW w:w="1391"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113</w:t>
            </w:r>
          </w:p>
        </w:tc>
        <w:tc>
          <w:tcPr>
            <w:tcW w:w="1357"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118</w:t>
            </w:r>
          </w:p>
        </w:tc>
      </w:tr>
      <w:tr w:rsidR="00676AFC">
        <w:tc>
          <w:tcPr>
            <w:tcW w:w="6632"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Administration fees payable (note 4)</w:t>
            </w:r>
          </w:p>
        </w:tc>
        <w:tc>
          <w:tcPr>
            <w:tcW w:w="117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59</w:t>
            </w:r>
          </w:p>
        </w:tc>
        <w:tc>
          <w:tcPr>
            <w:tcW w:w="1391"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30</w:t>
            </w:r>
          </w:p>
        </w:tc>
        <w:tc>
          <w:tcPr>
            <w:tcW w:w="1357"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29</w:t>
            </w:r>
          </w:p>
        </w:tc>
      </w:tr>
      <w:tr w:rsidR="00676AFC">
        <w:tc>
          <w:tcPr>
            <w:tcW w:w="6632"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b/>
                <w:bCs/>
              </w:rPr>
            </w:pPr>
            <w:r>
              <w:rPr>
                <w:rFonts w:ascii="Arial" w:hAnsi="Arial" w:cs="Arial"/>
                <w:b/>
                <w:bCs/>
              </w:rPr>
              <w:t>Total liabilities</w:t>
            </w:r>
          </w:p>
        </w:tc>
        <w:tc>
          <w:tcPr>
            <w:tcW w:w="1176"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45,712</w:t>
            </w:r>
          </w:p>
        </w:tc>
        <w:tc>
          <w:tcPr>
            <w:tcW w:w="1391"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628</w:t>
            </w:r>
          </w:p>
        </w:tc>
        <w:tc>
          <w:tcPr>
            <w:tcW w:w="1357"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764</w:t>
            </w:r>
          </w:p>
        </w:tc>
      </w:tr>
      <w:tr w:rsidR="00676AFC">
        <w:tc>
          <w:tcPr>
            <w:tcW w:w="6632" w:type="dxa"/>
            <w:tcBorders>
              <w:top w:val="single" w:sz="4" w:space="0" w:color="auto"/>
            </w:tcBorders>
            <w:vAlign w:val="bottom"/>
          </w:tcPr>
          <w:p w:rsidR="00676AFC" w:rsidRDefault="00676AFC">
            <w:pPr>
              <w:pStyle w:val="TableStubIMS"/>
              <w:ind w:left="173" w:hanging="173"/>
              <w:rPr>
                <w:rFonts w:ascii="Arial" w:hAnsi="Arial" w:cs="Arial"/>
              </w:rPr>
            </w:pPr>
          </w:p>
        </w:tc>
        <w:tc>
          <w:tcPr>
            <w:tcW w:w="1176" w:type="dxa"/>
            <w:tcBorders>
              <w:top w:val="single" w:sz="4" w:space="0" w:color="auto"/>
            </w:tcBorders>
            <w:vAlign w:val="bottom"/>
          </w:tcPr>
          <w:p w:rsidR="00676AFC" w:rsidRDefault="00676AFC">
            <w:pPr>
              <w:pStyle w:val="TableColumnIMS"/>
              <w:rPr>
                <w:rFonts w:ascii="Arial" w:hAnsi="Arial" w:cs="Arial"/>
              </w:rPr>
            </w:pPr>
          </w:p>
        </w:tc>
        <w:tc>
          <w:tcPr>
            <w:tcW w:w="1391" w:type="dxa"/>
            <w:tcBorders>
              <w:top w:val="single" w:sz="4" w:space="0" w:color="auto"/>
            </w:tcBorders>
            <w:vAlign w:val="bottom"/>
          </w:tcPr>
          <w:p w:rsidR="00676AFC" w:rsidRDefault="00676AFC">
            <w:pPr>
              <w:pStyle w:val="TableColumnIMS"/>
              <w:rPr>
                <w:rFonts w:ascii="Arial" w:hAnsi="Arial" w:cs="Arial"/>
              </w:rPr>
            </w:pPr>
          </w:p>
        </w:tc>
        <w:tc>
          <w:tcPr>
            <w:tcW w:w="1357" w:type="dxa"/>
            <w:tcBorders>
              <w:top w:val="single" w:sz="4" w:space="0" w:color="auto"/>
            </w:tcBorders>
            <w:vAlign w:val="bottom"/>
          </w:tcPr>
          <w:p w:rsidR="00676AFC" w:rsidRDefault="00676AFC">
            <w:pPr>
              <w:pStyle w:val="TableColumnIMS"/>
              <w:rPr>
                <w:rFonts w:ascii="Arial" w:hAnsi="Arial" w:cs="Arial"/>
              </w:rPr>
            </w:pPr>
          </w:p>
        </w:tc>
      </w:tr>
      <w:tr w:rsidR="00676AFC">
        <w:tc>
          <w:tcPr>
            <w:tcW w:w="6632" w:type="dxa"/>
            <w:tcBorders>
              <w:bottom w:val="single" w:sz="4" w:space="0" w:color="auto"/>
            </w:tcBorders>
            <w:vAlign w:val="bottom"/>
          </w:tcPr>
          <w:p w:rsidR="00676AFC" w:rsidRDefault="00676AFC">
            <w:pPr>
              <w:pStyle w:val="TableStubIMS"/>
              <w:ind w:left="173" w:hanging="173"/>
              <w:rPr>
                <w:rFonts w:ascii="Arial" w:hAnsi="Arial" w:cs="Arial"/>
                <w:b/>
                <w:bCs/>
              </w:rPr>
            </w:pPr>
            <w:r>
              <w:rPr>
                <w:rFonts w:ascii="Arial" w:hAnsi="Arial" w:cs="Arial"/>
                <w:b/>
                <w:bCs/>
              </w:rPr>
              <w:t>Net assets</w:t>
            </w:r>
          </w:p>
        </w:tc>
        <w:tc>
          <w:tcPr>
            <w:tcW w:w="1176" w:type="dxa"/>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963,721</w:t>
            </w:r>
          </w:p>
        </w:tc>
        <w:tc>
          <w:tcPr>
            <w:tcW w:w="1391" w:type="dxa"/>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1,000,365</w:t>
            </w:r>
          </w:p>
        </w:tc>
        <w:tc>
          <w:tcPr>
            <w:tcW w:w="1357" w:type="dxa"/>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1,012,016</w:t>
            </w:r>
          </w:p>
        </w:tc>
      </w:tr>
      <w:tr w:rsidR="00676AFC">
        <w:tc>
          <w:tcPr>
            <w:tcW w:w="6632" w:type="dxa"/>
            <w:tcBorders>
              <w:top w:val="single" w:sz="4" w:space="0" w:color="auto"/>
            </w:tcBorders>
            <w:vAlign w:val="bottom"/>
          </w:tcPr>
          <w:p w:rsidR="00676AFC" w:rsidRDefault="00676AFC">
            <w:pPr>
              <w:pStyle w:val="TableStubIMS"/>
              <w:ind w:left="173" w:hanging="173"/>
              <w:rPr>
                <w:rFonts w:ascii="Arial" w:hAnsi="Arial" w:cs="Arial"/>
              </w:rPr>
            </w:pPr>
          </w:p>
        </w:tc>
        <w:tc>
          <w:tcPr>
            <w:tcW w:w="1176" w:type="dxa"/>
            <w:tcBorders>
              <w:top w:val="single" w:sz="4" w:space="0" w:color="auto"/>
            </w:tcBorders>
            <w:vAlign w:val="bottom"/>
          </w:tcPr>
          <w:p w:rsidR="00676AFC" w:rsidRDefault="00676AFC">
            <w:pPr>
              <w:pStyle w:val="TableColumnIMS"/>
              <w:rPr>
                <w:rFonts w:ascii="Arial" w:hAnsi="Arial" w:cs="Arial"/>
              </w:rPr>
            </w:pPr>
          </w:p>
        </w:tc>
        <w:tc>
          <w:tcPr>
            <w:tcW w:w="1391" w:type="dxa"/>
            <w:tcBorders>
              <w:top w:val="single" w:sz="4" w:space="0" w:color="auto"/>
            </w:tcBorders>
            <w:vAlign w:val="bottom"/>
          </w:tcPr>
          <w:p w:rsidR="00676AFC" w:rsidRDefault="00676AFC">
            <w:pPr>
              <w:pStyle w:val="TableColumnIMS"/>
              <w:rPr>
                <w:rFonts w:ascii="Arial" w:hAnsi="Arial" w:cs="Arial"/>
              </w:rPr>
            </w:pPr>
          </w:p>
        </w:tc>
        <w:tc>
          <w:tcPr>
            <w:tcW w:w="1357" w:type="dxa"/>
            <w:tcBorders>
              <w:top w:val="single" w:sz="4" w:space="0" w:color="auto"/>
            </w:tcBorders>
            <w:vAlign w:val="bottom"/>
          </w:tcPr>
          <w:p w:rsidR="00676AFC" w:rsidRDefault="00676AFC">
            <w:pPr>
              <w:pStyle w:val="TableColumnIMS"/>
              <w:rPr>
                <w:rFonts w:ascii="Arial" w:hAnsi="Arial" w:cs="Arial"/>
              </w:rPr>
            </w:pPr>
          </w:p>
        </w:tc>
      </w:tr>
      <w:tr w:rsidR="00676AFC">
        <w:tc>
          <w:tcPr>
            <w:tcW w:w="6632" w:type="dxa"/>
            <w:tcBorders>
              <w:bottom w:val="single" w:sz="4" w:space="0" w:color="auto"/>
            </w:tcBorders>
            <w:vAlign w:val="bottom"/>
          </w:tcPr>
          <w:p w:rsidR="00676AFC" w:rsidRDefault="00676AFC">
            <w:pPr>
              <w:pStyle w:val="TableStubIMS"/>
              <w:ind w:left="173" w:hanging="173"/>
              <w:rPr>
                <w:rFonts w:ascii="Arial" w:hAnsi="Arial" w:cs="Arial"/>
                <w:b/>
                <w:bCs/>
              </w:rPr>
            </w:pPr>
            <w:r>
              <w:rPr>
                <w:rFonts w:ascii="Arial" w:hAnsi="Arial" w:cs="Arial"/>
                <w:b/>
                <w:bCs/>
              </w:rPr>
              <w:t>Number of shares in issue (note 6)</w:t>
            </w:r>
          </w:p>
        </w:tc>
        <w:tc>
          <w:tcPr>
            <w:tcW w:w="1176" w:type="dxa"/>
            <w:tcBorders>
              <w:bottom w:val="single" w:sz="4" w:space="0" w:color="auto"/>
            </w:tcBorders>
            <w:vAlign w:val="bottom"/>
          </w:tcPr>
          <w:p w:rsidR="00676AFC" w:rsidRDefault="00676AFC">
            <w:pPr>
              <w:pStyle w:val="TableColumnIMS"/>
              <w:rPr>
                <w:rFonts w:ascii="Arial" w:hAnsi="Arial" w:cs="Arial"/>
              </w:rPr>
            </w:pPr>
          </w:p>
        </w:tc>
        <w:tc>
          <w:tcPr>
            <w:tcW w:w="1391" w:type="dxa"/>
            <w:tcBorders>
              <w:bottom w:val="single" w:sz="4" w:space="0" w:color="auto"/>
            </w:tcBorders>
            <w:vAlign w:val="bottom"/>
          </w:tcPr>
          <w:p w:rsidR="00676AFC" w:rsidRDefault="00676AFC">
            <w:pPr>
              <w:pStyle w:val="TableColumnIMS"/>
              <w:rPr>
                <w:rFonts w:ascii="Arial" w:hAnsi="Arial" w:cs="Arial"/>
              </w:rPr>
            </w:pPr>
          </w:p>
        </w:tc>
        <w:tc>
          <w:tcPr>
            <w:tcW w:w="1357" w:type="dxa"/>
            <w:tcBorders>
              <w:bottom w:val="single" w:sz="4" w:space="0" w:color="auto"/>
            </w:tcBorders>
            <w:vAlign w:val="bottom"/>
          </w:tcPr>
          <w:p w:rsidR="00676AFC" w:rsidRDefault="00676AFC">
            <w:pPr>
              <w:pStyle w:val="TableColumnIMS"/>
              <w:rPr>
                <w:rFonts w:ascii="Arial" w:hAnsi="Arial" w:cs="Arial"/>
              </w:rPr>
            </w:pPr>
          </w:p>
        </w:tc>
      </w:tr>
      <w:tr w:rsidR="00676AFC">
        <w:tc>
          <w:tcPr>
            <w:tcW w:w="6632"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US Dollar shares</w:t>
            </w:r>
          </w:p>
        </w:tc>
        <w:tc>
          <w:tcPr>
            <w:tcW w:w="117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14,642,562</w:t>
            </w:r>
          </w:p>
        </w:tc>
        <w:tc>
          <w:tcPr>
            <w:tcW w:w="1391"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15,185,614</w:t>
            </w:r>
          </w:p>
        </w:tc>
        <w:tc>
          <w:tcPr>
            <w:tcW w:w="1357"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17,075,987</w:t>
            </w:r>
          </w:p>
        </w:tc>
      </w:tr>
      <w:tr w:rsidR="00676AFC">
        <w:tc>
          <w:tcPr>
            <w:tcW w:w="6632"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Euro shares</w:t>
            </w:r>
          </w:p>
        </w:tc>
        <w:tc>
          <w:tcPr>
            <w:tcW w:w="117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2,616,585</w:t>
            </w:r>
          </w:p>
        </w:tc>
        <w:tc>
          <w:tcPr>
            <w:tcW w:w="1391"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2,919,762</w:t>
            </w:r>
          </w:p>
        </w:tc>
        <w:tc>
          <w:tcPr>
            <w:tcW w:w="1357"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3,049,573</w:t>
            </w:r>
          </w:p>
        </w:tc>
      </w:tr>
      <w:tr w:rsidR="00676AFC">
        <w:tc>
          <w:tcPr>
            <w:tcW w:w="6632"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Sterling shares</w:t>
            </w:r>
          </w:p>
        </w:tc>
        <w:tc>
          <w:tcPr>
            <w:tcW w:w="117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38,155,265</w:t>
            </w:r>
          </w:p>
        </w:tc>
        <w:tc>
          <w:tcPr>
            <w:tcW w:w="1391"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39,910,912</w:t>
            </w:r>
          </w:p>
        </w:tc>
        <w:tc>
          <w:tcPr>
            <w:tcW w:w="1357"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38,834,018</w:t>
            </w:r>
          </w:p>
        </w:tc>
      </w:tr>
      <w:tr w:rsidR="00676AFC">
        <w:tc>
          <w:tcPr>
            <w:tcW w:w="6632" w:type="dxa"/>
            <w:tcBorders>
              <w:top w:val="single" w:sz="4" w:space="0" w:color="auto"/>
            </w:tcBorders>
            <w:vAlign w:val="bottom"/>
          </w:tcPr>
          <w:p w:rsidR="00676AFC" w:rsidRDefault="00676AFC">
            <w:pPr>
              <w:pStyle w:val="TableStubIMS"/>
              <w:ind w:left="173" w:hanging="173"/>
              <w:rPr>
                <w:rFonts w:ascii="Arial" w:hAnsi="Arial" w:cs="Arial"/>
              </w:rPr>
            </w:pPr>
          </w:p>
        </w:tc>
        <w:tc>
          <w:tcPr>
            <w:tcW w:w="1176" w:type="dxa"/>
            <w:tcBorders>
              <w:top w:val="single" w:sz="4" w:space="0" w:color="auto"/>
            </w:tcBorders>
            <w:vAlign w:val="bottom"/>
          </w:tcPr>
          <w:p w:rsidR="00676AFC" w:rsidRDefault="00676AFC">
            <w:pPr>
              <w:pStyle w:val="TableColumnIMS"/>
              <w:rPr>
                <w:rFonts w:ascii="Arial" w:hAnsi="Arial" w:cs="Arial"/>
              </w:rPr>
            </w:pPr>
          </w:p>
        </w:tc>
        <w:tc>
          <w:tcPr>
            <w:tcW w:w="1391" w:type="dxa"/>
            <w:tcBorders>
              <w:top w:val="single" w:sz="4" w:space="0" w:color="auto"/>
            </w:tcBorders>
            <w:vAlign w:val="bottom"/>
          </w:tcPr>
          <w:p w:rsidR="00676AFC" w:rsidRDefault="00676AFC">
            <w:pPr>
              <w:pStyle w:val="TableColumnIMS"/>
              <w:rPr>
                <w:rFonts w:ascii="Arial" w:hAnsi="Arial" w:cs="Arial"/>
              </w:rPr>
            </w:pPr>
          </w:p>
        </w:tc>
        <w:tc>
          <w:tcPr>
            <w:tcW w:w="1357" w:type="dxa"/>
            <w:tcBorders>
              <w:top w:val="single" w:sz="4" w:space="0" w:color="auto"/>
            </w:tcBorders>
            <w:vAlign w:val="bottom"/>
          </w:tcPr>
          <w:p w:rsidR="00676AFC" w:rsidRDefault="00676AFC">
            <w:pPr>
              <w:pStyle w:val="TableColumnIMS"/>
              <w:rPr>
                <w:rFonts w:ascii="Arial" w:hAnsi="Arial" w:cs="Arial"/>
              </w:rPr>
            </w:pPr>
          </w:p>
        </w:tc>
      </w:tr>
      <w:tr w:rsidR="00676AFC">
        <w:tc>
          <w:tcPr>
            <w:tcW w:w="6632" w:type="dxa"/>
            <w:tcBorders>
              <w:bottom w:val="single" w:sz="4" w:space="0" w:color="auto"/>
            </w:tcBorders>
            <w:vAlign w:val="bottom"/>
          </w:tcPr>
          <w:p w:rsidR="00676AFC" w:rsidRDefault="00676AFC">
            <w:pPr>
              <w:pStyle w:val="TableStubIMS"/>
              <w:ind w:left="173" w:hanging="173"/>
              <w:rPr>
                <w:rFonts w:ascii="Arial" w:hAnsi="Arial" w:cs="Arial"/>
                <w:b/>
                <w:bCs/>
              </w:rPr>
            </w:pPr>
            <w:r>
              <w:rPr>
                <w:rFonts w:ascii="Arial" w:hAnsi="Arial" w:cs="Arial"/>
                <w:b/>
                <w:bCs/>
              </w:rPr>
              <w:t>Net asset value per share (notes 8 and 11)</w:t>
            </w:r>
          </w:p>
        </w:tc>
        <w:tc>
          <w:tcPr>
            <w:tcW w:w="1176" w:type="dxa"/>
            <w:tcBorders>
              <w:bottom w:val="single" w:sz="4" w:space="0" w:color="auto"/>
            </w:tcBorders>
            <w:vAlign w:val="bottom"/>
          </w:tcPr>
          <w:p w:rsidR="00676AFC" w:rsidRDefault="00676AFC">
            <w:pPr>
              <w:pStyle w:val="TableColumnIMS"/>
              <w:rPr>
                <w:rFonts w:ascii="Arial" w:hAnsi="Arial" w:cs="Arial"/>
              </w:rPr>
            </w:pPr>
          </w:p>
        </w:tc>
        <w:tc>
          <w:tcPr>
            <w:tcW w:w="1391" w:type="dxa"/>
            <w:tcBorders>
              <w:bottom w:val="single" w:sz="4" w:space="0" w:color="auto"/>
            </w:tcBorders>
            <w:vAlign w:val="bottom"/>
          </w:tcPr>
          <w:p w:rsidR="00676AFC" w:rsidRDefault="00676AFC">
            <w:pPr>
              <w:pStyle w:val="TableColumnIMS"/>
              <w:rPr>
                <w:rFonts w:ascii="Arial" w:hAnsi="Arial" w:cs="Arial"/>
              </w:rPr>
            </w:pPr>
          </w:p>
        </w:tc>
        <w:tc>
          <w:tcPr>
            <w:tcW w:w="1357" w:type="dxa"/>
            <w:tcBorders>
              <w:bottom w:val="single" w:sz="4" w:space="0" w:color="auto"/>
            </w:tcBorders>
            <w:vAlign w:val="bottom"/>
          </w:tcPr>
          <w:p w:rsidR="00676AFC" w:rsidRDefault="00676AFC">
            <w:pPr>
              <w:pStyle w:val="TableColumnIMS"/>
              <w:rPr>
                <w:rFonts w:ascii="Arial" w:hAnsi="Arial" w:cs="Arial"/>
              </w:rPr>
            </w:pPr>
          </w:p>
        </w:tc>
      </w:tr>
      <w:tr w:rsidR="00676AFC">
        <w:tc>
          <w:tcPr>
            <w:tcW w:w="6632"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US Dollar shares</w:t>
            </w:r>
          </w:p>
        </w:tc>
        <w:tc>
          <w:tcPr>
            <w:tcW w:w="117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US$12.27</w:t>
            </w:r>
          </w:p>
        </w:tc>
        <w:tc>
          <w:tcPr>
            <w:tcW w:w="1391"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US$12.34</w:t>
            </w:r>
          </w:p>
        </w:tc>
        <w:tc>
          <w:tcPr>
            <w:tcW w:w="1357"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US$11.99</w:t>
            </w:r>
          </w:p>
        </w:tc>
      </w:tr>
      <w:tr w:rsidR="00676AFC">
        <w:tc>
          <w:tcPr>
            <w:tcW w:w="6632"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Euro shares</w:t>
            </w:r>
          </w:p>
        </w:tc>
        <w:tc>
          <w:tcPr>
            <w:tcW w:w="117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€12.39</w:t>
            </w:r>
          </w:p>
        </w:tc>
        <w:tc>
          <w:tcPr>
            <w:tcW w:w="1391"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€12.46</w:t>
            </w:r>
          </w:p>
        </w:tc>
        <w:tc>
          <w:tcPr>
            <w:tcW w:w="1357"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€12.07</w:t>
            </w:r>
          </w:p>
        </w:tc>
      </w:tr>
      <w:tr w:rsidR="00676AFC">
        <w:tc>
          <w:tcPr>
            <w:tcW w:w="6632"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Sterling shares</w:t>
            </w:r>
          </w:p>
        </w:tc>
        <w:tc>
          <w:tcPr>
            <w:tcW w:w="117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£12.41</w:t>
            </w:r>
          </w:p>
        </w:tc>
        <w:tc>
          <w:tcPr>
            <w:tcW w:w="1391"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£12.47</w:t>
            </w:r>
          </w:p>
        </w:tc>
        <w:tc>
          <w:tcPr>
            <w:tcW w:w="1357"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£12.09</w:t>
            </w:r>
          </w:p>
        </w:tc>
      </w:tr>
    </w:tbl>
    <w:p w:rsidR="00676AFC" w:rsidRDefault="00676AFC">
      <w:pPr>
        <w:pStyle w:val="ParaIMS"/>
        <w:spacing w:before="0"/>
        <w:rPr>
          <w:rFonts w:ascii="Arial" w:hAnsi="Arial" w:cs="Arial"/>
          <w:szCs w:val="18"/>
        </w:rPr>
      </w:pPr>
    </w:p>
    <w:p w:rsidR="00676AFC" w:rsidRDefault="00676AFC">
      <w:pPr>
        <w:pStyle w:val="ParaIMS"/>
        <w:spacing w:before="0"/>
        <w:rPr>
          <w:rFonts w:ascii="Arial" w:hAnsi="Arial" w:cs="Arial"/>
        </w:rPr>
      </w:pPr>
      <w:r>
        <w:rPr>
          <w:rFonts w:ascii="Arial" w:hAnsi="Arial" w:cs="Arial"/>
          <w:i/>
          <w:iCs/>
          <w:szCs w:val="18"/>
        </w:rPr>
        <w:t>See accompanying notes to the Interim Unaudited Financial Statements.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Signed on behalf of the Board by:</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Lord Turnbull</w:t>
      </w:r>
    </w:p>
    <w:p w:rsidR="00676AFC" w:rsidRDefault="00676AFC">
      <w:pPr>
        <w:pStyle w:val="ParaIMS"/>
        <w:spacing w:before="0"/>
        <w:rPr>
          <w:rFonts w:ascii="Arial" w:hAnsi="Arial" w:cs="Arial"/>
        </w:rPr>
      </w:pPr>
      <w:r>
        <w:rPr>
          <w:rFonts w:ascii="Arial" w:hAnsi="Arial" w:cs="Arial"/>
          <w:szCs w:val="18"/>
        </w:rPr>
        <w:t>Chairman</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 xml:space="preserve">John </w:t>
      </w:r>
      <w:proofErr w:type="spellStart"/>
      <w:r>
        <w:rPr>
          <w:rFonts w:ascii="Arial" w:hAnsi="Arial" w:cs="Arial"/>
          <w:b/>
          <w:bCs/>
          <w:szCs w:val="18"/>
        </w:rPr>
        <w:t>Hallam</w:t>
      </w:r>
      <w:proofErr w:type="spellEnd"/>
    </w:p>
    <w:p w:rsidR="00676AFC" w:rsidRDefault="00676AFC">
      <w:pPr>
        <w:pStyle w:val="ParaIMS"/>
        <w:spacing w:before="0"/>
        <w:rPr>
          <w:rFonts w:ascii="Arial" w:hAnsi="Arial" w:cs="Arial"/>
        </w:rPr>
      </w:pPr>
      <w:r>
        <w:rPr>
          <w:rFonts w:ascii="Arial" w:hAnsi="Arial" w:cs="Arial"/>
          <w:szCs w:val="18"/>
        </w:rPr>
        <w:t>Director</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szCs w:val="18"/>
        </w:rPr>
      </w:pPr>
      <w:r>
        <w:rPr>
          <w:rFonts w:ascii="Arial" w:hAnsi="Arial" w:cs="Arial"/>
          <w:szCs w:val="18"/>
        </w:rPr>
        <w:t>22 August 2012</w:t>
      </w:r>
    </w:p>
    <w:p w:rsidR="00676AFC" w:rsidRDefault="00676AFC">
      <w:pPr>
        <w:pStyle w:val="ParaIMS"/>
        <w:spacing w:before="0"/>
        <w:rPr>
          <w:rFonts w:ascii="Arial" w:hAnsi="Arial" w:cs="Arial"/>
          <w:szCs w:val="18"/>
        </w:rPr>
      </w:pPr>
    </w:p>
    <w:p w:rsidR="00676AFC" w:rsidRDefault="00676AFC">
      <w:pPr>
        <w:pStyle w:val="ParaIMS"/>
        <w:spacing w:before="0"/>
        <w:rPr>
          <w:rFonts w:ascii="Arial" w:hAnsi="Arial" w:cs="Arial"/>
          <w:b/>
          <w:bCs/>
        </w:rPr>
      </w:pPr>
      <w:r>
        <w:rPr>
          <w:rFonts w:ascii="Arial" w:hAnsi="Arial" w:cs="Arial"/>
          <w:b/>
          <w:bCs/>
        </w:rPr>
        <w:t>Unaudited Statement of Operations</w:t>
      </w:r>
    </w:p>
    <w:p w:rsidR="00676AFC" w:rsidRDefault="00676AFC">
      <w:pPr>
        <w:pStyle w:val="ParaIMS"/>
        <w:spacing w:before="0"/>
        <w:rPr>
          <w:rFonts w:ascii="Arial" w:hAnsi="Arial" w:cs="Arial"/>
        </w:rPr>
      </w:pPr>
      <w:r>
        <w:rPr>
          <w:rFonts w:ascii="Arial" w:hAnsi="Arial" w:cs="Arial"/>
          <w:szCs w:val="18"/>
        </w:rPr>
        <w:t>For the period from 1 January 2012 to 30 June 2012</w:t>
      </w:r>
    </w:p>
    <w:p w:rsidR="00676AFC" w:rsidRDefault="00676AFC">
      <w:pPr>
        <w:pStyle w:val="ParaIMS"/>
        <w:spacing w:before="0"/>
        <w:rPr>
          <w:rFonts w:ascii="Arial" w:hAnsi="Arial" w:cs="Arial"/>
        </w:rPr>
      </w:pPr>
    </w:p>
    <w:tbl>
      <w:tblPr>
        <w:tblW w:w="5000" w:type="pct"/>
        <w:tblLayout w:type="fixed"/>
        <w:tblCellMar>
          <w:left w:w="0" w:type="dxa"/>
          <w:right w:w="0" w:type="dxa"/>
        </w:tblCellMar>
        <w:tblLook w:val="0000"/>
      </w:tblPr>
      <w:tblGrid>
        <w:gridCol w:w="5958"/>
        <w:gridCol w:w="1654"/>
        <w:gridCol w:w="1673"/>
        <w:gridCol w:w="1255"/>
      </w:tblGrid>
      <w:tr w:rsidR="00676AFC">
        <w:tc>
          <w:tcPr>
            <w:tcW w:w="5967" w:type="dxa"/>
            <w:vAlign w:val="bottom"/>
          </w:tcPr>
          <w:p w:rsidR="00676AFC" w:rsidRDefault="00676AFC">
            <w:pPr>
              <w:pStyle w:val="TableStubIMS"/>
              <w:ind w:left="173" w:hanging="173"/>
              <w:rPr>
                <w:rFonts w:ascii="Arial" w:hAnsi="Arial" w:cs="Arial"/>
                <w:b/>
                <w:bCs/>
              </w:rPr>
            </w:pPr>
          </w:p>
        </w:tc>
        <w:tc>
          <w:tcPr>
            <w:tcW w:w="1656" w:type="dxa"/>
            <w:vAlign w:val="bottom"/>
          </w:tcPr>
          <w:p w:rsidR="00676AFC" w:rsidRDefault="00676AFC">
            <w:pPr>
              <w:pStyle w:val="TableColumnHeadingIMS"/>
              <w:jc w:val="right"/>
              <w:rPr>
                <w:rFonts w:ascii="Arial" w:hAnsi="Arial" w:cs="Arial"/>
                <w:bCs/>
                <w:sz w:val="20"/>
              </w:rPr>
            </w:pPr>
            <w:r>
              <w:rPr>
                <w:rFonts w:ascii="Arial" w:hAnsi="Arial" w:cs="Arial"/>
                <w:bCs/>
                <w:sz w:val="20"/>
              </w:rPr>
              <w:t>01.01.12</w:t>
            </w:r>
          </w:p>
        </w:tc>
        <w:tc>
          <w:tcPr>
            <w:tcW w:w="1676" w:type="dxa"/>
            <w:vAlign w:val="bottom"/>
          </w:tcPr>
          <w:p w:rsidR="00676AFC" w:rsidRDefault="00676AFC">
            <w:pPr>
              <w:pStyle w:val="TableColumnHeadingIMS"/>
              <w:jc w:val="right"/>
              <w:rPr>
                <w:rFonts w:ascii="Arial" w:hAnsi="Arial" w:cs="Arial"/>
                <w:bCs/>
                <w:sz w:val="20"/>
              </w:rPr>
            </w:pPr>
            <w:r>
              <w:rPr>
                <w:rFonts w:ascii="Arial" w:hAnsi="Arial" w:cs="Arial"/>
                <w:bCs/>
                <w:sz w:val="20"/>
              </w:rPr>
              <w:t>01.01.11</w:t>
            </w:r>
          </w:p>
        </w:tc>
        <w:tc>
          <w:tcPr>
            <w:tcW w:w="1257" w:type="dxa"/>
            <w:vAlign w:val="bottom"/>
          </w:tcPr>
          <w:p w:rsidR="00676AFC" w:rsidRDefault="00676AFC">
            <w:pPr>
              <w:pStyle w:val="TableColumnHeadingIMS"/>
              <w:jc w:val="right"/>
              <w:rPr>
                <w:rFonts w:ascii="Arial" w:hAnsi="Arial" w:cs="Arial"/>
                <w:bCs/>
                <w:sz w:val="20"/>
              </w:rPr>
            </w:pPr>
            <w:r>
              <w:rPr>
                <w:rFonts w:ascii="Arial" w:hAnsi="Arial" w:cs="Arial"/>
                <w:bCs/>
                <w:sz w:val="20"/>
              </w:rPr>
              <w:t>01.01.11</w:t>
            </w:r>
          </w:p>
        </w:tc>
      </w:tr>
      <w:tr w:rsidR="00676AFC">
        <w:tc>
          <w:tcPr>
            <w:tcW w:w="5967" w:type="dxa"/>
            <w:vAlign w:val="bottom"/>
          </w:tcPr>
          <w:p w:rsidR="00676AFC" w:rsidRDefault="00676AFC">
            <w:pPr>
              <w:pStyle w:val="TableStubIMS"/>
              <w:ind w:left="173" w:hanging="173"/>
              <w:rPr>
                <w:rFonts w:ascii="Arial" w:hAnsi="Arial" w:cs="Arial"/>
                <w:b/>
                <w:bCs/>
              </w:rPr>
            </w:pPr>
          </w:p>
        </w:tc>
        <w:tc>
          <w:tcPr>
            <w:tcW w:w="1656" w:type="dxa"/>
            <w:vAlign w:val="bottom"/>
          </w:tcPr>
          <w:p w:rsidR="00676AFC" w:rsidRDefault="00676AFC">
            <w:pPr>
              <w:pStyle w:val="TableColumnIMS"/>
              <w:rPr>
                <w:rFonts w:ascii="Arial" w:hAnsi="Arial" w:cs="Arial"/>
                <w:b/>
                <w:bCs/>
              </w:rPr>
            </w:pPr>
            <w:r>
              <w:rPr>
                <w:rFonts w:ascii="Arial" w:hAnsi="Arial" w:cs="Arial"/>
                <w:b/>
                <w:bCs/>
              </w:rPr>
              <w:t>to 30.06.12</w:t>
            </w:r>
          </w:p>
        </w:tc>
        <w:tc>
          <w:tcPr>
            <w:tcW w:w="1676" w:type="dxa"/>
            <w:vAlign w:val="bottom"/>
          </w:tcPr>
          <w:p w:rsidR="00676AFC" w:rsidRDefault="00676AFC">
            <w:pPr>
              <w:pStyle w:val="TableColumnIMS"/>
              <w:rPr>
                <w:rFonts w:ascii="Arial" w:hAnsi="Arial" w:cs="Arial"/>
                <w:b/>
                <w:bCs/>
              </w:rPr>
            </w:pPr>
            <w:r>
              <w:rPr>
                <w:rFonts w:ascii="Arial" w:hAnsi="Arial" w:cs="Arial"/>
                <w:b/>
                <w:bCs/>
              </w:rPr>
              <w:t>to 31.12.11</w:t>
            </w:r>
          </w:p>
        </w:tc>
        <w:tc>
          <w:tcPr>
            <w:tcW w:w="1257" w:type="dxa"/>
            <w:vAlign w:val="bottom"/>
          </w:tcPr>
          <w:p w:rsidR="00676AFC" w:rsidRDefault="00676AFC">
            <w:pPr>
              <w:pStyle w:val="TableColumnIMS"/>
              <w:rPr>
                <w:rFonts w:ascii="Arial" w:hAnsi="Arial" w:cs="Arial"/>
                <w:b/>
                <w:bCs/>
              </w:rPr>
            </w:pPr>
            <w:r>
              <w:rPr>
                <w:rFonts w:ascii="Arial" w:hAnsi="Arial" w:cs="Arial"/>
                <w:b/>
                <w:bCs/>
              </w:rPr>
              <w:t>to 30.06.11</w:t>
            </w:r>
          </w:p>
        </w:tc>
      </w:tr>
      <w:tr w:rsidR="00676AFC">
        <w:tc>
          <w:tcPr>
            <w:tcW w:w="5967" w:type="dxa"/>
            <w:vAlign w:val="bottom"/>
          </w:tcPr>
          <w:p w:rsidR="00676AFC" w:rsidRDefault="00676AFC">
            <w:pPr>
              <w:pStyle w:val="TableStubIMS"/>
              <w:ind w:left="173" w:hanging="173"/>
              <w:rPr>
                <w:rFonts w:ascii="Arial" w:hAnsi="Arial" w:cs="Arial"/>
                <w:b/>
                <w:bCs/>
              </w:rPr>
            </w:pPr>
          </w:p>
        </w:tc>
        <w:tc>
          <w:tcPr>
            <w:tcW w:w="1656" w:type="dxa"/>
            <w:vAlign w:val="bottom"/>
          </w:tcPr>
          <w:p w:rsidR="00676AFC" w:rsidRDefault="00676AFC">
            <w:pPr>
              <w:pStyle w:val="TableColumnIMS"/>
              <w:rPr>
                <w:rFonts w:ascii="Arial" w:hAnsi="Arial" w:cs="Arial"/>
                <w:b/>
                <w:bCs/>
              </w:rPr>
            </w:pPr>
            <w:r>
              <w:rPr>
                <w:rFonts w:ascii="Arial" w:hAnsi="Arial" w:cs="Arial"/>
                <w:b/>
                <w:bCs/>
              </w:rPr>
              <w:t>(Unaudited)</w:t>
            </w:r>
          </w:p>
        </w:tc>
        <w:tc>
          <w:tcPr>
            <w:tcW w:w="1676" w:type="dxa"/>
            <w:vAlign w:val="bottom"/>
          </w:tcPr>
          <w:p w:rsidR="00676AFC" w:rsidRDefault="00676AFC">
            <w:pPr>
              <w:pStyle w:val="TableColumnIMS"/>
              <w:rPr>
                <w:rFonts w:ascii="Arial" w:hAnsi="Arial" w:cs="Arial"/>
                <w:b/>
                <w:bCs/>
              </w:rPr>
            </w:pPr>
            <w:r>
              <w:rPr>
                <w:rFonts w:ascii="Arial" w:hAnsi="Arial" w:cs="Arial"/>
                <w:b/>
                <w:bCs/>
              </w:rPr>
              <w:t>(Audited)</w:t>
            </w:r>
          </w:p>
        </w:tc>
        <w:tc>
          <w:tcPr>
            <w:tcW w:w="1257" w:type="dxa"/>
            <w:vAlign w:val="bottom"/>
          </w:tcPr>
          <w:p w:rsidR="00676AFC" w:rsidRDefault="00676AFC">
            <w:pPr>
              <w:pStyle w:val="TableColumnIMS"/>
              <w:rPr>
                <w:rFonts w:ascii="Arial" w:hAnsi="Arial" w:cs="Arial"/>
                <w:b/>
                <w:bCs/>
              </w:rPr>
            </w:pPr>
            <w:r>
              <w:rPr>
                <w:rFonts w:ascii="Arial" w:hAnsi="Arial" w:cs="Arial"/>
                <w:b/>
                <w:bCs/>
              </w:rPr>
              <w:t>(Unaudited)</w:t>
            </w:r>
          </w:p>
        </w:tc>
      </w:tr>
      <w:tr w:rsidR="00676AFC">
        <w:tc>
          <w:tcPr>
            <w:tcW w:w="5967" w:type="dxa"/>
            <w:tcBorders>
              <w:bottom w:val="single" w:sz="4" w:space="0" w:color="auto"/>
            </w:tcBorders>
            <w:vAlign w:val="bottom"/>
          </w:tcPr>
          <w:p w:rsidR="00676AFC" w:rsidRDefault="00676AFC">
            <w:pPr>
              <w:pStyle w:val="TableStubIMS"/>
              <w:ind w:left="173" w:hanging="173"/>
              <w:rPr>
                <w:rFonts w:ascii="Arial" w:hAnsi="Arial" w:cs="Arial"/>
                <w:b/>
                <w:bCs/>
              </w:rPr>
            </w:pPr>
          </w:p>
        </w:tc>
        <w:tc>
          <w:tcPr>
            <w:tcW w:w="1656" w:type="dxa"/>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US$’000</w:t>
            </w:r>
          </w:p>
        </w:tc>
        <w:tc>
          <w:tcPr>
            <w:tcW w:w="1676" w:type="dxa"/>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US$’000</w:t>
            </w:r>
          </w:p>
        </w:tc>
        <w:tc>
          <w:tcPr>
            <w:tcW w:w="1257" w:type="dxa"/>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US$’000</w:t>
            </w:r>
          </w:p>
        </w:tc>
      </w:tr>
      <w:tr w:rsidR="00676AFC">
        <w:tc>
          <w:tcPr>
            <w:tcW w:w="5967"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b/>
                <w:bCs/>
              </w:rPr>
            </w:pPr>
            <w:r>
              <w:rPr>
                <w:rFonts w:ascii="Arial" w:hAnsi="Arial" w:cs="Arial"/>
                <w:b/>
                <w:bCs/>
              </w:rPr>
              <w:t>Net investment loss allocated from BHGO</w:t>
            </w:r>
          </w:p>
        </w:tc>
        <w:tc>
          <w:tcPr>
            <w:tcW w:w="1656" w:type="dxa"/>
            <w:tcBorders>
              <w:top w:val="single" w:sz="4" w:space="0" w:color="auto"/>
              <w:bottom w:val="single" w:sz="4" w:space="0" w:color="auto"/>
            </w:tcBorders>
            <w:vAlign w:val="bottom"/>
          </w:tcPr>
          <w:p w:rsidR="00676AFC" w:rsidRDefault="00676AFC">
            <w:pPr>
              <w:pStyle w:val="TableColumnIMS"/>
              <w:rPr>
                <w:rFonts w:ascii="Arial" w:hAnsi="Arial" w:cs="Arial"/>
              </w:rPr>
            </w:pPr>
          </w:p>
        </w:tc>
        <w:tc>
          <w:tcPr>
            <w:tcW w:w="1676" w:type="dxa"/>
            <w:tcBorders>
              <w:top w:val="single" w:sz="4" w:space="0" w:color="auto"/>
              <w:bottom w:val="single" w:sz="4" w:space="0" w:color="auto"/>
            </w:tcBorders>
            <w:vAlign w:val="bottom"/>
          </w:tcPr>
          <w:p w:rsidR="00676AFC" w:rsidRDefault="00676AFC">
            <w:pPr>
              <w:pStyle w:val="TableColumnIMS"/>
              <w:rPr>
                <w:rFonts w:ascii="Arial" w:hAnsi="Arial" w:cs="Arial"/>
              </w:rPr>
            </w:pPr>
          </w:p>
        </w:tc>
        <w:tc>
          <w:tcPr>
            <w:tcW w:w="1257" w:type="dxa"/>
            <w:tcBorders>
              <w:top w:val="single" w:sz="4" w:space="0" w:color="auto"/>
              <w:bottom w:val="single" w:sz="4" w:space="0" w:color="auto"/>
            </w:tcBorders>
            <w:vAlign w:val="bottom"/>
          </w:tcPr>
          <w:p w:rsidR="00676AFC" w:rsidRDefault="00676AFC">
            <w:pPr>
              <w:pStyle w:val="TableColumnIMS"/>
              <w:rPr>
                <w:rFonts w:ascii="Arial" w:hAnsi="Arial" w:cs="Arial"/>
              </w:rPr>
            </w:pPr>
          </w:p>
        </w:tc>
      </w:tr>
      <w:tr w:rsidR="00676AFC">
        <w:tc>
          <w:tcPr>
            <w:tcW w:w="5967"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Interest</w:t>
            </w:r>
          </w:p>
        </w:tc>
        <w:tc>
          <w:tcPr>
            <w:tcW w:w="165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3</w:t>
            </w:r>
          </w:p>
        </w:tc>
        <w:tc>
          <w:tcPr>
            <w:tcW w:w="167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20</w:t>
            </w:r>
          </w:p>
        </w:tc>
        <w:tc>
          <w:tcPr>
            <w:tcW w:w="1257"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11</w:t>
            </w:r>
          </w:p>
        </w:tc>
      </w:tr>
      <w:tr w:rsidR="00676AFC">
        <w:tc>
          <w:tcPr>
            <w:tcW w:w="5967"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Expenses</w:t>
            </w:r>
          </w:p>
        </w:tc>
        <w:tc>
          <w:tcPr>
            <w:tcW w:w="165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(104)</w:t>
            </w:r>
          </w:p>
        </w:tc>
        <w:tc>
          <w:tcPr>
            <w:tcW w:w="167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(128)</w:t>
            </w:r>
          </w:p>
        </w:tc>
        <w:tc>
          <w:tcPr>
            <w:tcW w:w="1257"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(103)</w:t>
            </w:r>
          </w:p>
        </w:tc>
      </w:tr>
      <w:tr w:rsidR="00676AFC">
        <w:tc>
          <w:tcPr>
            <w:tcW w:w="5967"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b/>
                <w:bCs/>
              </w:rPr>
            </w:pPr>
            <w:r>
              <w:rPr>
                <w:rFonts w:ascii="Arial" w:hAnsi="Arial" w:cs="Arial"/>
                <w:b/>
                <w:bCs/>
              </w:rPr>
              <w:t>Net investment loss allocated from BHGO</w:t>
            </w:r>
          </w:p>
        </w:tc>
        <w:tc>
          <w:tcPr>
            <w:tcW w:w="1656"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(101)</w:t>
            </w:r>
          </w:p>
        </w:tc>
        <w:tc>
          <w:tcPr>
            <w:tcW w:w="1676"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(108)</w:t>
            </w:r>
          </w:p>
        </w:tc>
        <w:tc>
          <w:tcPr>
            <w:tcW w:w="1257"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(92)</w:t>
            </w:r>
          </w:p>
        </w:tc>
      </w:tr>
      <w:tr w:rsidR="00676AFC">
        <w:tc>
          <w:tcPr>
            <w:tcW w:w="5967" w:type="dxa"/>
            <w:tcBorders>
              <w:top w:val="single" w:sz="4" w:space="0" w:color="auto"/>
            </w:tcBorders>
            <w:vAlign w:val="bottom"/>
          </w:tcPr>
          <w:p w:rsidR="00676AFC" w:rsidRDefault="00676AFC">
            <w:pPr>
              <w:pStyle w:val="TableStubIMS"/>
              <w:ind w:left="173" w:hanging="173"/>
              <w:rPr>
                <w:rFonts w:ascii="Arial" w:hAnsi="Arial" w:cs="Arial"/>
                <w:b/>
                <w:bCs/>
              </w:rPr>
            </w:pPr>
          </w:p>
        </w:tc>
        <w:tc>
          <w:tcPr>
            <w:tcW w:w="1656" w:type="dxa"/>
            <w:tcBorders>
              <w:top w:val="single" w:sz="4" w:space="0" w:color="auto"/>
            </w:tcBorders>
            <w:vAlign w:val="bottom"/>
          </w:tcPr>
          <w:p w:rsidR="00676AFC" w:rsidRDefault="00676AFC">
            <w:pPr>
              <w:pStyle w:val="TableColumnIMS"/>
              <w:rPr>
                <w:rFonts w:ascii="Arial" w:hAnsi="Arial" w:cs="Arial"/>
              </w:rPr>
            </w:pPr>
          </w:p>
        </w:tc>
        <w:tc>
          <w:tcPr>
            <w:tcW w:w="1676" w:type="dxa"/>
            <w:tcBorders>
              <w:top w:val="single" w:sz="4" w:space="0" w:color="auto"/>
            </w:tcBorders>
            <w:vAlign w:val="bottom"/>
          </w:tcPr>
          <w:p w:rsidR="00676AFC" w:rsidRDefault="00676AFC">
            <w:pPr>
              <w:pStyle w:val="TableColumnIMS"/>
              <w:rPr>
                <w:rFonts w:ascii="Arial" w:hAnsi="Arial" w:cs="Arial"/>
              </w:rPr>
            </w:pPr>
          </w:p>
        </w:tc>
        <w:tc>
          <w:tcPr>
            <w:tcW w:w="1257" w:type="dxa"/>
            <w:tcBorders>
              <w:top w:val="single" w:sz="4" w:space="0" w:color="auto"/>
            </w:tcBorders>
            <w:vAlign w:val="bottom"/>
          </w:tcPr>
          <w:p w:rsidR="00676AFC" w:rsidRDefault="00676AFC">
            <w:pPr>
              <w:pStyle w:val="TableColumnIMS"/>
              <w:rPr>
                <w:rFonts w:ascii="Arial" w:hAnsi="Arial" w:cs="Arial"/>
              </w:rPr>
            </w:pPr>
          </w:p>
        </w:tc>
      </w:tr>
      <w:tr w:rsidR="00676AFC">
        <w:tc>
          <w:tcPr>
            <w:tcW w:w="5967" w:type="dxa"/>
            <w:tcBorders>
              <w:bottom w:val="single" w:sz="4" w:space="0" w:color="auto"/>
            </w:tcBorders>
            <w:vAlign w:val="bottom"/>
          </w:tcPr>
          <w:p w:rsidR="00676AFC" w:rsidRDefault="00676AFC">
            <w:pPr>
              <w:pStyle w:val="TableStubIMS"/>
              <w:ind w:left="173" w:hanging="173"/>
              <w:rPr>
                <w:rFonts w:ascii="Arial" w:hAnsi="Arial" w:cs="Arial"/>
                <w:b/>
                <w:bCs/>
              </w:rPr>
            </w:pPr>
            <w:r>
              <w:rPr>
                <w:rFonts w:ascii="Arial" w:hAnsi="Arial" w:cs="Arial"/>
                <w:b/>
                <w:bCs/>
              </w:rPr>
              <w:t>Company income</w:t>
            </w:r>
          </w:p>
        </w:tc>
        <w:tc>
          <w:tcPr>
            <w:tcW w:w="1656" w:type="dxa"/>
            <w:tcBorders>
              <w:bottom w:val="single" w:sz="4" w:space="0" w:color="auto"/>
            </w:tcBorders>
            <w:vAlign w:val="bottom"/>
          </w:tcPr>
          <w:p w:rsidR="00676AFC" w:rsidRDefault="00676AFC">
            <w:pPr>
              <w:pStyle w:val="TableColumnIMS"/>
              <w:rPr>
                <w:rFonts w:ascii="Arial" w:hAnsi="Arial" w:cs="Arial"/>
              </w:rPr>
            </w:pPr>
          </w:p>
        </w:tc>
        <w:tc>
          <w:tcPr>
            <w:tcW w:w="1676" w:type="dxa"/>
            <w:tcBorders>
              <w:bottom w:val="single" w:sz="4" w:space="0" w:color="auto"/>
            </w:tcBorders>
            <w:vAlign w:val="bottom"/>
          </w:tcPr>
          <w:p w:rsidR="00676AFC" w:rsidRDefault="00676AFC">
            <w:pPr>
              <w:pStyle w:val="TableColumnIMS"/>
              <w:rPr>
                <w:rFonts w:ascii="Arial" w:hAnsi="Arial" w:cs="Arial"/>
              </w:rPr>
            </w:pPr>
          </w:p>
        </w:tc>
        <w:tc>
          <w:tcPr>
            <w:tcW w:w="1257" w:type="dxa"/>
            <w:tcBorders>
              <w:bottom w:val="single" w:sz="4" w:space="0" w:color="auto"/>
            </w:tcBorders>
            <w:vAlign w:val="bottom"/>
          </w:tcPr>
          <w:p w:rsidR="00676AFC" w:rsidRDefault="00676AFC">
            <w:pPr>
              <w:pStyle w:val="TableColumnIMS"/>
              <w:rPr>
                <w:rFonts w:ascii="Arial" w:hAnsi="Arial" w:cs="Arial"/>
              </w:rPr>
            </w:pPr>
          </w:p>
        </w:tc>
      </w:tr>
      <w:tr w:rsidR="00676AFC">
        <w:tc>
          <w:tcPr>
            <w:tcW w:w="5967"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Interest income</w:t>
            </w:r>
          </w:p>
        </w:tc>
        <w:tc>
          <w:tcPr>
            <w:tcW w:w="165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w:t>
            </w:r>
          </w:p>
        </w:tc>
        <w:tc>
          <w:tcPr>
            <w:tcW w:w="167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w:t>
            </w:r>
          </w:p>
        </w:tc>
        <w:tc>
          <w:tcPr>
            <w:tcW w:w="1257"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w:t>
            </w:r>
          </w:p>
        </w:tc>
      </w:tr>
      <w:tr w:rsidR="00676AFC">
        <w:tc>
          <w:tcPr>
            <w:tcW w:w="5967"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Foreign exchange gains (note 3)</w:t>
            </w:r>
          </w:p>
        </w:tc>
        <w:tc>
          <w:tcPr>
            <w:tcW w:w="165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14,100</w:t>
            </w:r>
          </w:p>
        </w:tc>
        <w:tc>
          <w:tcPr>
            <w:tcW w:w="167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w:t>
            </w:r>
          </w:p>
        </w:tc>
        <w:tc>
          <w:tcPr>
            <w:tcW w:w="1257"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33,277</w:t>
            </w:r>
          </w:p>
        </w:tc>
      </w:tr>
      <w:tr w:rsidR="00676AFC">
        <w:tc>
          <w:tcPr>
            <w:tcW w:w="5967"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b/>
                <w:bCs/>
              </w:rPr>
            </w:pPr>
            <w:r>
              <w:rPr>
                <w:rFonts w:ascii="Arial" w:hAnsi="Arial" w:cs="Arial"/>
                <w:b/>
                <w:bCs/>
              </w:rPr>
              <w:t>Total Company income</w:t>
            </w:r>
          </w:p>
        </w:tc>
        <w:tc>
          <w:tcPr>
            <w:tcW w:w="1656"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14,100</w:t>
            </w:r>
          </w:p>
        </w:tc>
        <w:tc>
          <w:tcPr>
            <w:tcW w:w="1676"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1</w:t>
            </w:r>
          </w:p>
        </w:tc>
        <w:tc>
          <w:tcPr>
            <w:tcW w:w="1257"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33,277</w:t>
            </w:r>
          </w:p>
        </w:tc>
      </w:tr>
      <w:tr w:rsidR="00676AFC">
        <w:tc>
          <w:tcPr>
            <w:tcW w:w="5967" w:type="dxa"/>
            <w:tcBorders>
              <w:top w:val="single" w:sz="4" w:space="0" w:color="auto"/>
            </w:tcBorders>
            <w:vAlign w:val="bottom"/>
          </w:tcPr>
          <w:p w:rsidR="00676AFC" w:rsidRDefault="00676AFC">
            <w:pPr>
              <w:pStyle w:val="TableStubIMS"/>
              <w:ind w:left="173" w:hanging="173"/>
              <w:rPr>
                <w:rFonts w:ascii="Arial" w:hAnsi="Arial" w:cs="Arial"/>
              </w:rPr>
            </w:pPr>
          </w:p>
        </w:tc>
        <w:tc>
          <w:tcPr>
            <w:tcW w:w="1656" w:type="dxa"/>
            <w:tcBorders>
              <w:top w:val="single" w:sz="4" w:space="0" w:color="auto"/>
            </w:tcBorders>
            <w:vAlign w:val="bottom"/>
          </w:tcPr>
          <w:p w:rsidR="00676AFC" w:rsidRDefault="00676AFC">
            <w:pPr>
              <w:pStyle w:val="TableColumnIMS"/>
              <w:rPr>
                <w:rFonts w:ascii="Arial" w:hAnsi="Arial" w:cs="Arial"/>
              </w:rPr>
            </w:pPr>
          </w:p>
        </w:tc>
        <w:tc>
          <w:tcPr>
            <w:tcW w:w="1676" w:type="dxa"/>
            <w:tcBorders>
              <w:top w:val="single" w:sz="4" w:space="0" w:color="auto"/>
            </w:tcBorders>
            <w:vAlign w:val="bottom"/>
          </w:tcPr>
          <w:p w:rsidR="00676AFC" w:rsidRDefault="00676AFC">
            <w:pPr>
              <w:pStyle w:val="TableColumnIMS"/>
              <w:rPr>
                <w:rFonts w:ascii="Arial" w:hAnsi="Arial" w:cs="Arial"/>
              </w:rPr>
            </w:pPr>
          </w:p>
        </w:tc>
        <w:tc>
          <w:tcPr>
            <w:tcW w:w="1257" w:type="dxa"/>
            <w:tcBorders>
              <w:top w:val="single" w:sz="4" w:space="0" w:color="auto"/>
            </w:tcBorders>
            <w:vAlign w:val="bottom"/>
          </w:tcPr>
          <w:p w:rsidR="00676AFC" w:rsidRDefault="00676AFC">
            <w:pPr>
              <w:pStyle w:val="TableColumnIMS"/>
              <w:rPr>
                <w:rFonts w:ascii="Arial" w:hAnsi="Arial" w:cs="Arial"/>
              </w:rPr>
            </w:pPr>
          </w:p>
        </w:tc>
      </w:tr>
      <w:tr w:rsidR="00676AFC">
        <w:tc>
          <w:tcPr>
            <w:tcW w:w="5967" w:type="dxa"/>
            <w:tcBorders>
              <w:bottom w:val="single" w:sz="4" w:space="0" w:color="auto"/>
            </w:tcBorders>
            <w:vAlign w:val="bottom"/>
          </w:tcPr>
          <w:p w:rsidR="00676AFC" w:rsidRDefault="00676AFC">
            <w:pPr>
              <w:pStyle w:val="TableStubIMS"/>
              <w:ind w:left="173" w:hanging="173"/>
              <w:rPr>
                <w:rFonts w:ascii="Arial" w:hAnsi="Arial" w:cs="Arial"/>
                <w:b/>
                <w:bCs/>
              </w:rPr>
            </w:pPr>
            <w:r>
              <w:rPr>
                <w:rFonts w:ascii="Arial" w:hAnsi="Arial" w:cs="Arial"/>
                <w:b/>
                <w:bCs/>
              </w:rPr>
              <w:t>Company expenses</w:t>
            </w:r>
          </w:p>
        </w:tc>
        <w:tc>
          <w:tcPr>
            <w:tcW w:w="1656" w:type="dxa"/>
            <w:tcBorders>
              <w:bottom w:val="single" w:sz="4" w:space="0" w:color="auto"/>
            </w:tcBorders>
            <w:vAlign w:val="bottom"/>
          </w:tcPr>
          <w:p w:rsidR="00676AFC" w:rsidRDefault="00676AFC">
            <w:pPr>
              <w:pStyle w:val="TableColumnIMS"/>
              <w:rPr>
                <w:rFonts w:ascii="Arial" w:hAnsi="Arial" w:cs="Arial"/>
              </w:rPr>
            </w:pPr>
          </w:p>
        </w:tc>
        <w:tc>
          <w:tcPr>
            <w:tcW w:w="1676" w:type="dxa"/>
            <w:tcBorders>
              <w:bottom w:val="single" w:sz="4" w:space="0" w:color="auto"/>
            </w:tcBorders>
            <w:vAlign w:val="bottom"/>
          </w:tcPr>
          <w:p w:rsidR="00676AFC" w:rsidRDefault="00676AFC">
            <w:pPr>
              <w:pStyle w:val="TableColumnIMS"/>
              <w:rPr>
                <w:rFonts w:ascii="Arial" w:hAnsi="Arial" w:cs="Arial"/>
              </w:rPr>
            </w:pPr>
          </w:p>
        </w:tc>
        <w:tc>
          <w:tcPr>
            <w:tcW w:w="1257" w:type="dxa"/>
            <w:tcBorders>
              <w:bottom w:val="single" w:sz="4" w:space="0" w:color="auto"/>
            </w:tcBorders>
            <w:vAlign w:val="bottom"/>
          </w:tcPr>
          <w:p w:rsidR="00676AFC" w:rsidRDefault="00676AFC">
            <w:pPr>
              <w:pStyle w:val="TableColumnIMS"/>
              <w:rPr>
                <w:rFonts w:ascii="Arial" w:hAnsi="Arial" w:cs="Arial"/>
              </w:rPr>
            </w:pPr>
          </w:p>
        </w:tc>
      </w:tr>
      <w:tr w:rsidR="00676AFC">
        <w:tc>
          <w:tcPr>
            <w:tcW w:w="5967"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Management fees (note 4)</w:t>
            </w:r>
          </w:p>
        </w:tc>
        <w:tc>
          <w:tcPr>
            <w:tcW w:w="165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2,571</w:t>
            </w:r>
          </w:p>
        </w:tc>
        <w:tc>
          <w:tcPr>
            <w:tcW w:w="167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5,146</w:t>
            </w:r>
          </w:p>
        </w:tc>
        <w:tc>
          <w:tcPr>
            <w:tcW w:w="1257"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2,532</w:t>
            </w:r>
          </w:p>
        </w:tc>
      </w:tr>
      <w:tr w:rsidR="00676AFC">
        <w:tc>
          <w:tcPr>
            <w:tcW w:w="5967"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Other expenses</w:t>
            </w:r>
          </w:p>
        </w:tc>
        <w:tc>
          <w:tcPr>
            <w:tcW w:w="165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766</w:t>
            </w:r>
          </w:p>
        </w:tc>
        <w:tc>
          <w:tcPr>
            <w:tcW w:w="167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945</w:t>
            </w:r>
          </w:p>
        </w:tc>
        <w:tc>
          <w:tcPr>
            <w:tcW w:w="1257"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404</w:t>
            </w:r>
          </w:p>
        </w:tc>
      </w:tr>
      <w:tr w:rsidR="00676AFC">
        <w:tc>
          <w:tcPr>
            <w:tcW w:w="5967"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Directors’ fees (note 5)</w:t>
            </w:r>
          </w:p>
        </w:tc>
        <w:tc>
          <w:tcPr>
            <w:tcW w:w="165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232</w:t>
            </w:r>
          </w:p>
        </w:tc>
        <w:tc>
          <w:tcPr>
            <w:tcW w:w="167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463</w:t>
            </w:r>
          </w:p>
        </w:tc>
        <w:tc>
          <w:tcPr>
            <w:tcW w:w="1257"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230</w:t>
            </w:r>
          </w:p>
        </w:tc>
      </w:tr>
      <w:tr w:rsidR="00676AFC">
        <w:tc>
          <w:tcPr>
            <w:tcW w:w="5967"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Administration fees (note 4)</w:t>
            </w:r>
          </w:p>
        </w:tc>
        <w:tc>
          <w:tcPr>
            <w:tcW w:w="165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178</w:t>
            </w:r>
          </w:p>
        </w:tc>
        <w:tc>
          <w:tcPr>
            <w:tcW w:w="167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355</w:t>
            </w:r>
          </w:p>
        </w:tc>
        <w:tc>
          <w:tcPr>
            <w:tcW w:w="1257"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174</w:t>
            </w:r>
          </w:p>
        </w:tc>
      </w:tr>
      <w:tr w:rsidR="00676AFC">
        <w:tc>
          <w:tcPr>
            <w:tcW w:w="5967"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Foreign exchange losses (note 3)</w:t>
            </w:r>
          </w:p>
        </w:tc>
        <w:tc>
          <w:tcPr>
            <w:tcW w:w="165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w:t>
            </w:r>
          </w:p>
        </w:tc>
        <w:tc>
          <w:tcPr>
            <w:tcW w:w="167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5,541</w:t>
            </w:r>
          </w:p>
        </w:tc>
        <w:tc>
          <w:tcPr>
            <w:tcW w:w="1257"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w:t>
            </w:r>
          </w:p>
        </w:tc>
      </w:tr>
      <w:tr w:rsidR="00676AFC">
        <w:tc>
          <w:tcPr>
            <w:tcW w:w="5967"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b/>
                <w:bCs/>
              </w:rPr>
            </w:pPr>
            <w:r>
              <w:rPr>
                <w:rFonts w:ascii="Arial" w:hAnsi="Arial" w:cs="Arial"/>
                <w:b/>
                <w:bCs/>
              </w:rPr>
              <w:t>Total Company expenses</w:t>
            </w:r>
          </w:p>
        </w:tc>
        <w:tc>
          <w:tcPr>
            <w:tcW w:w="1656"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3,747</w:t>
            </w:r>
          </w:p>
        </w:tc>
        <w:tc>
          <w:tcPr>
            <w:tcW w:w="1676"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12,450</w:t>
            </w:r>
          </w:p>
        </w:tc>
        <w:tc>
          <w:tcPr>
            <w:tcW w:w="1257"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3,340</w:t>
            </w:r>
          </w:p>
        </w:tc>
      </w:tr>
      <w:tr w:rsidR="00676AFC">
        <w:tc>
          <w:tcPr>
            <w:tcW w:w="5967" w:type="dxa"/>
            <w:tcBorders>
              <w:top w:val="single" w:sz="4" w:space="0" w:color="auto"/>
            </w:tcBorders>
            <w:vAlign w:val="bottom"/>
          </w:tcPr>
          <w:p w:rsidR="00676AFC" w:rsidRDefault="00676AFC">
            <w:pPr>
              <w:pStyle w:val="TableStubIMS"/>
              <w:ind w:left="173" w:hanging="173"/>
              <w:rPr>
                <w:rFonts w:ascii="Arial" w:hAnsi="Arial" w:cs="Arial"/>
              </w:rPr>
            </w:pPr>
          </w:p>
        </w:tc>
        <w:tc>
          <w:tcPr>
            <w:tcW w:w="1656" w:type="dxa"/>
            <w:tcBorders>
              <w:top w:val="single" w:sz="4" w:space="0" w:color="auto"/>
            </w:tcBorders>
            <w:vAlign w:val="bottom"/>
          </w:tcPr>
          <w:p w:rsidR="00676AFC" w:rsidRDefault="00676AFC">
            <w:pPr>
              <w:pStyle w:val="TableColumnIMS"/>
              <w:rPr>
                <w:rFonts w:ascii="Arial" w:hAnsi="Arial" w:cs="Arial"/>
              </w:rPr>
            </w:pPr>
          </w:p>
        </w:tc>
        <w:tc>
          <w:tcPr>
            <w:tcW w:w="1676" w:type="dxa"/>
            <w:tcBorders>
              <w:top w:val="single" w:sz="4" w:space="0" w:color="auto"/>
            </w:tcBorders>
            <w:vAlign w:val="bottom"/>
          </w:tcPr>
          <w:p w:rsidR="00676AFC" w:rsidRDefault="00676AFC">
            <w:pPr>
              <w:pStyle w:val="TableColumnIMS"/>
              <w:rPr>
                <w:rFonts w:ascii="Arial" w:hAnsi="Arial" w:cs="Arial"/>
              </w:rPr>
            </w:pPr>
          </w:p>
        </w:tc>
        <w:tc>
          <w:tcPr>
            <w:tcW w:w="1257" w:type="dxa"/>
            <w:tcBorders>
              <w:top w:val="single" w:sz="4" w:space="0" w:color="auto"/>
            </w:tcBorders>
            <w:vAlign w:val="bottom"/>
          </w:tcPr>
          <w:p w:rsidR="00676AFC" w:rsidRDefault="00676AFC">
            <w:pPr>
              <w:pStyle w:val="TableColumnIMS"/>
              <w:rPr>
                <w:rFonts w:ascii="Arial" w:hAnsi="Arial" w:cs="Arial"/>
              </w:rPr>
            </w:pPr>
          </w:p>
        </w:tc>
      </w:tr>
      <w:tr w:rsidR="00676AFC">
        <w:tc>
          <w:tcPr>
            <w:tcW w:w="5967" w:type="dxa"/>
            <w:tcBorders>
              <w:bottom w:val="single" w:sz="4" w:space="0" w:color="auto"/>
            </w:tcBorders>
            <w:vAlign w:val="bottom"/>
          </w:tcPr>
          <w:p w:rsidR="00676AFC" w:rsidRDefault="00676AFC">
            <w:pPr>
              <w:pStyle w:val="TableStubIMS"/>
              <w:ind w:left="173" w:hanging="173"/>
              <w:rPr>
                <w:rFonts w:ascii="Arial" w:hAnsi="Arial" w:cs="Arial"/>
                <w:b/>
                <w:bCs/>
              </w:rPr>
            </w:pPr>
            <w:r>
              <w:rPr>
                <w:rFonts w:ascii="Arial" w:hAnsi="Arial" w:cs="Arial"/>
                <w:b/>
                <w:bCs/>
              </w:rPr>
              <w:t>Net investment gain/(loss)</w:t>
            </w:r>
          </w:p>
        </w:tc>
        <w:tc>
          <w:tcPr>
            <w:tcW w:w="1656" w:type="dxa"/>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10,252</w:t>
            </w:r>
          </w:p>
        </w:tc>
        <w:tc>
          <w:tcPr>
            <w:tcW w:w="1676" w:type="dxa"/>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(12,557)</w:t>
            </w:r>
          </w:p>
        </w:tc>
        <w:tc>
          <w:tcPr>
            <w:tcW w:w="1257" w:type="dxa"/>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29,845</w:t>
            </w:r>
          </w:p>
        </w:tc>
      </w:tr>
      <w:tr w:rsidR="00676AFC">
        <w:tc>
          <w:tcPr>
            <w:tcW w:w="5967" w:type="dxa"/>
            <w:tcBorders>
              <w:top w:val="single" w:sz="4" w:space="0" w:color="auto"/>
            </w:tcBorders>
            <w:vAlign w:val="bottom"/>
          </w:tcPr>
          <w:p w:rsidR="00676AFC" w:rsidRDefault="00676AFC">
            <w:pPr>
              <w:pStyle w:val="TableStubIMS"/>
              <w:ind w:left="173" w:hanging="173"/>
              <w:rPr>
                <w:rFonts w:ascii="Arial" w:hAnsi="Arial" w:cs="Arial"/>
              </w:rPr>
            </w:pPr>
          </w:p>
        </w:tc>
        <w:tc>
          <w:tcPr>
            <w:tcW w:w="1656" w:type="dxa"/>
            <w:tcBorders>
              <w:top w:val="single" w:sz="4" w:space="0" w:color="auto"/>
            </w:tcBorders>
            <w:vAlign w:val="bottom"/>
          </w:tcPr>
          <w:p w:rsidR="00676AFC" w:rsidRDefault="00676AFC">
            <w:pPr>
              <w:pStyle w:val="TableColumnIMS"/>
              <w:rPr>
                <w:rFonts w:ascii="Arial" w:hAnsi="Arial" w:cs="Arial"/>
              </w:rPr>
            </w:pPr>
          </w:p>
        </w:tc>
        <w:tc>
          <w:tcPr>
            <w:tcW w:w="1676" w:type="dxa"/>
            <w:tcBorders>
              <w:top w:val="single" w:sz="4" w:space="0" w:color="auto"/>
            </w:tcBorders>
            <w:vAlign w:val="bottom"/>
          </w:tcPr>
          <w:p w:rsidR="00676AFC" w:rsidRDefault="00676AFC">
            <w:pPr>
              <w:pStyle w:val="TableColumnIMS"/>
              <w:rPr>
                <w:rFonts w:ascii="Arial" w:hAnsi="Arial" w:cs="Arial"/>
              </w:rPr>
            </w:pPr>
          </w:p>
        </w:tc>
        <w:tc>
          <w:tcPr>
            <w:tcW w:w="1257" w:type="dxa"/>
            <w:tcBorders>
              <w:top w:val="single" w:sz="4" w:space="0" w:color="auto"/>
            </w:tcBorders>
            <w:vAlign w:val="bottom"/>
          </w:tcPr>
          <w:p w:rsidR="00676AFC" w:rsidRDefault="00676AFC">
            <w:pPr>
              <w:pStyle w:val="TableColumnIMS"/>
              <w:rPr>
                <w:rFonts w:ascii="Arial" w:hAnsi="Arial" w:cs="Arial"/>
              </w:rPr>
            </w:pPr>
          </w:p>
        </w:tc>
      </w:tr>
      <w:tr w:rsidR="00676AFC">
        <w:tc>
          <w:tcPr>
            <w:tcW w:w="5967" w:type="dxa"/>
            <w:tcBorders>
              <w:bottom w:val="single" w:sz="4" w:space="0" w:color="auto"/>
            </w:tcBorders>
            <w:vAlign w:val="bottom"/>
          </w:tcPr>
          <w:p w:rsidR="00676AFC" w:rsidRDefault="00676AFC">
            <w:pPr>
              <w:pStyle w:val="TableStubIMS"/>
              <w:ind w:left="173" w:hanging="173"/>
              <w:rPr>
                <w:rFonts w:ascii="Arial" w:hAnsi="Arial" w:cs="Arial"/>
                <w:b/>
                <w:bCs/>
              </w:rPr>
            </w:pPr>
            <w:r>
              <w:rPr>
                <w:rFonts w:ascii="Arial" w:hAnsi="Arial" w:cs="Arial"/>
                <w:b/>
                <w:bCs/>
              </w:rPr>
              <w:t>Net</w:t>
            </w:r>
            <w:r w:rsidRPr="00BB79C3">
              <w:rPr>
                <w:rFonts w:ascii="Arial" w:hAnsi="Arial" w:cs="Arial"/>
                <w:b/>
                <w:bCs/>
                <w:lang w:val="en-GB"/>
              </w:rPr>
              <w:t xml:space="preserve"> realised</w:t>
            </w:r>
            <w:r>
              <w:rPr>
                <w:rFonts w:ascii="Arial" w:hAnsi="Arial" w:cs="Arial"/>
                <w:b/>
                <w:bCs/>
              </w:rPr>
              <w:t xml:space="preserve"> and </w:t>
            </w:r>
            <w:proofErr w:type="spellStart"/>
            <w:r>
              <w:rPr>
                <w:rFonts w:ascii="Arial" w:hAnsi="Arial" w:cs="Arial"/>
                <w:b/>
                <w:bCs/>
              </w:rPr>
              <w:t>unrealised</w:t>
            </w:r>
            <w:proofErr w:type="spellEnd"/>
            <w:r>
              <w:rPr>
                <w:rFonts w:ascii="Arial" w:hAnsi="Arial" w:cs="Arial"/>
                <w:b/>
                <w:bCs/>
              </w:rPr>
              <w:t xml:space="preserve"> losses and gains on investments allocated from BHGO</w:t>
            </w:r>
          </w:p>
        </w:tc>
        <w:tc>
          <w:tcPr>
            <w:tcW w:w="1656" w:type="dxa"/>
            <w:tcBorders>
              <w:bottom w:val="single" w:sz="4" w:space="0" w:color="auto"/>
            </w:tcBorders>
            <w:vAlign w:val="bottom"/>
          </w:tcPr>
          <w:p w:rsidR="00676AFC" w:rsidRDefault="00676AFC">
            <w:pPr>
              <w:pStyle w:val="TableColumnIMS"/>
              <w:rPr>
                <w:rFonts w:ascii="Arial" w:hAnsi="Arial" w:cs="Arial"/>
                <w:b/>
                <w:bCs/>
              </w:rPr>
            </w:pPr>
          </w:p>
        </w:tc>
        <w:tc>
          <w:tcPr>
            <w:tcW w:w="1676" w:type="dxa"/>
            <w:tcBorders>
              <w:bottom w:val="single" w:sz="4" w:space="0" w:color="auto"/>
            </w:tcBorders>
            <w:vAlign w:val="bottom"/>
          </w:tcPr>
          <w:p w:rsidR="00676AFC" w:rsidRDefault="00676AFC">
            <w:pPr>
              <w:pStyle w:val="TableColumnIMS"/>
              <w:rPr>
                <w:rFonts w:ascii="Arial" w:hAnsi="Arial" w:cs="Arial"/>
                <w:b/>
                <w:bCs/>
              </w:rPr>
            </w:pPr>
          </w:p>
        </w:tc>
        <w:tc>
          <w:tcPr>
            <w:tcW w:w="1257" w:type="dxa"/>
            <w:tcBorders>
              <w:bottom w:val="single" w:sz="4" w:space="0" w:color="auto"/>
            </w:tcBorders>
            <w:vAlign w:val="bottom"/>
          </w:tcPr>
          <w:p w:rsidR="00676AFC" w:rsidRDefault="00676AFC">
            <w:pPr>
              <w:pStyle w:val="TableColumnIMS"/>
              <w:rPr>
                <w:rFonts w:ascii="Arial" w:hAnsi="Arial" w:cs="Arial"/>
                <w:b/>
                <w:bCs/>
              </w:rPr>
            </w:pPr>
          </w:p>
        </w:tc>
      </w:tr>
      <w:tr w:rsidR="00676AFC">
        <w:tc>
          <w:tcPr>
            <w:tcW w:w="5967"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Net</w:t>
            </w:r>
            <w:r w:rsidRPr="00BB79C3">
              <w:rPr>
                <w:rFonts w:ascii="Arial" w:hAnsi="Arial" w:cs="Arial"/>
                <w:lang w:val="en-GB"/>
              </w:rPr>
              <w:t xml:space="preserve"> realised</w:t>
            </w:r>
            <w:r>
              <w:rPr>
                <w:rFonts w:ascii="Arial" w:hAnsi="Arial" w:cs="Arial"/>
              </w:rPr>
              <w:t xml:space="preserve"> gain on investments</w:t>
            </w:r>
          </w:p>
        </w:tc>
        <w:tc>
          <w:tcPr>
            <w:tcW w:w="165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8,320</w:t>
            </w:r>
          </w:p>
        </w:tc>
        <w:tc>
          <w:tcPr>
            <w:tcW w:w="167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21,210</w:t>
            </w:r>
          </w:p>
        </w:tc>
        <w:tc>
          <w:tcPr>
            <w:tcW w:w="1257"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15,217</w:t>
            </w:r>
          </w:p>
        </w:tc>
      </w:tr>
      <w:tr w:rsidR="00676AFC">
        <w:tc>
          <w:tcPr>
            <w:tcW w:w="5967"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 xml:space="preserve">Net </w:t>
            </w:r>
            <w:proofErr w:type="spellStart"/>
            <w:r>
              <w:rPr>
                <w:rFonts w:ascii="Arial" w:hAnsi="Arial" w:cs="Arial"/>
              </w:rPr>
              <w:t>unrealised</w:t>
            </w:r>
            <w:proofErr w:type="spellEnd"/>
            <w:r>
              <w:rPr>
                <w:rFonts w:ascii="Arial" w:hAnsi="Arial" w:cs="Arial"/>
              </w:rPr>
              <w:t xml:space="preserve"> gain on investments</w:t>
            </w:r>
          </w:p>
        </w:tc>
        <w:tc>
          <w:tcPr>
            <w:tcW w:w="165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1,948</w:t>
            </w:r>
          </w:p>
        </w:tc>
        <w:tc>
          <w:tcPr>
            <w:tcW w:w="167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18,679</w:t>
            </w:r>
          </w:p>
        </w:tc>
        <w:tc>
          <w:tcPr>
            <w:tcW w:w="1257"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34,036</w:t>
            </w:r>
          </w:p>
        </w:tc>
      </w:tr>
      <w:tr w:rsidR="00676AFC">
        <w:tc>
          <w:tcPr>
            <w:tcW w:w="5967"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Net</w:t>
            </w:r>
            <w:r w:rsidRPr="00BB79C3">
              <w:rPr>
                <w:rFonts w:ascii="Arial" w:hAnsi="Arial" w:cs="Arial"/>
                <w:lang w:val="en-GB"/>
              </w:rPr>
              <w:t xml:space="preserve"> realised</w:t>
            </w:r>
            <w:r>
              <w:rPr>
                <w:rFonts w:ascii="Arial" w:hAnsi="Arial" w:cs="Arial"/>
              </w:rPr>
              <w:t xml:space="preserve"> and </w:t>
            </w:r>
            <w:proofErr w:type="spellStart"/>
            <w:r>
              <w:rPr>
                <w:rFonts w:ascii="Arial" w:hAnsi="Arial" w:cs="Arial"/>
              </w:rPr>
              <w:t>unrealised</w:t>
            </w:r>
            <w:proofErr w:type="spellEnd"/>
            <w:r>
              <w:rPr>
                <w:rFonts w:ascii="Arial" w:hAnsi="Arial" w:cs="Arial"/>
              </w:rPr>
              <w:t xml:space="preserve"> foreign exchange (loss)/gain</w:t>
            </w:r>
          </w:p>
        </w:tc>
        <w:tc>
          <w:tcPr>
            <w:tcW w:w="1656" w:type="dxa"/>
            <w:tcBorders>
              <w:top w:val="single" w:sz="4" w:space="0" w:color="auto"/>
              <w:bottom w:val="single" w:sz="4" w:space="0" w:color="auto"/>
            </w:tcBorders>
            <w:vAlign w:val="bottom"/>
          </w:tcPr>
          <w:p w:rsidR="00676AFC" w:rsidRDefault="00676AFC">
            <w:pPr>
              <w:pStyle w:val="TableColumnIMS"/>
              <w:rPr>
                <w:rFonts w:ascii="Arial" w:hAnsi="Arial" w:cs="Arial"/>
              </w:rPr>
            </w:pPr>
          </w:p>
        </w:tc>
        <w:tc>
          <w:tcPr>
            <w:tcW w:w="1676" w:type="dxa"/>
            <w:tcBorders>
              <w:top w:val="single" w:sz="4" w:space="0" w:color="auto"/>
              <w:bottom w:val="single" w:sz="4" w:space="0" w:color="auto"/>
            </w:tcBorders>
            <w:vAlign w:val="bottom"/>
          </w:tcPr>
          <w:p w:rsidR="00676AFC" w:rsidRDefault="00676AFC">
            <w:pPr>
              <w:pStyle w:val="TableColumnIMS"/>
              <w:rPr>
                <w:rFonts w:ascii="Arial" w:hAnsi="Arial" w:cs="Arial"/>
              </w:rPr>
            </w:pPr>
          </w:p>
        </w:tc>
        <w:tc>
          <w:tcPr>
            <w:tcW w:w="1257" w:type="dxa"/>
            <w:tcBorders>
              <w:top w:val="single" w:sz="4" w:space="0" w:color="auto"/>
              <w:bottom w:val="single" w:sz="4" w:space="0" w:color="auto"/>
            </w:tcBorders>
            <w:vAlign w:val="bottom"/>
          </w:tcPr>
          <w:p w:rsidR="00676AFC" w:rsidRDefault="00676AFC">
            <w:pPr>
              <w:pStyle w:val="TableColumnIMS"/>
              <w:rPr>
                <w:rFonts w:ascii="Arial" w:hAnsi="Arial" w:cs="Arial"/>
              </w:rPr>
            </w:pPr>
          </w:p>
        </w:tc>
      </w:tr>
      <w:tr w:rsidR="00676AFC">
        <w:tc>
          <w:tcPr>
            <w:tcW w:w="5967"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 on hedging</w:t>
            </w:r>
          </w:p>
        </w:tc>
        <w:tc>
          <w:tcPr>
            <w:tcW w:w="165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(33)</w:t>
            </w:r>
          </w:p>
        </w:tc>
        <w:tc>
          <w:tcPr>
            <w:tcW w:w="167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(19)</w:t>
            </w:r>
          </w:p>
        </w:tc>
        <w:tc>
          <w:tcPr>
            <w:tcW w:w="1257"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(54)</w:t>
            </w:r>
          </w:p>
        </w:tc>
      </w:tr>
      <w:tr w:rsidR="00676AFC">
        <w:tc>
          <w:tcPr>
            <w:tcW w:w="5967"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 on capital (note 3)</w:t>
            </w:r>
          </w:p>
        </w:tc>
        <w:tc>
          <w:tcPr>
            <w:tcW w:w="165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(12,164)</w:t>
            </w:r>
          </w:p>
        </w:tc>
        <w:tc>
          <w:tcPr>
            <w:tcW w:w="1676"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11,834</w:t>
            </w:r>
          </w:p>
        </w:tc>
        <w:tc>
          <w:tcPr>
            <w:tcW w:w="1257"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(31,768)</w:t>
            </w:r>
          </w:p>
        </w:tc>
      </w:tr>
      <w:tr w:rsidR="00676AFC">
        <w:tc>
          <w:tcPr>
            <w:tcW w:w="5967"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b/>
                <w:bCs/>
              </w:rPr>
            </w:pPr>
            <w:r>
              <w:rPr>
                <w:rFonts w:ascii="Arial" w:hAnsi="Arial" w:cs="Arial"/>
                <w:b/>
                <w:bCs/>
              </w:rPr>
              <w:t xml:space="preserve">Net </w:t>
            </w:r>
            <w:proofErr w:type="spellStart"/>
            <w:r>
              <w:rPr>
                <w:rFonts w:ascii="Arial" w:hAnsi="Arial" w:cs="Arial"/>
                <w:b/>
                <w:bCs/>
              </w:rPr>
              <w:t>realised</w:t>
            </w:r>
            <w:proofErr w:type="spellEnd"/>
            <w:r>
              <w:rPr>
                <w:rFonts w:ascii="Arial" w:hAnsi="Arial" w:cs="Arial"/>
                <w:b/>
                <w:bCs/>
              </w:rPr>
              <w:t xml:space="preserve"> and </w:t>
            </w:r>
            <w:proofErr w:type="spellStart"/>
            <w:r>
              <w:rPr>
                <w:rFonts w:ascii="Arial" w:hAnsi="Arial" w:cs="Arial"/>
                <w:b/>
                <w:bCs/>
              </w:rPr>
              <w:t>unrealised</w:t>
            </w:r>
            <w:proofErr w:type="spellEnd"/>
            <w:r>
              <w:rPr>
                <w:rFonts w:ascii="Arial" w:hAnsi="Arial" w:cs="Arial"/>
                <w:b/>
                <w:bCs/>
              </w:rPr>
              <w:t xml:space="preserve"> losses and gains on investments allocated from BHGO</w:t>
            </w:r>
          </w:p>
        </w:tc>
        <w:tc>
          <w:tcPr>
            <w:tcW w:w="1656"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(1,929)</w:t>
            </w:r>
          </w:p>
        </w:tc>
        <w:tc>
          <w:tcPr>
            <w:tcW w:w="1676"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51,704</w:t>
            </w:r>
          </w:p>
        </w:tc>
        <w:tc>
          <w:tcPr>
            <w:tcW w:w="1257"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17,431</w:t>
            </w:r>
          </w:p>
        </w:tc>
      </w:tr>
      <w:tr w:rsidR="00676AFC">
        <w:tc>
          <w:tcPr>
            <w:tcW w:w="5967" w:type="dxa"/>
            <w:tcBorders>
              <w:top w:val="single" w:sz="4" w:space="0" w:color="auto"/>
            </w:tcBorders>
            <w:vAlign w:val="bottom"/>
          </w:tcPr>
          <w:p w:rsidR="00676AFC" w:rsidRDefault="00676AFC">
            <w:pPr>
              <w:pStyle w:val="TableStubIMS"/>
              <w:ind w:left="173" w:hanging="173"/>
              <w:rPr>
                <w:rFonts w:ascii="Arial" w:hAnsi="Arial" w:cs="Arial"/>
                <w:b/>
                <w:bCs/>
              </w:rPr>
            </w:pPr>
          </w:p>
        </w:tc>
        <w:tc>
          <w:tcPr>
            <w:tcW w:w="1656" w:type="dxa"/>
            <w:tcBorders>
              <w:top w:val="single" w:sz="4" w:space="0" w:color="auto"/>
            </w:tcBorders>
            <w:vAlign w:val="bottom"/>
          </w:tcPr>
          <w:p w:rsidR="00676AFC" w:rsidRDefault="00676AFC">
            <w:pPr>
              <w:pStyle w:val="TableColumnIMS"/>
              <w:rPr>
                <w:rFonts w:ascii="Arial" w:hAnsi="Arial" w:cs="Arial"/>
                <w:b/>
                <w:bCs/>
              </w:rPr>
            </w:pPr>
          </w:p>
        </w:tc>
        <w:tc>
          <w:tcPr>
            <w:tcW w:w="1676" w:type="dxa"/>
            <w:tcBorders>
              <w:top w:val="single" w:sz="4" w:space="0" w:color="auto"/>
            </w:tcBorders>
            <w:vAlign w:val="bottom"/>
          </w:tcPr>
          <w:p w:rsidR="00676AFC" w:rsidRDefault="00676AFC">
            <w:pPr>
              <w:pStyle w:val="TableColumnIMS"/>
              <w:rPr>
                <w:rFonts w:ascii="Arial" w:hAnsi="Arial" w:cs="Arial"/>
                <w:b/>
                <w:bCs/>
              </w:rPr>
            </w:pPr>
          </w:p>
        </w:tc>
        <w:tc>
          <w:tcPr>
            <w:tcW w:w="1257" w:type="dxa"/>
            <w:tcBorders>
              <w:top w:val="single" w:sz="4" w:space="0" w:color="auto"/>
            </w:tcBorders>
            <w:vAlign w:val="bottom"/>
          </w:tcPr>
          <w:p w:rsidR="00676AFC" w:rsidRDefault="00676AFC">
            <w:pPr>
              <w:pStyle w:val="TableColumnIMS"/>
              <w:rPr>
                <w:rFonts w:ascii="Arial" w:hAnsi="Arial" w:cs="Arial"/>
                <w:b/>
                <w:bCs/>
              </w:rPr>
            </w:pPr>
          </w:p>
        </w:tc>
      </w:tr>
      <w:tr w:rsidR="00676AFC">
        <w:tc>
          <w:tcPr>
            <w:tcW w:w="5967" w:type="dxa"/>
            <w:tcBorders>
              <w:bottom w:val="single" w:sz="4" w:space="0" w:color="auto"/>
            </w:tcBorders>
            <w:vAlign w:val="bottom"/>
          </w:tcPr>
          <w:p w:rsidR="00676AFC" w:rsidRDefault="00676AFC">
            <w:pPr>
              <w:pStyle w:val="TableStubIMS"/>
              <w:ind w:left="173" w:hanging="173"/>
              <w:rPr>
                <w:rFonts w:ascii="Arial" w:hAnsi="Arial" w:cs="Arial"/>
                <w:b/>
                <w:bCs/>
              </w:rPr>
            </w:pPr>
            <w:r>
              <w:rPr>
                <w:rFonts w:ascii="Arial" w:hAnsi="Arial" w:cs="Arial"/>
                <w:b/>
                <w:bCs/>
              </w:rPr>
              <w:t>Net increase in net assets resulting from operations</w:t>
            </w:r>
          </w:p>
        </w:tc>
        <w:tc>
          <w:tcPr>
            <w:tcW w:w="1656" w:type="dxa"/>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8,323</w:t>
            </w:r>
          </w:p>
        </w:tc>
        <w:tc>
          <w:tcPr>
            <w:tcW w:w="1676" w:type="dxa"/>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39,147</w:t>
            </w:r>
          </w:p>
        </w:tc>
        <w:tc>
          <w:tcPr>
            <w:tcW w:w="1257" w:type="dxa"/>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47,276</w:t>
            </w:r>
          </w:p>
        </w:tc>
      </w:tr>
    </w:tbl>
    <w:p w:rsidR="00676AFC" w:rsidRDefault="00676AFC">
      <w:pPr>
        <w:pStyle w:val="ParaIMS"/>
        <w:spacing w:before="0"/>
        <w:rPr>
          <w:rFonts w:ascii="Arial" w:hAnsi="Arial" w:cs="Arial"/>
        </w:rPr>
      </w:pPr>
    </w:p>
    <w:p w:rsidR="00676AFC" w:rsidRDefault="00676AFC">
      <w:pPr>
        <w:pStyle w:val="ParaIMS"/>
        <w:spacing w:before="0"/>
        <w:rPr>
          <w:rFonts w:ascii="Arial" w:hAnsi="Arial" w:cs="Arial"/>
          <w:i/>
          <w:iCs/>
          <w:szCs w:val="18"/>
        </w:rPr>
      </w:pPr>
      <w:r>
        <w:rPr>
          <w:rFonts w:ascii="Arial" w:hAnsi="Arial" w:cs="Arial"/>
          <w:i/>
          <w:iCs/>
          <w:szCs w:val="18"/>
        </w:rPr>
        <w:t>See accompanying notes to the Interim Unaudited Financial Statements.</w:t>
      </w:r>
    </w:p>
    <w:p w:rsidR="00676AFC" w:rsidRDefault="00676AFC">
      <w:pPr>
        <w:pStyle w:val="ParaIMS"/>
        <w:spacing w:before="0"/>
        <w:rPr>
          <w:rFonts w:ascii="Arial" w:hAnsi="Arial" w:cs="Arial"/>
          <w:i/>
          <w:iCs/>
          <w:szCs w:val="18"/>
        </w:rPr>
      </w:pPr>
    </w:p>
    <w:p w:rsidR="00676AFC" w:rsidRDefault="00676AFC">
      <w:pPr>
        <w:pStyle w:val="ParaIMS"/>
        <w:spacing w:before="0"/>
        <w:rPr>
          <w:rFonts w:ascii="Arial" w:hAnsi="Arial" w:cs="Arial"/>
          <w:b/>
          <w:bCs/>
        </w:rPr>
      </w:pPr>
      <w:r>
        <w:rPr>
          <w:rFonts w:ascii="Arial" w:hAnsi="Arial" w:cs="Arial"/>
          <w:b/>
          <w:bCs/>
        </w:rPr>
        <w:t>Unaudited Statement of Changes in Net Assets</w:t>
      </w:r>
    </w:p>
    <w:p w:rsidR="00676AFC" w:rsidRDefault="00676AFC">
      <w:pPr>
        <w:pStyle w:val="ParaIMS"/>
        <w:spacing w:before="0"/>
        <w:rPr>
          <w:rFonts w:ascii="Arial" w:hAnsi="Arial" w:cs="Arial"/>
          <w:szCs w:val="18"/>
        </w:rPr>
      </w:pPr>
      <w:r>
        <w:rPr>
          <w:rFonts w:ascii="Arial" w:hAnsi="Arial" w:cs="Arial"/>
          <w:szCs w:val="18"/>
        </w:rPr>
        <w:t>For the period from 1 January 2012 to 30 June 2012</w:t>
      </w:r>
    </w:p>
    <w:p w:rsidR="00676AFC" w:rsidRDefault="00676AFC">
      <w:pPr>
        <w:pStyle w:val="ParaIMS"/>
        <w:spacing w:before="0"/>
        <w:rPr>
          <w:rFonts w:ascii="Arial" w:hAnsi="Arial" w:cs="Arial"/>
          <w:szCs w:val="18"/>
        </w:rPr>
      </w:pPr>
    </w:p>
    <w:tbl>
      <w:tblPr>
        <w:tblW w:w="5000" w:type="pct"/>
        <w:tblLayout w:type="fixed"/>
        <w:tblCellMar>
          <w:left w:w="0" w:type="dxa"/>
          <w:right w:w="0" w:type="dxa"/>
        </w:tblCellMar>
        <w:tblLook w:val="0000"/>
      </w:tblPr>
      <w:tblGrid>
        <w:gridCol w:w="6238"/>
        <w:gridCol w:w="1438"/>
        <w:gridCol w:w="1438"/>
        <w:gridCol w:w="1426"/>
      </w:tblGrid>
      <w:tr w:rsidR="00676AFC">
        <w:tc>
          <w:tcPr>
            <w:tcW w:w="6248" w:type="dxa"/>
            <w:vAlign w:val="bottom"/>
          </w:tcPr>
          <w:p w:rsidR="00676AFC" w:rsidRDefault="00676AFC">
            <w:pPr>
              <w:pStyle w:val="TableStubIMS"/>
              <w:ind w:left="173" w:hanging="173"/>
              <w:rPr>
                <w:rFonts w:ascii="Arial" w:hAnsi="Arial" w:cs="Arial"/>
                <w:b/>
                <w:bCs/>
              </w:rPr>
            </w:pPr>
          </w:p>
        </w:tc>
        <w:tc>
          <w:tcPr>
            <w:tcW w:w="1440" w:type="dxa"/>
            <w:vAlign w:val="bottom"/>
          </w:tcPr>
          <w:p w:rsidR="00676AFC" w:rsidRDefault="00676AFC">
            <w:pPr>
              <w:pStyle w:val="TableColumnHeadingIMS"/>
              <w:jc w:val="right"/>
              <w:rPr>
                <w:rFonts w:ascii="Arial" w:hAnsi="Arial" w:cs="Arial"/>
                <w:bCs/>
                <w:sz w:val="20"/>
              </w:rPr>
            </w:pPr>
            <w:r>
              <w:rPr>
                <w:rFonts w:ascii="Arial" w:hAnsi="Arial" w:cs="Arial"/>
                <w:bCs/>
                <w:sz w:val="20"/>
              </w:rPr>
              <w:t>01.01.12</w:t>
            </w:r>
          </w:p>
        </w:tc>
        <w:tc>
          <w:tcPr>
            <w:tcW w:w="1440" w:type="dxa"/>
            <w:vAlign w:val="bottom"/>
          </w:tcPr>
          <w:p w:rsidR="00676AFC" w:rsidRDefault="00676AFC">
            <w:pPr>
              <w:pStyle w:val="TableColumnHeadingIMS"/>
              <w:jc w:val="right"/>
              <w:rPr>
                <w:rFonts w:ascii="Arial" w:hAnsi="Arial" w:cs="Arial"/>
                <w:bCs/>
                <w:sz w:val="20"/>
              </w:rPr>
            </w:pPr>
            <w:r>
              <w:rPr>
                <w:rFonts w:ascii="Arial" w:hAnsi="Arial" w:cs="Arial"/>
                <w:bCs/>
                <w:sz w:val="20"/>
              </w:rPr>
              <w:t>01.01.11</w:t>
            </w:r>
          </w:p>
        </w:tc>
        <w:tc>
          <w:tcPr>
            <w:tcW w:w="1428" w:type="dxa"/>
            <w:vAlign w:val="bottom"/>
          </w:tcPr>
          <w:p w:rsidR="00676AFC" w:rsidRDefault="00676AFC">
            <w:pPr>
              <w:pStyle w:val="TableColumnHeadingIMS"/>
              <w:jc w:val="right"/>
              <w:rPr>
                <w:rFonts w:ascii="Arial" w:hAnsi="Arial" w:cs="Arial"/>
                <w:bCs/>
                <w:sz w:val="20"/>
              </w:rPr>
            </w:pPr>
            <w:r>
              <w:rPr>
                <w:rFonts w:ascii="Arial" w:hAnsi="Arial" w:cs="Arial"/>
                <w:bCs/>
                <w:sz w:val="20"/>
              </w:rPr>
              <w:t>01.01.11</w:t>
            </w:r>
          </w:p>
        </w:tc>
      </w:tr>
      <w:tr w:rsidR="00676AFC">
        <w:tc>
          <w:tcPr>
            <w:tcW w:w="6248" w:type="dxa"/>
            <w:vAlign w:val="bottom"/>
          </w:tcPr>
          <w:p w:rsidR="00676AFC" w:rsidRDefault="00676AFC">
            <w:pPr>
              <w:pStyle w:val="TableStubIMS"/>
              <w:ind w:left="173" w:hanging="173"/>
              <w:rPr>
                <w:rFonts w:ascii="Arial" w:hAnsi="Arial" w:cs="Arial"/>
                <w:b/>
                <w:bCs/>
              </w:rPr>
            </w:pPr>
          </w:p>
        </w:tc>
        <w:tc>
          <w:tcPr>
            <w:tcW w:w="1440" w:type="dxa"/>
            <w:vAlign w:val="bottom"/>
          </w:tcPr>
          <w:p w:rsidR="00676AFC" w:rsidRDefault="00676AFC">
            <w:pPr>
              <w:pStyle w:val="TableColumnIMS"/>
              <w:rPr>
                <w:rFonts w:ascii="Arial" w:hAnsi="Arial" w:cs="Arial"/>
                <w:b/>
                <w:bCs/>
              </w:rPr>
            </w:pPr>
            <w:r>
              <w:rPr>
                <w:rFonts w:ascii="Arial" w:hAnsi="Arial" w:cs="Arial"/>
                <w:b/>
                <w:bCs/>
              </w:rPr>
              <w:t>to 30.06.12</w:t>
            </w:r>
          </w:p>
        </w:tc>
        <w:tc>
          <w:tcPr>
            <w:tcW w:w="1440" w:type="dxa"/>
            <w:vAlign w:val="bottom"/>
          </w:tcPr>
          <w:p w:rsidR="00676AFC" w:rsidRDefault="00676AFC">
            <w:pPr>
              <w:pStyle w:val="TableColumnIMS"/>
              <w:rPr>
                <w:rFonts w:ascii="Arial" w:hAnsi="Arial" w:cs="Arial"/>
                <w:b/>
                <w:bCs/>
              </w:rPr>
            </w:pPr>
            <w:r>
              <w:rPr>
                <w:rFonts w:ascii="Arial" w:hAnsi="Arial" w:cs="Arial"/>
                <w:b/>
                <w:bCs/>
              </w:rPr>
              <w:t>to 31.12.11</w:t>
            </w:r>
          </w:p>
        </w:tc>
        <w:tc>
          <w:tcPr>
            <w:tcW w:w="1428" w:type="dxa"/>
            <w:vAlign w:val="bottom"/>
          </w:tcPr>
          <w:p w:rsidR="00676AFC" w:rsidRDefault="00676AFC">
            <w:pPr>
              <w:pStyle w:val="TableColumnIMS"/>
              <w:rPr>
                <w:rFonts w:ascii="Arial" w:hAnsi="Arial" w:cs="Arial"/>
                <w:b/>
                <w:bCs/>
              </w:rPr>
            </w:pPr>
            <w:r>
              <w:rPr>
                <w:rFonts w:ascii="Arial" w:hAnsi="Arial" w:cs="Arial"/>
                <w:b/>
                <w:bCs/>
              </w:rPr>
              <w:t>to 30.06.11</w:t>
            </w:r>
          </w:p>
        </w:tc>
      </w:tr>
      <w:tr w:rsidR="00676AFC">
        <w:tc>
          <w:tcPr>
            <w:tcW w:w="6248" w:type="dxa"/>
            <w:vAlign w:val="bottom"/>
          </w:tcPr>
          <w:p w:rsidR="00676AFC" w:rsidRDefault="00676AFC">
            <w:pPr>
              <w:pStyle w:val="TableStubIMS"/>
              <w:ind w:left="173" w:hanging="173"/>
              <w:rPr>
                <w:rFonts w:ascii="Arial" w:hAnsi="Arial" w:cs="Arial"/>
                <w:b/>
                <w:bCs/>
              </w:rPr>
            </w:pPr>
          </w:p>
        </w:tc>
        <w:tc>
          <w:tcPr>
            <w:tcW w:w="1440" w:type="dxa"/>
            <w:vAlign w:val="bottom"/>
          </w:tcPr>
          <w:p w:rsidR="00676AFC" w:rsidRDefault="00676AFC">
            <w:pPr>
              <w:pStyle w:val="TableColumnIMS"/>
              <w:rPr>
                <w:rFonts w:ascii="Arial" w:hAnsi="Arial" w:cs="Arial"/>
                <w:b/>
                <w:bCs/>
              </w:rPr>
            </w:pPr>
            <w:r>
              <w:rPr>
                <w:rFonts w:ascii="Arial" w:hAnsi="Arial" w:cs="Arial"/>
                <w:b/>
                <w:bCs/>
              </w:rPr>
              <w:t>(Unaudited)</w:t>
            </w:r>
          </w:p>
        </w:tc>
        <w:tc>
          <w:tcPr>
            <w:tcW w:w="1440" w:type="dxa"/>
            <w:vAlign w:val="bottom"/>
          </w:tcPr>
          <w:p w:rsidR="00676AFC" w:rsidRDefault="00676AFC">
            <w:pPr>
              <w:pStyle w:val="TableColumnIMS"/>
              <w:rPr>
                <w:rFonts w:ascii="Arial" w:hAnsi="Arial" w:cs="Arial"/>
                <w:b/>
                <w:bCs/>
              </w:rPr>
            </w:pPr>
            <w:r>
              <w:rPr>
                <w:rFonts w:ascii="Arial" w:hAnsi="Arial" w:cs="Arial"/>
                <w:b/>
                <w:bCs/>
              </w:rPr>
              <w:t>(Audited)</w:t>
            </w:r>
          </w:p>
        </w:tc>
        <w:tc>
          <w:tcPr>
            <w:tcW w:w="1428" w:type="dxa"/>
            <w:vAlign w:val="bottom"/>
          </w:tcPr>
          <w:p w:rsidR="00676AFC" w:rsidRDefault="00676AFC">
            <w:pPr>
              <w:pStyle w:val="TableColumnIMS"/>
              <w:rPr>
                <w:rFonts w:ascii="Arial" w:hAnsi="Arial" w:cs="Arial"/>
                <w:b/>
                <w:bCs/>
              </w:rPr>
            </w:pPr>
            <w:r>
              <w:rPr>
                <w:rFonts w:ascii="Arial" w:hAnsi="Arial" w:cs="Arial"/>
                <w:b/>
                <w:bCs/>
              </w:rPr>
              <w:t>(Unaudited)</w:t>
            </w:r>
          </w:p>
        </w:tc>
      </w:tr>
      <w:tr w:rsidR="00676AFC">
        <w:tc>
          <w:tcPr>
            <w:tcW w:w="6248" w:type="dxa"/>
            <w:tcBorders>
              <w:bottom w:val="single" w:sz="4" w:space="0" w:color="auto"/>
            </w:tcBorders>
            <w:vAlign w:val="bottom"/>
          </w:tcPr>
          <w:p w:rsidR="00676AFC" w:rsidRDefault="00676AFC">
            <w:pPr>
              <w:pStyle w:val="TableStubIMS"/>
              <w:ind w:left="173" w:hanging="173"/>
              <w:rPr>
                <w:rFonts w:ascii="Arial" w:hAnsi="Arial" w:cs="Arial"/>
                <w:b/>
                <w:bCs/>
              </w:rPr>
            </w:pPr>
          </w:p>
        </w:tc>
        <w:tc>
          <w:tcPr>
            <w:tcW w:w="1440" w:type="dxa"/>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US$’000</w:t>
            </w:r>
          </w:p>
        </w:tc>
        <w:tc>
          <w:tcPr>
            <w:tcW w:w="1440" w:type="dxa"/>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US$’000</w:t>
            </w:r>
          </w:p>
        </w:tc>
        <w:tc>
          <w:tcPr>
            <w:tcW w:w="1428" w:type="dxa"/>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US$’000</w:t>
            </w: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b/>
                <w:bCs/>
              </w:rPr>
            </w:pPr>
            <w:r>
              <w:rPr>
                <w:rFonts w:ascii="Arial" w:hAnsi="Arial" w:cs="Arial"/>
                <w:b/>
                <w:bCs/>
              </w:rPr>
              <w:t>Net increase in net assets resulting from operations</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rPr>
            </w:pP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Net investment gain/(loss)</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10,252</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(12,557)</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29,845</w:t>
            </w: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 xml:space="preserve">Net </w:t>
            </w:r>
            <w:proofErr w:type="spellStart"/>
            <w:r>
              <w:rPr>
                <w:rFonts w:ascii="Arial" w:hAnsi="Arial" w:cs="Arial"/>
              </w:rPr>
              <w:t>realised</w:t>
            </w:r>
            <w:proofErr w:type="spellEnd"/>
            <w:r>
              <w:rPr>
                <w:rFonts w:ascii="Arial" w:hAnsi="Arial" w:cs="Arial"/>
              </w:rPr>
              <w:t xml:space="preserve"> gain on investments allocated from BHGO</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8,320</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21,210</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15,217</w:t>
            </w: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 xml:space="preserve">Net </w:t>
            </w:r>
            <w:proofErr w:type="spellStart"/>
            <w:r>
              <w:rPr>
                <w:rFonts w:ascii="Arial" w:hAnsi="Arial" w:cs="Arial"/>
              </w:rPr>
              <w:t>unrealised</w:t>
            </w:r>
            <w:proofErr w:type="spellEnd"/>
            <w:r>
              <w:rPr>
                <w:rFonts w:ascii="Arial" w:hAnsi="Arial" w:cs="Arial"/>
              </w:rPr>
              <w:t xml:space="preserve"> gain on investments allocated from BHGO</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1,948</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18,679</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34,036</w:t>
            </w: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 xml:space="preserve">Net </w:t>
            </w:r>
            <w:proofErr w:type="spellStart"/>
            <w:r>
              <w:rPr>
                <w:rFonts w:ascii="Arial" w:hAnsi="Arial" w:cs="Arial"/>
              </w:rPr>
              <w:t>realised</w:t>
            </w:r>
            <w:proofErr w:type="spellEnd"/>
            <w:r>
              <w:rPr>
                <w:rFonts w:ascii="Arial" w:hAnsi="Arial" w:cs="Arial"/>
              </w:rPr>
              <w:t xml:space="preserve"> and </w:t>
            </w:r>
            <w:proofErr w:type="spellStart"/>
            <w:r>
              <w:rPr>
                <w:rFonts w:ascii="Arial" w:hAnsi="Arial" w:cs="Arial"/>
              </w:rPr>
              <w:t>unrealised</w:t>
            </w:r>
            <w:proofErr w:type="spellEnd"/>
            <w:r>
              <w:rPr>
                <w:rFonts w:ascii="Arial" w:hAnsi="Arial" w:cs="Arial"/>
              </w:rPr>
              <w:t xml:space="preserve"> foreign exchange (loss)/gain allocated from BHGO</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(12,197)</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11,815</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(31,822)</w:t>
            </w: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b/>
                <w:bCs/>
              </w:rPr>
            </w:pP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8,323</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39,147</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47,276</w:t>
            </w:r>
          </w:p>
        </w:tc>
      </w:tr>
      <w:tr w:rsidR="00676AFC">
        <w:tc>
          <w:tcPr>
            <w:tcW w:w="6248" w:type="dxa"/>
            <w:tcBorders>
              <w:top w:val="single" w:sz="4" w:space="0" w:color="auto"/>
            </w:tcBorders>
            <w:vAlign w:val="bottom"/>
          </w:tcPr>
          <w:p w:rsidR="00676AFC" w:rsidRDefault="00676AFC">
            <w:pPr>
              <w:pStyle w:val="TableStubIMS"/>
              <w:ind w:left="173" w:hanging="173"/>
              <w:rPr>
                <w:rFonts w:ascii="Arial" w:hAnsi="Arial" w:cs="Arial"/>
                <w:b/>
                <w:bCs/>
              </w:rPr>
            </w:pPr>
          </w:p>
        </w:tc>
        <w:tc>
          <w:tcPr>
            <w:tcW w:w="1440" w:type="dxa"/>
            <w:tcBorders>
              <w:top w:val="single" w:sz="4" w:space="0" w:color="auto"/>
            </w:tcBorders>
            <w:vAlign w:val="bottom"/>
          </w:tcPr>
          <w:p w:rsidR="00676AFC" w:rsidRDefault="00676AFC">
            <w:pPr>
              <w:pStyle w:val="TableColumnIMS"/>
              <w:rPr>
                <w:rFonts w:ascii="Arial" w:hAnsi="Arial" w:cs="Arial"/>
              </w:rPr>
            </w:pPr>
          </w:p>
        </w:tc>
        <w:tc>
          <w:tcPr>
            <w:tcW w:w="1440" w:type="dxa"/>
            <w:tcBorders>
              <w:top w:val="single" w:sz="4" w:space="0" w:color="auto"/>
            </w:tcBorders>
            <w:vAlign w:val="bottom"/>
          </w:tcPr>
          <w:p w:rsidR="00676AFC" w:rsidRDefault="00676AFC">
            <w:pPr>
              <w:pStyle w:val="TableColumnIMS"/>
              <w:rPr>
                <w:rFonts w:ascii="Arial" w:hAnsi="Arial" w:cs="Arial"/>
              </w:rPr>
            </w:pPr>
          </w:p>
        </w:tc>
        <w:tc>
          <w:tcPr>
            <w:tcW w:w="1428" w:type="dxa"/>
            <w:tcBorders>
              <w:top w:val="single" w:sz="4" w:space="0" w:color="auto"/>
            </w:tcBorders>
            <w:vAlign w:val="bottom"/>
          </w:tcPr>
          <w:p w:rsidR="00676AFC" w:rsidRDefault="00676AFC">
            <w:pPr>
              <w:pStyle w:val="TableColumnIMS"/>
              <w:rPr>
                <w:rFonts w:ascii="Arial" w:hAnsi="Arial" w:cs="Arial"/>
              </w:rPr>
            </w:pPr>
          </w:p>
        </w:tc>
      </w:tr>
      <w:tr w:rsidR="00676AFC">
        <w:tc>
          <w:tcPr>
            <w:tcW w:w="6248" w:type="dxa"/>
            <w:tcBorders>
              <w:bottom w:val="single" w:sz="4" w:space="0" w:color="auto"/>
            </w:tcBorders>
            <w:vAlign w:val="bottom"/>
          </w:tcPr>
          <w:p w:rsidR="00676AFC" w:rsidRDefault="00676AFC">
            <w:pPr>
              <w:pStyle w:val="TableStubIMS"/>
              <w:ind w:left="173" w:hanging="173"/>
              <w:rPr>
                <w:rFonts w:ascii="Arial" w:hAnsi="Arial" w:cs="Arial"/>
                <w:b/>
                <w:bCs/>
              </w:rPr>
            </w:pPr>
            <w:r>
              <w:rPr>
                <w:rFonts w:ascii="Arial" w:hAnsi="Arial" w:cs="Arial"/>
                <w:b/>
                <w:bCs/>
              </w:rPr>
              <w:t>Share capital transactions</w:t>
            </w:r>
          </w:p>
        </w:tc>
        <w:tc>
          <w:tcPr>
            <w:tcW w:w="1440" w:type="dxa"/>
            <w:tcBorders>
              <w:bottom w:val="single" w:sz="4" w:space="0" w:color="auto"/>
            </w:tcBorders>
            <w:vAlign w:val="bottom"/>
          </w:tcPr>
          <w:p w:rsidR="00676AFC" w:rsidRDefault="00676AFC">
            <w:pPr>
              <w:pStyle w:val="TableColumnIMS"/>
              <w:rPr>
                <w:rFonts w:ascii="Arial" w:hAnsi="Arial" w:cs="Arial"/>
              </w:rPr>
            </w:pPr>
          </w:p>
        </w:tc>
        <w:tc>
          <w:tcPr>
            <w:tcW w:w="1440" w:type="dxa"/>
            <w:tcBorders>
              <w:bottom w:val="single" w:sz="4" w:space="0" w:color="auto"/>
            </w:tcBorders>
            <w:vAlign w:val="bottom"/>
          </w:tcPr>
          <w:p w:rsidR="00676AFC" w:rsidRDefault="00676AFC">
            <w:pPr>
              <w:pStyle w:val="TableColumnIMS"/>
              <w:rPr>
                <w:rFonts w:ascii="Arial" w:hAnsi="Arial" w:cs="Arial"/>
              </w:rPr>
            </w:pPr>
          </w:p>
        </w:tc>
        <w:tc>
          <w:tcPr>
            <w:tcW w:w="1428" w:type="dxa"/>
            <w:tcBorders>
              <w:bottom w:val="single" w:sz="4" w:space="0" w:color="auto"/>
            </w:tcBorders>
            <w:vAlign w:val="bottom"/>
          </w:tcPr>
          <w:p w:rsidR="00676AFC" w:rsidRDefault="00676AFC">
            <w:pPr>
              <w:pStyle w:val="TableColumnIMS"/>
              <w:rPr>
                <w:rFonts w:ascii="Arial" w:hAnsi="Arial" w:cs="Arial"/>
              </w:rPr>
            </w:pPr>
          </w:p>
        </w:tc>
      </w:tr>
      <w:tr w:rsidR="00676AFC">
        <w:tc>
          <w:tcPr>
            <w:tcW w:w="6248" w:type="dxa"/>
            <w:tcBorders>
              <w:top w:val="single" w:sz="4" w:space="0" w:color="auto"/>
              <w:bottom w:val="single" w:sz="4" w:space="0" w:color="auto"/>
            </w:tcBorders>
            <w:vAlign w:val="bottom"/>
          </w:tcPr>
          <w:p w:rsidR="00676AFC" w:rsidRPr="007C31CA" w:rsidRDefault="00676AFC">
            <w:pPr>
              <w:pStyle w:val="TableStubIMS"/>
              <w:ind w:left="173" w:hanging="173"/>
              <w:rPr>
                <w:rFonts w:ascii="Arial" w:hAnsi="Arial" w:cs="Arial"/>
              </w:rPr>
            </w:pPr>
            <w:r w:rsidRPr="007C31CA">
              <w:rPr>
                <w:rFonts w:ascii="Arial" w:hAnsi="Arial" w:cs="Arial"/>
              </w:rPr>
              <w:t>Purchase of own shares</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rPr>
            </w:pP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US Dollar shares</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(5,389)</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(5,389)</w:t>
            </w: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Euro shares</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(2,294)</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(1,569)</w:t>
            </w: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Sterling shares</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(9,264)</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(6,467)</w:t>
            </w:r>
          </w:p>
        </w:tc>
      </w:tr>
      <w:tr w:rsidR="00676AFC">
        <w:tc>
          <w:tcPr>
            <w:tcW w:w="6248" w:type="dxa"/>
            <w:tcBorders>
              <w:top w:val="single" w:sz="4" w:space="0" w:color="auto"/>
            </w:tcBorders>
            <w:vAlign w:val="bottom"/>
          </w:tcPr>
          <w:p w:rsidR="00676AFC" w:rsidRDefault="00676AFC">
            <w:pPr>
              <w:pStyle w:val="TableStubIMS"/>
              <w:ind w:left="173" w:hanging="173"/>
              <w:rPr>
                <w:rFonts w:ascii="Arial" w:hAnsi="Arial" w:cs="Arial"/>
              </w:rPr>
            </w:pPr>
          </w:p>
        </w:tc>
        <w:tc>
          <w:tcPr>
            <w:tcW w:w="1440" w:type="dxa"/>
            <w:tcBorders>
              <w:top w:val="single" w:sz="4" w:space="0" w:color="auto"/>
            </w:tcBorders>
            <w:vAlign w:val="bottom"/>
          </w:tcPr>
          <w:p w:rsidR="00676AFC" w:rsidRDefault="00676AFC">
            <w:pPr>
              <w:pStyle w:val="TableColumnIMS"/>
              <w:rPr>
                <w:rFonts w:ascii="Arial" w:hAnsi="Arial" w:cs="Arial"/>
              </w:rPr>
            </w:pPr>
          </w:p>
        </w:tc>
        <w:tc>
          <w:tcPr>
            <w:tcW w:w="1440" w:type="dxa"/>
            <w:tcBorders>
              <w:top w:val="single" w:sz="4" w:space="0" w:color="auto"/>
            </w:tcBorders>
            <w:vAlign w:val="bottom"/>
          </w:tcPr>
          <w:p w:rsidR="00676AFC" w:rsidRDefault="00676AFC">
            <w:pPr>
              <w:pStyle w:val="TableColumnIMS"/>
              <w:rPr>
                <w:rFonts w:ascii="Arial" w:hAnsi="Arial" w:cs="Arial"/>
              </w:rPr>
            </w:pPr>
          </w:p>
        </w:tc>
        <w:tc>
          <w:tcPr>
            <w:tcW w:w="1428" w:type="dxa"/>
            <w:tcBorders>
              <w:top w:val="single" w:sz="4" w:space="0" w:color="auto"/>
            </w:tcBorders>
            <w:vAlign w:val="bottom"/>
          </w:tcPr>
          <w:p w:rsidR="00676AFC" w:rsidRDefault="00676AFC">
            <w:pPr>
              <w:pStyle w:val="TableColumnIMS"/>
              <w:rPr>
                <w:rFonts w:ascii="Arial" w:hAnsi="Arial" w:cs="Arial"/>
              </w:rPr>
            </w:pPr>
          </w:p>
        </w:tc>
      </w:tr>
      <w:tr w:rsidR="00676AFC">
        <w:tc>
          <w:tcPr>
            <w:tcW w:w="6248" w:type="dxa"/>
            <w:tcBorders>
              <w:bottom w:val="single" w:sz="4" w:space="0" w:color="auto"/>
            </w:tcBorders>
            <w:vAlign w:val="bottom"/>
          </w:tcPr>
          <w:p w:rsidR="00676AFC" w:rsidRPr="007C31CA" w:rsidRDefault="00676AFC">
            <w:pPr>
              <w:pStyle w:val="TableStubIMS"/>
              <w:ind w:left="173" w:hanging="173"/>
              <w:rPr>
                <w:rFonts w:ascii="Arial" w:hAnsi="Arial" w:cs="Arial"/>
                <w:b/>
              </w:rPr>
            </w:pPr>
            <w:r w:rsidRPr="007C31CA">
              <w:rPr>
                <w:rFonts w:ascii="Arial" w:hAnsi="Arial" w:cs="Arial"/>
                <w:b/>
              </w:rPr>
              <w:t>Partial capital return</w:t>
            </w:r>
          </w:p>
        </w:tc>
        <w:tc>
          <w:tcPr>
            <w:tcW w:w="1440" w:type="dxa"/>
            <w:tcBorders>
              <w:bottom w:val="single" w:sz="4" w:space="0" w:color="auto"/>
            </w:tcBorders>
            <w:vAlign w:val="bottom"/>
          </w:tcPr>
          <w:p w:rsidR="00676AFC" w:rsidRDefault="00676AFC">
            <w:pPr>
              <w:pStyle w:val="TableColumnIMS"/>
              <w:rPr>
                <w:rFonts w:ascii="Arial" w:hAnsi="Arial" w:cs="Arial"/>
              </w:rPr>
            </w:pPr>
          </w:p>
        </w:tc>
        <w:tc>
          <w:tcPr>
            <w:tcW w:w="1440" w:type="dxa"/>
            <w:tcBorders>
              <w:bottom w:val="single" w:sz="4" w:space="0" w:color="auto"/>
            </w:tcBorders>
            <w:vAlign w:val="bottom"/>
          </w:tcPr>
          <w:p w:rsidR="00676AFC" w:rsidRDefault="00676AFC">
            <w:pPr>
              <w:pStyle w:val="TableColumnIMS"/>
              <w:rPr>
                <w:rFonts w:ascii="Arial" w:hAnsi="Arial" w:cs="Arial"/>
              </w:rPr>
            </w:pPr>
          </w:p>
        </w:tc>
        <w:tc>
          <w:tcPr>
            <w:tcW w:w="1428" w:type="dxa"/>
            <w:tcBorders>
              <w:bottom w:val="single" w:sz="4" w:space="0" w:color="auto"/>
            </w:tcBorders>
            <w:vAlign w:val="bottom"/>
          </w:tcPr>
          <w:p w:rsidR="00676AFC" w:rsidRDefault="00676AFC">
            <w:pPr>
              <w:pStyle w:val="TableColumnIMS"/>
              <w:rPr>
                <w:rFonts w:ascii="Arial" w:hAnsi="Arial" w:cs="Arial"/>
              </w:rPr>
            </w:pP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US Dollar shares</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(8,402)</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w:t>
            </w: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Euro shares</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(2,255)</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w:t>
            </w: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Sterling shares</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(34,310)</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w:t>
            </w: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b/>
                <w:bCs/>
              </w:rPr>
            </w:pP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(44,967)</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(16,947)</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(13,425)</w:t>
            </w:r>
          </w:p>
        </w:tc>
      </w:tr>
      <w:tr w:rsidR="00676AFC">
        <w:tc>
          <w:tcPr>
            <w:tcW w:w="6248" w:type="dxa"/>
            <w:tcBorders>
              <w:top w:val="single" w:sz="4" w:space="0" w:color="auto"/>
            </w:tcBorders>
            <w:vAlign w:val="bottom"/>
          </w:tcPr>
          <w:p w:rsidR="00676AFC" w:rsidRDefault="00676AFC">
            <w:pPr>
              <w:pStyle w:val="TableStubIMS"/>
              <w:ind w:left="173" w:hanging="173"/>
              <w:rPr>
                <w:rFonts w:ascii="Arial" w:hAnsi="Arial" w:cs="Arial"/>
              </w:rPr>
            </w:pPr>
          </w:p>
        </w:tc>
        <w:tc>
          <w:tcPr>
            <w:tcW w:w="1440" w:type="dxa"/>
            <w:tcBorders>
              <w:top w:val="single" w:sz="4" w:space="0" w:color="auto"/>
            </w:tcBorders>
            <w:vAlign w:val="bottom"/>
          </w:tcPr>
          <w:p w:rsidR="00676AFC" w:rsidRDefault="00676AFC">
            <w:pPr>
              <w:pStyle w:val="TableColumnIMS"/>
              <w:rPr>
                <w:rFonts w:ascii="Arial" w:hAnsi="Arial" w:cs="Arial"/>
              </w:rPr>
            </w:pPr>
          </w:p>
        </w:tc>
        <w:tc>
          <w:tcPr>
            <w:tcW w:w="1440" w:type="dxa"/>
            <w:tcBorders>
              <w:top w:val="single" w:sz="4" w:space="0" w:color="auto"/>
            </w:tcBorders>
            <w:vAlign w:val="bottom"/>
          </w:tcPr>
          <w:p w:rsidR="00676AFC" w:rsidRDefault="00676AFC">
            <w:pPr>
              <w:pStyle w:val="TableColumnIMS"/>
              <w:rPr>
                <w:rFonts w:ascii="Arial" w:hAnsi="Arial" w:cs="Arial"/>
              </w:rPr>
            </w:pPr>
          </w:p>
        </w:tc>
        <w:tc>
          <w:tcPr>
            <w:tcW w:w="1428" w:type="dxa"/>
            <w:tcBorders>
              <w:top w:val="single" w:sz="4" w:space="0" w:color="auto"/>
            </w:tcBorders>
            <w:vAlign w:val="bottom"/>
          </w:tcPr>
          <w:p w:rsidR="00676AFC" w:rsidRDefault="00676AFC">
            <w:pPr>
              <w:pStyle w:val="TableColumnIMS"/>
              <w:rPr>
                <w:rFonts w:ascii="Arial" w:hAnsi="Arial" w:cs="Arial"/>
              </w:rPr>
            </w:pPr>
          </w:p>
        </w:tc>
      </w:tr>
      <w:tr w:rsidR="00676AFC">
        <w:tc>
          <w:tcPr>
            <w:tcW w:w="6248" w:type="dxa"/>
            <w:tcBorders>
              <w:bottom w:val="single" w:sz="4" w:space="0" w:color="auto"/>
            </w:tcBorders>
            <w:vAlign w:val="bottom"/>
          </w:tcPr>
          <w:p w:rsidR="00676AFC" w:rsidRDefault="00676AFC">
            <w:pPr>
              <w:pStyle w:val="TableStubIMS"/>
              <w:ind w:left="173" w:hanging="173"/>
              <w:rPr>
                <w:rFonts w:ascii="Arial" w:hAnsi="Arial" w:cs="Arial"/>
                <w:b/>
                <w:bCs/>
              </w:rPr>
            </w:pPr>
            <w:r>
              <w:rPr>
                <w:rFonts w:ascii="Arial" w:hAnsi="Arial" w:cs="Arial"/>
                <w:b/>
                <w:bCs/>
              </w:rPr>
              <w:t>Net (decrease)/increase in net assets</w:t>
            </w:r>
          </w:p>
        </w:tc>
        <w:tc>
          <w:tcPr>
            <w:tcW w:w="1440" w:type="dxa"/>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(36,644)</w:t>
            </w:r>
          </w:p>
        </w:tc>
        <w:tc>
          <w:tcPr>
            <w:tcW w:w="1440" w:type="dxa"/>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22,200</w:t>
            </w:r>
          </w:p>
        </w:tc>
        <w:tc>
          <w:tcPr>
            <w:tcW w:w="1428" w:type="dxa"/>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33,851</w:t>
            </w: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b/>
                <w:bCs/>
              </w:rPr>
            </w:pPr>
            <w:r>
              <w:rPr>
                <w:rFonts w:ascii="Arial" w:hAnsi="Arial" w:cs="Arial"/>
                <w:b/>
                <w:bCs/>
              </w:rPr>
              <w:t>Net assets at the beginning of the period/year</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1,000,365</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978,165</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978,165</w:t>
            </w: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b/>
                <w:bCs/>
              </w:rPr>
            </w:pPr>
            <w:r>
              <w:rPr>
                <w:rFonts w:ascii="Arial" w:hAnsi="Arial" w:cs="Arial"/>
                <w:b/>
                <w:bCs/>
              </w:rPr>
              <w:t>Net assets at the end of the period/year</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963,721</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1,000,365</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1,012,016</w:t>
            </w:r>
          </w:p>
        </w:tc>
      </w:tr>
    </w:tbl>
    <w:p w:rsidR="00676AFC" w:rsidRDefault="00676AFC">
      <w:pPr>
        <w:pStyle w:val="ParaIMS"/>
        <w:spacing w:before="0"/>
        <w:rPr>
          <w:rFonts w:ascii="Arial" w:hAnsi="Arial" w:cs="Arial"/>
        </w:rPr>
      </w:pPr>
    </w:p>
    <w:p w:rsidR="00676AFC" w:rsidRDefault="00676AFC">
      <w:pPr>
        <w:pStyle w:val="ParaIMS"/>
        <w:spacing w:before="0"/>
        <w:rPr>
          <w:rFonts w:ascii="Arial" w:hAnsi="Arial" w:cs="Arial"/>
          <w:i/>
          <w:iCs/>
          <w:szCs w:val="18"/>
        </w:rPr>
      </w:pPr>
      <w:r>
        <w:rPr>
          <w:rFonts w:ascii="Arial" w:hAnsi="Arial" w:cs="Arial"/>
          <w:i/>
          <w:iCs/>
          <w:szCs w:val="18"/>
        </w:rPr>
        <w:t>See accompanying notes to the Interim Unaudited Financial Statements.</w:t>
      </w:r>
    </w:p>
    <w:p w:rsidR="00036F1B" w:rsidRDefault="00036F1B">
      <w:pPr>
        <w:pStyle w:val="ParaIMS"/>
        <w:spacing w:before="0"/>
        <w:rPr>
          <w:rFonts w:ascii="Arial" w:hAnsi="Arial" w:cs="Arial"/>
          <w:i/>
          <w:iCs/>
          <w:szCs w:val="18"/>
        </w:rPr>
      </w:pPr>
    </w:p>
    <w:p w:rsidR="00676AFC" w:rsidRDefault="00676AFC">
      <w:pPr>
        <w:pStyle w:val="ParaIMS"/>
        <w:spacing w:before="0"/>
        <w:rPr>
          <w:rFonts w:ascii="Arial" w:hAnsi="Arial" w:cs="Arial"/>
          <w:b/>
          <w:bCs/>
        </w:rPr>
      </w:pPr>
      <w:r>
        <w:rPr>
          <w:rFonts w:ascii="Arial" w:hAnsi="Arial" w:cs="Arial"/>
          <w:b/>
          <w:bCs/>
        </w:rPr>
        <w:t>Unaudited Statement of Cash Flows</w:t>
      </w:r>
    </w:p>
    <w:p w:rsidR="00676AFC" w:rsidRDefault="00676AFC">
      <w:pPr>
        <w:pStyle w:val="ParaIMS"/>
        <w:spacing w:before="0"/>
        <w:rPr>
          <w:rFonts w:ascii="Arial" w:hAnsi="Arial" w:cs="Arial"/>
        </w:rPr>
      </w:pPr>
      <w:r>
        <w:rPr>
          <w:rFonts w:ascii="Arial" w:hAnsi="Arial" w:cs="Arial"/>
          <w:szCs w:val="18"/>
        </w:rPr>
        <w:t>For the period from 1 January 2012 to 30 June 2012</w:t>
      </w:r>
    </w:p>
    <w:p w:rsidR="00676AFC" w:rsidRDefault="00676AFC">
      <w:pPr>
        <w:pStyle w:val="ParaIMS"/>
        <w:spacing w:before="0"/>
        <w:rPr>
          <w:rFonts w:ascii="Arial" w:hAnsi="Arial" w:cs="Arial"/>
        </w:rPr>
      </w:pPr>
    </w:p>
    <w:tbl>
      <w:tblPr>
        <w:tblW w:w="5000" w:type="pct"/>
        <w:tblLayout w:type="fixed"/>
        <w:tblCellMar>
          <w:left w:w="0" w:type="dxa"/>
          <w:right w:w="0" w:type="dxa"/>
        </w:tblCellMar>
        <w:tblLook w:val="0000"/>
      </w:tblPr>
      <w:tblGrid>
        <w:gridCol w:w="6238"/>
        <w:gridCol w:w="1438"/>
        <w:gridCol w:w="1438"/>
        <w:gridCol w:w="1426"/>
      </w:tblGrid>
      <w:tr w:rsidR="00676AFC">
        <w:tc>
          <w:tcPr>
            <w:tcW w:w="6248" w:type="dxa"/>
            <w:vAlign w:val="bottom"/>
          </w:tcPr>
          <w:p w:rsidR="00676AFC" w:rsidRDefault="00676AFC">
            <w:pPr>
              <w:pStyle w:val="TableStubIMS"/>
              <w:ind w:left="173" w:hanging="173"/>
              <w:rPr>
                <w:rFonts w:ascii="Arial" w:hAnsi="Arial" w:cs="Arial"/>
                <w:b/>
                <w:bCs/>
              </w:rPr>
            </w:pPr>
          </w:p>
        </w:tc>
        <w:tc>
          <w:tcPr>
            <w:tcW w:w="1440" w:type="dxa"/>
            <w:vAlign w:val="bottom"/>
          </w:tcPr>
          <w:p w:rsidR="00676AFC" w:rsidRDefault="00676AFC">
            <w:pPr>
              <w:pStyle w:val="TableColumnIMS"/>
              <w:rPr>
                <w:rFonts w:ascii="Arial" w:hAnsi="Arial" w:cs="Arial"/>
                <w:b/>
                <w:bCs/>
              </w:rPr>
            </w:pPr>
            <w:r>
              <w:rPr>
                <w:rFonts w:ascii="Arial" w:hAnsi="Arial" w:cs="Arial"/>
                <w:b/>
                <w:bCs/>
              </w:rPr>
              <w:t>01.01.12</w:t>
            </w:r>
          </w:p>
        </w:tc>
        <w:tc>
          <w:tcPr>
            <w:tcW w:w="1440" w:type="dxa"/>
            <w:vAlign w:val="bottom"/>
          </w:tcPr>
          <w:p w:rsidR="00676AFC" w:rsidRDefault="00676AFC">
            <w:pPr>
              <w:pStyle w:val="TableColumnIMS"/>
              <w:rPr>
                <w:rFonts w:ascii="Arial" w:hAnsi="Arial" w:cs="Arial"/>
                <w:b/>
                <w:bCs/>
              </w:rPr>
            </w:pPr>
            <w:r>
              <w:rPr>
                <w:rFonts w:ascii="Arial" w:hAnsi="Arial" w:cs="Arial"/>
                <w:b/>
                <w:bCs/>
              </w:rPr>
              <w:t>01.01.11</w:t>
            </w:r>
          </w:p>
        </w:tc>
        <w:tc>
          <w:tcPr>
            <w:tcW w:w="1428" w:type="dxa"/>
            <w:vAlign w:val="bottom"/>
          </w:tcPr>
          <w:p w:rsidR="00676AFC" w:rsidRDefault="00676AFC">
            <w:pPr>
              <w:pStyle w:val="TableColumnIMS"/>
              <w:rPr>
                <w:rFonts w:ascii="Arial" w:hAnsi="Arial" w:cs="Arial"/>
                <w:b/>
                <w:bCs/>
              </w:rPr>
            </w:pPr>
            <w:r>
              <w:rPr>
                <w:rFonts w:ascii="Arial" w:hAnsi="Arial" w:cs="Arial"/>
                <w:b/>
                <w:bCs/>
              </w:rPr>
              <w:t>01.01.11</w:t>
            </w:r>
          </w:p>
        </w:tc>
      </w:tr>
      <w:tr w:rsidR="00676AFC">
        <w:tc>
          <w:tcPr>
            <w:tcW w:w="6248" w:type="dxa"/>
            <w:vAlign w:val="bottom"/>
          </w:tcPr>
          <w:p w:rsidR="00676AFC" w:rsidRDefault="00676AFC">
            <w:pPr>
              <w:pStyle w:val="TableStubIMS"/>
              <w:ind w:left="173" w:hanging="173"/>
              <w:rPr>
                <w:rFonts w:ascii="Arial" w:hAnsi="Arial" w:cs="Arial"/>
                <w:b/>
                <w:bCs/>
              </w:rPr>
            </w:pPr>
          </w:p>
        </w:tc>
        <w:tc>
          <w:tcPr>
            <w:tcW w:w="1440" w:type="dxa"/>
            <w:vAlign w:val="bottom"/>
          </w:tcPr>
          <w:p w:rsidR="00676AFC" w:rsidRDefault="00676AFC">
            <w:pPr>
              <w:pStyle w:val="TableColumnIMS"/>
              <w:rPr>
                <w:rFonts w:ascii="Arial" w:hAnsi="Arial" w:cs="Arial"/>
                <w:b/>
                <w:bCs/>
              </w:rPr>
            </w:pPr>
            <w:r>
              <w:rPr>
                <w:rFonts w:ascii="Arial" w:hAnsi="Arial" w:cs="Arial"/>
                <w:b/>
                <w:bCs/>
              </w:rPr>
              <w:t>to 30.06.12</w:t>
            </w:r>
          </w:p>
        </w:tc>
        <w:tc>
          <w:tcPr>
            <w:tcW w:w="1440" w:type="dxa"/>
            <w:vAlign w:val="bottom"/>
          </w:tcPr>
          <w:p w:rsidR="00676AFC" w:rsidRDefault="00676AFC">
            <w:pPr>
              <w:pStyle w:val="TableColumnIMS"/>
              <w:rPr>
                <w:rFonts w:ascii="Arial" w:hAnsi="Arial" w:cs="Arial"/>
                <w:b/>
                <w:bCs/>
              </w:rPr>
            </w:pPr>
            <w:r>
              <w:rPr>
                <w:rFonts w:ascii="Arial" w:hAnsi="Arial" w:cs="Arial"/>
                <w:b/>
                <w:bCs/>
              </w:rPr>
              <w:t>to 31.12.11</w:t>
            </w:r>
          </w:p>
        </w:tc>
        <w:tc>
          <w:tcPr>
            <w:tcW w:w="1428" w:type="dxa"/>
            <w:vAlign w:val="bottom"/>
          </w:tcPr>
          <w:p w:rsidR="00676AFC" w:rsidRDefault="00676AFC">
            <w:pPr>
              <w:pStyle w:val="TableColumnIMS"/>
              <w:rPr>
                <w:rFonts w:ascii="Arial" w:hAnsi="Arial" w:cs="Arial"/>
                <w:b/>
                <w:bCs/>
              </w:rPr>
            </w:pPr>
            <w:r>
              <w:rPr>
                <w:rFonts w:ascii="Arial" w:hAnsi="Arial" w:cs="Arial"/>
                <w:b/>
                <w:bCs/>
              </w:rPr>
              <w:t>to 30.06.11</w:t>
            </w:r>
          </w:p>
        </w:tc>
      </w:tr>
      <w:tr w:rsidR="00676AFC">
        <w:tc>
          <w:tcPr>
            <w:tcW w:w="6248" w:type="dxa"/>
            <w:vAlign w:val="bottom"/>
          </w:tcPr>
          <w:p w:rsidR="00676AFC" w:rsidRDefault="00676AFC">
            <w:pPr>
              <w:pStyle w:val="TableStubIMS"/>
              <w:ind w:left="173" w:hanging="173"/>
              <w:rPr>
                <w:rFonts w:ascii="Arial" w:hAnsi="Arial" w:cs="Arial"/>
                <w:b/>
                <w:bCs/>
              </w:rPr>
            </w:pPr>
          </w:p>
        </w:tc>
        <w:tc>
          <w:tcPr>
            <w:tcW w:w="1440" w:type="dxa"/>
            <w:vAlign w:val="bottom"/>
          </w:tcPr>
          <w:p w:rsidR="00676AFC" w:rsidRDefault="00676AFC">
            <w:pPr>
              <w:pStyle w:val="TableColumnIMS"/>
              <w:rPr>
                <w:rFonts w:ascii="Arial" w:hAnsi="Arial" w:cs="Arial"/>
                <w:b/>
                <w:bCs/>
              </w:rPr>
            </w:pPr>
            <w:r>
              <w:rPr>
                <w:rFonts w:ascii="Arial" w:hAnsi="Arial" w:cs="Arial"/>
                <w:b/>
                <w:bCs/>
              </w:rPr>
              <w:t>(Unaudited)</w:t>
            </w:r>
          </w:p>
        </w:tc>
        <w:tc>
          <w:tcPr>
            <w:tcW w:w="1440" w:type="dxa"/>
            <w:vAlign w:val="bottom"/>
          </w:tcPr>
          <w:p w:rsidR="00676AFC" w:rsidRDefault="00676AFC">
            <w:pPr>
              <w:pStyle w:val="TableColumnIMS"/>
              <w:rPr>
                <w:rFonts w:ascii="Arial" w:hAnsi="Arial" w:cs="Arial"/>
                <w:b/>
                <w:bCs/>
              </w:rPr>
            </w:pPr>
            <w:r>
              <w:rPr>
                <w:rFonts w:ascii="Arial" w:hAnsi="Arial" w:cs="Arial"/>
                <w:b/>
                <w:bCs/>
              </w:rPr>
              <w:t>(Audited)</w:t>
            </w:r>
          </w:p>
        </w:tc>
        <w:tc>
          <w:tcPr>
            <w:tcW w:w="1428" w:type="dxa"/>
            <w:vAlign w:val="bottom"/>
          </w:tcPr>
          <w:p w:rsidR="00676AFC" w:rsidRDefault="00676AFC">
            <w:pPr>
              <w:pStyle w:val="TableColumnIMS"/>
              <w:rPr>
                <w:rFonts w:ascii="Arial" w:hAnsi="Arial" w:cs="Arial"/>
                <w:b/>
                <w:bCs/>
              </w:rPr>
            </w:pPr>
            <w:r>
              <w:rPr>
                <w:rFonts w:ascii="Arial" w:hAnsi="Arial" w:cs="Arial"/>
                <w:b/>
                <w:bCs/>
              </w:rPr>
              <w:t>(Unaudited)</w:t>
            </w:r>
          </w:p>
        </w:tc>
      </w:tr>
      <w:tr w:rsidR="00676AFC">
        <w:tc>
          <w:tcPr>
            <w:tcW w:w="6248" w:type="dxa"/>
            <w:tcBorders>
              <w:bottom w:val="single" w:sz="4" w:space="0" w:color="auto"/>
            </w:tcBorders>
            <w:vAlign w:val="bottom"/>
          </w:tcPr>
          <w:p w:rsidR="00676AFC" w:rsidRDefault="00676AFC">
            <w:pPr>
              <w:pStyle w:val="TableStubIMS"/>
              <w:ind w:left="173" w:hanging="173"/>
              <w:rPr>
                <w:rFonts w:ascii="Arial" w:hAnsi="Arial" w:cs="Arial"/>
                <w:b/>
                <w:bCs/>
              </w:rPr>
            </w:pPr>
          </w:p>
        </w:tc>
        <w:tc>
          <w:tcPr>
            <w:tcW w:w="1440" w:type="dxa"/>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US$’000</w:t>
            </w:r>
          </w:p>
        </w:tc>
        <w:tc>
          <w:tcPr>
            <w:tcW w:w="1440" w:type="dxa"/>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US$’000</w:t>
            </w:r>
          </w:p>
        </w:tc>
        <w:tc>
          <w:tcPr>
            <w:tcW w:w="1428" w:type="dxa"/>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US$’000</w:t>
            </w: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b/>
                <w:bCs/>
              </w:rPr>
            </w:pPr>
            <w:r>
              <w:rPr>
                <w:rFonts w:ascii="Arial" w:hAnsi="Arial" w:cs="Arial"/>
                <w:b/>
                <w:bCs/>
              </w:rPr>
              <w:t>Cash flows from operating activities</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rPr>
            </w:pP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Net increase in net assets resulting from operations</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8,323</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39,147</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47,276</w:t>
            </w:r>
          </w:p>
        </w:tc>
      </w:tr>
      <w:tr w:rsidR="00676AFC">
        <w:tc>
          <w:tcPr>
            <w:tcW w:w="6248" w:type="dxa"/>
            <w:tcBorders>
              <w:top w:val="single" w:sz="4" w:space="0" w:color="auto"/>
              <w:bottom w:val="single" w:sz="4" w:space="0" w:color="auto"/>
            </w:tcBorders>
            <w:vAlign w:val="bottom"/>
          </w:tcPr>
          <w:p w:rsidR="00676AFC" w:rsidRDefault="00676AFC" w:rsidP="00E8452B">
            <w:pPr>
              <w:pStyle w:val="TableStubIMS"/>
              <w:ind w:left="173" w:hanging="173"/>
              <w:rPr>
                <w:rFonts w:ascii="Arial" w:hAnsi="Arial" w:cs="Arial"/>
              </w:rPr>
            </w:pPr>
            <w:r>
              <w:rPr>
                <w:rFonts w:ascii="Arial" w:hAnsi="Arial" w:cs="Arial"/>
              </w:rPr>
              <w:t xml:space="preserve">Adjustments </w:t>
            </w:r>
            <w:r w:rsidR="00E8452B">
              <w:rPr>
                <w:rFonts w:ascii="Arial" w:hAnsi="Arial" w:cs="Arial"/>
              </w:rPr>
              <w:t>to reconcile net income/(expense)</w:t>
            </w:r>
            <w:r>
              <w:rPr>
                <w:rFonts w:ascii="Arial" w:hAnsi="Arial" w:cs="Arial"/>
              </w:rPr>
              <w:t xml:space="preserve"> to net cash </w:t>
            </w:r>
            <w:r w:rsidR="00E8452B">
              <w:rPr>
                <w:rFonts w:ascii="Arial" w:hAnsi="Arial" w:cs="Arial"/>
              </w:rPr>
              <w:t>(used in)/</w:t>
            </w:r>
            <w:r>
              <w:rPr>
                <w:rFonts w:ascii="Arial" w:hAnsi="Arial" w:cs="Arial"/>
              </w:rPr>
              <w:t>provided by operating activities:</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rPr>
            </w:pP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Net investment loss allocated from BHGO</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101</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108</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92</w:t>
            </w: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 xml:space="preserve">Net </w:t>
            </w:r>
            <w:proofErr w:type="spellStart"/>
            <w:r>
              <w:rPr>
                <w:rFonts w:ascii="Arial" w:hAnsi="Arial" w:cs="Arial"/>
              </w:rPr>
              <w:t>realised</w:t>
            </w:r>
            <w:proofErr w:type="spellEnd"/>
            <w:r>
              <w:rPr>
                <w:rFonts w:ascii="Arial" w:hAnsi="Arial" w:cs="Arial"/>
              </w:rPr>
              <w:t xml:space="preserve"> gain on investments allocated from BHGO</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(8,320)</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(21,210)</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(15,217)</w:t>
            </w: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 xml:space="preserve">Net </w:t>
            </w:r>
            <w:proofErr w:type="spellStart"/>
            <w:r>
              <w:rPr>
                <w:rFonts w:ascii="Arial" w:hAnsi="Arial" w:cs="Arial"/>
              </w:rPr>
              <w:t>unrealised</w:t>
            </w:r>
            <w:proofErr w:type="spellEnd"/>
            <w:r>
              <w:rPr>
                <w:rFonts w:ascii="Arial" w:hAnsi="Arial" w:cs="Arial"/>
              </w:rPr>
              <w:t xml:space="preserve"> gain on investments allocated from BHGO</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(1,948)</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(18,679)</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(34,036)</w:t>
            </w: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 xml:space="preserve">Net </w:t>
            </w:r>
            <w:proofErr w:type="spellStart"/>
            <w:r>
              <w:rPr>
                <w:rFonts w:ascii="Arial" w:hAnsi="Arial" w:cs="Arial"/>
              </w:rPr>
              <w:t>realised</w:t>
            </w:r>
            <w:proofErr w:type="spellEnd"/>
            <w:r>
              <w:rPr>
                <w:rFonts w:ascii="Arial" w:hAnsi="Arial" w:cs="Arial"/>
              </w:rPr>
              <w:t xml:space="preserve"> and </w:t>
            </w:r>
            <w:proofErr w:type="spellStart"/>
            <w:r>
              <w:rPr>
                <w:rFonts w:ascii="Arial" w:hAnsi="Arial" w:cs="Arial"/>
              </w:rPr>
              <w:t>unrealised</w:t>
            </w:r>
            <w:proofErr w:type="spellEnd"/>
            <w:r>
              <w:rPr>
                <w:rFonts w:ascii="Arial" w:hAnsi="Arial" w:cs="Arial"/>
              </w:rPr>
              <w:t xml:space="preserve"> foreign exchange loss/(gain) allocated from BHGO</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12,197</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(11,815)</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31,822</w:t>
            </w: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Purchase of investment in BHGO</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(20,170)</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w:t>
            </w: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Proceeds from sale of investment in BHGO</w:t>
            </w:r>
          </w:p>
        </w:tc>
        <w:tc>
          <w:tcPr>
            <w:tcW w:w="1440" w:type="dxa"/>
            <w:tcBorders>
              <w:top w:val="single" w:sz="4" w:space="0" w:color="auto"/>
              <w:bottom w:val="single" w:sz="4" w:space="0" w:color="auto"/>
            </w:tcBorders>
            <w:vAlign w:val="bottom"/>
          </w:tcPr>
          <w:p w:rsidR="00676AFC" w:rsidRDefault="00676AFC" w:rsidP="00D3447B">
            <w:pPr>
              <w:pStyle w:val="TableColumnIMS"/>
              <w:rPr>
                <w:rFonts w:ascii="Arial" w:hAnsi="Arial" w:cs="Arial"/>
              </w:rPr>
            </w:pPr>
            <w:r>
              <w:rPr>
                <w:rFonts w:ascii="Arial" w:hAnsi="Arial" w:cs="Arial"/>
              </w:rPr>
              <w:t>2,</w:t>
            </w:r>
            <w:r w:rsidR="00D3447B">
              <w:rPr>
                <w:rFonts w:ascii="Arial" w:hAnsi="Arial" w:cs="Arial"/>
              </w:rPr>
              <w:t>571</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33,717</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34,056</w:t>
            </w: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Foreign exchange (gains)/losses</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(14,100)</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5,541</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(33,277)</w:t>
            </w: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(Increase)/decrease in other debtors</w:t>
            </w:r>
          </w:p>
        </w:tc>
        <w:tc>
          <w:tcPr>
            <w:tcW w:w="1440" w:type="dxa"/>
            <w:tcBorders>
              <w:top w:val="single" w:sz="4" w:space="0" w:color="auto"/>
              <w:bottom w:val="single" w:sz="4" w:space="0" w:color="auto"/>
            </w:tcBorders>
            <w:vAlign w:val="bottom"/>
          </w:tcPr>
          <w:p w:rsidR="00676AFC" w:rsidRDefault="00676AFC" w:rsidP="00D3447B">
            <w:pPr>
              <w:pStyle w:val="TableColumnIMS"/>
              <w:rPr>
                <w:rFonts w:ascii="Arial" w:hAnsi="Arial" w:cs="Arial"/>
              </w:rPr>
            </w:pPr>
            <w:r>
              <w:rPr>
                <w:rFonts w:ascii="Arial" w:hAnsi="Arial" w:cs="Arial"/>
              </w:rPr>
              <w:t>(</w:t>
            </w:r>
            <w:r w:rsidR="00D3447B">
              <w:rPr>
                <w:rFonts w:ascii="Arial" w:hAnsi="Arial" w:cs="Arial"/>
              </w:rPr>
              <w:t>168</w:t>
            </w:r>
            <w:r>
              <w:rPr>
                <w:rFonts w:ascii="Arial" w:hAnsi="Arial" w:cs="Arial"/>
              </w:rPr>
              <w:t>)</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(88)</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9</w:t>
            </w: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(Decrease)/increase in management fees payable</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(30)</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9</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w:t>
            </w: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Increase/(decrease) in accrued expenses and other liabilities</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116</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(215)</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(74)</w:t>
            </w: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Increase in Directors’ fees payable</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2</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6</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11</w:t>
            </w: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Increase/(decrease) in administration fees payable</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29</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(57)</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(58)</w:t>
            </w: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b/>
                <w:bCs/>
              </w:rPr>
            </w:pPr>
            <w:r>
              <w:rPr>
                <w:rFonts w:ascii="Arial" w:hAnsi="Arial" w:cs="Arial"/>
                <w:b/>
                <w:bCs/>
              </w:rPr>
              <w:t>Net cash (used in)/provided by operating activities</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(1,227)</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6,294</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30,604</w:t>
            </w:r>
          </w:p>
        </w:tc>
      </w:tr>
      <w:tr w:rsidR="00676AFC">
        <w:tc>
          <w:tcPr>
            <w:tcW w:w="6248" w:type="dxa"/>
            <w:tcBorders>
              <w:top w:val="single" w:sz="4" w:space="0" w:color="auto"/>
            </w:tcBorders>
            <w:vAlign w:val="bottom"/>
          </w:tcPr>
          <w:p w:rsidR="00676AFC" w:rsidRDefault="00676AFC">
            <w:pPr>
              <w:pStyle w:val="TableStubIMS"/>
              <w:ind w:left="173" w:hanging="173"/>
              <w:rPr>
                <w:rFonts w:ascii="Arial" w:hAnsi="Arial" w:cs="Arial"/>
              </w:rPr>
            </w:pPr>
          </w:p>
        </w:tc>
        <w:tc>
          <w:tcPr>
            <w:tcW w:w="1440" w:type="dxa"/>
            <w:tcBorders>
              <w:top w:val="single" w:sz="4" w:space="0" w:color="auto"/>
            </w:tcBorders>
            <w:vAlign w:val="bottom"/>
          </w:tcPr>
          <w:p w:rsidR="00676AFC" w:rsidRDefault="00676AFC">
            <w:pPr>
              <w:pStyle w:val="TableColumnIMS"/>
              <w:rPr>
                <w:rFonts w:ascii="Arial" w:hAnsi="Arial" w:cs="Arial"/>
              </w:rPr>
            </w:pPr>
          </w:p>
        </w:tc>
        <w:tc>
          <w:tcPr>
            <w:tcW w:w="1440" w:type="dxa"/>
            <w:tcBorders>
              <w:top w:val="single" w:sz="4" w:space="0" w:color="auto"/>
            </w:tcBorders>
            <w:vAlign w:val="bottom"/>
          </w:tcPr>
          <w:p w:rsidR="00676AFC" w:rsidRDefault="00676AFC">
            <w:pPr>
              <w:pStyle w:val="TableColumnIMS"/>
              <w:rPr>
                <w:rFonts w:ascii="Arial" w:hAnsi="Arial" w:cs="Arial"/>
              </w:rPr>
            </w:pPr>
          </w:p>
        </w:tc>
        <w:tc>
          <w:tcPr>
            <w:tcW w:w="1428" w:type="dxa"/>
            <w:tcBorders>
              <w:top w:val="single" w:sz="4" w:space="0" w:color="auto"/>
            </w:tcBorders>
            <w:vAlign w:val="bottom"/>
          </w:tcPr>
          <w:p w:rsidR="00676AFC" w:rsidRDefault="00676AFC">
            <w:pPr>
              <w:pStyle w:val="TableColumnIMS"/>
              <w:rPr>
                <w:rFonts w:ascii="Arial" w:hAnsi="Arial" w:cs="Arial"/>
              </w:rPr>
            </w:pPr>
          </w:p>
        </w:tc>
      </w:tr>
      <w:tr w:rsidR="00676AFC">
        <w:tc>
          <w:tcPr>
            <w:tcW w:w="6248" w:type="dxa"/>
            <w:tcBorders>
              <w:bottom w:val="single" w:sz="4" w:space="0" w:color="auto"/>
            </w:tcBorders>
            <w:vAlign w:val="bottom"/>
          </w:tcPr>
          <w:p w:rsidR="00676AFC" w:rsidRDefault="00676AFC">
            <w:pPr>
              <w:pStyle w:val="TableStubIMS"/>
              <w:ind w:left="173" w:hanging="173"/>
              <w:rPr>
                <w:rFonts w:ascii="Arial" w:hAnsi="Arial" w:cs="Arial"/>
                <w:b/>
                <w:bCs/>
              </w:rPr>
            </w:pPr>
            <w:r>
              <w:rPr>
                <w:rFonts w:ascii="Arial" w:hAnsi="Arial" w:cs="Arial"/>
                <w:b/>
                <w:bCs/>
              </w:rPr>
              <w:t>Cash flows from financing activities</w:t>
            </w:r>
          </w:p>
        </w:tc>
        <w:tc>
          <w:tcPr>
            <w:tcW w:w="1440" w:type="dxa"/>
            <w:tcBorders>
              <w:bottom w:val="single" w:sz="4" w:space="0" w:color="auto"/>
            </w:tcBorders>
            <w:vAlign w:val="bottom"/>
          </w:tcPr>
          <w:p w:rsidR="00676AFC" w:rsidRDefault="00676AFC">
            <w:pPr>
              <w:pStyle w:val="TableColumnIMS"/>
              <w:rPr>
                <w:rFonts w:ascii="Arial" w:hAnsi="Arial" w:cs="Arial"/>
              </w:rPr>
            </w:pPr>
          </w:p>
        </w:tc>
        <w:tc>
          <w:tcPr>
            <w:tcW w:w="1440" w:type="dxa"/>
            <w:tcBorders>
              <w:bottom w:val="single" w:sz="4" w:space="0" w:color="auto"/>
            </w:tcBorders>
            <w:vAlign w:val="bottom"/>
          </w:tcPr>
          <w:p w:rsidR="00676AFC" w:rsidRDefault="00676AFC">
            <w:pPr>
              <w:pStyle w:val="TableColumnIMS"/>
              <w:rPr>
                <w:rFonts w:ascii="Arial" w:hAnsi="Arial" w:cs="Arial"/>
              </w:rPr>
            </w:pPr>
          </w:p>
        </w:tc>
        <w:tc>
          <w:tcPr>
            <w:tcW w:w="1428" w:type="dxa"/>
            <w:tcBorders>
              <w:bottom w:val="single" w:sz="4" w:space="0" w:color="auto"/>
            </w:tcBorders>
            <w:vAlign w:val="bottom"/>
          </w:tcPr>
          <w:p w:rsidR="00676AFC" w:rsidRDefault="00676AFC">
            <w:pPr>
              <w:pStyle w:val="TableColumnIMS"/>
              <w:rPr>
                <w:rFonts w:ascii="Arial" w:hAnsi="Arial" w:cs="Arial"/>
              </w:rPr>
            </w:pP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Purchase of own shares</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(16,947)</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(13,425)</w:t>
            </w: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b/>
                <w:bCs/>
              </w:rPr>
            </w:pPr>
            <w:r>
              <w:rPr>
                <w:rFonts w:ascii="Arial" w:hAnsi="Arial" w:cs="Arial"/>
                <w:b/>
                <w:bCs/>
              </w:rPr>
              <w:t>Net cash used in financing activities</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(16,947)</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(13,425)</w:t>
            </w:r>
          </w:p>
        </w:tc>
      </w:tr>
      <w:tr w:rsidR="00676AFC">
        <w:tc>
          <w:tcPr>
            <w:tcW w:w="6248" w:type="dxa"/>
            <w:tcBorders>
              <w:top w:val="single" w:sz="4" w:space="0" w:color="auto"/>
            </w:tcBorders>
            <w:vAlign w:val="bottom"/>
          </w:tcPr>
          <w:p w:rsidR="00676AFC" w:rsidRDefault="00676AFC">
            <w:pPr>
              <w:pStyle w:val="TableStubIMS"/>
              <w:ind w:left="173" w:hanging="173"/>
              <w:rPr>
                <w:rFonts w:ascii="Arial" w:hAnsi="Arial" w:cs="Arial"/>
              </w:rPr>
            </w:pPr>
          </w:p>
        </w:tc>
        <w:tc>
          <w:tcPr>
            <w:tcW w:w="1440" w:type="dxa"/>
            <w:tcBorders>
              <w:top w:val="single" w:sz="4" w:space="0" w:color="auto"/>
            </w:tcBorders>
            <w:vAlign w:val="bottom"/>
          </w:tcPr>
          <w:p w:rsidR="00676AFC" w:rsidRDefault="00676AFC">
            <w:pPr>
              <w:pStyle w:val="TableColumnIMS"/>
              <w:rPr>
                <w:rFonts w:ascii="Arial" w:hAnsi="Arial" w:cs="Arial"/>
              </w:rPr>
            </w:pPr>
          </w:p>
        </w:tc>
        <w:tc>
          <w:tcPr>
            <w:tcW w:w="1440" w:type="dxa"/>
            <w:tcBorders>
              <w:top w:val="single" w:sz="4" w:space="0" w:color="auto"/>
            </w:tcBorders>
            <w:vAlign w:val="bottom"/>
          </w:tcPr>
          <w:p w:rsidR="00676AFC" w:rsidRDefault="00676AFC">
            <w:pPr>
              <w:pStyle w:val="TableColumnIMS"/>
              <w:rPr>
                <w:rFonts w:ascii="Arial" w:hAnsi="Arial" w:cs="Arial"/>
              </w:rPr>
            </w:pPr>
          </w:p>
        </w:tc>
        <w:tc>
          <w:tcPr>
            <w:tcW w:w="1428" w:type="dxa"/>
            <w:tcBorders>
              <w:top w:val="single" w:sz="4" w:space="0" w:color="auto"/>
            </w:tcBorders>
            <w:vAlign w:val="bottom"/>
          </w:tcPr>
          <w:p w:rsidR="00676AFC" w:rsidRDefault="00676AFC">
            <w:pPr>
              <w:pStyle w:val="TableColumnIMS"/>
              <w:rPr>
                <w:rFonts w:ascii="Arial" w:hAnsi="Arial" w:cs="Arial"/>
              </w:rPr>
            </w:pPr>
          </w:p>
        </w:tc>
      </w:tr>
      <w:tr w:rsidR="00676AFC">
        <w:tc>
          <w:tcPr>
            <w:tcW w:w="6248" w:type="dxa"/>
            <w:tcBorders>
              <w:bottom w:val="single" w:sz="4" w:space="0" w:color="auto"/>
            </w:tcBorders>
            <w:vAlign w:val="bottom"/>
          </w:tcPr>
          <w:p w:rsidR="00676AFC" w:rsidRDefault="00676AFC">
            <w:pPr>
              <w:pStyle w:val="TableStubIMS"/>
              <w:ind w:left="173" w:hanging="173"/>
              <w:rPr>
                <w:rFonts w:ascii="Arial" w:hAnsi="Arial" w:cs="Arial"/>
                <w:b/>
                <w:bCs/>
              </w:rPr>
            </w:pPr>
            <w:r>
              <w:rPr>
                <w:rFonts w:ascii="Arial" w:hAnsi="Arial" w:cs="Arial"/>
                <w:b/>
                <w:bCs/>
              </w:rPr>
              <w:t>Change in cash</w:t>
            </w:r>
          </w:p>
        </w:tc>
        <w:tc>
          <w:tcPr>
            <w:tcW w:w="1440" w:type="dxa"/>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(1,227)</w:t>
            </w:r>
          </w:p>
        </w:tc>
        <w:tc>
          <w:tcPr>
            <w:tcW w:w="1440" w:type="dxa"/>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(10,653)</w:t>
            </w:r>
          </w:p>
        </w:tc>
        <w:tc>
          <w:tcPr>
            <w:tcW w:w="1428" w:type="dxa"/>
            <w:tcBorders>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17,179</w:t>
            </w: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b/>
                <w:bCs/>
              </w:rPr>
            </w:pPr>
            <w:r>
              <w:rPr>
                <w:rFonts w:ascii="Arial" w:hAnsi="Arial" w:cs="Arial"/>
                <w:b/>
                <w:bCs/>
              </w:rPr>
              <w:t>Cash, beginning of the period/year</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2,776</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13,429</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13,429</w:t>
            </w: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b/>
                <w:bCs/>
              </w:rPr>
            </w:pPr>
            <w:r>
              <w:rPr>
                <w:rFonts w:ascii="Arial" w:hAnsi="Arial" w:cs="Arial"/>
                <w:b/>
                <w:bCs/>
              </w:rPr>
              <w:t>Cash, end of the period/year</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1,549</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2,776</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30,608</w:t>
            </w:r>
          </w:p>
        </w:tc>
      </w:tr>
      <w:tr w:rsidR="00676AFC">
        <w:tc>
          <w:tcPr>
            <w:tcW w:w="6248" w:type="dxa"/>
            <w:tcBorders>
              <w:top w:val="single" w:sz="4" w:space="0" w:color="auto"/>
            </w:tcBorders>
            <w:vAlign w:val="bottom"/>
          </w:tcPr>
          <w:p w:rsidR="00676AFC" w:rsidRDefault="00676AFC">
            <w:pPr>
              <w:pStyle w:val="TableStubIMS"/>
              <w:ind w:left="173" w:hanging="173"/>
              <w:rPr>
                <w:rFonts w:ascii="Arial" w:hAnsi="Arial" w:cs="Arial"/>
              </w:rPr>
            </w:pPr>
          </w:p>
        </w:tc>
        <w:tc>
          <w:tcPr>
            <w:tcW w:w="1440" w:type="dxa"/>
            <w:tcBorders>
              <w:top w:val="single" w:sz="4" w:space="0" w:color="auto"/>
            </w:tcBorders>
            <w:vAlign w:val="bottom"/>
          </w:tcPr>
          <w:p w:rsidR="00676AFC" w:rsidRDefault="00676AFC">
            <w:pPr>
              <w:pStyle w:val="TableColumnIMS"/>
              <w:rPr>
                <w:rFonts w:ascii="Arial" w:hAnsi="Arial" w:cs="Arial"/>
              </w:rPr>
            </w:pPr>
          </w:p>
        </w:tc>
        <w:tc>
          <w:tcPr>
            <w:tcW w:w="1440" w:type="dxa"/>
            <w:tcBorders>
              <w:top w:val="single" w:sz="4" w:space="0" w:color="auto"/>
            </w:tcBorders>
            <w:vAlign w:val="bottom"/>
          </w:tcPr>
          <w:p w:rsidR="00676AFC" w:rsidRDefault="00676AFC">
            <w:pPr>
              <w:pStyle w:val="TableColumnIMS"/>
              <w:rPr>
                <w:rFonts w:ascii="Arial" w:hAnsi="Arial" w:cs="Arial"/>
              </w:rPr>
            </w:pPr>
          </w:p>
        </w:tc>
        <w:tc>
          <w:tcPr>
            <w:tcW w:w="1428" w:type="dxa"/>
            <w:tcBorders>
              <w:top w:val="single" w:sz="4" w:space="0" w:color="auto"/>
            </w:tcBorders>
            <w:vAlign w:val="bottom"/>
          </w:tcPr>
          <w:p w:rsidR="00676AFC" w:rsidRDefault="00676AFC">
            <w:pPr>
              <w:pStyle w:val="TableColumnIMS"/>
              <w:rPr>
                <w:rFonts w:ascii="Arial" w:hAnsi="Arial" w:cs="Arial"/>
              </w:rPr>
            </w:pPr>
          </w:p>
        </w:tc>
      </w:tr>
      <w:tr w:rsidR="00676AFC">
        <w:tc>
          <w:tcPr>
            <w:tcW w:w="6248" w:type="dxa"/>
            <w:tcBorders>
              <w:bottom w:val="single" w:sz="4" w:space="0" w:color="auto"/>
            </w:tcBorders>
            <w:vAlign w:val="bottom"/>
          </w:tcPr>
          <w:p w:rsidR="00676AFC" w:rsidRDefault="00676AFC">
            <w:pPr>
              <w:pStyle w:val="TableStubIMS"/>
              <w:ind w:left="173" w:hanging="173"/>
              <w:rPr>
                <w:rFonts w:ascii="Arial" w:hAnsi="Arial" w:cs="Arial"/>
                <w:b/>
                <w:bCs/>
              </w:rPr>
            </w:pPr>
            <w:r>
              <w:rPr>
                <w:rFonts w:ascii="Arial" w:hAnsi="Arial" w:cs="Arial"/>
                <w:b/>
                <w:bCs/>
              </w:rPr>
              <w:t>Cash, end of the period/year</w:t>
            </w:r>
          </w:p>
        </w:tc>
        <w:tc>
          <w:tcPr>
            <w:tcW w:w="1440" w:type="dxa"/>
            <w:tcBorders>
              <w:bottom w:val="single" w:sz="4" w:space="0" w:color="auto"/>
            </w:tcBorders>
            <w:vAlign w:val="bottom"/>
          </w:tcPr>
          <w:p w:rsidR="00676AFC" w:rsidRDefault="00676AFC">
            <w:pPr>
              <w:pStyle w:val="TableColumnIMS"/>
              <w:rPr>
                <w:rFonts w:ascii="Arial" w:hAnsi="Arial" w:cs="Arial"/>
                <w:b/>
                <w:bCs/>
              </w:rPr>
            </w:pPr>
          </w:p>
        </w:tc>
        <w:tc>
          <w:tcPr>
            <w:tcW w:w="1440" w:type="dxa"/>
            <w:tcBorders>
              <w:bottom w:val="single" w:sz="4" w:space="0" w:color="auto"/>
            </w:tcBorders>
            <w:vAlign w:val="bottom"/>
          </w:tcPr>
          <w:p w:rsidR="00676AFC" w:rsidRDefault="00676AFC">
            <w:pPr>
              <w:pStyle w:val="TableColumnIMS"/>
              <w:rPr>
                <w:rFonts w:ascii="Arial" w:hAnsi="Arial" w:cs="Arial"/>
                <w:b/>
                <w:bCs/>
              </w:rPr>
            </w:pPr>
          </w:p>
        </w:tc>
        <w:tc>
          <w:tcPr>
            <w:tcW w:w="1428" w:type="dxa"/>
            <w:tcBorders>
              <w:bottom w:val="single" w:sz="4" w:space="0" w:color="auto"/>
            </w:tcBorders>
            <w:vAlign w:val="bottom"/>
          </w:tcPr>
          <w:p w:rsidR="00676AFC" w:rsidRDefault="00676AFC">
            <w:pPr>
              <w:pStyle w:val="TableColumnIMS"/>
              <w:rPr>
                <w:rFonts w:ascii="Arial" w:hAnsi="Arial" w:cs="Arial"/>
                <w:b/>
                <w:bCs/>
              </w:rPr>
            </w:pP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Cash and bank balances denominated in US Dollars</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219</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594</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8,229</w:t>
            </w: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Cash and bank balances denominated in Euro</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109</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140</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2,453</w:t>
            </w: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rPr>
            </w:pPr>
            <w:r>
              <w:rPr>
                <w:rFonts w:ascii="Arial" w:hAnsi="Arial" w:cs="Arial"/>
              </w:rPr>
              <w:t>Cash and bank balances denominated in Sterling</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1,221</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2,042</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rPr>
            </w:pPr>
            <w:r>
              <w:rPr>
                <w:rFonts w:ascii="Arial" w:hAnsi="Arial" w:cs="Arial"/>
              </w:rPr>
              <w:t>19,926</w:t>
            </w:r>
          </w:p>
        </w:tc>
      </w:tr>
      <w:tr w:rsidR="00676AFC">
        <w:tc>
          <w:tcPr>
            <w:tcW w:w="6248" w:type="dxa"/>
            <w:tcBorders>
              <w:top w:val="single" w:sz="4" w:space="0" w:color="auto"/>
              <w:bottom w:val="single" w:sz="4" w:space="0" w:color="auto"/>
            </w:tcBorders>
            <w:vAlign w:val="bottom"/>
          </w:tcPr>
          <w:p w:rsidR="00676AFC" w:rsidRDefault="00676AFC">
            <w:pPr>
              <w:pStyle w:val="TableStubIMS"/>
              <w:ind w:left="173" w:hanging="173"/>
              <w:rPr>
                <w:rFonts w:ascii="Arial" w:hAnsi="Arial" w:cs="Arial"/>
                <w:b/>
                <w:bCs/>
              </w:rPr>
            </w:pP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1,549</w:t>
            </w:r>
          </w:p>
        </w:tc>
        <w:tc>
          <w:tcPr>
            <w:tcW w:w="1440"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2,776</w:t>
            </w:r>
          </w:p>
        </w:tc>
        <w:tc>
          <w:tcPr>
            <w:tcW w:w="1428" w:type="dxa"/>
            <w:tcBorders>
              <w:top w:val="single" w:sz="4" w:space="0" w:color="auto"/>
              <w:bottom w:val="single" w:sz="4" w:space="0" w:color="auto"/>
            </w:tcBorders>
            <w:vAlign w:val="bottom"/>
          </w:tcPr>
          <w:p w:rsidR="00676AFC" w:rsidRDefault="00676AFC">
            <w:pPr>
              <w:pStyle w:val="TableColumnIMS"/>
              <w:rPr>
                <w:rFonts w:ascii="Arial" w:hAnsi="Arial" w:cs="Arial"/>
                <w:b/>
                <w:bCs/>
              </w:rPr>
            </w:pPr>
            <w:r>
              <w:rPr>
                <w:rFonts w:ascii="Arial" w:hAnsi="Arial" w:cs="Arial"/>
                <w:b/>
                <w:bCs/>
              </w:rPr>
              <w:t>30,608</w:t>
            </w:r>
          </w:p>
        </w:tc>
      </w:tr>
    </w:tbl>
    <w:p w:rsidR="00676AFC" w:rsidRDefault="00676AFC">
      <w:pPr>
        <w:pStyle w:val="ParaIMS"/>
        <w:spacing w:before="0"/>
        <w:rPr>
          <w:rFonts w:ascii="Arial" w:hAnsi="Arial" w:cs="Arial"/>
        </w:rPr>
      </w:pPr>
    </w:p>
    <w:p w:rsidR="00676AFC" w:rsidRDefault="00676AFC">
      <w:pPr>
        <w:pStyle w:val="ParaIMS"/>
        <w:spacing w:before="0"/>
        <w:rPr>
          <w:rFonts w:ascii="Arial" w:hAnsi="Arial" w:cs="Arial"/>
          <w:i/>
          <w:iCs/>
          <w:szCs w:val="18"/>
        </w:rPr>
      </w:pPr>
      <w:r>
        <w:rPr>
          <w:rFonts w:ascii="Arial" w:hAnsi="Arial" w:cs="Arial"/>
          <w:i/>
          <w:iCs/>
          <w:szCs w:val="18"/>
        </w:rPr>
        <w:t>See accompanying notes to the Interim Unaudited Financial Statements.</w:t>
      </w:r>
    </w:p>
    <w:p w:rsidR="00676AFC" w:rsidRDefault="00676AFC">
      <w:pPr>
        <w:pStyle w:val="ParaIMS"/>
        <w:spacing w:before="0"/>
        <w:rPr>
          <w:rFonts w:ascii="Arial" w:hAnsi="Arial" w:cs="Arial"/>
          <w:szCs w:val="18"/>
        </w:rPr>
      </w:pPr>
    </w:p>
    <w:p w:rsidR="00676AFC" w:rsidRDefault="00676AFC">
      <w:pPr>
        <w:pStyle w:val="ParaIMS"/>
        <w:spacing w:before="0"/>
        <w:rPr>
          <w:rFonts w:ascii="Arial" w:hAnsi="Arial" w:cs="Arial"/>
          <w:b/>
          <w:bCs/>
        </w:rPr>
      </w:pPr>
      <w:r>
        <w:rPr>
          <w:rFonts w:ascii="Arial" w:hAnsi="Arial" w:cs="Arial"/>
          <w:b/>
          <w:bCs/>
          <w:szCs w:val="45"/>
        </w:rPr>
        <w:t>Notes to the Interim Unaudited Financial Statements</w:t>
      </w:r>
    </w:p>
    <w:p w:rsidR="00676AFC" w:rsidRDefault="00676AFC">
      <w:pPr>
        <w:pStyle w:val="ParaIMS"/>
        <w:spacing w:before="0"/>
        <w:rPr>
          <w:rFonts w:ascii="Arial" w:hAnsi="Arial" w:cs="Arial"/>
        </w:rPr>
      </w:pPr>
      <w:r>
        <w:rPr>
          <w:rFonts w:ascii="Arial" w:hAnsi="Arial" w:cs="Arial"/>
          <w:szCs w:val="18"/>
        </w:rPr>
        <w:t>For the period from 1 January 2012 to 30 June 2012</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1. The Company</w:t>
      </w:r>
    </w:p>
    <w:p w:rsidR="00676AFC" w:rsidRDefault="00676AFC">
      <w:pPr>
        <w:pStyle w:val="ParaIMS"/>
        <w:spacing w:before="0"/>
        <w:rPr>
          <w:rFonts w:ascii="Arial" w:hAnsi="Arial" w:cs="Arial"/>
          <w:szCs w:val="16"/>
        </w:rPr>
      </w:pPr>
    </w:p>
    <w:p w:rsidR="00676AFC" w:rsidRDefault="00676AFC">
      <w:pPr>
        <w:pStyle w:val="ParaIMS"/>
        <w:spacing w:before="0"/>
        <w:rPr>
          <w:rFonts w:ascii="Arial" w:hAnsi="Arial" w:cs="Arial"/>
        </w:rPr>
      </w:pPr>
      <w:r>
        <w:rPr>
          <w:rFonts w:ascii="Arial" w:hAnsi="Arial" w:cs="Arial"/>
          <w:szCs w:val="16"/>
        </w:rPr>
        <w:t>BH Global Limited (the “Company”) is a limited li</w:t>
      </w:r>
      <w:r w:rsidR="00F84390">
        <w:rPr>
          <w:rFonts w:ascii="Arial" w:hAnsi="Arial" w:cs="Arial"/>
          <w:szCs w:val="16"/>
        </w:rPr>
        <w:t xml:space="preserve">ability closed-ended </w:t>
      </w:r>
      <w:proofErr w:type="gramStart"/>
      <w:r w:rsidR="00F84390">
        <w:rPr>
          <w:rFonts w:ascii="Arial" w:hAnsi="Arial" w:cs="Arial"/>
          <w:szCs w:val="16"/>
        </w:rPr>
        <w:t xml:space="preserve">investment </w:t>
      </w:r>
      <w:r>
        <w:rPr>
          <w:rFonts w:ascii="Arial" w:hAnsi="Arial" w:cs="Arial"/>
          <w:szCs w:val="16"/>
        </w:rPr>
        <w:t>company</w:t>
      </w:r>
      <w:proofErr w:type="gramEnd"/>
      <w:r>
        <w:rPr>
          <w:rFonts w:ascii="Arial" w:hAnsi="Arial" w:cs="Arial"/>
          <w:szCs w:val="16"/>
        </w:rPr>
        <w:t xml:space="preserve"> incorporated in Guernsey on 25 February 2008 for an unlimited period, with registration number 48555.</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7"/>
        </w:rPr>
        <w:t>The Company was admitted to a Primary Listing on the Official List of the London Stock Exchange on 29 May 2008. As a result of changes to the UK Listing Regime, the Company’s Primary Listing became a Premium Listing with effect from 6 April 2010.</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As of 20 October 2008 the Company obtained a Secondary Listing on the Bermuda Stock Exchange and with effect from 11 November 2008, the US Dollar shares of the Company were admitted to a Secondary Listing on NASDAQ Dubai.</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The Company offers multiple classes of ordinary shares, which differ in terms of currency of issue. To date, ordinary shares have been issued in US Dollar, Euro and Sterling.</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 xml:space="preserve">2. </w:t>
      </w:r>
      <w:proofErr w:type="spellStart"/>
      <w:r>
        <w:rPr>
          <w:rFonts w:ascii="Arial" w:hAnsi="Arial" w:cs="Arial"/>
          <w:b/>
          <w:bCs/>
          <w:szCs w:val="18"/>
        </w:rPr>
        <w:t>Organisation</w:t>
      </w:r>
      <w:proofErr w:type="spellEnd"/>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The Company’s investment objective is to seek to generate consistent long-term capital appreciation through an investment policy of investing all of its assets (net of those expenses of the initial public offering borne by the Company and funds required for its short-term working capital requirements) in BHGO.</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6"/>
        </w:rPr>
        <w:t xml:space="preserve">The Company is </w:t>
      </w:r>
      <w:proofErr w:type="spellStart"/>
      <w:r>
        <w:rPr>
          <w:rFonts w:ascii="Arial" w:hAnsi="Arial" w:cs="Arial"/>
          <w:szCs w:val="16"/>
        </w:rPr>
        <w:t>organised</w:t>
      </w:r>
      <w:proofErr w:type="spellEnd"/>
      <w:r>
        <w:rPr>
          <w:rFonts w:ascii="Arial" w:hAnsi="Arial" w:cs="Arial"/>
          <w:szCs w:val="16"/>
        </w:rPr>
        <w:t xml:space="preserve"> as a feeder fund and invests substantially all of its investable assets in the ordinary US Dollar, Euro and Sterling denominated Class A shares issued by BHGO.</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6"/>
        </w:rPr>
        <w:t xml:space="preserve">BHGO is an open-ended investment company incorporated with limited liability in the Cayman Islands on 3 March 2008 which, as at the date of these Interim Unaudited Financial Statements, invests in Brevan Howard Master Fund Limited, Brevan Howard Emerging Markets Strategies Master Fund Limited, Brevan Howard Asia Master Fund Limited, Brevan Howard Systematic Trading Master Fund Limited, Brevan Howard Credit Catalysts Master Fund Limited, Brevan Howard Commodities Strategies Master Fund Limited </w:t>
      </w:r>
      <w:r>
        <w:rPr>
          <w:rFonts w:ascii="Arial" w:hAnsi="Arial" w:cs="Arial"/>
          <w:szCs w:val="17"/>
        </w:rPr>
        <w:t>and Brevan Howard Investment Fund – Emerging Markets Local Fixed Income Fund. As at 30 June 2012, BHGO’s investments represented 1.75%, 3.43%, 4.10%, 11.92%, 4.38%, 8.58% and 3.25% respectively of the investee funds’ net asset value.</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7"/>
        </w:rPr>
        <w:t xml:space="preserve">These investment funds may invest in a wide range of geographical regions, sectors and instruments. Such instruments may include, but are not limited to, debt securities and obligations (which may be below investment grade or unrated), bank loans, listed and unlisted equities, other collective investment schemes (which may be open ended or closed ended, listed or unlisted, and which may employ leverage), currencies, commodities, futures, options, warrants, swaps, other derivative instruments and any other type of instrument or security. These funds have the ability to take short positions </w:t>
      </w:r>
      <w:r>
        <w:rPr>
          <w:rFonts w:ascii="Arial" w:hAnsi="Arial" w:cs="Arial"/>
          <w:szCs w:val="18"/>
        </w:rPr>
        <w:t>across the majority of these instruments. Subject to the investment restrictions disclosed in the Prospectus and subsequent Directors’ resolutions, the allocation of assets of BHGO among the Brevan Howard Underlying Funds in which it is permitted to invest is at the discretion of the Manager.</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At the date of these Interim Unaudited Financial Statements, the Company is the only Feeder Fund investing into BHGO.</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7"/>
        </w:rPr>
        <w:t>The Company’s Interim Unaudited Financial Statements should be read alongside the Interim Unaudited Financial Statements of BHGO which can be found on the Company’s website, www.bhglobal.com.</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The Manager</w:t>
      </w:r>
    </w:p>
    <w:p w:rsidR="00676AFC" w:rsidRDefault="00676AFC">
      <w:pPr>
        <w:pStyle w:val="ParaIMS"/>
        <w:spacing w:before="0"/>
        <w:rPr>
          <w:rFonts w:ascii="Arial" w:hAnsi="Arial" w:cs="Arial"/>
        </w:rPr>
      </w:pPr>
      <w:r>
        <w:rPr>
          <w:rFonts w:ascii="Arial" w:hAnsi="Arial" w:cs="Arial"/>
          <w:szCs w:val="16"/>
        </w:rPr>
        <w:t xml:space="preserve">Brevan Howard Capital Management LP (the “Manager”) is the Manager of the Company. The Manager is a Jersey limited partnership, the sole general partner of which is Brevan Howard Capital Management Limited, a Jersey limited company (the </w:t>
      </w:r>
      <w:r>
        <w:rPr>
          <w:rFonts w:ascii="Arial" w:hAnsi="Arial" w:cs="Arial"/>
          <w:szCs w:val="18"/>
        </w:rPr>
        <w:t xml:space="preserve">“General Partner”). The General Partner is regulated in the conduct of fund services business by the Jersey Financial Services Commission pursuant to the Financial Services (Jersey) Law 1998 and the Orders made </w:t>
      </w:r>
      <w:proofErr w:type="spellStart"/>
      <w:r>
        <w:rPr>
          <w:rFonts w:ascii="Arial" w:hAnsi="Arial" w:cs="Arial"/>
          <w:szCs w:val="18"/>
        </w:rPr>
        <w:t>thereunder</w:t>
      </w:r>
      <w:proofErr w:type="spellEnd"/>
      <w:r>
        <w:rPr>
          <w:rFonts w:ascii="Arial" w:hAnsi="Arial" w:cs="Arial"/>
          <w:szCs w:val="18"/>
        </w:rPr>
        <w:t>.</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The Manager also manages BHGO and the Brevan Howard Underlying Funds.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3. Significant accounting policies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6"/>
        </w:rPr>
        <w:t xml:space="preserve">The Annual Audited Financial Statements </w:t>
      </w:r>
      <w:r w:rsidR="00E8452B">
        <w:rPr>
          <w:rFonts w:ascii="Arial" w:hAnsi="Arial" w:cs="Arial"/>
          <w:szCs w:val="16"/>
        </w:rPr>
        <w:t xml:space="preserve">which give a true and fair </w:t>
      </w:r>
      <w:proofErr w:type="gramStart"/>
      <w:r w:rsidR="00E8452B">
        <w:rPr>
          <w:rFonts w:ascii="Arial" w:hAnsi="Arial" w:cs="Arial"/>
          <w:szCs w:val="16"/>
        </w:rPr>
        <w:t>view,</w:t>
      </w:r>
      <w:proofErr w:type="gramEnd"/>
      <w:r w:rsidR="00E8452B">
        <w:rPr>
          <w:rFonts w:ascii="Arial" w:hAnsi="Arial" w:cs="Arial"/>
          <w:szCs w:val="16"/>
        </w:rPr>
        <w:t xml:space="preserve"> </w:t>
      </w:r>
      <w:r>
        <w:rPr>
          <w:rFonts w:ascii="Arial" w:hAnsi="Arial" w:cs="Arial"/>
          <w:szCs w:val="16"/>
        </w:rPr>
        <w:t xml:space="preserve">are prepared in conformity with accounting principles generally accepted in the United States of America and The Companies (Guernsey) Law, 2008. The accompanying Interim Unaudited Financial </w:t>
      </w:r>
      <w:proofErr w:type="gramStart"/>
      <w:r>
        <w:rPr>
          <w:rFonts w:ascii="Arial" w:hAnsi="Arial" w:cs="Arial"/>
          <w:szCs w:val="16"/>
        </w:rPr>
        <w:t>State</w:t>
      </w:r>
      <w:r w:rsidR="00E8452B">
        <w:rPr>
          <w:rFonts w:ascii="Arial" w:hAnsi="Arial" w:cs="Arial"/>
          <w:szCs w:val="16"/>
        </w:rPr>
        <w:t>ments</w:t>
      </w:r>
      <w:r>
        <w:rPr>
          <w:rFonts w:ascii="Arial" w:hAnsi="Arial" w:cs="Arial"/>
          <w:szCs w:val="18"/>
        </w:rPr>
        <w:t>,</w:t>
      </w:r>
      <w:proofErr w:type="gramEnd"/>
      <w:r>
        <w:rPr>
          <w:rFonts w:ascii="Arial" w:hAnsi="Arial" w:cs="Arial"/>
          <w:szCs w:val="18"/>
        </w:rPr>
        <w:t xml:space="preserve"> have been prepared following the same accounting policies and methods of computation as the most recent Annual Audited Financial Statements. The</w:t>
      </w:r>
      <w:r w:rsidR="00E8452B">
        <w:rPr>
          <w:rFonts w:ascii="Arial" w:hAnsi="Arial" w:cs="Arial"/>
          <w:szCs w:val="18"/>
        </w:rPr>
        <w:t xml:space="preserve"> functional and</w:t>
      </w:r>
      <w:r>
        <w:rPr>
          <w:rFonts w:ascii="Arial" w:hAnsi="Arial" w:cs="Arial"/>
          <w:szCs w:val="18"/>
        </w:rPr>
        <w:t xml:space="preserve"> reporting currency of the Company is US Dollars.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The following are significant accounting policies adopted by the Company:</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Valuation of investments</w:t>
      </w:r>
    </w:p>
    <w:p w:rsidR="00676AFC" w:rsidRDefault="00676AFC">
      <w:pPr>
        <w:pStyle w:val="ParaIMS"/>
        <w:spacing w:before="0"/>
        <w:rPr>
          <w:rFonts w:ascii="Arial" w:hAnsi="Arial" w:cs="Arial"/>
        </w:rPr>
      </w:pPr>
      <w:r>
        <w:rPr>
          <w:rFonts w:ascii="Arial" w:hAnsi="Arial" w:cs="Arial"/>
          <w:szCs w:val="17"/>
        </w:rPr>
        <w:t xml:space="preserve">The Company records its investment in the Class </w:t>
      </w:r>
      <w:proofErr w:type="gramStart"/>
      <w:r>
        <w:rPr>
          <w:rFonts w:ascii="Arial" w:hAnsi="Arial" w:cs="Arial"/>
          <w:szCs w:val="17"/>
        </w:rPr>
        <w:t>A</w:t>
      </w:r>
      <w:proofErr w:type="gramEnd"/>
      <w:r>
        <w:rPr>
          <w:rFonts w:ascii="Arial" w:hAnsi="Arial" w:cs="Arial"/>
          <w:szCs w:val="17"/>
        </w:rPr>
        <w:t xml:space="preserve"> shares of BHGO at fair value. At 30 June 2012, 31 December 2011 and at 30 June 2011, the Company’s US Dollar, Euro and Sterling capital account represents 100%, 100% and 100% respectively of BHGO’s capital.</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Fair value measurement</w:t>
      </w:r>
    </w:p>
    <w:p w:rsidR="00676AFC" w:rsidRDefault="00676AFC">
      <w:pPr>
        <w:pStyle w:val="ParaIMS"/>
        <w:spacing w:before="0"/>
        <w:rPr>
          <w:rFonts w:ascii="Arial" w:hAnsi="Arial" w:cs="Arial"/>
          <w:szCs w:val="17"/>
        </w:rPr>
      </w:pPr>
      <w:r>
        <w:rPr>
          <w:rFonts w:ascii="Arial" w:hAnsi="Arial" w:cs="Arial"/>
          <w:szCs w:val="17"/>
        </w:rPr>
        <w:t>Accounting Standards Codification (“ASC”) Topic 820 defines fair value as the price that the Company would receive upon selling a security in an orderly transaction to an independent buyer in the principal or most advantageous market of the security.</w:t>
      </w:r>
    </w:p>
    <w:p w:rsidR="00676AFC" w:rsidRDefault="00676AFC">
      <w:pPr>
        <w:pStyle w:val="ParaIMS"/>
        <w:spacing w:before="0"/>
        <w:rPr>
          <w:rFonts w:ascii="Arial" w:hAnsi="Arial" w:cs="Arial"/>
          <w:szCs w:val="17"/>
        </w:rPr>
      </w:pPr>
    </w:p>
    <w:p w:rsidR="00676AFC" w:rsidRDefault="00676AFC">
      <w:pPr>
        <w:pStyle w:val="ParaIMS"/>
        <w:spacing w:before="0"/>
        <w:rPr>
          <w:rFonts w:ascii="Arial" w:hAnsi="Arial" w:cs="Arial"/>
        </w:rPr>
      </w:pPr>
      <w:r>
        <w:rPr>
          <w:rFonts w:ascii="Arial" w:hAnsi="Arial" w:cs="Arial"/>
          <w:szCs w:val="16"/>
        </w:rPr>
        <w:t xml:space="preserve">ASC 820 establishes a three-level hierarchy to </w:t>
      </w:r>
      <w:proofErr w:type="spellStart"/>
      <w:r>
        <w:rPr>
          <w:rFonts w:ascii="Arial" w:hAnsi="Arial" w:cs="Arial"/>
          <w:szCs w:val="16"/>
        </w:rPr>
        <w:t>maximise</w:t>
      </w:r>
      <w:proofErr w:type="spellEnd"/>
      <w:r>
        <w:rPr>
          <w:rFonts w:ascii="Arial" w:hAnsi="Arial" w:cs="Arial"/>
          <w:szCs w:val="16"/>
        </w:rPr>
        <w:t xml:space="preserve"> the use of observable market data and </w:t>
      </w:r>
      <w:proofErr w:type="spellStart"/>
      <w:r>
        <w:rPr>
          <w:rFonts w:ascii="Arial" w:hAnsi="Arial" w:cs="Arial"/>
          <w:szCs w:val="16"/>
        </w:rPr>
        <w:t>minimise</w:t>
      </w:r>
      <w:proofErr w:type="spellEnd"/>
      <w:r>
        <w:rPr>
          <w:rFonts w:ascii="Arial" w:hAnsi="Arial" w:cs="Arial"/>
          <w:szCs w:val="16"/>
        </w:rPr>
        <w:t xml:space="preserve"> the use of unobservable inputs and to establish classification of fair value measurements for disclosure purposes. Inputs refer broadly to the assumptions that market participants would use in pricing the asset or liability, including assumptions about risk, for example, the risk inherent in a particular valuation technique used to measure fair value including such a pricing model and/or the risk inherent in the inputs to the valuation technique. Inputs may be observable or unobservable.</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7"/>
        </w:rPr>
        <w:t xml:space="preserve">Observable inputs are inputs that reflect the assumptions market participants would use in pricing the asset or liability based </w:t>
      </w:r>
      <w:r>
        <w:rPr>
          <w:rFonts w:ascii="Arial" w:hAnsi="Arial" w:cs="Arial"/>
          <w:szCs w:val="18"/>
        </w:rPr>
        <w:t>on market data obtained from sources independent of the reporting entity.</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Unobservable inputs are inputs that reflect the reporting entity’s own assumptions about the assumptions market participants would use in pricing the asset or liability developed based on the best information available in the circumstances.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7"/>
        </w:rPr>
        <w:t xml:space="preserve">Level 1 – Valuations based on unadjusted quoted prices in active markets for identical assets or liabilities that the Company has the ability to access. Valuation adjustments and block discounts are not applied to Level 1 securities. Since valuations are based on quoted prices that are readily and regularly available in an active market, valuation of these securities does not entail a significant degree </w:t>
      </w:r>
      <w:r>
        <w:rPr>
          <w:rFonts w:ascii="Arial" w:hAnsi="Arial" w:cs="Arial"/>
          <w:szCs w:val="18"/>
        </w:rPr>
        <w:t xml:space="preserve">of </w:t>
      </w:r>
      <w:proofErr w:type="spellStart"/>
      <w:r>
        <w:rPr>
          <w:rFonts w:ascii="Arial" w:hAnsi="Arial" w:cs="Arial"/>
          <w:szCs w:val="18"/>
        </w:rPr>
        <w:t>judgement</w:t>
      </w:r>
      <w:proofErr w:type="spellEnd"/>
      <w:r>
        <w:rPr>
          <w:rFonts w:ascii="Arial" w:hAnsi="Arial" w:cs="Arial"/>
          <w:szCs w:val="18"/>
        </w:rPr>
        <w:t>.</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Level 2 – Valuations based on quoted prices in markets that are not active or for which all significant inputs are observable, either directly or indirectly.</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Level 3 – Valuations based on inputs that are unobservable and significant to the overall fair value measurement.</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6"/>
        </w:rPr>
        <w:t xml:space="preserve">Inputs are used in applying the various valuation techniques and broadly refer to the assumptions that market participants use to make valuation decisions, including assumptions about risk. Inputs may include price information, volatility statistics, specific and broad credit data, liquidity statistics, and other factors. A financial instrument’s level within the fair value hierarchy is based on the lowest level of any input that is significant to the fair value measurement. However, the determination of what constitutes “observable” requires significant </w:t>
      </w:r>
      <w:proofErr w:type="spellStart"/>
      <w:r>
        <w:rPr>
          <w:rFonts w:ascii="Arial" w:hAnsi="Arial" w:cs="Arial"/>
          <w:szCs w:val="16"/>
        </w:rPr>
        <w:t>judgement</w:t>
      </w:r>
      <w:proofErr w:type="spellEnd"/>
      <w:r>
        <w:rPr>
          <w:rFonts w:ascii="Arial" w:hAnsi="Arial" w:cs="Arial"/>
          <w:szCs w:val="16"/>
        </w:rPr>
        <w:t xml:space="preserve"> by the Company’s Directors (the “Management”). Management considers observable data to be that market data which is readily available, regularly distributed or updated, reliable and verifiable, not proprietary, and provided by independent sources that are actively involved in </w:t>
      </w:r>
      <w:r>
        <w:rPr>
          <w:rFonts w:ascii="Arial" w:hAnsi="Arial" w:cs="Arial"/>
          <w:szCs w:val="18"/>
        </w:rPr>
        <w:t xml:space="preserve">the relevant market. The </w:t>
      </w:r>
      <w:proofErr w:type="spellStart"/>
      <w:r>
        <w:rPr>
          <w:rFonts w:ascii="Arial" w:hAnsi="Arial" w:cs="Arial"/>
          <w:szCs w:val="18"/>
        </w:rPr>
        <w:t>categorisation</w:t>
      </w:r>
      <w:proofErr w:type="spellEnd"/>
      <w:r>
        <w:rPr>
          <w:rFonts w:ascii="Arial" w:hAnsi="Arial" w:cs="Arial"/>
          <w:szCs w:val="18"/>
        </w:rPr>
        <w:t xml:space="preserve"> of a financial instrument within the hierarchy is based upon the pricing transparency of the instrument and does not necessarily correspond to Management’s perceived risk of that instrument.</w:t>
      </w:r>
    </w:p>
    <w:p w:rsidR="00676AFC" w:rsidRDefault="00676AFC">
      <w:pPr>
        <w:pStyle w:val="ParaIMS"/>
        <w:spacing w:before="0"/>
        <w:rPr>
          <w:rFonts w:ascii="Arial" w:hAnsi="Arial" w:cs="Arial"/>
          <w:szCs w:val="17"/>
        </w:rPr>
      </w:pPr>
    </w:p>
    <w:p w:rsidR="00676AFC" w:rsidRDefault="00676AFC">
      <w:pPr>
        <w:pStyle w:val="ParaIMS"/>
        <w:spacing w:before="0"/>
        <w:rPr>
          <w:rFonts w:ascii="Arial" w:hAnsi="Arial" w:cs="Arial"/>
        </w:rPr>
      </w:pPr>
      <w:r>
        <w:rPr>
          <w:rFonts w:ascii="Arial" w:hAnsi="Arial" w:cs="Arial"/>
          <w:szCs w:val="16"/>
        </w:rPr>
        <w:t xml:space="preserve">Fair value is a market-based measure considered from the perspective of a market participant rather than an entity-specific measure. Therefore, even when market assumptions are not readily available, Management’s own assumptions are set to reflect those that market participants would use in pricing the asset or liability at the measurement date. Management uses prices and inputs that are current as of the measurement date, including periods of </w:t>
      </w:r>
      <w:r>
        <w:rPr>
          <w:rFonts w:ascii="Arial" w:hAnsi="Arial" w:cs="Arial"/>
          <w:szCs w:val="18"/>
        </w:rPr>
        <w:t xml:space="preserve">market dislocation. In periods of market dislocation, the </w:t>
      </w:r>
      <w:proofErr w:type="spellStart"/>
      <w:r>
        <w:rPr>
          <w:rFonts w:ascii="Arial" w:hAnsi="Arial" w:cs="Arial"/>
          <w:szCs w:val="18"/>
        </w:rPr>
        <w:t>observability</w:t>
      </w:r>
      <w:proofErr w:type="spellEnd"/>
      <w:r>
        <w:rPr>
          <w:rFonts w:ascii="Arial" w:hAnsi="Arial" w:cs="Arial"/>
          <w:szCs w:val="18"/>
        </w:rPr>
        <w:t xml:space="preserve"> of prices and inputs may be reduced for many securities. This condition could cause a security to be reclassified to a lower level within the fair value hierarchy.</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6"/>
        </w:rPr>
        <w:t>The valuation and classification of securities held by BHGO is disclosed in the notes to BHGO’s Interim Unaudited Financial Statements which are available on the Company’s website.</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Income and expenses</w:t>
      </w:r>
    </w:p>
    <w:p w:rsidR="00676AFC" w:rsidRDefault="00676AFC">
      <w:pPr>
        <w:pStyle w:val="ParaIMS"/>
        <w:spacing w:before="0"/>
        <w:rPr>
          <w:rFonts w:ascii="Arial" w:hAnsi="Arial" w:cs="Arial"/>
        </w:rPr>
      </w:pPr>
      <w:r>
        <w:rPr>
          <w:rFonts w:ascii="Arial" w:hAnsi="Arial" w:cs="Arial"/>
          <w:szCs w:val="17"/>
        </w:rPr>
        <w:t xml:space="preserve">The Company records monthly its proportionate share of BHGO’s income, expenses and </w:t>
      </w:r>
      <w:proofErr w:type="spellStart"/>
      <w:r>
        <w:rPr>
          <w:rFonts w:ascii="Arial" w:hAnsi="Arial" w:cs="Arial"/>
          <w:szCs w:val="17"/>
        </w:rPr>
        <w:t>realised</w:t>
      </w:r>
      <w:proofErr w:type="spellEnd"/>
      <w:r>
        <w:rPr>
          <w:rFonts w:ascii="Arial" w:hAnsi="Arial" w:cs="Arial"/>
          <w:szCs w:val="17"/>
        </w:rPr>
        <w:t xml:space="preserve"> and </w:t>
      </w:r>
      <w:proofErr w:type="spellStart"/>
      <w:r>
        <w:rPr>
          <w:rFonts w:ascii="Arial" w:hAnsi="Arial" w:cs="Arial"/>
          <w:szCs w:val="17"/>
        </w:rPr>
        <w:t>unrealised</w:t>
      </w:r>
      <w:proofErr w:type="spellEnd"/>
      <w:r>
        <w:rPr>
          <w:rFonts w:ascii="Arial" w:hAnsi="Arial" w:cs="Arial"/>
          <w:szCs w:val="17"/>
        </w:rPr>
        <w:t xml:space="preserve"> gains and losses. In addition, the Company accrues its own income and expenses.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Use of estimates</w:t>
      </w:r>
    </w:p>
    <w:p w:rsidR="00676AFC" w:rsidRDefault="00676AFC">
      <w:pPr>
        <w:pStyle w:val="ParaIMS"/>
        <w:spacing w:before="0"/>
        <w:rPr>
          <w:rFonts w:ascii="Arial" w:hAnsi="Arial" w:cs="Arial"/>
        </w:rPr>
      </w:pPr>
      <w:r>
        <w:rPr>
          <w:rFonts w:ascii="Arial" w:hAnsi="Arial" w:cs="Arial"/>
          <w:szCs w:val="17"/>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those Financial Statements and the reported amounts of increases and decreases in net assets from operations during the reporting period. Actual results could differ from those estimates.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Share issue expenses</w:t>
      </w:r>
    </w:p>
    <w:p w:rsidR="00676AFC" w:rsidRDefault="00676AFC">
      <w:pPr>
        <w:pStyle w:val="ParaIMS"/>
        <w:spacing w:before="0"/>
        <w:rPr>
          <w:rFonts w:ascii="Arial" w:hAnsi="Arial" w:cs="Arial"/>
        </w:rPr>
      </w:pPr>
      <w:r>
        <w:rPr>
          <w:rFonts w:ascii="Arial" w:hAnsi="Arial" w:cs="Arial"/>
          <w:szCs w:val="18"/>
        </w:rPr>
        <w:t>Share issue expenses of US$10,552,146 were borne by the Company and were charged against the Share capital account at launch. In accordance with the Placing Agreement dated 28 April 2008, the Manager paid the costs and expenses of, and incidental to, the Offer (including all costs related to the establishment of the Company) (the “Offer Costs”) which were in excess of 1% of the gross proceeds of the Offer. The Offer Costs paid by the Manager amounted to US$26,559,274.</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szCs w:val="17"/>
        </w:rPr>
      </w:pPr>
      <w:r>
        <w:rPr>
          <w:rFonts w:ascii="Arial" w:hAnsi="Arial" w:cs="Arial"/>
          <w:szCs w:val="17"/>
        </w:rPr>
        <w:t xml:space="preserve">Pursuant to the terms of the Management Agreement, the Company must repay to the Manager a fraction of these Offer Costs for every US Dollar by which repurchases, redemptions or cancellations of the Company’s shares reduce the Current US Dollar NAV of the Company below its NAV at the time of the Company’s listing, being US$1,044,631,308. The Current US Dollar NAV is calculated using the exchange rates ruling at the time of the Company’s listings and at 30 June 2012 stood at US$1,168,197,654. The amount of these Offer Costs to be repaid for every US Dollar by which the Company’s NAV is reduced will be up to 2.55 cents (or such lower amount as may result in the reduction in the Offer Costs actually </w:t>
      </w:r>
      <w:r>
        <w:rPr>
          <w:rFonts w:ascii="Arial" w:hAnsi="Arial" w:cs="Arial"/>
          <w:szCs w:val="16"/>
        </w:rPr>
        <w:t>paid by the Manager), being the figure obtained by dividing the Offer Costs by the NAV of the Company at the time of its listing. No such payments were due in respect of the current or previous years.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7"/>
        </w:rPr>
        <w:t>In addition, if the Management Agreement were to be terminated for certain grounds either in whole or with respect to a class of shares on or before the seventh anniversary of admission to the London Stock Exchange, being 29 May 2015, any Offer Costs that have not already been repaid to the Manager (or, in the case of termination in respect of a class of shares, the Offer Costs attributable to such class), will be repaid in full to the Manager by the Company. Any repurchases, redemptions or cancellations will be priced to take into account any fractional Offer Cost repayments and therefore ensure that continuing shareholders should not be prejudiced. The Directors consider the likelihood of the Management Agreement terminating and as a consequence the contingent liability described above arising as remote and therefore no provision has been made within these Interim Unaudited Financial Statements.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The Directors confirm that there are no other contingent liabilities that require disclosure or provision.</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Foreign exchange</w:t>
      </w:r>
    </w:p>
    <w:p w:rsidR="00676AFC" w:rsidRDefault="00676AFC">
      <w:pPr>
        <w:pStyle w:val="ParaIMS"/>
        <w:spacing w:before="0"/>
        <w:rPr>
          <w:rFonts w:ascii="Arial" w:hAnsi="Arial" w:cs="Arial"/>
        </w:rPr>
      </w:pPr>
      <w:r>
        <w:rPr>
          <w:rFonts w:ascii="Arial" w:hAnsi="Arial" w:cs="Arial"/>
          <w:szCs w:val="17"/>
        </w:rPr>
        <w:t>Investment securities and other assets and liabilities denominated in foreign currencies are translated into US Dollars using exchange rates at the reporting date for the purposes of an aggregated share class Unaudited Statement of Operations. The currency gain or loss arising from this translation is substantially offset by currency gains or losses allocated from BHGO.</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6"/>
        </w:rPr>
        <w:t>Transactions denominated in foreign currencies are translated into US Dollars using exchange rates at the date of such transactions.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All currency gains and losses are included in the Unaudited Statement of Operations.</w:t>
      </w:r>
    </w:p>
    <w:p w:rsidR="00676AFC" w:rsidRDefault="00676AFC">
      <w:pPr>
        <w:pStyle w:val="ParaIMS"/>
        <w:spacing w:before="0"/>
        <w:rPr>
          <w:rFonts w:ascii="Arial" w:hAnsi="Arial" w:cs="Arial"/>
          <w:b/>
          <w:bCs/>
          <w:szCs w:val="18"/>
        </w:rPr>
      </w:pPr>
    </w:p>
    <w:p w:rsidR="00676AFC" w:rsidRDefault="00676AFC">
      <w:pPr>
        <w:pStyle w:val="ParaIMS"/>
        <w:spacing w:before="0"/>
        <w:rPr>
          <w:rFonts w:ascii="Arial" w:hAnsi="Arial" w:cs="Arial"/>
        </w:rPr>
      </w:pPr>
      <w:r>
        <w:rPr>
          <w:rFonts w:ascii="Arial" w:hAnsi="Arial" w:cs="Arial"/>
          <w:b/>
          <w:bCs/>
          <w:szCs w:val="18"/>
        </w:rPr>
        <w:t>Treasury shares</w:t>
      </w:r>
    </w:p>
    <w:p w:rsidR="00676AFC" w:rsidRDefault="00676AFC">
      <w:pPr>
        <w:pStyle w:val="ParaIMS"/>
        <w:spacing w:before="0"/>
        <w:rPr>
          <w:rFonts w:ascii="Arial" w:hAnsi="Arial" w:cs="Arial"/>
        </w:rPr>
      </w:pPr>
      <w:r>
        <w:rPr>
          <w:rFonts w:ascii="Arial" w:hAnsi="Arial" w:cs="Arial"/>
          <w:szCs w:val="17"/>
        </w:rPr>
        <w:t xml:space="preserve">Where the Company purchases its own share capital, the consideration paid, which includes any directly attributable costs, is </w:t>
      </w:r>
      <w:proofErr w:type="spellStart"/>
      <w:r>
        <w:rPr>
          <w:rFonts w:ascii="Arial" w:hAnsi="Arial" w:cs="Arial"/>
          <w:szCs w:val="17"/>
        </w:rPr>
        <w:t>recognised</w:t>
      </w:r>
      <w:proofErr w:type="spellEnd"/>
      <w:r>
        <w:rPr>
          <w:rFonts w:ascii="Arial" w:hAnsi="Arial" w:cs="Arial"/>
          <w:szCs w:val="17"/>
        </w:rPr>
        <w:t xml:space="preserve"> as a deduction from equity shareholders’ funds through the Share capital account. When such shares are subsequently sold or reissued to the market, any consideration received, net of any directly attributable incremental transaction costs, is </w:t>
      </w:r>
      <w:proofErr w:type="spellStart"/>
      <w:r>
        <w:rPr>
          <w:rFonts w:ascii="Arial" w:hAnsi="Arial" w:cs="Arial"/>
          <w:szCs w:val="17"/>
        </w:rPr>
        <w:t>recognised</w:t>
      </w:r>
      <w:proofErr w:type="spellEnd"/>
      <w:r>
        <w:rPr>
          <w:rFonts w:ascii="Arial" w:hAnsi="Arial" w:cs="Arial"/>
          <w:szCs w:val="17"/>
        </w:rPr>
        <w:t xml:space="preserve"> as an increase in equity shareholders’ funds through the Share capital account. Where the Company cancels treasury shares, no further adjustment is required to the share capital account of the Company at the time of cancellation. Shares held in treasury are excluded from calculations when determining NAV per share as detailed in note 8 or in the Financial Highlights in note 11.</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4. Management and administration agreements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Management fee</w:t>
      </w:r>
    </w:p>
    <w:p w:rsidR="00676AFC" w:rsidRDefault="00676AFC">
      <w:pPr>
        <w:pStyle w:val="ParaIMS"/>
        <w:spacing w:before="0"/>
        <w:rPr>
          <w:rFonts w:ascii="Arial" w:hAnsi="Arial" w:cs="Arial"/>
        </w:rPr>
      </w:pPr>
      <w:r>
        <w:rPr>
          <w:rFonts w:ascii="Arial" w:hAnsi="Arial" w:cs="Arial"/>
          <w:szCs w:val="17"/>
        </w:rPr>
        <w:t xml:space="preserve">The Company has entered into a management agreement with the Manager to manage the Company’s investment portfolio. The Manager receives a management fee of 1/12 of 0.50% (or a pro rata proportion thereof) per month of the closing NAV (before deduction of that month’s management fee) as at the last valuation day in each month, payable monthly in arrears. BHGO itself is not subject to management </w:t>
      </w:r>
      <w:proofErr w:type="gramStart"/>
      <w:r>
        <w:rPr>
          <w:rFonts w:ascii="Arial" w:hAnsi="Arial" w:cs="Arial"/>
          <w:szCs w:val="17"/>
        </w:rPr>
        <w:t>fees,</w:t>
      </w:r>
      <w:proofErr w:type="gramEnd"/>
      <w:r>
        <w:rPr>
          <w:rFonts w:ascii="Arial" w:hAnsi="Arial" w:cs="Arial"/>
          <w:szCs w:val="17"/>
        </w:rPr>
        <w:t xml:space="preserve"> however BHGO’s investments are subject to management fees ranging from 1.5% to 3% per annum. During the period ended 30 June 2012, US$2,571,167 (31 December 2011: US$5,146,172, 30 June 2011: US$2,532,120) was charged by the Manager as management fees. At 30 June 2012, US$395,141 (31 December 2011: US$425,005, 30 June 2011: US$416,084) of the fee remained outstanding.</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7"/>
        </w:rPr>
        <w:t xml:space="preserve">The management agreement may be terminated by either party giving the other party not less than 24 months written notice. In certain circumstances the Company will be obliged to pay </w:t>
      </w:r>
      <w:r>
        <w:rPr>
          <w:rFonts w:ascii="Arial" w:hAnsi="Arial" w:cs="Arial"/>
          <w:szCs w:val="18"/>
        </w:rPr>
        <w:t>compensation to the Manager of the aggregate management fees which would otherwise have been payable during the 24 months following the date of such notice. Compensation is not payable if more than 24 months notice of termination is given.</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Administration fee</w:t>
      </w:r>
    </w:p>
    <w:p w:rsidR="00676AFC" w:rsidRDefault="00676AFC">
      <w:pPr>
        <w:pStyle w:val="ParaIMS"/>
        <w:spacing w:before="0"/>
        <w:rPr>
          <w:rFonts w:ascii="Arial" w:hAnsi="Arial" w:cs="Arial"/>
        </w:rPr>
      </w:pPr>
      <w:r>
        <w:rPr>
          <w:rFonts w:ascii="Arial" w:hAnsi="Arial" w:cs="Arial"/>
          <w:szCs w:val="17"/>
        </w:rPr>
        <w:t>The Company has appointed Northern Trust International Fund Administration Services (Guernsey) Limited as Administrator, Registrar and Corporate Secretary. The Administrator is paid fees based on the NAV of the Company, payable monthly in arrears. The fee is at a rate of 0.03% of the first US$1 billion of net assets of the Company and then 0.01% per annum thereafter, subject to a minimum fee of £115,000 per annum. In addition to the NAV based fee the Administrator is also entitled to an annual fee of £36,000 for certain additional administration services. The Administrator is entitled to be reimbursed out-of-pocket expenses incurred in the course of carrying out its duties as Administrator.</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5. Directors’ fees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7"/>
        </w:rPr>
        <w:t xml:space="preserve">The Chairman is entitled to a fee of £140,000 per annum. John </w:t>
      </w:r>
      <w:proofErr w:type="spellStart"/>
      <w:r>
        <w:rPr>
          <w:rFonts w:ascii="Arial" w:hAnsi="Arial" w:cs="Arial"/>
          <w:szCs w:val="17"/>
        </w:rPr>
        <w:t>Hallam</w:t>
      </w:r>
      <w:proofErr w:type="spellEnd"/>
      <w:r>
        <w:rPr>
          <w:rFonts w:ascii="Arial" w:hAnsi="Arial" w:cs="Arial"/>
          <w:szCs w:val="17"/>
        </w:rPr>
        <w:t xml:space="preserve"> as Chairman of the Audit Committee is entitled to a fee of £33,000 per annum. All other Directors receive £30,000 per annum. The Directors are also entitled to be reimbursed for expenses properly incurred in the performance of their duties as Directors.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With effect from 1 July 2012, fees paid to the Chairman, the Chairman of Committees and to the Directors will increase to £150,000, £36,000 and £33,000 respectively.</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6. Share capital</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 xml:space="preserve">Issued and </w:t>
      </w:r>
      <w:proofErr w:type="spellStart"/>
      <w:r>
        <w:rPr>
          <w:rFonts w:ascii="Arial" w:hAnsi="Arial" w:cs="Arial"/>
          <w:b/>
          <w:bCs/>
          <w:szCs w:val="18"/>
        </w:rPr>
        <w:t>authorised</w:t>
      </w:r>
      <w:proofErr w:type="spellEnd"/>
      <w:r>
        <w:rPr>
          <w:rFonts w:ascii="Arial" w:hAnsi="Arial" w:cs="Arial"/>
          <w:b/>
          <w:bCs/>
          <w:szCs w:val="18"/>
        </w:rPr>
        <w:t xml:space="preserve"> share capital</w:t>
      </w:r>
    </w:p>
    <w:p w:rsidR="00676AFC" w:rsidRDefault="00676AFC">
      <w:pPr>
        <w:pStyle w:val="ParaIMS"/>
        <w:spacing w:before="0"/>
        <w:rPr>
          <w:rFonts w:ascii="Arial" w:hAnsi="Arial" w:cs="Arial"/>
        </w:rPr>
      </w:pPr>
      <w:r>
        <w:rPr>
          <w:rFonts w:ascii="Arial" w:hAnsi="Arial" w:cs="Arial"/>
          <w:szCs w:val="18"/>
        </w:rPr>
        <w:t xml:space="preserve">The Company has the authority to issue an unlimited number of ordinary shares with no par value and an unlimited number of shares with a par value. Shares may be divided into at least three classes denominated in US Dollars, Euro and Sterling. Further issue of shares may be made in accordance with the Articles. Shares may be issued in differing currency classes of ordinary redeemable shares including C shares. The treasury shares have arisen as a result of the discount management </w:t>
      </w:r>
      <w:proofErr w:type="spellStart"/>
      <w:r>
        <w:rPr>
          <w:rFonts w:ascii="Arial" w:hAnsi="Arial" w:cs="Arial"/>
          <w:szCs w:val="18"/>
        </w:rPr>
        <w:t>programme</w:t>
      </w:r>
      <w:proofErr w:type="spellEnd"/>
      <w:r>
        <w:rPr>
          <w:rFonts w:ascii="Arial" w:hAnsi="Arial" w:cs="Arial"/>
          <w:szCs w:val="18"/>
        </w:rPr>
        <w:t xml:space="preserve"> as described in note 9.</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For the period from 1 January 2012 to 30 June 2012</w:t>
      </w:r>
    </w:p>
    <w:p w:rsidR="00676AFC" w:rsidRDefault="00676AFC">
      <w:pPr>
        <w:pStyle w:val="ParaIMS"/>
        <w:spacing w:before="0"/>
        <w:rPr>
          <w:rFonts w:ascii="Arial" w:hAnsi="Arial" w:cs="Arial"/>
        </w:rPr>
      </w:pPr>
    </w:p>
    <w:tbl>
      <w:tblPr>
        <w:tblW w:w="5000" w:type="pct"/>
        <w:tblCellMar>
          <w:left w:w="0" w:type="dxa"/>
          <w:right w:w="0" w:type="dxa"/>
        </w:tblCellMar>
        <w:tblLook w:val="0000"/>
      </w:tblPr>
      <w:tblGrid>
        <w:gridCol w:w="4081"/>
        <w:gridCol w:w="1716"/>
        <w:gridCol w:w="1581"/>
        <w:gridCol w:w="1581"/>
        <w:gridCol w:w="1581"/>
      </w:tblGrid>
      <w:tr w:rsidR="00676AFC" w:rsidTr="00C06842">
        <w:tc>
          <w:tcPr>
            <w:tcW w:w="1936" w:type="pct"/>
            <w:tcBorders>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4"/>
              </w:rPr>
              <w:t>Reconciliation of number of shares</w:t>
            </w:r>
          </w:p>
        </w:tc>
        <w:tc>
          <w:tcPr>
            <w:tcW w:w="814" w:type="pct"/>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US Dollar shares</w:t>
            </w:r>
          </w:p>
        </w:tc>
        <w:tc>
          <w:tcPr>
            <w:tcW w:w="750" w:type="pct"/>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Euro shares</w:t>
            </w:r>
          </w:p>
        </w:tc>
        <w:tc>
          <w:tcPr>
            <w:tcW w:w="750" w:type="pct"/>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Sterling shares</w:t>
            </w:r>
          </w:p>
        </w:tc>
        <w:tc>
          <w:tcPr>
            <w:tcW w:w="750" w:type="pct"/>
            <w:vAlign w:val="bottom"/>
          </w:tcPr>
          <w:p w:rsidR="00676AFC" w:rsidRDefault="00676AFC">
            <w:pPr>
              <w:pStyle w:val="ParaIMS"/>
              <w:spacing w:before="40"/>
              <w:jc w:val="right"/>
              <w:rPr>
                <w:rFonts w:ascii="Arial" w:hAnsi="Arial" w:cs="Arial"/>
                <w:szCs w:val="14"/>
              </w:rPr>
            </w:pPr>
          </w:p>
        </w:tc>
      </w:tr>
      <w:tr w:rsidR="00676AFC" w:rsidTr="00C06842">
        <w:tc>
          <w:tcPr>
            <w:tcW w:w="1936" w:type="pct"/>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Number of ordinary shares</w:t>
            </w:r>
          </w:p>
        </w:tc>
        <w:tc>
          <w:tcPr>
            <w:tcW w:w="814"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750" w:type="pct"/>
            <w:vAlign w:val="bottom"/>
          </w:tcPr>
          <w:p w:rsidR="00676AFC" w:rsidRDefault="00676AFC">
            <w:pPr>
              <w:pStyle w:val="ParaIMS"/>
              <w:spacing w:before="40"/>
              <w:jc w:val="right"/>
              <w:rPr>
                <w:rFonts w:ascii="Arial" w:hAnsi="Arial" w:cs="Arial"/>
                <w:szCs w:val="18"/>
              </w:rPr>
            </w:pPr>
          </w:p>
        </w:tc>
      </w:tr>
      <w:tr w:rsidR="00676AFC" w:rsidTr="00C06842">
        <w:tc>
          <w:tcPr>
            <w:tcW w:w="1936" w:type="pct"/>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In issue at 1 January 2012</w:t>
            </w:r>
          </w:p>
        </w:tc>
        <w:tc>
          <w:tcPr>
            <w:tcW w:w="814"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15,185,614</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2,919,762</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39,910,912</w:t>
            </w:r>
          </w:p>
        </w:tc>
        <w:tc>
          <w:tcPr>
            <w:tcW w:w="750" w:type="pct"/>
            <w:vAlign w:val="bottom"/>
          </w:tcPr>
          <w:p w:rsidR="00676AFC" w:rsidRDefault="00676AFC">
            <w:pPr>
              <w:pStyle w:val="ParaIMS"/>
              <w:spacing w:before="40"/>
              <w:jc w:val="right"/>
              <w:rPr>
                <w:rFonts w:ascii="Arial" w:hAnsi="Arial" w:cs="Arial"/>
                <w:szCs w:val="19"/>
              </w:rPr>
            </w:pPr>
          </w:p>
        </w:tc>
      </w:tr>
      <w:tr w:rsidR="00676AFC" w:rsidTr="00C06842">
        <w:tc>
          <w:tcPr>
            <w:tcW w:w="1936" w:type="pct"/>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szCs w:val="18"/>
              </w:rPr>
              <w:t>Share conversions</w:t>
            </w:r>
          </w:p>
        </w:tc>
        <w:tc>
          <w:tcPr>
            <w:tcW w:w="814"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152,116</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(157,412)</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34,148</w:t>
            </w:r>
          </w:p>
        </w:tc>
        <w:tc>
          <w:tcPr>
            <w:tcW w:w="750" w:type="pct"/>
            <w:vAlign w:val="bottom"/>
          </w:tcPr>
          <w:p w:rsidR="00676AFC" w:rsidRDefault="00676AFC">
            <w:pPr>
              <w:pStyle w:val="ParaIMS"/>
              <w:spacing w:before="40"/>
              <w:jc w:val="right"/>
              <w:rPr>
                <w:rFonts w:ascii="Arial" w:hAnsi="Arial" w:cs="Arial"/>
                <w:szCs w:val="19"/>
              </w:rPr>
            </w:pPr>
          </w:p>
        </w:tc>
      </w:tr>
      <w:tr w:rsidR="00676AFC" w:rsidTr="00C06842">
        <w:tc>
          <w:tcPr>
            <w:tcW w:w="1936" w:type="pct"/>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szCs w:val="18"/>
              </w:rPr>
              <w:t>Partial capital return</w:t>
            </w:r>
          </w:p>
        </w:tc>
        <w:tc>
          <w:tcPr>
            <w:tcW w:w="814"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(695,168)</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(145,765)</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(1,789,795)</w:t>
            </w:r>
          </w:p>
        </w:tc>
        <w:tc>
          <w:tcPr>
            <w:tcW w:w="750" w:type="pct"/>
            <w:vAlign w:val="bottom"/>
          </w:tcPr>
          <w:p w:rsidR="00676AFC" w:rsidRDefault="00676AFC">
            <w:pPr>
              <w:pStyle w:val="ParaIMS"/>
              <w:spacing w:before="40"/>
              <w:jc w:val="right"/>
              <w:rPr>
                <w:rFonts w:ascii="Arial" w:hAnsi="Arial" w:cs="Arial"/>
                <w:szCs w:val="19"/>
              </w:rPr>
            </w:pPr>
          </w:p>
        </w:tc>
      </w:tr>
      <w:tr w:rsidR="00676AFC" w:rsidTr="00C06842">
        <w:tc>
          <w:tcPr>
            <w:tcW w:w="1936" w:type="pct"/>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In issue at 30 June 2012</w:t>
            </w:r>
          </w:p>
        </w:tc>
        <w:tc>
          <w:tcPr>
            <w:tcW w:w="814"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14,642,562</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2,616,585</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38,155,265</w:t>
            </w:r>
          </w:p>
        </w:tc>
        <w:tc>
          <w:tcPr>
            <w:tcW w:w="750" w:type="pct"/>
            <w:vAlign w:val="bottom"/>
          </w:tcPr>
          <w:p w:rsidR="00676AFC" w:rsidRDefault="00676AFC">
            <w:pPr>
              <w:pStyle w:val="ParaIMS"/>
              <w:spacing w:before="40"/>
              <w:jc w:val="right"/>
              <w:rPr>
                <w:rFonts w:ascii="Arial" w:hAnsi="Arial" w:cs="Arial"/>
                <w:szCs w:val="23"/>
              </w:rPr>
            </w:pPr>
          </w:p>
        </w:tc>
      </w:tr>
      <w:tr w:rsidR="00676AFC" w:rsidTr="00C06842">
        <w:tc>
          <w:tcPr>
            <w:tcW w:w="1936" w:type="pct"/>
            <w:tcBorders>
              <w:top w:val="single" w:sz="4" w:space="0" w:color="auto"/>
            </w:tcBorders>
            <w:vAlign w:val="bottom"/>
          </w:tcPr>
          <w:p w:rsidR="00676AFC" w:rsidRDefault="00676AFC">
            <w:pPr>
              <w:pStyle w:val="ParaIMS"/>
              <w:spacing w:before="40"/>
              <w:rPr>
                <w:rFonts w:ascii="Arial" w:hAnsi="Arial" w:cs="Arial"/>
                <w:b/>
                <w:bCs/>
                <w:szCs w:val="18"/>
              </w:rPr>
            </w:pPr>
          </w:p>
        </w:tc>
        <w:tc>
          <w:tcPr>
            <w:tcW w:w="814" w:type="pct"/>
            <w:tcBorders>
              <w:top w:val="single" w:sz="4" w:space="0" w:color="auto"/>
            </w:tcBorders>
            <w:vAlign w:val="bottom"/>
          </w:tcPr>
          <w:p w:rsidR="00676AFC" w:rsidRDefault="00676AFC">
            <w:pPr>
              <w:pStyle w:val="ParaIMS"/>
              <w:spacing w:before="40"/>
              <w:jc w:val="right"/>
              <w:rPr>
                <w:rFonts w:ascii="Arial" w:hAnsi="Arial" w:cs="Arial"/>
              </w:rPr>
            </w:pPr>
          </w:p>
        </w:tc>
        <w:tc>
          <w:tcPr>
            <w:tcW w:w="750" w:type="pct"/>
            <w:tcBorders>
              <w:top w:val="single" w:sz="4" w:space="0" w:color="auto"/>
            </w:tcBorders>
            <w:vAlign w:val="bottom"/>
          </w:tcPr>
          <w:p w:rsidR="00676AFC" w:rsidRDefault="00676AFC">
            <w:pPr>
              <w:pStyle w:val="ParaIMS"/>
              <w:spacing w:before="40"/>
              <w:jc w:val="right"/>
              <w:rPr>
                <w:rFonts w:ascii="Arial" w:hAnsi="Arial" w:cs="Arial"/>
              </w:rPr>
            </w:pPr>
          </w:p>
        </w:tc>
        <w:tc>
          <w:tcPr>
            <w:tcW w:w="750" w:type="pct"/>
            <w:tcBorders>
              <w:top w:val="single" w:sz="4" w:space="0" w:color="auto"/>
            </w:tcBorders>
            <w:vAlign w:val="bottom"/>
          </w:tcPr>
          <w:p w:rsidR="00676AFC" w:rsidRDefault="00676AFC">
            <w:pPr>
              <w:pStyle w:val="ParaIMS"/>
              <w:spacing w:before="40"/>
              <w:jc w:val="right"/>
              <w:rPr>
                <w:rFonts w:ascii="Arial" w:hAnsi="Arial" w:cs="Arial"/>
              </w:rPr>
            </w:pPr>
          </w:p>
        </w:tc>
        <w:tc>
          <w:tcPr>
            <w:tcW w:w="750" w:type="pct"/>
            <w:vAlign w:val="bottom"/>
          </w:tcPr>
          <w:p w:rsidR="00676AFC" w:rsidRDefault="00676AFC">
            <w:pPr>
              <w:pStyle w:val="ParaIMS"/>
              <w:spacing w:before="40"/>
              <w:jc w:val="right"/>
              <w:rPr>
                <w:rFonts w:ascii="Arial" w:hAnsi="Arial" w:cs="Arial"/>
              </w:rPr>
            </w:pPr>
          </w:p>
        </w:tc>
      </w:tr>
      <w:tr w:rsidR="00676AFC" w:rsidTr="00C06842">
        <w:tc>
          <w:tcPr>
            <w:tcW w:w="1936" w:type="pct"/>
            <w:tcBorders>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Number of treasury shares</w:t>
            </w:r>
          </w:p>
        </w:tc>
        <w:tc>
          <w:tcPr>
            <w:tcW w:w="814" w:type="pct"/>
            <w:tcBorders>
              <w:bottom w:val="single" w:sz="4" w:space="0" w:color="auto"/>
            </w:tcBorders>
            <w:vAlign w:val="bottom"/>
          </w:tcPr>
          <w:p w:rsidR="00676AFC" w:rsidRDefault="00676AFC">
            <w:pPr>
              <w:pStyle w:val="ParaIMS"/>
              <w:spacing w:before="40"/>
              <w:jc w:val="right"/>
              <w:rPr>
                <w:rFonts w:ascii="Arial" w:hAnsi="Arial" w:cs="Arial"/>
              </w:rPr>
            </w:pPr>
          </w:p>
        </w:tc>
        <w:tc>
          <w:tcPr>
            <w:tcW w:w="750" w:type="pct"/>
            <w:tcBorders>
              <w:bottom w:val="single" w:sz="4" w:space="0" w:color="auto"/>
            </w:tcBorders>
            <w:vAlign w:val="bottom"/>
          </w:tcPr>
          <w:p w:rsidR="00676AFC" w:rsidRDefault="00676AFC">
            <w:pPr>
              <w:pStyle w:val="ParaIMS"/>
              <w:spacing w:before="40"/>
              <w:jc w:val="right"/>
              <w:rPr>
                <w:rFonts w:ascii="Arial" w:hAnsi="Arial" w:cs="Arial"/>
              </w:rPr>
            </w:pPr>
          </w:p>
        </w:tc>
        <w:tc>
          <w:tcPr>
            <w:tcW w:w="750" w:type="pct"/>
            <w:tcBorders>
              <w:bottom w:val="single" w:sz="4" w:space="0" w:color="auto"/>
            </w:tcBorders>
            <w:vAlign w:val="bottom"/>
          </w:tcPr>
          <w:p w:rsidR="00676AFC" w:rsidRDefault="00676AFC">
            <w:pPr>
              <w:pStyle w:val="ParaIMS"/>
              <w:spacing w:before="40"/>
              <w:jc w:val="right"/>
              <w:rPr>
                <w:rFonts w:ascii="Arial" w:hAnsi="Arial" w:cs="Arial"/>
              </w:rPr>
            </w:pPr>
          </w:p>
        </w:tc>
        <w:tc>
          <w:tcPr>
            <w:tcW w:w="750" w:type="pct"/>
            <w:vAlign w:val="bottom"/>
          </w:tcPr>
          <w:p w:rsidR="00676AFC" w:rsidRDefault="00676AFC">
            <w:pPr>
              <w:pStyle w:val="ParaIMS"/>
              <w:spacing w:before="40"/>
              <w:jc w:val="right"/>
              <w:rPr>
                <w:rFonts w:ascii="Arial" w:hAnsi="Arial" w:cs="Arial"/>
              </w:rPr>
            </w:pPr>
          </w:p>
        </w:tc>
      </w:tr>
      <w:tr w:rsidR="00676AFC" w:rsidTr="00C06842">
        <w:tc>
          <w:tcPr>
            <w:tcW w:w="1936" w:type="pct"/>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szCs w:val="18"/>
              </w:rPr>
              <w:t>I</w:t>
            </w:r>
            <w:r>
              <w:rPr>
                <w:rFonts w:ascii="Arial" w:hAnsi="Arial" w:cs="Arial"/>
                <w:b/>
                <w:bCs/>
                <w:szCs w:val="18"/>
              </w:rPr>
              <w:t>n issue at 1 January 2012</w:t>
            </w:r>
          </w:p>
        </w:tc>
        <w:tc>
          <w:tcPr>
            <w:tcW w:w="814"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1,465,294</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259,973</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2,940,103</w:t>
            </w:r>
          </w:p>
        </w:tc>
        <w:tc>
          <w:tcPr>
            <w:tcW w:w="750" w:type="pct"/>
            <w:vAlign w:val="bottom"/>
          </w:tcPr>
          <w:p w:rsidR="00676AFC" w:rsidRDefault="00676AFC">
            <w:pPr>
              <w:pStyle w:val="ParaIMS"/>
              <w:spacing w:before="40"/>
              <w:jc w:val="right"/>
              <w:rPr>
                <w:rFonts w:ascii="Arial" w:hAnsi="Arial" w:cs="Arial"/>
                <w:szCs w:val="19"/>
              </w:rPr>
            </w:pPr>
          </w:p>
        </w:tc>
      </w:tr>
      <w:tr w:rsidR="00676AFC" w:rsidTr="00C06842">
        <w:tc>
          <w:tcPr>
            <w:tcW w:w="1936" w:type="pct"/>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In issue at 30 June 2012</w:t>
            </w:r>
          </w:p>
        </w:tc>
        <w:tc>
          <w:tcPr>
            <w:tcW w:w="814"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1,465,294</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259,973</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2,940,103</w:t>
            </w:r>
          </w:p>
        </w:tc>
        <w:tc>
          <w:tcPr>
            <w:tcW w:w="750" w:type="pct"/>
            <w:vAlign w:val="bottom"/>
          </w:tcPr>
          <w:p w:rsidR="00676AFC" w:rsidRDefault="00676AFC">
            <w:pPr>
              <w:pStyle w:val="ParaIMS"/>
              <w:spacing w:before="40"/>
              <w:jc w:val="right"/>
              <w:rPr>
                <w:rFonts w:ascii="Arial" w:hAnsi="Arial" w:cs="Arial"/>
                <w:szCs w:val="19"/>
              </w:rPr>
            </w:pPr>
          </w:p>
        </w:tc>
      </w:tr>
      <w:tr w:rsidR="00676AFC" w:rsidTr="00C06842">
        <w:tc>
          <w:tcPr>
            <w:tcW w:w="1936" w:type="pct"/>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Percentage of class</w:t>
            </w:r>
          </w:p>
        </w:tc>
        <w:tc>
          <w:tcPr>
            <w:tcW w:w="814"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9.10%</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9.04%</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7.15%</w:t>
            </w:r>
          </w:p>
        </w:tc>
        <w:tc>
          <w:tcPr>
            <w:tcW w:w="750" w:type="pct"/>
            <w:vAlign w:val="bottom"/>
          </w:tcPr>
          <w:p w:rsidR="00676AFC" w:rsidRDefault="00676AFC">
            <w:pPr>
              <w:pStyle w:val="ParaIMS"/>
              <w:spacing w:before="40"/>
              <w:jc w:val="right"/>
              <w:rPr>
                <w:rFonts w:ascii="Arial" w:hAnsi="Arial" w:cs="Arial"/>
                <w:szCs w:val="19"/>
              </w:rPr>
            </w:pPr>
          </w:p>
        </w:tc>
      </w:tr>
      <w:tr w:rsidR="00676AFC" w:rsidTr="00C06842">
        <w:tc>
          <w:tcPr>
            <w:tcW w:w="1936" w:type="pct"/>
            <w:tcBorders>
              <w:top w:val="single" w:sz="4" w:space="0" w:color="auto"/>
            </w:tcBorders>
            <w:vAlign w:val="bottom"/>
          </w:tcPr>
          <w:p w:rsidR="00676AFC" w:rsidRDefault="00676AFC">
            <w:pPr>
              <w:pStyle w:val="ParaIMS"/>
              <w:spacing w:before="40"/>
              <w:rPr>
                <w:rFonts w:ascii="Arial" w:hAnsi="Arial" w:cs="Arial"/>
              </w:rPr>
            </w:pPr>
          </w:p>
        </w:tc>
        <w:tc>
          <w:tcPr>
            <w:tcW w:w="814" w:type="pct"/>
            <w:tcBorders>
              <w:top w:val="single" w:sz="4" w:space="0" w:color="auto"/>
            </w:tcBorders>
            <w:vAlign w:val="bottom"/>
          </w:tcPr>
          <w:p w:rsidR="00676AFC" w:rsidRDefault="00676AFC">
            <w:pPr>
              <w:pStyle w:val="ParaIMS"/>
              <w:spacing w:before="40"/>
              <w:jc w:val="right"/>
              <w:rPr>
                <w:rFonts w:ascii="Arial" w:hAnsi="Arial" w:cs="Arial"/>
              </w:rPr>
            </w:pPr>
          </w:p>
        </w:tc>
        <w:tc>
          <w:tcPr>
            <w:tcW w:w="750" w:type="pct"/>
            <w:tcBorders>
              <w:top w:val="single" w:sz="4" w:space="0" w:color="auto"/>
            </w:tcBorders>
            <w:vAlign w:val="bottom"/>
          </w:tcPr>
          <w:p w:rsidR="00676AFC" w:rsidRDefault="00676AFC">
            <w:pPr>
              <w:pStyle w:val="ParaIMS"/>
              <w:spacing w:before="40"/>
              <w:jc w:val="right"/>
              <w:rPr>
                <w:rFonts w:ascii="Arial" w:hAnsi="Arial" w:cs="Arial"/>
              </w:rPr>
            </w:pPr>
          </w:p>
        </w:tc>
        <w:tc>
          <w:tcPr>
            <w:tcW w:w="750" w:type="pct"/>
            <w:tcBorders>
              <w:top w:val="single" w:sz="4" w:space="0" w:color="auto"/>
            </w:tcBorders>
            <w:vAlign w:val="bottom"/>
          </w:tcPr>
          <w:p w:rsidR="00676AFC" w:rsidRDefault="00676AFC">
            <w:pPr>
              <w:pStyle w:val="ParaIMS"/>
              <w:spacing w:before="40"/>
              <w:jc w:val="right"/>
              <w:rPr>
                <w:rFonts w:ascii="Arial" w:hAnsi="Arial" w:cs="Arial"/>
              </w:rPr>
            </w:pPr>
          </w:p>
        </w:tc>
        <w:tc>
          <w:tcPr>
            <w:tcW w:w="750" w:type="pct"/>
            <w:vAlign w:val="bottom"/>
          </w:tcPr>
          <w:p w:rsidR="00676AFC" w:rsidRDefault="00676AFC">
            <w:pPr>
              <w:pStyle w:val="ParaIMS"/>
              <w:spacing w:before="40"/>
              <w:jc w:val="right"/>
              <w:rPr>
                <w:rFonts w:ascii="Arial" w:hAnsi="Arial" w:cs="Arial"/>
                <w:b/>
                <w:bCs/>
                <w:szCs w:val="14"/>
              </w:rPr>
            </w:pPr>
          </w:p>
        </w:tc>
      </w:tr>
      <w:tr w:rsidR="00676AFC">
        <w:tc>
          <w:tcPr>
            <w:tcW w:w="1936" w:type="pct"/>
            <w:vAlign w:val="bottom"/>
          </w:tcPr>
          <w:p w:rsidR="00676AFC" w:rsidRDefault="00676AFC">
            <w:pPr>
              <w:pStyle w:val="ParaIMS"/>
              <w:spacing w:before="40"/>
              <w:rPr>
                <w:rFonts w:ascii="Arial" w:hAnsi="Arial" w:cs="Arial"/>
              </w:rPr>
            </w:pPr>
          </w:p>
        </w:tc>
        <w:tc>
          <w:tcPr>
            <w:tcW w:w="814" w:type="pct"/>
            <w:vAlign w:val="bottom"/>
          </w:tcPr>
          <w:p w:rsidR="00676AFC" w:rsidRDefault="00676AFC">
            <w:pPr>
              <w:pStyle w:val="ParaIMS"/>
              <w:spacing w:before="40"/>
              <w:jc w:val="right"/>
              <w:rPr>
                <w:rFonts w:ascii="Arial" w:hAnsi="Arial" w:cs="Arial"/>
              </w:rPr>
            </w:pPr>
          </w:p>
        </w:tc>
        <w:tc>
          <w:tcPr>
            <w:tcW w:w="750" w:type="pct"/>
            <w:vAlign w:val="bottom"/>
          </w:tcPr>
          <w:p w:rsidR="00676AFC" w:rsidRDefault="00676AFC">
            <w:pPr>
              <w:pStyle w:val="ParaIMS"/>
              <w:spacing w:before="40"/>
              <w:jc w:val="right"/>
              <w:rPr>
                <w:rFonts w:ascii="Arial" w:hAnsi="Arial" w:cs="Arial"/>
              </w:rPr>
            </w:pPr>
          </w:p>
        </w:tc>
        <w:tc>
          <w:tcPr>
            <w:tcW w:w="750" w:type="pct"/>
            <w:vAlign w:val="bottom"/>
          </w:tcPr>
          <w:p w:rsidR="00676AFC" w:rsidRDefault="00676AFC">
            <w:pPr>
              <w:pStyle w:val="ParaIMS"/>
              <w:spacing w:before="40"/>
              <w:jc w:val="right"/>
              <w:rPr>
                <w:rFonts w:ascii="Arial" w:hAnsi="Arial" w:cs="Arial"/>
              </w:rPr>
            </w:pPr>
          </w:p>
        </w:tc>
        <w:tc>
          <w:tcPr>
            <w:tcW w:w="750" w:type="pct"/>
            <w:vAlign w:val="bottom"/>
          </w:tcPr>
          <w:p w:rsidR="00676AFC" w:rsidRDefault="00676AFC">
            <w:pPr>
              <w:pStyle w:val="ParaIMS"/>
              <w:spacing w:before="40"/>
              <w:jc w:val="right"/>
              <w:rPr>
                <w:rFonts w:ascii="Arial" w:hAnsi="Arial" w:cs="Arial"/>
              </w:rPr>
            </w:pPr>
            <w:r>
              <w:rPr>
                <w:rFonts w:ascii="Arial" w:hAnsi="Arial" w:cs="Arial"/>
                <w:b/>
                <w:bCs/>
                <w:szCs w:val="14"/>
              </w:rPr>
              <w:t>Company Total</w:t>
            </w:r>
          </w:p>
        </w:tc>
      </w:tr>
      <w:tr w:rsidR="00676AFC">
        <w:tc>
          <w:tcPr>
            <w:tcW w:w="1936" w:type="pct"/>
            <w:tcBorders>
              <w:bottom w:val="single" w:sz="4" w:space="0" w:color="auto"/>
            </w:tcBorders>
            <w:vAlign w:val="bottom"/>
          </w:tcPr>
          <w:p w:rsidR="00676AFC" w:rsidRDefault="00676AFC">
            <w:pPr>
              <w:pStyle w:val="ParaIMS"/>
              <w:spacing w:before="40"/>
              <w:rPr>
                <w:rFonts w:ascii="Arial" w:hAnsi="Arial" w:cs="Arial"/>
                <w:szCs w:val="15"/>
              </w:rPr>
            </w:pPr>
          </w:p>
        </w:tc>
        <w:tc>
          <w:tcPr>
            <w:tcW w:w="814" w:type="pct"/>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US$’000</w:t>
            </w:r>
          </w:p>
        </w:tc>
        <w:tc>
          <w:tcPr>
            <w:tcW w:w="750" w:type="pct"/>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€’000</w:t>
            </w:r>
          </w:p>
        </w:tc>
        <w:tc>
          <w:tcPr>
            <w:tcW w:w="750" w:type="pct"/>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£’000</w:t>
            </w:r>
          </w:p>
        </w:tc>
        <w:tc>
          <w:tcPr>
            <w:tcW w:w="750" w:type="pct"/>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US$’000</w:t>
            </w:r>
          </w:p>
        </w:tc>
      </w:tr>
      <w:tr w:rsidR="00676AFC">
        <w:tc>
          <w:tcPr>
            <w:tcW w:w="1936" w:type="pct"/>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Share capital account</w:t>
            </w:r>
          </w:p>
        </w:tc>
        <w:tc>
          <w:tcPr>
            <w:tcW w:w="814"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r>
      <w:tr w:rsidR="00676AFC">
        <w:tc>
          <w:tcPr>
            <w:tcW w:w="1936" w:type="pct"/>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At 1 January 2012</w:t>
            </w:r>
          </w:p>
        </w:tc>
        <w:tc>
          <w:tcPr>
            <w:tcW w:w="814"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123,495</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19,164</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419,707</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936,081</w:t>
            </w:r>
          </w:p>
        </w:tc>
      </w:tr>
      <w:tr w:rsidR="00676AFC">
        <w:tc>
          <w:tcPr>
            <w:tcW w:w="1936" w:type="pct"/>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szCs w:val="18"/>
              </w:rPr>
              <w:t>Share conversions</w:t>
            </w:r>
          </w:p>
        </w:tc>
        <w:tc>
          <w:tcPr>
            <w:tcW w:w="814"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1,934</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(1,987)</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411</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w:t>
            </w:r>
          </w:p>
        </w:tc>
      </w:tr>
      <w:tr w:rsidR="00676AFC">
        <w:tc>
          <w:tcPr>
            <w:tcW w:w="1936" w:type="pct"/>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szCs w:val="18"/>
              </w:rPr>
              <w:t>Partial capital return</w:t>
            </w:r>
          </w:p>
        </w:tc>
        <w:tc>
          <w:tcPr>
            <w:tcW w:w="814"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(8,402)</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(1,777)</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(21,874)</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(44,967)</w:t>
            </w:r>
          </w:p>
        </w:tc>
      </w:tr>
      <w:tr w:rsidR="00676AFC">
        <w:tc>
          <w:tcPr>
            <w:tcW w:w="1936" w:type="pct"/>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At 30 June 2012</w:t>
            </w:r>
          </w:p>
        </w:tc>
        <w:tc>
          <w:tcPr>
            <w:tcW w:w="814"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117,027</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15,400</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398,244</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891,114</w:t>
            </w:r>
          </w:p>
        </w:tc>
      </w:tr>
    </w:tbl>
    <w:p w:rsidR="00676AFC" w:rsidRDefault="00676AFC">
      <w:pPr>
        <w:rPr>
          <w:rFonts w:ascii="Arial" w:hAnsi="Arial" w:cs="Arial"/>
        </w:rPr>
      </w:pPr>
    </w:p>
    <w:p w:rsidR="00676AFC" w:rsidRDefault="00676AFC">
      <w:pPr>
        <w:rPr>
          <w:rFonts w:ascii="Arial" w:hAnsi="Arial" w:cs="Arial"/>
          <w:sz w:val="20"/>
        </w:rPr>
      </w:pPr>
      <w:r>
        <w:rPr>
          <w:rFonts w:ascii="Arial" w:hAnsi="Arial" w:cs="Arial"/>
          <w:b/>
          <w:bCs/>
          <w:sz w:val="20"/>
          <w:szCs w:val="18"/>
        </w:rPr>
        <w:t>For the year from 1 January 2011 to 31 December 2011</w:t>
      </w:r>
    </w:p>
    <w:p w:rsidR="00676AFC" w:rsidRDefault="00676AFC">
      <w:pPr>
        <w:rPr>
          <w:rFonts w:ascii="Arial" w:hAnsi="Arial" w:cs="Arial"/>
        </w:rPr>
      </w:pPr>
    </w:p>
    <w:tbl>
      <w:tblPr>
        <w:tblW w:w="5000" w:type="pct"/>
        <w:tblCellMar>
          <w:left w:w="0" w:type="dxa"/>
          <w:right w:w="0" w:type="dxa"/>
        </w:tblCellMar>
        <w:tblLook w:val="0000"/>
      </w:tblPr>
      <w:tblGrid>
        <w:gridCol w:w="4081"/>
        <w:gridCol w:w="1716"/>
        <w:gridCol w:w="1581"/>
        <w:gridCol w:w="1581"/>
        <w:gridCol w:w="1581"/>
      </w:tblGrid>
      <w:tr w:rsidR="00676AFC" w:rsidTr="00C06842">
        <w:tc>
          <w:tcPr>
            <w:tcW w:w="1936" w:type="pct"/>
            <w:tcBorders>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4"/>
              </w:rPr>
              <w:t>Reconciliation of number of shares</w:t>
            </w:r>
          </w:p>
        </w:tc>
        <w:tc>
          <w:tcPr>
            <w:tcW w:w="814" w:type="pct"/>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US Dollar shares</w:t>
            </w:r>
          </w:p>
        </w:tc>
        <w:tc>
          <w:tcPr>
            <w:tcW w:w="750" w:type="pct"/>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Euro shares</w:t>
            </w:r>
          </w:p>
        </w:tc>
        <w:tc>
          <w:tcPr>
            <w:tcW w:w="750" w:type="pct"/>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Sterling shares</w:t>
            </w:r>
          </w:p>
        </w:tc>
        <w:tc>
          <w:tcPr>
            <w:tcW w:w="750" w:type="pct"/>
            <w:vAlign w:val="bottom"/>
          </w:tcPr>
          <w:p w:rsidR="00676AFC" w:rsidRDefault="00676AFC">
            <w:pPr>
              <w:pStyle w:val="ParaIMS"/>
              <w:spacing w:before="40"/>
              <w:jc w:val="right"/>
              <w:rPr>
                <w:rFonts w:ascii="Arial" w:hAnsi="Arial" w:cs="Arial"/>
              </w:rPr>
            </w:pPr>
          </w:p>
        </w:tc>
      </w:tr>
      <w:tr w:rsidR="00676AFC" w:rsidTr="00C06842">
        <w:tc>
          <w:tcPr>
            <w:tcW w:w="1936" w:type="pct"/>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Number of ordinary shares</w:t>
            </w:r>
          </w:p>
        </w:tc>
        <w:tc>
          <w:tcPr>
            <w:tcW w:w="814"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750" w:type="pct"/>
            <w:vAlign w:val="bottom"/>
          </w:tcPr>
          <w:p w:rsidR="00676AFC" w:rsidRDefault="00676AFC">
            <w:pPr>
              <w:pStyle w:val="ParaIMS"/>
              <w:spacing w:before="40"/>
              <w:jc w:val="right"/>
              <w:rPr>
                <w:rFonts w:ascii="Arial" w:hAnsi="Arial" w:cs="Arial"/>
                <w:szCs w:val="18"/>
              </w:rPr>
            </w:pPr>
          </w:p>
        </w:tc>
      </w:tr>
      <w:tr w:rsidR="00676AFC" w:rsidTr="00C06842">
        <w:tc>
          <w:tcPr>
            <w:tcW w:w="1936" w:type="pct"/>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In issue at 1 January 2011</w:t>
            </w:r>
          </w:p>
        </w:tc>
        <w:tc>
          <w:tcPr>
            <w:tcW w:w="814"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21,859,989</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3,333,754</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36,417,607</w:t>
            </w:r>
          </w:p>
        </w:tc>
        <w:tc>
          <w:tcPr>
            <w:tcW w:w="750" w:type="pct"/>
            <w:vAlign w:val="bottom"/>
          </w:tcPr>
          <w:p w:rsidR="00676AFC" w:rsidRDefault="00676AFC">
            <w:pPr>
              <w:pStyle w:val="ParaIMS"/>
              <w:spacing w:before="40"/>
              <w:jc w:val="right"/>
              <w:rPr>
                <w:rFonts w:ascii="Arial" w:hAnsi="Arial" w:cs="Arial"/>
                <w:szCs w:val="19"/>
              </w:rPr>
            </w:pPr>
          </w:p>
        </w:tc>
      </w:tr>
      <w:tr w:rsidR="00676AFC" w:rsidTr="00C06842">
        <w:tc>
          <w:tcPr>
            <w:tcW w:w="1936" w:type="pct"/>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szCs w:val="18"/>
              </w:rPr>
              <w:t>Share conversions</w:t>
            </w:r>
          </w:p>
        </w:tc>
        <w:tc>
          <w:tcPr>
            <w:tcW w:w="814"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(6,172,743)</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(261,391)</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4,011,121</w:t>
            </w:r>
          </w:p>
        </w:tc>
        <w:tc>
          <w:tcPr>
            <w:tcW w:w="750" w:type="pct"/>
            <w:vAlign w:val="bottom"/>
          </w:tcPr>
          <w:p w:rsidR="00676AFC" w:rsidRDefault="00676AFC">
            <w:pPr>
              <w:pStyle w:val="ParaIMS"/>
              <w:spacing w:before="40"/>
              <w:jc w:val="right"/>
              <w:rPr>
                <w:rFonts w:ascii="Arial" w:hAnsi="Arial" w:cs="Arial"/>
                <w:szCs w:val="19"/>
              </w:rPr>
            </w:pPr>
          </w:p>
        </w:tc>
      </w:tr>
      <w:tr w:rsidR="00676AFC" w:rsidTr="00C06842">
        <w:tc>
          <w:tcPr>
            <w:tcW w:w="1936" w:type="pct"/>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szCs w:val="18"/>
              </w:rPr>
              <w:t>Purchase of own shares into treasury</w:t>
            </w:r>
          </w:p>
        </w:tc>
        <w:tc>
          <w:tcPr>
            <w:tcW w:w="814"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(501,632)</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(152,601)</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(517,816)</w:t>
            </w:r>
          </w:p>
        </w:tc>
        <w:tc>
          <w:tcPr>
            <w:tcW w:w="750" w:type="pct"/>
            <w:vAlign w:val="bottom"/>
          </w:tcPr>
          <w:p w:rsidR="00676AFC" w:rsidRDefault="00676AFC">
            <w:pPr>
              <w:pStyle w:val="ParaIMS"/>
              <w:spacing w:before="40"/>
              <w:jc w:val="right"/>
              <w:rPr>
                <w:rFonts w:ascii="Arial" w:hAnsi="Arial" w:cs="Arial"/>
                <w:szCs w:val="19"/>
              </w:rPr>
            </w:pPr>
          </w:p>
        </w:tc>
      </w:tr>
      <w:tr w:rsidR="00676AFC" w:rsidTr="00C06842">
        <w:tc>
          <w:tcPr>
            <w:tcW w:w="1936" w:type="pct"/>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In issue at 31 December 2011</w:t>
            </w:r>
          </w:p>
        </w:tc>
        <w:tc>
          <w:tcPr>
            <w:tcW w:w="814"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15,185,614</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2,919,762</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39,910,912</w:t>
            </w:r>
          </w:p>
        </w:tc>
        <w:tc>
          <w:tcPr>
            <w:tcW w:w="750" w:type="pct"/>
            <w:vAlign w:val="bottom"/>
          </w:tcPr>
          <w:p w:rsidR="00676AFC" w:rsidRDefault="00676AFC">
            <w:pPr>
              <w:pStyle w:val="ParaIMS"/>
              <w:spacing w:before="40"/>
              <w:jc w:val="right"/>
              <w:rPr>
                <w:rFonts w:ascii="Arial" w:hAnsi="Arial" w:cs="Arial"/>
                <w:szCs w:val="19"/>
              </w:rPr>
            </w:pPr>
          </w:p>
        </w:tc>
      </w:tr>
      <w:tr w:rsidR="00676AFC" w:rsidTr="00C06842">
        <w:tc>
          <w:tcPr>
            <w:tcW w:w="1936" w:type="pct"/>
            <w:tcBorders>
              <w:top w:val="single" w:sz="4" w:space="0" w:color="auto"/>
            </w:tcBorders>
            <w:vAlign w:val="bottom"/>
          </w:tcPr>
          <w:p w:rsidR="00676AFC" w:rsidRDefault="00676AFC">
            <w:pPr>
              <w:pStyle w:val="ParaIMS"/>
              <w:spacing w:before="40"/>
              <w:rPr>
                <w:rFonts w:ascii="Arial" w:hAnsi="Arial" w:cs="Arial"/>
                <w:b/>
                <w:bCs/>
                <w:szCs w:val="18"/>
              </w:rPr>
            </w:pPr>
          </w:p>
        </w:tc>
        <w:tc>
          <w:tcPr>
            <w:tcW w:w="814" w:type="pct"/>
            <w:tcBorders>
              <w:top w:val="single" w:sz="4" w:space="0" w:color="auto"/>
            </w:tcBorders>
            <w:vAlign w:val="bottom"/>
          </w:tcPr>
          <w:p w:rsidR="00676AFC" w:rsidRDefault="00676AFC">
            <w:pPr>
              <w:pStyle w:val="ParaIMS"/>
              <w:spacing w:before="40"/>
              <w:jc w:val="right"/>
              <w:rPr>
                <w:rFonts w:ascii="Arial" w:hAnsi="Arial" w:cs="Arial"/>
              </w:rPr>
            </w:pPr>
          </w:p>
        </w:tc>
        <w:tc>
          <w:tcPr>
            <w:tcW w:w="750" w:type="pct"/>
            <w:tcBorders>
              <w:top w:val="single" w:sz="4" w:space="0" w:color="auto"/>
            </w:tcBorders>
            <w:vAlign w:val="bottom"/>
          </w:tcPr>
          <w:p w:rsidR="00676AFC" w:rsidRDefault="00676AFC">
            <w:pPr>
              <w:pStyle w:val="ParaIMS"/>
              <w:spacing w:before="40"/>
              <w:jc w:val="right"/>
              <w:rPr>
                <w:rFonts w:ascii="Arial" w:hAnsi="Arial" w:cs="Arial"/>
              </w:rPr>
            </w:pPr>
          </w:p>
        </w:tc>
        <w:tc>
          <w:tcPr>
            <w:tcW w:w="750" w:type="pct"/>
            <w:tcBorders>
              <w:top w:val="single" w:sz="4" w:space="0" w:color="auto"/>
            </w:tcBorders>
            <w:vAlign w:val="bottom"/>
          </w:tcPr>
          <w:p w:rsidR="00676AFC" w:rsidRDefault="00676AFC">
            <w:pPr>
              <w:pStyle w:val="ParaIMS"/>
              <w:spacing w:before="40"/>
              <w:jc w:val="right"/>
              <w:rPr>
                <w:rFonts w:ascii="Arial" w:hAnsi="Arial" w:cs="Arial"/>
              </w:rPr>
            </w:pPr>
          </w:p>
        </w:tc>
        <w:tc>
          <w:tcPr>
            <w:tcW w:w="750" w:type="pct"/>
            <w:vAlign w:val="bottom"/>
          </w:tcPr>
          <w:p w:rsidR="00676AFC" w:rsidRDefault="00676AFC">
            <w:pPr>
              <w:pStyle w:val="ParaIMS"/>
              <w:spacing w:before="40"/>
              <w:jc w:val="right"/>
              <w:rPr>
                <w:rFonts w:ascii="Arial" w:hAnsi="Arial" w:cs="Arial"/>
              </w:rPr>
            </w:pPr>
          </w:p>
        </w:tc>
      </w:tr>
      <w:tr w:rsidR="00676AFC">
        <w:tc>
          <w:tcPr>
            <w:tcW w:w="1936" w:type="pct"/>
            <w:vAlign w:val="bottom"/>
          </w:tcPr>
          <w:p w:rsidR="00676AFC" w:rsidRDefault="00676AFC">
            <w:pPr>
              <w:pStyle w:val="ParaIMS"/>
              <w:spacing w:before="40"/>
              <w:rPr>
                <w:rFonts w:ascii="Arial" w:hAnsi="Arial" w:cs="Arial"/>
              </w:rPr>
            </w:pPr>
            <w:r>
              <w:rPr>
                <w:rFonts w:ascii="Arial" w:hAnsi="Arial" w:cs="Arial"/>
                <w:b/>
                <w:bCs/>
                <w:szCs w:val="18"/>
              </w:rPr>
              <w:t>Number of treasury shares</w:t>
            </w:r>
          </w:p>
        </w:tc>
        <w:tc>
          <w:tcPr>
            <w:tcW w:w="814" w:type="pct"/>
            <w:vAlign w:val="bottom"/>
          </w:tcPr>
          <w:p w:rsidR="00676AFC" w:rsidRDefault="00676AFC">
            <w:pPr>
              <w:pStyle w:val="ParaIMS"/>
              <w:spacing w:before="40"/>
              <w:jc w:val="right"/>
              <w:rPr>
                <w:rFonts w:ascii="Arial" w:hAnsi="Arial" w:cs="Arial"/>
              </w:rPr>
            </w:pPr>
          </w:p>
        </w:tc>
        <w:tc>
          <w:tcPr>
            <w:tcW w:w="750" w:type="pct"/>
            <w:vAlign w:val="bottom"/>
          </w:tcPr>
          <w:p w:rsidR="00676AFC" w:rsidRDefault="00676AFC">
            <w:pPr>
              <w:pStyle w:val="ParaIMS"/>
              <w:spacing w:before="40"/>
              <w:jc w:val="right"/>
              <w:rPr>
                <w:rFonts w:ascii="Arial" w:hAnsi="Arial" w:cs="Arial"/>
              </w:rPr>
            </w:pPr>
          </w:p>
        </w:tc>
        <w:tc>
          <w:tcPr>
            <w:tcW w:w="750" w:type="pct"/>
            <w:vAlign w:val="bottom"/>
          </w:tcPr>
          <w:p w:rsidR="00676AFC" w:rsidRDefault="00676AFC">
            <w:pPr>
              <w:pStyle w:val="ParaIMS"/>
              <w:spacing w:before="40"/>
              <w:jc w:val="right"/>
              <w:rPr>
                <w:rFonts w:ascii="Arial" w:hAnsi="Arial" w:cs="Arial"/>
              </w:rPr>
            </w:pPr>
          </w:p>
        </w:tc>
        <w:tc>
          <w:tcPr>
            <w:tcW w:w="750" w:type="pct"/>
            <w:vAlign w:val="bottom"/>
          </w:tcPr>
          <w:p w:rsidR="00676AFC" w:rsidRDefault="00676AFC">
            <w:pPr>
              <w:pStyle w:val="ParaIMS"/>
              <w:spacing w:before="40"/>
              <w:jc w:val="right"/>
              <w:rPr>
                <w:rFonts w:ascii="Arial" w:hAnsi="Arial" w:cs="Arial"/>
              </w:rPr>
            </w:pPr>
          </w:p>
        </w:tc>
      </w:tr>
      <w:tr w:rsidR="00676AFC" w:rsidTr="00C06842">
        <w:tc>
          <w:tcPr>
            <w:tcW w:w="1936" w:type="pct"/>
            <w:tcBorders>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In issue at 1 January 2011</w:t>
            </w:r>
          </w:p>
        </w:tc>
        <w:tc>
          <w:tcPr>
            <w:tcW w:w="814" w:type="pct"/>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2,385,662</w:t>
            </w:r>
          </w:p>
        </w:tc>
        <w:tc>
          <w:tcPr>
            <w:tcW w:w="750" w:type="pct"/>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349,712</w:t>
            </w:r>
          </w:p>
        </w:tc>
        <w:tc>
          <w:tcPr>
            <w:tcW w:w="750" w:type="pct"/>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2,422,287</w:t>
            </w:r>
          </w:p>
        </w:tc>
        <w:tc>
          <w:tcPr>
            <w:tcW w:w="750" w:type="pct"/>
            <w:vAlign w:val="bottom"/>
          </w:tcPr>
          <w:p w:rsidR="00676AFC" w:rsidRDefault="00676AFC">
            <w:pPr>
              <w:pStyle w:val="ParaIMS"/>
              <w:spacing w:before="40"/>
              <w:jc w:val="right"/>
              <w:rPr>
                <w:rFonts w:ascii="Arial" w:hAnsi="Arial" w:cs="Arial"/>
                <w:szCs w:val="19"/>
              </w:rPr>
            </w:pPr>
          </w:p>
        </w:tc>
      </w:tr>
      <w:tr w:rsidR="00676AFC" w:rsidTr="00C06842">
        <w:tc>
          <w:tcPr>
            <w:tcW w:w="1936" w:type="pct"/>
            <w:tcBorders>
              <w:top w:val="single" w:sz="4" w:space="0" w:color="auto"/>
              <w:bottom w:val="single" w:sz="4" w:space="0" w:color="auto"/>
            </w:tcBorders>
            <w:vAlign w:val="bottom"/>
          </w:tcPr>
          <w:p w:rsidR="00676AFC" w:rsidRDefault="00676AFC">
            <w:pPr>
              <w:pStyle w:val="ParaIMS"/>
              <w:spacing w:before="40"/>
              <w:ind w:left="173" w:hanging="173"/>
              <w:rPr>
                <w:rFonts w:ascii="Arial" w:hAnsi="Arial" w:cs="Arial"/>
              </w:rPr>
            </w:pPr>
            <w:r>
              <w:rPr>
                <w:rFonts w:ascii="Arial" w:hAnsi="Arial" w:cs="Arial"/>
                <w:szCs w:val="18"/>
              </w:rPr>
              <w:t>Shares purchased and held in treasury during the year:</w:t>
            </w:r>
          </w:p>
        </w:tc>
        <w:tc>
          <w:tcPr>
            <w:tcW w:w="814"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9"/>
              </w:rPr>
            </w:pP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9"/>
              </w:rPr>
            </w:pP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9"/>
              </w:rPr>
            </w:pPr>
          </w:p>
        </w:tc>
        <w:tc>
          <w:tcPr>
            <w:tcW w:w="750" w:type="pct"/>
            <w:vAlign w:val="bottom"/>
          </w:tcPr>
          <w:p w:rsidR="00676AFC" w:rsidRDefault="00676AFC">
            <w:pPr>
              <w:pStyle w:val="ParaIMS"/>
              <w:spacing w:before="40"/>
              <w:jc w:val="right"/>
              <w:rPr>
                <w:rFonts w:ascii="Arial" w:hAnsi="Arial" w:cs="Arial"/>
                <w:szCs w:val="19"/>
              </w:rPr>
            </w:pPr>
          </w:p>
        </w:tc>
      </w:tr>
      <w:tr w:rsidR="00676AFC" w:rsidTr="00C06842">
        <w:tc>
          <w:tcPr>
            <w:tcW w:w="1936" w:type="pct"/>
            <w:tcBorders>
              <w:top w:val="single" w:sz="4" w:space="0" w:color="auto"/>
              <w:bottom w:val="single" w:sz="4" w:space="0" w:color="auto"/>
            </w:tcBorders>
            <w:vAlign w:val="bottom"/>
          </w:tcPr>
          <w:p w:rsidR="00676AFC" w:rsidRDefault="00676AFC">
            <w:pPr>
              <w:pStyle w:val="ParaIMS"/>
              <w:spacing w:before="40"/>
              <w:ind w:left="346" w:hanging="173"/>
              <w:rPr>
                <w:rFonts w:ascii="Arial" w:hAnsi="Arial" w:cs="Arial"/>
              </w:rPr>
            </w:pPr>
            <w:r>
              <w:rPr>
                <w:rFonts w:ascii="Arial" w:hAnsi="Arial" w:cs="Arial"/>
                <w:szCs w:val="18"/>
              </w:rPr>
              <w:t>– Other on market purchases</w:t>
            </w:r>
          </w:p>
        </w:tc>
        <w:tc>
          <w:tcPr>
            <w:tcW w:w="814"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501,632</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152,601</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517,816</w:t>
            </w:r>
          </w:p>
        </w:tc>
        <w:tc>
          <w:tcPr>
            <w:tcW w:w="750" w:type="pct"/>
            <w:vAlign w:val="bottom"/>
          </w:tcPr>
          <w:p w:rsidR="00676AFC" w:rsidRDefault="00676AFC">
            <w:pPr>
              <w:pStyle w:val="ParaIMS"/>
              <w:spacing w:before="40"/>
              <w:jc w:val="right"/>
              <w:rPr>
                <w:rFonts w:ascii="Arial" w:hAnsi="Arial" w:cs="Arial"/>
                <w:szCs w:val="19"/>
              </w:rPr>
            </w:pPr>
          </w:p>
        </w:tc>
      </w:tr>
      <w:tr w:rsidR="00676AFC" w:rsidTr="00C06842">
        <w:tc>
          <w:tcPr>
            <w:tcW w:w="1936" w:type="pct"/>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szCs w:val="18"/>
              </w:rPr>
              <w:t>Shares cancelled</w:t>
            </w:r>
          </w:p>
        </w:tc>
        <w:tc>
          <w:tcPr>
            <w:tcW w:w="814"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(1,422,000)</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(242,340)</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w:t>
            </w:r>
          </w:p>
        </w:tc>
        <w:tc>
          <w:tcPr>
            <w:tcW w:w="750" w:type="pct"/>
            <w:vAlign w:val="bottom"/>
          </w:tcPr>
          <w:p w:rsidR="00676AFC" w:rsidRDefault="00676AFC">
            <w:pPr>
              <w:pStyle w:val="ParaIMS"/>
              <w:spacing w:before="40"/>
              <w:jc w:val="right"/>
              <w:rPr>
                <w:rFonts w:ascii="Arial" w:hAnsi="Arial" w:cs="Arial"/>
                <w:szCs w:val="19"/>
              </w:rPr>
            </w:pPr>
          </w:p>
        </w:tc>
      </w:tr>
      <w:tr w:rsidR="00676AFC" w:rsidTr="00C06842">
        <w:tc>
          <w:tcPr>
            <w:tcW w:w="1936" w:type="pct"/>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In issue at 31 December 2011</w:t>
            </w:r>
          </w:p>
        </w:tc>
        <w:tc>
          <w:tcPr>
            <w:tcW w:w="814"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1,465,294</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259,973</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2,940,103</w:t>
            </w:r>
          </w:p>
        </w:tc>
        <w:tc>
          <w:tcPr>
            <w:tcW w:w="750" w:type="pct"/>
            <w:vAlign w:val="bottom"/>
          </w:tcPr>
          <w:p w:rsidR="00676AFC" w:rsidRDefault="00676AFC">
            <w:pPr>
              <w:pStyle w:val="ParaIMS"/>
              <w:spacing w:before="40"/>
              <w:jc w:val="right"/>
              <w:rPr>
                <w:rFonts w:ascii="Arial" w:hAnsi="Arial" w:cs="Arial"/>
                <w:szCs w:val="19"/>
              </w:rPr>
            </w:pPr>
          </w:p>
        </w:tc>
      </w:tr>
      <w:tr w:rsidR="00676AFC" w:rsidTr="00C06842">
        <w:tc>
          <w:tcPr>
            <w:tcW w:w="1936" w:type="pct"/>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Percentage of class</w:t>
            </w:r>
          </w:p>
        </w:tc>
        <w:tc>
          <w:tcPr>
            <w:tcW w:w="814"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8.80%</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8.18%</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6.86%</w:t>
            </w:r>
          </w:p>
        </w:tc>
        <w:tc>
          <w:tcPr>
            <w:tcW w:w="750" w:type="pct"/>
            <w:vAlign w:val="bottom"/>
          </w:tcPr>
          <w:p w:rsidR="00676AFC" w:rsidRDefault="00676AFC">
            <w:pPr>
              <w:pStyle w:val="ParaIMS"/>
              <w:spacing w:before="40"/>
              <w:jc w:val="right"/>
              <w:rPr>
                <w:rFonts w:ascii="Arial" w:hAnsi="Arial" w:cs="Arial"/>
                <w:szCs w:val="19"/>
              </w:rPr>
            </w:pPr>
          </w:p>
        </w:tc>
      </w:tr>
      <w:tr w:rsidR="00676AFC" w:rsidTr="00C06842">
        <w:tc>
          <w:tcPr>
            <w:tcW w:w="1936" w:type="pct"/>
            <w:tcBorders>
              <w:top w:val="single" w:sz="4" w:space="0" w:color="auto"/>
            </w:tcBorders>
            <w:vAlign w:val="bottom"/>
          </w:tcPr>
          <w:p w:rsidR="00676AFC" w:rsidRDefault="00676AFC">
            <w:pPr>
              <w:pStyle w:val="ParaIMS"/>
              <w:spacing w:before="40"/>
              <w:rPr>
                <w:rFonts w:ascii="Arial" w:hAnsi="Arial" w:cs="Arial"/>
              </w:rPr>
            </w:pPr>
          </w:p>
        </w:tc>
        <w:tc>
          <w:tcPr>
            <w:tcW w:w="814" w:type="pct"/>
            <w:tcBorders>
              <w:top w:val="single" w:sz="4" w:space="0" w:color="auto"/>
            </w:tcBorders>
            <w:vAlign w:val="bottom"/>
          </w:tcPr>
          <w:p w:rsidR="00676AFC" w:rsidRDefault="00676AFC">
            <w:pPr>
              <w:pStyle w:val="ParaIMS"/>
              <w:spacing w:before="40"/>
              <w:jc w:val="right"/>
              <w:rPr>
                <w:rFonts w:ascii="Arial" w:hAnsi="Arial" w:cs="Arial"/>
              </w:rPr>
            </w:pPr>
          </w:p>
        </w:tc>
        <w:tc>
          <w:tcPr>
            <w:tcW w:w="750" w:type="pct"/>
            <w:tcBorders>
              <w:top w:val="single" w:sz="4" w:space="0" w:color="auto"/>
            </w:tcBorders>
            <w:vAlign w:val="bottom"/>
          </w:tcPr>
          <w:p w:rsidR="00676AFC" w:rsidRDefault="00676AFC">
            <w:pPr>
              <w:pStyle w:val="ParaIMS"/>
              <w:spacing w:before="40"/>
              <w:jc w:val="right"/>
              <w:rPr>
                <w:rFonts w:ascii="Arial" w:hAnsi="Arial" w:cs="Arial"/>
              </w:rPr>
            </w:pPr>
          </w:p>
        </w:tc>
        <w:tc>
          <w:tcPr>
            <w:tcW w:w="750" w:type="pct"/>
            <w:tcBorders>
              <w:top w:val="single" w:sz="4" w:space="0" w:color="auto"/>
            </w:tcBorders>
            <w:vAlign w:val="bottom"/>
          </w:tcPr>
          <w:p w:rsidR="00676AFC" w:rsidRDefault="00676AFC">
            <w:pPr>
              <w:pStyle w:val="ParaIMS"/>
              <w:spacing w:before="40"/>
              <w:jc w:val="right"/>
              <w:rPr>
                <w:rFonts w:ascii="Arial" w:hAnsi="Arial" w:cs="Arial"/>
              </w:rPr>
            </w:pPr>
          </w:p>
        </w:tc>
        <w:tc>
          <w:tcPr>
            <w:tcW w:w="750" w:type="pct"/>
            <w:vAlign w:val="bottom"/>
          </w:tcPr>
          <w:p w:rsidR="00676AFC" w:rsidRDefault="00676AFC">
            <w:pPr>
              <w:pStyle w:val="ParaIMS"/>
              <w:spacing w:before="40"/>
              <w:jc w:val="right"/>
              <w:rPr>
                <w:rFonts w:ascii="Arial" w:hAnsi="Arial" w:cs="Arial"/>
                <w:b/>
                <w:bCs/>
                <w:szCs w:val="14"/>
              </w:rPr>
            </w:pPr>
          </w:p>
        </w:tc>
      </w:tr>
      <w:tr w:rsidR="00676AFC">
        <w:tc>
          <w:tcPr>
            <w:tcW w:w="1936" w:type="pct"/>
            <w:vAlign w:val="bottom"/>
          </w:tcPr>
          <w:p w:rsidR="00676AFC" w:rsidRDefault="00676AFC">
            <w:pPr>
              <w:pStyle w:val="ParaIMS"/>
              <w:spacing w:before="40"/>
              <w:rPr>
                <w:rFonts w:ascii="Arial" w:hAnsi="Arial" w:cs="Arial"/>
              </w:rPr>
            </w:pPr>
          </w:p>
        </w:tc>
        <w:tc>
          <w:tcPr>
            <w:tcW w:w="814" w:type="pct"/>
            <w:vAlign w:val="bottom"/>
          </w:tcPr>
          <w:p w:rsidR="00676AFC" w:rsidRDefault="00676AFC">
            <w:pPr>
              <w:pStyle w:val="ParaIMS"/>
              <w:spacing w:before="40"/>
              <w:jc w:val="right"/>
              <w:rPr>
                <w:rFonts w:ascii="Arial" w:hAnsi="Arial" w:cs="Arial"/>
              </w:rPr>
            </w:pPr>
          </w:p>
        </w:tc>
        <w:tc>
          <w:tcPr>
            <w:tcW w:w="750" w:type="pct"/>
            <w:vAlign w:val="bottom"/>
          </w:tcPr>
          <w:p w:rsidR="00676AFC" w:rsidRDefault="00676AFC">
            <w:pPr>
              <w:pStyle w:val="ParaIMS"/>
              <w:spacing w:before="40"/>
              <w:jc w:val="right"/>
              <w:rPr>
                <w:rFonts w:ascii="Arial" w:hAnsi="Arial" w:cs="Arial"/>
              </w:rPr>
            </w:pPr>
          </w:p>
        </w:tc>
        <w:tc>
          <w:tcPr>
            <w:tcW w:w="750" w:type="pct"/>
            <w:vAlign w:val="bottom"/>
          </w:tcPr>
          <w:p w:rsidR="00676AFC" w:rsidRDefault="00676AFC">
            <w:pPr>
              <w:pStyle w:val="ParaIMS"/>
              <w:spacing w:before="40"/>
              <w:jc w:val="right"/>
              <w:rPr>
                <w:rFonts w:ascii="Arial" w:hAnsi="Arial" w:cs="Arial"/>
              </w:rPr>
            </w:pPr>
          </w:p>
        </w:tc>
        <w:tc>
          <w:tcPr>
            <w:tcW w:w="750" w:type="pct"/>
            <w:vAlign w:val="bottom"/>
          </w:tcPr>
          <w:p w:rsidR="00F84390" w:rsidRDefault="00F84390">
            <w:pPr>
              <w:pStyle w:val="ParaIMS"/>
              <w:spacing w:before="40"/>
              <w:jc w:val="right"/>
              <w:rPr>
                <w:rFonts w:ascii="Arial" w:hAnsi="Arial" w:cs="Arial"/>
                <w:b/>
                <w:bCs/>
                <w:szCs w:val="14"/>
              </w:rPr>
            </w:pPr>
          </w:p>
          <w:p w:rsidR="00676AFC" w:rsidRDefault="00676AFC">
            <w:pPr>
              <w:pStyle w:val="ParaIMS"/>
              <w:spacing w:before="40"/>
              <w:jc w:val="right"/>
              <w:rPr>
                <w:rFonts w:ascii="Arial" w:hAnsi="Arial" w:cs="Arial"/>
              </w:rPr>
            </w:pPr>
            <w:r>
              <w:rPr>
                <w:rFonts w:ascii="Arial" w:hAnsi="Arial" w:cs="Arial"/>
                <w:b/>
                <w:bCs/>
                <w:szCs w:val="14"/>
              </w:rPr>
              <w:t>Company Total</w:t>
            </w:r>
          </w:p>
        </w:tc>
      </w:tr>
      <w:tr w:rsidR="00676AFC">
        <w:tc>
          <w:tcPr>
            <w:tcW w:w="1936" w:type="pct"/>
            <w:tcBorders>
              <w:bottom w:val="single" w:sz="4" w:space="0" w:color="auto"/>
            </w:tcBorders>
            <w:vAlign w:val="bottom"/>
          </w:tcPr>
          <w:p w:rsidR="00676AFC" w:rsidRDefault="00676AFC">
            <w:pPr>
              <w:pStyle w:val="ParaIMS"/>
              <w:spacing w:before="40"/>
              <w:rPr>
                <w:rFonts w:ascii="Arial" w:hAnsi="Arial" w:cs="Arial"/>
                <w:szCs w:val="15"/>
              </w:rPr>
            </w:pPr>
          </w:p>
        </w:tc>
        <w:tc>
          <w:tcPr>
            <w:tcW w:w="814" w:type="pct"/>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US$’000</w:t>
            </w:r>
          </w:p>
        </w:tc>
        <w:tc>
          <w:tcPr>
            <w:tcW w:w="750" w:type="pct"/>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€’000</w:t>
            </w:r>
          </w:p>
        </w:tc>
        <w:tc>
          <w:tcPr>
            <w:tcW w:w="750" w:type="pct"/>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£’000</w:t>
            </w:r>
          </w:p>
        </w:tc>
        <w:tc>
          <w:tcPr>
            <w:tcW w:w="750" w:type="pct"/>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US$’000</w:t>
            </w:r>
          </w:p>
        </w:tc>
      </w:tr>
      <w:tr w:rsidR="00676AFC">
        <w:tc>
          <w:tcPr>
            <w:tcW w:w="1936" w:type="pct"/>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Share capital account</w:t>
            </w:r>
          </w:p>
        </w:tc>
        <w:tc>
          <w:tcPr>
            <w:tcW w:w="814"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r>
      <w:tr w:rsidR="00676AFC">
        <w:tc>
          <w:tcPr>
            <w:tcW w:w="1936" w:type="pct"/>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In issue at 1 January 2011</w:t>
            </w:r>
          </w:p>
        </w:tc>
        <w:tc>
          <w:tcPr>
            <w:tcW w:w="814"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203,264</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23,998</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376,538</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953,028</w:t>
            </w:r>
          </w:p>
        </w:tc>
      </w:tr>
      <w:tr w:rsidR="00676AFC">
        <w:tc>
          <w:tcPr>
            <w:tcW w:w="1936" w:type="pct"/>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szCs w:val="18"/>
              </w:rPr>
              <w:t>Share conversions</w:t>
            </w:r>
          </w:p>
        </w:tc>
        <w:tc>
          <w:tcPr>
            <w:tcW w:w="814"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(74,380)</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(3,171)</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48,841</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w:t>
            </w:r>
          </w:p>
        </w:tc>
      </w:tr>
      <w:tr w:rsidR="00676AFC">
        <w:tc>
          <w:tcPr>
            <w:tcW w:w="1936" w:type="pct"/>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szCs w:val="18"/>
              </w:rPr>
              <w:t>Purchase of own shares into treasury</w:t>
            </w:r>
          </w:p>
        </w:tc>
        <w:tc>
          <w:tcPr>
            <w:tcW w:w="814"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(5,389)</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(1,663)</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(5,672)</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(16,947)</w:t>
            </w:r>
          </w:p>
        </w:tc>
      </w:tr>
      <w:tr w:rsidR="00676AFC">
        <w:tc>
          <w:tcPr>
            <w:tcW w:w="1936" w:type="pct"/>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At 31 December 2011</w:t>
            </w:r>
          </w:p>
        </w:tc>
        <w:tc>
          <w:tcPr>
            <w:tcW w:w="814"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123,495</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19,164</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419,707</w:t>
            </w:r>
          </w:p>
        </w:tc>
        <w:tc>
          <w:tcPr>
            <w:tcW w:w="750" w:type="pct"/>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936,081</w:t>
            </w:r>
          </w:p>
        </w:tc>
      </w:tr>
    </w:tbl>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For the period from 1 January 2011 to 30 June 2011</w:t>
      </w:r>
    </w:p>
    <w:p w:rsidR="00676AFC" w:rsidRDefault="00676AFC">
      <w:pPr>
        <w:pStyle w:val="ParaIMS"/>
        <w:spacing w:before="0"/>
        <w:rPr>
          <w:rFonts w:ascii="Arial" w:hAnsi="Arial" w:cs="Arial"/>
        </w:rPr>
      </w:pPr>
    </w:p>
    <w:tbl>
      <w:tblPr>
        <w:tblW w:w="5000" w:type="pct"/>
        <w:tblLayout w:type="fixed"/>
        <w:tblCellMar>
          <w:left w:w="0" w:type="dxa"/>
          <w:right w:w="0" w:type="dxa"/>
        </w:tblCellMar>
        <w:tblLook w:val="0000"/>
      </w:tblPr>
      <w:tblGrid>
        <w:gridCol w:w="4069"/>
        <w:gridCol w:w="1725"/>
        <w:gridCol w:w="1582"/>
        <w:gridCol w:w="1582"/>
        <w:gridCol w:w="1582"/>
      </w:tblGrid>
      <w:tr w:rsidR="00676AFC" w:rsidTr="00C06842">
        <w:tc>
          <w:tcPr>
            <w:tcW w:w="4076" w:type="dxa"/>
            <w:tcBorders>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4"/>
              </w:rPr>
              <w:t>Reconciliation of number of shares</w:t>
            </w:r>
          </w:p>
        </w:tc>
        <w:tc>
          <w:tcPr>
            <w:tcW w:w="1728"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US Dollar shares</w:t>
            </w:r>
          </w:p>
        </w:tc>
        <w:tc>
          <w:tcPr>
            <w:tcW w:w="1584"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Euro shares</w:t>
            </w:r>
          </w:p>
        </w:tc>
        <w:tc>
          <w:tcPr>
            <w:tcW w:w="1584"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Sterling shares</w:t>
            </w:r>
          </w:p>
        </w:tc>
        <w:tc>
          <w:tcPr>
            <w:tcW w:w="1584" w:type="dxa"/>
            <w:vAlign w:val="bottom"/>
          </w:tcPr>
          <w:p w:rsidR="00676AFC" w:rsidRDefault="00676AFC">
            <w:pPr>
              <w:pStyle w:val="ParaIMS"/>
              <w:spacing w:before="40"/>
              <w:jc w:val="right"/>
              <w:rPr>
                <w:rFonts w:ascii="Arial" w:hAnsi="Arial" w:cs="Arial"/>
                <w:szCs w:val="14"/>
              </w:rPr>
            </w:pPr>
          </w:p>
        </w:tc>
      </w:tr>
      <w:tr w:rsidR="00676AFC" w:rsidTr="00C06842">
        <w:tc>
          <w:tcPr>
            <w:tcW w:w="4076"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Number of ordinary shares</w:t>
            </w:r>
          </w:p>
        </w:tc>
        <w:tc>
          <w:tcPr>
            <w:tcW w:w="172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15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15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1584" w:type="dxa"/>
            <w:vAlign w:val="bottom"/>
          </w:tcPr>
          <w:p w:rsidR="00676AFC" w:rsidRDefault="00676AFC">
            <w:pPr>
              <w:pStyle w:val="ParaIMS"/>
              <w:spacing w:before="40"/>
              <w:jc w:val="right"/>
              <w:rPr>
                <w:rFonts w:ascii="Arial" w:hAnsi="Arial" w:cs="Arial"/>
                <w:szCs w:val="18"/>
              </w:rPr>
            </w:pPr>
          </w:p>
        </w:tc>
      </w:tr>
      <w:tr w:rsidR="00676AFC" w:rsidTr="00C06842">
        <w:tc>
          <w:tcPr>
            <w:tcW w:w="4076"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In issue at 1 January 2011</w:t>
            </w:r>
          </w:p>
        </w:tc>
        <w:tc>
          <w:tcPr>
            <w:tcW w:w="172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21,859,989</w:t>
            </w:r>
          </w:p>
        </w:tc>
        <w:tc>
          <w:tcPr>
            <w:tcW w:w="15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3,333,754</w:t>
            </w:r>
          </w:p>
        </w:tc>
        <w:tc>
          <w:tcPr>
            <w:tcW w:w="15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36,417,607</w:t>
            </w:r>
          </w:p>
        </w:tc>
        <w:tc>
          <w:tcPr>
            <w:tcW w:w="1584" w:type="dxa"/>
            <w:vAlign w:val="bottom"/>
          </w:tcPr>
          <w:p w:rsidR="00676AFC" w:rsidRDefault="00676AFC">
            <w:pPr>
              <w:pStyle w:val="ParaIMS"/>
              <w:spacing w:before="40"/>
              <w:jc w:val="right"/>
              <w:rPr>
                <w:rFonts w:ascii="Arial" w:hAnsi="Arial" w:cs="Arial"/>
                <w:szCs w:val="19"/>
              </w:rPr>
            </w:pPr>
          </w:p>
        </w:tc>
      </w:tr>
      <w:tr w:rsidR="00676AFC" w:rsidTr="00C06842">
        <w:tc>
          <w:tcPr>
            <w:tcW w:w="4076"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szCs w:val="18"/>
              </w:rPr>
              <w:t>Share conversions</w:t>
            </w:r>
          </w:p>
        </w:tc>
        <w:tc>
          <w:tcPr>
            <w:tcW w:w="172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(4,282,370)</w:t>
            </w:r>
          </w:p>
        </w:tc>
        <w:tc>
          <w:tcPr>
            <w:tcW w:w="15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(177,610)</w:t>
            </w:r>
          </w:p>
        </w:tc>
        <w:tc>
          <w:tcPr>
            <w:tcW w:w="15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2,779,227</w:t>
            </w:r>
          </w:p>
        </w:tc>
        <w:tc>
          <w:tcPr>
            <w:tcW w:w="1584" w:type="dxa"/>
            <w:vAlign w:val="bottom"/>
          </w:tcPr>
          <w:p w:rsidR="00676AFC" w:rsidRDefault="00676AFC">
            <w:pPr>
              <w:pStyle w:val="ParaIMS"/>
              <w:spacing w:before="40"/>
              <w:jc w:val="right"/>
              <w:rPr>
                <w:rFonts w:ascii="Arial" w:hAnsi="Arial" w:cs="Arial"/>
                <w:szCs w:val="19"/>
              </w:rPr>
            </w:pPr>
          </w:p>
        </w:tc>
      </w:tr>
      <w:tr w:rsidR="00676AFC" w:rsidTr="00C06842">
        <w:tc>
          <w:tcPr>
            <w:tcW w:w="4076"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szCs w:val="18"/>
              </w:rPr>
              <w:t>Purchase of own shares into treasury</w:t>
            </w:r>
          </w:p>
        </w:tc>
        <w:tc>
          <w:tcPr>
            <w:tcW w:w="172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(501,632)</w:t>
            </w:r>
          </w:p>
        </w:tc>
        <w:tc>
          <w:tcPr>
            <w:tcW w:w="15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(106,571)</w:t>
            </w:r>
          </w:p>
        </w:tc>
        <w:tc>
          <w:tcPr>
            <w:tcW w:w="15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(362,816)</w:t>
            </w:r>
          </w:p>
        </w:tc>
        <w:tc>
          <w:tcPr>
            <w:tcW w:w="1584" w:type="dxa"/>
            <w:vAlign w:val="bottom"/>
          </w:tcPr>
          <w:p w:rsidR="00676AFC" w:rsidRDefault="00676AFC">
            <w:pPr>
              <w:pStyle w:val="ParaIMS"/>
              <w:spacing w:before="40"/>
              <w:jc w:val="right"/>
              <w:rPr>
                <w:rFonts w:ascii="Arial" w:hAnsi="Arial" w:cs="Arial"/>
                <w:szCs w:val="19"/>
              </w:rPr>
            </w:pPr>
          </w:p>
        </w:tc>
      </w:tr>
      <w:tr w:rsidR="00676AFC" w:rsidTr="00C06842">
        <w:tc>
          <w:tcPr>
            <w:tcW w:w="4076" w:type="dxa"/>
            <w:tcBorders>
              <w:top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In issue at 30 June 2011</w:t>
            </w:r>
          </w:p>
        </w:tc>
        <w:tc>
          <w:tcPr>
            <w:tcW w:w="1728" w:type="dxa"/>
            <w:tcBorders>
              <w:top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17,075,987</w:t>
            </w:r>
          </w:p>
        </w:tc>
        <w:tc>
          <w:tcPr>
            <w:tcW w:w="1584" w:type="dxa"/>
            <w:tcBorders>
              <w:top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3,049,573</w:t>
            </w:r>
          </w:p>
        </w:tc>
        <w:tc>
          <w:tcPr>
            <w:tcW w:w="1584" w:type="dxa"/>
            <w:tcBorders>
              <w:top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38,834,018</w:t>
            </w:r>
          </w:p>
        </w:tc>
        <w:tc>
          <w:tcPr>
            <w:tcW w:w="1584" w:type="dxa"/>
            <w:vAlign w:val="bottom"/>
          </w:tcPr>
          <w:p w:rsidR="00676AFC" w:rsidRDefault="00676AFC">
            <w:pPr>
              <w:pStyle w:val="ParaIMS"/>
              <w:spacing w:before="40"/>
              <w:jc w:val="right"/>
              <w:rPr>
                <w:rFonts w:ascii="Arial" w:hAnsi="Arial" w:cs="Arial"/>
                <w:szCs w:val="19"/>
              </w:rPr>
            </w:pPr>
          </w:p>
        </w:tc>
      </w:tr>
      <w:tr w:rsidR="00676AFC" w:rsidTr="00C06842">
        <w:tc>
          <w:tcPr>
            <w:tcW w:w="4076" w:type="dxa"/>
            <w:tcBorders>
              <w:top w:val="single" w:sz="4" w:space="0" w:color="auto"/>
            </w:tcBorders>
            <w:vAlign w:val="bottom"/>
          </w:tcPr>
          <w:p w:rsidR="00676AFC" w:rsidRDefault="00676AFC">
            <w:pPr>
              <w:pStyle w:val="ParaIMS"/>
              <w:spacing w:before="40"/>
              <w:rPr>
                <w:rFonts w:ascii="Arial" w:hAnsi="Arial" w:cs="Arial"/>
              </w:rPr>
            </w:pPr>
          </w:p>
        </w:tc>
        <w:tc>
          <w:tcPr>
            <w:tcW w:w="1728" w:type="dxa"/>
            <w:tcBorders>
              <w:top w:val="single" w:sz="4" w:space="0" w:color="auto"/>
            </w:tcBorders>
            <w:vAlign w:val="bottom"/>
          </w:tcPr>
          <w:p w:rsidR="00676AFC" w:rsidRDefault="00676AFC">
            <w:pPr>
              <w:pStyle w:val="ParaIMS"/>
              <w:spacing w:before="40"/>
              <w:jc w:val="right"/>
              <w:rPr>
                <w:rFonts w:ascii="Arial" w:hAnsi="Arial" w:cs="Arial"/>
              </w:rPr>
            </w:pPr>
          </w:p>
        </w:tc>
        <w:tc>
          <w:tcPr>
            <w:tcW w:w="1584" w:type="dxa"/>
            <w:tcBorders>
              <w:top w:val="single" w:sz="4" w:space="0" w:color="auto"/>
            </w:tcBorders>
            <w:vAlign w:val="bottom"/>
          </w:tcPr>
          <w:p w:rsidR="00676AFC" w:rsidRDefault="00676AFC">
            <w:pPr>
              <w:pStyle w:val="ParaIMS"/>
              <w:spacing w:before="40"/>
              <w:jc w:val="right"/>
              <w:rPr>
                <w:rFonts w:ascii="Arial" w:hAnsi="Arial" w:cs="Arial"/>
              </w:rPr>
            </w:pPr>
          </w:p>
        </w:tc>
        <w:tc>
          <w:tcPr>
            <w:tcW w:w="1584" w:type="dxa"/>
            <w:tcBorders>
              <w:top w:val="single" w:sz="4" w:space="0" w:color="auto"/>
            </w:tcBorders>
            <w:vAlign w:val="bottom"/>
          </w:tcPr>
          <w:p w:rsidR="00676AFC" w:rsidRDefault="00676AFC">
            <w:pPr>
              <w:pStyle w:val="ParaIMS"/>
              <w:spacing w:before="40"/>
              <w:jc w:val="right"/>
              <w:rPr>
                <w:rFonts w:ascii="Arial" w:hAnsi="Arial" w:cs="Arial"/>
              </w:rPr>
            </w:pPr>
          </w:p>
        </w:tc>
        <w:tc>
          <w:tcPr>
            <w:tcW w:w="1584" w:type="dxa"/>
            <w:vAlign w:val="bottom"/>
          </w:tcPr>
          <w:p w:rsidR="00676AFC" w:rsidRDefault="00676AFC">
            <w:pPr>
              <w:pStyle w:val="ParaIMS"/>
              <w:spacing w:before="40"/>
              <w:jc w:val="right"/>
              <w:rPr>
                <w:rFonts w:ascii="Arial" w:hAnsi="Arial" w:cs="Arial"/>
              </w:rPr>
            </w:pPr>
          </w:p>
        </w:tc>
      </w:tr>
      <w:tr w:rsidR="00676AFC" w:rsidTr="00C06842">
        <w:tc>
          <w:tcPr>
            <w:tcW w:w="4076" w:type="dxa"/>
            <w:tcBorders>
              <w:bottom w:val="single" w:sz="4" w:space="0" w:color="auto"/>
            </w:tcBorders>
            <w:vAlign w:val="bottom"/>
          </w:tcPr>
          <w:p w:rsidR="00676AFC" w:rsidRDefault="00676AFC">
            <w:pPr>
              <w:pStyle w:val="ParaIMS"/>
              <w:spacing w:before="40"/>
              <w:rPr>
                <w:rFonts w:ascii="Arial" w:hAnsi="Arial" w:cs="Arial"/>
                <w:b/>
                <w:bCs/>
                <w:szCs w:val="18"/>
              </w:rPr>
            </w:pPr>
            <w:r>
              <w:rPr>
                <w:rFonts w:ascii="Arial" w:hAnsi="Arial" w:cs="Arial"/>
                <w:b/>
                <w:bCs/>
                <w:szCs w:val="18"/>
              </w:rPr>
              <w:t>Number of treasury shares</w:t>
            </w:r>
          </w:p>
        </w:tc>
        <w:tc>
          <w:tcPr>
            <w:tcW w:w="1728" w:type="dxa"/>
            <w:tcBorders>
              <w:bottom w:val="single" w:sz="4" w:space="0" w:color="auto"/>
            </w:tcBorders>
            <w:vAlign w:val="bottom"/>
          </w:tcPr>
          <w:p w:rsidR="00676AFC" w:rsidRDefault="00676AFC">
            <w:pPr>
              <w:pStyle w:val="ParaIMS"/>
              <w:spacing w:before="40"/>
              <w:jc w:val="right"/>
              <w:rPr>
                <w:rFonts w:ascii="Arial" w:hAnsi="Arial" w:cs="Arial"/>
                <w:b/>
                <w:bCs/>
                <w:szCs w:val="18"/>
              </w:rPr>
            </w:pPr>
          </w:p>
        </w:tc>
        <w:tc>
          <w:tcPr>
            <w:tcW w:w="1584" w:type="dxa"/>
            <w:tcBorders>
              <w:bottom w:val="single" w:sz="4" w:space="0" w:color="auto"/>
            </w:tcBorders>
            <w:vAlign w:val="bottom"/>
          </w:tcPr>
          <w:p w:rsidR="00676AFC" w:rsidRDefault="00676AFC">
            <w:pPr>
              <w:pStyle w:val="ParaIMS"/>
              <w:spacing w:before="40"/>
              <w:jc w:val="right"/>
              <w:rPr>
                <w:rFonts w:ascii="Arial" w:hAnsi="Arial" w:cs="Arial"/>
                <w:b/>
                <w:bCs/>
                <w:szCs w:val="18"/>
              </w:rPr>
            </w:pPr>
          </w:p>
        </w:tc>
        <w:tc>
          <w:tcPr>
            <w:tcW w:w="1584" w:type="dxa"/>
            <w:tcBorders>
              <w:bottom w:val="single" w:sz="4" w:space="0" w:color="auto"/>
            </w:tcBorders>
            <w:vAlign w:val="bottom"/>
          </w:tcPr>
          <w:p w:rsidR="00676AFC" w:rsidRDefault="00676AFC">
            <w:pPr>
              <w:pStyle w:val="ParaIMS"/>
              <w:spacing w:before="40"/>
              <w:jc w:val="right"/>
              <w:rPr>
                <w:rFonts w:ascii="Arial" w:hAnsi="Arial" w:cs="Arial"/>
                <w:b/>
                <w:bCs/>
                <w:szCs w:val="18"/>
              </w:rPr>
            </w:pPr>
          </w:p>
        </w:tc>
        <w:tc>
          <w:tcPr>
            <w:tcW w:w="1584" w:type="dxa"/>
            <w:vAlign w:val="bottom"/>
          </w:tcPr>
          <w:p w:rsidR="00676AFC" w:rsidRDefault="00676AFC">
            <w:pPr>
              <w:pStyle w:val="ParaIMS"/>
              <w:spacing w:before="40"/>
              <w:jc w:val="right"/>
              <w:rPr>
                <w:rFonts w:ascii="Arial" w:hAnsi="Arial" w:cs="Arial"/>
                <w:szCs w:val="19"/>
              </w:rPr>
            </w:pPr>
          </w:p>
        </w:tc>
      </w:tr>
      <w:tr w:rsidR="00676AFC" w:rsidTr="00C06842">
        <w:tc>
          <w:tcPr>
            <w:tcW w:w="4076"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In issue at 1 January 2011</w:t>
            </w:r>
          </w:p>
        </w:tc>
        <w:tc>
          <w:tcPr>
            <w:tcW w:w="172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2,385,662</w:t>
            </w:r>
          </w:p>
        </w:tc>
        <w:tc>
          <w:tcPr>
            <w:tcW w:w="15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349,712</w:t>
            </w:r>
          </w:p>
        </w:tc>
        <w:tc>
          <w:tcPr>
            <w:tcW w:w="15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2,422,287</w:t>
            </w:r>
          </w:p>
        </w:tc>
        <w:tc>
          <w:tcPr>
            <w:tcW w:w="1584" w:type="dxa"/>
            <w:vAlign w:val="bottom"/>
          </w:tcPr>
          <w:p w:rsidR="00676AFC" w:rsidRDefault="00676AFC">
            <w:pPr>
              <w:pStyle w:val="ParaIMS"/>
              <w:spacing w:before="40"/>
              <w:jc w:val="right"/>
              <w:rPr>
                <w:rFonts w:ascii="Arial" w:hAnsi="Arial" w:cs="Arial"/>
                <w:szCs w:val="19"/>
              </w:rPr>
            </w:pPr>
          </w:p>
        </w:tc>
      </w:tr>
      <w:tr w:rsidR="00676AFC" w:rsidTr="00C06842">
        <w:tc>
          <w:tcPr>
            <w:tcW w:w="4076" w:type="dxa"/>
            <w:tcBorders>
              <w:top w:val="single" w:sz="4" w:space="0" w:color="auto"/>
              <w:bottom w:val="single" w:sz="4" w:space="0" w:color="auto"/>
            </w:tcBorders>
            <w:vAlign w:val="bottom"/>
          </w:tcPr>
          <w:p w:rsidR="00676AFC" w:rsidRDefault="00676AFC">
            <w:pPr>
              <w:pStyle w:val="ParaIMS"/>
              <w:spacing w:before="40"/>
              <w:ind w:left="173" w:hanging="173"/>
              <w:rPr>
                <w:rFonts w:ascii="Arial" w:hAnsi="Arial" w:cs="Arial"/>
              </w:rPr>
            </w:pPr>
            <w:r>
              <w:rPr>
                <w:rFonts w:ascii="Arial" w:hAnsi="Arial" w:cs="Arial"/>
                <w:szCs w:val="18"/>
              </w:rPr>
              <w:t>Shares purchased and held in treasury during the period:</w:t>
            </w:r>
          </w:p>
        </w:tc>
        <w:tc>
          <w:tcPr>
            <w:tcW w:w="172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9"/>
              </w:rPr>
            </w:pPr>
          </w:p>
        </w:tc>
        <w:tc>
          <w:tcPr>
            <w:tcW w:w="15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9"/>
              </w:rPr>
            </w:pPr>
          </w:p>
        </w:tc>
        <w:tc>
          <w:tcPr>
            <w:tcW w:w="15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9"/>
              </w:rPr>
            </w:pPr>
          </w:p>
        </w:tc>
        <w:tc>
          <w:tcPr>
            <w:tcW w:w="1584" w:type="dxa"/>
            <w:vAlign w:val="bottom"/>
          </w:tcPr>
          <w:p w:rsidR="00676AFC" w:rsidRDefault="00676AFC">
            <w:pPr>
              <w:pStyle w:val="ParaIMS"/>
              <w:spacing w:before="40"/>
              <w:jc w:val="right"/>
              <w:rPr>
                <w:rFonts w:ascii="Arial" w:hAnsi="Arial" w:cs="Arial"/>
                <w:szCs w:val="19"/>
              </w:rPr>
            </w:pPr>
          </w:p>
        </w:tc>
      </w:tr>
      <w:tr w:rsidR="00676AFC" w:rsidTr="00C06842">
        <w:tc>
          <w:tcPr>
            <w:tcW w:w="4076" w:type="dxa"/>
            <w:tcBorders>
              <w:top w:val="single" w:sz="4" w:space="0" w:color="auto"/>
              <w:bottom w:val="single" w:sz="4" w:space="0" w:color="auto"/>
            </w:tcBorders>
            <w:vAlign w:val="bottom"/>
          </w:tcPr>
          <w:p w:rsidR="00676AFC" w:rsidRDefault="00676AFC">
            <w:pPr>
              <w:pStyle w:val="ParaIMS"/>
              <w:spacing w:before="40"/>
              <w:ind w:left="346" w:hanging="173"/>
              <w:rPr>
                <w:rFonts w:ascii="Arial" w:hAnsi="Arial" w:cs="Arial"/>
              </w:rPr>
            </w:pPr>
            <w:r>
              <w:rPr>
                <w:rFonts w:ascii="Arial" w:hAnsi="Arial" w:cs="Arial"/>
                <w:szCs w:val="18"/>
              </w:rPr>
              <w:t>– Other on market purchases</w:t>
            </w:r>
          </w:p>
        </w:tc>
        <w:tc>
          <w:tcPr>
            <w:tcW w:w="172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501,632</w:t>
            </w:r>
          </w:p>
        </w:tc>
        <w:tc>
          <w:tcPr>
            <w:tcW w:w="15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106,571</w:t>
            </w:r>
          </w:p>
        </w:tc>
        <w:tc>
          <w:tcPr>
            <w:tcW w:w="15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362,816</w:t>
            </w:r>
          </w:p>
        </w:tc>
        <w:tc>
          <w:tcPr>
            <w:tcW w:w="1584" w:type="dxa"/>
            <w:vAlign w:val="bottom"/>
          </w:tcPr>
          <w:p w:rsidR="00676AFC" w:rsidRDefault="00676AFC">
            <w:pPr>
              <w:pStyle w:val="ParaIMS"/>
              <w:spacing w:before="40"/>
              <w:jc w:val="right"/>
              <w:rPr>
                <w:rFonts w:ascii="Arial" w:hAnsi="Arial" w:cs="Arial"/>
                <w:szCs w:val="19"/>
              </w:rPr>
            </w:pPr>
          </w:p>
        </w:tc>
      </w:tr>
      <w:tr w:rsidR="00676AFC" w:rsidTr="00C06842">
        <w:tc>
          <w:tcPr>
            <w:tcW w:w="4076"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szCs w:val="18"/>
              </w:rPr>
              <w:t>Shares cancelled</w:t>
            </w:r>
          </w:p>
        </w:tc>
        <w:tc>
          <w:tcPr>
            <w:tcW w:w="172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(1,107,000)</w:t>
            </w:r>
          </w:p>
        </w:tc>
        <w:tc>
          <w:tcPr>
            <w:tcW w:w="15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(167,340)</w:t>
            </w:r>
          </w:p>
        </w:tc>
        <w:tc>
          <w:tcPr>
            <w:tcW w:w="15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w:t>
            </w:r>
          </w:p>
        </w:tc>
        <w:tc>
          <w:tcPr>
            <w:tcW w:w="1584" w:type="dxa"/>
            <w:vAlign w:val="bottom"/>
          </w:tcPr>
          <w:p w:rsidR="00676AFC" w:rsidRDefault="00676AFC">
            <w:pPr>
              <w:pStyle w:val="ParaIMS"/>
              <w:spacing w:before="40"/>
              <w:jc w:val="right"/>
              <w:rPr>
                <w:rFonts w:ascii="Arial" w:hAnsi="Arial" w:cs="Arial"/>
                <w:szCs w:val="19"/>
              </w:rPr>
            </w:pPr>
          </w:p>
        </w:tc>
      </w:tr>
      <w:tr w:rsidR="00676AFC" w:rsidTr="00C06842">
        <w:tc>
          <w:tcPr>
            <w:tcW w:w="4076"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In issue at 30 June 2011</w:t>
            </w:r>
          </w:p>
        </w:tc>
        <w:tc>
          <w:tcPr>
            <w:tcW w:w="172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1,780,294</w:t>
            </w:r>
          </w:p>
        </w:tc>
        <w:tc>
          <w:tcPr>
            <w:tcW w:w="15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288,943</w:t>
            </w:r>
          </w:p>
        </w:tc>
        <w:tc>
          <w:tcPr>
            <w:tcW w:w="15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2,785,103</w:t>
            </w:r>
          </w:p>
        </w:tc>
        <w:tc>
          <w:tcPr>
            <w:tcW w:w="1584" w:type="dxa"/>
            <w:vAlign w:val="bottom"/>
          </w:tcPr>
          <w:p w:rsidR="00676AFC" w:rsidRDefault="00676AFC">
            <w:pPr>
              <w:pStyle w:val="ParaIMS"/>
              <w:spacing w:before="40"/>
              <w:jc w:val="right"/>
              <w:rPr>
                <w:rFonts w:ascii="Arial" w:hAnsi="Arial" w:cs="Arial"/>
                <w:szCs w:val="19"/>
              </w:rPr>
            </w:pPr>
          </w:p>
        </w:tc>
      </w:tr>
      <w:tr w:rsidR="00676AFC" w:rsidTr="00C06842">
        <w:tc>
          <w:tcPr>
            <w:tcW w:w="4076"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Percentage of class</w:t>
            </w:r>
          </w:p>
        </w:tc>
        <w:tc>
          <w:tcPr>
            <w:tcW w:w="172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9.44%</w:t>
            </w:r>
          </w:p>
        </w:tc>
        <w:tc>
          <w:tcPr>
            <w:tcW w:w="15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8.65%</w:t>
            </w:r>
          </w:p>
        </w:tc>
        <w:tc>
          <w:tcPr>
            <w:tcW w:w="15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6.69%</w:t>
            </w:r>
          </w:p>
        </w:tc>
        <w:tc>
          <w:tcPr>
            <w:tcW w:w="1584" w:type="dxa"/>
            <w:vAlign w:val="bottom"/>
          </w:tcPr>
          <w:p w:rsidR="00676AFC" w:rsidRDefault="00676AFC">
            <w:pPr>
              <w:pStyle w:val="ParaIMS"/>
              <w:spacing w:before="40"/>
              <w:jc w:val="right"/>
              <w:rPr>
                <w:rFonts w:ascii="Arial" w:hAnsi="Arial" w:cs="Arial"/>
                <w:szCs w:val="19"/>
              </w:rPr>
            </w:pPr>
          </w:p>
        </w:tc>
      </w:tr>
      <w:tr w:rsidR="00676AFC" w:rsidTr="00C06842">
        <w:tc>
          <w:tcPr>
            <w:tcW w:w="4076" w:type="dxa"/>
            <w:tcBorders>
              <w:top w:val="single" w:sz="4" w:space="0" w:color="auto"/>
            </w:tcBorders>
            <w:vAlign w:val="bottom"/>
          </w:tcPr>
          <w:p w:rsidR="00676AFC" w:rsidRDefault="00676AFC">
            <w:pPr>
              <w:pStyle w:val="ParaIMS"/>
              <w:spacing w:before="40"/>
              <w:rPr>
                <w:rFonts w:ascii="Arial" w:hAnsi="Arial" w:cs="Arial"/>
              </w:rPr>
            </w:pPr>
          </w:p>
        </w:tc>
        <w:tc>
          <w:tcPr>
            <w:tcW w:w="1728" w:type="dxa"/>
            <w:tcBorders>
              <w:top w:val="single" w:sz="4" w:space="0" w:color="auto"/>
            </w:tcBorders>
            <w:vAlign w:val="bottom"/>
          </w:tcPr>
          <w:p w:rsidR="00676AFC" w:rsidRDefault="00676AFC">
            <w:pPr>
              <w:pStyle w:val="ParaIMS"/>
              <w:spacing w:before="40"/>
              <w:jc w:val="right"/>
              <w:rPr>
                <w:rFonts w:ascii="Arial" w:hAnsi="Arial" w:cs="Arial"/>
              </w:rPr>
            </w:pPr>
          </w:p>
        </w:tc>
        <w:tc>
          <w:tcPr>
            <w:tcW w:w="1584" w:type="dxa"/>
            <w:tcBorders>
              <w:top w:val="single" w:sz="4" w:space="0" w:color="auto"/>
            </w:tcBorders>
            <w:vAlign w:val="bottom"/>
          </w:tcPr>
          <w:p w:rsidR="00676AFC" w:rsidRDefault="00676AFC">
            <w:pPr>
              <w:pStyle w:val="ParaIMS"/>
              <w:spacing w:before="40"/>
              <w:jc w:val="right"/>
              <w:rPr>
                <w:rFonts w:ascii="Arial" w:hAnsi="Arial" w:cs="Arial"/>
              </w:rPr>
            </w:pPr>
          </w:p>
        </w:tc>
        <w:tc>
          <w:tcPr>
            <w:tcW w:w="1584" w:type="dxa"/>
            <w:tcBorders>
              <w:top w:val="single" w:sz="4" w:space="0" w:color="auto"/>
            </w:tcBorders>
            <w:vAlign w:val="bottom"/>
          </w:tcPr>
          <w:p w:rsidR="00676AFC" w:rsidRDefault="00676AFC">
            <w:pPr>
              <w:pStyle w:val="ParaIMS"/>
              <w:spacing w:before="40"/>
              <w:jc w:val="right"/>
              <w:rPr>
                <w:rFonts w:ascii="Arial" w:hAnsi="Arial" w:cs="Arial"/>
              </w:rPr>
            </w:pPr>
          </w:p>
        </w:tc>
        <w:tc>
          <w:tcPr>
            <w:tcW w:w="1584" w:type="dxa"/>
            <w:vAlign w:val="bottom"/>
          </w:tcPr>
          <w:p w:rsidR="00676AFC" w:rsidRDefault="00676AFC">
            <w:pPr>
              <w:pStyle w:val="ParaIMS"/>
              <w:spacing w:before="40"/>
              <w:jc w:val="right"/>
              <w:rPr>
                <w:rFonts w:ascii="Arial" w:hAnsi="Arial" w:cs="Arial"/>
                <w:b/>
                <w:bCs/>
                <w:szCs w:val="14"/>
              </w:rPr>
            </w:pPr>
          </w:p>
        </w:tc>
      </w:tr>
      <w:tr w:rsidR="00676AFC">
        <w:tc>
          <w:tcPr>
            <w:tcW w:w="4076" w:type="dxa"/>
            <w:vAlign w:val="bottom"/>
          </w:tcPr>
          <w:p w:rsidR="00676AFC" w:rsidRDefault="00676AFC">
            <w:pPr>
              <w:pStyle w:val="ParaIMS"/>
              <w:spacing w:before="40"/>
              <w:rPr>
                <w:rFonts w:ascii="Arial" w:hAnsi="Arial" w:cs="Arial"/>
              </w:rPr>
            </w:pPr>
          </w:p>
        </w:tc>
        <w:tc>
          <w:tcPr>
            <w:tcW w:w="1728" w:type="dxa"/>
            <w:vAlign w:val="bottom"/>
          </w:tcPr>
          <w:p w:rsidR="00676AFC" w:rsidRDefault="00676AFC">
            <w:pPr>
              <w:pStyle w:val="ParaIMS"/>
              <w:spacing w:before="40"/>
              <w:jc w:val="right"/>
              <w:rPr>
                <w:rFonts w:ascii="Arial" w:hAnsi="Arial" w:cs="Arial"/>
              </w:rPr>
            </w:pPr>
          </w:p>
        </w:tc>
        <w:tc>
          <w:tcPr>
            <w:tcW w:w="1584" w:type="dxa"/>
            <w:vAlign w:val="bottom"/>
          </w:tcPr>
          <w:p w:rsidR="00676AFC" w:rsidRDefault="00676AFC">
            <w:pPr>
              <w:pStyle w:val="ParaIMS"/>
              <w:spacing w:before="40"/>
              <w:jc w:val="right"/>
              <w:rPr>
                <w:rFonts w:ascii="Arial" w:hAnsi="Arial" w:cs="Arial"/>
              </w:rPr>
            </w:pPr>
          </w:p>
        </w:tc>
        <w:tc>
          <w:tcPr>
            <w:tcW w:w="1584" w:type="dxa"/>
            <w:vAlign w:val="bottom"/>
          </w:tcPr>
          <w:p w:rsidR="00676AFC" w:rsidRDefault="00676AFC">
            <w:pPr>
              <w:pStyle w:val="ParaIMS"/>
              <w:spacing w:before="40"/>
              <w:jc w:val="right"/>
              <w:rPr>
                <w:rFonts w:ascii="Arial" w:hAnsi="Arial" w:cs="Arial"/>
              </w:rPr>
            </w:pPr>
          </w:p>
        </w:tc>
        <w:tc>
          <w:tcPr>
            <w:tcW w:w="1584" w:type="dxa"/>
            <w:vAlign w:val="bottom"/>
          </w:tcPr>
          <w:p w:rsidR="00676AFC" w:rsidRDefault="00676AFC">
            <w:pPr>
              <w:pStyle w:val="ParaIMS"/>
              <w:spacing w:before="40"/>
              <w:jc w:val="right"/>
              <w:rPr>
                <w:rFonts w:ascii="Arial" w:hAnsi="Arial" w:cs="Arial"/>
              </w:rPr>
            </w:pPr>
            <w:r>
              <w:rPr>
                <w:rFonts w:ascii="Arial" w:hAnsi="Arial" w:cs="Arial"/>
                <w:b/>
                <w:bCs/>
                <w:szCs w:val="14"/>
              </w:rPr>
              <w:t>Company Total</w:t>
            </w:r>
          </w:p>
        </w:tc>
      </w:tr>
      <w:tr w:rsidR="00676AFC">
        <w:tc>
          <w:tcPr>
            <w:tcW w:w="4076" w:type="dxa"/>
            <w:tcBorders>
              <w:bottom w:val="single" w:sz="4" w:space="0" w:color="auto"/>
            </w:tcBorders>
            <w:vAlign w:val="bottom"/>
          </w:tcPr>
          <w:p w:rsidR="00676AFC" w:rsidRDefault="00676AFC">
            <w:pPr>
              <w:pStyle w:val="ParaIMS"/>
              <w:spacing w:before="40"/>
              <w:rPr>
                <w:rFonts w:ascii="Arial" w:hAnsi="Arial" w:cs="Arial"/>
                <w:szCs w:val="15"/>
              </w:rPr>
            </w:pPr>
          </w:p>
        </w:tc>
        <w:tc>
          <w:tcPr>
            <w:tcW w:w="1728"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US$’000</w:t>
            </w:r>
          </w:p>
        </w:tc>
        <w:tc>
          <w:tcPr>
            <w:tcW w:w="1584"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€’000</w:t>
            </w:r>
          </w:p>
        </w:tc>
        <w:tc>
          <w:tcPr>
            <w:tcW w:w="1584"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£’000</w:t>
            </w:r>
          </w:p>
        </w:tc>
        <w:tc>
          <w:tcPr>
            <w:tcW w:w="1584"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US$’000</w:t>
            </w:r>
          </w:p>
        </w:tc>
      </w:tr>
      <w:tr w:rsidR="00676AFC">
        <w:tc>
          <w:tcPr>
            <w:tcW w:w="4076"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Share capital account</w:t>
            </w:r>
          </w:p>
        </w:tc>
        <w:tc>
          <w:tcPr>
            <w:tcW w:w="172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15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15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15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r>
      <w:tr w:rsidR="00676AFC">
        <w:tc>
          <w:tcPr>
            <w:tcW w:w="4076"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In issue at 1 January 2011</w:t>
            </w:r>
          </w:p>
        </w:tc>
        <w:tc>
          <w:tcPr>
            <w:tcW w:w="172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203,264</w:t>
            </w:r>
          </w:p>
        </w:tc>
        <w:tc>
          <w:tcPr>
            <w:tcW w:w="15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23,998</w:t>
            </w:r>
          </w:p>
        </w:tc>
        <w:tc>
          <w:tcPr>
            <w:tcW w:w="15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376,538</w:t>
            </w:r>
          </w:p>
        </w:tc>
        <w:tc>
          <w:tcPr>
            <w:tcW w:w="15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953,028</w:t>
            </w:r>
          </w:p>
        </w:tc>
      </w:tr>
      <w:tr w:rsidR="00676AFC">
        <w:tc>
          <w:tcPr>
            <w:tcW w:w="4076"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szCs w:val="18"/>
              </w:rPr>
              <w:t>Share conversions</w:t>
            </w:r>
          </w:p>
        </w:tc>
        <w:tc>
          <w:tcPr>
            <w:tcW w:w="172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(50,934)</w:t>
            </w:r>
          </w:p>
        </w:tc>
        <w:tc>
          <w:tcPr>
            <w:tcW w:w="15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(2,137)</w:t>
            </w:r>
          </w:p>
        </w:tc>
        <w:tc>
          <w:tcPr>
            <w:tcW w:w="15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33,414</w:t>
            </w:r>
          </w:p>
        </w:tc>
        <w:tc>
          <w:tcPr>
            <w:tcW w:w="15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w:t>
            </w:r>
          </w:p>
        </w:tc>
      </w:tr>
      <w:tr w:rsidR="00676AFC">
        <w:tc>
          <w:tcPr>
            <w:tcW w:w="4076"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szCs w:val="18"/>
              </w:rPr>
              <w:t>Purchase of own shares into treasury</w:t>
            </w:r>
          </w:p>
        </w:tc>
        <w:tc>
          <w:tcPr>
            <w:tcW w:w="172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(5,389)</w:t>
            </w:r>
          </w:p>
        </w:tc>
        <w:tc>
          <w:tcPr>
            <w:tcW w:w="15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(1,152)</w:t>
            </w:r>
          </w:p>
        </w:tc>
        <w:tc>
          <w:tcPr>
            <w:tcW w:w="15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(3,958)</w:t>
            </w:r>
          </w:p>
        </w:tc>
        <w:tc>
          <w:tcPr>
            <w:tcW w:w="15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(13,425)</w:t>
            </w:r>
          </w:p>
        </w:tc>
      </w:tr>
      <w:tr w:rsidR="00676AFC">
        <w:tc>
          <w:tcPr>
            <w:tcW w:w="4076"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At 30 June 2011</w:t>
            </w:r>
          </w:p>
        </w:tc>
        <w:tc>
          <w:tcPr>
            <w:tcW w:w="172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146,941</w:t>
            </w:r>
          </w:p>
        </w:tc>
        <w:tc>
          <w:tcPr>
            <w:tcW w:w="15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20,709</w:t>
            </w:r>
          </w:p>
        </w:tc>
        <w:tc>
          <w:tcPr>
            <w:tcW w:w="15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405,994</w:t>
            </w:r>
          </w:p>
        </w:tc>
        <w:tc>
          <w:tcPr>
            <w:tcW w:w="15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939,603</w:t>
            </w:r>
          </w:p>
        </w:tc>
      </w:tr>
    </w:tbl>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Share classes</w:t>
      </w:r>
    </w:p>
    <w:p w:rsidR="00676AFC" w:rsidRDefault="00676AFC">
      <w:pPr>
        <w:pStyle w:val="ParaIMS"/>
        <w:spacing w:before="0"/>
        <w:rPr>
          <w:rFonts w:ascii="Arial" w:hAnsi="Arial" w:cs="Arial"/>
        </w:rPr>
      </w:pPr>
      <w:r>
        <w:rPr>
          <w:rFonts w:ascii="Arial" w:hAnsi="Arial" w:cs="Arial"/>
          <w:szCs w:val="18"/>
        </w:rPr>
        <w:t xml:space="preserve">In respect of each class of shares a separate class account has been established in the books of the Company. An amount equal to the aggregate proceeds of issue of each share class has been credited to the relevant class account. Any increase or decrease in the NAV of BHGO US Dollars shares, BHGO Euro shares and BHGO Sterling shares as calculated by BHGO </w:t>
      </w:r>
      <w:proofErr w:type="gramStart"/>
      <w:r>
        <w:rPr>
          <w:rFonts w:ascii="Arial" w:hAnsi="Arial" w:cs="Arial"/>
          <w:szCs w:val="18"/>
        </w:rPr>
        <w:t>is</w:t>
      </w:r>
      <w:proofErr w:type="gramEnd"/>
      <w:r>
        <w:rPr>
          <w:rFonts w:ascii="Arial" w:hAnsi="Arial" w:cs="Arial"/>
          <w:szCs w:val="18"/>
        </w:rPr>
        <w:t xml:space="preserve"> allocated to the relevant class account in the Company. Each class account is allocated those costs, pre-paid expenses, losses, dividends, profits, gains and income which the Directors determine in their sole discretion relate to a particular class.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Voting rights</w:t>
      </w:r>
    </w:p>
    <w:p w:rsidR="00676AFC" w:rsidRDefault="00676AFC">
      <w:pPr>
        <w:pStyle w:val="ParaIMS"/>
        <w:spacing w:before="0"/>
        <w:rPr>
          <w:rFonts w:ascii="Arial" w:hAnsi="Arial" w:cs="Arial"/>
        </w:rPr>
      </w:pPr>
      <w:r>
        <w:rPr>
          <w:rFonts w:ascii="Arial" w:hAnsi="Arial" w:cs="Arial"/>
          <w:szCs w:val="16"/>
        </w:rPr>
        <w:t xml:space="preserve">Ordinary shares carry the right to vote at general meetings of the Company and to receive any dividends, attributable to the ordinary shares as a class, declared by the Company and, in a winding-up will be entitled to receive, by way of capital, any surplus assets of the Company attributable to the ordinary shares as a class in proportion to their holdings remaining after settlement of any outstanding liabilities of </w:t>
      </w:r>
      <w:r>
        <w:rPr>
          <w:rFonts w:ascii="Arial" w:hAnsi="Arial" w:cs="Arial"/>
          <w:szCs w:val="18"/>
        </w:rPr>
        <w:t>the Company.</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As prescribed in the Company’s Articles, the different classes of ordinary shares have different values attributable to their votes. The attributed values have been calculated on the basis of the Weighted Voting Calculation (as described in the Articles) which takes into account the prevailing exchange rates on the date of initial issue of ordinary shares. Currently, on a vote, a single US Dollar ordinary share has one vote, a single Euro ordinary share has 1.57465 votes and a single Sterling ordinary share has 1.97950 votes.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Treasury shares do not have any voting rights.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Repurchase of shares</w:t>
      </w:r>
    </w:p>
    <w:p w:rsidR="00676AFC" w:rsidRDefault="00676AFC">
      <w:pPr>
        <w:pStyle w:val="ParaIMS"/>
        <w:spacing w:before="0"/>
        <w:rPr>
          <w:rFonts w:ascii="Arial" w:hAnsi="Arial" w:cs="Arial"/>
        </w:rPr>
      </w:pPr>
      <w:r>
        <w:rPr>
          <w:rFonts w:ascii="Arial" w:hAnsi="Arial" w:cs="Arial"/>
          <w:szCs w:val="18"/>
        </w:rPr>
        <w:t xml:space="preserve">The Directors have been granted authority to purchase in the market up to 2,287,925 US Dollar shares, 422,993 Euro shares and 5,987,803 Sterling shares respectively and they intend to seek annual renewal of this authority from shareholders which was last granted on 18 June 2012. The Directors may, at their discretion, </w:t>
      </w:r>
      <w:proofErr w:type="spellStart"/>
      <w:r>
        <w:rPr>
          <w:rFonts w:ascii="Arial" w:hAnsi="Arial" w:cs="Arial"/>
          <w:szCs w:val="18"/>
        </w:rPr>
        <w:t>utilise</w:t>
      </w:r>
      <w:proofErr w:type="spellEnd"/>
      <w:r>
        <w:rPr>
          <w:rFonts w:ascii="Arial" w:hAnsi="Arial" w:cs="Arial"/>
          <w:szCs w:val="18"/>
        </w:rPr>
        <w:t xml:space="preserve"> this share repurchase authority to address any imbalance between the supply of and demand for shares.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6"/>
        </w:rPr>
        <w:t>Under the Company’s Articles, the Directors are required to convene a shareholders’ meeting to consider the repurchase of a class of shares in certain circumstances. See note 9 for further details.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Note Purchase Agreement</w:t>
      </w:r>
    </w:p>
    <w:p w:rsidR="00676AFC" w:rsidRDefault="00676AFC">
      <w:pPr>
        <w:pStyle w:val="ParaIMS"/>
        <w:spacing w:before="0"/>
        <w:rPr>
          <w:rFonts w:ascii="Arial" w:hAnsi="Arial" w:cs="Arial"/>
        </w:rPr>
      </w:pPr>
      <w:r>
        <w:rPr>
          <w:rFonts w:ascii="Arial" w:hAnsi="Arial" w:cs="Arial"/>
          <w:szCs w:val="17"/>
        </w:rPr>
        <w:t xml:space="preserve">The Company is party to a Note Purchase Agreement with JP Morgan Chase Bank dated 19 August 2011, pursuant to which the Company may obtain financing of up to approximately </w:t>
      </w:r>
      <w:r>
        <w:rPr>
          <w:rFonts w:ascii="Arial" w:hAnsi="Arial" w:cs="Arial"/>
          <w:szCs w:val="18"/>
        </w:rPr>
        <w:t xml:space="preserve">US$50 million to be drawn down on a currency-by-currency basis, if required, to finance share buybacks pending receipt of the proceeds of redemption from its underlying investments. As at the date of this report, this financing has not been </w:t>
      </w:r>
      <w:proofErr w:type="spellStart"/>
      <w:r>
        <w:rPr>
          <w:rFonts w:ascii="Arial" w:hAnsi="Arial" w:cs="Arial"/>
          <w:szCs w:val="18"/>
        </w:rPr>
        <w:t>utilised</w:t>
      </w:r>
      <w:proofErr w:type="spellEnd"/>
      <w:r>
        <w:rPr>
          <w:rFonts w:ascii="Arial" w:hAnsi="Arial" w:cs="Arial"/>
          <w:szCs w:val="18"/>
        </w:rPr>
        <w:t>.</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Further issue of shares</w:t>
      </w:r>
    </w:p>
    <w:p w:rsidR="00676AFC" w:rsidRDefault="00676AFC">
      <w:pPr>
        <w:pStyle w:val="ParaIMS"/>
        <w:spacing w:before="0"/>
        <w:rPr>
          <w:rFonts w:ascii="Arial" w:hAnsi="Arial" w:cs="Arial"/>
        </w:rPr>
      </w:pPr>
      <w:r>
        <w:rPr>
          <w:rFonts w:ascii="Arial" w:hAnsi="Arial" w:cs="Arial"/>
          <w:szCs w:val="17"/>
        </w:rPr>
        <w:t>As approved by the shareholders at the Annual General Meeting held on 18 June 2012 (the “AGM”), the Directors have the power to issue further shares on a non pre-emptive basis for cash in respect of 5,087,162 US Dollar shares, 940,517 Euro shares and 13,313,775 Sterling shares respectively. This power expires on the date falling fifteen months after the date of the AGM or the conclusion of the next Annual General Meeting of the Company, whichever is the earlier.</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Distributions</w:t>
      </w:r>
    </w:p>
    <w:p w:rsidR="00676AFC" w:rsidRDefault="00676AFC">
      <w:pPr>
        <w:pStyle w:val="ParaIMS"/>
        <w:spacing w:before="0"/>
        <w:rPr>
          <w:rFonts w:ascii="Arial" w:hAnsi="Arial" w:cs="Arial"/>
        </w:rPr>
      </w:pPr>
      <w:r>
        <w:rPr>
          <w:rFonts w:ascii="Arial" w:hAnsi="Arial" w:cs="Arial"/>
          <w:szCs w:val="18"/>
        </w:rPr>
        <w:t>BHGO does not expect to pay dividends to its investors. Therefore, the Directors of the Company do not expect to declare any dividends. This does not prevent the Directors of the Company from declaring a dividend at any time in the future if the Directors consider payment of a dividend to be appropriate in the circumstances. If the Directors declare a dividend, such dividend will be paid on a per class basis.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Treasury shares are not entitled to distributions.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Annual redemption offer</w:t>
      </w:r>
    </w:p>
    <w:p w:rsidR="00676AFC" w:rsidRDefault="00676AFC">
      <w:pPr>
        <w:pStyle w:val="ParaIMS"/>
        <w:spacing w:before="0"/>
        <w:rPr>
          <w:rFonts w:ascii="Arial" w:hAnsi="Arial" w:cs="Arial"/>
        </w:rPr>
      </w:pPr>
      <w:r>
        <w:rPr>
          <w:rFonts w:ascii="Arial" w:hAnsi="Arial" w:cs="Arial"/>
          <w:szCs w:val="18"/>
        </w:rPr>
        <w:t>Each calendar year the Directors may, in their absolute discretion, determine that the Company should make an offer to redeem such number of shares of the Company in issue as they may determine provided that the maximum amount distributed does not exceed 100% of the increase in the NAV of the Company in the prior calendar year.</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The Directors shall, in their absolute discretion, determine the particular class or classes of shares in respect of which an Annual Redemption Offer will be made, the timetable for that Annual Redemption Offer and the price at which the shares of each relevant class will be redeemed.</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7"/>
        </w:rPr>
        <w:t xml:space="preserve">Whether a return of capital is made in any particular year and, if so, the amount of the </w:t>
      </w:r>
      <w:proofErr w:type="gramStart"/>
      <w:r>
        <w:rPr>
          <w:rFonts w:ascii="Arial" w:hAnsi="Arial" w:cs="Arial"/>
          <w:szCs w:val="17"/>
        </w:rPr>
        <w:t>return,</w:t>
      </w:r>
      <w:proofErr w:type="gramEnd"/>
      <w:r>
        <w:rPr>
          <w:rFonts w:ascii="Arial" w:hAnsi="Arial" w:cs="Arial"/>
          <w:szCs w:val="17"/>
        </w:rPr>
        <w:t xml:space="preserve"> may depend, among other things, on prevailing market conditions, the ability of the Company to liquidate its investment to fund the capital return, the success of prior capital returns and applicable legal, regulatory and tax considerations.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7"/>
        </w:rPr>
        <w:t xml:space="preserve">On 29 June 2012 the following number of each class of shares were redeemed and cancelled pursuant to the 2012 </w:t>
      </w:r>
      <w:r w:rsidR="001A270D">
        <w:rPr>
          <w:rFonts w:ascii="Arial" w:hAnsi="Arial" w:cs="Arial"/>
          <w:szCs w:val="17"/>
        </w:rPr>
        <w:t>redemption offer:</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7"/>
        </w:rPr>
        <w:t xml:space="preserve">695,168 US Dollar shares at a redemption price of US$12.0862, </w:t>
      </w:r>
      <w:proofErr w:type="spellStart"/>
      <w:r>
        <w:rPr>
          <w:rFonts w:ascii="Arial" w:hAnsi="Arial" w:cs="Arial"/>
          <w:szCs w:val="17"/>
        </w:rPr>
        <w:t>equalling</w:t>
      </w:r>
      <w:proofErr w:type="spellEnd"/>
      <w:r>
        <w:rPr>
          <w:rFonts w:ascii="Arial" w:hAnsi="Arial" w:cs="Arial"/>
          <w:szCs w:val="17"/>
        </w:rPr>
        <w:t xml:space="preserve"> a gross redemption of US$8,401,939.</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 xml:space="preserve">145,765 Euro shares at a redemption price of €12.1929, </w:t>
      </w:r>
      <w:proofErr w:type="spellStart"/>
      <w:r>
        <w:rPr>
          <w:rFonts w:ascii="Arial" w:hAnsi="Arial" w:cs="Arial"/>
          <w:szCs w:val="18"/>
        </w:rPr>
        <w:t>equalling</w:t>
      </w:r>
      <w:proofErr w:type="spellEnd"/>
      <w:r>
        <w:rPr>
          <w:rFonts w:ascii="Arial" w:hAnsi="Arial" w:cs="Arial"/>
          <w:szCs w:val="18"/>
        </w:rPr>
        <w:t xml:space="preserve"> a gross redemption of €1,777,298.</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 xml:space="preserve">1,789,795 Sterling Shares at a redemption price of £12.2220. </w:t>
      </w:r>
      <w:proofErr w:type="spellStart"/>
      <w:proofErr w:type="gramStart"/>
      <w:r>
        <w:rPr>
          <w:rFonts w:ascii="Arial" w:hAnsi="Arial" w:cs="Arial"/>
          <w:szCs w:val="18"/>
        </w:rPr>
        <w:t>equalling</w:t>
      </w:r>
      <w:proofErr w:type="spellEnd"/>
      <w:proofErr w:type="gramEnd"/>
      <w:r>
        <w:rPr>
          <w:rFonts w:ascii="Arial" w:hAnsi="Arial" w:cs="Arial"/>
          <w:szCs w:val="18"/>
        </w:rPr>
        <w:t xml:space="preserve"> a gross redemption of £21,874,874.</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Share conversion scheme</w:t>
      </w:r>
    </w:p>
    <w:p w:rsidR="00676AFC" w:rsidRDefault="00676AFC">
      <w:pPr>
        <w:pStyle w:val="ParaIMS"/>
        <w:spacing w:before="0"/>
        <w:rPr>
          <w:rFonts w:ascii="Arial" w:hAnsi="Arial" w:cs="Arial"/>
        </w:rPr>
      </w:pPr>
      <w:r>
        <w:rPr>
          <w:rFonts w:ascii="Arial" w:hAnsi="Arial" w:cs="Arial"/>
          <w:szCs w:val="16"/>
        </w:rPr>
        <w:t>The Company has implemented a Share Conversion Scheme. The scheme provides shareholders with the ability to convert some or all of their ordinary shares in the Company of one class into ordinary shares of another class. From 31 October 2008 shareholders at the discretion of the Board have been able to convert ordinary shares on the last business day of every month. Each conversion will be based on NAV (note 8) of the share classes to be converted.</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7. Taxation</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Overview</w:t>
      </w:r>
    </w:p>
    <w:p w:rsidR="00676AFC" w:rsidRDefault="00676AFC">
      <w:pPr>
        <w:pStyle w:val="ParaIMS"/>
        <w:spacing w:before="0"/>
        <w:rPr>
          <w:rFonts w:ascii="Arial" w:hAnsi="Arial" w:cs="Arial"/>
        </w:rPr>
      </w:pPr>
      <w:r>
        <w:rPr>
          <w:rFonts w:ascii="Arial" w:hAnsi="Arial" w:cs="Arial"/>
          <w:szCs w:val="18"/>
        </w:rPr>
        <w:t>The Company is exempt from taxation in Guernsey under the provisions of the Income Tax (Exempt Bodies) (Guernsey) Ordinance 1989.</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Uncertain tax positions</w:t>
      </w:r>
    </w:p>
    <w:p w:rsidR="00676AFC" w:rsidRDefault="00676AFC">
      <w:pPr>
        <w:pStyle w:val="ParaIMS"/>
        <w:spacing w:before="0"/>
        <w:rPr>
          <w:rFonts w:ascii="Arial" w:hAnsi="Arial" w:cs="Arial"/>
        </w:rPr>
      </w:pPr>
      <w:r>
        <w:rPr>
          <w:rFonts w:ascii="Arial" w:hAnsi="Arial" w:cs="Arial"/>
          <w:szCs w:val="17"/>
        </w:rPr>
        <w:t xml:space="preserve">The Company </w:t>
      </w:r>
      <w:proofErr w:type="spellStart"/>
      <w:r>
        <w:rPr>
          <w:rFonts w:ascii="Arial" w:hAnsi="Arial" w:cs="Arial"/>
          <w:szCs w:val="17"/>
        </w:rPr>
        <w:t>recognises</w:t>
      </w:r>
      <w:proofErr w:type="spellEnd"/>
      <w:r>
        <w:rPr>
          <w:rFonts w:ascii="Arial" w:hAnsi="Arial" w:cs="Arial"/>
          <w:szCs w:val="17"/>
        </w:rPr>
        <w:t xml:space="preserve"> the tax benefits of uncertain tax positions only where the position is more-likely-than-not (i.e. greater than 50%) to be sustained assuming examination by a tax authority based on the technical merits of the position. In evaluating whether a tax position has met the recognition threshold, the Company must presume that the position will be examined by the appropriate taxing authority that has full knowledge of all relevant information. A tax position that meets the more-likely-than-not recognition threshold is measured to determine the amount of benefit to </w:t>
      </w:r>
      <w:proofErr w:type="spellStart"/>
      <w:r>
        <w:rPr>
          <w:rFonts w:ascii="Arial" w:hAnsi="Arial" w:cs="Arial"/>
          <w:szCs w:val="17"/>
        </w:rPr>
        <w:t>recognise</w:t>
      </w:r>
      <w:proofErr w:type="spellEnd"/>
      <w:r>
        <w:rPr>
          <w:rFonts w:ascii="Arial" w:hAnsi="Arial" w:cs="Arial"/>
          <w:szCs w:val="17"/>
        </w:rPr>
        <w:t xml:space="preserve"> in the Company’s Financial Statements. Income tax and related interest and penalties would be </w:t>
      </w:r>
      <w:proofErr w:type="spellStart"/>
      <w:r>
        <w:rPr>
          <w:rFonts w:ascii="Arial" w:hAnsi="Arial" w:cs="Arial"/>
          <w:szCs w:val="17"/>
        </w:rPr>
        <w:t>recognised</w:t>
      </w:r>
      <w:proofErr w:type="spellEnd"/>
      <w:r>
        <w:rPr>
          <w:rFonts w:ascii="Arial" w:hAnsi="Arial" w:cs="Arial"/>
          <w:szCs w:val="17"/>
        </w:rPr>
        <w:t xml:space="preserve"> by the Company as tax expense in the Statement of Operations if the tax positions were deemed to not meet the more-likely-than-not threshold.</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The Company analyses all open tax years for all major taxing jurisdictions. Open tax years are those that are open for examination by taxing authorities, as defined by the Statute of Limitations in each jurisdiction. The Company identifies its major tax jurisdictions as the Cayman Islands and foreign jurisdictions where the Company makes significant investments. The Company has no examinations by tax authorities in progress.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 xml:space="preserve">Management has </w:t>
      </w:r>
      <w:proofErr w:type="spellStart"/>
      <w:r>
        <w:rPr>
          <w:rFonts w:ascii="Arial" w:hAnsi="Arial" w:cs="Arial"/>
          <w:szCs w:val="18"/>
        </w:rPr>
        <w:t>analysed</w:t>
      </w:r>
      <w:proofErr w:type="spellEnd"/>
      <w:r>
        <w:rPr>
          <w:rFonts w:ascii="Arial" w:hAnsi="Arial" w:cs="Arial"/>
          <w:szCs w:val="18"/>
        </w:rPr>
        <w:t xml:space="preserve"> the Company’s tax positions, and has concluded that no liability for </w:t>
      </w:r>
      <w:proofErr w:type="spellStart"/>
      <w:r>
        <w:rPr>
          <w:rFonts w:ascii="Arial" w:hAnsi="Arial" w:cs="Arial"/>
          <w:szCs w:val="18"/>
        </w:rPr>
        <w:t>unrecognised</w:t>
      </w:r>
      <w:proofErr w:type="spellEnd"/>
      <w:r>
        <w:rPr>
          <w:rFonts w:ascii="Arial" w:hAnsi="Arial" w:cs="Arial"/>
          <w:szCs w:val="18"/>
        </w:rPr>
        <w:t xml:space="preserve"> tax benefits should be recorded related to uncertain tax positions. Further, Management is not aware of any tax positions for which it is reasonably possible that the total amounts of </w:t>
      </w:r>
      <w:proofErr w:type="spellStart"/>
      <w:r>
        <w:rPr>
          <w:rFonts w:ascii="Arial" w:hAnsi="Arial" w:cs="Arial"/>
          <w:szCs w:val="18"/>
        </w:rPr>
        <w:t>unrecognised</w:t>
      </w:r>
      <w:proofErr w:type="spellEnd"/>
      <w:r>
        <w:rPr>
          <w:rFonts w:ascii="Arial" w:hAnsi="Arial" w:cs="Arial"/>
          <w:szCs w:val="18"/>
        </w:rPr>
        <w:t xml:space="preserve"> tax benefits will significantly change in the next twelve months.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Foreign Account Tax Compliance Act</w:t>
      </w:r>
    </w:p>
    <w:p w:rsidR="00676AFC" w:rsidRDefault="00676AFC">
      <w:pPr>
        <w:pStyle w:val="ParaIMS"/>
        <w:spacing w:before="0"/>
        <w:rPr>
          <w:rFonts w:ascii="Arial" w:hAnsi="Arial" w:cs="Arial"/>
        </w:rPr>
      </w:pPr>
      <w:r>
        <w:rPr>
          <w:rFonts w:ascii="Arial" w:hAnsi="Arial" w:cs="Arial"/>
          <w:szCs w:val="18"/>
        </w:rPr>
        <w:t>It is anticipated that with effect from 1 January 2013 the Foreign Account Tax Compliance Act (FATCA) will become effective. The legislation is aimed at determining the ownership of US assets in foreign accounts and improving US tax compliance with respect to those assets. The Board is in discussion with the Company’s service providers to ensure that the Company will comply with the Act’s requirements.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8. Publication and calculation of net asset value</w:t>
      </w:r>
    </w:p>
    <w:p w:rsidR="00676AFC" w:rsidRDefault="00676AFC">
      <w:pPr>
        <w:pStyle w:val="ParaIMS"/>
        <w:spacing w:before="0"/>
        <w:rPr>
          <w:rFonts w:ascii="Arial" w:hAnsi="Arial" w:cs="Arial"/>
          <w:szCs w:val="18"/>
        </w:rPr>
      </w:pPr>
    </w:p>
    <w:p w:rsidR="00676AFC" w:rsidRDefault="00676AFC">
      <w:pPr>
        <w:pStyle w:val="ParaIMS"/>
        <w:spacing w:before="0"/>
        <w:rPr>
          <w:rFonts w:ascii="Arial" w:hAnsi="Arial" w:cs="Arial"/>
        </w:rPr>
      </w:pPr>
      <w:r>
        <w:rPr>
          <w:rFonts w:ascii="Arial" w:hAnsi="Arial" w:cs="Arial"/>
          <w:szCs w:val="18"/>
        </w:rPr>
        <w:t>The NAV of the Company is equal to the value of its total assets less its total liabilities. The NAV per share of each class will be calculated by dividing the NAV of the relevant share class by the number of shares of the relevant class in issue on that day.</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6"/>
        </w:rPr>
        <w:t>The Company publishes the NAV per share for each class of shares as calculated by the Administrator based in part on information provided by BHGO, monthly in arrears, as at each month end.</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7"/>
        </w:rPr>
        <w:t>The Company also publishes an estimate of the NAV per share for each class of shares as calculated by the Administrator based in part on information provided by BHGO, weekly in arrears.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 xml:space="preserve">9. Discount management </w:t>
      </w:r>
      <w:proofErr w:type="spellStart"/>
      <w:r>
        <w:rPr>
          <w:rFonts w:ascii="Arial" w:hAnsi="Arial" w:cs="Arial"/>
          <w:b/>
          <w:bCs/>
          <w:szCs w:val="18"/>
        </w:rPr>
        <w:t>programme</w:t>
      </w:r>
      <w:proofErr w:type="spellEnd"/>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6"/>
        </w:rPr>
        <w:t xml:space="preserve">The Company’s discount management </w:t>
      </w:r>
      <w:proofErr w:type="spellStart"/>
      <w:r>
        <w:rPr>
          <w:rFonts w:ascii="Arial" w:hAnsi="Arial" w:cs="Arial"/>
          <w:szCs w:val="16"/>
        </w:rPr>
        <w:t>programme</w:t>
      </w:r>
      <w:proofErr w:type="spellEnd"/>
      <w:r>
        <w:rPr>
          <w:rFonts w:ascii="Arial" w:hAnsi="Arial" w:cs="Arial"/>
          <w:szCs w:val="16"/>
        </w:rPr>
        <w:t xml:space="preserve"> includes the ability to make market purchases of shares and the obligation to propose class closure resolutions if, in any fixed discount management period (1 January to 31 December each year), the average daily closing market price of the relevant class of shares during such period is 10% or more below the average NAV per share of the relevant class taken over the 12 monthly NAV </w:t>
      </w:r>
      <w:r>
        <w:rPr>
          <w:rFonts w:ascii="Arial" w:hAnsi="Arial" w:cs="Arial"/>
          <w:szCs w:val="17"/>
        </w:rPr>
        <w:t>Determination Dates in that fixed discount management period, as described more fully in the Company’s Principal documents.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7"/>
        </w:rPr>
        <w:t>In the event a class closure resolution is passed, shareholders in a class have the following options available to them:</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szCs w:val="17"/>
        </w:rPr>
      </w:pPr>
      <w:r>
        <w:rPr>
          <w:rFonts w:ascii="Arial" w:hAnsi="Arial" w:cs="Arial"/>
          <w:szCs w:val="17"/>
        </w:rPr>
        <w:t>(</w:t>
      </w:r>
      <w:proofErr w:type="spellStart"/>
      <w:r>
        <w:rPr>
          <w:rFonts w:ascii="Arial" w:hAnsi="Arial" w:cs="Arial"/>
          <w:szCs w:val="17"/>
        </w:rPr>
        <w:t>i</w:t>
      </w:r>
      <w:proofErr w:type="spellEnd"/>
      <w:r>
        <w:rPr>
          <w:rFonts w:ascii="Arial" w:hAnsi="Arial" w:cs="Arial"/>
          <w:szCs w:val="17"/>
        </w:rPr>
        <w:t xml:space="preserve">) to redeem all or some of their shares at NAV per share less the costs and expenses of the class closure vote and other outstanding costs and expenses of the Company attributable to </w:t>
      </w:r>
      <w:r>
        <w:rPr>
          <w:rFonts w:ascii="Arial" w:hAnsi="Arial" w:cs="Arial"/>
          <w:szCs w:val="18"/>
        </w:rPr>
        <w:t xml:space="preserve">the relevant class (including any redemption fees and repayment of Offer Costs as described in note 3); </w:t>
      </w:r>
    </w:p>
    <w:p w:rsidR="00676AFC" w:rsidRDefault="00676AFC">
      <w:pPr>
        <w:pStyle w:val="ParaIMS"/>
        <w:spacing w:before="0"/>
        <w:rPr>
          <w:rFonts w:ascii="Arial" w:hAnsi="Arial" w:cs="Arial"/>
          <w:szCs w:val="17"/>
        </w:rPr>
      </w:pPr>
    </w:p>
    <w:p w:rsidR="00676AFC" w:rsidRDefault="00676AFC">
      <w:pPr>
        <w:pStyle w:val="ParaIMS"/>
        <w:spacing w:before="0"/>
        <w:rPr>
          <w:rFonts w:ascii="Arial" w:hAnsi="Arial" w:cs="Arial"/>
          <w:szCs w:val="18"/>
        </w:rPr>
      </w:pPr>
      <w:r>
        <w:rPr>
          <w:rFonts w:ascii="Arial" w:hAnsi="Arial" w:cs="Arial"/>
          <w:szCs w:val="18"/>
        </w:rPr>
        <w:t xml:space="preserve">(ii) subject to certain limitations, to convert all or some of their shares into shares of another class, assuming that other class does not also pass a class closure resolution; or </w:t>
      </w:r>
    </w:p>
    <w:p w:rsidR="00676AFC" w:rsidRDefault="00676AFC">
      <w:pPr>
        <w:pStyle w:val="ParaIMS"/>
        <w:spacing w:before="0"/>
        <w:rPr>
          <w:rFonts w:ascii="Arial" w:hAnsi="Arial" w:cs="Arial"/>
          <w:szCs w:val="18"/>
        </w:rPr>
      </w:pPr>
    </w:p>
    <w:p w:rsidR="00676AFC" w:rsidRDefault="00676AFC">
      <w:pPr>
        <w:pStyle w:val="ParaIMS"/>
        <w:spacing w:before="0"/>
        <w:rPr>
          <w:rFonts w:ascii="Arial" w:hAnsi="Arial" w:cs="Arial"/>
          <w:szCs w:val="16"/>
        </w:rPr>
      </w:pPr>
      <w:r>
        <w:rPr>
          <w:rFonts w:ascii="Arial" w:hAnsi="Arial" w:cs="Arial"/>
          <w:szCs w:val="16"/>
        </w:rPr>
        <w:t>(</w:t>
      </w:r>
      <w:proofErr w:type="gramStart"/>
      <w:r>
        <w:rPr>
          <w:rFonts w:ascii="Arial" w:hAnsi="Arial" w:cs="Arial"/>
          <w:szCs w:val="16"/>
        </w:rPr>
        <w:t>iii</w:t>
      </w:r>
      <w:proofErr w:type="gramEnd"/>
      <w:r>
        <w:rPr>
          <w:rFonts w:ascii="Arial" w:hAnsi="Arial" w:cs="Arial"/>
          <w:szCs w:val="16"/>
        </w:rPr>
        <w:t xml:space="preserve">) subject to the class continuing, to remain in the class. </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These provisions are disclosed in more detail in the Company’s Articles.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 xml:space="preserve">The Annual Redemption Offer described in note 6 which enables a partial return of capital is also part of the discount management </w:t>
      </w:r>
      <w:proofErr w:type="spellStart"/>
      <w:r>
        <w:rPr>
          <w:rFonts w:ascii="Arial" w:hAnsi="Arial" w:cs="Arial"/>
          <w:szCs w:val="18"/>
        </w:rPr>
        <w:t>programme</w:t>
      </w:r>
      <w:proofErr w:type="spellEnd"/>
      <w:r>
        <w:rPr>
          <w:rFonts w:ascii="Arial" w:hAnsi="Arial" w:cs="Arial"/>
          <w:szCs w:val="18"/>
        </w:rPr>
        <w:t>.</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7"/>
        </w:rPr>
        <w:t>The discount management measures will be funded by partial redemptions of the Company’s investment in BHGO.</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The total numbers of treasury shares held in treasury at 30 June 2012 are as disclosed in note 6.</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10. Related party transactions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Parties are considered to be related if one party has the ability to control the other party or exercise significant influence over the other party in making financial or operational decisions.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The Directors are responsible for the determination of the investment policy of the Company and have overall responsibility for the Company’s activities.</w:t>
      </w:r>
    </w:p>
    <w:p w:rsidR="00676AFC" w:rsidRDefault="00676AFC">
      <w:pPr>
        <w:pStyle w:val="ParaIMS"/>
        <w:spacing w:before="0"/>
        <w:rPr>
          <w:rFonts w:ascii="Arial" w:hAnsi="Arial" w:cs="Arial"/>
        </w:rPr>
      </w:pPr>
    </w:p>
    <w:p w:rsidR="00952882" w:rsidRDefault="00676AFC" w:rsidP="00FB239F">
      <w:pPr>
        <w:pStyle w:val="ParaIMS"/>
        <w:spacing w:before="0"/>
        <w:rPr>
          <w:rFonts w:ascii="Arial" w:hAnsi="Arial" w:cs="Arial"/>
          <w:szCs w:val="17"/>
        </w:rPr>
      </w:pPr>
      <w:r w:rsidRPr="00B1109D">
        <w:rPr>
          <w:rFonts w:ascii="Arial" w:hAnsi="Arial" w:cs="Arial"/>
          <w:szCs w:val="18"/>
        </w:rPr>
        <w:t>The Company is managed by the Manager.</w:t>
      </w:r>
      <w:r w:rsidR="00FB239F" w:rsidRPr="00B1109D">
        <w:rPr>
          <w:rFonts w:ascii="Arial" w:hAnsi="Arial" w:cs="Arial"/>
          <w:szCs w:val="17"/>
        </w:rPr>
        <w:t xml:space="preserve"> </w:t>
      </w:r>
    </w:p>
    <w:p w:rsidR="00952882" w:rsidRDefault="00952882" w:rsidP="00FB239F">
      <w:pPr>
        <w:pStyle w:val="ParaIMS"/>
        <w:spacing w:before="0"/>
        <w:rPr>
          <w:rFonts w:ascii="Arial" w:hAnsi="Arial" w:cs="Arial"/>
          <w:szCs w:val="17"/>
        </w:rPr>
      </w:pPr>
    </w:p>
    <w:p w:rsidR="00FB239F" w:rsidRDefault="00FB239F" w:rsidP="00FB239F">
      <w:pPr>
        <w:pStyle w:val="ParaIMS"/>
        <w:spacing w:before="0"/>
        <w:rPr>
          <w:rFonts w:ascii="Arial" w:hAnsi="Arial" w:cs="Arial"/>
        </w:rPr>
      </w:pPr>
      <w:r w:rsidRPr="00B1109D">
        <w:rPr>
          <w:rFonts w:ascii="Arial" w:hAnsi="Arial" w:cs="Arial"/>
          <w:szCs w:val="17"/>
        </w:rPr>
        <w:t xml:space="preserve">The Company and the Manager have entered into a Management Agreement dated 21 June 2010 under which the Manager has been given responsibility for the day-to-day discretionary management of the Company’s assets (including </w:t>
      </w:r>
      <w:proofErr w:type="spellStart"/>
      <w:r w:rsidRPr="00B1109D">
        <w:rPr>
          <w:rFonts w:ascii="Arial" w:hAnsi="Arial" w:cs="Arial"/>
          <w:szCs w:val="17"/>
        </w:rPr>
        <w:t>uninvested</w:t>
      </w:r>
      <w:proofErr w:type="spellEnd"/>
      <w:r w:rsidRPr="00B1109D">
        <w:rPr>
          <w:rFonts w:ascii="Arial" w:hAnsi="Arial" w:cs="Arial"/>
          <w:szCs w:val="17"/>
        </w:rPr>
        <w:t xml:space="preserve"> cash) in accordance with the Company’s investment objective and policy, subject to </w:t>
      </w:r>
      <w:r w:rsidRPr="00B1109D">
        <w:rPr>
          <w:rFonts w:ascii="Arial" w:hAnsi="Arial" w:cs="Arial"/>
          <w:szCs w:val="18"/>
        </w:rPr>
        <w:t>the overall supervision of the Directors and in accordance with the investment restrictions in the Management Agreement and the Articles of Association. Details of the management fees to which the Manager is entitled are in note 4.</w:t>
      </w:r>
    </w:p>
    <w:p w:rsidR="00FB239F" w:rsidRDefault="00FB239F" w:rsidP="00FB239F">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 xml:space="preserve">The Company has six non-executive Directors. Lord Turnbull, John </w:t>
      </w:r>
      <w:proofErr w:type="spellStart"/>
      <w:r>
        <w:rPr>
          <w:rFonts w:ascii="Arial" w:hAnsi="Arial" w:cs="Arial"/>
          <w:szCs w:val="18"/>
        </w:rPr>
        <w:t>Hallam</w:t>
      </w:r>
      <w:proofErr w:type="spellEnd"/>
      <w:r>
        <w:rPr>
          <w:rFonts w:ascii="Arial" w:hAnsi="Arial" w:cs="Arial"/>
          <w:szCs w:val="18"/>
        </w:rPr>
        <w:t>, Graham Harrison and Nicholas Moss are independent of the Manager.</w:t>
      </w:r>
    </w:p>
    <w:p w:rsidR="00676AFC" w:rsidRDefault="00676AFC">
      <w:pPr>
        <w:pStyle w:val="ParaIMS"/>
        <w:spacing w:before="0"/>
        <w:rPr>
          <w:rFonts w:ascii="Arial" w:hAnsi="Arial" w:cs="Arial"/>
        </w:rPr>
      </w:pPr>
    </w:p>
    <w:p w:rsidR="00676AFC" w:rsidRPr="00B1109D" w:rsidRDefault="00676AFC">
      <w:pPr>
        <w:pStyle w:val="ParaIMS"/>
        <w:spacing w:before="0"/>
        <w:rPr>
          <w:rFonts w:ascii="Arial" w:hAnsi="Arial" w:cs="Arial"/>
        </w:rPr>
      </w:pPr>
      <w:proofErr w:type="spellStart"/>
      <w:r w:rsidRPr="00B1109D">
        <w:rPr>
          <w:rFonts w:ascii="Arial" w:hAnsi="Arial" w:cs="Arial"/>
          <w:szCs w:val="18"/>
        </w:rPr>
        <w:t>Talmai</w:t>
      </w:r>
      <w:proofErr w:type="spellEnd"/>
      <w:r w:rsidRPr="00B1109D">
        <w:rPr>
          <w:rFonts w:ascii="Arial" w:hAnsi="Arial" w:cs="Arial"/>
          <w:szCs w:val="18"/>
        </w:rPr>
        <w:t xml:space="preserve"> Morgan and Stephen </w:t>
      </w:r>
      <w:proofErr w:type="spellStart"/>
      <w:r w:rsidRPr="00B1109D">
        <w:rPr>
          <w:rFonts w:ascii="Arial" w:hAnsi="Arial" w:cs="Arial"/>
          <w:szCs w:val="18"/>
        </w:rPr>
        <w:t>Stonberg</w:t>
      </w:r>
      <w:proofErr w:type="spellEnd"/>
      <w:r w:rsidRPr="00B1109D">
        <w:rPr>
          <w:rFonts w:ascii="Arial" w:hAnsi="Arial" w:cs="Arial"/>
          <w:szCs w:val="18"/>
        </w:rPr>
        <w:t xml:space="preserve"> </w:t>
      </w:r>
      <w:proofErr w:type="gramStart"/>
      <w:r w:rsidRPr="00B1109D">
        <w:rPr>
          <w:rFonts w:ascii="Arial" w:hAnsi="Arial" w:cs="Arial"/>
          <w:szCs w:val="18"/>
        </w:rPr>
        <w:t>are</w:t>
      </w:r>
      <w:proofErr w:type="gramEnd"/>
      <w:r w:rsidRPr="00B1109D">
        <w:rPr>
          <w:rFonts w:ascii="Arial" w:hAnsi="Arial" w:cs="Arial"/>
          <w:szCs w:val="18"/>
        </w:rPr>
        <w:t xml:space="preserve"> both non-executive Directors of BH Macro Limited. BH Macro Limited is managed by the Manager, and is a feeder fund for Brevan Howard Master Fund Limited into which BHGO invests.</w:t>
      </w:r>
    </w:p>
    <w:p w:rsidR="00676AFC" w:rsidRPr="00B1109D" w:rsidRDefault="00676AFC">
      <w:pPr>
        <w:pStyle w:val="ParaIMS"/>
        <w:spacing w:before="0"/>
        <w:rPr>
          <w:rFonts w:ascii="Arial" w:hAnsi="Arial" w:cs="Arial"/>
          <w:szCs w:val="17"/>
        </w:rPr>
      </w:pPr>
    </w:p>
    <w:p w:rsidR="00676AFC" w:rsidRDefault="00676AFC">
      <w:pPr>
        <w:pStyle w:val="ParaIMS"/>
        <w:spacing w:before="0"/>
        <w:rPr>
          <w:rFonts w:ascii="Arial" w:hAnsi="Arial" w:cs="Arial"/>
        </w:rPr>
      </w:pPr>
      <w:r w:rsidRPr="00B1109D">
        <w:rPr>
          <w:rFonts w:ascii="Arial" w:hAnsi="Arial" w:cs="Arial"/>
          <w:szCs w:val="17"/>
        </w:rPr>
        <w:t xml:space="preserve">Stephen </w:t>
      </w:r>
      <w:proofErr w:type="spellStart"/>
      <w:r w:rsidRPr="00B1109D">
        <w:rPr>
          <w:rFonts w:ascii="Arial" w:hAnsi="Arial" w:cs="Arial"/>
          <w:szCs w:val="17"/>
        </w:rPr>
        <w:t>Stonberg</w:t>
      </w:r>
      <w:proofErr w:type="spellEnd"/>
      <w:r w:rsidRPr="00B1109D">
        <w:rPr>
          <w:rFonts w:ascii="Arial" w:hAnsi="Arial" w:cs="Arial"/>
          <w:szCs w:val="17"/>
        </w:rPr>
        <w:t xml:space="preserve"> is also a non-executive Director of BH Credit Catalysts Limited. BH Credit Catalysts Limited is managed by the Manager, and is a feeder fund for the Brevan Howard Credit Catalysts Master Fund Limited into which the Company’s Master Fund invests.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Details of Directors’ fees to which the Directors are entitled are disclosed in note 5.</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The Directors had the following interests in the Company, held either directly or beneficially at 30 June 2012:</w:t>
      </w:r>
    </w:p>
    <w:p w:rsidR="00676AFC" w:rsidRDefault="00676AFC">
      <w:pPr>
        <w:pStyle w:val="ParaIMS"/>
        <w:spacing w:before="0"/>
        <w:rPr>
          <w:rFonts w:ascii="Arial" w:hAnsi="Arial" w:cs="Arial"/>
        </w:rPr>
      </w:pPr>
    </w:p>
    <w:tbl>
      <w:tblPr>
        <w:tblW w:w="5000" w:type="pct"/>
        <w:tblLayout w:type="fixed"/>
        <w:tblCellMar>
          <w:left w:w="0" w:type="dxa"/>
          <w:right w:w="0" w:type="dxa"/>
        </w:tblCellMar>
        <w:tblLook w:val="0000"/>
      </w:tblPr>
      <w:tblGrid>
        <w:gridCol w:w="6358"/>
        <w:gridCol w:w="1438"/>
        <w:gridCol w:w="1438"/>
        <w:gridCol w:w="1306"/>
      </w:tblGrid>
      <w:tr w:rsidR="00676AFC">
        <w:tc>
          <w:tcPr>
            <w:tcW w:w="6368" w:type="dxa"/>
            <w:vAlign w:val="bottom"/>
          </w:tcPr>
          <w:p w:rsidR="00676AFC" w:rsidRDefault="00676AFC">
            <w:pPr>
              <w:pStyle w:val="ParaIMS"/>
              <w:spacing w:before="40"/>
              <w:rPr>
                <w:rFonts w:ascii="Arial" w:hAnsi="Arial" w:cs="Arial"/>
                <w:szCs w:val="14"/>
              </w:rPr>
            </w:pPr>
          </w:p>
        </w:tc>
        <w:tc>
          <w:tcPr>
            <w:tcW w:w="1440" w:type="dxa"/>
            <w:vAlign w:val="bottom"/>
          </w:tcPr>
          <w:p w:rsidR="00676AFC" w:rsidRDefault="00676AFC">
            <w:pPr>
              <w:pStyle w:val="ParaIMS"/>
              <w:spacing w:before="40"/>
              <w:jc w:val="right"/>
              <w:rPr>
                <w:rFonts w:ascii="Arial" w:hAnsi="Arial" w:cs="Arial"/>
              </w:rPr>
            </w:pPr>
            <w:r>
              <w:rPr>
                <w:rFonts w:ascii="Arial" w:hAnsi="Arial" w:cs="Arial"/>
                <w:b/>
                <w:bCs/>
                <w:szCs w:val="14"/>
              </w:rPr>
              <w:t>US Dollar</w:t>
            </w:r>
          </w:p>
        </w:tc>
        <w:tc>
          <w:tcPr>
            <w:tcW w:w="1440" w:type="dxa"/>
            <w:vAlign w:val="bottom"/>
          </w:tcPr>
          <w:p w:rsidR="00676AFC" w:rsidRDefault="00676AFC">
            <w:pPr>
              <w:pStyle w:val="ParaIMS"/>
              <w:spacing w:before="40"/>
              <w:jc w:val="right"/>
              <w:rPr>
                <w:rFonts w:ascii="Arial" w:hAnsi="Arial" w:cs="Arial"/>
              </w:rPr>
            </w:pPr>
            <w:r>
              <w:rPr>
                <w:rFonts w:ascii="Arial" w:hAnsi="Arial" w:cs="Arial"/>
                <w:b/>
                <w:bCs/>
                <w:szCs w:val="14"/>
              </w:rPr>
              <w:t>Sterling</w:t>
            </w:r>
          </w:p>
        </w:tc>
        <w:tc>
          <w:tcPr>
            <w:tcW w:w="1308" w:type="dxa"/>
            <w:vAlign w:val="bottom"/>
          </w:tcPr>
          <w:p w:rsidR="00676AFC" w:rsidRDefault="00676AFC">
            <w:pPr>
              <w:pStyle w:val="ParaIMS"/>
              <w:spacing w:before="40"/>
              <w:jc w:val="right"/>
              <w:rPr>
                <w:rFonts w:ascii="Arial" w:hAnsi="Arial" w:cs="Arial"/>
              </w:rPr>
            </w:pPr>
            <w:r>
              <w:rPr>
                <w:rFonts w:ascii="Arial" w:hAnsi="Arial" w:cs="Arial"/>
                <w:b/>
                <w:bCs/>
                <w:szCs w:val="14"/>
              </w:rPr>
              <w:t>Euro</w:t>
            </w:r>
          </w:p>
        </w:tc>
      </w:tr>
      <w:tr w:rsidR="00676AFC">
        <w:tc>
          <w:tcPr>
            <w:tcW w:w="6368" w:type="dxa"/>
            <w:tcBorders>
              <w:bottom w:val="single" w:sz="4" w:space="0" w:color="auto"/>
            </w:tcBorders>
            <w:vAlign w:val="bottom"/>
          </w:tcPr>
          <w:p w:rsidR="00676AFC" w:rsidRDefault="00676AFC">
            <w:pPr>
              <w:pStyle w:val="ParaIMS"/>
              <w:spacing w:before="40"/>
              <w:rPr>
                <w:rFonts w:ascii="Arial" w:hAnsi="Arial" w:cs="Arial"/>
                <w:szCs w:val="15"/>
              </w:rPr>
            </w:pPr>
          </w:p>
        </w:tc>
        <w:tc>
          <w:tcPr>
            <w:tcW w:w="1440"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Shares</w:t>
            </w:r>
          </w:p>
        </w:tc>
        <w:tc>
          <w:tcPr>
            <w:tcW w:w="1440"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Shares</w:t>
            </w:r>
          </w:p>
        </w:tc>
        <w:tc>
          <w:tcPr>
            <w:tcW w:w="1308"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Shares</w:t>
            </w:r>
          </w:p>
        </w:tc>
      </w:tr>
      <w:tr w:rsidR="00676AFC">
        <w:tc>
          <w:tcPr>
            <w:tcW w:w="6368"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szCs w:val="18"/>
              </w:rPr>
              <w:t>Lord Turnbull</w:t>
            </w:r>
          </w:p>
        </w:tc>
        <w:tc>
          <w:tcPr>
            <w:tcW w:w="1440"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Nil</w:t>
            </w:r>
          </w:p>
        </w:tc>
        <w:tc>
          <w:tcPr>
            <w:tcW w:w="1440"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5,000</w:t>
            </w:r>
          </w:p>
        </w:tc>
        <w:tc>
          <w:tcPr>
            <w:tcW w:w="130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Nil</w:t>
            </w:r>
          </w:p>
        </w:tc>
      </w:tr>
      <w:tr w:rsidR="00676AFC">
        <w:tc>
          <w:tcPr>
            <w:tcW w:w="6368"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szCs w:val="18"/>
              </w:rPr>
              <w:t xml:space="preserve">John </w:t>
            </w:r>
            <w:proofErr w:type="spellStart"/>
            <w:r>
              <w:rPr>
                <w:rFonts w:ascii="Arial" w:hAnsi="Arial" w:cs="Arial"/>
                <w:szCs w:val="18"/>
              </w:rPr>
              <w:t>Hallam</w:t>
            </w:r>
            <w:proofErr w:type="spellEnd"/>
          </w:p>
        </w:tc>
        <w:tc>
          <w:tcPr>
            <w:tcW w:w="1440"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5,000</w:t>
            </w:r>
          </w:p>
        </w:tc>
        <w:tc>
          <w:tcPr>
            <w:tcW w:w="1440"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Nil</w:t>
            </w:r>
          </w:p>
        </w:tc>
        <w:tc>
          <w:tcPr>
            <w:tcW w:w="130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Nil</w:t>
            </w:r>
          </w:p>
        </w:tc>
      </w:tr>
      <w:tr w:rsidR="00676AFC">
        <w:tc>
          <w:tcPr>
            <w:tcW w:w="6368"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szCs w:val="18"/>
              </w:rPr>
              <w:t>Graham Harrison</w:t>
            </w:r>
          </w:p>
        </w:tc>
        <w:tc>
          <w:tcPr>
            <w:tcW w:w="1440"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Nil</w:t>
            </w:r>
          </w:p>
        </w:tc>
        <w:tc>
          <w:tcPr>
            <w:tcW w:w="1440"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1,500</w:t>
            </w:r>
          </w:p>
        </w:tc>
        <w:tc>
          <w:tcPr>
            <w:tcW w:w="130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Nil</w:t>
            </w:r>
          </w:p>
        </w:tc>
      </w:tr>
      <w:tr w:rsidR="00676AFC">
        <w:tc>
          <w:tcPr>
            <w:tcW w:w="6368"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proofErr w:type="spellStart"/>
            <w:r>
              <w:rPr>
                <w:rFonts w:ascii="Arial" w:hAnsi="Arial" w:cs="Arial"/>
                <w:szCs w:val="18"/>
              </w:rPr>
              <w:t>Talmai</w:t>
            </w:r>
            <w:proofErr w:type="spellEnd"/>
            <w:r>
              <w:rPr>
                <w:rFonts w:ascii="Arial" w:hAnsi="Arial" w:cs="Arial"/>
                <w:szCs w:val="18"/>
              </w:rPr>
              <w:t xml:space="preserve"> Morgan</w:t>
            </w:r>
          </w:p>
        </w:tc>
        <w:tc>
          <w:tcPr>
            <w:tcW w:w="1440"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5,000</w:t>
            </w:r>
          </w:p>
        </w:tc>
        <w:tc>
          <w:tcPr>
            <w:tcW w:w="1440"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Nil</w:t>
            </w:r>
          </w:p>
        </w:tc>
        <w:tc>
          <w:tcPr>
            <w:tcW w:w="130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Nil</w:t>
            </w:r>
          </w:p>
        </w:tc>
      </w:tr>
      <w:tr w:rsidR="00676AFC">
        <w:tc>
          <w:tcPr>
            <w:tcW w:w="6368"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szCs w:val="18"/>
              </w:rPr>
              <w:t>Nicholas Moss</w:t>
            </w:r>
          </w:p>
        </w:tc>
        <w:tc>
          <w:tcPr>
            <w:tcW w:w="1440"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Nil</w:t>
            </w:r>
          </w:p>
        </w:tc>
        <w:tc>
          <w:tcPr>
            <w:tcW w:w="1440"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839</w:t>
            </w:r>
          </w:p>
        </w:tc>
        <w:tc>
          <w:tcPr>
            <w:tcW w:w="130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Nil</w:t>
            </w:r>
          </w:p>
        </w:tc>
      </w:tr>
      <w:tr w:rsidR="00676AFC">
        <w:tc>
          <w:tcPr>
            <w:tcW w:w="6368"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szCs w:val="18"/>
              </w:rPr>
              <w:t xml:space="preserve">Stephen </w:t>
            </w:r>
            <w:proofErr w:type="spellStart"/>
            <w:r>
              <w:rPr>
                <w:rFonts w:ascii="Arial" w:hAnsi="Arial" w:cs="Arial"/>
                <w:szCs w:val="18"/>
              </w:rPr>
              <w:t>Stonberg</w:t>
            </w:r>
            <w:proofErr w:type="spellEnd"/>
          </w:p>
        </w:tc>
        <w:tc>
          <w:tcPr>
            <w:tcW w:w="1440"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Nil</w:t>
            </w:r>
          </w:p>
        </w:tc>
        <w:tc>
          <w:tcPr>
            <w:tcW w:w="1440"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8,628</w:t>
            </w:r>
          </w:p>
        </w:tc>
        <w:tc>
          <w:tcPr>
            <w:tcW w:w="130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Nil</w:t>
            </w:r>
          </w:p>
        </w:tc>
      </w:tr>
    </w:tbl>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sidRPr="00B1109D">
        <w:rPr>
          <w:rFonts w:ascii="Arial" w:hAnsi="Arial" w:cs="Arial"/>
          <w:szCs w:val="17"/>
        </w:rPr>
        <w:t xml:space="preserve">As at 30 June 2012 Alan Howard, </w:t>
      </w:r>
      <w:r w:rsidR="006F17D6">
        <w:rPr>
          <w:rFonts w:ascii="Arial" w:hAnsi="Arial" w:cs="Arial"/>
          <w:szCs w:val="17"/>
        </w:rPr>
        <w:t xml:space="preserve">a </w:t>
      </w:r>
      <w:r w:rsidRPr="00B1109D">
        <w:rPr>
          <w:rFonts w:ascii="Arial" w:hAnsi="Arial" w:cs="Arial"/>
          <w:szCs w:val="17"/>
        </w:rPr>
        <w:t>Brevan Howard founder, held an interest of 706,375 US Dollar shares and 161,107 Sterling shares in the Company which he acquired through on-market purchases, as detailed in stock exchange announcements made on 28 November 2008.</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11. Financial highlights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The following tables include selected data for a single ordinary share of each of the ordinary share classes in issue at the period end and other performance information derived from the Unaudited Interim Financial Statements.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proofErr w:type="gramStart"/>
      <w:r>
        <w:rPr>
          <w:rFonts w:ascii="Arial" w:hAnsi="Arial" w:cs="Arial"/>
          <w:szCs w:val="17"/>
        </w:rPr>
        <w:t>The per</w:t>
      </w:r>
      <w:proofErr w:type="gramEnd"/>
      <w:r>
        <w:rPr>
          <w:rFonts w:ascii="Arial" w:hAnsi="Arial" w:cs="Arial"/>
          <w:szCs w:val="17"/>
        </w:rPr>
        <w:t xml:space="preserve"> share amounts and ratios which are shown reflect the income and expenses of the Company for each class of ordinary share.</w:t>
      </w:r>
    </w:p>
    <w:p w:rsidR="00676AFC" w:rsidRDefault="00676AFC">
      <w:pPr>
        <w:pStyle w:val="ParaIMS"/>
        <w:spacing w:before="0"/>
        <w:rPr>
          <w:rFonts w:ascii="Arial" w:hAnsi="Arial" w:cs="Arial"/>
        </w:rPr>
      </w:pPr>
    </w:p>
    <w:tbl>
      <w:tblPr>
        <w:tblW w:w="5000" w:type="pct"/>
        <w:tblLayout w:type="fixed"/>
        <w:tblCellMar>
          <w:left w:w="0" w:type="dxa"/>
          <w:right w:w="0" w:type="dxa"/>
        </w:tblCellMar>
        <w:tblLook w:val="0000"/>
      </w:tblPr>
      <w:tblGrid>
        <w:gridCol w:w="5525"/>
        <w:gridCol w:w="1770"/>
        <w:gridCol w:w="1591"/>
        <w:gridCol w:w="1654"/>
      </w:tblGrid>
      <w:tr w:rsidR="00676AFC">
        <w:tc>
          <w:tcPr>
            <w:tcW w:w="5534" w:type="dxa"/>
            <w:vAlign w:val="bottom"/>
          </w:tcPr>
          <w:p w:rsidR="00676AFC" w:rsidRDefault="00676AFC">
            <w:pPr>
              <w:pStyle w:val="ParaIMS"/>
              <w:spacing w:before="40"/>
              <w:rPr>
                <w:rFonts w:ascii="Arial" w:hAnsi="Arial" w:cs="Arial"/>
                <w:szCs w:val="14"/>
              </w:rPr>
            </w:pPr>
          </w:p>
        </w:tc>
        <w:tc>
          <w:tcPr>
            <w:tcW w:w="1773" w:type="dxa"/>
            <w:vAlign w:val="bottom"/>
          </w:tcPr>
          <w:p w:rsidR="00676AFC" w:rsidRDefault="00676AFC">
            <w:pPr>
              <w:pStyle w:val="ParaIMS"/>
              <w:spacing w:before="40"/>
              <w:jc w:val="right"/>
              <w:rPr>
                <w:rFonts w:ascii="Arial" w:hAnsi="Arial" w:cs="Arial"/>
              </w:rPr>
            </w:pPr>
            <w:r>
              <w:rPr>
                <w:rFonts w:ascii="Arial" w:hAnsi="Arial" w:cs="Arial"/>
                <w:b/>
                <w:bCs/>
                <w:szCs w:val="14"/>
              </w:rPr>
              <w:t>30.06.12</w:t>
            </w:r>
          </w:p>
        </w:tc>
        <w:tc>
          <w:tcPr>
            <w:tcW w:w="1593" w:type="dxa"/>
            <w:vAlign w:val="bottom"/>
          </w:tcPr>
          <w:p w:rsidR="00676AFC" w:rsidRDefault="00676AFC">
            <w:pPr>
              <w:pStyle w:val="ParaIMS"/>
              <w:spacing w:before="40"/>
              <w:jc w:val="right"/>
              <w:rPr>
                <w:rFonts w:ascii="Arial" w:hAnsi="Arial" w:cs="Arial"/>
              </w:rPr>
            </w:pPr>
            <w:r>
              <w:rPr>
                <w:rFonts w:ascii="Arial" w:hAnsi="Arial" w:cs="Arial"/>
                <w:b/>
                <w:bCs/>
                <w:szCs w:val="14"/>
              </w:rPr>
              <w:t>30.06.12</w:t>
            </w:r>
          </w:p>
        </w:tc>
        <w:tc>
          <w:tcPr>
            <w:tcW w:w="1656" w:type="dxa"/>
            <w:vAlign w:val="bottom"/>
          </w:tcPr>
          <w:p w:rsidR="00676AFC" w:rsidRDefault="00676AFC">
            <w:pPr>
              <w:pStyle w:val="ParaIMS"/>
              <w:spacing w:before="40"/>
              <w:jc w:val="right"/>
              <w:rPr>
                <w:rFonts w:ascii="Arial" w:hAnsi="Arial" w:cs="Arial"/>
              </w:rPr>
            </w:pPr>
            <w:r>
              <w:rPr>
                <w:rFonts w:ascii="Arial" w:hAnsi="Arial" w:cs="Arial"/>
                <w:b/>
                <w:bCs/>
                <w:szCs w:val="14"/>
              </w:rPr>
              <w:t>30.06.12</w:t>
            </w:r>
          </w:p>
        </w:tc>
      </w:tr>
      <w:tr w:rsidR="00676AFC">
        <w:tc>
          <w:tcPr>
            <w:tcW w:w="5534" w:type="dxa"/>
            <w:vAlign w:val="bottom"/>
          </w:tcPr>
          <w:p w:rsidR="00676AFC" w:rsidRDefault="00676AFC">
            <w:pPr>
              <w:pStyle w:val="ParaIMS"/>
              <w:spacing w:before="40"/>
              <w:rPr>
                <w:rFonts w:ascii="Arial" w:hAnsi="Arial" w:cs="Arial"/>
                <w:szCs w:val="15"/>
              </w:rPr>
            </w:pPr>
          </w:p>
        </w:tc>
        <w:tc>
          <w:tcPr>
            <w:tcW w:w="1773" w:type="dxa"/>
            <w:vAlign w:val="bottom"/>
          </w:tcPr>
          <w:p w:rsidR="00676AFC" w:rsidRDefault="00676AFC">
            <w:pPr>
              <w:pStyle w:val="ParaIMS"/>
              <w:spacing w:before="40"/>
              <w:jc w:val="right"/>
              <w:rPr>
                <w:rFonts w:ascii="Arial" w:hAnsi="Arial" w:cs="Arial"/>
              </w:rPr>
            </w:pPr>
            <w:r>
              <w:rPr>
                <w:rFonts w:ascii="Arial" w:hAnsi="Arial" w:cs="Arial"/>
                <w:b/>
                <w:bCs/>
                <w:szCs w:val="14"/>
              </w:rPr>
              <w:t>US Dollar shares</w:t>
            </w:r>
          </w:p>
        </w:tc>
        <w:tc>
          <w:tcPr>
            <w:tcW w:w="1593" w:type="dxa"/>
            <w:vAlign w:val="bottom"/>
          </w:tcPr>
          <w:p w:rsidR="00676AFC" w:rsidRDefault="00676AFC">
            <w:pPr>
              <w:pStyle w:val="ParaIMS"/>
              <w:spacing w:before="40"/>
              <w:jc w:val="right"/>
              <w:rPr>
                <w:rFonts w:ascii="Arial" w:hAnsi="Arial" w:cs="Arial"/>
              </w:rPr>
            </w:pPr>
            <w:r>
              <w:rPr>
                <w:rFonts w:ascii="Arial" w:hAnsi="Arial" w:cs="Arial"/>
                <w:b/>
                <w:bCs/>
                <w:szCs w:val="14"/>
              </w:rPr>
              <w:t>Euro shares</w:t>
            </w:r>
          </w:p>
        </w:tc>
        <w:tc>
          <w:tcPr>
            <w:tcW w:w="1656" w:type="dxa"/>
            <w:vAlign w:val="bottom"/>
          </w:tcPr>
          <w:p w:rsidR="00676AFC" w:rsidRDefault="00676AFC">
            <w:pPr>
              <w:pStyle w:val="ParaIMS"/>
              <w:spacing w:before="40"/>
              <w:jc w:val="right"/>
              <w:rPr>
                <w:rFonts w:ascii="Arial" w:hAnsi="Arial" w:cs="Arial"/>
              </w:rPr>
            </w:pPr>
            <w:r>
              <w:rPr>
                <w:rFonts w:ascii="Arial" w:hAnsi="Arial" w:cs="Arial"/>
                <w:b/>
                <w:bCs/>
                <w:szCs w:val="14"/>
              </w:rPr>
              <w:t>Sterling shares</w:t>
            </w:r>
          </w:p>
        </w:tc>
      </w:tr>
      <w:tr w:rsidR="00676AFC">
        <w:tc>
          <w:tcPr>
            <w:tcW w:w="5534" w:type="dxa"/>
            <w:tcBorders>
              <w:bottom w:val="single" w:sz="4" w:space="0" w:color="auto"/>
            </w:tcBorders>
            <w:vAlign w:val="bottom"/>
          </w:tcPr>
          <w:p w:rsidR="00676AFC" w:rsidRDefault="00676AFC">
            <w:pPr>
              <w:pStyle w:val="ParaIMS"/>
              <w:spacing w:before="40"/>
              <w:rPr>
                <w:rFonts w:ascii="Arial" w:hAnsi="Arial" w:cs="Arial"/>
                <w:szCs w:val="15"/>
              </w:rPr>
            </w:pPr>
          </w:p>
        </w:tc>
        <w:tc>
          <w:tcPr>
            <w:tcW w:w="1773"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US$</w:t>
            </w:r>
          </w:p>
        </w:tc>
        <w:tc>
          <w:tcPr>
            <w:tcW w:w="1593"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w:t>
            </w:r>
          </w:p>
        </w:tc>
        <w:tc>
          <w:tcPr>
            <w:tcW w:w="1656"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w:t>
            </w:r>
          </w:p>
        </w:tc>
      </w:tr>
      <w:tr w:rsidR="00676AFC">
        <w:tc>
          <w:tcPr>
            <w:tcW w:w="5534"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Per share operating performance</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159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165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r>
      <w:tr w:rsidR="00676AFC">
        <w:tc>
          <w:tcPr>
            <w:tcW w:w="5534"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Net asset value at beginning of the period</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12.34</w:t>
            </w:r>
          </w:p>
        </w:tc>
        <w:tc>
          <w:tcPr>
            <w:tcW w:w="159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12.46</w:t>
            </w:r>
          </w:p>
        </w:tc>
        <w:tc>
          <w:tcPr>
            <w:tcW w:w="165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12.47</w:t>
            </w:r>
          </w:p>
        </w:tc>
      </w:tr>
      <w:tr w:rsidR="00676AFC">
        <w:tc>
          <w:tcPr>
            <w:tcW w:w="5534" w:type="dxa"/>
            <w:tcBorders>
              <w:top w:val="single" w:sz="4" w:space="0" w:color="auto"/>
            </w:tcBorders>
            <w:vAlign w:val="bottom"/>
          </w:tcPr>
          <w:p w:rsidR="00676AFC" w:rsidRDefault="00676AFC">
            <w:pPr>
              <w:pStyle w:val="ParaIMS"/>
              <w:spacing w:before="40"/>
              <w:rPr>
                <w:rFonts w:ascii="Arial" w:hAnsi="Arial" w:cs="Arial"/>
                <w:b/>
                <w:bCs/>
                <w:szCs w:val="18"/>
              </w:rPr>
            </w:pPr>
          </w:p>
        </w:tc>
        <w:tc>
          <w:tcPr>
            <w:tcW w:w="1773" w:type="dxa"/>
            <w:tcBorders>
              <w:top w:val="single" w:sz="4" w:space="0" w:color="auto"/>
            </w:tcBorders>
            <w:vAlign w:val="bottom"/>
          </w:tcPr>
          <w:p w:rsidR="00676AFC" w:rsidRDefault="00676AFC">
            <w:pPr>
              <w:pStyle w:val="ParaIMS"/>
              <w:spacing w:before="40"/>
              <w:jc w:val="right"/>
              <w:rPr>
                <w:rFonts w:ascii="Arial" w:hAnsi="Arial" w:cs="Arial"/>
              </w:rPr>
            </w:pPr>
          </w:p>
        </w:tc>
        <w:tc>
          <w:tcPr>
            <w:tcW w:w="1593" w:type="dxa"/>
            <w:tcBorders>
              <w:top w:val="single" w:sz="4" w:space="0" w:color="auto"/>
            </w:tcBorders>
            <w:vAlign w:val="bottom"/>
          </w:tcPr>
          <w:p w:rsidR="00676AFC" w:rsidRDefault="00676AFC">
            <w:pPr>
              <w:pStyle w:val="ParaIMS"/>
              <w:spacing w:before="40"/>
              <w:jc w:val="right"/>
              <w:rPr>
                <w:rFonts w:ascii="Arial" w:hAnsi="Arial" w:cs="Arial"/>
              </w:rPr>
            </w:pPr>
          </w:p>
        </w:tc>
        <w:tc>
          <w:tcPr>
            <w:tcW w:w="1656" w:type="dxa"/>
            <w:tcBorders>
              <w:top w:val="single" w:sz="4" w:space="0" w:color="auto"/>
            </w:tcBorders>
            <w:vAlign w:val="bottom"/>
          </w:tcPr>
          <w:p w:rsidR="00676AFC" w:rsidRDefault="00676AFC">
            <w:pPr>
              <w:pStyle w:val="ParaIMS"/>
              <w:spacing w:before="40"/>
              <w:jc w:val="right"/>
              <w:rPr>
                <w:rFonts w:ascii="Arial" w:hAnsi="Arial" w:cs="Arial"/>
              </w:rPr>
            </w:pPr>
          </w:p>
        </w:tc>
      </w:tr>
      <w:tr w:rsidR="00676AFC">
        <w:tc>
          <w:tcPr>
            <w:tcW w:w="5534" w:type="dxa"/>
            <w:tcBorders>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Expense from investment operations</w:t>
            </w:r>
          </w:p>
        </w:tc>
        <w:tc>
          <w:tcPr>
            <w:tcW w:w="1773" w:type="dxa"/>
            <w:tcBorders>
              <w:bottom w:val="single" w:sz="4" w:space="0" w:color="auto"/>
            </w:tcBorders>
            <w:vAlign w:val="bottom"/>
          </w:tcPr>
          <w:p w:rsidR="00676AFC" w:rsidRDefault="00676AFC">
            <w:pPr>
              <w:pStyle w:val="ParaIMS"/>
              <w:spacing w:before="40"/>
              <w:jc w:val="right"/>
              <w:rPr>
                <w:rFonts w:ascii="Arial" w:hAnsi="Arial" w:cs="Arial"/>
              </w:rPr>
            </w:pPr>
          </w:p>
        </w:tc>
        <w:tc>
          <w:tcPr>
            <w:tcW w:w="1593" w:type="dxa"/>
            <w:tcBorders>
              <w:bottom w:val="single" w:sz="4" w:space="0" w:color="auto"/>
            </w:tcBorders>
            <w:vAlign w:val="bottom"/>
          </w:tcPr>
          <w:p w:rsidR="00676AFC" w:rsidRDefault="00676AFC">
            <w:pPr>
              <w:pStyle w:val="ParaIMS"/>
              <w:spacing w:before="40"/>
              <w:jc w:val="right"/>
              <w:rPr>
                <w:rFonts w:ascii="Arial" w:hAnsi="Arial" w:cs="Arial"/>
              </w:rPr>
            </w:pPr>
          </w:p>
        </w:tc>
        <w:tc>
          <w:tcPr>
            <w:tcW w:w="1656" w:type="dxa"/>
            <w:tcBorders>
              <w:bottom w:val="single" w:sz="4" w:space="0" w:color="auto"/>
            </w:tcBorders>
            <w:vAlign w:val="bottom"/>
          </w:tcPr>
          <w:p w:rsidR="00676AFC" w:rsidRDefault="00676AFC">
            <w:pPr>
              <w:pStyle w:val="ParaIMS"/>
              <w:spacing w:before="40"/>
              <w:jc w:val="right"/>
              <w:rPr>
                <w:rFonts w:ascii="Arial" w:hAnsi="Arial" w:cs="Arial"/>
              </w:rPr>
            </w:pPr>
          </w:p>
        </w:tc>
      </w:tr>
      <w:tr w:rsidR="00676AFC">
        <w:tc>
          <w:tcPr>
            <w:tcW w:w="5534"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szCs w:val="18"/>
              </w:rPr>
              <w:t>Net investment loss*</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(0.05)</w:t>
            </w:r>
          </w:p>
        </w:tc>
        <w:tc>
          <w:tcPr>
            <w:tcW w:w="159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(0.05)</w:t>
            </w:r>
          </w:p>
        </w:tc>
        <w:tc>
          <w:tcPr>
            <w:tcW w:w="165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(0.05)</w:t>
            </w:r>
          </w:p>
        </w:tc>
      </w:tr>
      <w:tr w:rsidR="00676AFC">
        <w:tc>
          <w:tcPr>
            <w:tcW w:w="5534"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szCs w:val="18"/>
              </w:rPr>
              <w:t xml:space="preserve">Net </w:t>
            </w:r>
            <w:proofErr w:type="spellStart"/>
            <w:r>
              <w:rPr>
                <w:rFonts w:ascii="Arial" w:hAnsi="Arial" w:cs="Arial"/>
                <w:szCs w:val="18"/>
              </w:rPr>
              <w:t>realised</w:t>
            </w:r>
            <w:proofErr w:type="spellEnd"/>
            <w:r>
              <w:rPr>
                <w:rFonts w:ascii="Arial" w:hAnsi="Arial" w:cs="Arial"/>
                <w:szCs w:val="18"/>
              </w:rPr>
              <w:t xml:space="preserve"> and </w:t>
            </w:r>
            <w:proofErr w:type="spellStart"/>
            <w:r>
              <w:rPr>
                <w:rFonts w:ascii="Arial" w:hAnsi="Arial" w:cs="Arial"/>
                <w:szCs w:val="18"/>
              </w:rPr>
              <w:t>unrealised</w:t>
            </w:r>
            <w:proofErr w:type="spellEnd"/>
            <w:r>
              <w:rPr>
                <w:rFonts w:ascii="Arial" w:hAnsi="Arial" w:cs="Arial"/>
                <w:szCs w:val="18"/>
              </w:rPr>
              <w:t xml:space="preserve"> gain on investment</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(0.03)</w:t>
            </w:r>
          </w:p>
        </w:tc>
        <w:tc>
          <w:tcPr>
            <w:tcW w:w="159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(0.02)</w:t>
            </w:r>
          </w:p>
        </w:tc>
        <w:tc>
          <w:tcPr>
            <w:tcW w:w="165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(0.02)</w:t>
            </w:r>
          </w:p>
        </w:tc>
      </w:tr>
      <w:tr w:rsidR="00676AFC">
        <w:tc>
          <w:tcPr>
            <w:tcW w:w="5534"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szCs w:val="18"/>
              </w:rPr>
              <w:t>Other capital items**</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0.01</w:t>
            </w:r>
          </w:p>
        </w:tc>
        <w:tc>
          <w:tcPr>
            <w:tcW w:w="159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w:t>
            </w:r>
          </w:p>
        </w:tc>
        <w:tc>
          <w:tcPr>
            <w:tcW w:w="165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0.01</w:t>
            </w:r>
          </w:p>
        </w:tc>
      </w:tr>
      <w:tr w:rsidR="00676AFC">
        <w:tc>
          <w:tcPr>
            <w:tcW w:w="5534"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Total return*</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(0.07)</w:t>
            </w:r>
          </w:p>
        </w:tc>
        <w:tc>
          <w:tcPr>
            <w:tcW w:w="159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(0.07)</w:t>
            </w:r>
          </w:p>
        </w:tc>
        <w:tc>
          <w:tcPr>
            <w:tcW w:w="165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(0.06)</w:t>
            </w:r>
          </w:p>
        </w:tc>
      </w:tr>
      <w:tr w:rsidR="00676AFC">
        <w:tc>
          <w:tcPr>
            <w:tcW w:w="5534" w:type="dxa"/>
            <w:tcBorders>
              <w:top w:val="single" w:sz="4" w:space="0" w:color="auto"/>
            </w:tcBorders>
            <w:vAlign w:val="bottom"/>
          </w:tcPr>
          <w:p w:rsidR="00676AFC" w:rsidRDefault="00676AFC">
            <w:pPr>
              <w:pStyle w:val="ParaIMS"/>
              <w:spacing w:before="40"/>
              <w:rPr>
                <w:rFonts w:ascii="Arial" w:hAnsi="Arial" w:cs="Arial"/>
                <w:b/>
                <w:bCs/>
                <w:szCs w:val="18"/>
              </w:rPr>
            </w:pPr>
          </w:p>
        </w:tc>
        <w:tc>
          <w:tcPr>
            <w:tcW w:w="1773" w:type="dxa"/>
            <w:tcBorders>
              <w:top w:val="single" w:sz="4" w:space="0" w:color="auto"/>
            </w:tcBorders>
            <w:vAlign w:val="bottom"/>
          </w:tcPr>
          <w:p w:rsidR="00676AFC" w:rsidRDefault="00676AFC">
            <w:pPr>
              <w:pStyle w:val="ParaIMS"/>
              <w:spacing w:before="40"/>
              <w:jc w:val="right"/>
              <w:rPr>
                <w:rFonts w:ascii="Arial" w:hAnsi="Arial" w:cs="Arial"/>
                <w:b/>
                <w:bCs/>
                <w:szCs w:val="18"/>
              </w:rPr>
            </w:pPr>
          </w:p>
        </w:tc>
        <w:tc>
          <w:tcPr>
            <w:tcW w:w="1593" w:type="dxa"/>
            <w:tcBorders>
              <w:top w:val="single" w:sz="4" w:space="0" w:color="auto"/>
            </w:tcBorders>
            <w:vAlign w:val="bottom"/>
          </w:tcPr>
          <w:p w:rsidR="00676AFC" w:rsidRDefault="00676AFC">
            <w:pPr>
              <w:pStyle w:val="ParaIMS"/>
              <w:spacing w:before="40"/>
              <w:jc w:val="right"/>
              <w:rPr>
                <w:rFonts w:ascii="Arial" w:hAnsi="Arial" w:cs="Arial"/>
                <w:b/>
                <w:bCs/>
                <w:szCs w:val="18"/>
              </w:rPr>
            </w:pPr>
          </w:p>
        </w:tc>
        <w:tc>
          <w:tcPr>
            <w:tcW w:w="1656" w:type="dxa"/>
            <w:tcBorders>
              <w:top w:val="single" w:sz="4" w:space="0" w:color="auto"/>
            </w:tcBorders>
            <w:vAlign w:val="bottom"/>
          </w:tcPr>
          <w:p w:rsidR="00676AFC" w:rsidRDefault="00676AFC">
            <w:pPr>
              <w:pStyle w:val="ParaIMS"/>
              <w:spacing w:before="40"/>
              <w:jc w:val="right"/>
              <w:rPr>
                <w:rFonts w:ascii="Arial" w:hAnsi="Arial" w:cs="Arial"/>
                <w:b/>
                <w:bCs/>
                <w:szCs w:val="18"/>
              </w:rPr>
            </w:pPr>
          </w:p>
        </w:tc>
      </w:tr>
      <w:tr w:rsidR="00676AFC">
        <w:tc>
          <w:tcPr>
            <w:tcW w:w="5534" w:type="dxa"/>
            <w:tcBorders>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Net asset value, end of the period</w:t>
            </w:r>
          </w:p>
        </w:tc>
        <w:tc>
          <w:tcPr>
            <w:tcW w:w="1773"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12.27</w:t>
            </w:r>
          </w:p>
        </w:tc>
        <w:tc>
          <w:tcPr>
            <w:tcW w:w="1593"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12.39</w:t>
            </w:r>
          </w:p>
        </w:tc>
        <w:tc>
          <w:tcPr>
            <w:tcW w:w="1656"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12.41</w:t>
            </w:r>
          </w:p>
        </w:tc>
      </w:tr>
      <w:tr w:rsidR="00676AFC">
        <w:tc>
          <w:tcPr>
            <w:tcW w:w="5534" w:type="dxa"/>
            <w:tcBorders>
              <w:top w:val="single" w:sz="4" w:space="0" w:color="auto"/>
            </w:tcBorders>
            <w:vAlign w:val="bottom"/>
          </w:tcPr>
          <w:p w:rsidR="00676AFC" w:rsidRDefault="00676AFC">
            <w:pPr>
              <w:pStyle w:val="ParaIMS"/>
              <w:spacing w:before="40"/>
              <w:rPr>
                <w:rFonts w:ascii="Arial" w:hAnsi="Arial" w:cs="Arial"/>
                <w:b/>
                <w:bCs/>
                <w:szCs w:val="18"/>
              </w:rPr>
            </w:pPr>
          </w:p>
        </w:tc>
        <w:tc>
          <w:tcPr>
            <w:tcW w:w="1773" w:type="dxa"/>
            <w:tcBorders>
              <w:top w:val="single" w:sz="4" w:space="0" w:color="auto"/>
            </w:tcBorders>
            <w:vAlign w:val="bottom"/>
          </w:tcPr>
          <w:p w:rsidR="00676AFC" w:rsidRDefault="00676AFC">
            <w:pPr>
              <w:pStyle w:val="ParaIMS"/>
              <w:spacing w:before="40"/>
              <w:jc w:val="right"/>
              <w:rPr>
                <w:rFonts w:ascii="Arial" w:hAnsi="Arial" w:cs="Arial"/>
                <w:b/>
                <w:bCs/>
                <w:szCs w:val="18"/>
              </w:rPr>
            </w:pPr>
          </w:p>
        </w:tc>
        <w:tc>
          <w:tcPr>
            <w:tcW w:w="1593" w:type="dxa"/>
            <w:tcBorders>
              <w:top w:val="single" w:sz="4" w:space="0" w:color="auto"/>
            </w:tcBorders>
            <w:vAlign w:val="bottom"/>
          </w:tcPr>
          <w:p w:rsidR="00676AFC" w:rsidRDefault="00676AFC">
            <w:pPr>
              <w:pStyle w:val="ParaIMS"/>
              <w:spacing w:before="40"/>
              <w:jc w:val="right"/>
              <w:rPr>
                <w:rFonts w:ascii="Arial" w:hAnsi="Arial" w:cs="Arial"/>
                <w:b/>
                <w:bCs/>
                <w:szCs w:val="18"/>
              </w:rPr>
            </w:pPr>
          </w:p>
        </w:tc>
        <w:tc>
          <w:tcPr>
            <w:tcW w:w="1656" w:type="dxa"/>
            <w:tcBorders>
              <w:top w:val="single" w:sz="4" w:space="0" w:color="auto"/>
            </w:tcBorders>
            <w:vAlign w:val="bottom"/>
          </w:tcPr>
          <w:p w:rsidR="00676AFC" w:rsidRDefault="00676AFC">
            <w:pPr>
              <w:pStyle w:val="ParaIMS"/>
              <w:spacing w:before="40"/>
              <w:jc w:val="right"/>
              <w:rPr>
                <w:rFonts w:ascii="Arial" w:hAnsi="Arial" w:cs="Arial"/>
                <w:b/>
                <w:bCs/>
                <w:szCs w:val="18"/>
              </w:rPr>
            </w:pPr>
          </w:p>
        </w:tc>
      </w:tr>
      <w:tr w:rsidR="00676AFC">
        <w:tc>
          <w:tcPr>
            <w:tcW w:w="5534" w:type="dxa"/>
            <w:tcBorders>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Total return*</w:t>
            </w:r>
          </w:p>
        </w:tc>
        <w:tc>
          <w:tcPr>
            <w:tcW w:w="1773"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(0.61%)</w:t>
            </w:r>
          </w:p>
        </w:tc>
        <w:tc>
          <w:tcPr>
            <w:tcW w:w="1593"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(0.53%)</w:t>
            </w:r>
          </w:p>
        </w:tc>
        <w:tc>
          <w:tcPr>
            <w:tcW w:w="1656"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(0.47%)</w:t>
            </w:r>
          </w:p>
        </w:tc>
      </w:tr>
    </w:tbl>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 xml:space="preserve">Total return reflects the net return for an investment made at the beginning of the period and is calculated as the change in the NAV per ordinary share during the period from 1 January 2012 to 30 June 2012. Total return is not </w:t>
      </w:r>
      <w:proofErr w:type="spellStart"/>
      <w:r>
        <w:rPr>
          <w:rFonts w:ascii="Arial" w:hAnsi="Arial" w:cs="Arial"/>
          <w:szCs w:val="18"/>
        </w:rPr>
        <w:t>annualised</w:t>
      </w:r>
      <w:proofErr w:type="spellEnd"/>
      <w:r>
        <w:rPr>
          <w:rFonts w:ascii="Arial" w:hAnsi="Arial" w:cs="Arial"/>
          <w:szCs w:val="18"/>
        </w:rPr>
        <w:t>.</w:t>
      </w:r>
    </w:p>
    <w:p w:rsidR="00676AFC" w:rsidRDefault="00676AFC">
      <w:pPr>
        <w:pStyle w:val="ParaIMS"/>
        <w:spacing w:before="0"/>
        <w:rPr>
          <w:rFonts w:ascii="Arial" w:hAnsi="Arial" w:cs="Arial"/>
        </w:rPr>
      </w:pPr>
    </w:p>
    <w:tbl>
      <w:tblPr>
        <w:tblW w:w="5000" w:type="pct"/>
        <w:tblLayout w:type="fixed"/>
        <w:tblCellMar>
          <w:left w:w="0" w:type="dxa"/>
          <w:right w:w="0" w:type="dxa"/>
        </w:tblCellMar>
        <w:tblLook w:val="0000"/>
      </w:tblPr>
      <w:tblGrid>
        <w:gridCol w:w="5525"/>
        <w:gridCol w:w="1770"/>
        <w:gridCol w:w="1591"/>
        <w:gridCol w:w="1654"/>
      </w:tblGrid>
      <w:tr w:rsidR="00676AFC">
        <w:tc>
          <w:tcPr>
            <w:tcW w:w="5534" w:type="dxa"/>
            <w:vAlign w:val="bottom"/>
          </w:tcPr>
          <w:p w:rsidR="00676AFC" w:rsidRDefault="00676AFC">
            <w:pPr>
              <w:pStyle w:val="ParaIMS"/>
              <w:spacing w:before="40"/>
              <w:rPr>
                <w:rFonts w:ascii="Arial" w:hAnsi="Arial" w:cs="Arial"/>
                <w:szCs w:val="14"/>
              </w:rPr>
            </w:pPr>
          </w:p>
        </w:tc>
        <w:tc>
          <w:tcPr>
            <w:tcW w:w="1773" w:type="dxa"/>
            <w:vAlign w:val="bottom"/>
          </w:tcPr>
          <w:p w:rsidR="00676AFC" w:rsidRDefault="00676AFC">
            <w:pPr>
              <w:pStyle w:val="ParaIMS"/>
              <w:spacing w:before="40"/>
              <w:jc w:val="right"/>
              <w:rPr>
                <w:rFonts w:ascii="Arial" w:hAnsi="Arial" w:cs="Arial"/>
              </w:rPr>
            </w:pPr>
            <w:r>
              <w:rPr>
                <w:rFonts w:ascii="Arial" w:hAnsi="Arial" w:cs="Arial"/>
                <w:b/>
                <w:bCs/>
                <w:szCs w:val="14"/>
              </w:rPr>
              <w:t>30.06.12</w:t>
            </w:r>
          </w:p>
        </w:tc>
        <w:tc>
          <w:tcPr>
            <w:tcW w:w="1593" w:type="dxa"/>
            <w:vAlign w:val="bottom"/>
          </w:tcPr>
          <w:p w:rsidR="00676AFC" w:rsidRDefault="00676AFC">
            <w:pPr>
              <w:pStyle w:val="ParaIMS"/>
              <w:spacing w:before="40"/>
              <w:jc w:val="right"/>
              <w:rPr>
                <w:rFonts w:ascii="Arial" w:hAnsi="Arial" w:cs="Arial"/>
              </w:rPr>
            </w:pPr>
            <w:r>
              <w:rPr>
                <w:rFonts w:ascii="Arial" w:hAnsi="Arial" w:cs="Arial"/>
                <w:b/>
                <w:bCs/>
                <w:szCs w:val="14"/>
              </w:rPr>
              <w:t>30.06.12</w:t>
            </w:r>
          </w:p>
        </w:tc>
        <w:tc>
          <w:tcPr>
            <w:tcW w:w="1656" w:type="dxa"/>
            <w:vAlign w:val="bottom"/>
          </w:tcPr>
          <w:p w:rsidR="00676AFC" w:rsidRDefault="00676AFC">
            <w:pPr>
              <w:pStyle w:val="ParaIMS"/>
              <w:spacing w:before="40"/>
              <w:jc w:val="right"/>
              <w:rPr>
                <w:rFonts w:ascii="Arial" w:hAnsi="Arial" w:cs="Arial"/>
              </w:rPr>
            </w:pPr>
            <w:r>
              <w:rPr>
                <w:rFonts w:ascii="Arial" w:hAnsi="Arial" w:cs="Arial"/>
                <w:b/>
                <w:bCs/>
                <w:szCs w:val="14"/>
              </w:rPr>
              <w:t>30.06.12</w:t>
            </w:r>
          </w:p>
        </w:tc>
      </w:tr>
      <w:tr w:rsidR="00676AFC">
        <w:tc>
          <w:tcPr>
            <w:tcW w:w="5534" w:type="dxa"/>
            <w:vAlign w:val="bottom"/>
          </w:tcPr>
          <w:p w:rsidR="00676AFC" w:rsidRDefault="00676AFC">
            <w:pPr>
              <w:pStyle w:val="ParaIMS"/>
              <w:spacing w:before="40"/>
              <w:rPr>
                <w:rFonts w:ascii="Arial" w:hAnsi="Arial" w:cs="Arial"/>
                <w:szCs w:val="15"/>
              </w:rPr>
            </w:pPr>
          </w:p>
        </w:tc>
        <w:tc>
          <w:tcPr>
            <w:tcW w:w="1773" w:type="dxa"/>
            <w:vAlign w:val="bottom"/>
          </w:tcPr>
          <w:p w:rsidR="00676AFC" w:rsidRDefault="00676AFC">
            <w:pPr>
              <w:pStyle w:val="ParaIMS"/>
              <w:spacing w:before="40"/>
              <w:jc w:val="right"/>
              <w:rPr>
                <w:rFonts w:ascii="Arial" w:hAnsi="Arial" w:cs="Arial"/>
              </w:rPr>
            </w:pPr>
            <w:r>
              <w:rPr>
                <w:rFonts w:ascii="Arial" w:hAnsi="Arial" w:cs="Arial"/>
                <w:b/>
                <w:bCs/>
                <w:szCs w:val="14"/>
              </w:rPr>
              <w:t>US Dollar shares</w:t>
            </w:r>
          </w:p>
        </w:tc>
        <w:tc>
          <w:tcPr>
            <w:tcW w:w="1593" w:type="dxa"/>
            <w:vAlign w:val="bottom"/>
          </w:tcPr>
          <w:p w:rsidR="00676AFC" w:rsidRDefault="00676AFC">
            <w:pPr>
              <w:pStyle w:val="ParaIMS"/>
              <w:spacing w:before="40"/>
              <w:jc w:val="right"/>
              <w:rPr>
                <w:rFonts w:ascii="Arial" w:hAnsi="Arial" w:cs="Arial"/>
              </w:rPr>
            </w:pPr>
            <w:r>
              <w:rPr>
                <w:rFonts w:ascii="Arial" w:hAnsi="Arial" w:cs="Arial"/>
                <w:b/>
                <w:bCs/>
                <w:szCs w:val="14"/>
              </w:rPr>
              <w:t>Euro shares</w:t>
            </w:r>
          </w:p>
        </w:tc>
        <w:tc>
          <w:tcPr>
            <w:tcW w:w="1656" w:type="dxa"/>
            <w:vAlign w:val="bottom"/>
          </w:tcPr>
          <w:p w:rsidR="00676AFC" w:rsidRDefault="00676AFC">
            <w:pPr>
              <w:pStyle w:val="ParaIMS"/>
              <w:spacing w:before="40"/>
              <w:jc w:val="right"/>
              <w:rPr>
                <w:rFonts w:ascii="Arial" w:hAnsi="Arial" w:cs="Arial"/>
              </w:rPr>
            </w:pPr>
            <w:r>
              <w:rPr>
                <w:rFonts w:ascii="Arial" w:hAnsi="Arial" w:cs="Arial"/>
                <w:b/>
                <w:bCs/>
                <w:szCs w:val="14"/>
              </w:rPr>
              <w:t>Sterling shares</w:t>
            </w:r>
          </w:p>
        </w:tc>
      </w:tr>
      <w:tr w:rsidR="00676AFC">
        <w:tc>
          <w:tcPr>
            <w:tcW w:w="5534" w:type="dxa"/>
            <w:tcBorders>
              <w:bottom w:val="single" w:sz="4" w:space="0" w:color="auto"/>
            </w:tcBorders>
            <w:vAlign w:val="bottom"/>
          </w:tcPr>
          <w:p w:rsidR="00676AFC" w:rsidRDefault="00676AFC">
            <w:pPr>
              <w:pStyle w:val="ParaIMS"/>
              <w:spacing w:before="40"/>
              <w:rPr>
                <w:rFonts w:ascii="Arial" w:hAnsi="Arial" w:cs="Arial"/>
                <w:szCs w:val="15"/>
              </w:rPr>
            </w:pPr>
          </w:p>
        </w:tc>
        <w:tc>
          <w:tcPr>
            <w:tcW w:w="1773"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US$’000</w:t>
            </w:r>
          </w:p>
        </w:tc>
        <w:tc>
          <w:tcPr>
            <w:tcW w:w="1593"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€’000</w:t>
            </w:r>
          </w:p>
        </w:tc>
        <w:tc>
          <w:tcPr>
            <w:tcW w:w="1656"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£’000</w:t>
            </w:r>
          </w:p>
        </w:tc>
      </w:tr>
      <w:tr w:rsidR="00676AFC">
        <w:tc>
          <w:tcPr>
            <w:tcW w:w="5534"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Supplemental data</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159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165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r>
      <w:tr w:rsidR="00676AFC">
        <w:tc>
          <w:tcPr>
            <w:tcW w:w="5534"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Net asset value, end of the period</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179,599</w:t>
            </w:r>
          </w:p>
        </w:tc>
        <w:tc>
          <w:tcPr>
            <w:tcW w:w="159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32,421</w:t>
            </w:r>
          </w:p>
        </w:tc>
        <w:tc>
          <w:tcPr>
            <w:tcW w:w="165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473,628</w:t>
            </w:r>
          </w:p>
        </w:tc>
      </w:tr>
      <w:tr w:rsidR="00676AFC">
        <w:tc>
          <w:tcPr>
            <w:tcW w:w="5534"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Average net asset value for the period</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188,552</w:t>
            </w:r>
          </w:p>
        </w:tc>
        <w:tc>
          <w:tcPr>
            <w:tcW w:w="159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35,719</w:t>
            </w:r>
          </w:p>
        </w:tc>
        <w:tc>
          <w:tcPr>
            <w:tcW w:w="165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500,303</w:t>
            </w:r>
          </w:p>
        </w:tc>
      </w:tr>
      <w:tr w:rsidR="00676AFC">
        <w:tc>
          <w:tcPr>
            <w:tcW w:w="5534" w:type="dxa"/>
            <w:tcBorders>
              <w:top w:val="single" w:sz="4" w:space="0" w:color="auto"/>
            </w:tcBorders>
            <w:vAlign w:val="bottom"/>
          </w:tcPr>
          <w:p w:rsidR="00676AFC" w:rsidRDefault="00676AFC">
            <w:pPr>
              <w:pStyle w:val="ParaIMS"/>
              <w:spacing w:before="40"/>
              <w:rPr>
                <w:rFonts w:ascii="Arial" w:hAnsi="Arial" w:cs="Arial"/>
              </w:rPr>
            </w:pPr>
          </w:p>
        </w:tc>
        <w:tc>
          <w:tcPr>
            <w:tcW w:w="1773" w:type="dxa"/>
            <w:tcBorders>
              <w:top w:val="single" w:sz="4" w:space="0" w:color="auto"/>
            </w:tcBorders>
            <w:vAlign w:val="bottom"/>
          </w:tcPr>
          <w:p w:rsidR="00676AFC" w:rsidRDefault="00676AFC">
            <w:pPr>
              <w:pStyle w:val="ParaIMS"/>
              <w:spacing w:before="40"/>
              <w:jc w:val="right"/>
              <w:rPr>
                <w:rFonts w:ascii="Arial" w:hAnsi="Arial" w:cs="Arial"/>
                <w:b/>
                <w:bCs/>
                <w:szCs w:val="14"/>
              </w:rPr>
            </w:pPr>
          </w:p>
        </w:tc>
        <w:tc>
          <w:tcPr>
            <w:tcW w:w="1593" w:type="dxa"/>
            <w:tcBorders>
              <w:top w:val="single" w:sz="4" w:space="0" w:color="auto"/>
            </w:tcBorders>
            <w:vAlign w:val="bottom"/>
          </w:tcPr>
          <w:p w:rsidR="00676AFC" w:rsidRDefault="00676AFC">
            <w:pPr>
              <w:pStyle w:val="ParaIMS"/>
              <w:spacing w:before="40"/>
              <w:jc w:val="right"/>
              <w:rPr>
                <w:rFonts w:ascii="Arial" w:hAnsi="Arial" w:cs="Arial"/>
                <w:b/>
                <w:bCs/>
                <w:szCs w:val="14"/>
              </w:rPr>
            </w:pPr>
          </w:p>
        </w:tc>
        <w:tc>
          <w:tcPr>
            <w:tcW w:w="1656" w:type="dxa"/>
            <w:tcBorders>
              <w:top w:val="single" w:sz="4" w:space="0" w:color="auto"/>
            </w:tcBorders>
            <w:vAlign w:val="bottom"/>
          </w:tcPr>
          <w:p w:rsidR="00676AFC" w:rsidRDefault="00676AFC">
            <w:pPr>
              <w:pStyle w:val="ParaIMS"/>
              <w:spacing w:before="40"/>
              <w:jc w:val="right"/>
              <w:rPr>
                <w:rFonts w:ascii="Arial" w:hAnsi="Arial" w:cs="Arial"/>
                <w:b/>
                <w:bCs/>
                <w:szCs w:val="14"/>
              </w:rPr>
            </w:pPr>
          </w:p>
        </w:tc>
      </w:tr>
      <w:tr w:rsidR="00676AFC">
        <w:tc>
          <w:tcPr>
            <w:tcW w:w="5534" w:type="dxa"/>
            <w:vAlign w:val="bottom"/>
          </w:tcPr>
          <w:p w:rsidR="00676AFC" w:rsidRDefault="00676AFC">
            <w:pPr>
              <w:pStyle w:val="ParaIMS"/>
              <w:spacing w:before="40"/>
              <w:rPr>
                <w:rFonts w:ascii="Arial" w:hAnsi="Arial" w:cs="Arial"/>
              </w:rPr>
            </w:pPr>
          </w:p>
        </w:tc>
        <w:tc>
          <w:tcPr>
            <w:tcW w:w="1773" w:type="dxa"/>
            <w:vAlign w:val="bottom"/>
          </w:tcPr>
          <w:p w:rsidR="00676AFC" w:rsidRDefault="00676AFC">
            <w:pPr>
              <w:pStyle w:val="ParaIMS"/>
              <w:spacing w:before="40"/>
              <w:jc w:val="right"/>
              <w:rPr>
                <w:rFonts w:ascii="Arial" w:hAnsi="Arial" w:cs="Arial"/>
              </w:rPr>
            </w:pPr>
            <w:r>
              <w:rPr>
                <w:rFonts w:ascii="Arial" w:hAnsi="Arial" w:cs="Arial"/>
                <w:b/>
                <w:bCs/>
                <w:szCs w:val="14"/>
              </w:rPr>
              <w:t>30.06.12</w:t>
            </w:r>
          </w:p>
        </w:tc>
        <w:tc>
          <w:tcPr>
            <w:tcW w:w="1593" w:type="dxa"/>
            <w:vAlign w:val="bottom"/>
          </w:tcPr>
          <w:p w:rsidR="00676AFC" w:rsidRDefault="00676AFC">
            <w:pPr>
              <w:pStyle w:val="ParaIMS"/>
              <w:spacing w:before="40"/>
              <w:jc w:val="right"/>
              <w:rPr>
                <w:rFonts w:ascii="Arial" w:hAnsi="Arial" w:cs="Arial"/>
              </w:rPr>
            </w:pPr>
            <w:r>
              <w:rPr>
                <w:rFonts w:ascii="Arial" w:hAnsi="Arial" w:cs="Arial"/>
                <w:b/>
                <w:bCs/>
                <w:szCs w:val="14"/>
              </w:rPr>
              <w:t>30.06.12</w:t>
            </w:r>
          </w:p>
        </w:tc>
        <w:tc>
          <w:tcPr>
            <w:tcW w:w="1656" w:type="dxa"/>
            <w:vAlign w:val="bottom"/>
          </w:tcPr>
          <w:p w:rsidR="00676AFC" w:rsidRDefault="00676AFC">
            <w:pPr>
              <w:pStyle w:val="ParaIMS"/>
              <w:spacing w:before="40"/>
              <w:jc w:val="right"/>
              <w:rPr>
                <w:rFonts w:ascii="Arial" w:hAnsi="Arial" w:cs="Arial"/>
              </w:rPr>
            </w:pPr>
            <w:r>
              <w:rPr>
                <w:rFonts w:ascii="Arial" w:hAnsi="Arial" w:cs="Arial"/>
                <w:b/>
                <w:bCs/>
                <w:szCs w:val="14"/>
              </w:rPr>
              <w:t>30.06.12</w:t>
            </w:r>
          </w:p>
        </w:tc>
      </w:tr>
      <w:tr w:rsidR="00676AFC">
        <w:tc>
          <w:tcPr>
            <w:tcW w:w="5534" w:type="dxa"/>
            <w:tcBorders>
              <w:bottom w:val="single" w:sz="4" w:space="0" w:color="auto"/>
            </w:tcBorders>
            <w:vAlign w:val="bottom"/>
          </w:tcPr>
          <w:p w:rsidR="00676AFC" w:rsidRDefault="00676AFC">
            <w:pPr>
              <w:pStyle w:val="ParaIMS"/>
              <w:spacing w:before="40"/>
              <w:rPr>
                <w:rFonts w:ascii="Arial" w:hAnsi="Arial" w:cs="Arial"/>
                <w:szCs w:val="15"/>
              </w:rPr>
            </w:pPr>
          </w:p>
        </w:tc>
        <w:tc>
          <w:tcPr>
            <w:tcW w:w="1773"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US Dollar shares</w:t>
            </w:r>
          </w:p>
        </w:tc>
        <w:tc>
          <w:tcPr>
            <w:tcW w:w="1593"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Euro shares</w:t>
            </w:r>
          </w:p>
        </w:tc>
        <w:tc>
          <w:tcPr>
            <w:tcW w:w="1656"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Sterling shares</w:t>
            </w:r>
          </w:p>
        </w:tc>
      </w:tr>
      <w:tr w:rsidR="00676AFC">
        <w:tc>
          <w:tcPr>
            <w:tcW w:w="5534"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Ratio to average net assets</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159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165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r>
      <w:tr w:rsidR="00676AFC">
        <w:tc>
          <w:tcPr>
            <w:tcW w:w="5534"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Operating expense</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9"/>
              </w:rPr>
            </w:pPr>
          </w:p>
        </w:tc>
        <w:tc>
          <w:tcPr>
            <w:tcW w:w="159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9"/>
              </w:rPr>
            </w:pPr>
          </w:p>
        </w:tc>
        <w:tc>
          <w:tcPr>
            <w:tcW w:w="165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9"/>
              </w:rPr>
            </w:pPr>
          </w:p>
        </w:tc>
      </w:tr>
      <w:tr w:rsidR="00676AFC">
        <w:tc>
          <w:tcPr>
            <w:tcW w:w="5534" w:type="dxa"/>
            <w:tcBorders>
              <w:top w:val="single" w:sz="4" w:space="0" w:color="auto"/>
              <w:bottom w:val="single" w:sz="4" w:space="0" w:color="auto"/>
            </w:tcBorders>
            <w:vAlign w:val="bottom"/>
          </w:tcPr>
          <w:p w:rsidR="00676AFC" w:rsidRDefault="00676AFC">
            <w:pPr>
              <w:pStyle w:val="ParaIMS"/>
              <w:spacing w:before="40"/>
              <w:ind w:left="346" w:hanging="173"/>
              <w:rPr>
                <w:rFonts w:ascii="Arial" w:hAnsi="Arial" w:cs="Arial"/>
              </w:rPr>
            </w:pPr>
            <w:r>
              <w:rPr>
                <w:rFonts w:ascii="Arial" w:hAnsi="Arial" w:cs="Arial"/>
                <w:szCs w:val="18"/>
              </w:rPr>
              <w:t>Company expenses***</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0.37%</w:t>
            </w:r>
          </w:p>
        </w:tc>
        <w:tc>
          <w:tcPr>
            <w:tcW w:w="159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0.44%</w:t>
            </w:r>
          </w:p>
        </w:tc>
        <w:tc>
          <w:tcPr>
            <w:tcW w:w="165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0.36%</w:t>
            </w:r>
          </w:p>
        </w:tc>
      </w:tr>
      <w:tr w:rsidR="00676AFC">
        <w:tc>
          <w:tcPr>
            <w:tcW w:w="5534" w:type="dxa"/>
            <w:tcBorders>
              <w:top w:val="single" w:sz="4" w:space="0" w:color="auto"/>
              <w:bottom w:val="single" w:sz="4" w:space="0" w:color="auto"/>
            </w:tcBorders>
            <w:vAlign w:val="bottom"/>
          </w:tcPr>
          <w:p w:rsidR="00676AFC" w:rsidRDefault="00676AFC">
            <w:pPr>
              <w:pStyle w:val="ParaIMS"/>
              <w:spacing w:before="40"/>
              <w:ind w:left="346" w:hanging="173"/>
              <w:rPr>
                <w:rFonts w:ascii="Arial" w:hAnsi="Arial" w:cs="Arial"/>
              </w:rPr>
            </w:pPr>
            <w:r>
              <w:rPr>
                <w:rFonts w:ascii="Arial" w:hAnsi="Arial" w:cs="Arial"/>
                <w:szCs w:val="18"/>
              </w:rPr>
              <w:t>BHGO expenses****</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0.01%</w:t>
            </w:r>
          </w:p>
        </w:tc>
        <w:tc>
          <w:tcPr>
            <w:tcW w:w="159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0.01%</w:t>
            </w:r>
          </w:p>
        </w:tc>
        <w:tc>
          <w:tcPr>
            <w:tcW w:w="165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0.01%</w:t>
            </w:r>
          </w:p>
        </w:tc>
      </w:tr>
      <w:tr w:rsidR="00676AFC">
        <w:tc>
          <w:tcPr>
            <w:tcW w:w="5534" w:type="dxa"/>
            <w:tcBorders>
              <w:top w:val="single" w:sz="4" w:space="0" w:color="auto"/>
              <w:bottom w:val="single" w:sz="4" w:space="0" w:color="auto"/>
            </w:tcBorders>
            <w:vAlign w:val="bottom"/>
          </w:tcPr>
          <w:p w:rsidR="00676AFC" w:rsidRDefault="00676AFC">
            <w:pPr>
              <w:pStyle w:val="ParaIMS"/>
              <w:spacing w:before="40"/>
              <w:rPr>
                <w:rFonts w:ascii="Arial" w:hAnsi="Arial" w:cs="Arial"/>
                <w:szCs w:val="19"/>
              </w:rPr>
            </w:pP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0.38%</w:t>
            </w:r>
          </w:p>
        </w:tc>
        <w:tc>
          <w:tcPr>
            <w:tcW w:w="159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0.45%</w:t>
            </w:r>
          </w:p>
        </w:tc>
        <w:tc>
          <w:tcPr>
            <w:tcW w:w="165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0.37%</w:t>
            </w:r>
          </w:p>
        </w:tc>
      </w:tr>
      <w:tr w:rsidR="00676AFC">
        <w:tc>
          <w:tcPr>
            <w:tcW w:w="5534"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Net investment loss*</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(0.41%)</w:t>
            </w:r>
          </w:p>
        </w:tc>
        <w:tc>
          <w:tcPr>
            <w:tcW w:w="159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(0.34%)</w:t>
            </w:r>
          </w:p>
        </w:tc>
        <w:tc>
          <w:tcPr>
            <w:tcW w:w="165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(0.37%)</w:t>
            </w:r>
          </w:p>
        </w:tc>
      </w:tr>
      <w:tr w:rsidR="00676AFC">
        <w:tc>
          <w:tcPr>
            <w:tcW w:w="5534" w:type="dxa"/>
            <w:tcBorders>
              <w:top w:val="single" w:sz="4" w:space="0" w:color="auto"/>
            </w:tcBorders>
            <w:vAlign w:val="bottom"/>
          </w:tcPr>
          <w:p w:rsidR="00676AFC" w:rsidRDefault="00676AFC">
            <w:pPr>
              <w:pStyle w:val="ParaIMS"/>
              <w:spacing w:before="40"/>
              <w:rPr>
                <w:rFonts w:ascii="Arial" w:hAnsi="Arial" w:cs="Arial"/>
              </w:rPr>
            </w:pPr>
          </w:p>
        </w:tc>
        <w:tc>
          <w:tcPr>
            <w:tcW w:w="1773" w:type="dxa"/>
            <w:tcBorders>
              <w:top w:val="single" w:sz="4" w:space="0" w:color="auto"/>
            </w:tcBorders>
            <w:vAlign w:val="bottom"/>
          </w:tcPr>
          <w:p w:rsidR="00676AFC" w:rsidRDefault="00676AFC">
            <w:pPr>
              <w:pStyle w:val="ParaIMS"/>
              <w:spacing w:before="40"/>
              <w:jc w:val="right"/>
              <w:rPr>
                <w:rFonts w:ascii="Arial" w:hAnsi="Arial" w:cs="Arial"/>
                <w:b/>
                <w:bCs/>
                <w:szCs w:val="14"/>
              </w:rPr>
            </w:pPr>
          </w:p>
        </w:tc>
        <w:tc>
          <w:tcPr>
            <w:tcW w:w="1593" w:type="dxa"/>
            <w:tcBorders>
              <w:top w:val="single" w:sz="4" w:space="0" w:color="auto"/>
            </w:tcBorders>
            <w:vAlign w:val="bottom"/>
          </w:tcPr>
          <w:p w:rsidR="00676AFC" w:rsidRDefault="00676AFC">
            <w:pPr>
              <w:pStyle w:val="ParaIMS"/>
              <w:spacing w:before="40"/>
              <w:jc w:val="right"/>
              <w:rPr>
                <w:rFonts w:ascii="Arial" w:hAnsi="Arial" w:cs="Arial"/>
                <w:b/>
                <w:bCs/>
                <w:szCs w:val="14"/>
              </w:rPr>
            </w:pPr>
          </w:p>
        </w:tc>
        <w:tc>
          <w:tcPr>
            <w:tcW w:w="1656" w:type="dxa"/>
            <w:tcBorders>
              <w:top w:val="single" w:sz="4" w:space="0" w:color="auto"/>
            </w:tcBorders>
            <w:vAlign w:val="bottom"/>
          </w:tcPr>
          <w:p w:rsidR="00676AFC" w:rsidRDefault="00676AFC">
            <w:pPr>
              <w:pStyle w:val="ParaIMS"/>
              <w:spacing w:before="40"/>
              <w:jc w:val="right"/>
              <w:rPr>
                <w:rFonts w:ascii="Arial" w:hAnsi="Arial" w:cs="Arial"/>
                <w:b/>
                <w:bCs/>
                <w:szCs w:val="14"/>
              </w:rPr>
            </w:pPr>
          </w:p>
        </w:tc>
      </w:tr>
      <w:tr w:rsidR="00676AFC">
        <w:tc>
          <w:tcPr>
            <w:tcW w:w="5534" w:type="dxa"/>
            <w:vAlign w:val="bottom"/>
          </w:tcPr>
          <w:p w:rsidR="00676AFC" w:rsidRDefault="00676AFC">
            <w:pPr>
              <w:pStyle w:val="ParaIMS"/>
              <w:spacing w:before="40"/>
              <w:rPr>
                <w:rFonts w:ascii="Arial" w:hAnsi="Arial" w:cs="Arial"/>
              </w:rPr>
            </w:pPr>
          </w:p>
        </w:tc>
        <w:tc>
          <w:tcPr>
            <w:tcW w:w="1773" w:type="dxa"/>
            <w:vAlign w:val="bottom"/>
          </w:tcPr>
          <w:p w:rsidR="00676AFC" w:rsidRDefault="00676AFC">
            <w:pPr>
              <w:pStyle w:val="ParaIMS"/>
              <w:spacing w:before="40"/>
              <w:jc w:val="right"/>
              <w:rPr>
                <w:rFonts w:ascii="Arial" w:hAnsi="Arial" w:cs="Arial"/>
              </w:rPr>
            </w:pPr>
            <w:r>
              <w:rPr>
                <w:rFonts w:ascii="Arial" w:hAnsi="Arial" w:cs="Arial"/>
                <w:b/>
                <w:bCs/>
                <w:szCs w:val="14"/>
              </w:rPr>
              <w:t>31.12.11</w:t>
            </w:r>
          </w:p>
        </w:tc>
        <w:tc>
          <w:tcPr>
            <w:tcW w:w="1593" w:type="dxa"/>
            <w:vAlign w:val="bottom"/>
          </w:tcPr>
          <w:p w:rsidR="00676AFC" w:rsidRDefault="00676AFC">
            <w:pPr>
              <w:pStyle w:val="ParaIMS"/>
              <w:spacing w:before="40"/>
              <w:jc w:val="right"/>
              <w:rPr>
                <w:rFonts w:ascii="Arial" w:hAnsi="Arial" w:cs="Arial"/>
              </w:rPr>
            </w:pPr>
            <w:r>
              <w:rPr>
                <w:rFonts w:ascii="Arial" w:hAnsi="Arial" w:cs="Arial"/>
                <w:b/>
                <w:bCs/>
                <w:szCs w:val="14"/>
              </w:rPr>
              <w:t>31.12.11</w:t>
            </w:r>
          </w:p>
        </w:tc>
        <w:tc>
          <w:tcPr>
            <w:tcW w:w="1656" w:type="dxa"/>
            <w:vAlign w:val="bottom"/>
          </w:tcPr>
          <w:p w:rsidR="00676AFC" w:rsidRDefault="00676AFC">
            <w:pPr>
              <w:pStyle w:val="ParaIMS"/>
              <w:spacing w:before="40"/>
              <w:jc w:val="right"/>
              <w:rPr>
                <w:rFonts w:ascii="Arial" w:hAnsi="Arial" w:cs="Arial"/>
              </w:rPr>
            </w:pPr>
            <w:r>
              <w:rPr>
                <w:rFonts w:ascii="Arial" w:hAnsi="Arial" w:cs="Arial"/>
                <w:b/>
                <w:bCs/>
                <w:szCs w:val="14"/>
              </w:rPr>
              <w:t>31.12.11</w:t>
            </w:r>
          </w:p>
        </w:tc>
      </w:tr>
      <w:tr w:rsidR="00676AFC">
        <w:tc>
          <w:tcPr>
            <w:tcW w:w="5534" w:type="dxa"/>
            <w:vAlign w:val="bottom"/>
          </w:tcPr>
          <w:p w:rsidR="00676AFC" w:rsidRDefault="00676AFC">
            <w:pPr>
              <w:pStyle w:val="ParaIMS"/>
              <w:spacing w:before="40"/>
              <w:rPr>
                <w:rFonts w:ascii="Arial" w:hAnsi="Arial" w:cs="Arial"/>
                <w:szCs w:val="15"/>
              </w:rPr>
            </w:pPr>
          </w:p>
        </w:tc>
        <w:tc>
          <w:tcPr>
            <w:tcW w:w="1773" w:type="dxa"/>
            <w:vAlign w:val="bottom"/>
          </w:tcPr>
          <w:p w:rsidR="00676AFC" w:rsidRDefault="00676AFC">
            <w:pPr>
              <w:pStyle w:val="ParaIMS"/>
              <w:spacing w:before="40"/>
              <w:jc w:val="right"/>
              <w:rPr>
                <w:rFonts w:ascii="Arial" w:hAnsi="Arial" w:cs="Arial"/>
              </w:rPr>
            </w:pPr>
            <w:r>
              <w:rPr>
                <w:rFonts w:ascii="Arial" w:hAnsi="Arial" w:cs="Arial"/>
                <w:b/>
                <w:bCs/>
                <w:szCs w:val="14"/>
              </w:rPr>
              <w:t>US Dollar shares</w:t>
            </w:r>
          </w:p>
        </w:tc>
        <w:tc>
          <w:tcPr>
            <w:tcW w:w="1593" w:type="dxa"/>
            <w:vAlign w:val="bottom"/>
          </w:tcPr>
          <w:p w:rsidR="00676AFC" w:rsidRDefault="00676AFC">
            <w:pPr>
              <w:pStyle w:val="ParaIMS"/>
              <w:spacing w:before="40"/>
              <w:jc w:val="right"/>
              <w:rPr>
                <w:rFonts w:ascii="Arial" w:hAnsi="Arial" w:cs="Arial"/>
              </w:rPr>
            </w:pPr>
            <w:r>
              <w:rPr>
                <w:rFonts w:ascii="Arial" w:hAnsi="Arial" w:cs="Arial"/>
                <w:b/>
                <w:bCs/>
                <w:szCs w:val="14"/>
              </w:rPr>
              <w:t>Euro shares</w:t>
            </w:r>
          </w:p>
        </w:tc>
        <w:tc>
          <w:tcPr>
            <w:tcW w:w="1656" w:type="dxa"/>
            <w:vAlign w:val="bottom"/>
          </w:tcPr>
          <w:p w:rsidR="00676AFC" w:rsidRDefault="00676AFC">
            <w:pPr>
              <w:pStyle w:val="ParaIMS"/>
              <w:spacing w:before="40"/>
              <w:jc w:val="right"/>
              <w:rPr>
                <w:rFonts w:ascii="Arial" w:hAnsi="Arial" w:cs="Arial"/>
              </w:rPr>
            </w:pPr>
            <w:r>
              <w:rPr>
                <w:rFonts w:ascii="Arial" w:hAnsi="Arial" w:cs="Arial"/>
                <w:b/>
                <w:bCs/>
                <w:szCs w:val="14"/>
              </w:rPr>
              <w:t>Sterling shares</w:t>
            </w:r>
          </w:p>
        </w:tc>
      </w:tr>
      <w:tr w:rsidR="00676AFC">
        <w:tc>
          <w:tcPr>
            <w:tcW w:w="5534" w:type="dxa"/>
            <w:tcBorders>
              <w:bottom w:val="single" w:sz="4" w:space="0" w:color="auto"/>
            </w:tcBorders>
            <w:vAlign w:val="bottom"/>
          </w:tcPr>
          <w:p w:rsidR="00676AFC" w:rsidRDefault="00676AFC">
            <w:pPr>
              <w:pStyle w:val="ParaIMS"/>
              <w:spacing w:before="40"/>
              <w:rPr>
                <w:rFonts w:ascii="Arial" w:hAnsi="Arial" w:cs="Arial"/>
                <w:szCs w:val="15"/>
              </w:rPr>
            </w:pPr>
          </w:p>
        </w:tc>
        <w:tc>
          <w:tcPr>
            <w:tcW w:w="1773"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US$</w:t>
            </w:r>
          </w:p>
        </w:tc>
        <w:tc>
          <w:tcPr>
            <w:tcW w:w="1593"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w:t>
            </w:r>
          </w:p>
        </w:tc>
        <w:tc>
          <w:tcPr>
            <w:tcW w:w="1656"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w:t>
            </w:r>
          </w:p>
        </w:tc>
      </w:tr>
      <w:tr w:rsidR="00676AFC">
        <w:tc>
          <w:tcPr>
            <w:tcW w:w="5534"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Per share operating performance</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159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165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r>
      <w:tr w:rsidR="00676AFC">
        <w:tc>
          <w:tcPr>
            <w:tcW w:w="5534"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Net asset value at beginning of the year</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11.79</w:t>
            </w:r>
          </w:p>
        </w:tc>
        <w:tc>
          <w:tcPr>
            <w:tcW w:w="159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11.86</w:t>
            </w:r>
          </w:p>
        </w:tc>
        <w:tc>
          <w:tcPr>
            <w:tcW w:w="165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11.92</w:t>
            </w:r>
          </w:p>
        </w:tc>
      </w:tr>
      <w:tr w:rsidR="00676AFC">
        <w:tc>
          <w:tcPr>
            <w:tcW w:w="5534"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Income from investment operations</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p>
        </w:tc>
        <w:tc>
          <w:tcPr>
            <w:tcW w:w="159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p>
        </w:tc>
        <w:tc>
          <w:tcPr>
            <w:tcW w:w="165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p>
        </w:tc>
      </w:tr>
      <w:tr w:rsidR="00676AFC">
        <w:tc>
          <w:tcPr>
            <w:tcW w:w="5534"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szCs w:val="18"/>
              </w:rPr>
              <w:t>Net investment loss*</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(0.08)</w:t>
            </w:r>
          </w:p>
        </w:tc>
        <w:tc>
          <w:tcPr>
            <w:tcW w:w="159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(0.09)</w:t>
            </w:r>
          </w:p>
        </w:tc>
        <w:tc>
          <w:tcPr>
            <w:tcW w:w="165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(0.08)</w:t>
            </w:r>
          </w:p>
        </w:tc>
      </w:tr>
      <w:tr w:rsidR="00676AFC">
        <w:tc>
          <w:tcPr>
            <w:tcW w:w="5534"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szCs w:val="18"/>
              </w:rPr>
              <w:t xml:space="preserve">Net </w:t>
            </w:r>
            <w:proofErr w:type="spellStart"/>
            <w:r>
              <w:rPr>
                <w:rFonts w:ascii="Arial" w:hAnsi="Arial" w:cs="Arial"/>
                <w:szCs w:val="18"/>
              </w:rPr>
              <w:t>realised</w:t>
            </w:r>
            <w:proofErr w:type="spellEnd"/>
            <w:r>
              <w:rPr>
                <w:rFonts w:ascii="Arial" w:hAnsi="Arial" w:cs="Arial"/>
                <w:szCs w:val="18"/>
              </w:rPr>
              <w:t xml:space="preserve"> and </w:t>
            </w:r>
            <w:proofErr w:type="spellStart"/>
            <w:r>
              <w:rPr>
                <w:rFonts w:ascii="Arial" w:hAnsi="Arial" w:cs="Arial"/>
                <w:szCs w:val="18"/>
              </w:rPr>
              <w:t>unrealised</w:t>
            </w:r>
            <w:proofErr w:type="spellEnd"/>
            <w:r>
              <w:rPr>
                <w:rFonts w:ascii="Arial" w:hAnsi="Arial" w:cs="Arial"/>
                <w:szCs w:val="18"/>
              </w:rPr>
              <w:t xml:space="preserve"> gain on investment</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0.71</w:t>
            </w:r>
          </w:p>
        </w:tc>
        <w:tc>
          <w:tcPr>
            <w:tcW w:w="159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0.66</w:t>
            </w:r>
          </w:p>
        </w:tc>
        <w:tc>
          <w:tcPr>
            <w:tcW w:w="165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0.59</w:t>
            </w:r>
          </w:p>
        </w:tc>
      </w:tr>
      <w:tr w:rsidR="00676AFC">
        <w:tc>
          <w:tcPr>
            <w:tcW w:w="5534"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szCs w:val="18"/>
              </w:rPr>
              <w:t>Other capital items**</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(0.08)</w:t>
            </w:r>
          </w:p>
        </w:tc>
        <w:tc>
          <w:tcPr>
            <w:tcW w:w="159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0.03</w:t>
            </w:r>
          </w:p>
        </w:tc>
        <w:tc>
          <w:tcPr>
            <w:tcW w:w="165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0.04</w:t>
            </w:r>
          </w:p>
        </w:tc>
      </w:tr>
      <w:tr w:rsidR="00676AFC">
        <w:tc>
          <w:tcPr>
            <w:tcW w:w="5534"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Total return*</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0.55</w:t>
            </w:r>
          </w:p>
        </w:tc>
        <w:tc>
          <w:tcPr>
            <w:tcW w:w="159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0.60</w:t>
            </w:r>
          </w:p>
        </w:tc>
        <w:tc>
          <w:tcPr>
            <w:tcW w:w="165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0.55</w:t>
            </w:r>
          </w:p>
        </w:tc>
      </w:tr>
      <w:tr w:rsidR="00676AFC">
        <w:tc>
          <w:tcPr>
            <w:tcW w:w="5534"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Net asset value, end of the year</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12.34</w:t>
            </w:r>
          </w:p>
        </w:tc>
        <w:tc>
          <w:tcPr>
            <w:tcW w:w="159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12.46</w:t>
            </w:r>
          </w:p>
        </w:tc>
        <w:tc>
          <w:tcPr>
            <w:tcW w:w="165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12.47</w:t>
            </w:r>
          </w:p>
        </w:tc>
      </w:tr>
      <w:tr w:rsidR="00676AFC">
        <w:tc>
          <w:tcPr>
            <w:tcW w:w="5534"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Total return*</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4.69%</w:t>
            </w:r>
          </w:p>
        </w:tc>
        <w:tc>
          <w:tcPr>
            <w:tcW w:w="159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5.04%</w:t>
            </w:r>
          </w:p>
        </w:tc>
        <w:tc>
          <w:tcPr>
            <w:tcW w:w="165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4.65%</w:t>
            </w:r>
          </w:p>
        </w:tc>
      </w:tr>
    </w:tbl>
    <w:p w:rsidR="00676AFC" w:rsidRDefault="00676AFC">
      <w:pPr>
        <w:pStyle w:val="ParaIMS"/>
        <w:spacing w:before="0"/>
        <w:rPr>
          <w:rFonts w:ascii="Arial" w:hAnsi="Arial" w:cs="Arial"/>
        </w:rPr>
      </w:pPr>
    </w:p>
    <w:p w:rsidR="009866B4" w:rsidRDefault="009866B4">
      <w:pPr>
        <w:pStyle w:val="ParaIMS"/>
        <w:spacing w:before="0"/>
        <w:rPr>
          <w:rFonts w:ascii="Arial" w:hAnsi="Arial" w:cs="Arial"/>
          <w:szCs w:val="18"/>
        </w:rPr>
      </w:pPr>
    </w:p>
    <w:p w:rsidR="00676AFC" w:rsidRDefault="00676AFC">
      <w:pPr>
        <w:pStyle w:val="ParaIMS"/>
        <w:spacing w:before="0"/>
        <w:rPr>
          <w:rFonts w:ascii="Arial" w:hAnsi="Arial" w:cs="Arial"/>
        </w:rPr>
      </w:pPr>
      <w:r>
        <w:rPr>
          <w:rFonts w:ascii="Arial" w:hAnsi="Arial" w:cs="Arial"/>
          <w:szCs w:val="18"/>
        </w:rPr>
        <w:t>Total return reflects the net return for an investment made at the beginning of the year and is calculated as the change in the NAV per ordinary share during the year from 1 January 2011 to 31 December 2011.</w:t>
      </w:r>
    </w:p>
    <w:p w:rsidR="00676AFC" w:rsidRDefault="00676AFC">
      <w:pPr>
        <w:pStyle w:val="ParaIMS"/>
        <w:spacing w:before="0"/>
        <w:rPr>
          <w:rFonts w:ascii="Arial" w:hAnsi="Arial" w:cs="Arial"/>
        </w:rPr>
      </w:pPr>
    </w:p>
    <w:tbl>
      <w:tblPr>
        <w:tblW w:w="5000" w:type="pct"/>
        <w:tblLayout w:type="fixed"/>
        <w:tblCellMar>
          <w:left w:w="0" w:type="dxa"/>
          <w:right w:w="0" w:type="dxa"/>
        </w:tblCellMar>
        <w:tblLook w:val="0000"/>
      </w:tblPr>
      <w:tblGrid>
        <w:gridCol w:w="5525"/>
        <w:gridCol w:w="1770"/>
        <w:gridCol w:w="1591"/>
        <w:gridCol w:w="1654"/>
      </w:tblGrid>
      <w:tr w:rsidR="00676AFC">
        <w:tc>
          <w:tcPr>
            <w:tcW w:w="5534" w:type="dxa"/>
            <w:vAlign w:val="bottom"/>
          </w:tcPr>
          <w:p w:rsidR="00676AFC" w:rsidRDefault="00676AFC">
            <w:pPr>
              <w:pStyle w:val="ParaIMS"/>
              <w:spacing w:before="0"/>
              <w:rPr>
                <w:rFonts w:ascii="Arial" w:hAnsi="Arial" w:cs="Arial"/>
                <w:szCs w:val="14"/>
              </w:rPr>
            </w:pPr>
          </w:p>
        </w:tc>
        <w:tc>
          <w:tcPr>
            <w:tcW w:w="1773" w:type="dxa"/>
            <w:vAlign w:val="bottom"/>
          </w:tcPr>
          <w:p w:rsidR="00676AFC" w:rsidRDefault="00676AFC">
            <w:pPr>
              <w:pStyle w:val="ParaIMS"/>
              <w:spacing w:before="0"/>
              <w:jc w:val="right"/>
              <w:rPr>
                <w:rFonts w:ascii="Arial" w:hAnsi="Arial" w:cs="Arial"/>
              </w:rPr>
            </w:pPr>
            <w:r>
              <w:rPr>
                <w:rFonts w:ascii="Arial" w:hAnsi="Arial" w:cs="Arial"/>
                <w:b/>
                <w:bCs/>
                <w:szCs w:val="14"/>
              </w:rPr>
              <w:t>31.12.11</w:t>
            </w:r>
          </w:p>
        </w:tc>
        <w:tc>
          <w:tcPr>
            <w:tcW w:w="1593" w:type="dxa"/>
            <w:vAlign w:val="bottom"/>
          </w:tcPr>
          <w:p w:rsidR="00676AFC" w:rsidRDefault="00676AFC">
            <w:pPr>
              <w:pStyle w:val="ParaIMS"/>
              <w:spacing w:before="0"/>
              <w:jc w:val="right"/>
              <w:rPr>
                <w:rFonts w:ascii="Arial" w:hAnsi="Arial" w:cs="Arial"/>
              </w:rPr>
            </w:pPr>
            <w:r>
              <w:rPr>
                <w:rFonts w:ascii="Arial" w:hAnsi="Arial" w:cs="Arial"/>
                <w:b/>
                <w:bCs/>
                <w:szCs w:val="14"/>
              </w:rPr>
              <w:t>31.12.11</w:t>
            </w:r>
          </w:p>
        </w:tc>
        <w:tc>
          <w:tcPr>
            <w:tcW w:w="1656" w:type="dxa"/>
            <w:vAlign w:val="bottom"/>
          </w:tcPr>
          <w:p w:rsidR="00676AFC" w:rsidRDefault="00676AFC">
            <w:pPr>
              <w:pStyle w:val="ParaIMS"/>
              <w:spacing w:before="0"/>
              <w:jc w:val="right"/>
              <w:rPr>
                <w:rFonts w:ascii="Arial" w:hAnsi="Arial" w:cs="Arial"/>
              </w:rPr>
            </w:pPr>
            <w:r>
              <w:rPr>
                <w:rFonts w:ascii="Arial" w:hAnsi="Arial" w:cs="Arial"/>
                <w:b/>
                <w:bCs/>
                <w:szCs w:val="14"/>
              </w:rPr>
              <w:t>31.12.11</w:t>
            </w:r>
          </w:p>
        </w:tc>
      </w:tr>
      <w:tr w:rsidR="00676AFC">
        <w:tc>
          <w:tcPr>
            <w:tcW w:w="5534" w:type="dxa"/>
            <w:vAlign w:val="bottom"/>
          </w:tcPr>
          <w:p w:rsidR="00676AFC" w:rsidRDefault="00676AFC">
            <w:pPr>
              <w:pStyle w:val="ParaIMS"/>
              <w:spacing w:before="0"/>
              <w:rPr>
                <w:rFonts w:ascii="Arial" w:hAnsi="Arial" w:cs="Arial"/>
                <w:szCs w:val="15"/>
              </w:rPr>
            </w:pPr>
          </w:p>
        </w:tc>
        <w:tc>
          <w:tcPr>
            <w:tcW w:w="1773" w:type="dxa"/>
            <w:vAlign w:val="bottom"/>
          </w:tcPr>
          <w:p w:rsidR="00676AFC" w:rsidRDefault="00676AFC">
            <w:pPr>
              <w:pStyle w:val="ParaIMS"/>
              <w:spacing w:before="0"/>
              <w:jc w:val="right"/>
              <w:rPr>
                <w:rFonts w:ascii="Arial" w:hAnsi="Arial" w:cs="Arial"/>
              </w:rPr>
            </w:pPr>
            <w:r>
              <w:rPr>
                <w:rFonts w:ascii="Arial" w:hAnsi="Arial" w:cs="Arial"/>
                <w:b/>
                <w:bCs/>
                <w:szCs w:val="14"/>
              </w:rPr>
              <w:t>US Dollar shares</w:t>
            </w:r>
          </w:p>
        </w:tc>
        <w:tc>
          <w:tcPr>
            <w:tcW w:w="1593" w:type="dxa"/>
            <w:vAlign w:val="bottom"/>
          </w:tcPr>
          <w:p w:rsidR="00676AFC" w:rsidRDefault="00676AFC">
            <w:pPr>
              <w:pStyle w:val="ParaIMS"/>
              <w:spacing w:before="0"/>
              <w:jc w:val="right"/>
              <w:rPr>
                <w:rFonts w:ascii="Arial" w:hAnsi="Arial" w:cs="Arial"/>
              </w:rPr>
            </w:pPr>
            <w:r>
              <w:rPr>
                <w:rFonts w:ascii="Arial" w:hAnsi="Arial" w:cs="Arial"/>
                <w:b/>
                <w:bCs/>
                <w:szCs w:val="14"/>
              </w:rPr>
              <w:t>Euro shares</w:t>
            </w:r>
          </w:p>
        </w:tc>
        <w:tc>
          <w:tcPr>
            <w:tcW w:w="1656" w:type="dxa"/>
            <w:vAlign w:val="bottom"/>
          </w:tcPr>
          <w:p w:rsidR="00676AFC" w:rsidRDefault="00676AFC">
            <w:pPr>
              <w:pStyle w:val="ParaIMS"/>
              <w:spacing w:before="0"/>
              <w:jc w:val="right"/>
              <w:rPr>
                <w:rFonts w:ascii="Arial" w:hAnsi="Arial" w:cs="Arial"/>
              </w:rPr>
            </w:pPr>
            <w:r>
              <w:rPr>
                <w:rFonts w:ascii="Arial" w:hAnsi="Arial" w:cs="Arial"/>
                <w:b/>
                <w:bCs/>
                <w:szCs w:val="14"/>
              </w:rPr>
              <w:t>Sterling shares</w:t>
            </w:r>
          </w:p>
        </w:tc>
      </w:tr>
      <w:tr w:rsidR="00676AFC">
        <w:tc>
          <w:tcPr>
            <w:tcW w:w="5534" w:type="dxa"/>
            <w:tcBorders>
              <w:bottom w:val="single" w:sz="4" w:space="0" w:color="auto"/>
            </w:tcBorders>
            <w:vAlign w:val="bottom"/>
          </w:tcPr>
          <w:p w:rsidR="00676AFC" w:rsidRDefault="00676AFC">
            <w:pPr>
              <w:pStyle w:val="ParaIMS"/>
              <w:spacing w:before="0"/>
              <w:rPr>
                <w:rFonts w:ascii="Arial" w:hAnsi="Arial" w:cs="Arial"/>
                <w:szCs w:val="15"/>
              </w:rPr>
            </w:pPr>
          </w:p>
        </w:tc>
        <w:tc>
          <w:tcPr>
            <w:tcW w:w="1773" w:type="dxa"/>
            <w:tcBorders>
              <w:bottom w:val="single" w:sz="4" w:space="0" w:color="auto"/>
            </w:tcBorders>
            <w:vAlign w:val="bottom"/>
          </w:tcPr>
          <w:p w:rsidR="00676AFC" w:rsidRDefault="00676AFC">
            <w:pPr>
              <w:pStyle w:val="ParaIMS"/>
              <w:spacing w:before="0"/>
              <w:jc w:val="right"/>
              <w:rPr>
                <w:rFonts w:ascii="Arial" w:hAnsi="Arial" w:cs="Arial"/>
              </w:rPr>
            </w:pPr>
            <w:r>
              <w:rPr>
                <w:rFonts w:ascii="Arial" w:hAnsi="Arial" w:cs="Arial"/>
                <w:b/>
                <w:bCs/>
                <w:szCs w:val="14"/>
              </w:rPr>
              <w:t>US$’000</w:t>
            </w:r>
          </w:p>
        </w:tc>
        <w:tc>
          <w:tcPr>
            <w:tcW w:w="1593" w:type="dxa"/>
            <w:tcBorders>
              <w:bottom w:val="single" w:sz="4" w:space="0" w:color="auto"/>
            </w:tcBorders>
            <w:vAlign w:val="bottom"/>
          </w:tcPr>
          <w:p w:rsidR="00676AFC" w:rsidRDefault="00676AFC">
            <w:pPr>
              <w:pStyle w:val="ParaIMS"/>
              <w:spacing w:before="0"/>
              <w:jc w:val="right"/>
              <w:rPr>
                <w:rFonts w:ascii="Arial" w:hAnsi="Arial" w:cs="Arial"/>
              </w:rPr>
            </w:pPr>
            <w:r>
              <w:rPr>
                <w:rFonts w:ascii="Arial" w:hAnsi="Arial" w:cs="Arial"/>
                <w:b/>
                <w:bCs/>
                <w:szCs w:val="14"/>
              </w:rPr>
              <w:t>€’000</w:t>
            </w:r>
          </w:p>
        </w:tc>
        <w:tc>
          <w:tcPr>
            <w:tcW w:w="1656" w:type="dxa"/>
            <w:tcBorders>
              <w:bottom w:val="single" w:sz="4" w:space="0" w:color="auto"/>
            </w:tcBorders>
            <w:vAlign w:val="bottom"/>
          </w:tcPr>
          <w:p w:rsidR="00676AFC" w:rsidRDefault="00676AFC">
            <w:pPr>
              <w:pStyle w:val="ParaIMS"/>
              <w:spacing w:before="0"/>
              <w:jc w:val="right"/>
              <w:rPr>
                <w:rFonts w:ascii="Arial" w:hAnsi="Arial" w:cs="Arial"/>
              </w:rPr>
            </w:pPr>
            <w:r>
              <w:rPr>
                <w:rFonts w:ascii="Arial" w:hAnsi="Arial" w:cs="Arial"/>
                <w:b/>
                <w:bCs/>
                <w:szCs w:val="14"/>
              </w:rPr>
              <w:t>£’000</w:t>
            </w:r>
          </w:p>
        </w:tc>
      </w:tr>
      <w:tr w:rsidR="00676AFC">
        <w:tc>
          <w:tcPr>
            <w:tcW w:w="5534"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Supplemental data</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159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165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r>
      <w:tr w:rsidR="00676AFC">
        <w:tc>
          <w:tcPr>
            <w:tcW w:w="5534"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Net asset value, end of the year</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187,393</w:t>
            </w:r>
          </w:p>
        </w:tc>
        <w:tc>
          <w:tcPr>
            <w:tcW w:w="159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36,372</w:t>
            </w:r>
          </w:p>
        </w:tc>
        <w:tc>
          <w:tcPr>
            <w:tcW w:w="165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497,755</w:t>
            </w:r>
          </w:p>
        </w:tc>
      </w:tr>
      <w:tr w:rsidR="00676AFC">
        <w:tc>
          <w:tcPr>
            <w:tcW w:w="5534"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Average net asset value for the year</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215,735</w:t>
            </w:r>
          </w:p>
        </w:tc>
        <w:tc>
          <w:tcPr>
            <w:tcW w:w="159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38,040</w:t>
            </w:r>
          </w:p>
        </w:tc>
        <w:tc>
          <w:tcPr>
            <w:tcW w:w="165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473,389</w:t>
            </w:r>
          </w:p>
        </w:tc>
      </w:tr>
    </w:tbl>
    <w:p w:rsidR="00676AFC" w:rsidRDefault="00676AFC">
      <w:pPr>
        <w:pStyle w:val="ParaIMS"/>
        <w:spacing w:before="0"/>
        <w:rPr>
          <w:rFonts w:ascii="Arial" w:hAnsi="Arial" w:cs="Arial"/>
        </w:rPr>
      </w:pPr>
    </w:p>
    <w:tbl>
      <w:tblPr>
        <w:tblW w:w="5000" w:type="pct"/>
        <w:tblLayout w:type="fixed"/>
        <w:tblCellMar>
          <w:left w:w="0" w:type="dxa"/>
          <w:right w:w="0" w:type="dxa"/>
        </w:tblCellMar>
        <w:tblLook w:val="0000"/>
      </w:tblPr>
      <w:tblGrid>
        <w:gridCol w:w="5526"/>
        <w:gridCol w:w="1770"/>
        <w:gridCol w:w="1579"/>
        <w:gridCol w:w="1665"/>
      </w:tblGrid>
      <w:tr w:rsidR="00676AFC">
        <w:tc>
          <w:tcPr>
            <w:tcW w:w="5534" w:type="dxa"/>
            <w:vAlign w:val="bottom"/>
          </w:tcPr>
          <w:p w:rsidR="00676AFC" w:rsidRDefault="00676AFC">
            <w:pPr>
              <w:pStyle w:val="ParaIMS"/>
              <w:spacing w:before="0"/>
              <w:rPr>
                <w:rFonts w:ascii="Arial" w:hAnsi="Arial" w:cs="Arial"/>
                <w:szCs w:val="14"/>
              </w:rPr>
            </w:pPr>
          </w:p>
        </w:tc>
        <w:tc>
          <w:tcPr>
            <w:tcW w:w="1773" w:type="dxa"/>
            <w:vAlign w:val="bottom"/>
          </w:tcPr>
          <w:p w:rsidR="00676AFC" w:rsidRDefault="00676AFC">
            <w:pPr>
              <w:pStyle w:val="ParaIMS"/>
              <w:spacing w:before="0"/>
              <w:jc w:val="right"/>
              <w:rPr>
                <w:rFonts w:ascii="Arial" w:hAnsi="Arial" w:cs="Arial"/>
              </w:rPr>
            </w:pPr>
            <w:r>
              <w:rPr>
                <w:rFonts w:ascii="Arial" w:hAnsi="Arial" w:cs="Arial"/>
                <w:b/>
                <w:bCs/>
                <w:szCs w:val="14"/>
              </w:rPr>
              <w:t>31.12.11</w:t>
            </w:r>
          </w:p>
        </w:tc>
        <w:tc>
          <w:tcPr>
            <w:tcW w:w="1581" w:type="dxa"/>
            <w:vAlign w:val="bottom"/>
          </w:tcPr>
          <w:p w:rsidR="00676AFC" w:rsidRDefault="00676AFC">
            <w:pPr>
              <w:pStyle w:val="ParaIMS"/>
              <w:spacing w:before="0"/>
              <w:jc w:val="right"/>
              <w:rPr>
                <w:rFonts w:ascii="Arial" w:hAnsi="Arial" w:cs="Arial"/>
              </w:rPr>
            </w:pPr>
            <w:r>
              <w:rPr>
                <w:rFonts w:ascii="Arial" w:hAnsi="Arial" w:cs="Arial"/>
                <w:b/>
                <w:bCs/>
                <w:szCs w:val="14"/>
              </w:rPr>
              <w:t>31.12.11</w:t>
            </w:r>
          </w:p>
        </w:tc>
        <w:tc>
          <w:tcPr>
            <w:tcW w:w="1668" w:type="dxa"/>
            <w:vAlign w:val="bottom"/>
          </w:tcPr>
          <w:p w:rsidR="00676AFC" w:rsidRDefault="00676AFC">
            <w:pPr>
              <w:pStyle w:val="ParaIMS"/>
              <w:spacing w:before="0"/>
              <w:jc w:val="right"/>
              <w:rPr>
                <w:rFonts w:ascii="Arial" w:hAnsi="Arial" w:cs="Arial"/>
              </w:rPr>
            </w:pPr>
            <w:r>
              <w:rPr>
                <w:rFonts w:ascii="Arial" w:hAnsi="Arial" w:cs="Arial"/>
                <w:b/>
                <w:bCs/>
                <w:szCs w:val="14"/>
              </w:rPr>
              <w:t>31.12.11</w:t>
            </w:r>
          </w:p>
        </w:tc>
      </w:tr>
      <w:tr w:rsidR="00676AFC">
        <w:tc>
          <w:tcPr>
            <w:tcW w:w="5534" w:type="dxa"/>
            <w:tcBorders>
              <w:bottom w:val="single" w:sz="4" w:space="0" w:color="auto"/>
            </w:tcBorders>
            <w:vAlign w:val="bottom"/>
          </w:tcPr>
          <w:p w:rsidR="00676AFC" w:rsidRDefault="00676AFC">
            <w:pPr>
              <w:pStyle w:val="ParaIMS"/>
              <w:spacing w:before="0"/>
              <w:rPr>
                <w:rFonts w:ascii="Arial" w:hAnsi="Arial" w:cs="Arial"/>
                <w:szCs w:val="15"/>
              </w:rPr>
            </w:pPr>
          </w:p>
        </w:tc>
        <w:tc>
          <w:tcPr>
            <w:tcW w:w="1773" w:type="dxa"/>
            <w:tcBorders>
              <w:bottom w:val="single" w:sz="4" w:space="0" w:color="auto"/>
            </w:tcBorders>
            <w:vAlign w:val="bottom"/>
          </w:tcPr>
          <w:p w:rsidR="00676AFC" w:rsidRDefault="00676AFC">
            <w:pPr>
              <w:pStyle w:val="ParaIMS"/>
              <w:spacing w:before="0"/>
              <w:jc w:val="right"/>
              <w:rPr>
                <w:rFonts w:ascii="Arial" w:hAnsi="Arial" w:cs="Arial"/>
              </w:rPr>
            </w:pPr>
            <w:r>
              <w:rPr>
                <w:rFonts w:ascii="Arial" w:hAnsi="Arial" w:cs="Arial"/>
                <w:b/>
                <w:bCs/>
                <w:szCs w:val="14"/>
              </w:rPr>
              <w:t>US Dollar shares</w:t>
            </w:r>
          </w:p>
        </w:tc>
        <w:tc>
          <w:tcPr>
            <w:tcW w:w="1581" w:type="dxa"/>
            <w:tcBorders>
              <w:bottom w:val="single" w:sz="4" w:space="0" w:color="auto"/>
            </w:tcBorders>
            <w:vAlign w:val="bottom"/>
          </w:tcPr>
          <w:p w:rsidR="00676AFC" w:rsidRDefault="00676AFC">
            <w:pPr>
              <w:pStyle w:val="ParaIMS"/>
              <w:spacing w:before="0"/>
              <w:jc w:val="right"/>
              <w:rPr>
                <w:rFonts w:ascii="Arial" w:hAnsi="Arial" w:cs="Arial"/>
              </w:rPr>
            </w:pPr>
            <w:r>
              <w:rPr>
                <w:rFonts w:ascii="Arial" w:hAnsi="Arial" w:cs="Arial"/>
                <w:b/>
                <w:bCs/>
                <w:szCs w:val="14"/>
              </w:rPr>
              <w:t>Euro shares</w:t>
            </w:r>
          </w:p>
        </w:tc>
        <w:tc>
          <w:tcPr>
            <w:tcW w:w="1668" w:type="dxa"/>
            <w:tcBorders>
              <w:bottom w:val="single" w:sz="4" w:space="0" w:color="auto"/>
            </w:tcBorders>
            <w:vAlign w:val="bottom"/>
          </w:tcPr>
          <w:p w:rsidR="00676AFC" w:rsidRDefault="00676AFC">
            <w:pPr>
              <w:pStyle w:val="ParaIMS"/>
              <w:spacing w:before="0"/>
              <w:jc w:val="right"/>
              <w:rPr>
                <w:rFonts w:ascii="Arial" w:hAnsi="Arial" w:cs="Arial"/>
              </w:rPr>
            </w:pPr>
            <w:r>
              <w:rPr>
                <w:rFonts w:ascii="Arial" w:hAnsi="Arial" w:cs="Arial"/>
                <w:b/>
                <w:bCs/>
                <w:szCs w:val="14"/>
              </w:rPr>
              <w:t>Sterling shares</w:t>
            </w:r>
          </w:p>
        </w:tc>
      </w:tr>
      <w:tr w:rsidR="00676AFC">
        <w:tc>
          <w:tcPr>
            <w:tcW w:w="5534"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Ratio to average net assets</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1581"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166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r>
      <w:tr w:rsidR="00676AFC">
        <w:tc>
          <w:tcPr>
            <w:tcW w:w="5534"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Operating expense</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9"/>
              </w:rPr>
            </w:pPr>
          </w:p>
        </w:tc>
        <w:tc>
          <w:tcPr>
            <w:tcW w:w="1581"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9"/>
              </w:rPr>
            </w:pPr>
          </w:p>
        </w:tc>
        <w:tc>
          <w:tcPr>
            <w:tcW w:w="166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9"/>
              </w:rPr>
            </w:pPr>
          </w:p>
        </w:tc>
      </w:tr>
      <w:tr w:rsidR="00676AFC">
        <w:tc>
          <w:tcPr>
            <w:tcW w:w="5534" w:type="dxa"/>
            <w:tcBorders>
              <w:top w:val="single" w:sz="4" w:space="0" w:color="auto"/>
              <w:bottom w:val="single" w:sz="4" w:space="0" w:color="auto"/>
            </w:tcBorders>
            <w:vAlign w:val="bottom"/>
          </w:tcPr>
          <w:p w:rsidR="00676AFC" w:rsidRDefault="00676AFC">
            <w:pPr>
              <w:pStyle w:val="ParaIMS"/>
              <w:spacing w:before="40"/>
              <w:ind w:left="346" w:hanging="173"/>
              <w:rPr>
                <w:rFonts w:ascii="Arial" w:hAnsi="Arial" w:cs="Arial"/>
              </w:rPr>
            </w:pPr>
            <w:r>
              <w:rPr>
                <w:rFonts w:ascii="Arial" w:hAnsi="Arial" w:cs="Arial"/>
                <w:szCs w:val="18"/>
              </w:rPr>
              <w:t>Company expenses***</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0.70%</w:t>
            </w:r>
          </w:p>
        </w:tc>
        <w:tc>
          <w:tcPr>
            <w:tcW w:w="1581"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0.68%</w:t>
            </w:r>
          </w:p>
        </w:tc>
        <w:tc>
          <w:tcPr>
            <w:tcW w:w="166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0.67%</w:t>
            </w:r>
          </w:p>
        </w:tc>
      </w:tr>
      <w:tr w:rsidR="00676AFC">
        <w:tc>
          <w:tcPr>
            <w:tcW w:w="5534" w:type="dxa"/>
            <w:tcBorders>
              <w:top w:val="single" w:sz="4" w:space="0" w:color="auto"/>
              <w:bottom w:val="single" w:sz="4" w:space="0" w:color="auto"/>
            </w:tcBorders>
            <w:vAlign w:val="bottom"/>
          </w:tcPr>
          <w:p w:rsidR="00676AFC" w:rsidRDefault="00676AFC">
            <w:pPr>
              <w:pStyle w:val="ParaIMS"/>
              <w:spacing w:before="40"/>
              <w:ind w:left="346" w:hanging="173"/>
              <w:rPr>
                <w:rFonts w:ascii="Arial" w:hAnsi="Arial" w:cs="Arial"/>
              </w:rPr>
            </w:pPr>
            <w:r>
              <w:rPr>
                <w:rFonts w:ascii="Arial" w:hAnsi="Arial" w:cs="Arial"/>
                <w:szCs w:val="18"/>
              </w:rPr>
              <w:t>BHGO expenses****</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0.01%</w:t>
            </w:r>
          </w:p>
        </w:tc>
        <w:tc>
          <w:tcPr>
            <w:tcW w:w="1581"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0.01%</w:t>
            </w:r>
          </w:p>
        </w:tc>
        <w:tc>
          <w:tcPr>
            <w:tcW w:w="166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0.01%</w:t>
            </w:r>
          </w:p>
        </w:tc>
      </w:tr>
      <w:tr w:rsidR="00676AFC">
        <w:tc>
          <w:tcPr>
            <w:tcW w:w="5534" w:type="dxa"/>
            <w:tcBorders>
              <w:top w:val="single" w:sz="4" w:space="0" w:color="auto"/>
              <w:bottom w:val="single" w:sz="4" w:space="0" w:color="auto"/>
            </w:tcBorders>
            <w:vAlign w:val="bottom"/>
          </w:tcPr>
          <w:p w:rsidR="00676AFC" w:rsidRDefault="00676AFC">
            <w:pPr>
              <w:pStyle w:val="ParaIMS"/>
              <w:spacing w:before="40"/>
              <w:rPr>
                <w:rFonts w:ascii="Arial" w:hAnsi="Arial" w:cs="Arial"/>
                <w:szCs w:val="19"/>
              </w:rPr>
            </w:pP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0.71%</w:t>
            </w:r>
          </w:p>
        </w:tc>
        <w:tc>
          <w:tcPr>
            <w:tcW w:w="1581"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0.69%</w:t>
            </w:r>
          </w:p>
        </w:tc>
        <w:tc>
          <w:tcPr>
            <w:tcW w:w="166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0.68%</w:t>
            </w:r>
          </w:p>
        </w:tc>
      </w:tr>
      <w:tr w:rsidR="00676AFC">
        <w:tc>
          <w:tcPr>
            <w:tcW w:w="5534"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Net investment loss*</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(0.56%)</w:t>
            </w:r>
          </w:p>
        </w:tc>
        <w:tc>
          <w:tcPr>
            <w:tcW w:w="1581"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(0.70%)</w:t>
            </w:r>
          </w:p>
        </w:tc>
        <w:tc>
          <w:tcPr>
            <w:tcW w:w="166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(0.71%)</w:t>
            </w:r>
          </w:p>
        </w:tc>
      </w:tr>
      <w:tr w:rsidR="00676AFC">
        <w:tc>
          <w:tcPr>
            <w:tcW w:w="5534" w:type="dxa"/>
            <w:tcBorders>
              <w:top w:val="single" w:sz="4" w:space="0" w:color="auto"/>
            </w:tcBorders>
            <w:vAlign w:val="bottom"/>
          </w:tcPr>
          <w:p w:rsidR="00676AFC" w:rsidRDefault="00676AFC">
            <w:pPr>
              <w:pStyle w:val="ParaIMS"/>
              <w:spacing w:before="0"/>
              <w:rPr>
                <w:rFonts w:ascii="Arial" w:hAnsi="Arial" w:cs="Arial"/>
              </w:rPr>
            </w:pPr>
          </w:p>
        </w:tc>
        <w:tc>
          <w:tcPr>
            <w:tcW w:w="1773" w:type="dxa"/>
            <w:tcBorders>
              <w:top w:val="single" w:sz="4" w:space="0" w:color="auto"/>
            </w:tcBorders>
            <w:vAlign w:val="bottom"/>
          </w:tcPr>
          <w:p w:rsidR="00676AFC" w:rsidRDefault="00676AFC">
            <w:pPr>
              <w:pStyle w:val="ParaIMS"/>
              <w:spacing w:before="0"/>
              <w:jc w:val="right"/>
              <w:rPr>
                <w:rFonts w:ascii="Arial" w:hAnsi="Arial" w:cs="Arial"/>
                <w:b/>
                <w:bCs/>
                <w:szCs w:val="14"/>
              </w:rPr>
            </w:pPr>
          </w:p>
        </w:tc>
        <w:tc>
          <w:tcPr>
            <w:tcW w:w="1581" w:type="dxa"/>
            <w:tcBorders>
              <w:top w:val="single" w:sz="4" w:space="0" w:color="auto"/>
            </w:tcBorders>
            <w:vAlign w:val="bottom"/>
          </w:tcPr>
          <w:p w:rsidR="00676AFC" w:rsidRDefault="00676AFC">
            <w:pPr>
              <w:pStyle w:val="ParaIMS"/>
              <w:spacing w:before="0"/>
              <w:jc w:val="right"/>
              <w:rPr>
                <w:rFonts w:ascii="Arial" w:hAnsi="Arial" w:cs="Arial"/>
                <w:b/>
                <w:bCs/>
                <w:szCs w:val="14"/>
              </w:rPr>
            </w:pPr>
          </w:p>
        </w:tc>
        <w:tc>
          <w:tcPr>
            <w:tcW w:w="1668" w:type="dxa"/>
            <w:tcBorders>
              <w:top w:val="single" w:sz="4" w:space="0" w:color="auto"/>
            </w:tcBorders>
            <w:vAlign w:val="bottom"/>
          </w:tcPr>
          <w:p w:rsidR="00676AFC" w:rsidRDefault="00676AFC">
            <w:pPr>
              <w:pStyle w:val="ParaIMS"/>
              <w:spacing w:before="0"/>
              <w:jc w:val="right"/>
              <w:rPr>
                <w:rFonts w:ascii="Arial" w:hAnsi="Arial" w:cs="Arial"/>
                <w:b/>
                <w:bCs/>
                <w:szCs w:val="14"/>
              </w:rPr>
            </w:pPr>
          </w:p>
        </w:tc>
      </w:tr>
      <w:tr w:rsidR="00676AFC">
        <w:tc>
          <w:tcPr>
            <w:tcW w:w="5534" w:type="dxa"/>
            <w:vAlign w:val="bottom"/>
          </w:tcPr>
          <w:p w:rsidR="00676AFC" w:rsidRDefault="00676AFC">
            <w:pPr>
              <w:pStyle w:val="ParaIMS"/>
              <w:spacing w:before="0"/>
              <w:rPr>
                <w:rFonts w:ascii="Arial" w:hAnsi="Arial" w:cs="Arial"/>
              </w:rPr>
            </w:pPr>
          </w:p>
        </w:tc>
        <w:tc>
          <w:tcPr>
            <w:tcW w:w="1773" w:type="dxa"/>
            <w:vAlign w:val="bottom"/>
          </w:tcPr>
          <w:p w:rsidR="00676AFC" w:rsidRDefault="00676AFC">
            <w:pPr>
              <w:pStyle w:val="ParaIMS"/>
              <w:spacing w:before="0"/>
              <w:jc w:val="right"/>
              <w:rPr>
                <w:rFonts w:ascii="Arial" w:hAnsi="Arial" w:cs="Arial"/>
              </w:rPr>
            </w:pPr>
            <w:r>
              <w:rPr>
                <w:rFonts w:ascii="Arial" w:hAnsi="Arial" w:cs="Arial"/>
                <w:b/>
                <w:bCs/>
                <w:szCs w:val="14"/>
              </w:rPr>
              <w:t>30.06.11</w:t>
            </w:r>
          </w:p>
        </w:tc>
        <w:tc>
          <w:tcPr>
            <w:tcW w:w="1581" w:type="dxa"/>
            <w:vAlign w:val="bottom"/>
          </w:tcPr>
          <w:p w:rsidR="00676AFC" w:rsidRDefault="00676AFC">
            <w:pPr>
              <w:pStyle w:val="ParaIMS"/>
              <w:spacing w:before="0"/>
              <w:jc w:val="right"/>
              <w:rPr>
                <w:rFonts w:ascii="Arial" w:hAnsi="Arial" w:cs="Arial"/>
              </w:rPr>
            </w:pPr>
            <w:r>
              <w:rPr>
                <w:rFonts w:ascii="Arial" w:hAnsi="Arial" w:cs="Arial"/>
                <w:b/>
                <w:bCs/>
                <w:szCs w:val="14"/>
              </w:rPr>
              <w:t>30.06.11</w:t>
            </w:r>
          </w:p>
        </w:tc>
        <w:tc>
          <w:tcPr>
            <w:tcW w:w="1668" w:type="dxa"/>
            <w:vAlign w:val="bottom"/>
          </w:tcPr>
          <w:p w:rsidR="00676AFC" w:rsidRDefault="00676AFC">
            <w:pPr>
              <w:pStyle w:val="ParaIMS"/>
              <w:spacing w:before="0"/>
              <w:jc w:val="right"/>
              <w:rPr>
                <w:rFonts w:ascii="Arial" w:hAnsi="Arial" w:cs="Arial"/>
              </w:rPr>
            </w:pPr>
            <w:r>
              <w:rPr>
                <w:rFonts w:ascii="Arial" w:hAnsi="Arial" w:cs="Arial"/>
                <w:b/>
                <w:bCs/>
                <w:szCs w:val="14"/>
              </w:rPr>
              <w:t>30.06.11</w:t>
            </w:r>
          </w:p>
        </w:tc>
      </w:tr>
      <w:tr w:rsidR="00676AFC">
        <w:tc>
          <w:tcPr>
            <w:tcW w:w="5534" w:type="dxa"/>
            <w:vAlign w:val="bottom"/>
          </w:tcPr>
          <w:p w:rsidR="00676AFC" w:rsidRDefault="00676AFC">
            <w:pPr>
              <w:pStyle w:val="ParaIMS"/>
              <w:spacing w:before="0"/>
              <w:rPr>
                <w:rFonts w:ascii="Arial" w:hAnsi="Arial" w:cs="Arial"/>
                <w:szCs w:val="15"/>
              </w:rPr>
            </w:pPr>
          </w:p>
        </w:tc>
        <w:tc>
          <w:tcPr>
            <w:tcW w:w="1773" w:type="dxa"/>
            <w:vAlign w:val="bottom"/>
          </w:tcPr>
          <w:p w:rsidR="00676AFC" w:rsidRDefault="00676AFC">
            <w:pPr>
              <w:pStyle w:val="ParaIMS"/>
              <w:spacing w:before="0"/>
              <w:jc w:val="right"/>
              <w:rPr>
                <w:rFonts w:ascii="Arial" w:hAnsi="Arial" w:cs="Arial"/>
              </w:rPr>
            </w:pPr>
            <w:r>
              <w:rPr>
                <w:rFonts w:ascii="Arial" w:hAnsi="Arial" w:cs="Arial"/>
                <w:b/>
                <w:bCs/>
                <w:szCs w:val="14"/>
              </w:rPr>
              <w:t>US Dollar shares</w:t>
            </w:r>
          </w:p>
        </w:tc>
        <w:tc>
          <w:tcPr>
            <w:tcW w:w="1581" w:type="dxa"/>
            <w:vAlign w:val="bottom"/>
          </w:tcPr>
          <w:p w:rsidR="00676AFC" w:rsidRDefault="00676AFC">
            <w:pPr>
              <w:pStyle w:val="ParaIMS"/>
              <w:spacing w:before="0"/>
              <w:jc w:val="right"/>
              <w:rPr>
                <w:rFonts w:ascii="Arial" w:hAnsi="Arial" w:cs="Arial"/>
              </w:rPr>
            </w:pPr>
            <w:r>
              <w:rPr>
                <w:rFonts w:ascii="Arial" w:hAnsi="Arial" w:cs="Arial"/>
                <w:b/>
                <w:bCs/>
                <w:szCs w:val="14"/>
              </w:rPr>
              <w:t>Euro shares</w:t>
            </w:r>
          </w:p>
        </w:tc>
        <w:tc>
          <w:tcPr>
            <w:tcW w:w="1668" w:type="dxa"/>
            <w:vAlign w:val="bottom"/>
          </w:tcPr>
          <w:p w:rsidR="00676AFC" w:rsidRDefault="00676AFC">
            <w:pPr>
              <w:pStyle w:val="ParaIMS"/>
              <w:spacing w:before="0"/>
              <w:jc w:val="right"/>
              <w:rPr>
                <w:rFonts w:ascii="Arial" w:hAnsi="Arial" w:cs="Arial"/>
              </w:rPr>
            </w:pPr>
            <w:r>
              <w:rPr>
                <w:rFonts w:ascii="Arial" w:hAnsi="Arial" w:cs="Arial"/>
                <w:b/>
                <w:bCs/>
                <w:szCs w:val="14"/>
              </w:rPr>
              <w:t>Sterling shares</w:t>
            </w:r>
          </w:p>
        </w:tc>
      </w:tr>
      <w:tr w:rsidR="00676AFC">
        <w:tc>
          <w:tcPr>
            <w:tcW w:w="5534" w:type="dxa"/>
            <w:tcBorders>
              <w:bottom w:val="single" w:sz="4" w:space="0" w:color="auto"/>
            </w:tcBorders>
            <w:vAlign w:val="bottom"/>
          </w:tcPr>
          <w:p w:rsidR="00676AFC" w:rsidRDefault="00676AFC">
            <w:pPr>
              <w:pStyle w:val="ParaIMS"/>
              <w:spacing w:before="0"/>
              <w:rPr>
                <w:rFonts w:ascii="Arial" w:hAnsi="Arial" w:cs="Arial"/>
                <w:szCs w:val="15"/>
              </w:rPr>
            </w:pPr>
          </w:p>
        </w:tc>
        <w:tc>
          <w:tcPr>
            <w:tcW w:w="1773" w:type="dxa"/>
            <w:tcBorders>
              <w:bottom w:val="single" w:sz="4" w:space="0" w:color="auto"/>
            </w:tcBorders>
            <w:vAlign w:val="bottom"/>
          </w:tcPr>
          <w:p w:rsidR="00676AFC" w:rsidRDefault="00676AFC">
            <w:pPr>
              <w:pStyle w:val="ParaIMS"/>
              <w:spacing w:before="0"/>
              <w:jc w:val="right"/>
              <w:rPr>
                <w:rFonts w:ascii="Arial" w:hAnsi="Arial" w:cs="Arial"/>
              </w:rPr>
            </w:pPr>
            <w:r>
              <w:rPr>
                <w:rFonts w:ascii="Arial" w:hAnsi="Arial" w:cs="Arial"/>
                <w:b/>
                <w:bCs/>
                <w:szCs w:val="14"/>
              </w:rPr>
              <w:t>US$</w:t>
            </w:r>
          </w:p>
        </w:tc>
        <w:tc>
          <w:tcPr>
            <w:tcW w:w="1581" w:type="dxa"/>
            <w:tcBorders>
              <w:bottom w:val="single" w:sz="4" w:space="0" w:color="auto"/>
            </w:tcBorders>
            <w:vAlign w:val="bottom"/>
          </w:tcPr>
          <w:p w:rsidR="00676AFC" w:rsidRDefault="00676AFC">
            <w:pPr>
              <w:pStyle w:val="ParaIMS"/>
              <w:spacing w:before="0"/>
              <w:jc w:val="right"/>
              <w:rPr>
                <w:rFonts w:ascii="Arial" w:hAnsi="Arial" w:cs="Arial"/>
              </w:rPr>
            </w:pPr>
            <w:r>
              <w:rPr>
                <w:rFonts w:ascii="Arial" w:hAnsi="Arial" w:cs="Arial"/>
                <w:b/>
                <w:bCs/>
                <w:szCs w:val="14"/>
              </w:rPr>
              <w:t>€</w:t>
            </w:r>
          </w:p>
        </w:tc>
        <w:tc>
          <w:tcPr>
            <w:tcW w:w="1668" w:type="dxa"/>
            <w:tcBorders>
              <w:bottom w:val="single" w:sz="4" w:space="0" w:color="auto"/>
            </w:tcBorders>
            <w:vAlign w:val="bottom"/>
          </w:tcPr>
          <w:p w:rsidR="00676AFC" w:rsidRDefault="00676AFC">
            <w:pPr>
              <w:pStyle w:val="ParaIMS"/>
              <w:spacing w:before="0"/>
              <w:jc w:val="right"/>
              <w:rPr>
                <w:rFonts w:ascii="Arial" w:hAnsi="Arial" w:cs="Arial"/>
              </w:rPr>
            </w:pPr>
            <w:r>
              <w:rPr>
                <w:rFonts w:ascii="Arial" w:hAnsi="Arial" w:cs="Arial"/>
                <w:b/>
                <w:bCs/>
                <w:szCs w:val="14"/>
              </w:rPr>
              <w:t>£</w:t>
            </w:r>
          </w:p>
        </w:tc>
      </w:tr>
      <w:tr w:rsidR="00676AFC">
        <w:tc>
          <w:tcPr>
            <w:tcW w:w="5534"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Per share operating performance</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1581"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166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r>
      <w:tr w:rsidR="00676AFC">
        <w:tc>
          <w:tcPr>
            <w:tcW w:w="5534"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Net asset value at beginning of the period</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11.79</w:t>
            </w:r>
          </w:p>
        </w:tc>
        <w:tc>
          <w:tcPr>
            <w:tcW w:w="1581"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11.86</w:t>
            </w:r>
          </w:p>
        </w:tc>
        <w:tc>
          <w:tcPr>
            <w:tcW w:w="166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11.92</w:t>
            </w:r>
          </w:p>
        </w:tc>
      </w:tr>
      <w:tr w:rsidR="00676AFC">
        <w:tc>
          <w:tcPr>
            <w:tcW w:w="5534" w:type="dxa"/>
            <w:tcBorders>
              <w:top w:val="single" w:sz="4" w:space="0" w:color="auto"/>
            </w:tcBorders>
            <w:vAlign w:val="bottom"/>
          </w:tcPr>
          <w:p w:rsidR="00676AFC" w:rsidRDefault="00676AFC">
            <w:pPr>
              <w:pStyle w:val="ParaIMS"/>
              <w:spacing w:before="0"/>
              <w:rPr>
                <w:rFonts w:ascii="Arial" w:hAnsi="Arial" w:cs="Arial"/>
                <w:b/>
                <w:bCs/>
                <w:szCs w:val="18"/>
              </w:rPr>
            </w:pPr>
          </w:p>
        </w:tc>
        <w:tc>
          <w:tcPr>
            <w:tcW w:w="1773" w:type="dxa"/>
            <w:tcBorders>
              <w:top w:val="single" w:sz="4" w:space="0" w:color="auto"/>
            </w:tcBorders>
            <w:vAlign w:val="bottom"/>
          </w:tcPr>
          <w:p w:rsidR="00676AFC" w:rsidRDefault="00676AFC">
            <w:pPr>
              <w:pStyle w:val="ParaIMS"/>
              <w:spacing w:before="0"/>
              <w:jc w:val="right"/>
              <w:rPr>
                <w:rFonts w:ascii="Arial" w:hAnsi="Arial" w:cs="Arial"/>
              </w:rPr>
            </w:pPr>
          </w:p>
        </w:tc>
        <w:tc>
          <w:tcPr>
            <w:tcW w:w="1581" w:type="dxa"/>
            <w:tcBorders>
              <w:top w:val="single" w:sz="4" w:space="0" w:color="auto"/>
            </w:tcBorders>
            <w:vAlign w:val="bottom"/>
          </w:tcPr>
          <w:p w:rsidR="00676AFC" w:rsidRDefault="00676AFC">
            <w:pPr>
              <w:pStyle w:val="ParaIMS"/>
              <w:spacing w:before="0"/>
              <w:jc w:val="right"/>
              <w:rPr>
                <w:rFonts w:ascii="Arial" w:hAnsi="Arial" w:cs="Arial"/>
              </w:rPr>
            </w:pPr>
          </w:p>
        </w:tc>
        <w:tc>
          <w:tcPr>
            <w:tcW w:w="1668" w:type="dxa"/>
            <w:tcBorders>
              <w:top w:val="single" w:sz="4" w:space="0" w:color="auto"/>
            </w:tcBorders>
            <w:vAlign w:val="bottom"/>
          </w:tcPr>
          <w:p w:rsidR="00676AFC" w:rsidRDefault="00676AFC">
            <w:pPr>
              <w:pStyle w:val="ParaIMS"/>
              <w:spacing w:before="0"/>
              <w:jc w:val="right"/>
              <w:rPr>
                <w:rFonts w:ascii="Arial" w:hAnsi="Arial" w:cs="Arial"/>
              </w:rPr>
            </w:pPr>
          </w:p>
        </w:tc>
      </w:tr>
      <w:tr w:rsidR="00676AFC">
        <w:tc>
          <w:tcPr>
            <w:tcW w:w="5534" w:type="dxa"/>
            <w:tcBorders>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Income from investment operations</w:t>
            </w:r>
          </w:p>
        </w:tc>
        <w:tc>
          <w:tcPr>
            <w:tcW w:w="1773" w:type="dxa"/>
            <w:tcBorders>
              <w:bottom w:val="single" w:sz="4" w:space="0" w:color="auto"/>
            </w:tcBorders>
            <w:vAlign w:val="bottom"/>
          </w:tcPr>
          <w:p w:rsidR="00676AFC" w:rsidRDefault="00676AFC">
            <w:pPr>
              <w:pStyle w:val="ParaIMS"/>
              <w:spacing w:before="40"/>
              <w:jc w:val="right"/>
              <w:rPr>
                <w:rFonts w:ascii="Arial" w:hAnsi="Arial" w:cs="Arial"/>
              </w:rPr>
            </w:pPr>
          </w:p>
        </w:tc>
        <w:tc>
          <w:tcPr>
            <w:tcW w:w="1581" w:type="dxa"/>
            <w:tcBorders>
              <w:bottom w:val="single" w:sz="4" w:space="0" w:color="auto"/>
            </w:tcBorders>
            <w:vAlign w:val="bottom"/>
          </w:tcPr>
          <w:p w:rsidR="00676AFC" w:rsidRDefault="00676AFC">
            <w:pPr>
              <w:pStyle w:val="ParaIMS"/>
              <w:spacing w:before="40"/>
              <w:jc w:val="right"/>
              <w:rPr>
                <w:rFonts w:ascii="Arial" w:hAnsi="Arial" w:cs="Arial"/>
              </w:rPr>
            </w:pPr>
          </w:p>
        </w:tc>
        <w:tc>
          <w:tcPr>
            <w:tcW w:w="1668" w:type="dxa"/>
            <w:tcBorders>
              <w:bottom w:val="single" w:sz="4" w:space="0" w:color="auto"/>
            </w:tcBorders>
            <w:vAlign w:val="bottom"/>
          </w:tcPr>
          <w:p w:rsidR="00676AFC" w:rsidRDefault="00676AFC">
            <w:pPr>
              <w:pStyle w:val="ParaIMS"/>
              <w:spacing w:before="40"/>
              <w:jc w:val="right"/>
              <w:rPr>
                <w:rFonts w:ascii="Arial" w:hAnsi="Arial" w:cs="Arial"/>
              </w:rPr>
            </w:pPr>
          </w:p>
        </w:tc>
      </w:tr>
      <w:tr w:rsidR="00676AFC">
        <w:tc>
          <w:tcPr>
            <w:tcW w:w="5534"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szCs w:val="18"/>
              </w:rPr>
              <w:t>Net investment loss*</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(0.03)</w:t>
            </w:r>
          </w:p>
        </w:tc>
        <w:tc>
          <w:tcPr>
            <w:tcW w:w="1581"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(0.04)</w:t>
            </w:r>
          </w:p>
        </w:tc>
        <w:tc>
          <w:tcPr>
            <w:tcW w:w="166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(0.04)</w:t>
            </w:r>
          </w:p>
        </w:tc>
      </w:tr>
      <w:tr w:rsidR="00676AFC">
        <w:tc>
          <w:tcPr>
            <w:tcW w:w="5534"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szCs w:val="18"/>
              </w:rPr>
              <w:t xml:space="preserve">Net </w:t>
            </w:r>
            <w:proofErr w:type="spellStart"/>
            <w:r>
              <w:rPr>
                <w:rFonts w:ascii="Arial" w:hAnsi="Arial" w:cs="Arial"/>
                <w:szCs w:val="18"/>
              </w:rPr>
              <w:t>realised</w:t>
            </w:r>
            <w:proofErr w:type="spellEnd"/>
            <w:r>
              <w:rPr>
                <w:rFonts w:ascii="Arial" w:hAnsi="Arial" w:cs="Arial"/>
                <w:szCs w:val="18"/>
              </w:rPr>
              <w:t xml:space="preserve"> and </w:t>
            </w:r>
            <w:proofErr w:type="spellStart"/>
            <w:r>
              <w:rPr>
                <w:rFonts w:ascii="Arial" w:hAnsi="Arial" w:cs="Arial"/>
                <w:szCs w:val="18"/>
              </w:rPr>
              <w:t>unrealised</w:t>
            </w:r>
            <w:proofErr w:type="spellEnd"/>
            <w:r>
              <w:rPr>
                <w:rFonts w:ascii="Arial" w:hAnsi="Arial" w:cs="Arial"/>
                <w:szCs w:val="18"/>
              </w:rPr>
              <w:t xml:space="preserve"> gain on investment</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0.23</w:t>
            </w:r>
          </w:p>
        </w:tc>
        <w:tc>
          <w:tcPr>
            <w:tcW w:w="1581"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0.22</w:t>
            </w:r>
          </w:p>
        </w:tc>
        <w:tc>
          <w:tcPr>
            <w:tcW w:w="166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0.19</w:t>
            </w:r>
          </w:p>
        </w:tc>
      </w:tr>
      <w:tr w:rsidR="00676AFC">
        <w:tc>
          <w:tcPr>
            <w:tcW w:w="5534"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szCs w:val="18"/>
              </w:rPr>
              <w:t>Other capital items**</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w:t>
            </w:r>
          </w:p>
        </w:tc>
        <w:tc>
          <w:tcPr>
            <w:tcW w:w="1581"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0.03</w:t>
            </w:r>
          </w:p>
        </w:tc>
        <w:tc>
          <w:tcPr>
            <w:tcW w:w="166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0.02</w:t>
            </w:r>
          </w:p>
        </w:tc>
      </w:tr>
      <w:tr w:rsidR="00676AFC">
        <w:tc>
          <w:tcPr>
            <w:tcW w:w="5534"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Total return*</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0.20</w:t>
            </w:r>
          </w:p>
        </w:tc>
        <w:tc>
          <w:tcPr>
            <w:tcW w:w="1581"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0.21</w:t>
            </w:r>
          </w:p>
        </w:tc>
        <w:tc>
          <w:tcPr>
            <w:tcW w:w="166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0.17</w:t>
            </w:r>
          </w:p>
        </w:tc>
      </w:tr>
      <w:tr w:rsidR="00676AFC">
        <w:tc>
          <w:tcPr>
            <w:tcW w:w="5534" w:type="dxa"/>
            <w:tcBorders>
              <w:top w:val="single" w:sz="4" w:space="0" w:color="auto"/>
            </w:tcBorders>
            <w:vAlign w:val="bottom"/>
          </w:tcPr>
          <w:p w:rsidR="00676AFC" w:rsidRDefault="00676AFC">
            <w:pPr>
              <w:pStyle w:val="ParaIMS"/>
              <w:spacing w:before="0"/>
              <w:rPr>
                <w:rFonts w:ascii="Arial" w:hAnsi="Arial" w:cs="Arial"/>
                <w:b/>
                <w:bCs/>
                <w:szCs w:val="18"/>
              </w:rPr>
            </w:pPr>
          </w:p>
        </w:tc>
        <w:tc>
          <w:tcPr>
            <w:tcW w:w="1773" w:type="dxa"/>
            <w:tcBorders>
              <w:top w:val="single" w:sz="4" w:space="0" w:color="auto"/>
            </w:tcBorders>
            <w:vAlign w:val="bottom"/>
          </w:tcPr>
          <w:p w:rsidR="00676AFC" w:rsidRDefault="00676AFC">
            <w:pPr>
              <w:pStyle w:val="ParaIMS"/>
              <w:spacing w:before="0"/>
              <w:jc w:val="right"/>
              <w:rPr>
                <w:rFonts w:ascii="Arial" w:hAnsi="Arial" w:cs="Arial"/>
                <w:b/>
                <w:bCs/>
                <w:szCs w:val="18"/>
              </w:rPr>
            </w:pPr>
          </w:p>
        </w:tc>
        <w:tc>
          <w:tcPr>
            <w:tcW w:w="1581" w:type="dxa"/>
            <w:tcBorders>
              <w:top w:val="single" w:sz="4" w:space="0" w:color="auto"/>
            </w:tcBorders>
            <w:vAlign w:val="bottom"/>
          </w:tcPr>
          <w:p w:rsidR="00676AFC" w:rsidRDefault="00676AFC">
            <w:pPr>
              <w:pStyle w:val="ParaIMS"/>
              <w:spacing w:before="0"/>
              <w:jc w:val="right"/>
              <w:rPr>
                <w:rFonts w:ascii="Arial" w:hAnsi="Arial" w:cs="Arial"/>
                <w:b/>
                <w:bCs/>
                <w:szCs w:val="18"/>
              </w:rPr>
            </w:pPr>
          </w:p>
        </w:tc>
        <w:tc>
          <w:tcPr>
            <w:tcW w:w="1668" w:type="dxa"/>
            <w:tcBorders>
              <w:top w:val="single" w:sz="4" w:space="0" w:color="auto"/>
            </w:tcBorders>
            <w:vAlign w:val="bottom"/>
          </w:tcPr>
          <w:p w:rsidR="00676AFC" w:rsidRDefault="00676AFC">
            <w:pPr>
              <w:pStyle w:val="ParaIMS"/>
              <w:spacing w:before="0"/>
              <w:jc w:val="right"/>
              <w:rPr>
                <w:rFonts w:ascii="Arial" w:hAnsi="Arial" w:cs="Arial"/>
                <w:b/>
                <w:bCs/>
                <w:szCs w:val="18"/>
              </w:rPr>
            </w:pPr>
          </w:p>
        </w:tc>
      </w:tr>
      <w:tr w:rsidR="00676AFC">
        <w:tc>
          <w:tcPr>
            <w:tcW w:w="5534" w:type="dxa"/>
            <w:tcBorders>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Net asset value, end of the period</w:t>
            </w:r>
          </w:p>
        </w:tc>
        <w:tc>
          <w:tcPr>
            <w:tcW w:w="1773"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11.99</w:t>
            </w:r>
          </w:p>
        </w:tc>
        <w:tc>
          <w:tcPr>
            <w:tcW w:w="1581"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12.07</w:t>
            </w:r>
          </w:p>
        </w:tc>
        <w:tc>
          <w:tcPr>
            <w:tcW w:w="1668"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12.09</w:t>
            </w:r>
          </w:p>
        </w:tc>
      </w:tr>
      <w:tr w:rsidR="00676AFC">
        <w:tc>
          <w:tcPr>
            <w:tcW w:w="5534" w:type="dxa"/>
            <w:tcBorders>
              <w:top w:val="single" w:sz="4" w:space="0" w:color="auto"/>
            </w:tcBorders>
            <w:vAlign w:val="bottom"/>
          </w:tcPr>
          <w:p w:rsidR="00676AFC" w:rsidRDefault="00676AFC">
            <w:pPr>
              <w:pStyle w:val="ParaIMS"/>
              <w:spacing w:before="0"/>
              <w:rPr>
                <w:rFonts w:ascii="Arial" w:hAnsi="Arial" w:cs="Arial"/>
                <w:b/>
                <w:bCs/>
                <w:szCs w:val="18"/>
              </w:rPr>
            </w:pPr>
          </w:p>
        </w:tc>
        <w:tc>
          <w:tcPr>
            <w:tcW w:w="1773" w:type="dxa"/>
            <w:tcBorders>
              <w:top w:val="single" w:sz="4" w:space="0" w:color="auto"/>
            </w:tcBorders>
            <w:vAlign w:val="bottom"/>
          </w:tcPr>
          <w:p w:rsidR="00676AFC" w:rsidRDefault="00676AFC">
            <w:pPr>
              <w:pStyle w:val="ParaIMS"/>
              <w:spacing w:before="0"/>
              <w:jc w:val="right"/>
              <w:rPr>
                <w:rFonts w:ascii="Arial" w:hAnsi="Arial" w:cs="Arial"/>
                <w:b/>
                <w:bCs/>
                <w:szCs w:val="18"/>
              </w:rPr>
            </w:pPr>
          </w:p>
        </w:tc>
        <w:tc>
          <w:tcPr>
            <w:tcW w:w="1581" w:type="dxa"/>
            <w:tcBorders>
              <w:top w:val="single" w:sz="4" w:space="0" w:color="auto"/>
            </w:tcBorders>
            <w:vAlign w:val="bottom"/>
          </w:tcPr>
          <w:p w:rsidR="00676AFC" w:rsidRDefault="00676AFC">
            <w:pPr>
              <w:pStyle w:val="ParaIMS"/>
              <w:spacing w:before="0"/>
              <w:jc w:val="right"/>
              <w:rPr>
                <w:rFonts w:ascii="Arial" w:hAnsi="Arial" w:cs="Arial"/>
                <w:b/>
                <w:bCs/>
                <w:szCs w:val="18"/>
              </w:rPr>
            </w:pPr>
          </w:p>
        </w:tc>
        <w:tc>
          <w:tcPr>
            <w:tcW w:w="1668" w:type="dxa"/>
            <w:tcBorders>
              <w:top w:val="single" w:sz="4" w:space="0" w:color="auto"/>
            </w:tcBorders>
            <w:vAlign w:val="bottom"/>
          </w:tcPr>
          <w:p w:rsidR="00676AFC" w:rsidRDefault="00676AFC">
            <w:pPr>
              <w:pStyle w:val="ParaIMS"/>
              <w:spacing w:before="0"/>
              <w:jc w:val="right"/>
              <w:rPr>
                <w:rFonts w:ascii="Arial" w:hAnsi="Arial" w:cs="Arial"/>
                <w:b/>
                <w:bCs/>
                <w:szCs w:val="18"/>
              </w:rPr>
            </w:pPr>
          </w:p>
        </w:tc>
      </w:tr>
      <w:tr w:rsidR="00676AFC">
        <w:tc>
          <w:tcPr>
            <w:tcW w:w="5534" w:type="dxa"/>
            <w:tcBorders>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Total return*</w:t>
            </w:r>
          </w:p>
        </w:tc>
        <w:tc>
          <w:tcPr>
            <w:tcW w:w="1773"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1.68%</w:t>
            </w:r>
          </w:p>
        </w:tc>
        <w:tc>
          <w:tcPr>
            <w:tcW w:w="1581"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1.78%</w:t>
            </w:r>
          </w:p>
        </w:tc>
        <w:tc>
          <w:tcPr>
            <w:tcW w:w="1668"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1.47%</w:t>
            </w:r>
          </w:p>
        </w:tc>
      </w:tr>
    </w:tbl>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 xml:space="preserve">Total return reflects the net return for an investment made at the beginning of the period and is calculated as the change in the NAV per ordinary share during the period from 1 January 2011 to 30 June 2011. Total return is not </w:t>
      </w:r>
      <w:proofErr w:type="spellStart"/>
      <w:r>
        <w:rPr>
          <w:rFonts w:ascii="Arial" w:hAnsi="Arial" w:cs="Arial"/>
          <w:szCs w:val="18"/>
        </w:rPr>
        <w:t>annualised</w:t>
      </w:r>
      <w:proofErr w:type="spellEnd"/>
      <w:r>
        <w:rPr>
          <w:rFonts w:ascii="Arial" w:hAnsi="Arial" w:cs="Arial"/>
          <w:szCs w:val="18"/>
        </w:rPr>
        <w:t>.</w:t>
      </w:r>
    </w:p>
    <w:p w:rsidR="00676AFC" w:rsidRDefault="00676AFC">
      <w:pPr>
        <w:pStyle w:val="ParaIMS"/>
        <w:spacing w:before="0"/>
        <w:rPr>
          <w:rFonts w:ascii="Arial" w:hAnsi="Arial" w:cs="Arial"/>
        </w:rPr>
      </w:pPr>
    </w:p>
    <w:tbl>
      <w:tblPr>
        <w:tblW w:w="5000" w:type="pct"/>
        <w:tblLayout w:type="fixed"/>
        <w:tblCellMar>
          <w:left w:w="0" w:type="dxa"/>
          <w:right w:w="0" w:type="dxa"/>
        </w:tblCellMar>
        <w:tblLook w:val="0000"/>
      </w:tblPr>
      <w:tblGrid>
        <w:gridCol w:w="5525"/>
        <w:gridCol w:w="1770"/>
        <w:gridCol w:w="1580"/>
        <w:gridCol w:w="1665"/>
      </w:tblGrid>
      <w:tr w:rsidR="00676AFC">
        <w:tc>
          <w:tcPr>
            <w:tcW w:w="5533" w:type="dxa"/>
            <w:vAlign w:val="bottom"/>
          </w:tcPr>
          <w:p w:rsidR="00676AFC" w:rsidRDefault="00676AFC">
            <w:pPr>
              <w:pStyle w:val="ParaIMS"/>
              <w:spacing w:before="0"/>
              <w:rPr>
                <w:rFonts w:ascii="Arial" w:hAnsi="Arial" w:cs="Arial"/>
                <w:szCs w:val="14"/>
              </w:rPr>
            </w:pPr>
          </w:p>
        </w:tc>
        <w:tc>
          <w:tcPr>
            <w:tcW w:w="1773" w:type="dxa"/>
            <w:vAlign w:val="bottom"/>
          </w:tcPr>
          <w:p w:rsidR="00676AFC" w:rsidRDefault="00676AFC">
            <w:pPr>
              <w:pStyle w:val="ParaIMS"/>
              <w:spacing w:before="0"/>
              <w:jc w:val="right"/>
              <w:rPr>
                <w:rFonts w:ascii="Arial" w:hAnsi="Arial" w:cs="Arial"/>
              </w:rPr>
            </w:pPr>
            <w:r>
              <w:rPr>
                <w:rFonts w:ascii="Arial" w:hAnsi="Arial" w:cs="Arial"/>
                <w:b/>
                <w:bCs/>
                <w:szCs w:val="14"/>
              </w:rPr>
              <w:t>30.06.11</w:t>
            </w:r>
          </w:p>
        </w:tc>
        <w:tc>
          <w:tcPr>
            <w:tcW w:w="1582" w:type="dxa"/>
            <w:vAlign w:val="bottom"/>
          </w:tcPr>
          <w:p w:rsidR="00676AFC" w:rsidRDefault="00676AFC">
            <w:pPr>
              <w:pStyle w:val="ParaIMS"/>
              <w:spacing w:before="0"/>
              <w:jc w:val="right"/>
              <w:rPr>
                <w:rFonts w:ascii="Arial" w:hAnsi="Arial" w:cs="Arial"/>
              </w:rPr>
            </w:pPr>
            <w:r>
              <w:rPr>
                <w:rFonts w:ascii="Arial" w:hAnsi="Arial" w:cs="Arial"/>
                <w:b/>
                <w:bCs/>
                <w:szCs w:val="14"/>
              </w:rPr>
              <w:t>30.06.11</w:t>
            </w:r>
          </w:p>
        </w:tc>
        <w:tc>
          <w:tcPr>
            <w:tcW w:w="1668" w:type="dxa"/>
            <w:vAlign w:val="bottom"/>
          </w:tcPr>
          <w:p w:rsidR="00676AFC" w:rsidRDefault="00676AFC">
            <w:pPr>
              <w:pStyle w:val="ParaIMS"/>
              <w:spacing w:before="0"/>
              <w:jc w:val="right"/>
              <w:rPr>
                <w:rFonts w:ascii="Arial" w:hAnsi="Arial" w:cs="Arial"/>
              </w:rPr>
            </w:pPr>
            <w:r>
              <w:rPr>
                <w:rFonts w:ascii="Arial" w:hAnsi="Arial" w:cs="Arial"/>
                <w:b/>
                <w:bCs/>
                <w:szCs w:val="14"/>
              </w:rPr>
              <w:t>30.06.11</w:t>
            </w:r>
          </w:p>
        </w:tc>
      </w:tr>
      <w:tr w:rsidR="00676AFC">
        <w:tc>
          <w:tcPr>
            <w:tcW w:w="5533" w:type="dxa"/>
            <w:vAlign w:val="bottom"/>
          </w:tcPr>
          <w:p w:rsidR="00676AFC" w:rsidRDefault="00676AFC">
            <w:pPr>
              <w:pStyle w:val="ParaIMS"/>
              <w:spacing w:before="0"/>
              <w:rPr>
                <w:rFonts w:ascii="Arial" w:hAnsi="Arial" w:cs="Arial"/>
                <w:szCs w:val="15"/>
              </w:rPr>
            </w:pPr>
          </w:p>
        </w:tc>
        <w:tc>
          <w:tcPr>
            <w:tcW w:w="1773" w:type="dxa"/>
            <w:vAlign w:val="bottom"/>
          </w:tcPr>
          <w:p w:rsidR="00676AFC" w:rsidRDefault="00676AFC">
            <w:pPr>
              <w:pStyle w:val="ParaIMS"/>
              <w:spacing w:before="0"/>
              <w:jc w:val="right"/>
              <w:rPr>
                <w:rFonts w:ascii="Arial" w:hAnsi="Arial" w:cs="Arial"/>
              </w:rPr>
            </w:pPr>
            <w:r>
              <w:rPr>
                <w:rFonts w:ascii="Arial" w:hAnsi="Arial" w:cs="Arial"/>
                <w:b/>
                <w:bCs/>
                <w:szCs w:val="14"/>
              </w:rPr>
              <w:t>US Dollar shares</w:t>
            </w:r>
          </w:p>
        </w:tc>
        <w:tc>
          <w:tcPr>
            <w:tcW w:w="1582" w:type="dxa"/>
            <w:vAlign w:val="bottom"/>
          </w:tcPr>
          <w:p w:rsidR="00676AFC" w:rsidRDefault="00676AFC">
            <w:pPr>
              <w:pStyle w:val="ParaIMS"/>
              <w:spacing w:before="0"/>
              <w:jc w:val="right"/>
              <w:rPr>
                <w:rFonts w:ascii="Arial" w:hAnsi="Arial" w:cs="Arial"/>
              </w:rPr>
            </w:pPr>
            <w:r>
              <w:rPr>
                <w:rFonts w:ascii="Arial" w:hAnsi="Arial" w:cs="Arial"/>
                <w:b/>
                <w:bCs/>
                <w:szCs w:val="14"/>
              </w:rPr>
              <w:t>Euro shares</w:t>
            </w:r>
          </w:p>
        </w:tc>
        <w:tc>
          <w:tcPr>
            <w:tcW w:w="1668" w:type="dxa"/>
            <w:vAlign w:val="bottom"/>
          </w:tcPr>
          <w:p w:rsidR="00676AFC" w:rsidRDefault="00676AFC">
            <w:pPr>
              <w:pStyle w:val="ParaIMS"/>
              <w:spacing w:before="0"/>
              <w:jc w:val="right"/>
              <w:rPr>
                <w:rFonts w:ascii="Arial" w:hAnsi="Arial" w:cs="Arial"/>
              </w:rPr>
            </w:pPr>
            <w:r>
              <w:rPr>
                <w:rFonts w:ascii="Arial" w:hAnsi="Arial" w:cs="Arial"/>
                <w:b/>
                <w:bCs/>
                <w:szCs w:val="14"/>
              </w:rPr>
              <w:t>Sterling shares</w:t>
            </w:r>
          </w:p>
        </w:tc>
      </w:tr>
      <w:tr w:rsidR="00676AFC">
        <w:tc>
          <w:tcPr>
            <w:tcW w:w="5533" w:type="dxa"/>
            <w:tcBorders>
              <w:bottom w:val="single" w:sz="4" w:space="0" w:color="auto"/>
            </w:tcBorders>
            <w:vAlign w:val="bottom"/>
          </w:tcPr>
          <w:p w:rsidR="00676AFC" w:rsidRDefault="00676AFC">
            <w:pPr>
              <w:pStyle w:val="ParaIMS"/>
              <w:spacing w:before="0"/>
              <w:rPr>
                <w:rFonts w:ascii="Arial" w:hAnsi="Arial" w:cs="Arial"/>
                <w:szCs w:val="15"/>
              </w:rPr>
            </w:pPr>
          </w:p>
        </w:tc>
        <w:tc>
          <w:tcPr>
            <w:tcW w:w="1773" w:type="dxa"/>
            <w:tcBorders>
              <w:bottom w:val="single" w:sz="4" w:space="0" w:color="auto"/>
            </w:tcBorders>
            <w:vAlign w:val="bottom"/>
          </w:tcPr>
          <w:p w:rsidR="00676AFC" w:rsidRDefault="00676AFC">
            <w:pPr>
              <w:pStyle w:val="ParaIMS"/>
              <w:spacing w:before="0"/>
              <w:jc w:val="right"/>
              <w:rPr>
                <w:rFonts w:ascii="Arial" w:hAnsi="Arial" w:cs="Arial"/>
              </w:rPr>
            </w:pPr>
            <w:r>
              <w:rPr>
                <w:rFonts w:ascii="Arial" w:hAnsi="Arial" w:cs="Arial"/>
                <w:b/>
                <w:bCs/>
                <w:szCs w:val="14"/>
              </w:rPr>
              <w:t>US$’000</w:t>
            </w:r>
          </w:p>
        </w:tc>
        <w:tc>
          <w:tcPr>
            <w:tcW w:w="1582" w:type="dxa"/>
            <w:tcBorders>
              <w:bottom w:val="single" w:sz="4" w:space="0" w:color="auto"/>
            </w:tcBorders>
            <w:vAlign w:val="bottom"/>
          </w:tcPr>
          <w:p w:rsidR="00676AFC" w:rsidRDefault="00676AFC">
            <w:pPr>
              <w:pStyle w:val="ParaIMS"/>
              <w:spacing w:before="0"/>
              <w:jc w:val="right"/>
              <w:rPr>
                <w:rFonts w:ascii="Arial" w:hAnsi="Arial" w:cs="Arial"/>
              </w:rPr>
            </w:pPr>
            <w:r>
              <w:rPr>
                <w:rFonts w:ascii="Arial" w:hAnsi="Arial" w:cs="Arial"/>
                <w:b/>
                <w:bCs/>
                <w:szCs w:val="14"/>
              </w:rPr>
              <w:t>€’000</w:t>
            </w:r>
          </w:p>
        </w:tc>
        <w:tc>
          <w:tcPr>
            <w:tcW w:w="1668" w:type="dxa"/>
            <w:tcBorders>
              <w:bottom w:val="single" w:sz="4" w:space="0" w:color="auto"/>
            </w:tcBorders>
            <w:vAlign w:val="bottom"/>
          </w:tcPr>
          <w:p w:rsidR="00676AFC" w:rsidRDefault="00676AFC">
            <w:pPr>
              <w:pStyle w:val="ParaIMS"/>
              <w:spacing w:before="0"/>
              <w:jc w:val="right"/>
              <w:rPr>
                <w:rFonts w:ascii="Arial" w:hAnsi="Arial" w:cs="Arial"/>
              </w:rPr>
            </w:pPr>
            <w:r>
              <w:rPr>
                <w:rFonts w:ascii="Arial" w:hAnsi="Arial" w:cs="Arial"/>
                <w:b/>
                <w:bCs/>
                <w:szCs w:val="14"/>
              </w:rPr>
              <w:t>£’000</w:t>
            </w:r>
          </w:p>
        </w:tc>
      </w:tr>
      <w:tr w:rsidR="00676AFC">
        <w:tc>
          <w:tcPr>
            <w:tcW w:w="5533"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Supplemental data</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1582"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166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r>
      <w:tr w:rsidR="00676AFC">
        <w:tc>
          <w:tcPr>
            <w:tcW w:w="5533"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Net asset value, end of the period</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204,655</w:t>
            </w:r>
          </w:p>
        </w:tc>
        <w:tc>
          <w:tcPr>
            <w:tcW w:w="1582"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36,810</w:t>
            </w:r>
          </w:p>
        </w:tc>
        <w:tc>
          <w:tcPr>
            <w:tcW w:w="166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469,629</w:t>
            </w:r>
          </w:p>
        </w:tc>
      </w:tr>
      <w:tr w:rsidR="00676AFC">
        <w:tc>
          <w:tcPr>
            <w:tcW w:w="5533"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Average net asset value for the period</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232,888</w:t>
            </w:r>
          </w:p>
        </w:tc>
        <w:tc>
          <w:tcPr>
            <w:tcW w:w="1582"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38,747</w:t>
            </w:r>
          </w:p>
        </w:tc>
        <w:tc>
          <w:tcPr>
            <w:tcW w:w="166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454,332</w:t>
            </w:r>
          </w:p>
        </w:tc>
      </w:tr>
      <w:tr w:rsidR="00676AFC">
        <w:tc>
          <w:tcPr>
            <w:tcW w:w="5533" w:type="dxa"/>
            <w:tcBorders>
              <w:top w:val="single" w:sz="4" w:space="0" w:color="auto"/>
            </w:tcBorders>
            <w:vAlign w:val="bottom"/>
          </w:tcPr>
          <w:p w:rsidR="00676AFC" w:rsidRDefault="00676AFC">
            <w:pPr>
              <w:pStyle w:val="ParaIMS"/>
              <w:spacing w:before="0"/>
              <w:rPr>
                <w:rFonts w:ascii="Arial" w:hAnsi="Arial" w:cs="Arial"/>
              </w:rPr>
            </w:pPr>
          </w:p>
        </w:tc>
        <w:tc>
          <w:tcPr>
            <w:tcW w:w="1773" w:type="dxa"/>
            <w:tcBorders>
              <w:top w:val="single" w:sz="4" w:space="0" w:color="auto"/>
            </w:tcBorders>
            <w:vAlign w:val="bottom"/>
          </w:tcPr>
          <w:p w:rsidR="00676AFC" w:rsidRDefault="00676AFC">
            <w:pPr>
              <w:pStyle w:val="ParaIMS"/>
              <w:spacing w:before="0"/>
              <w:jc w:val="right"/>
              <w:rPr>
                <w:rFonts w:ascii="Arial" w:hAnsi="Arial" w:cs="Arial"/>
                <w:b/>
                <w:bCs/>
                <w:szCs w:val="14"/>
              </w:rPr>
            </w:pPr>
          </w:p>
        </w:tc>
        <w:tc>
          <w:tcPr>
            <w:tcW w:w="1582" w:type="dxa"/>
            <w:tcBorders>
              <w:top w:val="single" w:sz="4" w:space="0" w:color="auto"/>
            </w:tcBorders>
            <w:vAlign w:val="bottom"/>
          </w:tcPr>
          <w:p w:rsidR="00676AFC" w:rsidRDefault="00676AFC">
            <w:pPr>
              <w:pStyle w:val="ParaIMS"/>
              <w:spacing w:before="0"/>
              <w:jc w:val="right"/>
              <w:rPr>
                <w:rFonts w:ascii="Arial" w:hAnsi="Arial" w:cs="Arial"/>
                <w:b/>
                <w:bCs/>
                <w:szCs w:val="14"/>
              </w:rPr>
            </w:pPr>
          </w:p>
        </w:tc>
        <w:tc>
          <w:tcPr>
            <w:tcW w:w="1668" w:type="dxa"/>
            <w:tcBorders>
              <w:top w:val="single" w:sz="4" w:space="0" w:color="auto"/>
            </w:tcBorders>
            <w:vAlign w:val="bottom"/>
          </w:tcPr>
          <w:p w:rsidR="00676AFC" w:rsidRDefault="00676AFC">
            <w:pPr>
              <w:pStyle w:val="ParaIMS"/>
              <w:spacing w:before="0"/>
              <w:jc w:val="right"/>
              <w:rPr>
                <w:rFonts w:ascii="Arial" w:hAnsi="Arial" w:cs="Arial"/>
                <w:b/>
                <w:bCs/>
                <w:szCs w:val="14"/>
              </w:rPr>
            </w:pPr>
          </w:p>
        </w:tc>
      </w:tr>
      <w:tr w:rsidR="00676AFC">
        <w:tc>
          <w:tcPr>
            <w:tcW w:w="5533" w:type="dxa"/>
            <w:vAlign w:val="bottom"/>
          </w:tcPr>
          <w:p w:rsidR="00676AFC" w:rsidRDefault="00676AFC">
            <w:pPr>
              <w:pStyle w:val="ParaIMS"/>
              <w:spacing w:before="0"/>
              <w:rPr>
                <w:rFonts w:ascii="Arial" w:hAnsi="Arial" w:cs="Arial"/>
              </w:rPr>
            </w:pPr>
          </w:p>
        </w:tc>
        <w:tc>
          <w:tcPr>
            <w:tcW w:w="1773" w:type="dxa"/>
            <w:vAlign w:val="bottom"/>
          </w:tcPr>
          <w:p w:rsidR="00676AFC" w:rsidRDefault="00676AFC">
            <w:pPr>
              <w:pStyle w:val="ParaIMS"/>
              <w:spacing w:before="0"/>
              <w:jc w:val="right"/>
              <w:rPr>
                <w:rFonts w:ascii="Arial" w:hAnsi="Arial" w:cs="Arial"/>
              </w:rPr>
            </w:pPr>
            <w:r>
              <w:rPr>
                <w:rFonts w:ascii="Arial" w:hAnsi="Arial" w:cs="Arial"/>
                <w:b/>
                <w:bCs/>
                <w:szCs w:val="14"/>
              </w:rPr>
              <w:t>30.06.11</w:t>
            </w:r>
          </w:p>
        </w:tc>
        <w:tc>
          <w:tcPr>
            <w:tcW w:w="1582" w:type="dxa"/>
            <w:vAlign w:val="bottom"/>
          </w:tcPr>
          <w:p w:rsidR="00676AFC" w:rsidRDefault="00676AFC">
            <w:pPr>
              <w:pStyle w:val="ParaIMS"/>
              <w:spacing w:before="0"/>
              <w:jc w:val="right"/>
              <w:rPr>
                <w:rFonts w:ascii="Arial" w:hAnsi="Arial" w:cs="Arial"/>
              </w:rPr>
            </w:pPr>
            <w:r>
              <w:rPr>
                <w:rFonts w:ascii="Arial" w:hAnsi="Arial" w:cs="Arial"/>
                <w:b/>
                <w:bCs/>
                <w:szCs w:val="14"/>
              </w:rPr>
              <w:t>30.06.11</w:t>
            </w:r>
          </w:p>
        </w:tc>
        <w:tc>
          <w:tcPr>
            <w:tcW w:w="1668" w:type="dxa"/>
            <w:vAlign w:val="bottom"/>
          </w:tcPr>
          <w:p w:rsidR="00676AFC" w:rsidRDefault="00676AFC">
            <w:pPr>
              <w:pStyle w:val="ParaIMS"/>
              <w:spacing w:before="0"/>
              <w:jc w:val="right"/>
              <w:rPr>
                <w:rFonts w:ascii="Arial" w:hAnsi="Arial" w:cs="Arial"/>
              </w:rPr>
            </w:pPr>
            <w:r>
              <w:rPr>
                <w:rFonts w:ascii="Arial" w:hAnsi="Arial" w:cs="Arial"/>
                <w:b/>
                <w:bCs/>
                <w:szCs w:val="14"/>
              </w:rPr>
              <w:t>30.06.11</w:t>
            </w:r>
          </w:p>
        </w:tc>
      </w:tr>
      <w:tr w:rsidR="00676AFC">
        <w:tc>
          <w:tcPr>
            <w:tcW w:w="5533" w:type="dxa"/>
            <w:tcBorders>
              <w:bottom w:val="single" w:sz="4" w:space="0" w:color="auto"/>
            </w:tcBorders>
            <w:vAlign w:val="bottom"/>
          </w:tcPr>
          <w:p w:rsidR="00676AFC" w:rsidRDefault="00676AFC">
            <w:pPr>
              <w:pStyle w:val="ParaIMS"/>
              <w:spacing w:before="0"/>
              <w:rPr>
                <w:rFonts w:ascii="Arial" w:hAnsi="Arial" w:cs="Arial"/>
                <w:szCs w:val="15"/>
              </w:rPr>
            </w:pPr>
          </w:p>
        </w:tc>
        <w:tc>
          <w:tcPr>
            <w:tcW w:w="1773" w:type="dxa"/>
            <w:tcBorders>
              <w:bottom w:val="single" w:sz="4" w:space="0" w:color="auto"/>
            </w:tcBorders>
            <w:vAlign w:val="bottom"/>
          </w:tcPr>
          <w:p w:rsidR="00676AFC" w:rsidRDefault="00676AFC">
            <w:pPr>
              <w:pStyle w:val="ParaIMS"/>
              <w:spacing w:before="0"/>
              <w:jc w:val="right"/>
              <w:rPr>
                <w:rFonts w:ascii="Arial" w:hAnsi="Arial" w:cs="Arial"/>
              </w:rPr>
            </w:pPr>
            <w:r>
              <w:rPr>
                <w:rFonts w:ascii="Arial" w:hAnsi="Arial" w:cs="Arial"/>
                <w:b/>
                <w:bCs/>
                <w:szCs w:val="14"/>
              </w:rPr>
              <w:t>US Dollar shares</w:t>
            </w:r>
          </w:p>
        </w:tc>
        <w:tc>
          <w:tcPr>
            <w:tcW w:w="1582" w:type="dxa"/>
            <w:tcBorders>
              <w:bottom w:val="single" w:sz="4" w:space="0" w:color="auto"/>
            </w:tcBorders>
            <w:vAlign w:val="bottom"/>
          </w:tcPr>
          <w:p w:rsidR="00676AFC" w:rsidRDefault="00676AFC">
            <w:pPr>
              <w:pStyle w:val="ParaIMS"/>
              <w:spacing w:before="0"/>
              <w:jc w:val="right"/>
              <w:rPr>
                <w:rFonts w:ascii="Arial" w:hAnsi="Arial" w:cs="Arial"/>
              </w:rPr>
            </w:pPr>
            <w:r>
              <w:rPr>
                <w:rFonts w:ascii="Arial" w:hAnsi="Arial" w:cs="Arial"/>
                <w:b/>
                <w:bCs/>
                <w:szCs w:val="14"/>
              </w:rPr>
              <w:t>Euro shares</w:t>
            </w:r>
          </w:p>
        </w:tc>
        <w:tc>
          <w:tcPr>
            <w:tcW w:w="1668" w:type="dxa"/>
            <w:tcBorders>
              <w:bottom w:val="single" w:sz="4" w:space="0" w:color="auto"/>
            </w:tcBorders>
            <w:vAlign w:val="bottom"/>
          </w:tcPr>
          <w:p w:rsidR="00676AFC" w:rsidRDefault="00676AFC">
            <w:pPr>
              <w:pStyle w:val="ParaIMS"/>
              <w:spacing w:before="0"/>
              <w:jc w:val="right"/>
              <w:rPr>
                <w:rFonts w:ascii="Arial" w:hAnsi="Arial" w:cs="Arial"/>
              </w:rPr>
            </w:pPr>
            <w:r>
              <w:rPr>
                <w:rFonts w:ascii="Arial" w:hAnsi="Arial" w:cs="Arial"/>
                <w:b/>
                <w:bCs/>
                <w:szCs w:val="14"/>
              </w:rPr>
              <w:t>Sterling shares</w:t>
            </w:r>
          </w:p>
        </w:tc>
      </w:tr>
      <w:tr w:rsidR="00676AFC">
        <w:tc>
          <w:tcPr>
            <w:tcW w:w="5533"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Ratio to average net assets</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1582"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c>
          <w:tcPr>
            <w:tcW w:w="166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8"/>
              </w:rPr>
            </w:pPr>
          </w:p>
        </w:tc>
      </w:tr>
      <w:tr w:rsidR="00676AFC">
        <w:tc>
          <w:tcPr>
            <w:tcW w:w="5533"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Operating expense</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9"/>
              </w:rPr>
            </w:pPr>
          </w:p>
        </w:tc>
        <w:tc>
          <w:tcPr>
            <w:tcW w:w="1582"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9"/>
              </w:rPr>
            </w:pPr>
          </w:p>
        </w:tc>
        <w:tc>
          <w:tcPr>
            <w:tcW w:w="166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szCs w:val="19"/>
              </w:rPr>
            </w:pPr>
          </w:p>
        </w:tc>
      </w:tr>
      <w:tr w:rsidR="00676AFC">
        <w:tc>
          <w:tcPr>
            <w:tcW w:w="5533" w:type="dxa"/>
            <w:tcBorders>
              <w:top w:val="single" w:sz="4" w:space="0" w:color="auto"/>
              <w:bottom w:val="single" w:sz="4" w:space="0" w:color="auto"/>
            </w:tcBorders>
            <w:vAlign w:val="bottom"/>
          </w:tcPr>
          <w:p w:rsidR="00676AFC" w:rsidRDefault="00676AFC">
            <w:pPr>
              <w:pStyle w:val="ParaIMS"/>
              <w:spacing w:before="40"/>
              <w:ind w:left="346" w:hanging="173"/>
              <w:rPr>
                <w:rFonts w:ascii="Arial" w:hAnsi="Arial" w:cs="Arial"/>
              </w:rPr>
            </w:pPr>
            <w:r>
              <w:rPr>
                <w:rFonts w:ascii="Arial" w:hAnsi="Arial" w:cs="Arial"/>
                <w:szCs w:val="18"/>
              </w:rPr>
              <w:t>Company expenses***</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0.33%</w:t>
            </w:r>
          </w:p>
        </w:tc>
        <w:tc>
          <w:tcPr>
            <w:tcW w:w="1582"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0.30%</w:t>
            </w:r>
          </w:p>
        </w:tc>
        <w:tc>
          <w:tcPr>
            <w:tcW w:w="166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0.33%</w:t>
            </w:r>
          </w:p>
        </w:tc>
      </w:tr>
      <w:tr w:rsidR="00676AFC">
        <w:tc>
          <w:tcPr>
            <w:tcW w:w="5533" w:type="dxa"/>
            <w:tcBorders>
              <w:top w:val="single" w:sz="4" w:space="0" w:color="auto"/>
              <w:bottom w:val="single" w:sz="4" w:space="0" w:color="auto"/>
            </w:tcBorders>
            <w:vAlign w:val="bottom"/>
          </w:tcPr>
          <w:p w:rsidR="00676AFC" w:rsidRDefault="00676AFC">
            <w:pPr>
              <w:pStyle w:val="ParaIMS"/>
              <w:spacing w:before="40"/>
              <w:ind w:left="346" w:hanging="173"/>
              <w:rPr>
                <w:rFonts w:ascii="Arial" w:hAnsi="Arial" w:cs="Arial"/>
              </w:rPr>
            </w:pPr>
            <w:r>
              <w:rPr>
                <w:rFonts w:ascii="Arial" w:hAnsi="Arial" w:cs="Arial"/>
                <w:szCs w:val="18"/>
              </w:rPr>
              <w:t>BHGO expenses****</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0.01%</w:t>
            </w:r>
          </w:p>
        </w:tc>
        <w:tc>
          <w:tcPr>
            <w:tcW w:w="1582"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0.01%</w:t>
            </w:r>
          </w:p>
        </w:tc>
        <w:tc>
          <w:tcPr>
            <w:tcW w:w="166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0.01%</w:t>
            </w:r>
          </w:p>
        </w:tc>
      </w:tr>
      <w:tr w:rsidR="00676AFC">
        <w:tc>
          <w:tcPr>
            <w:tcW w:w="5533" w:type="dxa"/>
            <w:tcBorders>
              <w:top w:val="single" w:sz="4" w:space="0" w:color="auto"/>
              <w:bottom w:val="single" w:sz="4" w:space="0" w:color="auto"/>
            </w:tcBorders>
            <w:vAlign w:val="bottom"/>
          </w:tcPr>
          <w:p w:rsidR="00676AFC" w:rsidRDefault="00676AFC">
            <w:pPr>
              <w:pStyle w:val="ParaIMS"/>
              <w:spacing w:before="40"/>
              <w:rPr>
                <w:rFonts w:ascii="Arial" w:hAnsi="Arial" w:cs="Arial"/>
                <w:szCs w:val="19"/>
              </w:rPr>
            </w:pP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0.34%</w:t>
            </w:r>
          </w:p>
        </w:tc>
        <w:tc>
          <w:tcPr>
            <w:tcW w:w="1582"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0.31%</w:t>
            </w:r>
          </w:p>
        </w:tc>
        <w:tc>
          <w:tcPr>
            <w:tcW w:w="166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0.34%</w:t>
            </w:r>
          </w:p>
        </w:tc>
      </w:tr>
      <w:tr w:rsidR="00676AFC">
        <w:tc>
          <w:tcPr>
            <w:tcW w:w="5533"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Net investment loss*</w:t>
            </w:r>
          </w:p>
        </w:tc>
        <w:tc>
          <w:tcPr>
            <w:tcW w:w="177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(0.22%)</w:t>
            </w:r>
          </w:p>
        </w:tc>
        <w:tc>
          <w:tcPr>
            <w:tcW w:w="1582"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(0.30%)</w:t>
            </w:r>
          </w:p>
        </w:tc>
        <w:tc>
          <w:tcPr>
            <w:tcW w:w="1668"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(0.37%)</w:t>
            </w:r>
          </w:p>
        </w:tc>
      </w:tr>
    </w:tbl>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 xml:space="preserve">Operating expense and net investment loss are not </w:t>
      </w:r>
      <w:proofErr w:type="spellStart"/>
      <w:r>
        <w:rPr>
          <w:rFonts w:ascii="Arial" w:hAnsi="Arial" w:cs="Arial"/>
          <w:szCs w:val="18"/>
        </w:rPr>
        <w:t>annualised</w:t>
      </w:r>
      <w:proofErr w:type="spellEnd"/>
      <w:r>
        <w:rPr>
          <w:rFonts w:ascii="Arial" w:hAnsi="Arial" w:cs="Arial"/>
          <w:szCs w:val="18"/>
        </w:rPr>
        <w:t>.</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szCs w:val="18"/>
        </w:rPr>
      </w:pPr>
      <w:r>
        <w:rPr>
          <w:rFonts w:ascii="Arial" w:hAnsi="Arial" w:cs="Arial"/>
          <w:szCs w:val="18"/>
        </w:rPr>
        <w:t xml:space="preserve">* </w:t>
      </w:r>
      <w:r>
        <w:rPr>
          <w:rFonts w:ascii="Arial" w:hAnsi="Arial" w:cs="Arial"/>
          <w:b/>
          <w:bCs/>
          <w:szCs w:val="18"/>
        </w:rPr>
        <w:t xml:space="preserve">The net investment loss figures disclosed above, in the Directors’ opinion and in accordance with the Company’s investment objectives, do not reflect the Company’s overall performance. </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b/>
          <w:bCs/>
          <w:szCs w:val="18"/>
        </w:rPr>
      </w:pPr>
      <w:r>
        <w:rPr>
          <w:rFonts w:ascii="Arial" w:hAnsi="Arial" w:cs="Arial"/>
          <w:szCs w:val="18"/>
        </w:rPr>
        <w:t xml:space="preserve">** Included in other capital items are the discounts and premiums on conversions between share classes, the sale of treasury shares and capital returns as compared to the NAV per share at the beginning of the period. </w:t>
      </w:r>
    </w:p>
    <w:p w:rsidR="00676AFC" w:rsidRDefault="00676AFC">
      <w:pPr>
        <w:pStyle w:val="ParaIMS"/>
        <w:spacing w:before="0"/>
        <w:rPr>
          <w:rFonts w:ascii="Arial" w:hAnsi="Arial" w:cs="Arial"/>
          <w:b/>
          <w:bCs/>
          <w:szCs w:val="18"/>
        </w:rPr>
      </w:pPr>
    </w:p>
    <w:p w:rsidR="00676AFC" w:rsidRDefault="00676AFC">
      <w:pPr>
        <w:pStyle w:val="ParaIMS"/>
        <w:spacing w:before="0"/>
        <w:rPr>
          <w:rFonts w:ascii="Arial" w:hAnsi="Arial" w:cs="Arial"/>
          <w:b/>
          <w:bCs/>
          <w:szCs w:val="17"/>
        </w:rPr>
      </w:pPr>
      <w:r>
        <w:rPr>
          <w:rFonts w:ascii="Arial" w:hAnsi="Arial" w:cs="Arial"/>
          <w:szCs w:val="17"/>
        </w:rPr>
        <w:t xml:space="preserve">*** Company expenses are as disclosed in the Unaudited Statement of Operations, excluding foreign exchange losses on consolidation. </w:t>
      </w:r>
    </w:p>
    <w:p w:rsidR="00676AFC" w:rsidRDefault="00676AFC">
      <w:pPr>
        <w:pStyle w:val="ParaIMS"/>
        <w:spacing w:before="0"/>
        <w:rPr>
          <w:rFonts w:ascii="Arial" w:hAnsi="Arial" w:cs="Arial"/>
          <w:b/>
          <w:bCs/>
          <w:szCs w:val="17"/>
        </w:rPr>
      </w:pPr>
    </w:p>
    <w:p w:rsidR="00676AFC" w:rsidRDefault="00676AFC">
      <w:pPr>
        <w:pStyle w:val="ParaIMS"/>
        <w:spacing w:before="0"/>
        <w:rPr>
          <w:rFonts w:ascii="Arial" w:hAnsi="Arial" w:cs="Arial"/>
          <w:b/>
          <w:bCs/>
          <w:szCs w:val="18"/>
        </w:rPr>
      </w:pPr>
      <w:r>
        <w:rPr>
          <w:rFonts w:ascii="Arial" w:hAnsi="Arial" w:cs="Arial"/>
          <w:szCs w:val="18"/>
        </w:rPr>
        <w:t xml:space="preserve">**** BHGO expenses are the operating expenses of BHGO. </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12. Subsequent events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Management has evaluated subsequent events up to 22 August 2012, which is the date that the Interim Unaudited Financial Statements were available to be issued, and has concluded there are no further items that require disclosure or adjustment to the Interim Unaudited Financial Statements.</w:t>
      </w:r>
    </w:p>
    <w:p w:rsidR="00676AFC" w:rsidRDefault="00676AFC">
      <w:pPr>
        <w:pStyle w:val="ParaIMS"/>
        <w:spacing w:before="0"/>
        <w:rPr>
          <w:rFonts w:ascii="Arial" w:hAnsi="Arial" w:cs="Arial"/>
        </w:rPr>
      </w:pPr>
    </w:p>
    <w:p w:rsidR="009866B4" w:rsidRDefault="009866B4">
      <w:pPr>
        <w:pStyle w:val="ParaIMS"/>
        <w:spacing w:before="0"/>
        <w:rPr>
          <w:rFonts w:ascii="Arial" w:hAnsi="Arial" w:cs="Arial"/>
        </w:rPr>
      </w:pPr>
    </w:p>
    <w:p w:rsidR="00676AFC" w:rsidRDefault="00676AFC">
      <w:pPr>
        <w:pStyle w:val="ParaIMS"/>
        <w:spacing w:before="0"/>
        <w:rPr>
          <w:rFonts w:ascii="Arial" w:hAnsi="Arial" w:cs="Arial"/>
          <w:b/>
          <w:bCs/>
        </w:rPr>
      </w:pPr>
      <w:r>
        <w:rPr>
          <w:rFonts w:ascii="Arial" w:hAnsi="Arial" w:cs="Arial"/>
          <w:b/>
          <w:bCs/>
        </w:rPr>
        <w:t>Historic Performance Summary</w:t>
      </w:r>
    </w:p>
    <w:p w:rsidR="00676AFC" w:rsidRDefault="00676AFC">
      <w:pPr>
        <w:pStyle w:val="ParaIMS"/>
        <w:spacing w:before="0"/>
        <w:rPr>
          <w:rFonts w:ascii="Arial" w:hAnsi="Arial" w:cs="Arial"/>
        </w:rPr>
      </w:pPr>
      <w:r>
        <w:rPr>
          <w:rFonts w:ascii="Arial" w:hAnsi="Arial" w:cs="Arial"/>
          <w:szCs w:val="18"/>
        </w:rPr>
        <w:t>As at 30 June 2012</w:t>
      </w:r>
    </w:p>
    <w:p w:rsidR="00676AFC" w:rsidRDefault="00676AFC">
      <w:pPr>
        <w:pStyle w:val="ParaIMS"/>
        <w:spacing w:before="0"/>
        <w:rPr>
          <w:rFonts w:ascii="Arial" w:hAnsi="Arial" w:cs="Arial"/>
        </w:rPr>
      </w:pPr>
    </w:p>
    <w:tbl>
      <w:tblPr>
        <w:tblW w:w="5000" w:type="pct"/>
        <w:tblLayout w:type="fixed"/>
        <w:tblCellMar>
          <w:left w:w="0" w:type="dxa"/>
          <w:right w:w="0" w:type="dxa"/>
        </w:tblCellMar>
        <w:tblLook w:val="0000"/>
      </w:tblPr>
      <w:tblGrid>
        <w:gridCol w:w="5140"/>
        <w:gridCol w:w="1347"/>
        <w:gridCol w:w="1363"/>
        <w:gridCol w:w="1384"/>
        <w:gridCol w:w="1306"/>
      </w:tblGrid>
      <w:tr w:rsidR="00676AFC" w:rsidTr="00952882">
        <w:tc>
          <w:tcPr>
            <w:tcW w:w="5140" w:type="dxa"/>
            <w:vAlign w:val="bottom"/>
          </w:tcPr>
          <w:p w:rsidR="00676AFC" w:rsidRDefault="00676AFC">
            <w:pPr>
              <w:pStyle w:val="ParaIMS"/>
              <w:spacing w:before="40"/>
              <w:rPr>
                <w:rFonts w:ascii="Arial" w:hAnsi="Arial" w:cs="Arial"/>
                <w:szCs w:val="14"/>
              </w:rPr>
            </w:pPr>
          </w:p>
        </w:tc>
        <w:tc>
          <w:tcPr>
            <w:tcW w:w="1347" w:type="dxa"/>
            <w:vAlign w:val="bottom"/>
          </w:tcPr>
          <w:p w:rsidR="00952882" w:rsidRPr="00952882" w:rsidRDefault="00676AFC" w:rsidP="00952882">
            <w:pPr>
              <w:pStyle w:val="ParaIMS"/>
              <w:spacing w:before="40"/>
              <w:jc w:val="right"/>
              <w:rPr>
                <w:rFonts w:ascii="Arial" w:hAnsi="Arial" w:cs="Arial"/>
                <w:b/>
                <w:bCs/>
                <w:szCs w:val="14"/>
              </w:rPr>
            </w:pPr>
            <w:r>
              <w:rPr>
                <w:rFonts w:ascii="Arial" w:hAnsi="Arial" w:cs="Arial"/>
                <w:b/>
                <w:bCs/>
                <w:szCs w:val="14"/>
              </w:rPr>
              <w:t>30.06.12*</w:t>
            </w:r>
          </w:p>
        </w:tc>
        <w:tc>
          <w:tcPr>
            <w:tcW w:w="1363" w:type="dxa"/>
            <w:vAlign w:val="bottom"/>
          </w:tcPr>
          <w:p w:rsidR="00676AFC" w:rsidRDefault="00676AFC">
            <w:pPr>
              <w:pStyle w:val="ParaIMS"/>
              <w:spacing w:before="40"/>
              <w:jc w:val="right"/>
              <w:rPr>
                <w:rFonts w:ascii="Arial" w:hAnsi="Arial" w:cs="Arial"/>
              </w:rPr>
            </w:pPr>
            <w:r>
              <w:rPr>
                <w:rFonts w:ascii="Arial" w:hAnsi="Arial" w:cs="Arial"/>
                <w:b/>
                <w:bCs/>
                <w:szCs w:val="14"/>
              </w:rPr>
              <w:t>31.12.11</w:t>
            </w:r>
          </w:p>
        </w:tc>
        <w:tc>
          <w:tcPr>
            <w:tcW w:w="1384" w:type="dxa"/>
            <w:vAlign w:val="bottom"/>
          </w:tcPr>
          <w:p w:rsidR="00676AFC" w:rsidRDefault="00676AFC">
            <w:pPr>
              <w:pStyle w:val="ParaIMS"/>
              <w:spacing w:before="40"/>
              <w:jc w:val="right"/>
              <w:rPr>
                <w:rFonts w:ascii="Arial" w:hAnsi="Arial" w:cs="Arial"/>
              </w:rPr>
            </w:pPr>
            <w:r>
              <w:rPr>
                <w:rFonts w:ascii="Arial" w:hAnsi="Arial" w:cs="Arial"/>
                <w:b/>
                <w:bCs/>
                <w:szCs w:val="14"/>
              </w:rPr>
              <w:t>31.12.10</w:t>
            </w:r>
          </w:p>
        </w:tc>
        <w:tc>
          <w:tcPr>
            <w:tcW w:w="1306" w:type="dxa"/>
            <w:vAlign w:val="bottom"/>
          </w:tcPr>
          <w:p w:rsidR="00676AFC" w:rsidRDefault="00676AFC">
            <w:pPr>
              <w:pStyle w:val="ParaIMS"/>
              <w:spacing w:before="40"/>
              <w:jc w:val="right"/>
              <w:rPr>
                <w:rFonts w:ascii="Arial" w:hAnsi="Arial" w:cs="Arial"/>
              </w:rPr>
            </w:pPr>
            <w:r>
              <w:rPr>
                <w:rFonts w:ascii="Arial" w:hAnsi="Arial" w:cs="Arial"/>
                <w:b/>
                <w:bCs/>
                <w:szCs w:val="14"/>
              </w:rPr>
              <w:t>31.12.09</w:t>
            </w:r>
          </w:p>
        </w:tc>
      </w:tr>
      <w:tr w:rsidR="00952882" w:rsidTr="00952882">
        <w:tc>
          <w:tcPr>
            <w:tcW w:w="5140" w:type="dxa"/>
            <w:vAlign w:val="bottom"/>
          </w:tcPr>
          <w:p w:rsidR="00952882" w:rsidRDefault="00952882">
            <w:pPr>
              <w:pStyle w:val="ParaIMS"/>
              <w:spacing w:before="40"/>
              <w:rPr>
                <w:rFonts w:ascii="Arial" w:hAnsi="Arial" w:cs="Arial"/>
                <w:szCs w:val="14"/>
              </w:rPr>
            </w:pPr>
          </w:p>
        </w:tc>
        <w:tc>
          <w:tcPr>
            <w:tcW w:w="1347" w:type="dxa"/>
            <w:vAlign w:val="bottom"/>
          </w:tcPr>
          <w:p w:rsidR="00952882" w:rsidRDefault="00BB79C3" w:rsidP="00BB79C3">
            <w:pPr>
              <w:pStyle w:val="ParaIMS"/>
              <w:spacing w:before="40"/>
              <w:jc w:val="right"/>
              <w:rPr>
                <w:rFonts w:ascii="Arial" w:hAnsi="Arial" w:cs="Arial"/>
                <w:b/>
                <w:bCs/>
                <w:szCs w:val="14"/>
              </w:rPr>
            </w:pPr>
            <w:r>
              <w:rPr>
                <w:rFonts w:ascii="Arial" w:hAnsi="Arial" w:cs="Arial"/>
                <w:b/>
                <w:bCs/>
                <w:szCs w:val="14"/>
              </w:rPr>
              <w:t>(Unaudited)</w:t>
            </w:r>
          </w:p>
        </w:tc>
        <w:tc>
          <w:tcPr>
            <w:tcW w:w="1363" w:type="dxa"/>
            <w:vAlign w:val="bottom"/>
          </w:tcPr>
          <w:p w:rsidR="00952882" w:rsidRDefault="00BB79C3" w:rsidP="00BB79C3">
            <w:pPr>
              <w:pStyle w:val="ParaIMS"/>
              <w:spacing w:before="40"/>
              <w:jc w:val="right"/>
              <w:rPr>
                <w:rFonts w:ascii="Arial" w:hAnsi="Arial" w:cs="Arial"/>
                <w:b/>
                <w:bCs/>
                <w:szCs w:val="14"/>
              </w:rPr>
            </w:pPr>
            <w:r>
              <w:rPr>
                <w:rFonts w:ascii="Arial" w:hAnsi="Arial" w:cs="Arial"/>
                <w:b/>
                <w:bCs/>
                <w:szCs w:val="14"/>
              </w:rPr>
              <w:t>(Audited)</w:t>
            </w:r>
          </w:p>
        </w:tc>
        <w:tc>
          <w:tcPr>
            <w:tcW w:w="1384" w:type="dxa"/>
            <w:vAlign w:val="bottom"/>
          </w:tcPr>
          <w:p w:rsidR="00952882" w:rsidRDefault="00BB79C3">
            <w:pPr>
              <w:pStyle w:val="ParaIMS"/>
              <w:spacing w:before="40"/>
              <w:jc w:val="right"/>
              <w:rPr>
                <w:rFonts w:ascii="Arial" w:hAnsi="Arial" w:cs="Arial"/>
                <w:b/>
                <w:bCs/>
                <w:szCs w:val="14"/>
              </w:rPr>
            </w:pPr>
            <w:r>
              <w:rPr>
                <w:rFonts w:ascii="Arial" w:hAnsi="Arial" w:cs="Arial"/>
                <w:b/>
                <w:bCs/>
                <w:szCs w:val="14"/>
              </w:rPr>
              <w:t>(Audited)</w:t>
            </w:r>
          </w:p>
        </w:tc>
        <w:tc>
          <w:tcPr>
            <w:tcW w:w="1306" w:type="dxa"/>
            <w:vAlign w:val="bottom"/>
          </w:tcPr>
          <w:p w:rsidR="00952882" w:rsidRDefault="00BB79C3">
            <w:pPr>
              <w:pStyle w:val="ParaIMS"/>
              <w:spacing w:before="40"/>
              <w:jc w:val="right"/>
              <w:rPr>
                <w:rFonts w:ascii="Arial" w:hAnsi="Arial" w:cs="Arial"/>
                <w:b/>
                <w:bCs/>
                <w:szCs w:val="14"/>
              </w:rPr>
            </w:pPr>
            <w:r>
              <w:rPr>
                <w:rFonts w:ascii="Arial" w:hAnsi="Arial" w:cs="Arial"/>
                <w:b/>
                <w:bCs/>
                <w:szCs w:val="14"/>
              </w:rPr>
              <w:t>(Audited)</w:t>
            </w:r>
          </w:p>
        </w:tc>
      </w:tr>
      <w:tr w:rsidR="00676AFC" w:rsidTr="00952882">
        <w:tc>
          <w:tcPr>
            <w:tcW w:w="5140" w:type="dxa"/>
            <w:tcBorders>
              <w:bottom w:val="single" w:sz="4" w:space="0" w:color="auto"/>
            </w:tcBorders>
            <w:vAlign w:val="bottom"/>
          </w:tcPr>
          <w:p w:rsidR="00676AFC" w:rsidRDefault="00676AFC">
            <w:pPr>
              <w:pStyle w:val="ParaIMS"/>
              <w:spacing w:before="40"/>
              <w:rPr>
                <w:rFonts w:ascii="Arial" w:hAnsi="Arial" w:cs="Arial"/>
                <w:szCs w:val="15"/>
              </w:rPr>
            </w:pPr>
          </w:p>
        </w:tc>
        <w:tc>
          <w:tcPr>
            <w:tcW w:w="1347"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US$’000</w:t>
            </w:r>
          </w:p>
        </w:tc>
        <w:tc>
          <w:tcPr>
            <w:tcW w:w="1363"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US$’000</w:t>
            </w:r>
          </w:p>
        </w:tc>
        <w:tc>
          <w:tcPr>
            <w:tcW w:w="1384"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US$’000</w:t>
            </w:r>
          </w:p>
        </w:tc>
        <w:tc>
          <w:tcPr>
            <w:tcW w:w="1306" w:type="dxa"/>
            <w:tcBorders>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4"/>
              </w:rPr>
              <w:t>US$’000</w:t>
            </w:r>
          </w:p>
        </w:tc>
      </w:tr>
      <w:tr w:rsidR="00676AFC" w:rsidTr="00952882">
        <w:tc>
          <w:tcPr>
            <w:tcW w:w="5140" w:type="dxa"/>
            <w:tcBorders>
              <w:top w:val="single" w:sz="4" w:space="0" w:color="auto"/>
              <w:bottom w:val="single" w:sz="4" w:space="0" w:color="auto"/>
            </w:tcBorders>
            <w:vAlign w:val="bottom"/>
          </w:tcPr>
          <w:p w:rsidR="00676AFC" w:rsidRDefault="00676AFC">
            <w:pPr>
              <w:pStyle w:val="ParaIMS"/>
              <w:spacing w:before="40"/>
              <w:ind w:left="173" w:hanging="173"/>
              <w:rPr>
                <w:rFonts w:ascii="Arial" w:hAnsi="Arial" w:cs="Arial"/>
              </w:rPr>
            </w:pPr>
            <w:r>
              <w:rPr>
                <w:rFonts w:ascii="Arial" w:hAnsi="Arial" w:cs="Arial"/>
                <w:b/>
                <w:bCs/>
                <w:szCs w:val="18"/>
              </w:rPr>
              <w:t>Net increase/(decrease) in net assets resulting from operations</w:t>
            </w:r>
          </w:p>
        </w:tc>
        <w:tc>
          <w:tcPr>
            <w:tcW w:w="1347"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8,323</w:t>
            </w:r>
          </w:p>
        </w:tc>
        <w:tc>
          <w:tcPr>
            <w:tcW w:w="136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39,147</w:t>
            </w:r>
          </w:p>
        </w:tc>
        <w:tc>
          <w:tcPr>
            <w:tcW w:w="13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(13,348)</w:t>
            </w:r>
          </w:p>
        </w:tc>
        <w:tc>
          <w:tcPr>
            <w:tcW w:w="130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166,593</w:t>
            </w:r>
          </w:p>
        </w:tc>
      </w:tr>
      <w:tr w:rsidR="00676AFC" w:rsidTr="00952882">
        <w:tc>
          <w:tcPr>
            <w:tcW w:w="5140"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Total assets</w:t>
            </w:r>
          </w:p>
        </w:tc>
        <w:tc>
          <w:tcPr>
            <w:tcW w:w="1347"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1,009,433</w:t>
            </w:r>
          </w:p>
        </w:tc>
        <w:tc>
          <w:tcPr>
            <w:tcW w:w="136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1,000,993</w:t>
            </w:r>
          </w:p>
        </w:tc>
        <w:tc>
          <w:tcPr>
            <w:tcW w:w="13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979,050</w:t>
            </w:r>
          </w:p>
        </w:tc>
        <w:tc>
          <w:tcPr>
            <w:tcW w:w="130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992,245</w:t>
            </w:r>
          </w:p>
        </w:tc>
      </w:tr>
      <w:tr w:rsidR="00676AFC" w:rsidTr="00952882">
        <w:tc>
          <w:tcPr>
            <w:tcW w:w="5140"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Total liabilities</w:t>
            </w:r>
          </w:p>
        </w:tc>
        <w:tc>
          <w:tcPr>
            <w:tcW w:w="1347"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(45,712)</w:t>
            </w:r>
          </w:p>
        </w:tc>
        <w:tc>
          <w:tcPr>
            <w:tcW w:w="136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(628)</w:t>
            </w:r>
          </w:p>
        </w:tc>
        <w:tc>
          <w:tcPr>
            <w:tcW w:w="13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(885)</w:t>
            </w:r>
          </w:p>
        </w:tc>
        <w:tc>
          <w:tcPr>
            <w:tcW w:w="130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(732)</w:t>
            </w:r>
          </w:p>
        </w:tc>
      </w:tr>
      <w:tr w:rsidR="00676AFC" w:rsidTr="00952882">
        <w:tc>
          <w:tcPr>
            <w:tcW w:w="5140"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Net assets</w:t>
            </w:r>
          </w:p>
        </w:tc>
        <w:tc>
          <w:tcPr>
            <w:tcW w:w="1347"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963,721</w:t>
            </w:r>
          </w:p>
        </w:tc>
        <w:tc>
          <w:tcPr>
            <w:tcW w:w="136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1,000,365</w:t>
            </w:r>
          </w:p>
        </w:tc>
        <w:tc>
          <w:tcPr>
            <w:tcW w:w="13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978,165</w:t>
            </w:r>
          </w:p>
        </w:tc>
        <w:tc>
          <w:tcPr>
            <w:tcW w:w="130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b/>
                <w:bCs/>
                <w:szCs w:val="18"/>
              </w:rPr>
              <w:t>991,513</w:t>
            </w:r>
          </w:p>
        </w:tc>
      </w:tr>
      <w:tr w:rsidR="00676AFC" w:rsidTr="00952882">
        <w:tc>
          <w:tcPr>
            <w:tcW w:w="5140" w:type="dxa"/>
            <w:tcBorders>
              <w:top w:val="single" w:sz="4" w:space="0" w:color="auto"/>
            </w:tcBorders>
            <w:vAlign w:val="bottom"/>
          </w:tcPr>
          <w:p w:rsidR="00676AFC" w:rsidRDefault="00676AFC">
            <w:pPr>
              <w:pStyle w:val="ParaIMS"/>
              <w:spacing w:before="40"/>
              <w:rPr>
                <w:rFonts w:ascii="Arial" w:hAnsi="Arial" w:cs="Arial"/>
                <w:b/>
                <w:bCs/>
                <w:szCs w:val="18"/>
              </w:rPr>
            </w:pPr>
          </w:p>
        </w:tc>
        <w:tc>
          <w:tcPr>
            <w:tcW w:w="1347" w:type="dxa"/>
            <w:tcBorders>
              <w:top w:val="single" w:sz="4" w:space="0" w:color="auto"/>
            </w:tcBorders>
            <w:vAlign w:val="bottom"/>
          </w:tcPr>
          <w:p w:rsidR="00676AFC" w:rsidRDefault="00676AFC">
            <w:pPr>
              <w:pStyle w:val="ParaIMS"/>
              <w:spacing w:before="40"/>
              <w:jc w:val="right"/>
              <w:rPr>
                <w:rFonts w:ascii="Arial" w:hAnsi="Arial" w:cs="Arial"/>
              </w:rPr>
            </w:pPr>
          </w:p>
        </w:tc>
        <w:tc>
          <w:tcPr>
            <w:tcW w:w="1363" w:type="dxa"/>
            <w:tcBorders>
              <w:top w:val="single" w:sz="4" w:space="0" w:color="auto"/>
            </w:tcBorders>
            <w:vAlign w:val="bottom"/>
          </w:tcPr>
          <w:p w:rsidR="00676AFC" w:rsidRDefault="00676AFC">
            <w:pPr>
              <w:pStyle w:val="ParaIMS"/>
              <w:spacing w:before="40"/>
              <w:jc w:val="right"/>
              <w:rPr>
                <w:rFonts w:ascii="Arial" w:hAnsi="Arial" w:cs="Arial"/>
              </w:rPr>
            </w:pPr>
          </w:p>
        </w:tc>
        <w:tc>
          <w:tcPr>
            <w:tcW w:w="1384" w:type="dxa"/>
            <w:tcBorders>
              <w:top w:val="single" w:sz="4" w:space="0" w:color="auto"/>
            </w:tcBorders>
            <w:vAlign w:val="bottom"/>
          </w:tcPr>
          <w:p w:rsidR="00676AFC" w:rsidRDefault="00676AFC">
            <w:pPr>
              <w:pStyle w:val="ParaIMS"/>
              <w:spacing w:before="40"/>
              <w:jc w:val="right"/>
              <w:rPr>
                <w:rFonts w:ascii="Arial" w:hAnsi="Arial" w:cs="Arial"/>
              </w:rPr>
            </w:pPr>
          </w:p>
        </w:tc>
        <w:tc>
          <w:tcPr>
            <w:tcW w:w="1306" w:type="dxa"/>
            <w:tcBorders>
              <w:top w:val="single" w:sz="4" w:space="0" w:color="auto"/>
            </w:tcBorders>
            <w:vAlign w:val="bottom"/>
          </w:tcPr>
          <w:p w:rsidR="00676AFC" w:rsidRDefault="00676AFC">
            <w:pPr>
              <w:pStyle w:val="ParaIMS"/>
              <w:spacing w:before="40"/>
              <w:jc w:val="right"/>
              <w:rPr>
                <w:rFonts w:ascii="Arial" w:hAnsi="Arial" w:cs="Arial"/>
              </w:rPr>
            </w:pPr>
          </w:p>
        </w:tc>
      </w:tr>
      <w:tr w:rsidR="00676AFC" w:rsidTr="00952882">
        <w:tc>
          <w:tcPr>
            <w:tcW w:w="5140" w:type="dxa"/>
            <w:tcBorders>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Number of shares in issue</w:t>
            </w:r>
          </w:p>
        </w:tc>
        <w:tc>
          <w:tcPr>
            <w:tcW w:w="1347" w:type="dxa"/>
            <w:tcBorders>
              <w:bottom w:val="single" w:sz="4" w:space="0" w:color="auto"/>
            </w:tcBorders>
            <w:vAlign w:val="bottom"/>
          </w:tcPr>
          <w:p w:rsidR="00676AFC" w:rsidRDefault="00676AFC">
            <w:pPr>
              <w:pStyle w:val="ParaIMS"/>
              <w:spacing w:before="40"/>
              <w:jc w:val="right"/>
              <w:rPr>
                <w:rFonts w:ascii="Arial" w:hAnsi="Arial" w:cs="Arial"/>
              </w:rPr>
            </w:pPr>
          </w:p>
        </w:tc>
        <w:tc>
          <w:tcPr>
            <w:tcW w:w="1363" w:type="dxa"/>
            <w:tcBorders>
              <w:bottom w:val="single" w:sz="4" w:space="0" w:color="auto"/>
            </w:tcBorders>
            <w:vAlign w:val="bottom"/>
          </w:tcPr>
          <w:p w:rsidR="00676AFC" w:rsidRDefault="00676AFC">
            <w:pPr>
              <w:pStyle w:val="ParaIMS"/>
              <w:spacing w:before="40"/>
              <w:jc w:val="right"/>
              <w:rPr>
                <w:rFonts w:ascii="Arial" w:hAnsi="Arial" w:cs="Arial"/>
              </w:rPr>
            </w:pPr>
          </w:p>
        </w:tc>
        <w:tc>
          <w:tcPr>
            <w:tcW w:w="1384" w:type="dxa"/>
            <w:tcBorders>
              <w:bottom w:val="single" w:sz="4" w:space="0" w:color="auto"/>
            </w:tcBorders>
            <w:vAlign w:val="bottom"/>
          </w:tcPr>
          <w:p w:rsidR="00676AFC" w:rsidRDefault="00676AFC">
            <w:pPr>
              <w:pStyle w:val="ParaIMS"/>
              <w:spacing w:before="40"/>
              <w:jc w:val="right"/>
              <w:rPr>
                <w:rFonts w:ascii="Arial" w:hAnsi="Arial" w:cs="Arial"/>
              </w:rPr>
            </w:pPr>
          </w:p>
        </w:tc>
        <w:tc>
          <w:tcPr>
            <w:tcW w:w="1306" w:type="dxa"/>
            <w:tcBorders>
              <w:bottom w:val="single" w:sz="4" w:space="0" w:color="auto"/>
            </w:tcBorders>
            <w:vAlign w:val="bottom"/>
          </w:tcPr>
          <w:p w:rsidR="00676AFC" w:rsidRDefault="00676AFC">
            <w:pPr>
              <w:pStyle w:val="ParaIMS"/>
              <w:spacing w:before="40"/>
              <w:jc w:val="right"/>
              <w:rPr>
                <w:rFonts w:ascii="Arial" w:hAnsi="Arial" w:cs="Arial"/>
              </w:rPr>
            </w:pPr>
          </w:p>
        </w:tc>
      </w:tr>
      <w:tr w:rsidR="00676AFC" w:rsidTr="00952882">
        <w:tc>
          <w:tcPr>
            <w:tcW w:w="5140"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szCs w:val="18"/>
              </w:rPr>
              <w:t>US Dollar shares</w:t>
            </w:r>
          </w:p>
        </w:tc>
        <w:tc>
          <w:tcPr>
            <w:tcW w:w="1347"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14,642,562</w:t>
            </w:r>
          </w:p>
        </w:tc>
        <w:tc>
          <w:tcPr>
            <w:tcW w:w="136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15,185,614</w:t>
            </w:r>
          </w:p>
        </w:tc>
        <w:tc>
          <w:tcPr>
            <w:tcW w:w="13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21,859,989</w:t>
            </w:r>
          </w:p>
        </w:tc>
        <w:tc>
          <w:tcPr>
            <w:tcW w:w="130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26,766,139</w:t>
            </w:r>
          </w:p>
        </w:tc>
      </w:tr>
      <w:tr w:rsidR="00676AFC" w:rsidTr="00952882">
        <w:tc>
          <w:tcPr>
            <w:tcW w:w="5140"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szCs w:val="18"/>
              </w:rPr>
              <w:t>Euro shares</w:t>
            </w:r>
          </w:p>
        </w:tc>
        <w:tc>
          <w:tcPr>
            <w:tcW w:w="1347"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2,616,585</w:t>
            </w:r>
          </w:p>
        </w:tc>
        <w:tc>
          <w:tcPr>
            <w:tcW w:w="136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2,919,762</w:t>
            </w:r>
          </w:p>
        </w:tc>
        <w:tc>
          <w:tcPr>
            <w:tcW w:w="13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3,333,754</w:t>
            </w:r>
          </w:p>
        </w:tc>
        <w:tc>
          <w:tcPr>
            <w:tcW w:w="130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5,392,188</w:t>
            </w:r>
          </w:p>
        </w:tc>
      </w:tr>
      <w:tr w:rsidR="00676AFC" w:rsidTr="00952882">
        <w:tc>
          <w:tcPr>
            <w:tcW w:w="5140"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szCs w:val="18"/>
              </w:rPr>
              <w:t>Sterling shares</w:t>
            </w:r>
          </w:p>
        </w:tc>
        <w:tc>
          <w:tcPr>
            <w:tcW w:w="1347"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38,155,265</w:t>
            </w:r>
          </w:p>
        </w:tc>
        <w:tc>
          <w:tcPr>
            <w:tcW w:w="136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39,910,912</w:t>
            </w:r>
          </w:p>
        </w:tc>
        <w:tc>
          <w:tcPr>
            <w:tcW w:w="13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36,417,607</w:t>
            </w:r>
          </w:p>
        </w:tc>
        <w:tc>
          <w:tcPr>
            <w:tcW w:w="130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31,461,725</w:t>
            </w:r>
          </w:p>
        </w:tc>
      </w:tr>
      <w:tr w:rsidR="00676AFC" w:rsidTr="00952882">
        <w:tc>
          <w:tcPr>
            <w:tcW w:w="5140" w:type="dxa"/>
            <w:tcBorders>
              <w:top w:val="single" w:sz="4" w:space="0" w:color="auto"/>
            </w:tcBorders>
            <w:vAlign w:val="bottom"/>
          </w:tcPr>
          <w:p w:rsidR="00676AFC" w:rsidRDefault="00676AFC">
            <w:pPr>
              <w:pStyle w:val="ParaIMS"/>
              <w:spacing w:before="40"/>
              <w:rPr>
                <w:rFonts w:ascii="Arial" w:hAnsi="Arial" w:cs="Arial"/>
                <w:b/>
                <w:bCs/>
                <w:szCs w:val="18"/>
              </w:rPr>
            </w:pPr>
          </w:p>
        </w:tc>
        <w:tc>
          <w:tcPr>
            <w:tcW w:w="1347" w:type="dxa"/>
            <w:tcBorders>
              <w:top w:val="single" w:sz="4" w:space="0" w:color="auto"/>
            </w:tcBorders>
            <w:vAlign w:val="bottom"/>
          </w:tcPr>
          <w:p w:rsidR="00676AFC" w:rsidRDefault="00676AFC">
            <w:pPr>
              <w:pStyle w:val="ParaIMS"/>
              <w:spacing w:before="40"/>
              <w:jc w:val="right"/>
              <w:rPr>
                <w:rFonts w:ascii="Arial" w:hAnsi="Arial" w:cs="Arial"/>
              </w:rPr>
            </w:pPr>
          </w:p>
        </w:tc>
        <w:tc>
          <w:tcPr>
            <w:tcW w:w="1363" w:type="dxa"/>
            <w:tcBorders>
              <w:top w:val="single" w:sz="4" w:space="0" w:color="auto"/>
            </w:tcBorders>
            <w:vAlign w:val="bottom"/>
          </w:tcPr>
          <w:p w:rsidR="00676AFC" w:rsidRDefault="00676AFC">
            <w:pPr>
              <w:pStyle w:val="ParaIMS"/>
              <w:spacing w:before="40"/>
              <w:jc w:val="right"/>
              <w:rPr>
                <w:rFonts w:ascii="Arial" w:hAnsi="Arial" w:cs="Arial"/>
              </w:rPr>
            </w:pPr>
          </w:p>
        </w:tc>
        <w:tc>
          <w:tcPr>
            <w:tcW w:w="1384" w:type="dxa"/>
            <w:tcBorders>
              <w:top w:val="single" w:sz="4" w:space="0" w:color="auto"/>
            </w:tcBorders>
            <w:vAlign w:val="bottom"/>
          </w:tcPr>
          <w:p w:rsidR="00676AFC" w:rsidRDefault="00676AFC">
            <w:pPr>
              <w:pStyle w:val="ParaIMS"/>
              <w:spacing w:before="40"/>
              <w:jc w:val="right"/>
              <w:rPr>
                <w:rFonts w:ascii="Arial" w:hAnsi="Arial" w:cs="Arial"/>
              </w:rPr>
            </w:pPr>
          </w:p>
        </w:tc>
        <w:tc>
          <w:tcPr>
            <w:tcW w:w="1306" w:type="dxa"/>
            <w:tcBorders>
              <w:top w:val="single" w:sz="4" w:space="0" w:color="auto"/>
            </w:tcBorders>
            <w:vAlign w:val="bottom"/>
          </w:tcPr>
          <w:p w:rsidR="00676AFC" w:rsidRDefault="00676AFC">
            <w:pPr>
              <w:pStyle w:val="ParaIMS"/>
              <w:spacing w:before="40"/>
              <w:jc w:val="right"/>
              <w:rPr>
                <w:rFonts w:ascii="Arial" w:hAnsi="Arial" w:cs="Arial"/>
              </w:rPr>
            </w:pPr>
          </w:p>
        </w:tc>
      </w:tr>
      <w:tr w:rsidR="00676AFC" w:rsidTr="00952882">
        <w:tc>
          <w:tcPr>
            <w:tcW w:w="5140" w:type="dxa"/>
            <w:tcBorders>
              <w:bottom w:val="single" w:sz="4" w:space="0" w:color="auto"/>
            </w:tcBorders>
            <w:vAlign w:val="bottom"/>
          </w:tcPr>
          <w:p w:rsidR="00676AFC" w:rsidRDefault="00676AFC">
            <w:pPr>
              <w:pStyle w:val="ParaIMS"/>
              <w:spacing w:before="40"/>
              <w:rPr>
                <w:rFonts w:ascii="Arial" w:hAnsi="Arial" w:cs="Arial"/>
              </w:rPr>
            </w:pPr>
            <w:r>
              <w:rPr>
                <w:rFonts w:ascii="Arial" w:hAnsi="Arial" w:cs="Arial"/>
                <w:b/>
                <w:bCs/>
                <w:szCs w:val="18"/>
              </w:rPr>
              <w:t>Net asset value per share</w:t>
            </w:r>
          </w:p>
        </w:tc>
        <w:tc>
          <w:tcPr>
            <w:tcW w:w="1347" w:type="dxa"/>
            <w:tcBorders>
              <w:bottom w:val="single" w:sz="4" w:space="0" w:color="auto"/>
            </w:tcBorders>
            <w:vAlign w:val="bottom"/>
          </w:tcPr>
          <w:p w:rsidR="00676AFC" w:rsidRDefault="00676AFC">
            <w:pPr>
              <w:pStyle w:val="ParaIMS"/>
              <w:spacing w:before="40"/>
              <w:jc w:val="right"/>
              <w:rPr>
                <w:rFonts w:ascii="Arial" w:hAnsi="Arial" w:cs="Arial"/>
              </w:rPr>
            </w:pPr>
          </w:p>
        </w:tc>
        <w:tc>
          <w:tcPr>
            <w:tcW w:w="1363" w:type="dxa"/>
            <w:tcBorders>
              <w:bottom w:val="single" w:sz="4" w:space="0" w:color="auto"/>
            </w:tcBorders>
            <w:vAlign w:val="bottom"/>
          </w:tcPr>
          <w:p w:rsidR="00676AFC" w:rsidRDefault="00676AFC">
            <w:pPr>
              <w:pStyle w:val="ParaIMS"/>
              <w:spacing w:before="40"/>
              <w:jc w:val="right"/>
              <w:rPr>
                <w:rFonts w:ascii="Arial" w:hAnsi="Arial" w:cs="Arial"/>
              </w:rPr>
            </w:pPr>
          </w:p>
        </w:tc>
        <w:tc>
          <w:tcPr>
            <w:tcW w:w="1384" w:type="dxa"/>
            <w:tcBorders>
              <w:bottom w:val="single" w:sz="4" w:space="0" w:color="auto"/>
            </w:tcBorders>
            <w:vAlign w:val="bottom"/>
          </w:tcPr>
          <w:p w:rsidR="00676AFC" w:rsidRDefault="00676AFC">
            <w:pPr>
              <w:pStyle w:val="ParaIMS"/>
              <w:spacing w:before="40"/>
              <w:jc w:val="right"/>
              <w:rPr>
                <w:rFonts w:ascii="Arial" w:hAnsi="Arial" w:cs="Arial"/>
              </w:rPr>
            </w:pPr>
          </w:p>
        </w:tc>
        <w:tc>
          <w:tcPr>
            <w:tcW w:w="1306" w:type="dxa"/>
            <w:tcBorders>
              <w:bottom w:val="single" w:sz="4" w:space="0" w:color="auto"/>
            </w:tcBorders>
            <w:vAlign w:val="bottom"/>
          </w:tcPr>
          <w:p w:rsidR="00676AFC" w:rsidRDefault="00676AFC">
            <w:pPr>
              <w:pStyle w:val="ParaIMS"/>
              <w:spacing w:before="40"/>
              <w:jc w:val="right"/>
              <w:rPr>
                <w:rFonts w:ascii="Arial" w:hAnsi="Arial" w:cs="Arial"/>
              </w:rPr>
            </w:pPr>
          </w:p>
        </w:tc>
      </w:tr>
      <w:tr w:rsidR="00676AFC" w:rsidTr="00952882">
        <w:tc>
          <w:tcPr>
            <w:tcW w:w="5140"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szCs w:val="18"/>
              </w:rPr>
              <w:t>US Dollar shares</w:t>
            </w:r>
          </w:p>
        </w:tc>
        <w:tc>
          <w:tcPr>
            <w:tcW w:w="1347"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US$12.27</w:t>
            </w:r>
          </w:p>
        </w:tc>
        <w:tc>
          <w:tcPr>
            <w:tcW w:w="136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US$12.34</w:t>
            </w:r>
          </w:p>
        </w:tc>
        <w:tc>
          <w:tcPr>
            <w:tcW w:w="13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US$11.79</w:t>
            </w:r>
          </w:p>
        </w:tc>
        <w:tc>
          <w:tcPr>
            <w:tcW w:w="130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US$11.61</w:t>
            </w:r>
          </w:p>
        </w:tc>
      </w:tr>
      <w:tr w:rsidR="00676AFC" w:rsidTr="00952882">
        <w:tc>
          <w:tcPr>
            <w:tcW w:w="5140"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szCs w:val="18"/>
              </w:rPr>
              <w:t>Euro shares</w:t>
            </w:r>
          </w:p>
        </w:tc>
        <w:tc>
          <w:tcPr>
            <w:tcW w:w="1347"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€12.39</w:t>
            </w:r>
          </w:p>
        </w:tc>
        <w:tc>
          <w:tcPr>
            <w:tcW w:w="136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€12.46</w:t>
            </w:r>
          </w:p>
        </w:tc>
        <w:tc>
          <w:tcPr>
            <w:tcW w:w="13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€11.86</w:t>
            </w:r>
          </w:p>
        </w:tc>
        <w:tc>
          <w:tcPr>
            <w:tcW w:w="130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€11.66</w:t>
            </w:r>
          </w:p>
        </w:tc>
      </w:tr>
      <w:tr w:rsidR="00676AFC" w:rsidTr="00952882">
        <w:tc>
          <w:tcPr>
            <w:tcW w:w="5140" w:type="dxa"/>
            <w:tcBorders>
              <w:top w:val="single" w:sz="4" w:space="0" w:color="auto"/>
              <w:bottom w:val="single" w:sz="4" w:space="0" w:color="auto"/>
            </w:tcBorders>
            <w:vAlign w:val="bottom"/>
          </w:tcPr>
          <w:p w:rsidR="00676AFC" w:rsidRDefault="00676AFC">
            <w:pPr>
              <w:pStyle w:val="ParaIMS"/>
              <w:spacing w:before="40"/>
              <w:rPr>
                <w:rFonts w:ascii="Arial" w:hAnsi="Arial" w:cs="Arial"/>
              </w:rPr>
            </w:pPr>
            <w:r>
              <w:rPr>
                <w:rFonts w:ascii="Arial" w:hAnsi="Arial" w:cs="Arial"/>
                <w:szCs w:val="18"/>
              </w:rPr>
              <w:t>Sterling shares</w:t>
            </w:r>
          </w:p>
        </w:tc>
        <w:tc>
          <w:tcPr>
            <w:tcW w:w="1347"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£12.41</w:t>
            </w:r>
          </w:p>
        </w:tc>
        <w:tc>
          <w:tcPr>
            <w:tcW w:w="1363"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£12.47</w:t>
            </w:r>
          </w:p>
        </w:tc>
        <w:tc>
          <w:tcPr>
            <w:tcW w:w="1384"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£11.92</w:t>
            </w:r>
          </w:p>
        </w:tc>
        <w:tc>
          <w:tcPr>
            <w:tcW w:w="1306" w:type="dxa"/>
            <w:tcBorders>
              <w:top w:val="single" w:sz="4" w:space="0" w:color="auto"/>
              <w:bottom w:val="single" w:sz="4" w:space="0" w:color="auto"/>
            </w:tcBorders>
            <w:vAlign w:val="bottom"/>
          </w:tcPr>
          <w:p w:rsidR="00676AFC" w:rsidRDefault="00676AFC">
            <w:pPr>
              <w:pStyle w:val="ParaIMS"/>
              <w:spacing w:before="40"/>
              <w:jc w:val="right"/>
              <w:rPr>
                <w:rFonts w:ascii="Arial" w:hAnsi="Arial" w:cs="Arial"/>
              </w:rPr>
            </w:pPr>
            <w:r>
              <w:rPr>
                <w:rFonts w:ascii="Arial" w:hAnsi="Arial" w:cs="Arial"/>
                <w:szCs w:val="18"/>
              </w:rPr>
              <w:t>£11.73</w:t>
            </w:r>
          </w:p>
        </w:tc>
      </w:tr>
    </w:tbl>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 Covers the period from 1 January 2012 to 30 June 2012.</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p>
    <w:p w:rsidR="00676AFC" w:rsidRDefault="00676AFC">
      <w:pPr>
        <w:pStyle w:val="ParaIMS"/>
        <w:spacing w:before="0"/>
        <w:rPr>
          <w:rFonts w:ascii="Arial" w:hAnsi="Arial" w:cs="Arial"/>
          <w:b/>
          <w:bCs/>
        </w:rPr>
      </w:pPr>
      <w:r>
        <w:rPr>
          <w:rFonts w:ascii="Arial" w:hAnsi="Arial" w:cs="Arial"/>
          <w:b/>
          <w:bCs/>
          <w:szCs w:val="44"/>
        </w:rPr>
        <w:t>Company Information</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Directors</w:t>
      </w:r>
    </w:p>
    <w:p w:rsidR="00676AFC" w:rsidRDefault="00676AFC">
      <w:pPr>
        <w:pStyle w:val="ParaIMS"/>
        <w:spacing w:before="0"/>
        <w:rPr>
          <w:rFonts w:ascii="Arial" w:hAnsi="Arial" w:cs="Arial"/>
          <w:szCs w:val="18"/>
        </w:rPr>
      </w:pPr>
      <w:r>
        <w:rPr>
          <w:rFonts w:ascii="Arial" w:hAnsi="Arial" w:cs="Arial"/>
          <w:szCs w:val="18"/>
        </w:rPr>
        <w:t>Lord Turnbull (Chairman)*</w:t>
      </w:r>
    </w:p>
    <w:p w:rsidR="00556E0B" w:rsidRDefault="00556E0B">
      <w:pPr>
        <w:pStyle w:val="ParaIMS"/>
        <w:spacing w:before="0"/>
        <w:rPr>
          <w:rFonts w:ascii="Arial" w:hAnsi="Arial" w:cs="Arial"/>
        </w:rPr>
      </w:pPr>
    </w:p>
    <w:p w:rsidR="00676AFC" w:rsidRDefault="00676AFC">
      <w:pPr>
        <w:pStyle w:val="ParaIMS"/>
        <w:spacing w:before="0"/>
        <w:rPr>
          <w:rFonts w:ascii="Arial" w:hAnsi="Arial" w:cs="Arial"/>
          <w:szCs w:val="18"/>
        </w:rPr>
      </w:pPr>
      <w:r>
        <w:rPr>
          <w:rFonts w:ascii="Arial" w:hAnsi="Arial" w:cs="Arial"/>
          <w:szCs w:val="18"/>
        </w:rPr>
        <w:t xml:space="preserve">John </w:t>
      </w:r>
      <w:proofErr w:type="spellStart"/>
      <w:r>
        <w:rPr>
          <w:rFonts w:ascii="Arial" w:hAnsi="Arial" w:cs="Arial"/>
          <w:szCs w:val="18"/>
        </w:rPr>
        <w:t>Hallam</w:t>
      </w:r>
      <w:proofErr w:type="spellEnd"/>
      <w:r>
        <w:rPr>
          <w:rFonts w:ascii="Arial" w:hAnsi="Arial" w:cs="Arial"/>
          <w:szCs w:val="18"/>
        </w:rPr>
        <w:t>*</w:t>
      </w:r>
    </w:p>
    <w:p w:rsidR="00556E0B" w:rsidRDefault="00556E0B">
      <w:pPr>
        <w:pStyle w:val="ParaIMS"/>
        <w:spacing w:before="0"/>
        <w:rPr>
          <w:rFonts w:ascii="Arial" w:hAnsi="Arial" w:cs="Arial"/>
        </w:rPr>
      </w:pPr>
    </w:p>
    <w:p w:rsidR="00676AFC" w:rsidRDefault="00676AFC">
      <w:pPr>
        <w:pStyle w:val="ParaIMS"/>
        <w:spacing w:before="0"/>
        <w:rPr>
          <w:rFonts w:ascii="Arial" w:hAnsi="Arial" w:cs="Arial"/>
          <w:szCs w:val="18"/>
        </w:rPr>
      </w:pPr>
      <w:r>
        <w:rPr>
          <w:rFonts w:ascii="Arial" w:hAnsi="Arial" w:cs="Arial"/>
          <w:szCs w:val="18"/>
        </w:rPr>
        <w:t>Graham Harrison*</w:t>
      </w:r>
    </w:p>
    <w:p w:rsidR="00556E0B" w:rsidRDefault="00556E0B">
      <w:pPr>
        <w:pStyle w:val="ParaIMS"/>
        <w:spacing w:before="0"/>
        <w:rPr>
          <w:rFonts w:ascii="Arial" w:hAnsi="Arial" w:cs="Arial"/>
        </w:rPr>
      </w:pPr>
    </w:p>
    <w:p w:rsidR="00676AFC" w:rsidRDefault="00676AFC">
      <w:pPr>
        <w:pStyle w:val="ParaIMS"/>
        <w:spacing w:before="0"/>
        <w:rPr>
          <w:rFonts w:ascii="Arial" w:hAnsi="Arial" w:cs="Arial"/>
          <w:szCs w:val="18"/>
        </w:rPr>
      </w:pPr>
      <w:proofErr w:type="spellStart"/>
      <w:r>
        <w:rPr>
          <w:rFonts w:ascii="Arial" w:hAnsi="Arial" w:cs="Arial"/>
          <w:szCs w:val="18"/>
        </w:rPr>
        <w:t>Talmai</w:t>
      </w:r>
      <w:proofErr w:type="spellEnd"/>
      <w:r>
        <w:rPr>
          <w:rFonts w:ascii="Arial" w:hAnsi="Arial" w:cs="Arial"/>
          <w:szCs w:val="18"/>
        </w:rPr>
        <w:t xml:space="preserve"> Morgan</w:t>
      </w:r>
    </w:p>
    <w:p w:rsidR="00556E0B" w:rsidRDefault="00556E0B">
      <w:pPr>
        <w:pStyle w:val="ParaIMS"/>
        <w:spacing w:before="0"/>
        <w:rPr>
          <w:rFonts w:ascii="Arial" w:hAnsi="Arial" w:cs="Arial"/>
        </w:rPr>
      </w:pPr>
    </w:p>
    <w:p w:rsidR="00676AFC" w:rsidRDefault="00676AFC">
      <w:pPr>
        <w:pStyle w:val="ParaIMS"/>
        <w:spacing w:before="0"/>
        <w:rPr>
          <w:rFonts w:ascii="Arial" w:hAnsi="Arial" w:cs="Arial"/>
          <w:szCs w:val="18"/>
        </w:rPr>
      </w:pPr>
      <w:r>
        <w:rPr>
          <w:rFonts w:ascii="Arial" w:hAnsi="Arial" w:cs="Arial"/>
          <w:szCs w:val="18"/>
        </w:rPr>
        <w:t>Nicholas Moss*</w:t>
      </w:r>
    </w:p>
    <w:p w:rsidR="00556E0B" w:rsidRDefault="00556E0B">
      <w:pPr>
        <w:pStyle w:val="ParaIMS"/>
        <w:spacing w:before="0"/>
        <w:rPr>
          <w:rFonts w:ascii="Arial" w:hAnsi="Arial" w:cs="Arial"/>
        </w:rPr>
      </w:pPr>
    </w:p>
    <w:p w:rsidR="00676AFC" w:rsidRDefault="00676AFC">
      <w:pPr>
        <w:pStyle w:val="ParaIMS"/>
        <w:spacing w:before="0"/>
        <w:rPr>
          <w:rFonts w:ascii="Arial" w:hAnsi="Arial" w:cs="Arial"/>
          <w:szCs w:val="18"/>
        </w:rPr>
      </w:pPr>
      <w:r>
        <w:rPr>
          <w:rFonts w:ascii="Arial" w:hAnsi="Arial" w:cs="Arial"/>
          <w:szCs w:val="18"/>
        </w:rPr>
        <w:t xml:space="preserve">Stephen </w:t>
      </w:r>
      <w:proofErr w:type="spellStart"/>
      <w:r>
        <w:rPr>
          <w:rFonts w:ascii="Arial" w:hAnsi="Arial" w:cs="Arial"/>
          <w:szCs w:val="18"/>
        </w:rPr>
        <w:t>Stonberg</w:t>
      </w:r>
      <w:proofErr w:type="spellEnd"/>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szCs w:val="18"/>
        </w:rPr>
        <w:t>(All Directors are non-executive)</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szCs w:val="16"/>
        </w:rPr>
      </w:pPr>
      <w:r>
        <w:rPr>
          <w:rFonts w:ascii="Arial" w:hAnsi="Arial" w:cs="Arial"/>
          <w:szCs w:val="16"/>
        </w:rPr>
        <w:t>* These Directors are independe</w:t>
      </w:r>
      <w:r w:rsidR="00BB79C3">
        <w:rPr>
          <w:rFonts w:ascii="Arial" w:hAnsi="Arial" w:cs="Arial"/>
          <w:szCs w:val="16"/>
        </w:rPr>
        <w:t>nt for the purpose of LR15.2.12-A</w:t>
      </w:r>
      <w:r>
        <w:rPr>
          <w:rFonts w:ascii="Arial" w:hAnsi="Arial" w:cs="Arial"/>
          <w:szCs w:val="16"/>
        </w:rPr>
        <w:t xml:space="preserve"> </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Registered Office</w:t>
      </w:r>
    </w:p>
    <w:p w:rsidR="00676AFC" w:rsidRDefault="00676AFC">
      <w:pPr>
        <w:pStyle w:val="ParaIMS"/>
        <w:spacing w:before="0"/>
        <w:rPr>
          <w:rFonts w:ascii="Arial" w:hAnsi="Arial" w:cs="Arial"/>
        </w:rPr>
      </w:pPr>
      <w:r>
        <w:rPr>
          <w:rFonts w:ascii="Arial" w:hAnsi="Arial" w:cs="Arial"/>
          <w:szCs w:val="18"/>
        </w:rPr>
        <w:t>Trafalgar Court</w:t>
      </w:r>
    </w:p>
    <w:p w:rsidR="00676AFC" w:rsidRDefault="00676AFC">
      <w:pPr>
        <w:pStyle w:val="ParaIMS"/>
        <w:spacing w:before="0"/>
        <w:rPr>
          <w:rFonts w:ascii="Arial" w:hAnsi="Arial" w:cs="Arial"/>
        </w:rPr>
      </w:pPr>
      <w:r>
        <w:rPr>
          <w:rFonts w:ascii="Arial" w:hAnsi="Arial" w:cs="Arial"/>
          <w:szCs w:val="18"/>
        </w:rPr>
        <w:t xml:space="preserve">Les </w:t>
      </w:r>
      <w:proofErr w:type="spellStart"/>
      <w:r>
        <w:rPr>
          <w:rFonts w:ascii="Arial" w:hAnsi="Arial" w:cs="Arial"/>
          <w:szCs w:val="18"/>
        </w:rPr>
        <w:t>Banques</w:t>
      </w:r>
      <w:proofErr w:type="spellEnd"/>
    </w:p>
    <w:p w:rsidR="00676AFC" w:rsidRDefault="00676AFC">
      <w:pPr>
        <w:pStyle w:val="ParaIMS"/>
        <w:spacing w:before="0"/>
        <w:rPr>
          <w:rFonts w:ascii="Arial" w:hAnsi="Arial" w:cs="Arial"/>
        </w:rPr>
      </w:pPr>
      <w:r>
        <w:rPr>
          <w:rFonts w:ascii="Arial" w:hAnsi="Arial" w:cs="Arial"/>
          <w:szCs w:val="18"/>
        </w:rPr>
        <w:t>St Peter Port</w:t>
      </w:r>
    </w:p>
    <w:p w:rsidR="00676AFC" w:rsidRDefault="00676AFC">
      <w:pPr>
        <w:pStyle w:val="ParaIMS"/>
        <w:spacing w:before="0"/>
        <w:rPr>
          <w:rFonts w:ascii="Arial" w:hAnsi="Arial" w:cs="Arial"/>
        </w:rPr>
      </w:pPr>
      <w:r>
        <w:rPr>
          <w:rFonts w:ascii="Arial" w:hAnsi="Arial" w:cs="Arial"/>
          <w:szCs w:val="18"/>
        </w:rPr>
        <w:t>Guernsey</w:t>
      </w:r>
    </w:p>
    <w:p w:rsidR="00676AFC" w:rsidRDefault="00676AFC">
      <w:pPr>
        <w:pStyle w:val="ParaIMS"/>
        <w:spacing w:before="0"/>
        <w:rPr>
          <w:rFonts w:ascii="Arial" w:hAnsi="Arial" w:cs="Arial"/>
        </w:rPr>
      </w:pPr>
      <w:r>
        <w:rPr>
          <w:rFonts w:ascii="Arial" w:hAnsi="Arial" w:cs="Arial"/>
          <w:szCs w:val="18"/>
        </w:rPr>
        <w:t>GY1 3QL</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Manager</w:t>
      </w:r>
    </w:p>
    <w:p w:rsidR="00676AFC" w:rsidRDefault="00676AFC">
      <w:pPr>
        <w:pStyle w:val="ParaIMS"/>
        <w:spacing w:before="0"/>
        <w:rPr>
          <w:rFonts w:ascii="Arial" w:hAnsi="Arial" w:cs="Arial"/>
          <w:szCs w:val="18"/>
        </w:rPr>
      </w:pPr>
      <w:r>
        <w:rPr>
          <w:rFonts w:ascii="Arial" w:hAnsi="Arial" w:cs="Arial"/>
          <w:szCs w:val="18"/>
        </w:rPr>
        <w:t xml:space="preserve">Brevan Howard Capital Management LP </w:t>
      </w:r>
    </w:p>
    <w:p w:rsidR="00676AFC" w:rsidRDefault="00676AFC">
      <w:pPr>
        <w:pStyle w:val="ParaIMS"/>
        <w:spacing w:before="0"/>
        <w:rPr>
          <w:rFonts w:ascii="Arial" w:hAnsi="Arial" w:cs="Arial"/>
        </w:rPr>
      </w:pPr>
      <w:r>
        <w:rPr>
          <w:rFonts w:ascii="Arial" w:hAnsi="Arial" w:cs="Arial"/>
          <w:szCs w:val="18"/>
        </w:rPr>
        <w:t>4th Floor</w:t>
      </w:r>
    </w:p>
    <w:p w:rsidR="00676AFC" w:rsidRDefault="00676AFC">
      <w:pPr>
        <w:pStyle w:val="ParaIMS"/>
        <w:spacing w:before="0"/>
        <w:rPr>
          <w:rFonts w:ascii="Arial" w:hAnsi="Arial" w:cs="Arial"/>
          <w:szCs w:val="18"/>
        </w:rPr>
      </w:pPr>
      <w:r>
        <w:rPr>
          <w:rFonts w:ascii="Arial" w:hAnsi="Arial" w:cs="Arial"/>
          <w:szCs w:val="18"/>
        </w:rPr>
        <w:t xml:space="preserve">One Esplanade </w:t>
      </w:r>
    </w:p>
    <w:p w:rsidR="00676AFC" w:rsidRDefault="00676AFC">
      <w:pPr>
        <w:pStyle w:val="ParaIMS"/>
        <w:spacing w:before="0"/>
        <w:rPr>
          <w:rFonts w:ascii="Arial" w:hAnsi="Arial" w:cs="Arial"/>
          <w:szCs w:val="18"/>
        </w:rPr>
      </w:pPr>
      <w:r>
        <w:rPr>
          <w:rFonts w:ascii="Arial" w:hAnsi="Arial" w:cs="Arial"/>
          <w:szCs w:val="18"/>
        </w:rPr>
        <w:t xml:space="preserve">St </w:t>
      </w:r>
      <w:proofErr w:type="spellStart"/>
      <w:r>
        <w:rPr>
          <w:rFonts w:ascii="Arial" w:hAnsi="Arial" w:cs="Arial"/>
          <w:szCs w:val="18"/>
        </w:rPr>
        <w:t>Helier</w:t>
      </w:r>
      <w:proofErr w:type="spellEnd"/>
      <w:r>
        <w:rPr>
          <w:rFonts w:ascii="Arial" w:hAnsi="Arial" w:cs="Arial"/>
          <w:szCs w:val="18"/>
        </w:rPr>
        <w:t xml:space="preserve"> </w:t>
      </w:r>
    </w:p>
    <w:p w:rsidR="00676AFC" w:rsidRDefault="00676AFC">
      <w:pPr>
        <w:pStyle w:val="ParaIMS"/>
        <w:spacing w:before="0"/>
        <w:rPr>
          <w:rFonts w:ascii="Arial" w:hAnsi="Arial" w:cs="Arial"/>
        </w:rPr>
      </w:pPr>
      <w:r>
        <w:rPr>
          <w:rFonts w:ascii="Arial" w:hAnsi="Arial" w:cs="Arial"/>
          <w:szCs w:val="18"/>
        </w:rPr>
        <w:t>Jersey</w:t>
      </w:r>
    </w:p>
    <w:p w:rsidR="00676AFC" w:rsidRDefault="00676AFC">
      <w:pPr>
        <w:pStyle w:val="ParaIMS"/>
        <w:spacing w:before="0"/>
        <w:rPr>
          <w:rFonts w:ascii="Arial" w:hAnsi="Arial" w:cs="Arial"/>
        </w:rPr>
      </w:pPr>
      <w:r>
        <w:rPr>
          <w:rFonts w:ascii="Arial" w:hAnsi="Arial" w:cs="Arial"/>
          <w:szCs w:val="18"/>
        </w:rPr>
        <w:t>JE2 3QA</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6"/>
        </w:rPr>
        <w:t>Administrator, Registrar and Corporate Secretary</w:t>
      </w:r>
    </w:p>
    <w:p w:rsidR="00676AFC" w:rsidRDefault="00676AFC">
      <w:pPr>
        <w:pStyle w:val="ParaIMS"/>
        <w:spacing w:before="0"/>
        <w:rPr>
          <w:rFonts w:ascii="Arial" w:hAnsi="Arial" w:cs="Arial"/>
        </w:rPr>
      </w:pPr>
      <w:r>
        <w:rPr>
          <w:rFonts w:ascii="Arial" w:hAnsi="Arial" w:cs="Arial"/>
          <w:szCs w:val="18"/>
        </w:rPr>
        <w:t>Northern Trust International Fund</w:t>
      </w:r>
    </w:p>
    <w:p w:rsidR="00676AFC" w:rsidRDefault="00676AFC">
      <w:pPr>
        <w:pStyle w:val="ParaIMS"/>
        <w:spacing w:before="0"/>
        <w:rPr>
          <w:rFonts w:ascii="Arial" w:hAnsi="Arial" w:cs="Arial"/>
        </w:rPr>
      </w:pPr>
      <w:r>
        <w:rPr>
          <w:rFonts w:ascii="Arial" w:hAnsi="Arial" w:cs="Arial"/>
          <w:szCs w:val="18"/>
        </w:rPr>
        <w:t>Administration Services (Guernsey) Limited</w:t>
      </w:r>
    </w:p>
    <w:p w:rsidR="00676AFC" w:rsidRDefault="00676AFC">
      <w:pPr>
        <w:pStyle w:val="ParaIMS"/>
        <w:spacing w:before="0"/>
        <w:rPr>
          <w:rFonts w:ascii="Arial" w:hAnsi="Arial" w:cs="Arial"/>
        </w:rPr>
      </w:pPr>
      <w:r>
        <w:rPr>
          <w:rFonts w:ascii="Arial" w:hAnsi="Arial" w:cs="Arial"/>
          <w:szCs w:val="18"/>
        </w:rPr>
        <w:t>Trafalgar Court</w:t>
      </w:r>
    </w:p>
    <w:p w:rsidR="00676AFC" w:rsidRDefault="00676AFC">
      <w:pPr>
        <w:pStyle w:val="ParaIMS"/>
        <w:spacing w:before="0"/>
        <w:rPr>
          <w:rFonts w:ascii="Arial" w:hAnsi="Arial" w:cs="Arial"/>
        </w:rPr>
      </w:pPr>
      <w:r>
        <w:rPr>
          <w:rFonts w:ascii="Arial" w:hAnsi="Arial" w:cs="Arial"/>
          <w:szCs w:val="18"/>
        </w:rPr>
        <w:t xml:space="preserve">Les </w:t>
      </w:r>
      <w:proofErr w:type="spellStart"/>
      <w:r>
        <w:rPr>
          <w:rFonts w:ascii="Arial" w:hAnsi="Arial" w:cs="Arial"/>
          <w:szCs w:val="18"/>
        </w:rPr>
        <w:t>Banques</w:t>
      </w:r>
      <w:proofErr w:type="spellEnd"/>
    </w:p>
    <w:p w:rsidR="00676AFC" w:rsidRDefault="00676AFC">
      <w:pPr>
        <w:pStyle w:val="ParaIMS"/>
        <w:spacing w:before="0"/>
        <w:rPr>
          <w:rFonts w:ascii="Arial" w:hAnsi="Arial" w:cs="Arial"/>
        </w:rPr>
      </w:pPr>
      <w:r>
        <w:rPr>
          <w:rFonts w:ascii="Arial" w:hAnsi="Arial" w:cs="Arial"/>
          <w:szCs w:val="18"/>
        </w:rPr>
        <w:t>St Peter Port</w:t>
      </w:r>
    </w:p>
    <w:p w:rsidR="00676AFC" w:rsidRDefault="00676AFC">
      <w:pPr>
        <w:pStyle w:val="ParaIMS"/>
        <w:spacing w:before="0"/>
        <w:rPr>
          <w:rFonts w:ascii="Arial" w:hAnsi="Arial" w:cs="Arial"/>
        </w:rPr>
      </w:pPr>
      <w:r>
        <w:rPr>
          <w:rFonts w:ascii="Arial" w:hAnsi="Arial" w:cs="Arial"/>
          <w:szCs w:val="18"/>
        </w:rPr>
        <w:t>Guernsey</w:t>
      </w:r>
    </w:p>
    <w:p w:rsidR="00676AFC" w:rsidRDefault="00676AFC">
      <w:pPr>
        <w:pStyle w:val="ParaIMS"/>
        <w:spacing w:before="0"/>
        <w:rPr>
          <w:rFonts w:ascii="Arial" w:hAnsi="Arial" w:cs="Arial"/>
        </w:rPr>
      </w:pPr>
      <w:r>
        <w:rPr>
          <w:rFonts w:ascii="Arial" w:hAnsi="Arial" w:cs="Arial"/>
          <w:szCs w:val="18"/>
        </w:rPr>
        <w:t>GY1 3QL</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Independent Auditor</w:t>
      </w:r>
    </w:p>
    <w:p w:rsidR="00676AFC" w:rsidRDefault="00676AFC">
      <w:pPr>
        <w:pStyle w:val="ParaIMS"/>
        <w:spacing w:before="0"/>
        <w:rPr>
          <w:rFonts w:ascii="Arial" w:hAnsi="Arial" w:cs="Arial"/>
        </w:rPr>
      </w:pPr>
      <w:r>
        <w:rPr>
          <w:rFonts w:ascii="Arial" w:hAnsi="Arial" w:cs="Arial"/>
          <w:szCs w:val="18"/>
        </w:rPr>
        <w:t>KPMG Channel Islands Limited</w:t>
      </w:r>
    </w:p>
    <w:p w:rsidR="00676AFC" w:rsidRDefault="00676AFC">
      <w:pPr>
        <w:pStyle w:val="ParaIMS"/>
        <w:spacing w:before="0"/>
        <w:rPr>
          <w:rFonts w:ascii="Arial" w:hAnsi="Arial" w:cs="Arial"/>
        </w:rPr>
      </w:pPr>
      <w:r>
        <w:rPr>
          <w:rFonts w:ascii="Arial" w:hAnsi="Arial" w:cs="Arial"/>
          <w:szCs w:val="18"/>
        </w:rPr>
        <w:t xml:space="preserve">20 New </w:t>
      </w:r>
      <w:proofErr w:type="gramStart"/>
      <w:r>
        <w:rPr>
          <w:rFonts w:ascii="Arial" w:hAnsi="Arial" w:cs="Arial"/>
          <w:szCs w:val="18"/>
        </w:rPr>
        <w:t>Street</w:t>
      </w:r>
      <w:proofErr w:type="gramEnd"/>
    </w:p>
    <w:p w:rsidR="00676AFC" w:rsidRDefault="00676AFC">
      <w:pPr>
        <w:pStyle w:val="ParaIMS"/>
        <w:spacing w:before="0"/>
        <w:rPr>
          <w:rFonts w:ascii="Arial" w:hAnsi="Arial" w:cs="Arial"/>
        </w:rPr>
      </w:pPr>
      <w:r>
        <w:rPr>
          <w:rFonts w:ascii="Arial" w:hAnsi="Arial" w:cs="Arial"/>
          <w:szCs w:val="18"/>
        </w:rPr>
        <w:t>St Peter Port</w:t>
      </w:r>
    </w:p>
    <w:p w:rsidR="00676AFC" w:rsidRDefault="00676AFC">
      <w:pPr>
        <w:pStyle w:val="ParaIMS"/>
        <w:spacing w:before="0"/>
        <w:rPr>
          <w:rFonts w:ascii="Arial" w:hAnsi="Arial" w:cs="Arial"/>
        </w:rPr>
      </w:pPr>
      <w:r>
        <w:rPr>
          <w:rFonts w:ascii="Arial" w:hAnsi="Arial" w:cs="Arial"/>
          <w:szCs w:val="18"/>
        </w:rPr>
        <w:t>Guernsey</w:t>
      </w:r>
    </w:p>
    <w:p w:rsidR="00676AFC" w:rsidRDefault="00676AFC">
      <w:pPr>
        <w:pStyle w:val="ParaIMS"/>
        <w:spacing w:before="0"/>
        <w:rPr>
          <w:rFonts w:ascii="Arial" w:hAnsi="Arial" w:cs="Arial"/>
        </w:rPr>
      </w:pPr>
      <w:r>
        <w:rPr>
          <w:rFonts w:ascii="Arial" w:hAnsi="Arial" w:cs="Arial"/>
          <w:szCs w:val="18"/>
        </w:rPr>
        <w:t>GY1 4AN</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CREST Service Provider</w:t>
      </w:r>
    </w:p>
    <w:p w:rsidR="00676AFC" w:rsidRDefault="00676AFC">
      <w:pPr>
        <w:pStyle w:val="ParaIMS"/>
        <w:spacing w:before="0"/>
        <w:rPr>
          <w:rFonts w:ascii="Arial" w:hAnsi="Arial" w:cs="Arial"/>
        </w:rPr>
      </w:pPr>
      <w:r>
        <w:rPr>
          <w:rFonts w:ascii="Arial" w:hAnsi="Arial" w:cs="Arial"/>
          <w:szCs w:val="17"/>
        </w:rPr>
        <w:t>Computershare Investor Services (Jersey) Limited</w:t>
      </w:r>
    </w:p>
    <w:p w:rsidR="00676AFC" w:rsidRDefault="00676AFC">
      <w:pPr>
        <w:pStyle w:val="ParaIMS"/>
        <w:spacing w:before="0"/>
        <w:rPr>
          <w:rFonts w:ascii="Arial" w:hAnsi="Arial" w:cs="Arial"/>
        </w:rPr>
      </w:pPr>
      <w:r>
        <w:rPr>
          <w:rFonts w:ascii="Arial" w:hAnsi="Arial" w:cs="Arial"/>
          <w:szCs w:val="18"/>
        </w:rPr>
        <w:t>Ordnance House</w:t>
      </w:r>
    </w:p>
    <w:p w:rsidR="00676AFC" w:rsidRDefault="00676AFC">
      <w:pPr>
        <w:pStyle w:val="ParaIMS"/>
        <w:spacing w:before="0"/>
        <w:rPr>
          <w:rFonts w:ascii="Arial" w:hAnsi="Arial" w:cs="Arial"/>
        </w:rPr>
      </w:pPr>
      <w:r>
        <w:rPr>
          <w:rFonts w:ascii="Arial" w:hAnsi="Arial" w:cs="Arial"/>
          <w:szCs w:val="18"/>
        </w:rPr>
        <w:t>31 Pier Road</w:t>
      </w:r>
    </w:p>
    <w:p w:rsidR="00676AFC" w:rsidRDefault="00676AFC">
      <w:pPr>
        <w:pStyle w:val="ParaIMS"/>
        <w:spacing w:before="0"/>
        <w:rPr>
          <w:rFonts w:ascii="Arial" w:hAnsi="Arial" w:cs="Arial"/>
        </w:rPr>
      </w:pPr>
      <w:r>
        <w:rPr>
          <w:rFonts w:ascii="Arial" w:hAnsi="Arial" w:cs="Arial"/>
          <w:szCs w:val="18"/>
        </w:rPr>
        <w:t xml:space="preserve">St </w:t>
      </w:r>
      <w:proofErr w:type="spellStart"/>
      <w:r>
        <w:rPr>
          <w:rFonts w:ascii="Arial" w:hAnsi="Arial" w:cs="Arial"/>
          <w:szCs w:val="18"/>
        </w:rPr>
        <w:t>Helier</w:t>
      </w:r>
      <w:proofErr w:type="spellEnd"/>
    </w:p>
    <w:p w:rsidR="00676AFC" w:rsidRDefault="00676AFC">
      <w:pPr>
        <w:pStyle w:val="ParaIMS"/>
        <w:spacing w:before="0"/>
        <w:rPr>
          <w:rFonts w:ascii="Arial" w:hAnsi="Arial" w:cs="Arial"/>
        </w:rPr>
      </w:pPr>
      <w:r>
        <w:rPr>
          <w:rFonts w:ascii="Arial" w:hAnsi="Arial" w:cs="Arial"/>
          <w:szCs w:val="18"/>
        </w:rPr>
        <w:t>Jersey</w:t>
      </w:r>
    </w:p>
    <w:p w:rsidR="00676AFC" w:rsidRDefault="00676AFC">
      <w:pPr>
        <w:pStyle w:val="ParaIMS"/>
        <w:spacing w:before="0"/>
        <w:rPr>
          <w:rFonts w:ascii="Arial" w:hAnsi="Arial" w:cs="Arial"/>
        </w:rPr>
      </w:pPr>
      <w:r>
        <w:rPr>
          <w:rFonts w:ascii="Arial" w:hAnsi="Arial" w:cs="Arial"/>
          <w:szCs w:val="18"/>
        </w:rPr>
        <w:t>JE4 8PW</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Legal Advisors (Guernsey Law)</w:t>
      </w:r>
    </w:p>
    <w:p w:rsidR="00676AFC" w:rsidRDefault="00676AFC">
      <w:pPr>
        <w:pStyle w:val="ParaIMS"/>
        <w:spacing w:before="0"/>
        <w:rPr>
          <w:rFonts w:ascii="Arial" w:hAnsi="Arial" w:cs="Arial"/>
        </w:rPr>
      </w:pPr>
      <w:r>
        <w:rPr>
          <w:rFonts w:ascii="Arial" w:hAnsi="Arial" w:cs="Arial"/>
          <w:szCs w:val="18"/>
        </w:rPr>
        <w:t>Carey Olsen</w:t>
      </w:r>
    </w:p>
    <w:p w:rsidR="00676AFC" w:rsidRDefault="00676AFC">
      <w:pPr>
        <w:pStyle w:val="ParaIMS"/>
        <w:spacing w:before="0"/>
        <w:rPr>
          <w:rFonts w:ascii="Arial" w:hAnsi="Arial" w:cs="Arial"/>
        </w:rPr>
      </w:pPr>
      <w:r>
        <w:rPr>
          <w:rFonts w:ascii="Arial" w:hAnsi="Arial" w:cs="Arial"/>
          <w:szCs w:val="18"/>
        </w:rPr>
        <w:t>Carey House</w:t>
      </w:r>
    </w:p>
    <w:p w:rsidR="00676AFC" w:rsidRDefault="00676AFC">
      <w:pPr>
        <w:pStyle w:val="ParaIMS"/>
        <w:spacing w:before="0"/>
        <w:rPr>
          <w:rFonts w:ascii="Arial" w:hAnsi="Arial" w:cs="Arial"/>
        </w:rPr>
      </w:pPr>
      <w:r>
        <w:rPr>
          <w:rFonts w:ascii="Arial" w:hAnsi="Arial" w:cs="Arial"/>
          <w:szCs w:val="18"/>
        </w:rPr>
        <w:t xml:space="preserve">Les </w:t>
      </w:r>
      <w:proofErr w:type="spellStart"/>
      <w:r>
        <w:rPr>
          <w:rFonts w:ascii="Arial" w:hAnsi="Arial" w:cs="Arial"/>
          <w:szCs w:val="18"/>
        </w:rPr>
        <w:t>Banques</w:t>
      </w:r>
      <w:proofErr w:type="spellEnd"/>
    </w:p>
    <w:p w:rsidR="00676AFC" w:rsidRDefault="00676AFC">
      <w:pPr>
        <w:pStyle w:val="ParaIMS"/>
        <w:spacing w:before="0"/>
        <w:rPr>
          <w:rFonts w:ascii="Arial" w:hAnsi="Arial" w:cs="Arial"/>
        </w:rPr>
      </w:pPr>
      <w:r>
        <w:rPr>
          <w:rFonts w:ascii="Arial" w:hAnsi="Arial" w:cs="Arial"/>
          <w:szCs w:val="18"/>
        </w:rPr>
        <w:t>St. Peter Port</w:t>
      </w:r>
    </w:p>
    <w:p w:rsidR="00676AFC" w:rsidRDefault="00676AFC">
      <w:pPr>
        <w:pStyle w:val="ParaIMS"/>
        <w:spacing w:before="0"/>
        <w:rPr>
          <w:rFonts w:ascii="Arial" w:hAnsi="Arial" w:cs="Arial"/>
        </w:rPr>
      </w:pPr>
      <w:r>
        <w:rPr>
          <w:rFonts w:ascii="Arial" w:hAnsi="Arial" w:cs="Arial"/>
          <w:szCs w:val="18"/>
        </w:rPr>
        <w:t>Guernsey</w:t>
      </w:r>
    </w:p>
    <w:p w:rsidR="00676AFC" w:rsidRDefault="00676AFC">
      <w:pPr>
        <w:pStyle w:val="ParaIMS"/>
        <w:spacing w:before="0"/>
        <w:rPr>
          <w:rFonts w:ascii="Arial" w:hAnsi="Arial" w:cs="Arial"/>
        </w:rPr>
      </w:pPr>
      <w:r>
        <w:rPr>
          <w:rFonts w:ascii="Arial" w:hAnsi="Arial" w:cs="Arial"/>
          <w:szCs w:val="18"/>
        </w:rPr>
        <w:t>GY1 4BZ</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Legal Advisors (UK Law)</w:t>
      </w:r>
    </w:p>
    <w:p w:rsidR="00676AFC" w:rsidRDefault="00676AFC">
      <w:pPr>
        <w:pStyle w:val="ParaIMS"/>
        <w:spacing w:before="0"/>
        <w:rPr>
          <w:rFonts w:ascii="Arial" w:hAnsi="Arial" w:cs="Arial"/>
        </w:rPr>
      </w:pPr>
      <w:proofErr w:type="spellStart"/>
      <w:r>
        <w:rPr>
          <w:rFonts w:ascii="Arial" w:hAnsi="Arial" w:cs="Arial"/>
          <w:szCs w:val="18"/>
        </w:rPr>
        <w:t>Freshfields</w:t>
      </w:r>
      <w:proofErr w:type="spellEnd"/>
      <w:r>
        <w:rPr>
          <w:rFonts w:ascii="Arial" w:hAnsi="Arial" w:cs="Arial"/>
          <w:szCs w:val="18"/>
        </w:rPr>
        <w:t xml:space="preserve"> Bruckhaus </w:t>
      </w:r>
      <w:proofErr w:type="spellStart"/>
      <w:r>
        <w:rPr>
          <w:rFonts w:ascii="Arial" w:hAnsi="Arial" w:cs="Arial"/>
          <w:szCs w:val="18"/>
        </w:rPr>
        <w:t>Deringer</w:t>
      </w:r>
      <w:proofErr w:type="spellEnd"/>
    </w:p>
    <w:p w:rsidR="00676AFC" w:rsidRDefault="00676AFC">
      <w:pPr>
        <w:pStyle w:val="ParaIMS"/>
        <w:spacing w:before="0"/>
        <w:rPr>
          <w:rFonts w:ascii="Arial" w:hAnsi="Arial" w:cs="Arial"/>
        </w:rPr>
      </w:pPr>
      <w:r>
        <w:rPr>
          <w:rFonts w:ascii="Arial" w:hAnsi="Arial" w:cs="Arial"/>
          <w:szCs w:val="18"/>
        </w:rPr>
        <w:t>65 Fleet Street</w:t>
      </w:r>
    </w:p>
    <w:p w:rsidR="00676AFC" w:rsidRDefault="00676AFC">
      <w:pPr>
        <w:pStyle w:val="ParaIMS"/>
        <w:spacing w:before="0"/>
        <w:rPr>
          <w:rFonts w:ascii="Arial" w:hAnsi="Arial" w:cs="Arial"/>
        </w:rPr>
      </w:pPr>
      <w:r>
        <w:rPr>
          <w:rFonts w:ascii="Arial" w:hAnsi="Arial" w:cs="Arial"/>
          <w:szCs w:val="18"/>
        </w:rPr>
        <w:t>London</w:t>
      </w:r>
    </w:p>
    <w:p w:rsidR="00676AFC" w:rsidRDefault="00676AFC">
      <w:pPr>
        <w:pStyle w:val="ParaIMS"/>
        <w:spacing w:before="0"/>
        <w:rPr>
          <w:rFonts w:ascii="Arial" w:hAnsi="Arial" w:cs="Arial"/>
        </w:rPr>
      </w:pPr>
      <w:r>
        <w:rPr>
          <w:rFonts w:ascii="Arial" w:hAnsi="Arial" w:cs="Arial"/>
          <w:szCs w:val="18"/>
        </w:rPr>
        <w:t>EC4Y 1HS</w:t>
      </w:r>
    </w:p>
    <w:p w:rsidR="00676AFC" w:rsidRDefault="00676AFC">
      <w:pPr>
        <w:pStyle w:val="ParaIMS"/>
        <w:spacing w:before="0"/>
        <w:rPr>
          <w:rFonts w:ascii="Arial" w:hAnsi="Arial" w:cs="Arial"/>
        </w:rPr>
      </w:pPr>
    </w:p>
    <w:p w:rsidR="00676AFC" w:rsidRDefault="00676AFC">
      <w:pPr>
        <w:pStyle w:val="ParaIMS"/>
        <w:spacing w:before="0"/>
        <w:rPr>
          <w:rFonts w:ascii="Arial" w:hAnsi="Arial" w:cs="Arial"/>
        </w:rPr>
      </w:pPr>
      <w:r>
        <w:rPr>
          <w:rFonts w:ascii="Arial" w:hAnsi="Arial" w:cs="Arial"/>
          <w:b/>
          <w:bCs/>
          <w:szCs w:val="18"/>
        </w:rPr>
        <w:t>Corporate Broker</w:t>
      </w:r>
    </w:p>
    <w:p w:rsidR="00676AFC" w:rsidRDefault="00676AFC">
      <w:pPr>
        <w:pStyle w:val="ParaIMS"/>
        <w:spacing w:before="0"/>
        <w:rPr>
          <w:rFonts w:ascii="Arial" w:hAnsi="Arial" w:cs="Arial"/>
          <w:szCs w:val="18"/>
        </w:rPr>
      </w:pPr>
      <w:r>
        <w:rPr>
          <w:rFonts w:ascii="Arial" w:hAnsi="Arial" w:cs="Arial"/>
          <w:szCs w:val="18"/>
        </w:rPr>
        <w:t xml:space="preserve">J.P. Morgan Securities plc </w:t>
      </w:r>
    </w:p>
    <w:p w:rsidR="00676AFC" w:rsidRDefault="00676AFC">
      <w:pPr>
        <w:pStyle w:val="ParaIMS"/>
        <w:spacing w:before="0"/>
        <w:rPr>
          <w:rFonts w:ascii="Arial" w:hAnsi="Arial" w:cs="Arial"/>
        </w:rPr>
      </w:pPr>
      <w:r>
        <w:rPr>
          <w:rFonts w:ascii="Arial" w:hAnsi="Arial" w:cs="Arial"/>
          <w:szCs w:val="18"/>
        </w:rPr>
        <w:t>25 Bank Street</w:t>
      </w:r>
    </w:p>
    <w:p w:rsidR="00676AFC" w:rsidRDefault="00676AFC">
      <w:pPr>
        <w:pStyle w:val="ParaIMS"/>
        <w:spacing w:before="0"/>
        <w:rPr>
          <w:rFonts w:ascii="Arial" w:hAnsi="Arial" w:cs="Arial"/>
          <w:szCs w:val="16"/>
        </w:rPr>
      </w:pPr>
      <w:r>
        <w:rPr>
          <w:rFonts w:ascii="Arial" w:hAnsi="Arial" w:cs="Arial"/>
          <w:szCs w:val="16"/>
        </w:rPr>
        <w:t xml:space="preserve">Canary Wharf </w:t>
      </w:r>
    </w:p>
    <w:p w:rsidR="00676AFC" w:rsidRDefault="00676AFC">
      <w:pPr>
        <w:pStyle w:val="ParaIMS"/>
        <w:spacing w:before="0"/>
        <w:rPr>
          <w:rFonts w:ascii="Arial" w:hAnsi="Arial" w:cs="Arial"/>
        </w:rPr>
      </w:pPr>
      <w:r>
        <w:rPr>
          <w:rFonts w:ascii="Arial" w:hAnsi="Arial" w:cs="Arial"/>
          <w:szCs w:val="16"/>
        </w:rPr>
        <w:t>London</w:t>
      </w:r>
    </w:p>
    <w:p w:rsidR="00676AFC" w:rsidRDefault="00676AFC">
      <w:pPr>
        <w:pStyle w:val="ParaIMS"/>
        <w:spacing w:before="0"/>
        <w:rPr>
          <w:rFonts w:ascii="Arial" w:hAnsi="Arial" w:cs="Arial"/>
          <w:szCs w:val="18"/>
        </w:rPr>
      </w:pPr>
      <w:r>
        <w:rPr>
          <w:rFonts w:ascii="Arial" w:hAnsi="Arial" w:cs="Arial"/>
          <w:szCs w:val="18"/>
        </w:rPr>
        <w:t>E14 5JP</w:t>
      </w:r>
    </w:p>
    <w:p w:rsidR="009866B4" w:rsidRDefault="009866B4">
      <w:pPr>
        <w:pStyle w:val="ParaIMS"/>
        <w:spacing w:before="0"/>
        <w:rPr>
          <w:rFonts w:ascii="Arial" w:hAnsi="Arial" w:cs="Arial"/>
          <w:szCs w:val="18"/>
        </w:rPr>
      </w:pPr>
    </w:p>
    <w:p w:rsidR="009866B4" w:rsidRDefault="00B63F17">
      <w:pPr>
        <w:pStyle w:val="ParaIMS"/>
        <w:spacing w:before="0"/>
        <w:rPr>
          <w:rFonts w:ascii="Arial" w:hAnsi="Arial" w:cs="Arial"/>
          <w:szCs w:val="18"/>
        </w:rPr>
      </w:pPr>
      <w:r>
        <w:rPr>
          <w:rFonts w:ascii="Arial" w:hAnsi="Arial" w:cs="Arial"/>
          <w:szCs w:val="18"/>
        </w:rPr>
        <w:t>The I</w:t>
      </w:r>
      <w:r w:rsidR="009866B4">
        <w:rPr>
          <w:rFonts w:ascii="Arial" w:hAnsi="Arial" w:cs="Arial"/>
          <w:szCs w:val="18"/>
        </w:rPr>
        <w:t>nterim Unaudited Report and Financial Statements of BH Global Limited and the Interim</w:t>
      </w:r>
      <w:r w:rsidR="00B52450">
        <w:rPr>
          <w:rFonts w:ascii="Arial" w:hAnsi="Arial" w:cs="Arial"/>
          <w:szCs w:val="18"/>
        </w:rPr>
        <w:t xml:space="preserve"> Unaudited</w:t>
      </w:r>
      <w:r w:rsidR="009866B4">
        <w:rPr>
          <w:rFonts w:ascii="Arial" w:hAnsi="Arial" w:cs="Arial"/>
          <w:szCs w:val="18"/>
        </w:rPr>
        <w:t xml:space="preserve"> Financial Statements of BH Global Opportunities Master Fund Limited will shortly be available on the </w:t>
      </w:r>
      <w:r w:rsidR="00B372EC">
        <w:rPr>
          <w:rFonts w:ascii="Arial" w:hAnsi="Arial" w:cs="Arial"/>
          <w:szCs w:val="18"/>
        </w:rPr>
        <w:t>C</w:t>
      </w:r>
      <w:r w:rsidR="009866B4">
        <w:rPr>
          <w:rFonts w:ascii="Arial" w:hAnsi="Arial" w:cs="Arial"/>
          <w:szCs w:val="18"/>
        </w:rPr>
        <w:t>ompany’s website www.bhglobal.com.</w:t>
      </w:r>
    </w:p>
    <w:p w:rsidR="009866B4" w:rsidRDefault="009866B4">
      <w:pPr>
        <w:pStyle w:val="ParaIMS"/>
        <w:spacing w:before="0"/>
        <w:rPr>
          <w:rFonts w:ascii="Arial" w:hAnsi="Arial" w:cs="Arial"/>
          <w:szCs w:val="18"/>
        </w:rPr>
      </w:pPr>
    </w:p>
    <w:p w:rsidR="00676AFC" w:rsidRDefault="00676AFC">
      <w:pPr>
        <w:pStyle w:val="ParaIMS"/>
        <w:spacing w:before="0"/>
        <w:rPr>
          <w:rFonts w:ascii="Arial" w:hAnsi="Arial" w:cs="Arial"/>
          <w:szCs w:val="18"/>
        </w:rPr>
      </w:pPr>
    </w:p>
    <w:p w:rsidR="009866B4" w:rsidRDefault="009866B4">
      <w:pPr>
        <w:pStyle w:val="ParaIMS"/>
        <w:spacing w:before="0"/>
        <w:rPr>
          <w:rFonts w:ascii="Arial" w:hAnsi="Arial" w:cs="Arial"/>
          <w:szCs w:val="18"/>
        </w:rPr>
      </w:pPr>
    </w:p>
    <w:p w:rsidR="009866B4" w:rsidRDefault="009866B4">
      <w:pPr>
        <w:pStyle w:val="ParaIMS"/>
        <w:spacing w:before="0"/>
        <w:rPr>
          <w:rFonts w:ascii="Arial" w:hAnsi="Arial" w:cs="Arial"/>
          <w:szCs w:val="18"/>
        </w:rPr>
      </w:pPr>
    </w:p>
    <w:p w:rsidR="00676AFC" w:rsidRDefault="00676AFC">
      <w:pPr>
        <w:pStyle w:val="ParaIMS"/>
        <w:spacing w:before="0"/>
        <w:rPr>
          <w:rFonts w:ascii="Arial" w:hAnsi="Arial" w:cs="Arial"/>
          <w:szCs w:val="13"/>
        </w:rPr>
      </w:pPr>
    </w:p>
    <w:sectPr w:rsidR="00676AFC" w:rsidSect="00503AB7">
      <w:pgSz w:w="12240" w:h="15840" w:code="1"/>
      <w:pgMar w:top="850" w:right="850" w:bottom="850" w:left="850" w:header="706" w:footer="70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79C3" w:rsidRDefault="00BB79C3">
      <w:r>
        <w:separator/>
      </w:r>
    </w:p>
  </w:endnote>
  <w:endnote w:type="continuationSeparator" w:id="0">
    <w:p w:rsidR="00BB79C3" w:rsidRDefault="00BB79C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79C3" w:rsidRDefault="00BB79C3">
      <w:r>
        <w:separator/>
      </w:r>
    </w:p>
  </w:footnote>
  <w:footnote w:type="continuationSeparator" w:id="0">
    <w:p w:rsidR="00BB79C3" w:rsidRDefault="00BB79C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0"/>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124"/>
    <w:multiLevelType w:val="hybridMultilevel"/>
    <w:tmpl w:val="0000305E"/>
    <w:lvl w:ilvl="0" w:tplc="0000440D">
      <w:start w:val="1"/>
      <w:numFmt w:val="lowerRoman"/>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1EB"/>
    <w:multiLevelType w:val="hybridMultilevel"/>
    <w:tmpl w:val="00000BB3"/>
    <w:lvl w:ilvl="0" w:tplc="00002EA6">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12DB"/>
    <w:multiLevelType w:val="hybridMultilevel"/>
    <w:tmpl w:val="0000153C"/>
    <w:lvl w:ilvl="0" w:tplc="00007E87">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1547"/>
    <w:multiLevelType w:val="hybridMultilevel"/>
    <w:tmpl w:val="000054DE"/>
    <w:lvl w:ilvl="0" w:tplc="000039B3">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26A6"/>
    <w:multiLevelType w:val="hybridMultilevel"/>
    <w:tmpl w:val="0000701F"/>
    <w:lvl w:ilvl="0" w:tplc="00005D03">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2CD6"/>
    <w:multiLevelType w:val="hybridMultilevel"/>
    <w:tmpl w:val="000072AE"/>
    <w:lvl w:ilvl="0" w:tplc="00006952">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2D12"/>
    <w:multiLevelType w:val="hybridMultilevel"/>
    <w:tmpl w:val="0000074D"/>
    <w:lvl w:ilvl="0" w:tplc="00004DC8">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390C"/>
    <w:multiLevelType w:val="hybridMultilevel"/>
    <w:tmpl w:val="00000F3E"/>
    <w:lvl w:ilvl="0" w:tplc="00000099">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491C"/>
    <w:multiLevelType w:val="hybridMultilevel"/>
    <w:tmpl w:val="00004D06"/>
    <w:lvl w:ilvl="0" w:tplc="00004DB7">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5AF1"/>
    <w:multiLevelType w:val="hybridMultilevel"/>
    <w:tmpl w:val="000041BB"/>
    <w:lvl w:ilvl="0" w:tplc="000026E9">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5F90"/>
    <w:multiLevelType w:val="hybridMultilevel"/>
    <w:tmpl w:val="00001649"/>
    <w:lvl w:ilvl="0" w:tplc="00006DF1">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6443"/>
    <w:multiLevelType w:val="hybridMultilevel"/>
    <w:tmpl w:val="000066BB"/>
    <w:lvl w:ilvl="0" w:tplc="0000428B">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6784"/>
    <w:multiLevelType w:val="hybridMultilevel"/>
    <w:tmpl w:val="00004AE1"/>
    <w:lvl w:ilvl="0" w:tplc="00003D6C">
      <w:start w:val="14"/>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7A5A"/>
    <w:multiLevelType w:val="hybridMultilevel"/>
    <w:tmpl w:val="0000767D"/>
    <w:lvl w:ilvl="0" w:tplc="00004509">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1E694FD2"/>
    <w:multiLevelType w:val="hybridMultilevel"/>
    <w:tmpl w:val="18B8A5C2"/>
    <w:lvl w:ilvl="0" w:tplc="5D6C5362">
      <w:start w:val="1"/>
      <w:numFmt w:val="bullet"/>
      <w:pStyle w:val="LBulletIMS"/>
      <w:lvlText w:val=""/>
      <w:lvlJc w:val="left"/>
      <w:pPr>
        <w:tabs>
          <w:tab w:val="num" w:pos="878"/>
        </w:tabs>
        <w:ind w:left="0" w:firstLine="51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8C07CCA"/>
    <w:multiLevelType w:val="hybridMultilevel"/>
    <w:tmpl w:val="76FC2E9A"/>
    <w:lvl w:ilvl="0" w:tplc="65861F34">
      <w:start w:val="1"/>
      <w:numFmt w:val="bullet"/>
      <w:pStyle w:val="BulletIMS"/>
      <w:lvlText w:val=""/>
      <w:lvlJc w:val="left"/>
      <w:pPr>
        <w:tabs>
          <w:tab w:val="num" w:pos="518"/>
        </w:tabs>
        <w:ind w:left="518" w:hanging="51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5"/>
  </w:num>
  <w:num w:numId="3">
    <w:abstractNumId w:val="0"/>
  </w:num>
  <w:num w:numId="4">
    <w:abstractNumId w:val="13"/>
  </w:num>
  <w:num w:numId="5">
    <w:abstractNumId w:val="6"/>
  </w:num>
  <w:num w:numId="6">
    <w:abstractNumId w:val="11"/>
  </w:num>
  <w:num w:numId="7">
    <w:abstractNumId w:val="10"/>
  </w:num>
  <w:num w:numId="8">
    <w:abstractNumId w:val="2"/>
  </w:num>
  <w:num w:numId="9">
    <w:abstractNumId w:val="3"/>
  </w:num>
  <w:num w:numId="10">
    <w:abstractNumId w:val="8"/>
  </w:num>
  <w:num w:numId="11">
    <w:abstractNumId w:val="1"/>
  </w:num>
  <w:num w:numId="12">
    <w:abstractNumId w:val="9"/>
  </w:num>
  <w:num w:numId="13">
    <w:abstractNumId w:val="4"/>
  </w:num>
  <w:num w:numId="14">
    <w:abstractNumId w:val="7"/>
  </w:num>
  <w:num w:numId="15">
    <w:abstractNumId w:val="12"/>
  </w:num>
  <w:num w:numId="16">
    <w:abstractNumId w:val="5"/>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defaultTabStop w:val="518"/>
  <w:drawingGridHorizontalSpacing w:val="120"/>
  <w:displayHorizontalDrawingGridEvery w:val="2"/>
  <w:displayVerticalDrawingGridEvery w:val="2"/>
  <w:noPunctuationKerning/>
  <w:characterSpacingControl w:val="doNotCompress"/>
  <w:hdrShapeDefaults>
    <o:shapedefaults v:ext="edit" spidmax="23553"/>
  </w:hdrShapeDefaults>
  <w:footnotePr>
    <w:footnote w:id="-1"/>
    <w:footnote w:id="0"/>
  </w:footnotePr>
  <w:endnotePr>
    <w:endnote w:id="-1"/>
    <w:endnote w:id="0"/>
  </w:endnotePr>
  <w:compat/>
  <w:rsids>
    <w:rsidRoot w:val="00575094"/>
    <w:rsid w:val="00017824"/>
    <w:rsid w:val="00036F1B"/>
    <w:rsid w:val="00113311"/>
    <w:rsid w:val="001A270D"/>
    <w:rsid w:val="002779F2"/>
    <w:rsid w:val="00346DD0"/>
    <w:rsid w:val="003546D3"/>
    <w:rsid w:val="003660B1"/>
    <w:rsid w:val="00381813"/>
    <w:rsid w:val="00392FA6"/>
    <w:rsid w:val="0041072E"/>
    <w:rsid w:val="00413148"/>
    <w:rsid w:val="00442FDC"/>
    <w:rsid w:val="0047754B"/>
    <w:rsid w:val="00495004"/>
    <w:rsid w:val="00503AB7"/>
    <w:rsid w:val="00556E0B"/>
    <w:rsid w:val="00575094"/>
    <w:rsid w:val="005D2409"/>
    <w:rsid w:val="00664C41"/>
    <w:rsid w:val="00667A98"/>
    <w:rsid w:val="00676AFC"/>
    <w:rsid w:val="006A6475"/>
    <w:rsid w:val="006F17D6"/>
    <w:rsid w:val="007C31CA"/>
    <w:rsid w:val="00812846"/>
    <w:rsid w:val="00952882"/>
    <w:rsid w:val="009866B4"/>
    <w:rsid w:val="00987022"/>
    <w:rsid w:val="009B1219"/>
    <w:rsid w:val="009E30F4"/>
    <w:rsid w:val="009E4523"/>
    <w:rsid w:val="00A12814"/>
    <w:rsid w:val="00A14952"/>
    <w:rsid w:val="00A43033"/>
    <w:rsid w:val="00A513C4"/>
    <w:rsid w:val="00AA347F"/>
    <w:rsid w:val="00B1109D"/>
    <w:rsid w:val="00B20DF2"/>
    <w:rsid w:val="00B22F75"/>
    <w:rsid w:val="00B372EC"/>
    <w:rsid w:val="00B52450"/>
    <w:rsid w:val="00B54361"/>
    <w:rsid w:val="00B63F17"/>
    <w:rsid w:val="00BB03AF"/>
    <w:rsid w:val="00BB79C3"/>
    <w:rsid w:val="00BD02A2"/>
    <w:rsid w:val="00BD56FD"/>
    <w:rsid w:val="00BF75F2"/>
    <w:rsid w:val="00C06842"/>
    <w:rsid w:val="00CB2E61"/>
    <w:rsid w:val="00CC12AA"/>
    <w:rsid w:val="00CC2256"/>
    <w:rsid w:val="00CE0081"/>
    <w:rsid w:val="00CE46DC"/>
    <w:rsid w:val="00D057C5"/>
    <w:rsid w:val="00D1177E"/>
    <w:rsid w:val="00D22A3E"/>
    <w:rsid w:val="00D3447B"/>
    <w:rsid w:val="00D56FA3"/>
    <w:rsid w:val="00D92264"/>
    <w:rsid w:val="00DE34BA"/>
    <w:rsid w:val="00DF5CE2"/>
    <w:rsid w:val="00E8452B"/>
    <w:rsid w:val="00ED2C26"/>
    <w:rsid w:val="00F84390"/>
    <w:rsid w:val="00FA4FB5"/>
    <w:rsid w:val="00FB239F"/>
    <w:rsid w:val="00FC21A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3AB7"/>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MSBaseStyle">
    <w:name w:val="IMS Base Style"/>
    <w:rsid w:val="00503AB7"/>
    <w:rPr>
      <w:lang w:val="en-US" w:eastAsia="en-US"/>
    </w:rPr>
  </w:style>
  <w:style w:type="paragraph" w:customStyle="1" w:styleId="BannerIMS">
    <w:name w:val="Banner/IMS"/>
    <w:basedOn w:val="IMSBaseStyle"/>
    <w:next w:val="Normal"/>
    <w:rsid w:val="00503AB7"/>
    <w:pPr>
      <w:tabs>
        <w:tab w:val="right" w:pos="8640"/>
      </w:tabs>
    </w:pPr>
    <w:rPr>
      <w:sz w:val="16"/>
    </w:rPr>
  </w:style>
  <w:style w:type="paragraph" w:customStyle="1" w:styleId="Banner14IMS">
    <w:name w:val="Banner14/IMS"/>
    <w:basedOn w:val="IMSBaseStyle"/>
    <w:rsid w:val="00503AB7"/>
    <w:pPr>
      <w:spacing w:before="240"/>
    </w:pPr>
  </w:style>
  <w:style w:type="paragraph" w:customStyle="1" w:styleId="Banner2IMS">
    <w:name w:val="Banner2/IMS"/>
    <w:basedOn w:val="IMSBaseStyle"/>
    <w:rsid w:val="00503AB7"/>
    <w:pPr>
      <w:spacing w:after="20"/>
      <w:jc w:val="center"/>
    </w:pPr>
    <w:rPr>
      <w:b/>
    </w:rPr>
  </w:style>
  <w:style w:type="paragraph" w:customStyle="1" w:styleId="BoxTextIMS">
    <w:name w:val="BoxText/IMS"/>
    <w:basedOn w:val="IMSBaseStyle"/>
    <w:rsid w:val="00503AB7"/>
    <w:pPr>
      <w:pBdr>
        <w:top w:val="single" w:sz="4" w:space="2" w:color="auto"/>
        <w:left w:val="single" w:sz="4" w:space="6" w:color="auto"/>
        <w:bottom w:val="single" w:sz="4" w:space="2" w:color="auto"/>
        <w:right w:val="single" w:sz="4" w:space="6" w:color="auto"/>
      </w:pBdr>
      <w:jc w:val="both"/>
    </w:pPr>
  </w:style>
  <w:style w:type="paragraph" w:customStyle="1" w:styleId="BulletIMS">
    <w:name w:val="Bullet/IMS"/>
    <w:basedOn w:val="IMSBaseStyle"/>
    <w:rsid w:val="00503AB7"/>
    <w:pPr>
      <w:numPr>
        <w:numId w:val="1"/>
      </w:numPr>
      <w:spacing w:before="120"/>
    </w:pPr>
  </w:style>
  <w:style w:type="paragraph" w:customStyle="1" w:styleId="CBH16LIMS">
    <w:name w:val="CBH/16L/IMS"/>
    <w:basedOn w:val="IMSBaseStyle"/>
    <w:rsid w:val="00503AB7"/>
    <w:pPr>
      <w:keepNext/>
      <w:keepLines/>
      <w:spacing w:before="320"/>
      <w:jc w:val="center"/>
    </w:pPr>
    <w:rPr>
      <w:b/>
    </w:rPr>
  </w:style>
  <w:style w:type="paragraph" w:customStyle="1" w:styleId="CenterRuleIMS">
    <w:name w:val="Center Rule/IMS"/>
    <w:basedOn w:val="IMSBaseStyle"/>
    <w:next w:val="Normal"/>
    <w:rsid w:val="00503AB7"/>
    <w:pPr>
      <w:spacing w:before="60" w:after="60"/>
      <w:jc w:val="center"/>
    </w:pPr>
    <w:rPr>
      <w:b/>
      <w:position w:val="8"/>
      <w:sz w:val="21"/>
    </w:rPr>
  </w:style>
  <w:style w:type="paragraph" w:customStyle="1" w:styleId="Cov5ColIMS">
    <w:name w:val="Cov/5Col/IMS"/>
    <w:basedOn w:val="IMSBaseStyle"/>
    <w:rsid w:val="00503AB7"/>
    <w:pPr>
      <w:tabs>
        <w:tab w:val="left" w:leader="dot" w:pos="1224"/>
      </w:tabs>
      <w:suppressAutoHyphens/>
      <w:spacing w:after="54" w:line="175" w:lineRule="exact"/>
      <w:jc w:val="center"/>
    </w:pPr>
    <w:rPr>
      <w:sz w:val="16"/>
    </w:rPr>
  </w:style>
  <w:style w:type="paragraph" w:customStyle="1" w:styleId="CovBottomBorderIMS">
    <w:name w:val="Cov/BottomBorder/IMS"/>
    <w:basedOn w:val="IMSBaseStyle"/>
    <w:rsid w:val="00503AB7"/>
    <w:pPr>
      <w:pBdr>
        <w:bottom w:val="thickThinSmallGap" w:sz="24" w:space="1" w:color="auto"/>
      </w:pBdr>
      <w:spacing w:before="160"/>
    </w:pPr>
  </w:style>
  <w:style w:type="paragraph" w:customStyle="1" w:styleId="CovCentered10ptIMS">
    <w:name w:val="Cov/Centered 10pt/IMS"/>
    <w:basedOn w:val="IMSBaseStyle"/>
    <w:rsid w:val="00503AB7"/>
    <w:pPr>
      <w:spacing w:before="240"/>
      <w:jc w:val="center"/>
    </w:pPr>
  </w:style>
  <w:style w:type="paragraph" w:customStyle="1" w:styleId="CovCheckBoxIMS">
    <w:name w:val="Cov/CheckBox/IMS"/>
    <w:basedOn w:val="IMSBaseStyle"/>
    <w:rsid w:val="00503AB7"/>
    <w:pPr>
      <w:spacing w:before="240"/>
      <w:ind w:left="720" w:hanging="720"/>
    </w:pPr>
    <w:rPr>
      <w:rFonts w:ascii="Times New Roman Bold" w:hAnsi="Times New Roman Bold"/>
      <w:b/>
      <w:bCs/>
    </w:rPr>
  </w:style>
  <w:style w:type="paragraph" w:customStyle="1" w:styleId="CovCmpnyInfo10IMS">
    <w:name w:val="Cov/Cmpny Info 1/0/IMS"/>
    <w:basedOn w:val="IMSBaseStyle"/>
    <w:rsid w:val="00503AB7"/>
    <w:pPr>
      <w:jc w:val="center"/>
    </w:pPr>
  </w:style>
  <w:style w:type="paragraph" w:customStyle="1" w:styleId="CovCmpnyInfo1IMS">
    <w:name w:val="Cov/Cmpny Info 1/IMS"/>
    <w:basedOn w:val="IMSBaseStyle"/>
    <w:rsid w:val="00503AB7"/>
    <w:pPr>
      <w:spacing w:before="240"/>
      <w:jc w:val="center"/>
    </w:pPr>
  </w:style>
  <w:style w:type="paragraph" w:customStyle="1" w:styleId="CovCmpnyInfo2IMS">
    <w:name w:val="Cov/Cmpny Info 2/IMS"/>
    <w:basedOn w:val="IMSBaseStyle"/>
    <w:rsid w:val="00503AB7"/>
    <w:pPr>
      <w:tabs>
        <w:tab w:val="center" w:pos="2000"/>
        <w:tab w:val="center" w:pos="7900"/>
      </w:tabs>
      <w:spacing w:before="120"/>
    </w:pPr>
    <w:rPr>
      <w:bCs/>
    </w:rPr>
  </w:style>
  <w:style w:type="paragraph" w:customStyle="1" w:styleId="CovCmpnyInfo3IMS">
    <w:name w:val="Cov/Cmpny Info 3/IMS"/>
    <w:basedOn w:val="IMSBaseStyle"/>
    <w:rsid w:val="00503AB7"/>
    <w:pPr>
      <w:tabs>
        <w:tab w:val="center" w:pos="1980"/>
        <w:tab w:val="center" w:pos="4700"/>
        <w:tab w:val="center" w:pos="7900"/>
      </w:tabs>
      <w:spacing w:before="120"/>
    </w:pPr>
    <w:rPr>
      <w:snapToGrid w:val="0"/>
    </w:rPr>
  </w:style>
  <w:style w:type="paragraph" w:customStyle="1" w:styleId="CovCmpnyNameIMS">
    <w:name w:val="Cov/Cmpny Name/IMS"/>
    <w:basedOn w:val="IMSBaseStyle"/>
    <w:rsid w:val="00503AB7"/>
    <w:pPr>
      <w:spacing w:before="160"/>
      <w:jc w:val="center"/>
    </w:pPr>
    <w:rPr>
      <w:rFonts w:ascii="Times New Roman Bold" w:hAnsi="Times New Roman Bold"/>
      <w:b/>
      <w:bCs/>
      <w:snapToGrid w:val="0"/>
      <w:sz w:val="36"/>
    </w:rPr>
  </w:style>
  <w:style w:type="paragraph" w:customStyle="1" w:styleId="CovSECAddrssIMS">
    <w:name w:val="Cov/SEC Addrss/IMS"/>
    <w:basedOn w:val="IMSBaseStyle"/>
    <w:rsid w:val="00503AB7"/>
    <w:pPr>
      <w:jc w:val="center"/>
    </w:pPr>
    <w:rPr>
      <w:b/>
      <w:bCs/>
      <w:snapToGrid w:val="0"/>
    </w:rPr>
  </w:style>
  <w:style w:type="paragraph" w:customStyle="1" w:styleId="CovSECFormIMS">
    <w:name w:val="Cov/SEC/Form/IMS"/>
    <w:basedOn w:val="IMSBaseStyle"/>
    <w:rsid w:val="00503AB7"/>
    <w:pPr>
      <w:spacing w:before="240"/>
      <w:jc w:val="center"/>
    </w:pPr>
    <w:rPr>
      <w:b/>
      <w:bCs/>
      <w:snapToGrid w:val="0"/>
      <w:sz w:val="32"/>
    </w:rPr>
  </w:style>
  <w:style w:type="paragraph" w:customStyle="1" w:styleId="CovSECIMS">
    <w:name w:val="Cov/SEC/IMS"/>
    <w:basedOn w:val="IMSBaseStyle"/>
    <w:rsid w:val="00503AB7"/>
    <w:pPr>
      <w:jc w:val="center"/>
    </w:pPr>
    <w:rPr>
      <w:b/>
      <w:bCs/>
      <w:sz w:val="32"/>
    </w:rPr>
  </w:style>
  <w:style w:type="paragraph" w:customStyle="1" w:styleId="CovSECPeriodIMS">
    <w:name w:val="Cov/SEC/Period/IMS"/>
    <w:basedOn w:val="IMSBaseStyle"/>
    <w:rsid w:val="00503AB7"/>
    <w:pPr>
      <w:spacing w:before="240"/>
      <w:jc w:val="center"/>
    </w:pPr>
    <w:rPr>
      <w:rFonts w:ascii="Times New Roman Bold" w:hAnsi="Times New Roman Bold"/>
      <w:b/>
      <w:bCs/>
    </w:rPr>
  </w:style>
  <w:style w:type="paragraph" w:customStyle="1" w:styleId="CovTopBorderIMS">
    <w:name w:val="Cov/TopBorder/IMS"/>
    <w:basedOn w:val="IMSBaseStyle"/>
    <w:rsid w:val="00503AB7"/>
    <w:pPr>
      <w:pBdr>
        <w:bottom w:val="thinThickSmallGap" w:sz="24" w:space="1" w:color="auto"/>
      </w:pBdr>
      <w:spacing w:after="160"/>
      <w:jc w:val="right"/>
    </w:pPr>
    <w:rPr>
      <w:b/>
      <w:bCs/>
      <w:snapToGrid w:val="0"/>
    </w:rPr>
  </w:style>
  <w:style w:type="paragraph" w:customStyle="1" w:styleId="CRH16LIMS">
    <w:name w:val="CRH/16L/IMS"/>
    <w:basedOn w:val="IMSBaseStyle"/>
    <w:rsid w:val="00503AB7"/>
    <w:pPr>
      <w:keepNext/>
      <w:keepLines/>
      <w:spacing w:before="320"/>
      <w:jc w:val="center"/>
    </w:pPr>
  </w:style>
  <w:style w:type="paragraph" w:customStyle="1" w:styleId="ExhAddressIMS">
    <w:name w:val="Exh/Address/IMS"/>
    <w:basedOn w:val="IMSBaseStyle"/>
    <w:rsid w:val="00503AB7"/>
    <w:pPr>
      <w:spacing w:before="160"/>
      <w:ind w:left="2160" w:hanging="1440"/>
    </w:pPr>
  </w:style>
  <w:style w:type="paragraph" w:customStyle="1" w:styleId="ExhIndexHeadingIMS">
    <w:name w:val="ExhIndex/Heading/IMS"/>
    <w:basedOn w:val="IMSBaseStyle"/>
    <w:rsid w:val="00503AB7"/>
    <w:pPr>
      <w:tabs>
        <w:tab w:val="left" w:pos="1300"/>
      </w:tabs>
      <w:spacing w:before="240"/>
      <w:ind w:left="504"/>
    </w:pPr>
    <w:rPr>
      <w:b/>
      <w:bCs/>
    </w:rPr>
  </w:style>
  <w:style w:type="paragraph" w:customStyle="1" w:styleId="ExhIndexIMS">
    <w:name w:val="ExhIndex/IMS"/>
    <w:basedOn w:val="IMSBaseStyle"/>
    <w:rsid w:val="00503AB7"/>
    <w:pPr>
      <w:tabs>
        <w:tab w:val="decimal" w:pos="778"/>
        <w:tab w:val="left" w:pos="1296"/>
      </w:tabs>
      <w:spacing w:before="160"/>
      <w:ind w:left="1296" w:hanging="778"/>
    </w:pPr>
  </w:style>
  <w:style w:type="paragraph" w:customStyle="1" w:styleId="ExhParaIMS">
    <w:name w:val="ExhPara/IMS"/>
    <w:basedOn w:val="IMSBaseStyle"/>
    <w:rsid w:val="00503AB7"/>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60"/>
    </w:pPr>
  </w:style>
  <w:style w:type="paragraph" w:customStyle="1" w:styleId="FootnoteRuleIMS">
    <w:name w:val="Footnote Rule/IMS"/>
    <w:basedOn w:val="IMSBaseStyle"/>
    <w:next w:val="Normal"/>
    <w:rsid w:val="00503AB7"/>
    <w:rPr>
      <w:b/>
      <w:sz w:val="21"/>
    </w:rPr>
  </w:style>
  <w:style w:type="paragraph" w:customStyle="1" w:styleId="FootnoteIMS">
    <w:name w:val="Footnote/IMS"/>
    <w:basedOn w:val="IMSBaseStyle"/>
    <w:rsid w:val="00503AB7"/>
    <w:pPr>
      <w:tabs>
        <w:tab w:val="right" w:pos="360"/>
        <w:tab w:val="left" w:pos="518"/>
        <w:tab w:val="right" w:pos="878"/>
        <w:tab w:val="left" w:pos="1037"/>
        <w:tab w:val="right" w:pos="1397"/>
        <w:tab w:val="left" w:pos="1555"/>
        <w:tab w:val="right" w:pos="1915"/>
        <w:tab w:val="left" w:pos="2074"/>
        <w:tab w:val="right" w:pos="2434"/>
        <w:tab w:val="left" w:pos="2592"/>
        <w:tab w:val="right" w:pos="2952"/>
        <w:tab w:val="left" w:pos="3110"/>
        <w:tab w:val="right" w:pos="3470"/>
        <w:tab w:val="left" w:pos="3629"/>
        <w:tab w:val="right" w:pos="3989"/>
        <w:tab w:val="left" w:pos="4147"/>
        <w:tab w:val="right" w:pos="4507"/>
        <w:tab w:val="left" w:pos="4666"/>
      </w:tabs>
      <w:spacing w:before="60"/>
      <w:ind w:left="518" w:hanging="518"/>
    </w:pPr>
  </w:style>
  <w:style w:type="paragraph" w:customStyle="1" w:styleId="GenericIMS">
    <w:name w:val="Generic/IMS"/>
    <w:basedOn w:val="IMSBaseStyle"/>
    <w:rsid w:val="00503AB7"/>
  </w:style>
  <w:style w:type="paragraph" w:customStyle="1" w:styleId="HangingIMS">
    <w:name w:val="Hanging/IMS"/>
    <w:basedOn w:val="IMSBaseStyle"/>
    <w:rsid w:val="00503AB7"/>
    <w:pPr>
      <w:spacing w:before="120"/>
      <w:ind w:left="1037" w:hanging="1037"/>
    </w:pPr>
  </w:style>
  <w:style w:type="paragraph" w:customStyle="1" w:styleId="Item12LIMS">
    <w:name w:val="Item/12L/IMS"/>
    <w:basedOn w:val="IMSBaseStyle"/>
    <w:rsid w:val="00503AB7"/>
    <w:pPr>
      <w:keepNext/>
      <w:keepLines/>
      <w:tabs>
        <w:tab w:val="left" w:pos="1080"/>
      </w:tabs>
      <w:spacing w:before="240"/>
      <w:ind w:left="1037" w:hanging="1037"/>
    </w:pPr>
    <w:rPr>
      <w:b/>
    </w:rPr>
  </w:style>
  <w:style w:type="paragraph" w:customStyle="1" w:styleId="LBH12LIMS">
    <w:name w:val="LBH/12L/IMS"/>
    <w:basedOn w:val="IMSBaseStyle"/>
    <w:rsid w:val="00503AB7"/>
    <w:pPr>
      <w:keepNext/>
      <w:keepLines/>
      <w:tabs>
        <w:tab w:val="left" w:pos="518"/>
        <w:tab w:val="left" w:pos="778"/>
        <w:tab w:val="left" w:pos="1037"/>
        <w:tab w:val="left" w:pos="1296"/>
      </w:tabs>
      <w:spacing w:before="240"/>
    </w:pPr>
    <w:rPr>
      <w:b/>
    </w:rPr>
  </w:style>
  <w:style w:type="paragraph" w:customStyle="1" w:styleId="LBH1812LIMS">
    <w:name w:val="LBH18/12L/IMS"/>
    <w:basedOn w:val="IMSBaseStyle"/>
    <w:rsid w:val="00503AB7"/>
    <w:pPr>
      <w:keepNext/>
      <w:keepLines/>
      <w:tabs>
        <w:tab w:val="left" w:pos="518"/>
        <w:tab w:val="left" w:pos="778"/>
        <w:tab w:val="left" w:pos="1037"/>
        <w:tab w:val="left" w:pos="1296"/>
      </w:tabs>
      <w:spacing w:before="240"/>
      <w:ind w:left="259"/>
    </w:pPr>
    <w:rPr>
      <w:b/>
    </w:rPr>
  </w:style>
  <w:style w:type="paragraph" w:customStyle="1" w:styleId="LBH3612LIMS">
    <w:name w:val="LBH36/12L/IMS"/>
    <w:basedOn w:val="IMSBaseStyle"/>
    <w:rsid w:val="00503AB7"/>
    <w:pPr>
      <w:keepNext/>
      <w:keepLines/>
      <w:tabs>
        <w:tab w:val="left" w:pos="778"/>
        <w:tab w:val="left" w:pos="1037"/>
        <w:tab w:val="left" w:pos="1296"/>
      </w:tabs>
      <w:spacing w:before="240"/>
      <w:ind w:left="518"/>
    </w:pPr>
    <w:rPr>
      <w:b/>
    </w:rPr>
  </w:style>
  <w:style w:type="paragraph" w:customStyle="1" w:styleId="LBIH12LIMS">
    <w:name w:val="LBIH/12L/IMS"/>
    <w:basedOn w:val="IMSBaseStyle"/>
    <w:rsid w:val="00503AB7"/>
    <w:pPr>
      <w:keepNext/>
      <w:keepLines/>
      <w:tabs>
        <w:tab w:val="left" w:pos="518"/>
        <w:tab w:val="left" w:pos="778"/>
        <w:tab w:val="left" w:pos="1037"/>
        <w:tab w:val="left" w:pos="1296"/>
      </w:tabs>
      <w:spacing w:before="240"/>
    </w:pPr>
    <w:rPr>
      <w:b/>
      <w:i/>
    </w:rPr>
  </w:style>
  <w:style w:type="paragraph" w:customStyle="1" w:styleId="LBIH1812LIMS">
    <w:name w:val="LBIH18/12L/IMS"/>
    <w:basedOn w:val="IMSBaseStyle"/>
    <w:rsid w:val="00503AB7"/>
    <w:pPr>
      <w:keepNext/>
      <w:keepLines/>
      <w:tabs>
        <w:tab w:val="left" w:pos="518"/>
        <w:tab w:val="left" w:pos="778"/>
        <w:tab w:val="left" w:pos="1037"/>
        <w:tab w:val="left" w:pos="1296"/>
      </w:tabs>
      <w:spacing w:before="240"/>
      <w:ind w:left="259"/>
    </w:pPr>
    <w:rPr>
      <w:b/>
      <w:i/>
    </w:rPr>
  </w:style>
  <w:style w:type="paragraph" w:customStyle="1" w:styleId="LBIH3612LIMS">
    <w:name w:val="LBIH36/12L/IMS"/>
    <w:basedOn w:val="IMSBaseStyle"/>
    <w:rsid w:val="00503AB7"/>
    <w:pPr>
      <w:keepNext/>
      <w:keepLines/>
      <w:tabs>
        <w:tab w:val="left" w:pos="778"/>
        <w:tab w:val="left" w:pos="1037"/>
        <w:tab w:val="left" w:pos="1296"/>
      </w:tabs>
      <w:spacing w:before="240"/>
      <w:ind w:left="518"/>
    </w:pPr>
    <w:rPr>
      <w:b/>
      <w:i/>
    </w:rPr>
  </w:style>
  <w:style w:type="paragraph" w:customStyle="1" w:styleId="LBulletIMS">
    <w:name w:val="LBullet/IMS"/>
    <w:basedOn w:val="IMSBaseStyle"/>
    <w:rsid w:val="00503AB7"/>
    <w:pPr>
      <w:numPr>
        <w:numId w:val="2"/>
      </w:numPr>
      <w:spacing w:before="120"/>
    </w:pPr>
  </w:style>
  <w:style w:type="paragraph" w:customStyle="1" w:styleId="LFootnoteIMS">
    <w:name w:val="LFootnote/IMS"/>
    <w:basedOn w:val="IMSBaseStyle"/>
    <w:rsid w:val="00503AB7"/>
    <w:pPr>
      <w:spacing w:before="60"/>
      <w:ind w:left="518" w:hanging="518"/>
    </w:pPr>
  </w:style>
  <w:style w:type="paragraph" w:customStyle="1" w:styleId="LIH12LIMS">
    <w:name w:val="LIH/12L/IMS"/>
    <w:basedOn w:val="IMSBaseStyle"/>
    <w:rsid w:val="00503AB7"/>
    <w:pPr>
      <w:keepNext/>
      <w:keepLines/>
      <w:tabs>
        <w:tab w:val="left" w:pos="518"/>
        <w:tab w:val="left" w:pos="778"/>
        <w:tab w:val="left" w:pos="1037"/>
        <w:tab w:val="left" w:pos="1296"/>
      </w:tabs>
      <w:spacing w:before="240"/>
    </w:pPr>
    <w:rPr>
      <w:i/>
    </w:rPr>
  </w:style>
  <w:style w:type="paragraph" w:customStyle="1" w:styleId="LIH1812LIMS">
    <w:name w:val="LIH18/12L/IMS"/>
    <w:basedOn w:val="IMSBaseStyle"/>
    <w:rsid w:val="00503AB7"/>
    <w:pPr>
      <w:keepNext/>
      <w:keepLines/>
      <w:tabs>
        <w:tab w:val="left" w:pos="518"/>
        <w:tab w:val="left" w:pos="778"/>
        <w:tab w:val="left" w:pos="1037"/>
        <w:tab w:val="left" w:pos="1296"/>
      </w:tabs>
      <w:spacing w:before="240"/>
      <w:ind w:left="259"/>
    </w:pPr>
    <w:rPr>
      <w:i/>
    </w:rPr>
  </w:style>
  <w:style w:type="paragraph" w:customStyle="1" w:styleId="LIH3612LIMS">
    <w:name w:val="LIH36/12L/IMS"/>
    <w:basedOn w:val="IMSBaseStyle"/>
    <w:rsid w:val="00503AB7"/>
    <w:pPr>
      <w:keepNext/>
      <w:keepLines/>
      <w:tabs>
        <w:tab w:val="left" w:pos="778"/>
        <w:tab w:val="left" w:pos="1037"/>
        <w:tab w:val="left" w:pos="1296"/>
      </w:tabs>
      <w:spacing w:before="240"/>
      <w:ind w:left="518"/>
    </w:pPr>
    <w:rPr>
      <w:i/>
    </w:rPr>
  </w:style>
  <w:style w:type="paragraph" w:customStyle="1" w:styleId="LstIMS">
    <w:name w:val="Lst/IMS"/>
    <w:basedOn w:val="IMSBaseStyle"/>
    <w:rsid w:val="00503AB7"/>
    <w:pPr>
      <w:spacing w:before="120"/>
    </w:pPr>
  </w:style>
  <w:style w:type="paragraph" w:customStyle="1" w:styleId="LstRomanIMS">
    <w:name w:val="LstRoman/IMS"/>
    <w:basedOn w:val="IMSBaseStyle"/>
    <w:rsid w:val="00503AB7"/>
    <w:pPr>
      <w:spacing w:before="120"/>
      <w:ind w:left="518" w:hanging="518"/>
    </w:pPr>
  </w:style>
  <w:style w:type="paragraph" w:customStyle="1" w:styleId="NOTESIMS">
    <w:name w:val="NOTES/IMS"/>
    <w:basedOn w:val="IMSBaseStyle"/>
    <w:rsid w:val="00503AB7"/>
    <w:pPr>
      <w:spacing w:before="360"/>
      <w:jc w:val="center"/>
    </w:pPr>
    <w:rPr>
      <w:i/>
    </w:rPr>
  </w:style>
  <w:style w:type="paragraph" w:customStyle="1" w:styleId="ParaIMS">
    <w:name w:val="Para/IMS"/>
    <w:basedOn w:val="IMSBaseStyle"/>
    <w:rsid w:val="00503AB7"/>
    <w:pPr>
      <w:spacing w:before="160"/>
    </w:pPr>
  </w:style>
  <w:style w:type="paragraph" w:customStyle="1" w:styleId="RBH8LIMS">
    <w:name w:val="RBH/8L/IMS"/>
    <w:basedOn w:val="IMSBaseStyle"/>
    <w:rsid w:val="00503AB7"/>
    <w:pPr>
      <w:keepNext/>
      <w:keepLines/>
      <w:spacing w:before="160"/>
      <w:jc w:val="right"/>
    </w:pPr>
    <w:rPr>
      <w:b/>
    </w:rPr>
  </w:style>
  <w:style w:type="paragraph" w:customStyle="1" w:styleId="RedHerringIMS">
    <w:name w:val="RedHerring/IMS"/>
    <w:basedOn w:val="IMSBaseStyle"/>
    <w:rsid w:val="00503AB7"/>
    <w:pPr>
      <w:framePr w:w="735" w:h="13485" w:hSpace="180" w:wrap="around" w:vAnchor="page" w:hAnchor="text" w:x="-1152" w:y="1257" w:anchorLock="1"/>
      <w:autoSpaceDE w:val="0"/>
      <w:autoSpaceDN w:val="0"/>
      <w:adjustRightInd w:val="0"/>
      <w:textDirection w:val="btLr"/>
    </w:pPr>
    <w:rPr>
      <w:rFonts w:ascii="Helvetica" w:hAnsi="Helvetica" w:cs="Courier New"/>
      <w:color w:val="FF0000"/>
      <w:sz w:val="16"/>
    </w:rPr>
  </w:style>
  <w:style w:type="paragraph" w:customStyle="1" w:styleId="TableColumnHeadingIMS">
    <w:name w:val="Table Column Heading/IMS"/>
    <w:basedOn w:val="IMSBaseStyle"/>
    <w:rsid w:val="00503AB7"/>
    <w:pPr>
      <w:spacing w:before="40"/>
      <w:jc w:val="center"/>
    </w:pPr>
    <w:rPr>
      <w:b/>
      <w:sz w:val="16"/>
    </w:rPr>
  </w:style>
  <w:style w:type="paragraph" w:customStyle="1" w:styleId="TableColumnIMS">
    <w:name w:val="Table Column/IMS"/>
    <w:basedOn w:val="IMSBaseStyle"/>
    <w:rsid w:val="00503AB7"/>
    <w:pPr>
      <w:spacing w:before="40"/>
      <w:jc w:val="right"/>
    </w:pPr>
  </w:style>
  <w:style w:type="paragraph" w:customStyle="1" w:styleId="TableCustomIMS">
    <w:name w:val="Table Custom/IMS"/>
    <w:basedOn w:val="IMSBaseStyle"/>
    <w:rsid w:val="00503AB7"/>
    <w:pPr>
      <w:spacing w:before="40"/>
      <w:jc w:val="right"/>
    </w:pPr>
  </w:style>
  <w:style w:type="paragraph" w:customStyle="1" w:styleId="TableEndParenIMS">
    <w:name w:val="Table EndParen/IMS"/>
    <w:basedOn w:val="IMSBaseStyle"/>
    <w:rsid w:val="00503AB7"/>
    <w:pPr>
      <w:spacing w:before="40"/>
      <w:ind w:left="-14"/>
    </w:pPr>
  </w:style>
  <w:style w:type="paragraph" w:customStyle="1" w:styleId="TableGenericExpandIMS">
    <w:name w:val="Table Generic Expand/IMS"/>
    <w:basedOn w:val="IMSBaseStyle"/>
    <w:rsid w:val="00503AB7"/>
  </w:style>
  <w:style w:type="paragraph" w:customStyle="1" w:styleId="TableHeadingExpandIMS">
    <w:name w:val="Table Heading Expand/IMS"/>
    <w:basedOn w:val="TableColumnHeadingIMS"/>
    <w:rsid w:val="00503AB7"/>
  </w:style>
  <w:style w:type="paragraph" w:customStyle="1" w:styleId="TableStubExpandIMS">
    <w:name w:val="Table Stub Expand/IMS"/>
    <w:basedOn w:val="Normal"/>
    <w:rsid w:val="00503AB7"/>
    <w:pPr>
      <w:spacing w:before="40"/>
    </w:pPr>
    <w:rPr>
      <w:sz w:val="20"/>
      <w:szCs w:val="20"/>
    </w:rPr>
  </w:style>
  <w:style w:type="paragraph" w:customStyle="1" w:styleId="TableStubIMS">
    <w:name w:val="Table Stub/IMS"/>
    <w:basedOn w:val="IMSBaseStyle"/>
    <w:rsid w:val="00503AB7"/>
    <w:pPr>
      <w:spacing w:before="40"/>
    </w:pPr>
  </w:style>
  <w:style w:type="paragraph" w:customStyle="1" w:styleId="TableIMS">
    <w:name w:val="Table/IMS"/>
    <w:basedOn w:val="IMSBaseStyle"/>
    <w:rsid w:val="00503AB7"/>
    <w:pPr>
      <w:spacing w:before="40"/>
    </w:pPr>
  </w:style>
  <w:style w:type="paragraph" w:customStyle="1" w:styleId="TableSpacerIMS">
    <w:name w:val="Table/Spacer/IMS"/>
    <w:basedOn w:val="IMSBaseStyle"/>
    <w:rsid w:val="00503AB7"/>
    <w:rPr>
      <w:sz w:val="4"/>
    </w:rPr>
  </w:style>
  <w:style w:type="character" w:styleId="Hyperlink">
    <w:name w:val="Hyperlink"/>
    <w:basedOn w:val="DefaultParagraphFont"/>
    <w:semiHidden/>
    <w:rsid w:val="00503AB7"/>
    <w:rPr>
      <w:color w:val="0000FF"/>
      <w:u w:val="single"/>
    </w:rPr>
  </w:style>
  <w:style w:type="paragraph" w:styleId="Header">
    <w:name w:val="header"/>
    <w:basedOn w:val="Normal"/>
    <w:semiHidden/>
    <w:rsid w:val="00503AB7"/>
    <w:pPr>
      <w:tabs>
        <w:tab w:val="center" w:pos="4320"/>
        <w:tab w:val="right" w:pos="8640"/>
      </w:tabs>
    </w:pPr>
  </w:style>
  <w:style w:type="paragraph" w:styleId="Footer">
    <w:name w:val="footer"/>
    <w:basedOn w:val="Normal"/>
    <w:semiHidden/>
    <w:rsid w:val="00503AB7"/>
    <w:pPr>
      <w:tabs>
        <w:tab w:val="center" w:pos="4320"/>
        <w:tab w:val="right" w:pos="8640"/>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IMS\EDGARdocs\Templates\Standa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1119A4-67EE-4AF1-A178-46DAF6089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Standard.dot</Template>
  <TotalTime>0</TotalTime>
  <Pages>21</Pages>
  <Words>9781</Words>
  <Characters>53894</Characters>
  <Application>Microsoft Office Word</Application>
  <DocSecurity>0</DocSecurity>
  <Lines>449</Lines>
  <Paragraphs>127</Paragraphs>
  <ScaleCrop>false</ScaleCrop>
  <HeadingPairs>
    <vt:vector size="2" baseType="variant">
      <vt:variant>
        <vt:lpstr>Title</vt:lpstr>
      </vt:variant>
      <vt:variant>
        <vt:i4>1</vt:i4>
      </vt:variant>
    </vt:vector>
  </HeadingPairs>
  <TitlesOfParts>
    <vt:vector size="1" baseType="lpstr">
      <vt:lpstr>BH Global Limited</vt:lpstr>
    </vt:vector>
  </TitlesOfParts>
  <Company>Integreon</Company>
  <LinksUpToDate>false</LinksUpToDate>
  <CharactersWithSpaces>63548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BH Global Limited</dc:title>
  <dc:subject/>
  <dc:creator>elangovan.s01431108</dc:creator>
  <cp:keywords/>
  <dc:description/>
  <cp:lastModifiedBy>The Northern Trust</cp:lastModifiedBy>
  <cp:revision>2</cp:revision>
  <cp:lastPrinted>2012-08-14T13:04:00Z</cp:lastPrinted>
  <dcterms:created xsi:type="dcterms:W3CDTF">2012-08-22T15:53:00Z</dcterms:created>
  <dcterms:modified xsi:type="dcterms:W3CDTF">2012-08-22T15:53:00Z</dcterms:modified>
</cp:coreProperties>
</file>