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284" w:firstLine="0"/>
        <w:jc w:val="both"/>
        <w:rPr>
          <w:sz w:val="22"/>
          <w:szCs w:val="22"/>
          <w:highlight w:val="white"/>
        </w:rPr>
      </w:pPr>
      <w:r w:rsidDel="00000000" w:rsidR="00000000" w:rsidRPr="00000000">
        <w:rPr>
          <w:sz w:val="22"/>
          <w:szCs w:val="22"/>
          <w:rtl w:val="0"/>
        </w:rPr>
        <w:t xml:space="preserve">En la Ciudad Autónoma de Buenos Aires, a los 15 días del mes de enero de 2025, siendo las 17 horas, se reúnen los directores de Banco Macro S.A. (el “Banco”), encontrándose presentes en la sede social los señores directores Jorge Pablo Brito, Marcos Brito, Nelson Damián Pozzoli, Fabián de Paul y Nicolás Valenzuela, e</w:t>
      </w:r>
      <w:r w:rsidDel="00000000" w:rsidR="00000000" w:rsidRPr="00000000">
        <w:rPr>
          <w:sz w:val="22"/>
          <w:szCs w:val="22"/>
          <w:highlight w:val="white"/>
          <w:rtl w:val="0"/>
        </w:rPr>
        <w:t xml:space="preserve">l integrante de la Comisión Fiscalizadora Cdor. Alejandro Almarza</w:t>
      </w:r>
      <w:r w:rsidDel="00000000" w:rsidR="00000000" w:rsidRPr="00000000">
        <w:rPr>
          <w:sz w:val="22"/>
          <w:szCs w:val="22"/>
          <w:rtl w:val="0"/>
        </w:rPr>
        <w:t xml:space="preserve">, </w:t>
      </w:r>
      <w:r w:rsidDel="00000000" w:rsidR="00000000" w:rsidRPr="00000000">
        <w:rPr>
          <w:sz w:val="22"/>
          <w:szCs w:val="22"/>
          <w:highlight w:val="white"/>
          <w:rtl w:val="0"/>
        </w:rPr>
        <w:t xml:space="preserve">el Asesor Legal del Directorio Dr. Hugo N. L. Bruzone, y mediante videoconferencia los señores directores Carlos Alberto Giovanelli, José Sánchez, Sebastián Palla, Guido Gallino, los integrantes de la Comisión Fiscalizadora</w:t>
      </w:r>
      <w:r w:rsidDel="00000000" w:rsidR="00000000" w:rsidRPr="00000000">
        <w:rPr>
          <w:sz w:val="22"/>
          <w:szCs w:val="22"/>
          <w:rtl w:val="0"/>
        </w:rPr>
        <w:t xml:space="preserve"> </w:t>
      </w:r>
      <w:r w:rsidDel="00000000" w:rsidR="00000000" w:rsidRPr="00000000">
        <w:rPr>
          <w:sz w:val="22"/>
          <w:szCs w:val="22"/>
          <w:highlight w:val="white"/>
          <w:rtl w:val="0"/>
        </w:rPr>
        <w:t xml:space="preserve">Cdor.</w:t>
      </w:r>
      <w:r w:rsidDel="00000000" w:rsidR="00000000" w:rsidRPr="00000000">
        <w:rPr>
          <w:sz w:val="22"/>
          <w:szCs w:val="22"/>
          <w:rtl w:val="0"/>
        </w:rPr>
        <w:t xml:space="preserve"> Carlos Javier Piazza y </w:t>
      </w:r>
      <w:r w:rsidDel="00000000" w:rsidR="00000000" w:rsidRPr="00000000">
        <w:rPr>
          <w:sz w:val="22"/>
          <w:szCs w:val="22"/>
          <w:highlight w:val="white"/>
          <w:rtl w:val="0"/>
        </w:rPr>
        <w:t xml:space="preserve">Cdora. Vivian Stenghele, y la Secretaria del Directorio Dra. Carolina Leonhart.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adoptadas por el Directorio en esta reunión, y los votos de los participantes. </w:t>
      </w:r>
    </w:p>
    <w:p w:rsidR="00000000" w:rsidDel="00000000" w:rsidP="00000000" w:rsidRDefault="00000000" w:rsidRPr="00000000" w14:paraId="00000002">
      <w:pPr>
        <w:spacing w:line="360" w:lineRule="auto"/>
        <w:ind w:left="284" w:right="284" w:firstLine="0"/>
        <w:jc w:val="both"/>
        <w:rPr>
          <w:sz w:val="22"/>
          <w:szCs w:val="22"/>
        </w:rPr>
      </w:pPr>
      <w:r w:rsidDel="00000000" w:rsidR="00000000" w:rsidRPr="00000000">
        <w:rPr>
          <w:sz w:val="22"/>
          <w:szCs w:val="22"/>
          <w:highlight w:val="white"/>
          <w:rtl w:val="0"/>
        </w:rPr>
        <w:t xml:space="preserve">Pr</w:t>
      </w:r>
      <w:r w:rsidDel="00000000" w:rsidR="00000000" w:rsidRPr="00000000">
        <w:rPr>
          <w:sz w:val="22"/>
          <w:szCs w:val="22"/>
          <w:rtl w:val="0"/>
        </w:rPr>
        <w:t xml:space="preserve">eside la reunión el Presidente del Directorio, señor Jorge Pablo Brito, quien cede la palabra al Asesor Legal del Directorio, Dr. Bruzone, que informa que la presente reunión tiene por objeto considerar los siguientes puntos de la agenda: … </w:t>
      </w:r>
      <w:r w:rsidDel="00000000" w:rsidR="00000000" w:rsidRPr="00000000">
        <w:rPr>
          <w:b w:val="1"/>
          <w:sz w:val="22"/>
          <w:szCs w:val="22"/>
          <w:rtl w:val="0"/>
        </w:rPr>
        <w:t xml:space="preserve">9) Consideración de la fusión por absorción de los fondos comunes de inversión Pionero;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9) El señor Presidente expresa que, con motivo de la fusión por absorción del Banco con el Banco BMA S.A.U. (“BMA”) inscripta en el Registro Público el 14 de noviembre de 2024 y la consecuente disolución de esta última, los fondos comunes de inversión que se encontraban bajo la custodia del BMA (anteriormente denominados “GOAL”) pasaron a ser custodiados por el Banco y administrados por Macro Fondos S.G.F.C.I.S.A. (“Macro Fondos”), y se adicionaron a los fondos comunes de inversión “Pionero” bajo su custodia y administración respectivamente (los “Fondos”).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 Por tal motivo, y siendo que algunos de los Fondos comparten la misma política de inversión y la misma moneda de denominación, el señor Presidente informa que resulta conveniente realizar la fusión por absorción de determinados fondos en particular entre si (los “FCI Seleccionados”), mediante el procedimiento establecido por la Resolución General Nro. 968/2023 de la Comisión Nacional de Valores (la “Fusión”), en base a los siguientes fundamentos:</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 i) la moneda de los FCI Seleccionados es idéntica;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ii) las solicitudes de suscripción y rescate de cuotapartes de los FCI Seleccionados se atienden únicamente en pesos;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iii) los FCI Seleccionados invierten mayoritariamente en activos de similar comportamiento y comparten la misma política de inversión; 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iv) las carteras de inversiones son similares, ya que en los FCI Seleccionados aplican similares estrategias de diversificación.</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Asimismo, el objetivo propuesto por la Fusión de los FCI Seleccionados se basa en las siguientes ventajas: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 gestionar de modo más eficiente los vehículos de inversión bajo su custodia y bajo su administración (respectivamente), simplificando la administración de los activos y evitando duplicidades en las tareas contables y administrativas;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ii) mejorar el posicionamiento patrimonial de los FCI Seleccionados; y</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iii) ofrecer a los cuotapartistas y al público en general una oferta de fondos comunes de inversión más concreta y simplificada, y con mayores carteras de inversión.</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 A continuación, se detallan los FCI Seleccionados a fusionar: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ind w:left="283" w:right="328" w:firstLine="0"/>
        <w:jc w:val="both"/>
        <w:rPr>
          <w:sz w:val="8"/>
          <w:szCs w:val="8"/>
        </w:rPr>
      </w:pPr>
      <w:r w:rsidDel="00000000" w:rsidR="00000000" w:rsidRPr="00000000">
        <w:rPr>
          <w:sz w:val="22"/>
          <w:szCs w:val="22"/>
          <w:rtl w:val="0"/>
        </w:rPr>
        <w:t xml:space="preserve"> </w:t>
      </w:r>
      <w:r w:rsidDel="00000000" w:rsidR="00000000" w:rsidRPr="00000000">
        <w:rPr>
          <w:rtl w:val="0"/>
        </w:rPr>
      </w:r>
    </w:p>
    <w:tbl>
      <w:tblPr>
        <w:tblStyle w:val="Table1"/>
        <w:tblW w:w="10200.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45"/>
        <w:gridCol w:w="5055"/>
        <w:tblGridChange w:id="0">
          <w:tblGrid>
            <w:gridCol w:w="5145"/>
            <w:gridCol w:w="5055"/>
          </w:tblGrid>
        </w:tblGridChange>
      </w:tblGrid>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F">
            <w:pPr>
              <w:spacing w:before="240" w:line="360" w:lineRule="auto"/>
              <w:jc w:val="center"/>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Fondos Comunes de Inversión Absorbentes (los “</w:t>
            </w:r>
            <w:r w:rsidDel="00000000" w:rsidR="00000000" w:rsidRPr="00000000">
              <w:rPr>
                <w:b w:val="1"/>
                <w:sz w:val="20"/>
                <w:szCs w:val="20"/>
                <w:u w:val="single"/>
                <w:rtl w:val="0"/>
              </w:rPr>
              <w:t xml:space="preserve">FCI Absorbentes</w:t>
            </w:r>
            <w:r w:rsidDel="00000000" w:rsidR="00000000" w:rsidRPr="00000000">
              <w:rPr>
                <w:b w:val="1"/>
                <w:sz w:val="20"/>
                <w:szCs w:val="20"/>
                <w:rtl w:val="0"/>
              </w:rPr>
              <w:t xml:space="preserv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0">
            <w:pPr>
              <w:spacing w:before="240" w:line="360" w:lineRule="auto"/>
              <w:jc w:val="center"/>
              <w:rPr>
                <w:b w:val="1"/>
                <w:sz w:val="20"/>
                <w:szCs w:val="20"/>
              </w:rPr>
            </w:pPr>
            <w:r w:rsidDel="00000000" w:rsidR="00000000" w:rsidRPr="00000000">
              <w:rPr>
                <w:b w:val="1"/>
                <w:sz w:val="20"/>
                <w:szCs w:val="20"/>
                <w:rtl w:val="0"/>
              </w:rPr>
              <w:t xml:space="preserve">Fondos Comunes de Inversión Absorbidos (los “</w:t>
            </w:r>
            <w:r w:rsidDel="00000000" w:rsidR="00000000" w:rsidRPr="00000000">
              <w:rPr>
                <w:b w:val="1"/>
                <w:sz w:val="20"/>
                <w:szCs w:val="20"/>
                <w:u w:val="single"/>
                <w:rtl w:val="0"/>
              </w:rPr>
              <w:t xml:space="preserve">FCI Absorbidos</w:t>
            </w:r>
            <w:r w:rsidDel="00000000" w:rsidR="00000000" w:rsidRPr="00000000">
              <w:rPr>
                <w:b w:val="1"/>
                <w:sz w:val="20"/>
                <w:szCs w:val="20"/>
                <w:rtl w:val="0"/>
              </w:rPr>
              <w:t xml:space="preserve">”)</w:t>
            </w:r>
          </w:p>
        </w:tc>
      </w:tr>
      <w:tr>
        <w:trPr>
          <w:cantSplit w:val="0"/>
          <w:trHeight w:val="8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1">
            <w:pPr>
              <w:spacing w:before="240" w:lineRule="auto"/>
              <w:jc w:val="both"/>
              <w:rPr>
                <w:sz w:val="20"/>
                <w:szCs w:val="20"/>
              </w:rPr>
            </w:pPr>
            <w:r w:rsidDel="00000000" w:rsidR="00000000" w:rsidRPr="00000000">
              <w:rPr>
                <w:sz w:val="20"/>
                <w:szCs w:val="20"/>
                <w:rtl w:val="0"/>
              </w:rPr>
              <w:t xml:space="preserve">Pionero Pesos Plus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2">
            <w:pPr>
              <w:spacing w:before="240" w:lineRule="auto"/>
              <w:jc w:val="both"/>
              <w:rPr>
                <w:sz w:val="20"/>
                <w:szCs w:val="20"/>
              </w:rPr>
            </w:pPr>
            <w:r w:rsidDel="00000000" w:rsidR="00000000" w:rsidRPr="00000000">
              <w:rPr>
                <w:sz w:val="20"/>
                <w:szCs w:val="20"/>
                <w:rtl w:val="0"/>
              </w:rPr>
              <w:t xml:space="preserve">Pionero Pesos Plus II </w:t>
            </w:r>
          </w:p>
          <w:p w:rsidR="00000000" w:rsidDel="00000000" w:rsidP="00000000" w:rsidRDefault="00000000" w:rsidRPr="00000000" w14:paraId="00000013">
            <w:pPr>
              <w:spacing w:before="240" w:lineRule="auto"/>
              <w:jc w:val="both"/>
              <w:rPr>
                <w:sz w:val="20"/>
                <w:szCs w:val="20"/>
              </w:rPr>
            </w:pPr>
            <w:r w:rsidDel="00000000" w:rsidR="00000000" w:rsidRPr="00000000">
              <w:rPr>
                <w:sz w:val="20"/>
                <w:szCs w:val="20"/>
                <w:rtl w:val="0"/>
              </w:rPr>
              <w:t xml:space="preserve">Pionero Premium</w:t>
            </w:r>
          </w:p>
        </w:tc>
      </w:tr>
      <w:tr>
        <w:trPr>
          <w:cantSplit w:val="0"/>
          <w:trHeight w:val="33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4">
            <w:pPr>
              <w:spacing w:before="240" w:lineRule="auto"/>
              <w:jc w:val="both"/>
              <w:rPr>
                <w:sz w:val="20"/>
                <w:szCs w:val="20"/>
              </w:rPr>
            </w:pPr>
            <w:r w:rsidDel="00000000" w:rsidR="00000000" w:rsidRPr="00000000">
              <w:rPr>
                <w:sz w:val="20"/>
                <w:szCs w:val="20"/>
                <w:rtl w:val="0"/>
              </w:rPr>
              <w:t xml:space="preserve">Pionero Patrimonio 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5">
            <w:pPr>
              <w:spacing w:before="240" w:lineRule="auto"/>
              <w:jc w:val="both"/>
              <w:rPr>
                <w:sz w:val="20"/>
                <w:szCs w:val="20"/>
              </w:rPr>
            </w:pPr>
            <w:r w:rsidDel="00000000" w:rsidR="00000000" w:rsidRPr="00000000">
              <w:rPr>
                <w:sz w:val="20"/>
                <w:szCs w:val="20"/>
                <w:rtl w:val="0"/>
              </w:rPr>
              <w:t xml:space="preserve">Pionero Ahorro Max</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6">
            <w:pPr>
              <w:spacing w:before="240" w:lineRule="auto"/>
              <w:jc w:val="both"/>
              <w:rPr>
                <w:sz w:val="20"/>
                <w:szCs w:val="20"/>
              </w:rPr>
            </w:pPr>
            <w:r w:rsidDel="00000000" w:rsidR="00000000" w:rsidRPr="00000000">
              <w:rPr>
                <w:sz w:val="20"/>
                <w:szCs w:val="20"/>
                <w:rtl w:val="0"/>
              </w:rPr>
              <w:t xml:space="preserve">Pionero Acciones Argentinas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7">
            <w:pPr>
              <w:spacing w:before="240" w:lineRule="auto"/>
              <w:jc w:val="both"/>
              <w:rPr>
                <w:sz w:val="20"/>
                <w:szCs w:val="20"/>
              </w:rPr>
            </w:pPr>
            <w:r w:rsidDel="00000000" w:rsidR="00000000" w:rsidRPr="00000000">
              <w:rPr>
                <w:sz w:val="20"/>
                <w:szCs w:val="20"/>
                <w:rtl w:val="0"/>
              </w:rPr>
              <w:t xml:space="preserve">Pionero Acciones</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8">
            <w:pPr>
              <w:spacing w:before="240" w:lineRule="auto"/>
              <w:jc w:val="both"/>
              <w:rPr>
                <w:sz w:val="20"/>
                <w:szCs w:val="20"/>
              </w:rPr>
            </w:pPr>
            <w:r w:rsidDel="00000000" w:rsidR="00000000" w:rsidRPr="00000000">
              <w:rPr>
                <w:sz w:val="20"/>
                <w:szCs w:val="20"/>
                <w:rtl w:val="0"/>
              </w:rPr>
              <w:t xml:space="preserve">Pionero Renta Crecimiento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9">
            <w:pPr>
              <w:spacing w:before="240" w:lineRule="auto"/>
              <w:jc w:val="both"/>
              <w:rPr>
                <w:sz w:val="20"/>
                <w:szCs w:val="20"/>
              </w:rPr>
            </w:pPr>
            <w:r w:rsidDel="00000000" w:rsidR="00000000" w:rsidRPr="00000000">
              <w:rPr>
                <w:sz w:val="20"/>
                <w:szCs w:val="20"/>
                <w:rtl w:val="0"/>
              </w:rPr>
              <w:t xml:space="preserve">Pionero Renta</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A">
            <w:pPr>
              <w:spacing w:before="240" w:lineRule="auto"/>
              <w:jc w:val="both"/>
              <w:rPr>
                <w:sz w:val="20"/>
                <w:szCs w:val="20"/>
              </w:rPr>
            </w:pPr>
            <w:r w:rsidDel="00000000" w:rsidR="00000000" w:rsidRPr="00000000">
              <w:rPr>
                <w:sz w:val="20"/>
                <w:szCs w:val="20"/>
                <w:rtl w:val="0"/>
              </w:rPr>
              <w:t xml:space="preserve">Pionero Renta Global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B">
            <w:pPr>
              <w:spacing w:before="240" w:lineRule="auto"/>
              <w:jc w:val="both"/>
              <w:rPr>
                <w:sz w:val="20"/>
                <w:szCs w:val="20"/>
              </w:rPr>
            </w:pPr>
            <w:r w:rsidDel="00000000" w:rsidR="00000000" w:rsidRPr="00000000">
              <w:rPr>
                <w:sz w:val="20"/>
                <w:szCs w:val="20"/>
                <w:rtl w:val="0"/>
              </w:rPr>
              <w:t xml:space="preserve">Pionero Renta Ahorro Plus</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C">
            <w:pPr>
              <w:spacing w:before="240" w:lineRule="auto"/>
              <w:jc w:val="both"/>
              <w:rPr>
                <w:sz w:val="20"/>
                <w:szCs w:val="20"/>
              </w:rPr>
            </w:pPr>
            <w:r w:rsidDel="00000000" w:rsidR="00000000" w:rsidRPr="00000000">
              <w:rPr>
                <w:sz w:val="20"/>
                <w:szCs w:val="20"/>
                <w:rtl w:val="0"/>
              </w:rPr>
              <w:t xml:space="preserve">Pionero Capital Plus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D">
            <w:pPr>
              <w:spacing w:before="240" w:lineRule="auto"/>
              <w:jc w:val="both"/>
              <w:rPr>
                <w:sz w:val="20"/>
                <w:szCs w:val="20"/>
              </w:rPr>
            </w:pPr>
            <w:r w:rsidDel="00000000" w:rsidR="00000000" w:rsidRPr="00000000">
              <w:rPr>
                <w:sz w:val="20"/>
                <w:szCs w:val="20"/>
                <w:rtl w:val="0"/>
              </w:rPr>
              <w:t xml:space="preserve">Pionero FF</w:t>
            </w:r>
          </w:p>
        </w:tc>
      </w:tr>
    </w:tbl>
    <w:p w:rsidR="00000000" w:rsidDel="00000000" w:rsidP="00000000" w:rsidRDefault="00000000" w:rsidRPr="00000000" w14:paraId="0000001E">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Cabe aclarar que se mantiene la denominación de los FCI Absorbentes, excepto en el caso de los FCI Pionero Renta Global y Pionero Capital Plus que se propone que pasen a denominarse Pionero Renta Ahorro Plus y Pionero FF (respectivamente), dada la reputación, trayectoria y conocimiento que dichos FCI Absorbidos tienen dentro del mercado.</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En el marco de la Fusión y en relación al canje de cuotapartes de los FCI Seleccionados, los cuotapartistas tendrán un trato justo y equitativo, con la finalidad de preservar el valor del activo de los cuotapartistas al momento de la realización del canje. Por tal motivo, en forma simultánea con el inicio del trámite de Fusión ante la Comisión Nacional de Valores (“CNV”), y a fin de dar difusión a los cuotapartistas y al público en general, será publicada la información concerniente al proceso de Fusión, contando así los cuotapartistas con la información y el tiempo para optar por suscribir, rescatar o mantener las cuotapartes de los FCI Seleccionados antes de la ejecución de la misma.</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Asimismo, el señor Presidente informa que es requisito para la Fusión de los FCI Seleccionados que el Banco, en su carácter de Sociedad Depositaria, apruebe los respectivos Acuerdos de Fusión y, a su vez, las modificaciones a la redacción de los Reglamentos de Gestión de los FCI Absorbentes y los mencionados cambios de denominación. Se deja constancia que los textos de los Acuerdos de Fusión y de los Reglamentos de Gestión son de conocimiento de los señores Directores.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En virtud de lo expuesto, el señor Presidente propone: (i) aprobar la fusión por absorción de los FCI Seleccionados, conforme a lo establecido en el artículo 59 y siguientes, Sección XI, Capítulo II, Título V de las Normas de la CNV (NT 2013 y Mod.); (ii) aprobar los Acuerdos de Fusión de los FCI Seleccionados, y autorizar a cualquiera de los apoderados del Banco a suscribir los Acuerdos de Fusión en representación del Banco quedando asimismo facultados para efectuar las modificaciones que correspondan en los mismos; (iii) aprobar las adendas que modifican los textos de los Reglamentos de Gestión de los FCI Absorbentes; (iv) aprobar el cambio de denominación de los siguientes FCI Absorbentes: a) Pionero Renta Global por Pionero Renta Ahorro Plus y b) Pionero Capital Plus por Pionero FF; (v) autorizar a Romina Laura Ricci, Ernesto López, Rodrigo Alejandro Covello y/o Valeria López Martí, para que, actuando indistintamente cualquiera de ellos, realicen las presentaciones ante la CNV, pudiendo compulsar y tomar vista de las actuaciones, contestar vistas, impulsar los trámites, efectuar presentaciones, suministrar información, adjuntar, desglosar, suscribir y/o inicialar toda la documentación necesaria relacionada, publicar avisos, incluyendo sin limitación, avisos en el Boletín Oficial, y realizar cuantos más actos y gestiones fueran menester para el desarrollo del proceso de fusión por absorción de los Fondos.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60" w:lineRule="auto"/>
        <w:ind w:left="283" w:right="328" w:firstLine="0"/>
        <w:jc w:val="both"/>
        <w:rPr>
          <w:sz w:val="22"/>
          <w:szCs w:val="22"/>
        </w:rPr>
      </w:pPr>
      <w:r w:rsidDel="00000000" w:rsidR="00000000" w:rsidRPr="00000000">
        <w:rPr>
          <w:sz w:val="22"/>
          <w:szCs w:val="22"/>
          <w:rtl w:val="0"/>
        </w:rPr>
        <w:t xml:space="preserve">Luego de un intercambio de opiniones, se resuelve por unanimidad aprobar las propuestas del señor Presidente.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ffffff" w:val="clear"/>
        <w:spacing w:line="360" w:lineRule="auto"/>
        <w:ind w:left="284" w:right="329" w:firstLine="0"/>
        <w:jc w:val="both"/>
        <w:rPr>
          <w:sz w:val="22"/>
          <w:szCs w:val="22"/>
        </w:rPr>
      </w:pPr>
      <w:bookmarkStart w:colFirst="0" w:colLast="0" w:name="_heading=h.30j0zll" w:id="0"/>
      <w:bookmarkEnd w:id="0"/>
      <w:r w:rsidDel="00000000" w:rsidR="00000000" w:rsidRPr="00000000">
        <w:rPr>
          <w:sz w:val="22"/>
          <w:szCs w:val="22"/>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ffffff" w:val="clear"/>
        <w:spacing w:line="360" w:lineRule="auto"/>
        <w:ind w:left="284" w:right="329" w:firstLine="0"/>
        <w:jc w:val="both"/>
        <w:rPr>
          <w:sz w:val="22"/>
          <w:szCs w:val="22"/>
        </w:rPr>
      </w:pPr>
      <w:r w:rsidDel="00000000" w:rsidR="00000000" w:rsidRPr="00000000">
        <w:rPr>
          <w:sz w:val="22"/>
          <w:szCs w:val="22"/>
          <w:rtl w:val="0"/>
        </w:rPr>
        <w:t xml:space="preserve">En cumplimiento de lo dispuesto por el artículo 19 del estatuto social, los miembros de la Comisión Fiscalizadora participantes de la presente reunión dejan constancia de la regularidad de las decisiones adoptadas.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ffffff" w:val="clear"/>
        <w:spacing w:line="360" w:lineRule="auto"/>
        <w:ind w:left="284" w:right="329" w:firstLine="0"/>
        <w:jc w:val="both"/>
        <w:rPr>
          <w:sz w:val="22"/>
          <w:szCs w:val="22"/>
        </w:rPr>
      </w:pPr>
      <w:r w:rsidDel="00000000" w:rsidR="00000000" w:rsidRPr="00000000">
        <w:rPr>
          <w:sz w:val="22"/>
          <w:szCs w:val="22"/>
          <w:rtl w:val="0"/>
        </w:rPr>
        <w:t xml:space="preserve">No habiendo más asuntos que tratar, se levanta la sesión, siendo las 17,30 horas.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ffffff" w:val="clear"/>
        <w:spacing w:line="360" w:lineRule="auto"/>
        <w:ind w:left="284" w:right="329" w:firstLine="0"/>
        <w:jc w:val="both"/>
        <w:rPr>
          <w:sz w:val="22"/>
          <w:szCs w:val="22"/>
        </w:rPr>
      </w:pPr>
      <w:r w:rsidDel="00000000" w:rsidR="00000000" w:rsidRPr="00000000">
        <w:rPr>
          <w:rtl w:val="0"/>
        </w:rPr>
      </w:r>
    </w:p>
    <w:p w:rsidR="00000000" w:rsidDel="00000000" w:rsidP="00000000" w:rsidRDefault="00000000" w:rsidRPr="00000000" w14:paraId="00000028">
      <w:pPr>
        <w:spacing w:line="360" w:lineRule="auto"/>
        <w:ind w:left="284" w:right="284" w:firstLine="0"/>
        <w:jc w:val="both"/>
        <w:rPr>
          <w:sz w:val="18"/>
          <w:szCs w:val="18"/>
        </w:rPr>
      </w:pPr>
      <w:r w:rsidDel="00000000" w:rsidR="00000000" w:rsidRPr="00000000">
        <w:rPr>
          <w:sz w:val="18"/>
          <w:szCs w:val="18"/>
          <w:rtl w:val="0"/>
        </w:rPr>
        <w:t xml:space="preserve">Firmado: Jorge Pablo Brito (Presidente); Carlos Alberto Giovanelli (Vicepresidente); Marcos Brito (Director); Nelson Damián Pozzoli (Director); Fabián de Paul (Director); José Alfredo Sánchez (Director); Sebastián Palla (Director); Guido Gallino (Director); Nicolás Valenzuela (Director); Alejandro Almarza (Síndico); Carlos Javier Piazza (Síndico); Vivian Stenghele (Síndica); Carolina Paola Leonhart (Secretaria del Directorio).</w:t>
      </w:r>
    </w:p>
    <w:p w:rsidR="00000000" w:rsidDel="00000000" w:rsidP="00000000" w:rsidRDefault="00000000" w:rsidRPr="00000000" w14:paraId="00000029">
      <w:pPr>
        <w:spacing w:line="360" w:lineRule="auto"/>
        <w:ind w:left="284" w:right="284" w:firstLine="0"/>
        <w:jc w:val="both"/>
        <w:rPr>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0" w:w="12240" w:orient="portrait"/>
      <w:pgMar w:bottom="1700" w:top="1700" w:left="566" w:right="56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30"/>
      <w:jc w:val="center"/>
    </w:pPr>
    <w:rPr>
      <w:rFonts w:ascii="Cambria" w:cs="Cambria" w:eastAsia="Cambria" w:hAnsi="Cambria"/>
      <w:b w:val="1"/>
      <w:sz w:val="32"/>
      <w:szCs w:val="32"/>
    </w:rPr>
  </w:style>
  <w:style w:type="paragraph" w:styleId="Heading2">
    <w:name w:val="heading 2"/>
    <w:basedOn w:val="Normal"/>
    <w:next w:val="Normal"/>
    <w:pPr>
      <w:keepNext w:val="1"/>
      <w:tabs>
        <w:tab w:val="left" w:leader="none" w:pos="4962"/>
        <w:tab w:val="left" w:leader="none" w:pos="6804"/>
      </w:tabs>
      <w:spacing w:line="360" w:lineRule="auto"/>
      <w:jc w:val="both"/>
    </w:pPr>
    <w:rPr>
      <w:rFonts w:ascii="Cambria" w:cs="Cambria" w:eastAsia="Cambria" w:hAnsi="Cambria"/>
      <w:b w:val="1"/>
      <w:i w:val="1"/>
      <w:sz w:val="28"/>
      <w:szCs w:val="28"/>
    </w:rPr>
  </w:style>
  <w:style w:type="paragraph" w:styleId="Heading3">
    <w:name w:val="heading 3"/>
    <w:basedOn w:val="Normal"/>
    <w:next w:val="Normal"/>
    <w:pPr>
      <w:keepNext w:val="1"/>
      <w:jc w:val="both"/>
    </w:pPr>
    <w:rPr>
      <w:rFonts w:ascii="Cambria" w:cs="Cambria" w:eastAsia="Cambria" w:hAnsi="Cambria"/>
      <w:b w:val="1"/>
      <w:sz w:val="26"/>
      <w:szCs w:val="26"/>
    </w:rPr>
  </w:style>
  <w:style w:type="paragraph" w:styleId="Heading4">
    <w:name w:val="heading 4"/>
    <w:basedOn w:val="Normal"/>
    <w:next w:val="Normal"/>
    <w:pPr>
      <w:keepNext w:val="1"/>
      <w:jc w:val="center"/>
    </w:pPr>
    <w:rPr>
      <w:rFonts w:ascii="Calibri" w:cs="Calibri" w:eastAsia="Calibri" w:hAnsi="Calibri"/>
      <w:b w:val="1"/>
      <w:sz w:val="28"/>
      <w:szCs w:val="28"/>
    </w:rPr>
  </w:style>
  <w:style w:type="paragraph" w:styleId="Heading5">
    <w:name w:val="heading 5"/>
    <w:basedOn w:val="Normal"/>
    <w:next w:val="Normal"/>
    <w:pPr>
      <w:keepNext w:val="1"/>
    </w:pPr>
    <w:rPr>
      <w:rFonts w:ascii="Calibri" w:cs="Calibri" w:eastAsia="Calibri" w:hAnsi="Calibri"/>
      <w:b w:val="1"/>
      <w:i w:val="1"/>
      <w:sz w:val="26"/>
      <w:szCs w:val="2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Normal" w:default="1">
    <w:name w:val="Normal"/>
    <w:rsid w:val="005022D6"/>
  </w:style>
  <w:style w:type="paragraph" w:styleId="Ttulo1">
    <w:name w:val="heading 1"/>
    <w:basedOn w:val="Normal"/>
    <w:next w:val="Normal"/>
    <w:link w:val="Ttulo1Car"/>
    <w:pPr>
      <w:keepNext w:val="1"/>
      <w:ind w:right="-30"/>
      <w:jc w:val="center"/>
      <w:outlineLvl w:val="0"/>
    </w:pPr>
    <w:rPr>
      <w:rFonts w:ascii="Cambria" w:cs="Cambria" w:eastAsia="Cambria" w:hAnsi="Cambria"/>
      <w:b w:val="1"/>
      <w:sz w:val="32"/>
      <w:szCs w:val="32"/>
    </w:rPr>
  </w:style>
  <w:style w:type="paragraph" w:styleId="Ttulo2">
    <w:name w:val="heading 2"/>
    <w:basedOn w:val="Normal"/>
    <w:next w:val="Normal"/>
    <w:link w:val="Ttulo2Car"/>
    <w:pPr>
      <w:keepNext w:val="1"/>
      <w:tabs>
        <w:tab w:val="left" w:pos="4962"/>
        <w:tab w:val="left" w:pos="6804"/>
      </w:tabs>
      <w:spacing w:line="360" w:lineRule="auto"/>
      <w:jc w:val="both"/>
      <w:outlineLvl w:val="1"/>
    </w:pPr>
    <w:rPr>
      <w:rFonts w:ascii="Cambria" w:cs="Cambria" w:eastAsia="Cambria" w:hAnsi="Cambria"/>
      <w:b w:val="1"/>
      <w:i w:val="1"/>
      <w:sz w:val="28"/>
      <w:szCs w:val="28"/>
    </w:rPr>
  </w:style>
  <w:style w:type="paragraph" w:styleId="Ttulo3">
    <w:name w:val="heading 3"/>
    <w:basedOn w:val="Normal"/>
    <w:next w:val="Normal"/>
    <w:link w:val="Ttulo3Car"/>
    <w:pPr>
      <w:keepNext w:val="1"/>
      <w:jc w:val="both"/>
      <w:outlineLvl w:val="2"/>
    </w:pPr>
    <w:rPr>
      <w:rFonts w:ascii="Cambria" w:cs="Cambria" w:eastAsia="Cambria" w:hAnsi="Cambria"/>
      <w:b w:val="1"/>
      <w:sz w:val="26"/>
      <w:szCs w:val="26"/>
    </w:rPr>
  </w:style>
  <w:style w:type="paragraph" w:styleId="Ttulo4">
    <w:name w:val="heading 4"/>
    <w:basedOn w:val="Normal"/>
    <w:next w:val="Normal"/>
    <w:link w:val="Ttulo4Car"/>
    <w:pPr>
      <w:keepNext w:val="1"/>
      <w:jc w:val="center"/>
      <w:outlineLvl w:val="3"/>
    </w:pPr>
    <w:rPr>
      <w:rFonts w:ascii="Calibri" w:cs="Calibri" w:eastAsia="Calibri" w:hAnsi="Calibri"/>
      <w:b w:val="1"/>
      <w:sz w:val="28"/>
      <w:szCs w:val="28"/>
    </w:rPr>
  </w:style>
  <w:style w:type="paragraph" w:styleId="Ttulo5">
    <w:name w:val="heading 5"/>
    <w:basedOn w:val="Normal"/>
    <w:next w:val="Normal"/>
    <w:link w:val="Ttulo5Car"/>
    <w:pPr>
      <w:keepNext w:val="1"/>
      <w:outlineLvl w:val="4"/>
    </w:pPr>
    <w:rPr>
      <w:rFonts w:ascii="Calibri" w:cs="Calibri" w:eastAsia="Calibri" w:hAnsi="Calibri"/>
      <w:b w:val="1"/>
      <w:i w:val="1"/>
      <w:sz w:val="26"/>
      <w:szCs w:val="26"/>
    </w:rPr>
  </w:style>
  <w:style w:type="paragraph" w:styleId="Ttulo6">
    <w:name w:val="heading 6"/>
    <w:basedOn w:val="Normal"/>
    <w:next w:val="Normal"/>
    <w:link w:val="Ttulo6Car"/>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ar"/>
    <w:pPr>
      <w:pBdr>
        <w:bottom w:color="4f81bd" w:space="4" w:sz="8" w:val="single"/>
      </w:pBdr>
      <w:spacing w:after="300"/>
    </w:pPr>
    <w:rPr>
      <w:rFonts w:ascii="Cambria" w:cs="Cambria" w:eastAsia="Cambria" w:hAnsi="Cambria"/>
      <w:color w:val="17365d"/>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table" w:styleId="TableNormalf" w:customStyle="1">
    <w:name w:val="Table Normal"/>
    <w:tblPr>
      <w:tblCellMar>
        <w:top w:w="0.0" w:type="dxa"/>
        <w:left w:w="0.0" w:type="dxa"/>
        <w:bottom w:w="0.0" w:type="dxa"/>
        <w:right w:w="0.0" w:type="dxa"/>
      </w:tblCellMar>
    </w:tblPr>
  </w:style>
  <w:style w:type="table" w:styleId="TableNormalf0" w:customStyle="1">
    <w:name w:val="Table Normal"/>
    <w:tblPr>
      <w:tblCellMar>
        <w:top w:w="0.0" w:type="dxa"/>
        <w:left w:w="0.0" w:type="dxa"/>
        <w:bottom w:w="0.0" w:type="dxa"/>
        <w:right w:w="0.0" w:type="dxa"/>
      </w:tblCellMar>
    </w:tblPr>
  </w:style>
  <w:style w:type="table" w:styleId="TableNormalf1" w:customStyle="1">
    <w:name w:val="Table Normal"/>
    <w:tblPr>
      <w:tblCellMar>
        <w:top w:w="0.0" w:type="dxa"/>
        <w:left w:w="0.0" w:type="dxa"/>
        <w:bottom w:w="0.0" w:type="dxa"/>
        <w:right w:w="0.0" w:type="dxa"/>
      </w:tblCellMar>
    </w:tblPr>
  </w:style>
  <w:style w:type="table" w:styleId="TableNormalf2" w:customStyle="1">
    <w:name w:val="Table Normal"/>
    <w:tblPr>
      <w:tblCellMar>
        <w:top w:w="0.0" w:type="dxa"/>
        <w:left w:w="0.0" w:type="dxa"/>
        <w:bottom w:w="0.0" w:type="dxa"/>
        <w:right w:w="0.0" w:type="dxa"/>
      </w:tblCellMar>
    </w:tblPr>
  </w:style>
  <w:style w:type="table" w:styleId="TableNormalf3" w:customStyle="1">
    <w:name w:val="Table Normal"/>
    <w:tblPr>
      <w:tblCellMar>
        <w:top w:w="0.0" w:type="dxa"/>
        <w:left w:w="0.0" w:type="dxa"/>
        <w:bottom w:w="0.0" w:type="dxa"/>
        <w:right w:w="0.0" w:type="dxa"/>
      </w:tblCellMar>
    </w:tblPr>
  </w:style>
  <w:style w:type="table" w:styleId="TableNormalf4" w:customStyle="1">
    <w:name w:val="Table Normal"/>
    <w:tblPr>
      <w:tblCellMar>
        <w:top w:w="0.0" w:type="dxa"/>
        <w:left w:w="0.0" w:type="dxa"/>
        <w:bottom w:w="0.0" w:type="dxa"/>
        <w:right w:w="0.0" w:type="dxa"/>
      </w:tblCellMar>
    </w:tblPr>
  </w:style>
  <w:style w:type="paragraph" w:styleId="Subttulo">
    <w:name w:val="Subtitle"/>
    <w:basedOn w:val="Normal"/>
    <w:next w:val="Normal"/>
    <w:link w:val="SubttuloCar"/>
    <w:rPr>
      <w:rFonts w:ascii="Cambria" w:cs="Cambria" w:eastAsia="Cambria" w:hAnsi="Cambria"/>
      <w:i w:val="1"/>
      <w:color w:val="4f81bd"/>
    </w:rPr>
  </w:style>
  <w:style w:type="table" w:styleId="a" w:customStyle="1">
    <w:basedOn w:val="TableNormalf4"/>
    <w:tblPr>
      <w:tblStyleRowBandSize w:val="1"/>
      <w:tblStyleColBandSize w:val="1"/>
      <w:tblCellMar>
        <w:left w:w="115.0" w:type="dxa"/>
        <w:right w:w="115.0" w:type="dxa"/>
      </w:tblCellMar>
    </w:tblPr>
  </w:style>
  <w:style w:type="table" w:styleId="a0" w:customStyle="1">
    <w:basedOn w:val="TableNormalf4"/>
    <w:tblPr>
      <w:tblStyleRowBandSize w:val="1"/>
      <w:tblStyleColBandSize w:val="1"/>
      <w:tblCellMar>
        <w:left w:w="115.0" w:type="dxa"/>
        <w:right w:w="115.0" w:type="dxa"/>
      </w:tblCellMar>
    </w:tblPr>
  </w:style>
  <w:style w:type="paragraph" w:styleId="Prrafodelista">
    <w:name w:val="List Paragraph"/>
    <w:basedOn w:val="Normal"/>
    <w:uiPriority w:val="34"/>
    <w:qFormat w:val="1"/>
    <w:rsid w:val="004C64D3"/>
    <w:pPr>
      <w:ind w:left="720"/>
      <w:contextualSpacing w:val="1"/>
    </w:pPr>
  </w:style>
  <w:style w:type="paragraph" w:styleId="NormalWeb">
    <w:name w:val="Normal (Web)"/>
    <w:basedOn w:val="Normal"/>
    <w:uiPriority w:val="99"/>
    <w:unhideWhenUsed w:val="1"/>
    <w:rsid w:val="004C68A3"/>
    <w:pPr>
      <w:spacing w:after="100" w:afterAutospacing="1" w:before="100" w:beforeAutospacing="1"/>
    </w:pPr>
  </w:style>
  <w:style w:type="numbering" w:styleId="Sinlista1" w:customStyle="1">
    <w:name w:val="Sin lista1"/>
    <w:next w:val="Sinlista"/>
    <w:uiPriority w:val="99"/>
    <w:semiHidden w:val="1"/>
    <w:unhideWhenUsed w:val="1"/>
    <w:rsid w:val="00B52C16"/>
  </w:style>
  <w:style w:type="table" w:styleId="TableNormal10" w:customStyle="1">
    <w:name w:val="Table Normal1"/>
    <w:rsid w:val="00B52C16"/>
    <w:rPr>
      <w:sz w:val="20"/>
      <w:szCs w:val="20"/>
    </w:rPr>
    <w:tblPr>
      <w:tblCellMar>
        <w:top w:w="0.0" w:type="dxa"/>
        <w:left w:w="0.0" w:type="dxa"/>
        <w:bottom w:w="0.0" w:type="dxa"/>
        <w:right w:w="0.0" w:type="dxa"/>
      </w:tblCellMar>
    </w:tblPr>
  </w:style>
  <w:style w:type="table" w:styleId="a1" w:customStyle="1">
    <w:basedOn w:val="TableNormalf4"/>
    <w:tblPr>
      <w:tblStyleRowBandSize w:val="1"/>
      <w:tblStyleColBandSize w:val="1"/>
    </w:tblPr>
  </w:style>
  <w:style w:type="table" w:styleId="a2" w:customStyle="1">
    <w:basedOn w:val="TableNormalf4"/>
    <w:tblPr>
      <w:tblStyleRowBandSize w:val="1"/>
      <w:tblStyleColBandSize w:val="1"/>
      <w:tblCellMar>
        <w:left w:w="115.0" w:type="dxa"/>
        <w:right w:w="115.0" w:type="dxa"/>
      </w:tblCellMar>
    </w:tblPr>
  </w:style>
  <w:style w:type="table" w:styleId="a3" w:customStyle="1">
    <w:basedOn w:val="TableNormalf4"/>
    <w:tblPr>
      <w:tblStyleRowBandSize w:val="1"/>
      <w:tblStyleColBandSize w:val="1"/>
      <w:tblCellMar>
        <w:left w:w="115.0" w:type="dxa"/>
        <w:right w:w="115.0" w:type="dxa"/>
      </w:tblCellMar>
    </w:tblPr>
  </w:style>
  <w:style w:type="table" w:styleId="a4" w:customStyle="1">
    <w:basedOn w:val="TableNormalf4"/>
    <w:tblPr>
      <w:tblStyleRowBandSize w:val="1"/>
      <w:tblStyleColBandSize w:val="1"/>
      <w:tblCellMar>
        <w:left w:w="115.0" w:type="dxa"/>
        <w:right w:w="115.0" w:type="dxa"/>
      </w:tblCellMar>
    </w:tblPr>
  </w:style>
  <w:style w:type="table" w:styleId="a5" w:customStyle="1">
    <w:basedOn w:val="TableNormalf4"/>
    <w:tblPr>
      <w:tblStyleRowBandSize w:val="1"/>
      <w:tblStyleColBandSize w:val="1"/>
      <w:tblCellMar>
        <w:top w:w="100.0" w:type="dxa"/>
        <w:left w:w="100.0" w:type="dxa"/>
        <w:bottom w:w="100.0" w:type="dxa"/>
        <w:right w:w="100.0" w:type="dxa"/>
      </w:tblCellMar>
    </w:tblPr>
  </w:style>
  <w:style w:type="table" w:styleId="a6" w:customStyle="1">
    <w:basedOn w:val="TableNormalf4"/>
    <w:tblPr>
      <w:tblStyleRowBandSize w:val="1"/>
      <w:tblStyleColBandSize w:val="1"/>
      <w:tblCellMar>
        <w:top w:w="100.0" w:type="dxa"/>
        <w:left w:w="100.0" w:type="dxa"/>
        <w:bottom w:w="100.0" w:type="dxa"/>
        <w:right w:w="100.0" w:type="dxa"/>
      </w:tblCellMar>
    </w:tblPr>
  </w:style>
  <w:style w:type="table" w:styleId="a7" w:customStyle="1">
    <w:basedOn w:val="TableNormalf4"/>
    <w:tblPr>
      <w:tblStyleRowBandSize w:val="1"/>
      <w:tblStyleColBandSize w:val="1"/>
      <w:tblCellMar>
        <w:top w:w="100.0" w:type="dxa"/>
        <w:left w:w="100.0" w:type="dxa"/>
        <w:bottom w:w="100.0" w:type="dxa"/>
        <w:right w:w="100.0" w:type="dxa"/>
      </w:tblCellMar>
    </w:tblPr>
  </w:style>
  <w:style w:type="paragraph" w:styleId="Textoindependiente">
    <w:name w:val="Body Text"/>
    <w:basedOn w:val="Normal"/>
    <w:link w:val="TextoindependienteCar"/>
    <w:uiPriority w:val="99"/>
    <w:unhideWhenUsed w:val="1"/>
    <w:rsid w:val="002C4FF3"/>
    <w:pPr>
      <w:overflowPunct w:val="0"/>
      <w:autoSpaceDE w:val="0"/>
      <w:autoSpaceDN w:val="0"/>
      <w:adjustRightInd w:val="0"/>
      <w:spacing w:after="120"/>
    </w:pPr>
    <w:rPr>
      <w:sz w:val="20"/>
      <w:szCs w:val="20"/>
      <w:lang w:eastAsia="es-ES" w:val="es-ES_tradnl"/>
    </w:rPr>
  </w:style>
  <w:style w:type="character" w:styleId="TextoindependienteCar" w:customStyle="1">
    <w:name w:val="Texto independiente Car"/>
    <w:basedOn w:val="Fuentedeprrafopredeter"/>
    <w:link w:val="Textoindependiente"/>
    <w:uiPriority w:val="99"/>
    <w:rsid w:val="002C4FF3"/>
    <w:rPr>
      <w:sz w:val="20"/>
      <w:szCs w:val="20"/>
      <w:lang w:eastAsia="es-ES" w:val="es-ES_tradnl"/>
    </w:rPr>
  </w:style>
  <w:style w:type="numbering" w:styleId="Sinlista2" w:customStyle="1">
    <w:name w:val="Sin lista2"/>
    <w:next w:val="Sinlista"/>
    <w:uiPriority w:val="99"/>
    <w:semiHidden w:val="1"/>
    <w:unhideWhenUsed w:val="1"/>
    <w:rsid w:val="00ED7D73"/>
  </w:style>
  <w:style w:type="character" w:styleId="Ttulo1Car" w:customStyle="1">
    <w:name w:val="Título 1 Car"/>
    <w:basedOn w:val="Fuentedeprrafopredeter"/>
    <w:link w:val="Ttulo1"/>
    <w:rsid w:val="00ED7D73"/>
    <w:rPr>
      <w:rFonts w:ascii="Cambria" w:cs="Cambria" w:eastAsia="Cambria" w:hAnsi="Cambria"/>
      <w:b w:val="1"/>
      <w:sz w:val="32"/>
      <w:szCs w:val="32"/>
    </w:rPr>
  </w:style>
  <w:style w:type="character" w:styleId="Ttulo2Car" w:customStyle="1">
    <w:name w:val="Título 2 Car"/>
    <w:basedOn w:val="Fuentedeprrafopredeter"/>
    <w:link w:val="Ttulo2"/>
    <w:rsid w:val="00ED7D73"/>
    <w:rPr>
      <w:rFonts w:ascii="Cambria" w:cs="Cambria" w:eastAsia="Cambria" w:hAnsi="Cambria"/>
      <w:b w:val="1"/>
      <w:i w:val="1"/>
      <w:sz w:val="28"/>
      <w:szCs w:val="28"/>
    </w:rPr>
  </w:style>
  <w:style w:type="character" w:styleId="Ttulo3Car" w:customStyle="1">
    <w:name w:val="Título 3 Car"/>
    <w:basedOn w:val="Fuentedeprrafopredeter"/>
    <w:link w:val="Ttulo3"/>
    <w:rsid w:val="00ED7D73"/>
    <w:rPr>
      <w:rFonts w:ascii="Cambria" w:cs="Cambria" w:eastAsia="Cambria" w:hAnsi="Cambria"/>
      <w:b w:val="1"/>
      <w:sz w:val="26"/>
      <w:szCs w:val="26"/>
    </w:rPr>
  </w:style>
  <w:style w:type="character" w:styleId="Ttulo4Car" w:customStyle="1">
    <w:name w:val="Título 4 Car"/>
    <w:basedOn w:val="Fuentedeprrafopredeter"/>
    <w:link w:val="Ttulo4"/>
    <w:rsid w:val="00ED7D73"/>
    <w:rPr>
      <w:rFonts w:ascii="Calibri" w:cs="Calibri" w:eastAsia="Calibri" w:hAnsi="Calibri"/>
      <w:b w:val="1"/>
      <w:sz w:val="28"/>
      <w:szCs w:val="28"/>
    </w:rPr>
  </w:style>
  <w:style w:type="character" w:styleId="Ttulo5Car" w:customStyle="1">
    <w:name w:val="Título 5 Car"/>
    <w:basedOn w:val="Fuentedeprrafopredeter"/>
    <w:link w:val="Ttulo5"/>
    <w:rsid w:val="00ED7D73"/>
    <w:rPr>
      <w:rFonts w:ascii="Calibri" w:cs="Calibri" w:eastAsia="Calibri" w:hAnsi="Calibri"/>
      <w:b w:val="1"/>
      <w:i w:val="1"/>
      <w:sz w:val="26"/>
      <w:szCs w:val="26"/>
    </w:rPr>
  </w:style>
  <w:style w:type="character" w:styleId="Ttulo6Car" w:customStyle="1">
    <w:name w:val="Título 6 Car"/>
    <w:basedOn w:val="Fuentedeprrafopredeter"/>
    <w:link w:val="Ttulo6"/>
    <w:rsid w:val="00ED7D73"/>
    <w:rPr>
      <w:b w:val="1"/>
      <w:sz w:val="20"/>
      <w:szCs w:val="20"/>
    </w:rPr>
  </w:style>
  <w:style w:type="table" w:styleId="TableNormal20" w:customStyle="1">
    <w:name w:val="Table Normal2"/>
    <w:rsid w:val="00ED7D73"/>
    <w:rPr>
      <w:sz w:val="20"/>
      <w:szCs w:val="20"/>
    </w:rPr>
    <w:tblPr>
      <w:tblCellMar>
        <w:top w:w="0.0" w:type="dxa"/>
        <w:left w:w="0.0" w:type="dxa"/>
        <w:bottom w:w="0.0" w:type="dxa"/>
        <w:right w:w="0.0" w:type="dxa"/>
      </w:tblCellMar>
    </w:tblPr>
  </w:style>
  <w:style w:type="character" w:styleId="TtuloCar" w:customStyle="1">
    <w:name w:val="Título Car"/>
    <w:basedOn w:val="Fuentedeprrafopredeter"/>
    <w:link w:val="Ttulo"/>
    <w:rsid w:val="00ED7D73"/>
    <w:rPr>
      <w:rFonts w:ascii="Cambria" w:cs="Cambria" w:eastAsia="Cambria" w:hAnsi="Cambria"/>
      <w:color w:val="17365d"/>
      <w:sz w:val="52"/>
      <w:szCs w:val="52"/>
    </w:rPr>
  </w:style>
  <w:style w:type="character" w:styleId="SubttuloCar" w:customStyle="1">
    <w:name w:val="Subtítulo Car"/>
    <w:basedOn w:val="Fuentedeprrafopredeter"/>
    <w:link w:val="Subttulo"/>
    <w:rsid w:val="00ED7D73"/>
    <w:rPr>
      <w:rFonts w:ascii="Cambria" w:cs="Cambria" w:eastAsia="Cambria" w:hAnsi="Cambria"/>
      <w:i w:val="1"/>
      <w:color w:val="4f81bd"/>
    </w:rPr>
  </w:style>
  <w:style w:type="table" w:styleId="a8" w:customStyle="1">
    <w:basedOn w:val="TableNormalf2"/>
    <w:tblPr>
      <w:tblStyleRowBandSize w:val="1"/>
      <w:tblStyleColBandSize w:val="1"/>
      <w:tblCellMar>
        <w:left w:w="115.0" w:type="dxa"/>
        <w:right w:w="115.0" w:type="dxa"/>
      </w:tblCellMar>
    </w:tblPr>
  </w:style>
  <w:style w:type="table" w:styleId="a9" w:customStyle="1">
    <w:basedOn w:val="TableNormalf2"/>
    <w:tblPr>
      <w:tblStyleRowBandSize w:val="1"/>
      <w:tblStyleColBandSize w:val="1"/>
      <w:tblCellMar>
        <w:left w:w="115.0" w:type="dxa"/>
        <w:right w:w="115.0" w:type="dxa"/>
      </w:tblCellMar>
    </w:tblPr>
  </w:style>
  <w:style w:type="table" w:styleId="aa" w:customStyle="1">
    <w:basedOn w:val="TableNormalf2"/>
    <w:tblPr>
      <w:tblStyleRowBandSize w:val="1"/>
      <w:tblStyleColBandSize w:val="1"/>
      <w:tblCellMar>
        <w:left w:w="115.0" w:type="dxa"/>
        <w:right w:w="115.0" w:type="dxa"/>
      </w:tblCellMar>
    </w:tblPr>
  </w:style>
  <w:style w:type="paragraph" w:styleId="Textodeglobo">
    <w:name w:val="Balloon Text"/>
    <w:basedOn w:val="Normal"/>
    <w:link w:val="TextodegloboCar"/>
    <w:uiPriority w:val="99"/>
    <w:semiHidden w:val="1"/>
    <w:unhideWhenUsed w:val="1"/>
    <w:rsid w:val="00823D07"/>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23D07"/>
    <w:rPr>
      <w:rFonts w:ascii="Segoe UI" w:cs="Segoe UI" w:hAnsi="Segoe UI"/>
      <w:sz w:val="18"/>
      <w:szCs w:val="18"/>
    </w:rPr>
  </w:style>
  <w:style w:type="table" w:styleId="ab" w:customStyle="1">
    <w:basedOn w:val="TableNormalf1"/>
    <w:tblPr>
      <w:tblStyleRowBandSize w:val="1"/>
      <w:tblStyleColBandSize w:val="1"/>
      <w:tblCellMar>
        <w:left w:w="115.0" w:type="dxa"/>
        <w:right w:w="115.0" w:type="dxa"/>
      </w:tblCellMar>
    </w:tblPr>
  </w:style>
  <w:style w:type="table" w:styleId="ac" w:customStyle="1">
    <w:basedOn w:val="TableNormalf1"/>
    <w:tblPr>
      <w:tblStyleRowBandSize w:val="1"/>
      <w:tblStyleColBandSize w:val="1"/>
      <w:tblCellMar>
        <w:left w:w="115.0" w:type="dxa"/>
        <w:right w:w="115.0" w:type="dxa"/>
      </w:tblCellMar>
    </w:tblPr>
  </w:style>
  <w:style w:type="table" w:styleId="ad" w:customStyle="1">
    <w:basedOn w:val="TableNormalf1"/>
    <w:tblPr>
      <w:tblStyleRowBandSize w:val="1"/>
      <w:tblStyleColBandSize w:val="1"/>
      <w:tblCellMar>
        <w:left w:w="115.0" w:type="dxa"/>
        <w:right w:w="115.0" w:type="dxa"/>
      </w:tblCellMar>
    </w:tblPr>
  </w:style>
  <w:style w:type="paragraph" w:styleId="Textoindependiente21" w:customStyle="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eastAsia="es-ES" w:val="es-ES_tradnl"/>
    </w:rPr>
  </w:style>
  <w:style w:type="table" w:styleId="ae" w:customStyle="1">
    <w:basedOn w:val="TableNormalf"/>
    <w:tblPr>
      <w:tblStyleRowBandSize w:val="1"/>
      <w:tblStyleColBandSize w:val="1"/>
      <w:tblCellMar>
        <w:left w:w="71.0" w:type="dxa"/>
        <w:right w:w="71.0" w:type="dxa"/>
      </w:tblCellMar>
    </w:tblPr>
  </w:style>
  <w:style w:type="numbering" w:styleId="Sinlista3" w:customStyle="1">
    <w:name w:val="Sin lista3"/>
    <w:next w:val="Sinlista"/>
    <w:uiPriority w:val="99"/>
    <w:semiHidden w:val="1"/>
    <w:unhideWhenUsed w:val="1"/>
    <w:rsid w:val="00815A14"/>
  </w:style>
  <w:style w:type="table" w:styleId="TableNormal30" w:customStyle="1">
    <w:name w:val="Table Normal3"/>
    <w:rsid w:val="00815A14"/>
    <w:rPr>
      <w:sz w:val="20"/>
      <w:szCs w:val="20"/>
    </w:rPr>
    <w:tblPr>
      <w:tblCellMar>
        <w:top w:w="0.0" w:type="dxa"/>
        <w:left w:w="0.0" w:type="dxa"/>
        <w:bottom w:w="0.0" w:type="dxa"/>
        <w:right w:w="0.0" w:type="dxa"/>
      </w:tblCellMar>
    </w:tblPr>
  </w:style>
  <w:style w:type="table" w:styleId="af" w:customStyle="1">
    <w:basedOn w:val="TableNormale"/>
    <w:tblPr>
      <w:tblStyleRowBandSize w:val="1"/>
      <w:tblStyleColBandSize w:val="1"/>
      <w:tblCellMar>
        <w:left w:w="71.0" w:type="dxa"/>
        <w:right w:w="71.0" w:type="dxa"/>
      </w:tblCellMar>
    </w:tblPr>
  </w:style>
  <w:style w:type="table" w:styleId="af0" w:customStyle="1">
    <w:basedOn w:val="TableNormale"/>
    <w:tblPr>
      <w:tblStyleRowBandSize w:val="1"/>
      <w:tblStyleColBandSize w:val="1"/>
      <w:tblCellMar>
        <w:left w:w="115.0" w:type="dxa"/>
        <w:right w:w="115.0" w:type="dxa"/>
      </w:tblCellMar>
    </w:tblPr>
  </w:style>
  <w:style w:type="table" w:styleId="af1" w:customStyle="1">
    <w:basedOn w:val="TableNormale"/>
    <w:tblPr>
      <w:tblStyleRowBandSize w:val="1"/>
      <w:tblStyleColBandSize w:val="1"/>
      <w:tblCellMar>
        <w:left w:w="115.0" w:type="dxa"/>
        <w:right w:w="115.0" w:type="dxa"/>
      </w:tblCellMar>
    </w:tblPr>
  </w:style>
  <w:style w:type="table" w:styleId="af2" w:customStyle="1">
    <w:basedOn w:val="TableNormale"/>
    <w:tblPr>
      <w:tblStyleRowBandSize w:val="1"/>
      <w:tblStyleColBandSize w:val="1"/>
      <w:tblCellMar>
        <w:left w:w="115.0" w:type="dxa"/>
        <w:right w:w="115.0" w:type="dxa"/>
      </w:tblCellMar>
    </w:tblPr>
  </w:style>
  <w:style w:type="paragraph" w:styleId="msonormal0" w:customStyle="1">
    <w:name w:val="msonormal"/>
    <w:basedOn w:val="Normal"/>
    <w:rsid w:val="00DC2490"/>
    <w:pPr>
      <w:spacing w:after="100" w:afterAutospacing="1" w:before="100" w:beforeAutospacing="1"/>
    </w:pPr>
  </w:style>
  <w:style w:type="table" w:styleId="af3" w:customStyle="1">
    <w:basedOn w:val="TableNormald"/>
    <w:tblPr>
      <w:tblStyleRowBandSize w:val="1"/>
      <w:tblStyleColBandSize w:val="1"/>
      <w:tblCellMar>
        <w:top w:w="15.0" w:type="dxa"/>
        <w:left w:w="15.0" w:type="dxa"/>
        <w:bottom w:w="15.0" w:type="dxa"/>
        <w:right w:w="15.0" w:type="dxa"/>
      </w:tblCellMar>
    </w:tblPr>
  </w:style>
  <w:style w:type="table" w:styleId="af4" w:customStyle="1">
    <w:basedOn w:val="TableNormald"/>
    <w:tblPr>
      <w:tblStyleRowBandSize w:val="1"/>
      <w:tblStyleColBandSize w:val="1"/>
      <w:tblCellMar>
        <w:top w:w="15.0" w:type="dxa"/>
        <w:left w:w="15.0" w:type="dxa"/>
        <w:bottom w:w="15.0" w:type="dxa"/>
        <w:right w:w="15.0" w:type="dxa"/>
      </w:tblCellMar>
    </w:tblPr>
  </w:style>
  <w:style w:type="table" w:styleId="af5" w:customStyle="1">
    <w:basedOn w:val="TableNormald"/>
    <w:tblPr>
      <w:tblStyleRowBandSize w:val="1"/>
      <w:tblStyleColBandSize w:val="1"/>
      <w:tblCellMar>
        <w:top w:w="15.0" w:type="dxa"/>
        <w:left w:w="15.0" w:type="dxa"/>
        <w:bottom w:w="15.0" w:type="dxa"/>
        <w:right w:w="15.0" w:type="dxa"/>
      </w:tblCellMar>
    </w:tblPr>
  </w:style>
  <w:style w:type="numbering" w:styleId="Sinlista4" w:customStyle="1">
    <w:name w:val="Sin lista4"/>
    <w:next w:val="Sinlista"/>
    <w:uiPriority w:val="99"/>
    <w:semiHidden w:val="1"/>
    <w:unhideWhenUsed w:val="1"/>
    <w:rsid w:val="00412314"/>
  </w:style>
  <w:style w:type="table" w:styleId="TableNormal40" w:customStyle="1">
    <w:name w:val="Table Normal4"/>
    <w:rsid w:val="00412314"/>
    <w:rPr>
      <w:sz w:val="20"/>
      <w:szCs w:val="20"/>
    </w:rPr>
    <w:tblPr>
      <w:tblCellMar>
        <w:top w:w="0.0" w:type="dxa"/>
        <w:left w:w="0.0" w:type="dxa"/>
        <w:bottom w:w="0.0" w:type="dxa"/>
        <w:right w:w="0.0" w:type="dxa"/>
      </w:tblCellMar>
    </w:tblPr>
  </w:style>
  <w:style w:type="table" w:styleId="af6" w:customStyle="1">
    <w:basedOn w:val="TableNormalb"/>
    <w:tblPr>
      <w:tblStyleRowBandSize w:val="1"/>
      <w:tblStyleColBandSize w:val="1"/>
      <w:tblCellMar>
        <w:left w:w="115.0" w:type="dxa"/>
        <w:right w:w="115.0" w:type="dxa"/>
      </w:tblCellMar>
    </w:tblPr>
  </w:style>
  <w:style w:type="table" w:styleId="af7" w:customStyle="1">
    <w:basedOn w:val="TableNormalb"/>
    <w:tblPr>
      <w:tblStyleRowBandSize w:val="1"/>
      <w:tblStyleColBandSize w:val="1"/>
      <w:tblCellMar>
        <w:left w:w="115.0" w:type="dxa"/>
        <w:right w:w="115.0" w:type="dxa"/>
      </w:tblCellMar>
    </w:tblPr>
  </w:style>
  <w:style w:type="table" w:styleId="af8" w:customStyle="1">
    <w:basedOn w:val="TableNormala"/>
    <w:tblPr>
      <w:tblStyleRowBandSize w:val="1"/>
      <w:tblStyleColBandSize w:val="1"/>
      <w:tblCellMar>
        <w:left w:w="115.0" w:type="dxa"/>
        <w:right w:w="115.0" w:type="dxa"/>
      </w:tblCellMar>
    </w:tblPr>
  </w:style>
  <w:style w:type="table" w:styleId="af9" w:customStyle="1">
    <w:basedOn w:val="TableNormala"/>
    <w:tblPr>
      <w:tblStyleRowBandSize w:val="1"/>
      <w:tblStyleColBandSize w:val="1"/>
      <w:tblCellMar>
        <w:left w:w="115.0" w:type="dxa"/>
        <w:right w:w="115.0" w:type="dxa"/>
      </w:tblCellMar>
    </w:tblPr>
  </w:style>
  <w:style w:type="numbering" w:styleId="Sinlista5" w:customStyle="1">
    <w:name w:val="Sin lista5"/>
    <w:next w:val="Sinlista"/>
    <w:uiPriority w:val="99"/>
    <w:semiHidden w:val="1"/>
    <w:unhideWhenUsed w:val="1"/>
    <w:rsid w:val="008D028A"/>
  </w:style>
  <w:style w:type="table" w:styleId="TableNormal50" w:customStyle="1">
    <w:name w:val="Table Normal5"/>
    <w:rsid w:val="008D028A"/>
    <w:rPr>
      <w:sz w:val="20"/>
      <w:szCs w:val="20"/>
    </w:rPr>
    <w:tblPr>
      <w:tblCellMar>
        <w:top w:w="0.0" w:type="dxa"/>
        <w:left w:w="0.0" w:type="dxa"/>
        <w:bottom w:w="0.0" w:type="dxa"/>
        <w:right w:w="0.0" w:type="dxa"/>
      </w:tblCellMar>
    </w:tblPr>
  </w:style>
  <w:style w:type="table" w:styleId="afa" w:customStyle="1">
    <w:basedOn w:val="TableNormal9"/>
    <w:tblPr>
      <w:tblStyleRowBandSize w:val="1"/>
      <w:tblStyleColBandSize w:val="1"/>
      <w:tblCellMar>
        <w:left w:w="115.0" w:type="dxa"/>
        <w:right w:w="115.0" w:type="dxa"/>
      </w:tblCellMar>
    </w:tblPr>
  </w:style>
  <w:style w:type="table" w:styleId="afb" w:customStyle="1">
    <w:basedOn w:val="TableNormal9"/>
    <w:tblPr>
      <w:tblStyleRowBandSize w:val="1"/>
      <w:tblStyleColBandSize w:val="1"/>
      <w:tblCellMar>
        <w:left w:w="115.0" w:type="dxa"/>
        <w:right w:w="115.0" w:type="dxa"/>
      </w:tblCellMar>
    </w:tblPr>
  </w:style>
  <w:style w:type="numbering" w:styleId="Sinlista6" w:customStyle="1">
    <w:name w:val="Sin lista6"/>
    <w:next w:val="Sinlista"/>
    <w:uiPriority w:val="99"/>
    <w:semiHidden w:val="1"/>
    <w:unhideWhenUsed w:val="1"/>
    <w:rsid w:val="00F86369"/>
  </w:style>
  <w:style w:type="table" w:styleId="TableNormal60" w:customStyle="1">
    <w:name w:val="Table Normal6"/>
    <w:rsid w:val="00F86369"/>
    <w:rPr>
      <w:sz w:val="20"/>
      <w:szCs w:val="20"/>
    </w:rPr>
    <w:tblPr>
      <w:tblCellMar>
        <w:top w:w="0.0" w:type="dxa"/>
        <w:left w:w="0.0" w:type="dxa"/>
        <w:bottom w:w="0.0" w:type="dxa"/>
        <w:right w:w="0.0" w:type="dxa"/>
      </w:tblCellMar>
    </w:tblPr>
  </w:style>
  <w:style w:type="table" w:styleId="afc" w:customStyle="1">
    <w:basedOn w:val="TableNormal8"/>
    <w:tblPr>
      <w:tblStyleRowBandSize w:val="1"/>
      <w:tblStyleColBandSize w:val="1"/>
      <w:tblCellMar>
        <w:top w:w="15.0" w:type="dxa"/>
        <w:left w:w="15.0" w:type="dxa"/>
        <w:bottom w:w="15.0" w:type="dxa"/>
        <w:right w:w="15.0" w:type="dxa"/>
      </w:tblCellMar>
    </w:tblPr>
  </w:style>
  <w:style w:type="table" w:styleId="afd" w:customStyle="1">
    <w:basedOn w:val="TableNormal8"/>
    <w:tblPr>
      <w:tblStyleRowBandSize w:val="1"/>
      <w:tblStyleColBandSize w:val="1"/>
      <w:tblCellMar>
        <w:left w:w="115.0" w:type="dxa"/>
        <w:right w:w="115.0" w:type="dxa"/>
      </w:tblCellMar>
    </w:tblPr>
  </w:style>
  <w:style w:type="table" w:styleId="afe" w:customStyle="1">
    <w:basedOn w:val="TableNormal8"/>
    <w:tblPr>
      <w:tblStyleRowBandSize w:val="1"/>
      <w:tblStyleColBandSize w:val="1"/>
      <w:tblCellMar>
        <w:left w:w="115.0" w:type="dxa"/>
        <w:right w:w="115.0" w:type="dxa"/>
      </w:tblCellMar>
    </w:tblPr>
  </w:style>
  <w:style w:type="table" w:styleId="aff" w:customStyle="1">
    <w:basedOn w:val="TableNormal7"/>
    <w:tblPr>
      <w:tblStyleRowBandSize w:val="1"/>
      <w:tblStyleColBandSize w:val="1"/>
      <w:tblCellMar>
        <w:top w:w="15.0" w:type="dxa"/>
        <w:left w:w="15.0" w:type="dxa"/>
        <w:bottom w:w="15.0" w:type="dxa"/>
        <w:right w:w="15.0" w:type="dxa"/>
      </w:tblCellMar>
    </w:tblPr>
  </w:style>
  <w:style w:type="table" w:styleId="aff0" w:customStyle="1">
    <w:basedOn w:val="TableNormal7"/>
    <w:tblPr>
      <w:tblStyleRowBandSize w:val="1"/>
      <w:tblStyleColBandSize w:val="1"/>
      <w:tblCellMar>
        <w:top w:w="15.0" w:type="dxa"/>
        <w:left w:w="15.0" w:type="dxa"/>
        <w:bottom w:w="15.0" w:type="dxa"/>
        <w:right w:w="15.0" w:type="dxa"/>
      </w:tblCellMar>
    </w:tblPr>
  </w:style>
  <w:style w:type="table" w:styleId="aff1" w:customStyle="1">
    <w:basedOn w:val="TableNormal7"/>
    <w:tblPr>
      <w:tblStyleRowBandSize w:val="1"/>
      <w:tblStyleColBandSize w:val="1"/>
      <w:tblCellMar>
        <w:top w:w="15.0" w:type="dxa"/>
        <w:left w:w="15.0" w:type="dxa"/>
        <w:bottom w:w="15.0" w:type="dxa"/>
        <w:right w:w="15.0" w:type="dxa"/>
      </w:tblCellMar>
    </w:tblPr>
  </w:style>
  <w:style w:type="table" w:styleId="aff2" w:customStyle="1">
    <w:basedOn w:val="TableNormal7"/>
    <w:tblPr>
      <w:tblStyleRowBandSize w:val="1"/>
      <w:tblStyleColBandSize w:val="1"/>
      <w:tblCellMar>
        <w:top w:w="15.0" w:type="dxa"/>
        <w:left w:w="15.0" w:type="dxa"/>
        <w:bottom w:w="15.0" w:type="dxa"/>
        <w:right w:w="15.0" w:type="dxa"/>
      </w:tblCellMar>
    </w:tblPr>
  </w:style>
  <w:style w:type="table" w:styleId="aff3" w:customStyle="1">
    <w:basedOn w:val="TableNormal7"/>
    <w:tblPr>
      <w:tblStyleRowBandSize w:val="1"/>
      <w:tblStyleColBandSize w:val="1"/>
      <w:tblCellMar>
        <w:top w:w="15.0" w:type="dxa"/>
        <w:left w:w="15.0" w:type="dxa"/>
        <w:bottom w:w="15.0" w:type="dxa"/>
        <w:right w:w="15.0" w:type="dxa"/>
      </w:tblCellMar>
    </w:tblPr>
  </w:style>
  <w:style w:type="table" w:styleId="aff4" w:customStyle="1">
    <w:basedOn w:val="TableNormal7"/>
    <w:tblPr>
      <w:tblStyleRowBandSize w:val="1"/>
      <w:tblStyleColBandSize w:val="1"/>
      <w:tblCellMar>
        <w:top w:w="15.0" w:type="dxa"/>
        <w:left w:w="15.0" w:type="dxa"/>
        <w:bottom w:w="15.0" w:type="dxa"/>
        <w:right w:w="15.0" w:type="dxa"/>
      </w:tblCellMar>
    </w:tblPr>
  </w:style>
  <w:style w:type="table" w:styleId="aff5" w:customStyle="1">
    <w:basedOn w:val="TableNormal5"/>
    <w:tblPr>
      <w:tblStyleRowBandSize w:val="1"/>
      <w:tblStyleColBandSize w:val="1"/>
      <w:tblCellMar>
        <w:top w:w="15.0" w:type="dxa"/>
        <w:left w:w="15.0" w:type="dxa"/>
        <w:bottom w:w="15.0" w:type="dxa"/>
        <w:right w:w="15.0" w:type="dxa"/>
      </w:tblCellMar>
    </w:tblPr>
  </w:style>
  <w:style w:type="table" w:styleId="aff6" w:customStyle="1">
    <w:basedOn w:val="TableNormal5"/>
    <w:tblPr>
      <w:tblStyleRowBandSize w:val="1"/>
      <w:tblStyleColBandSize w:val="1"/>
      <w:tblCellMar>
        <w:top w:w="15.0" w:type="dxa"/>
        <w:left w:w="15.0" w:type="dxa"/>
        <w:bottom w:w="15.0" w:type="dxa"/>
        <w:right w:w="15.0" w:type="dxa"/>
      </w:tblCellMar>
    </w:tblPr>
  </w:style>
  <w:style w:type="table" w:styleId="aff7" w:customStyle="1">
    <w:basedOn w:val="TableNormal5"/>
    <w:tblPr>
      <w:tblStyleRowBandSize w:val="1"/>
      <w:tblStyleColBandSize w:val="1"/>
      <w:tblCellMar>
        <w:top w:w="15.0" w:type="dxa"/>
        <w:left w:w="15.0" w:type="dxa"/>
        <w:bottom w:w="15.0" w:type="dxa"/>
        <w:right w:w="15.0" w:type="dxa"/>
      </w:tblCellMar>
    </w:tblPr>
  </w:style>
  <w:style w:type="numbering" w:styleId="Sinlista7" w:customStyle="1">
    <w:name w:val="Sin lista7"/>
    <w:next w:val="Sinlista"/>
    <w:uiPriority w:val="99"/>
    <w:semiHidden w:val="1"/>
    <w:unhideWhenUsed w:val="1"/>
    <w:rsid w:val="003353EA"/>
  </w:style>
  <w:style w:type="table" w:styleId="TableNormal70" w:customStyle="1">
    <w:name w:val="Table Normal7"/>
    <w:rsid w:val="003353EA"/>
    <w:rPr>
      <w:sz w:val="20"/>
      <w:szCs w:val="20"/>
    </w:rPr>
    <w:tblPr>
      <w:tblCellMar>
        <w:top w:w="0.0" w:type="dxa"/>
        <w:left w:w="0.0" w:type="dxa"/>
        <w:bottom w:w="0.0" w:type="dxa"/>
        <w:right w:w="0.0" w:type="dxa"/>
      </w:tblCellMar>
    </w:tblPr>
  </w:style>
  <w:style w:type="table" w:styleId="aff8" w:customStyle="1">
    <w:basedOn w:val="TableNormal3"/>
    <w:tblPr>
      <w:tblStyleRowBandSize w:val="1"/>
      <w:tblStyleColBandSize w:val="1"/>
      <w:tblCellMar>
        <w:left w:w="115.0" w:type="dxa"/>
        <w:right w:w="115.0" w:type="dxa"/>
      </w:tblCellMar>
    </w:tblPr>
  </w:style>
  <w:style w:type="table" w:styleId="aff9" w:customStyle="1">
    <w:basedOn w:val="TableNormal3"/>
    <w:tblPr>
      <w:tblStyleRowBandSize w:val="1"/>
      <w:tblStyleColBandSize w:val="1"/>
      <w:tblCellMar>
        <w:left w:w="115.0" w:type="dxa"/>
        <w:right w:w="115.0" w:type="dxa"/>
      </w:tblCellMar>
    </w:tblPr>
  </w:style>
  <w:style w:type="table" w:styleId="affa" w:customStyle="1">
    <w:basedOn w:val="TableNormal3"/>
    <w:tblPr>
      <w:tblStyleRowBandSize w:val="1"/>
      <w:tblStyleColBandSize w:val="1"/>
      <w:tblCellMar>
        <w:left w:w="115.0" w:type="dxa"/>
        <w:right w:w="115.0" w:type="dxa"/>
      </w:tblCellMar>
    </w:tblPr>
  </w:style>
  <w:style w:type="numbering" w:styleId="Sinlista8" w:customStyle="1">
    <w:name w:val="Sin lista8"/>
    <w:next w:val="Sinlista"/>
    <w:uiPriority w:val="99"/>
    <w:semiHidden w:val="1"/>
    <w:unhideWhenUsed w:val="1"/>
    <w:rsid w:val="00583E51"/>
  </w:style>
  <w:style w:type="table" w:styleId="TableNormal80" w:customStyle="1">
    <w:name w:val="Table Normal8"/>
    <w:rsid w:val="00583E51"/>
    <w:rPr>
      <w:sz w:val="20"/>
      <w:szCs w:val="20"/>
    </w:rPr>
    <w:tblPr>
      <w:tblCellMar>
        <w:top w:w="0.0" w:type="dxa"/>
        <w:left w:w="0.0" w:type="dxa"/>
        <w:bottom w:w="0.0" w:type="dxa"/>
        <w:right w:w="0.0" w:type="dxa"/>
      </w:tblCellMar>
    </w:tblPr>
  </w:style>
  <w:style w:type="table" w:styleId="affb" w:customStyle="1">
    <w:basedOn w:val="TableNormal2"/>
    <w:tblPr>
      <w:tblStyleRowBandSize w:val="1"/>
      <w:tblStyleColBandSize w:val="1"/>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2"/>
    <w:tblPr>
      <w:tblStyleRowBandSize w:val="1"/>
      <w:tblStyleColBandSize w:val="1"/>
      <w:tblCellMar>
        <w:left w:w="115.0" w:type="dxa"/>
        <w:right w:w="115.0" w:type="dxa"/>
      </w:tblCellMar>
    </w:tblPr>
  </w:style>
  <w:style w:type="table" w:styleId="affe" w:customStyle="1">
    <w:basedOn w:val="TableNormal2"/>
    <w:tblPr>
      <w:tblStyleRowBandSize w:val="1"/>
      <w:tblStyleColBandSize w:val="1"/>
      <w:tblCellMar>
        <w:left w:w="115.0" w:type="dxa"/>
        <w:right w:w="115.0" w:type="dxa"/>
      </w:tblCellMar>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CellMar>
        <w:left w:w="115.0" w:type="dxa"/>
        <w:right w:w="115.0" w:type="dxa"/>
      </w:tblCellMar>
    </w:tblPr>
  </w:style>
  <w:style w:type="table" w:styleId="afff1" w:customStyle="1">
    <w:basedOn w:val="TableNormal1"/>
    <w:tblPr>
      <w:tblStyleRowBandSize w:val="1"/>
      <w:tblStyleColBandSize w:val="1"/>
      <w:tblCellMar>
        <w:left w:w="115.0" w:type="dxa"/>
        <w:right w:w="115.0" w:type="dxa"/>
      </w:tblCellMar>
    </w:tblPr>
  </w:style>
  <w:style w:type="table" w:styleId="afff2" w:customStyle="1">
    <w:basedOn w:val="TableNormal1"/>
    <w:tblPr>
      <w:tblStyleRowBandSize w:val="1"/>
      <w:tblStyleColBandSize w:val="1"/>
      <w:tblCellMar>
        <w:left w:w="115.0" w:type="dxa"/>
        <w:right w:w="115.0" w:type="dxa"/>
      </w:tblCellMar>
    </w:tblPr>
  </w:style>
  <w:style w:type="table" w:styleId="Tablaconcuadrcula">
    <w:name w:val="Table Grid"/>
    <w:basedOn w:val="Tablanormal"/>
    <w:uiPriority w:val="39"/>
    <w:rsid w:val="00AA32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Sinlista9" w:customStyle="1">
    <w:name w:val="Sin lista9"/>
    <w:next w:val="Sinlista"/>
    <w:uiPriority w:val="99"/>
    <w:semiHidden w:val="1"/>
    <w:unhideWhenUsed w:val="1"/>
    <w:rsid w:val="00212C22"/>
  </w:style>
  <w:style w:type="table" w:styleId="TableNormal90" w:customStyle="1">
    <w:name w:val="Table Normal9"/>
    <w:rsid w:val="00212C22"/>
    <w:rPr>
      <w:sz w:val="20"/>
      <w:szCs w:val="20"/>
    </w:rPr>
    <w:tblPr>
      <w:tblCellMar>
        <w:top w:w="0.0" w:type="dxa"/>
        <w:left w:w="0.0" w:type="dxa"/>
        <w:bottom w:w="0.0" w:type="dxa"/>
        <w:right w:w="0.0" w:type="dxa"/>
      </w:tblCellMar>
    </w:tblPr>
  </w:style>
  <w:style w:type="table" w:styleId="afff3" w:customStyle="1">
    <w:basedOn w:val="TableNormal0"/>
    <w:tblPr>
      <w:tblStyleRowBandSize w:val="1"/>
      <w:tblStyleColBandSize w:val="1"/>
      <w:tblCellMar>
        <w:top w:w="15.0" w:type="dxa"/>
        <w:left w:w="15.0" w:type="dxa"/>
        <w:bottom w:w="15.0" w:type="dxa"/>
        <w:right w:w="15.0" w:type="dxa"/>
      </w:tblCellMar>
    </w:tblPr>
  </w:style>
  <w:style w:type="table" w:styleId="afff4" w:customStyle="1">
    <w:basedOn w:val="TableNormal0"/>
    <w:tblPr>
      <w:tblStyleRowBandSize w:val="1"/>
      <w:tblStyleColBandSize w:val="1"/>
      <w:tblCellMar>
        <w:top w:w="100.0" w:type="dxa"/>
        <w:left w:w="100.0" w:type="dxa"/>
        <w:bottom w:w="100.0" w:type="dxa"/>
        <w:right w:w="100.0" w:type="dxa"/>
      </w:tblCellMar>
    </w:tblPr>
  </w:style>
  <w:style w:type="table" w:styleId="afff5" w:customStyle="1">
    <w:basedOn w:val="TableNormal0"/>
    <w:tblPr>
      <w:tblStyleRowBandSize w:val="1"/>
      <w:tblStyleColBandSize w:val="1"/>
      <w:tblCellMar>
        <w:left w:w="115.0" w:type="dxa"/>
        <w:right w:w="115.0" w:type="dxa"/>
      </w:tblCellMar>
    </w:tblPr>
  </w:style>
  <w:style w:type="table" w:styleId="afff6" w:customStyle="1">
    <w:basedOn w:val="TableNormal0"/>
    <w:tblPr>
      <w:tblStyleRowBandSize w:val="1"/>
      <w:tblStyleColBandSize w:val="1"/>
      <w:tblCellMar>
        <w:left w:w="115.0" w:type="dxa"/>
        <w:right w:w="115.0" w:type="dxa"/>
      </w:tblCellMar>
    </w:tblPr>
  </w:style>
  <w:style w:type="table" w:styleId="afff7"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rPr>
      <w:rFonts w:ascii="Cambria" w:cs="Cambria" w:eastAsia="Cambria" w:hAnsi="Cambria"/>
      <w:i w:val="1"/>
      <w:color w:val="4f81bd"/>
    </w:rPr>
  </w:style>
  <w:style w:type="table" w:styleId="Table1">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w3si9eP/u9KrEbBeqHwFppK0Wg==">CgMxLjAyCWguMzBqMHpsbDgAciExQ0d3YWlYdWRJZ19uV3VpLXl5RVZkS000TFltRWF1bXQ=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2025-01-17T14:29:00Z</dcterms:created>
  <dc:creator>Lorenzo, Carla Valeria</dc:creator>
</cp:coreProperties>
</file>