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84" w:right="284" w:firstLine="0"/>
        <w:jc w:val="both"/>
        <w:rPr>
          <w:sz w:val="22"/>
          <w:szCs w:val="22"/>
          <w:highlight w:val="white"/>
        </w:rPr>
      </w:pPr>
      <w:r w:rsidDel="00000000" w:rsidR="00000000" w:rsidRPr="00000000">
        <w:rPr>
          <w:sz w:val="22"/>
          <w:szCs w:val="22"/>
          <w:rtl w:val="0"/>
        </w:rPr>
        <w:t xml:space="preserve">En la Ciudad Autónoma de Buenos Aires, a los 28 días del mes de mayo de 2025, siendo las 17 horas, se reúnen los directores de Banco Macro S.A. (el “Banco”), encontrándose presentes en la sede social los señores directores Carlos Alberto Giovanelli, Marcos Brito, Constanza Brito, Nelson Damián Pozzoli, Mario Vicens, los integrantes de la Comisión Fiscalizadora Cdores. Alejandro Almarza, Carlos Javier Piazza y Vivian Stenghele, la Secretaria del Directorio Dra. Carolina Leonhart, y mediante videoconferencia los señores directores Fabián de Paul, José Sánchez y Guido Gallino. Conforme a lo dispuesto por el artículo 19 del estatuto social, se deja constancia de que: (i) la videoconferencia permite la transmisión simultánea de sonido </w:t>
      </w:r>
      <w:r w:rsidDel="00000000" w:rsidR="00000000" w:rsidRPr="00000000">
        <w:rPr>
          <w:sz w:val="22"/>
          <w:szCs w:val="22"/>
          <w:highlight w:val="white"/>
          <w:rtl w:val="0"/>
        </w:rPr>
        <w:t xml:space="preserve">e imágenes y posibilita la deliberación de los concurrentes en forma simultánea; y (ii) el acta contendrá las decisiones adoptadas por el Directorio en esta reunión, y los votos de los participantes. </w:t>
      </w:r>
    </w:p>
    <w:p w:rsidR="00000000" w:rsidDel="00000000" w:rsidP="00000000" w:rsidRDefault="00000000" w:rsidRPr="00000000" w14:paraId="00000002">
      <w:pPr>
        <w:spacing w:line="360" w:lineRule="auto"/>
        <w:ind w:left="284" w:right="284" w:firstLine="0"/>
        <w:jc w:val="both"/>
        <w:rPr>
          <w:b w:val="1"/>
          <w:sz w:val="22"/>
          <w:szCs w:val="22"/>
        </w:rPr>
      </w:pPr>
      <w:r w:rsidDel="00000000" w:rsidR="00000000" w:rsidRPr="00000000">
        <w:rPr>
          <w:sz w:val="22"/>
          <w:szCs w:val="22"/>
          <w:highlight w:val="white"/>
          <w:rtl w:val="0"/>
        </w:rPr>
        <w:t xml:space="preserve">Pr</w:t>
      </w:r>
      <w:r w:rsidDel="00000000" w:rsidR="00000000" w:rsidRPr="00000000">
        <w:rPr>
          <w:sz w:val="22"/>
          <w:szCs w:val="22"/>
          <w:rtl w:val="0"/>
        </w:rPr>
        <w:t xml:space="preserve">eside la reunión el Vicepresidente del Directorio, señor Carlos Alberto Giovanelli, quien cede la palabra a la Secretaria de Directorio, Dra. Carolina Paola Leonhart, que informa que la presente reunión tiene por objeto considerar los siguientes puntos de la agenda:</w:t>
      </w:r>
      <w:r w:rsidDel="00000000" w:rsidR="00000000" w:rsidRPr="00000000">
        <w:rPr>
          <w:b w:val="1"/>
          <w:sz w:val="22"/>
          <w:szCs w:val="22"/>
          <w:rtl w:val="0"/>
        </w:rPr>
        <w:t xml:space="preserve"> … 10) Consideración y aprobación de una prórroga a la subdelegación de facultades aprobada por el Directorio en su reunión del 26 de febrero de 2025 relacionadas con el proceso de la emisión de Obligaciones Negociables en el marco del Programa Global de Emisión de Obligaciones Negociables a Mediano Plazo por un valor nominal de US$ 1.500.000.000 (o su equivalente en otras monedas y/o unidades monetarias, de medida o de valor). Autorizaciones; … </w:t>
      </w:r>
    </w:p>
    <w:p w:rsidR="00000000" w:rsidDel="00000000" w:rsidP="00000000" w:rsidRDefault="00000000" w:rsidRPr="00000000" w14:paraId="00000003">
      <w:pPr>
        <w:spacing w:line="360" w:lineRule="auto"/>
        <w:ind w:left="284" w:right="328" w:firstLine="0"/>
        <w:jc w:val="both"/>
        <w:rPr>
          <w:sz w:val="22"/>
          <w:szCs w:val="22"/>
        </w:rPr>
      </w:pPr>
      <w:r w:rsidDel="00000000" w:rsidR="00000000" w:rsidRPr="00000000">
        <w:rPr>
          <w:sz w:val="22"/>
          <w:szCs w:val="22"/>
          <w:rtl w:val="0"/>
        </w:rPr>
        <w:t xml:space="preserve">10) El señor Vicepresidente manifiesta que, como es de conocimiento de los señores directores, el Directorio en la reunión celebrada el día 26 de febrero de 2025, aprobó: (i) la emisión de una o más clases de obligaciones negociables, por un valor nominal total, en conjunto de hasta US$500.000.000 (o su equivalente en otras monedas y/o unidades monetarias, de medida o de valor), que podrán emitirse en Pesos, en Dólares Estadounidenses o cualquier otra moneda y/o unidad monetaria, de medida o de valor (las “Obligaciones Negociables”) en las condiciones y con los demás términos que establezcan los subdelegados, en el marco del Programa Global de Emisión de Obligaciones Negociables a Mediano Plazo por un valor nominal de US$ 1.500.000.000 (o su equivalente en otras monedas y/o unidades monetarias, de medida o de valor) autorizado por Resolución N° 18.247 del 6 de octubre de 2016 de la Comisión Nacional de Valores (la “CNV”), cuya ampliación fue aprobada por Resolución Nº 18.795 de la CNV del 22 de junio de 2017 y cuya prórroga del plazo de vigencia y la modificación de sus términos y condiciones fue autorizada por la CNV mediante Resolución Nº DI-2021-59-APN-GE#CNV de fecha 15 de diciembre de 2021 (el “Programa”); y (ii) la subdelegación en el señor Jorge Francisco Scarinci para que, actuando individualmente, ejerza las facultades delegadas por la Asamblea en este Directorio. En vistas de que la mencionada subdelegación caducó el 26 de mayo de 2025, el Señor presidente manifiesta que es conveniente renovar dicha subdelegación de facultades, y en consecuencia, designar y autorizar al señor Jorge Francisco Scarinci para que, actuando individualmente ejerza las facultades delegadas por la Asamblea en este Directorio (con facultad de subdelegar) incluyendo, sin limitación, las siguientes: (a) negociar, aprobar, modificar y determinar los términos y condiciones del o los suplementos de precio (cada uno, un “Suplemento de Precio”) correspondiente a las Obligaciones Negociables; (b) suscribir en representación del Banco, el Suplemento de Precio definitivo y/o avisos complementarios; (c) suscribir cualquier documento o instrumento que resultare necesario para la emisión de las Obligaciones Negociables, así como también la posibilidad de desistir de llevar adelante la emisión de las Obligaciones Negociables; (d) realizar ante la CNV todas las gestiones necesarias para obtener la autorización para la emisión de las Obligaciones Negociables; (e) realizar ante Bolsas y Mercados Argentinos S.A. (“BYMA”), A3 Mercados S.A. (“A3 Mercados”), y/o cualesquier otras bolsas o mercados autorizados de la Argentina y/o del exterior todas las gestiones para obtener el listado y/o negociación de las Obligaciones Negociables y/o las gestiones necesarias ante cualquier otro organismo público de la República Argentina (Boletín Oficial, Banco Central de la República Argentina, etc.) y/o privado y reparticiones gubernamentales en los cuales se presente el Suplemento de Precio; y (f) determinar y contratar una o más calificadoras de riesgo independientes y distintas que otorguen las calificaciones de riesgo para las Obligaciones Negociables, y la posibilidad de designar y contratar colocadores, subcolocadores y agentes (incluyendo, sin limitación, fiduciarios). </w:t>
      </w:r>
    </w:p>
    <w:p w:rsidR="00000000" w:rsidDel="00000000" w:rsidP="00000000" w:rsidRDefault="00000000" w:rsidRPr="00000000" w14:paraId="00000004">
      <w:pPr>
        <w:spacing w:line="360" w:lineRule="auto"/>
        <w:ind w:left="284" w:right="328" w:firstLine="0"/>
        <w:jc w:val="both"/>
        <w:rPr>
          <w:sz w:val="22"/>
          <w:szCs w:val="22"/>
        </w:rPr>
      </w:pPr>
      <w:r w:rsidDel="00000000" w:rsidR="00000000" w:rsidRPr="00000000">
        <w:rPr>
          <w:sz w:val="22"/>
          <w:szCs w:val="22"/>
          <w:rtl w:val="0"/>
        </w:rPr>
        <w:t xml:space="preserve">Luego de un breve intercambio de ideas, por mayoría de votos presentes, con la abstención del señor Guido Gallino, se resuelve autorizar al señor Jorge Francisco Scarinci con los alcances descriptos precedentemente.</w:t>
      </w:r>
    </w:p>
    <w:p w:rsidR="00000000" w:rsidDel="00000000" w:rsidP="00000000" w:rsidRDefault="00000000" w:rsidRPr="00000000" w14:paraId="00000005">
      <w:pPr>
        <w:spacing w:line="360" w:lineRule="auto"/>
        <w:ind w:left="284" w:right="328" w:firstLine="0"/>
        <w:jc w:val="both"/>
        <w:rPr>
          <w:sz w:val="22"/>
          <w:szCs w:val="22"/>
        </w:rPr>
      </w:pPr>
      <w:r w:rsidDel="00000000" w:rsidR="00000000" w:rsidRPr="00000000">
        <w:rPr>
          <w:sz w:val="22"/>
          <w:szCs w:val="22"/>
          <w:rtl w:val="0"/>
        </w:rPr>
        <w:t xml:space="preserve">Finalmente, el señor Vicepresidente manifiesta que resulta conveniente autorizar a Carolina Paola Leonhart, Paola Beatriz Gayoso, Carla Valeria Lorenzo, Maria Luján Daqua, Alejandro Senillosa, Gabriela Eliana Blanco, Hugo Nicolás Luis Bruzone, José María Bazán, Lucrecia von Petery, Leandro Ezequiel Belusci, Ramón Augusto Poliche, Juan María Rosatto, Sebastian Pereyra Pagiari, Quimey Waisten, Branko Serventich, Sofía Maselli, Pedro María Azumendi, Facundo Suarez Loñ, Malena Tarrío, Lucía De Luca, Victoria Negro, Gonzalo Javier Vilariño, Marco Haas, Teo Panich y/o Francisco Mendioroz, para que, actuando indistintamente uno cualquiera de ellos, realicen las pertinentes presentaciones ante la CNV, BYMA, la Bolsa de Comercio de Buenos Aires, A3 Mercados, Caja de Valores S.A. y cualquier otro mercado de valores o agente de depósito de la Argentina y/o del exterior autorizado por la CNV y/o cualquier otro organismo público de la República Argentina (Boletín Oficial, Banco Central de la República Argentina, etc.) y/u organismo privado y reparticiones gubernamentales en los cuales se presenten los Suplementos de Precio y/o las Obligaciones Negociables, tomando vista de las actuaciones y teniendo, en forma también indistinta, la facultad de contestar vistas, impulsar los trámites, retirar copias, realizar notificaciones, suscribir e inicialar toda la documentación que resulte necesaria, incluyendo sin limitación, las versiones definitivas de dichos documentos y realizar cuantos más trámites fueren menester a los fines indicados. </w:t>
      </w:r>
    </w:p>
    <w:p w:rsidR="00000000" w:rsidDel="00000000" w:rsidP="00000000" w:rsidRDefault="00000000" w:rsidRPr="00000000" w14:paraId="00000006">
      <w:pPr>
        <w:spacing w:line="360" w:lineRule="auto"/>
        <w:ind w:left="284" w:right="328" w:firstLine="0"/>
        <w:jc w:val="both"/>
        <w:rPr>
          <w:sz w:val="22"/>
          <w:szCs w:val="22"/>
        </w:rPr>
      </w:pPr>
      <w:r w:rsidDel="00000000" w:rsidR="00000000" w:rsidRPr="00000000">
        <w:rPr>
          <w:sz w:val="22"/>
          <w:szCs w:val="22"/>
          <w:rtl w:val="0"/>
        </w:rPr>
        <w:t xml:space="preserve">Luego de un intercambio de ideas, se aprueba la propuesta por unanimidad. </w:t>
      </w:r>
      <w:r w:rsidDel="00000000" w:rsidR="00000000" w:rsidRPr="00000000">
        <w:rPr>
          <w:rtl w:val="0"/>
        </w:rPr>
      </w:r>
    </w:p>
    <w:p w:rsidR="00000000" w:rsidDel="00000000" w:rsidP="00000000" w:rsidRDefault="00000000" w:rsidRPr="00000000" w14:paraId="00000007">
      <w:pPr>
        <w:shd w:fill="ffffff" w:val="clear"/>
        <w:ind w:left="284" w:right="329" w:firstLine="0"/>
        <w:jc w:val="left"/>
        <w:rPr>
          <w:sz w:val="22"/>
          <w:szCs w:val="22"/>
        </w:rPr>
      </w:pPr>
      <w:bookmarkStart w:colFirst="0" w:colLast="0" w:name="_heading=h.b85uuidyt7sv" w:id="0"/>
      <w:bookmarkEnd w:id="0"/>
      <w:r w:rsidDel="00000000" w:rsidR="00000000" w:rsidRPr="00000000">
        <w:rPr>
          <w:sz w:val="22"/>
          <w:szCs w:val="22"/>
          <w:rtl w:val="0"/>
        </w:rPr>
        <w:t xml:space="preserve">…</w:t>
      </w:r>
    </w:p>
    <w:p w:rsidR="00000000" w:rsidDel="00000000" w:rsidP="00000000" w:rsidRDefault="00000000" w:rsidRPr="00000000" w14:paraId="00000008">
      <w:pPr>
        <w:shd w:fill="ffffff" w:val="clear"/>
        <w:ind w:left="284" w:right="329" w:firstLine="284"/>
        <w:jc w:val="center"/>
        <w:rPr>
          <w:sz w:val="22"/>
          <w:szCs w:val="22"/>
        </w:rPr>
      </w:pPr>
      <w:r w:rsidDel="00000000" w:rsidR="00000000" w:rsidRPr="00000000">
        <w:rPr>
          <w:rtl w:val="0"/>
        </w:rPr>
      </w:r>
    </w:p>
    <w:p w:rsidR="00000000" w:rsidDel="00000000" w:rsidP="00000000" w:rsidRDefault="00000000" w:rsidRPr="00000000" w14:paraId="00000009">
      <w:pPr>
        <w:shd w:fill="ffffff" w:val="clear"/>
        <w:spacing w:line="360" w:lineRule="auto"/>
        <w:ind w:left="284" w:right="329" w:firstLine="0"/>
        <w:jc w:val="both"/>
        <w:rPr>
          <w:sz w:val="22"/>
          <w:szCs w:val="22"/>
        </w:rPr>
      </w:pPr>
      <w:r w:rsidDel="00000000" w:rsidR="00000000" w:rsidRPr="00000000">
        <w:rPr>
          <w:sz w:val="22"/>
          <w:szCs w:val="22"/>
          <w:rtl w:val="0"/>
        </w:rPr>
        <w:t xml:space="preserve">En cumplimiento de lo dispuesto por el artículo 19 del estatuto social, los miembros de la Comisión Fiscalizadora participantes de la presente reunión dejan constancia de la regularidad de las decisiones adoptadas.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line="360" w:lineRule="auto"/>
        <w:ind w:left="284" w:right="476" w:firstLine="0"/>
        <w:jc w:val="both"/>
        <w:rPr>
          <w:sz w:val="22"/>
          <w:szCs w:val="22"/>
        </w:rPr>
      </w:pPr>
      <w:r w:rsidDel="00000000" w:rsidR="00000000" w:rsidRPr="00000000">
        <w:rPr>
          <w:sz w:val="22"/>
          <w:szCs w:val="22"/>
          <w:rtl w:val="0"/>
        </w:rPr>
        <w:t xml:space="preserve">No habiendo más asuntos que tratar, se levanta la sesión, siendo las 17,25 horas.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line="360" w:lineRule="auto"/>
        <w:ind w:left="284" w:right="476" w:firstLine="0"/>
        <w:jc w:val="both"/>
        <w:rPr>
          <w:sz w:val="22"/>
          <w:szCs w:val="22"/>
        </w:rPr>
      </w:pPr>
      <w:r w:rsidDel="00000000" w:rsidR="00000000" w:rsidRPr="00000000">
        <w:rPr>
          <w:rtl w:val="0"/>
        </w:rPr>
      </w:r>
    </w:p>
    <w:p w:rsidR="00000000" w:rsidDel="00000000" w:rsidP="00000000" w:rsidRDefault="00000000" w:rsidRPr="00000000" w14:paraId="0000000C">
      <w:pPr>
        <w:shd w:fill="ffffff" w:val="clear"/>
        <w:spacing w:line="360" w:lineRule="auto"/>
        <w:ind w:left="284" w:right="476" w:firstLine="0"/>
        <w:jc w:val="both"/>
        <w:rPr>
          <w:sz w:val="22"/>
          <w:szCs w:val="22"/>
        </w:rPr>
      </w:pPr>
      <w:r w:rsidDel="00000000" w:rsidR="00000000" w:rsidRPr="00000000">
        <w:rPr>
          <w:rFonts w:ascii="Verdana" w:cs="Verdana" w:eastAsia="Verdana" w:hAnsi="Verdana"/>
          <w:sz w:val="16"/>
          <w:szCs w:val="16"/>
          <w:rtl w:val="0"/>
        </w:rPr>
        <w:t xml:space="preserve">Firmado: Carlos Alberto Giovanelli (Vicepresidente); Constanza Brito (Directora); Marcos Brito (Director); Nelson Damián Pozzoli (Director); Mario Luis Vicens (Director); Fabián de Paul (Director); José Alfredo Sánchez (Director); Guido Gallino (Director); Alejandro Almarza (Síndico); Carlos Javier Piazza (Síndico); Vivian Stenghele (Síndica); Carolina Paola Leonhart (Secretaria del Directorio).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20160" w:w="12240" w:orient="portrait"/>
      <w:pgMar w:bottom="1700" w:top="1700" w:left="566" w:right="56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30"/>
      <w:jc w:val="center"/>
    </w:pPr>
    <w:rPr>
      <w:rFonts w:ascii="Cambria" w:cs="Cambria" w:eastAsia="Cambria" w:hAnsi="Cambria"/>
      <w:b w:val="1"/>
      <w:sz w:val="32"/>
      <w:szCs w:val="32"/>
    </w:rPr>
  </w:style>
  <w:style w:type="paragraph" w:styleId="Heading2">
    <w:name w:val="heading 2"/>
    <w:basedOn w:val="Normal"/>
    <w:next w:val="Normal"/>
    <w:pPr>
      <w:keepNext w:val="1"/>
      <w:tabs>
        <w:tab w:val="left" w:leader="none" w:pos="4962"/>
        <w:tab w:val="left" w:leader="none" w:pos="6804"/>
      </w:tabs>
      <w:spacing w:line="360" w:lineRule="auto"/>
      <w:jc w:val="both"/>
    </w:pPr>
    <w:rPr>
      <w:rFonts w:ascii="Cambria" w:cs="Cambria" w:eastAsia="Cambria" w:hAnsi="Cambria"/>
      <w:b w:val="1"/>
      <w:i w:val="1"/>
      <w:sz w:val="28"/>
      <w:szCs w:val="28"/>
    </w:rPr>
  </w:style>
  <w:style w:type="paragraph" w:styleId="Heading3">
    <w:name w:val="heading 3"/>
    <w:basedOn w:val="Normal"/>
    <w:next w:val="Normal"/>
    <w:pPr>
      <w:keepNext w:val="1"/>
      <w:jc w:val="both"/>
    </w:pPr>
    <w:rPr>
      <w:rFonts w:ascii="Cambria" w:cs="Cambria" w:eastAsia="Cambria" w:hAnsi="Cambria"/>
      <w:b w:val="1"/>
      <w:sz w:val="26"/>
      <w:szCs w:val="26"/>
    </w:rPr>
  </w:style>
  <w:style w:type="paragraph" w:styleId="Heading4">
    <w:name w:val="heading 4"/>
    <w:basedOn w:val="Normal"/>
    <w:next w:val="Normal"/>
    <w:pPr>
      <w:keepNext w:val="1"/>
      <w:jc w:val="center"/>
    </w:pPr>
    <w:rPr>
      <w:rFonts w:ascii="Calibri" w:cs="Calibri" w:eastAsia="Calibri" w:hAnsi="Calibri"/>
      <w:b w:val="1"/>
      <w:sz w:val="28"/>
      <w:szCs w:val="28"/>
    </w:rPr>
  </w:style>
  <w:style w:type="paragraph" w:styleId="Heading5">
    <w:name w:val="heading 5"/>
    <w:basedOn w:val="Normal"/>
    <w:next w:val="Normal"/>
    <w:pPr>
      <w:keepNext w:val="1"/>
    </w:pPr>
    <w:rPr>
      <w:rFonts w:ascii="Calibri" w:cs="Calibri" w:eastAsia="Calibri" w:hAnsi="Calibri"/>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right="-30"/>
      <w:jc w:val="center"/>
    </w:pPr>
    <w:rPr>
      <w:rFonts w:ascii="Cambria" w:cs="Cambria" w:eastAsia="Cambria" w:hAnsi="Cambria"/>
      <w:b w:val="1"/>
      <w:sz w:val="32"/>
      <w:szCs w:val="32"/>
    </w:rPr>
  </w:style>
  <w:style w:type="paragraph" w:styleId="Heading2">
    <w:name w:val="heading 2"/>
    <w:basedOn w:val="Normal"/>
    <w:next w:val="Normal"/>
    <w:pPr>
      <w:keepNext w:val="1"/>
      <w:tabs>
        <w:tab w:val="left" w:leader="none" w:pos="4962"/>
        <w:tab w:val="left" w:leader="none" w:pos="6804"/>
      </w:tabs>
      <w:spacing w:line="360" w:lineRule="auto"/>
      <w:jc w:val="both"/>
    </w:pPr>
    <w:rPr>
      <w:rFonts w:ascii="Cambria" w:cs="Cambria" w:eastAsia="Cambria" w:hAnsi="Cambria"/>
      <w:b w:val="1"/>
      <w:i w:val="1"/>
      <w:sz w:val="28"/>
      <w:szCs w:val="28"/>
    </w:rPr>
  </w:style>
  <w:style w:type="paragraph" w:styleId="Heading3">
    <w:name w:val="heading 3"/>
    <w:basedOn w:val="Normal"/>
    <w:next w:val="Normal"/>
    <w:pPr>
      <w:keepNext w:val="1"/>
      <w:jc w:val="both"/>
    </w:pPr>
    <w:rPr>
      <w:rFonts w:ascii="Cambria" w:cs="Cambria" w:eastAsia="Cambria" w:hAnsi="Cambria"/>
      <w:b w:val="1"/>
      <w:sz w:val="26"/>
      <w:szCs w:val="26"/>
    </w:rPr>
  </w:style>
  <w:style w:type="paragraph" w:styleId="Heading4">
    <w:name w:val="heading 4"/>
    <w:basedOn w:val="Normal"/>
    <w:next w:val="Normal"/>
    <w:pPr>
      <w:keepNext w:val="1"/>
      <w:jc w:val="center"/>
    </w:pPr>
    <w:rPr>
      <w:rFonts w:ascii="Calibri" w:cs="Calibri" w:eastAsia="Calibri" w:hAnsi="Calibri"/>
      <w:b w:val="1"/>
      <w:sz w:val="28"/>
      <w:szCs w:val="28"/>
    </w:rPr>
  </w:style>
  <w:style w:type="paragraph" w:styleId="Heading5">
    <w:name w:val="heading 5"/>
    <w:basedOn w:val="Normal"/>
    <w:next w:val="Normal"/>
    <w:pPr>
      <w:keepNext w:val="1"/>
    </w:pPr>
    <w:rPr>
      <w:rFonts w:ascii="Calibri" w:cs="Calibri" w:eastAsia="Calibri" w:hAnsi="Calibri"/>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rsid w:val="005022D6"/>
  </w:style>
  <w:style w:type="paragraph" w:styleId="Ttulo1">
    <w:name w:val="heading 1"/>
    <w:basedOn w:val="Normal"/>
    <w:next w:val="Normal"/>
    <w:link w:val="Ttulo1Car"/>
    <w:pPr>
      <w:keepNext w:val="1"/>
      <w:ind w:right="-30"/>
      <w:jc w:val="center"/>
      <w:outlineLvl w:val="0"/>
    </w:pPr>
    <w:rPr>
      <w:rFonts w:ascii="Cambria" w:cs="Cambria" w:eastAsia="Cambria" w:hAnsi="Cambria"/>
      <w:b w:val="1"/>
      <w:sz w:val="32"/>
      <w:szCs w:val="32"/>
    </w:rPr>
  </w:style>
  <w:style w:type="paragraph" w:styleId="Ttulo2">
    <w:name w:val="heading 2"/>
    <w:basedOn w:val="Normal"/>
    <w:next w:val="Normal"/>
    <w:link w:val="Ttulo2Car"/>
    <w:pPr>
      <w:keepNext w:val="1"/>
      <w:tabs>
        <w:tab w:val="left" w:pos="4962"/>
        <w:tab w:val="left" w:pos="6804"/>
      </w:tabs>
      <w:spacing w:line="360" w:lineRule="auto"/>
      <w:jc w:val="both"/>
      <w:outlineLvl w:val="1"/>
    </w:pPr>
    <w:rPr>
      <w:rFonts w:ascii="Cambria" w:cs="Cambria" w:eastAsia="Cambria" w:hAnsi="Cambria"/>
      <w:b w:val="1"/>
      <w:i w:val="1"/>
      <w:sz w:val="28"/>
      <w:szCs w:val="28"/>
    </w:rPr>
  </w:style>
  <w:style w:type="paragraph" w:styleId="Ttulo3">
    <w:name w:val="heading 3"/>
    <w:basedOn w:val="Normal"/>
    <w:next w:val="Normal"/>
    <w:link w:val="Ttulo3Car"/>
    <w:pPr>
      <w:keepNext w:val="1"/>
      <w:jc w:val="both"/>
      <w:outlineLvl w:val="2"/>
    </w:pPr>
    <w:rPr>
      <w:rFonts w:ascii="Cambria" w:cs="Cambria" w:eastAsia="Cambria" w:hAnsi="Cambria"/>
      <w:b w:val="1"/>
      <w:sz w:val="26"/>
      <w:szCs w:val="26"/>
    </w:rPr>
  </w:style>
  <w:style w:type="paragraph" w:styleId="Ttulo4">
    <w:name w:val="heading 4"/>
    <w:basedOn w:val="Normal"/>
    <w:next w:val="Normal"/>
    <w:link w:val="Ttulo4Car"/>
    <w:pPr>
      <w:keepNext w:val="1"/>
      <w:jc w:val="center"/>
      <w:outlineLvl w:val="3"/>
    </w:pPr>
    <w:rPr>
      <w:rFonts w:ascii="Calibri" w:cs="Calibri" w:eastAsia="Calibri" w:hAnsi="Calibri"/>
      <w:b w:val="1"/>
      <w:sz w:val="28"/>
      <w:szCs w:val="28"/>
    </w:rPr>
  </w:style>
  <w:style w:type="paragraph" w:styleId="Ttulo5">
    <w:name w:val="heading 5"/>
    <w:basedOn w:val="Normal"/>
    <w:next w:val="Normal"/>
    <w:link w:val="Ttulo5Car"/>
    <w:pPr>
      <w:keepNext w:val="1"/>
      <w:outlineLvl w:val="4"/>
    </w:pPr>
    <w:rPr>
      <w:rFonts w:ascii="Calibri" w:cs="Calibri" w:eastAsia="Calibri" w:hAnsi="Calibri"/>
      <w:b w:val="1"/>
      <w:i w:val="1"/>
      <w:sz w:val="26"/>
      <w:szCs w:val="26"/>
    </w:rPr>
  </w:style>
  <w:style w:type="paragraph" w:styleId="Ttulo6">
    <w:name w:val="heading 6"/>
    <w:basedOn w:val="Normal"/>
    <w:next w:val="Normal"/>
    <w:link w:val="Ttulo6Car"/>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pPr>
      <w:pBdr>
        <w:bottom w:color="4f81bd" w:space="4" w:sz="8" w:val="single"/>
      </w:pBdr>
      <w:spacing w:after="300"/>
    </w:pPr>
    <w:rPr>
      <w:rFonts w:ascii="Cambria" w:cs="Cambria" w:eastAsia="Cambria" w:hAnsi="Cambria"/>
      <w:color w:val="17365d"/>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paragraph" w:styleId="Subttulo">
    <w:name w:val="Subtitle"/>
    <w:basedOn w:val="Normal"/>
    <w:next w:val="Normal"/>
    <w:link w:val="SubttuloCar"/>
    <w:rPr>
      <w:rFonts w:ascii="Cambria" w:cs="Cambria" w:eastAsia="Cambria" w:hAnsi="Cambria"/>
      <w:i w:val="1"/>
      <w:color w:val="4f81bd"/>
    </w:rPr>
  </w:style>
  <w:style w:type="table" w:styleId="a" w:customStyle="1">
    <w:basedOn w:val="TableNormalf7"/>
    <w:tblPr>
      <w:tblStyleRowBandSize w:val="1"/>
      <w:tblStyleColBandSize w:val="1"/>
      <w:tblCellMar>
        <w:left w:w="115.0" w:type="dxa"/>
        <w:right w:w="115.0" w:type="dxa"/>
      </w:tblCellMar>
    </w:tblPr>
  </w:style>
  <w:style w:type="table" w:styleId="a0" w:customStyle="1">
    <w:basedOn w:val="TableNormalf7"/>
    <w:tblPr>
      <w:tblStyleRowBandSize w:val="1"/>
      <w:tblStyleColBandSize w:val="1"/>
      <w:tblCellMar>
        <w:left w:w="115.0" w:type="dxa"/>
        <w:right w:w="115.0" w:type="dxa"/>
      </w:tblCellMar>
    </w:tblPr>
  </w:style>
  <w:style w:type="paragraph" w:styleId="Prrafodelista">
    <w:name w:val="List Paragraph"/>
    <w:basedOn w:val="Normal"/>
    <w:uiPriority w:val="34"/>
    <w:qFormat w:val="1"/>
    <w:rsid w:val="004C64D3"/>
    <w:pPr>
      <w:ind w:left="720"/>
      <w:contextualSpacing w:val="1"/>
    </w:pPr>
  </w:style>
  <w:style w:type="paragraph" w:styleId="NormalWeb">
    <w:name w:val="Normal (Web)"/>
    <w:basedOn w:val="Normal"/>
    <w:uiPriority w:val="99"/>
    <w:unhideWhenUsed w:val="1"/>
    <w:rsid w:val="004C68A3"/>
    <w:pPr>
      <w:spacing w:after="100" w:afterAutospacing="1" w:before="100" w:beforeAutospacing="1"/>
    </w:pPr>
  </w:style>
  <w:style w:type="numbering" w:styleId="Sinlista1" w:customStyle="1">
    <w:name w:val="Sin lista1"/>
    <w:next w:val="Sinlista"/>
    <w:uiPriority w:val="99"/>
    <w:semiHidden w:val="1"/>
    <w:unhideWhenUsed w:val="1"/>
    <w:rsid w:val="00B52C16"/>
  </w:style>
  <w:style w:type="table" w:styleId="TableNormal10" w:customStyle="1">
    <w:name w:val="Table Normal1"/>
    <w:rsid w:val="00B52C16"/>
    <w:rPr>
      <w:sz w:val="20"/>
      <w:szCs w:val="20"/>
    </w:rPr>
    <w:tblPr>
      <w:tblCellMar>
        <w:top w:w="0.0" w:type="dxa"/>
        <w:left w:w="0.0" w:type="dxa"/>
        <w:bottom w:w="0.0" w:type="dxa"/>
        <w:right w:w="0.0" w:type="dxa"/>
      </w:tblCellMar>
    </w:tblPr>
  </w:style>
  <w:style w:type="table" w:styleId="a1" w:customStyle="1">
    <w:basedOn w:val="TableNormalf7"/>
    <w:tblPr>
      <w:tblStyleRowBandSize w:val="1"/>
      <w:tblStyleColBandSize w:val="1"/>
    </w:tblPr>
  </w:style>
  <w:style w:type="table" w:styleId="a2" w:customStyle="1">
    <w:basedOn w:val="TableNormalf7"/>
    <w:tblPr>
      <w:tblStyleRowBandSize w:val="1"/>
      <w:tblStyleColBandSize w:val="1"/>
      <w:tblCellMar>
        <w:left w:w="115.0" w:type="dxa"/>
        <w:right w:w="115.0" w:type="dxa"/>
      </w:tblCellMar>
    </w:tblPr>
  </w:style>
  <w:style w:type="table" w:styleId="a3" w:customStyle="1">
    <w:basedOn w:val="TableNormalf7"/>
    <w:tblPr>
      <w:tblStyleRowBandSize w:val="1"/>
      <w:tblStyleColBandSize w:val="1"/>
      <w:tblCellMar>
        <w:left w:w="115.0" w:type="dxa"/>
        <w:right w:w="115.0" w:type="dxa"/>
      </w:tblCellMar>
    </w:tblPr>
  </w:style>
  <w:style w:type="table" w:styleId="a4" w:customStyle="1">
    <w:basedOn w:val="TableNormalf7"/>
    <w:tblPr>
      <w:tblStyleRowBandSize w:val="1"/>
      <w:tblStyleColBandSize w:val="1"/>
      <w:tblCellMar>
        <w:left w:w="115.0" w:type="dxa"/>
        <w:right w:w="115.0" w:type="dxa"/>
      </w:tblCellMar>
    </w:tblPr>
  </w:style>
  <w:style w:type="table" w:styleId="a5" w:customStyle="1">
    <w:basedOn w:val="TableNormalf7"/>
    <w:tblPr>
      <w:tblStyleRowBandSize w:val="1"/>
      <w:tblStyleColBandSize w:val="1"/>
      <w:tblCellMar>
        <w:top w:w="100.0" w:type="dxa"/>
        <w:left w:w="100.0" w:type="dxa"/>
        <w:bottom w:w="100.0" w:type="dxa"/>
        <w:right w:w="100.0" w:type="dxa"/>
      </w:tblCellMar>
    </w:tblPr>
  </w:style>
  <w:style w:type="table" w:styleId="a6" w:customStyle="1">
    <w:basedOn w:val="TableNormalf7"/>
    <w:tblPr>
      <w:tblStyleRowBandSize w:val="1"/>
      <w:tblStyleColBandSize w:val="1"/>
      <w:tblCellMar>
        <w:top w:w="100.0" w:type="dxa"/>
        <w:left w:w="100.0" w:type="dxa"/>
        <w:bottom w:w="100.0" w:type="dxa"/>
        <w:right w:w="100.0" w:type="dxa"/>
      </w:tblCellMar>
    </w:tblPr>
  </w:style>
  <w:style w:type="table" w:styleId="a7" w:customStyle="1">
    <w:basedOn w:val="TableNormalf7"/>
    <w:tblPr>
      <w:tblStyleRowBandSize w:val="1"/>
      <w:tblStyleColBandSize w:val="1"/>
      <w:tblCellMar>
        <w:top w:w="100.0" w:type="dxa"/>
        <w:left w:w="100.0" w:type="dxa"/>
        <w:bottom w:w="100.0" w:type="dxa"/>
        <w:right w:w="100.0" w:type="dxa"/>
      </w:tblCellMar>
    </w:tblPr>
  </w:style>
  <w:style w:type="paragraph" w:styleId="Textoindependiente">
    <w:name w:val="Body Text"/>
    <w:basedOn w:val="Normal"/>
    <w:link w:val="TextoindependienteCar"/>
    <w:uiPriority w:val="99"/>
    <w:unhideWhenUsed w:val="1"/>
    <w:rsid w:val="002C4FF3"/>
    <w:pPr>
      <w:overflowPunct w:val="0"/>
      <w:autoSpaceDE w:val="0"/>
      <w:autoSpaceDN w:val="0"/>
      <w:adjustRightInd w:val="0"/>
      <w:spacing w:after="120"/>
    </w:pPr>
    <w:rPr>
      <w:sz w:val="20"/>
      <w:szCs w:val="20"/>
      <w:lang w:eastAsia="es-ES" w:val="es-ES_tradnl"/>
    </w:rPr>
  </w:style>
  <w:style w:type="character" w:styleId="TextoindependienteCar" w:customStyle="1">
    <w:name w:val="Texto independiente Car"/>
    <w:basedOn w:val="Fuentedeprrafopredeter"/>
    <w:link w:val="Textoindependiente"/>
    <w:uiPriority w:val="99"/>
    <w:rsid w:val="002C4FF3"/>
    <w:rPr>
      <w:sz w:val="20"/>
      <w:szCs w:val="20"/>
      <w:lang w:eastAsia="es-ES" w:val="es-ES_tradnl"/>
    </w:rPr>
  </w:style>
  <w:style w:type="numbering" w:styleId="Sinlista2" w:customStyle="1">
    <w:name w:val="Sin lista2"/>
    <w:next w:val="Sinlista"/>
    <w:uiPriority w:val="99"/>
    <w:semiHidden w:val="1"/>
    <w:unhideWhenUsed w:val="1"/>
    <w:rsid w:val="00ED7D73"/>
  </w:style>
  <w:style w:type="character" w:styleId="Ttulo1Car" w:customStyle="1">
    <w:name w:val="Título 1 Car"/>
    <w:basedOn w:val="Fuentedeprrafopredeter"/>
    <w:link w:val="Ttulo1"/>
    <w:rsid w:val="00ED7D73"/>
    <w:rPr>
      <w:rFonts w:ascii="Cambria" w:cs="Cambria" w:eastAsia="Cambria" w:hAnsi="Cambria"/>
      <w:b w:val="1"/>
      <w:sz w:val="32"/>
      <w:szCs w:val="32"/>
    </w:rPr>
  </w:style>
  <w:style w:type="character" w:styleId="Ttulo2Car" w:customStyle="1">
    <w:name w:val="Título 2 Car"/>
    <w:basedOn w:val="Fuentedeprrafopredeter"/>
    <w:link w:val="Ttulo2"/>
    <w:rsid w:val="00ED7D73"/>
    <w:rPr>
      <w:rFonts w:ascii="Cambria" w:cs="Cambria" w:eastAsia="Cambria" w:hAnsi="Cambria"/>
      <w:b w:val="1"/>
      <w:i w:val="1"/>
      <w:sz w:val="28"/>
      <w:szCs w:val="28"/>
    </w:rPr>
  </w:style>
  <w:style w:type="character" w:styleId="Ttulo3Car" w:customStyle="1">
    <w:name w:val="Título 3 Car"/>
    <w:basedOn w:val="Fuentedeprrafopredeter"/>
    <w:link w:val="Ttulo3"/>
    <w:rsid w:val="00ED7D73"/>
    <w:rPr>
      <w:rFonts w:ascii="Cambria" w:cs="Cambria" w:eastAsia="Cambria" w:hAnsi="Cambria"/>
      <w:b w:val="1"/>
      <w:sz w:val="26"/>
      <w:szCs w:val="26"/>
    </w:rPr>
  </w:style>
  <w:style w:type="character" w:styleId="Ttulo4Car" w:customStyle="1">
    <w:name w:val="Título 4 Car"/>
    <w:basedOn w:val="Fuentedeprrafopredeter"/>
    <w:link w:val="Ttulo4"/>
    <w:rsid w:val="00ED7D73"/>
    <w:rPr>
      <w:rFonts w:ascii="Calibri" w:cs="Calibri" w:eastAsia="Calibri" w:hAnsi="Calibri"/>
      <w:b w:val="1"/>
      <w:sz w:val="28"/>
      <w:szCs w:val="28"/>
    </w:rPr>
  </w:style>
  <w:style w:type="character" w:styleId="Ttulo5Car" w:customStyle="1">
    <w:name w:val="Título 5 Car"/>
    <w:basedOn w:val="Fuentedeprrafopredeter"/>
    <w:link w:val="Ttulo5"/>
    <w:rsid w:val="00ED7D73"/>
    <w:rPr>
      <w:rFonts w:ascii="Calibri" w:cs="Calibri" w:eastAsia="Calibri" w:hAnsi="Calibri"/>
      <w:b w:val="1"/>
      <w:i w:val="1"/>
      <w:sz w:val="26"/>
      <w:szCs w:val="26"/>
    </w:rPr>
  </w:style>
  <w:style w:type="character" w:styleId="Ttulo6Car" w:customStyle="1">
    <w:name w:val="Título 6 Car"/>
    <w:basedOn w:val="Fuentedeprrafopredeter"/>
    <w:link w:val="Ttulo6"/>
    <w:rsid w:val="00ED7D73"/>
    <w:rPr>
      <w:b w:val="1"/>
      <w:sz w:val="20"/>
      <w:szCs w:val="20"/>
    </w:rPr>
  </w:style>
  <w:style w:type="table" w:styleId="TableNormal20" w:customStyle="1">
    <w:name w:val="Table Normal2"/>
    <w:rsid w:val="00ED7D73"/>
    <w:rPr>
      <w:sz w:val="20"/>
      <w:szCs w:val="20"/>
    </w:rPr>
    <w:tblPr>
      <w:tblCellMar>
        <w:top w:w="0.0" w:type="dxa"/>
        <w:left w:w="0.0" w:type="dxa"/>
        <w:bottom w:w="0.0" w:type="dxa"/>
        <w:right w:w="0.0" w:type="dxa"/>
      </w:tblCellMar>
    </w:tblPr>
  </w:style>
  <w:style w:type="character" w:styleId="TtuloCar" w:customStyle="1">
    <w:name w:val="Título Car"/>
    <w:basedOn w:val="Fuentedeprrafopredeter"/>
    <w:link w:val="Ttulo"/>
    <w:rsid w:val="00ED7D73"/>
    <w:rPr>
      <w:rFonts w:ascii="Cambria" w:cs="Cambria" w:eastAsia="Cambria" w:hAnsi="Cambria"/>
      <w:color w:val="17365d"/>
      <w:sz w:val="52"/>
      <w:szCs w:val="52"/>
    </w:rPr>
  </w:style>
  <w:style w:type="character" w:styleId="SubttuloCar" w:customStyle="1">
    <w:name w:val="Subtítulo Car"/>
    <w:basedOn w:val="Fuentedeprrafopredeter"/>
    <w:link w:val="Subttulo"/>
    <w:rsid w:val="00ED7D73"/>
    <w:rPr>
      <w:rFonts w:ascii="Cambria" w:cs="Cambria" w:eastAsia="Cambria" w:hAnsi="Cambria"/>
      <w:i w:val="1"/>
      <w:color w:val="4f81bd"/>
    </w:rPr>
  </w:style>
  <w:style w:type="table" w:styleId="a8" w:customStyle="1">
    <w:basedOn w:val="TableNormalf5"/>
    <w:tblPr>
      <w:tblStyleRowBandSize w:val="1"/>
      <w:tblStyleColBandSize w:val="1"/>
      <w:tblCellMar>
        <w:left w:w="115.0" w:type="dxa"/>
        <w:right w:w="115.0" w:type="dxa"/>
      </w:tblCellMar>
    </w:tblPr>
  </w:style>
  <w:style w:type="table" w:styleId="a9" w:customStyle="1">
    <w:basedOn w:val="TableNormalf5"/>
    <w:tblPr>
      <w:tblStyleRowBandSize w:val="1"/>
      <w:tblStyleColBandSize w:val="1"/>
      <w:tblCellMar>
        <w:left w:w="115.0" w:type="dxa"/>
        <w:right w:w="115.0" w:type="dxa"/>
      </w:tblCellMar>
    </w:tblPr>
  </w:style>
  <w:style w:type="table" w:styleId="aa" w:customStyle="1">
    <w:basedOn w:val="TableNormalf5"/>
    <w:tblPr>
      <w:tblStyleRowBandSize w:val="1"/>
      <w:tblStyleColBandSize w:val="1"/>
      <w:tblCellMar>
        <w:left w:w="115.0" w:type="dxa"/>
        <w:right w:w="115.0" w:type="dxa"/>
      </w:tblCellMar>
    </w:tblPr>
  </w:style>
  <w:style w:type="paragraph" w:styleId="Textodeglobo">
    <w:name w:val="Balloon Text"/>
    <w:basedOn w:val="Normal"/>
    <w:link w:val="TextodegloboCar"/>
    <w:uiPriority w:val="99"/>
    <w:semiHidden w:val="1"/>
    <w:unhideWhenUsed w:val="1"/>
    <w:rsid w:val="00823D07"/>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23D07"/>
    <w:rPr>
      <w:rFonts w:ascii="Segoe UI" w:cs="Segoe UI" w:hAnsi="Segoe UI"/>
      <w:sz w:val="18"/>
      <w:szCs w:val="18"/>
    </w:rPr>
  </w:style>
  <w:style w:type="table" w:styleId="ab" w:customStyle="1">
    <w:basedOn w:val="TableNormalf4"/>
    <w:tblPr>
      <w:tblStyleRowBandSize w:val="1"/>
      <w:tblStyleColBandSize w:val="1"/>
      <w:tblCellMar>
        <w:left w:w="115.0" w:type="dxa"/>
        <w:right w:w="115.0" w:type="dxa"/>
      </w:tblCellMar>
    </w:tblPr>
  </w:style>
  <w:style w:type="table" w:styleId="ac" w:customStyle="1">
    <w:basedOn w:val="TableNormalf4"/>
    <w:tblPr>
      <w:tblStyleRowBandSize w:val="1"/>
      <w:tblStyleColBandSize w:val="1"/>
      <w:tblCellMar>
        <w:left w:w="115.0" w:type="dxa"/>
        <w:right w:w="115.0" w:type="dxa"/>
      </w:tblCellMar>
    </w:tblPr>
  </w:style>
  <w:style w:type="table" w:styleId="ad" w:customStyle="1">
    <w:basedOn w:val="TableNormalf4"/>
    <w:tblPr>
      <w:tblStyleRowBandSize w:val="1"/>
      <w:tblStyleColBandSize w:val="1"/>
      <w:tblCellMar>
        <w:left w:w="115.0" w:type="dxa"/>
        <w:right w:w="115.0" w:type="dxa"/>
      </w:tblCellMar>
    </w:tblPr>
  </w:style>
  <w:style w:type="paragraph" w:styleId="Textoindependiente21" w:customStyle="1">
    <w:name w:val="Texto independiente 21"/>
    <w:basedOn w:val="Normal"/>
    <w:uiPriority w:val="99"/>
    <w:rsid w:val="000A3F22"/>
    <w:pPr>
      <w:overflowPunct w:val="0"/>
      <w:autoSpaceDE w:val="0"/>
      <w:autoSpaceDN w:val="0"/>
      <w:adjustRightInd w:val="0"/>
      <w:spacing w:line="360" w:lineRule="auto"/>
      <w:jc w:val="both"/>
      <w:textAlignment w:val="baseline"/>
    </w:pPr>
    <w:rPr>
      <w:rFonts w:ascii="Book Antiqua" w:hAnsi="Book Antiqua"/>
      <w:szCs w:val="20"/>
      <w:lang w:eastAsia="es-ES" w:val="es-ES_tradnl"/>
    </w:rPr>
  </w:style>
  <w:style w:type="table" w:styleId="ae" w:customStyle="1">
    <w:basedOn w:val="TableNormalf2"/>
    <w:tblPr>
      <w:tblStyleRowBandSize w:val="1"/>
      <w:tblStyleColBandSize w:val="1"/>
      <w:tblCellMar>
        <w:left w:w="71.0" w:type="dxa"/>
        <w:right w:w="71.0" w:type="dxa"/>
      </w:tblCellMar>
    </w:tblPr>
  </w:style>
  <w:style w:type="numbering" w:styleId="Sinlista3" w:customStyle="1">
    <w:name w:val="Sin lista3"/>
    <w:next w:val="Sinlista"/>
    <w:uiPriority w:val="99"/>
    <w:semiHidden w:val="1"/>
    <w:unhideWhenUsed w:val="1"/>
    <w:rsid w:val="00815A14"/>
  </w:style>
  <w:style w:type="table" w:styleId="TableNormal30" w:customStyle="1">
    <w:name w:val="Table Normal3"/>
    <w:rsid w:val="00815A14"/>
    <w:rPr>
      <w:sz w:val="20"/>
      <w:szCs w:val="20"/>
    </w:rPr>
    <w:tblPr>
      <w:tblCellMar>
        <w:top w:w="0.0" w:type="dxa"/>
        <w:left w:w="0.0" w:type="dxa"/>
        <w:bottom w:w="0.0" w:type="dxa"/>
        <w:right w:w="0.0" w:type="dxa"/>
      </w:tblCellMar>
    </w:tblPr>
  </w:style>
  <w:style w:type="table" w:styleId="af" w:customStyle="1">
    <w:basedOn w:val="TableNormalf1"/>
    <w:tblPr>
      <w:tblStyleRowBandSize w:val="1"/>
      <w:tblStyleColBandSize w:val="1"/>
      <w:tblCellMar>
        <w:left w:w="71.0" w:type="dxa"/>
        <w:right w:w="71.0" w:type="dxa"/>
      </w:tblCellMar>
    </w:tblPr>
  </w:style>
  <w:style w:type="table" w:styleId="af0" w:customStyle="1">
    <w:basedOn w:val="TableNormalf1"/>
    <w:tblPr>
      <w:tblStyleRowBandSize w:val="1"/>
      <w:tblStyleColBandSize w:val="1"/>
      <w:tblCellMar>
        <w:left w:w="115.0" w:type="dxa"/>
        <w:right w:w="115.0" w:type="dxa"/>
      </w:tblCellMar>
    </w:tblPr>
  </w:style>
  <w:style w:type="table" w:styleId="af1" w:customStyle="1">
    <w:basedOn w:val="TableNormalf1"/>
    <w:tblPr>
      <w:tblStyleRowBandSize w:val="1"/>
      <w:tblStyleColBandSize w:val="1"/>
      <w:tblCellMar>
        <w:left w:w="115.0" w:type="dxa"/>
        <w:right w:w="115.0" w:type="dxa"/>
      </w:tblCellMar>
    </w:tblPr>
  </w:style>
  <w:style w:type="table" w:styleId="af2" w:customStyle="1">
    <w:basedOn w:val="TableNormalf1"/>
    <w:tblPr>
      <w:tblStyleRowBandSize w:val="1"/>
      <w:tblStyleColBandSize w:val="1"/>
      <w:tblCellMar>
        <w:left w:w="115.0" w:type="dxa"/>
        <w:right w:w="115.0" w:type="dxa"/>
      </w:tblCellMar>
    </w:tblPr>
  </w:style>
  <w:style w:type="paragraph" w:styleId="msonormal0" w:customStyle="1">
    <w:name w:val="msonormal"/>
    <w:basedOn w:val="Normal"/>
    <w:rsid w:val="00DC2490"/>
    <w:pPr>
      <w:spacing w:after="100" w:afterAutospacing="1" w:before="100" w:beforeAutospacing="1"/>
    </w:pPr>
  </w:style>
  <w:style w:type="table" w:styleId="af3" w:customStyle="1">
    <w:basedOn w:val="TableNormalf0"/>
    <w:tblPr>
      <w:tblStyleRowBandSize w:val="1"/>
      <w:tblStyleColBandSize w:val="1"/>
      <w:tblCellMar>
        <w:top w:w="15.0" w:type="dxa"/>
        <w:left w:w="15.0" w:type="dxa"/>
        <w:bottom w:w="15.0" w:type="dxa"/>
        <w:right w:w="15.0" w:type="dxa"/>
      </w:tblCellMar>
    </w:tblPr>
  </w:style>
  <w:style w:type="table" w:styleId="af4" w:customStyle="1">
    <w:basedOn w:val="TableNormalf0"/>
    <w:tblPr>
      <w:tblStyleRowBandSize w:val="1"/>
      <w:tblStyleColBandSize w:val="1"/>
      <w:tblCellMar>
        <w:top w:w="15.0" w:type="dxa"/>
        <w:left w:w="15.0" w:type="dxa"/>
        <w:bottom w:w="15.0" w:type="dxa"/>
        <w:right w:w="15.0" w:type="dxa"/>
      </w:tblCellMar>
    </w:tblPr>
  </w:style>
  <w:style w:type="table" w:styleId="af5" w:customStyle="1">
    <w:basedOn w:val="TableNormalf0"/>
    <w:tblPr>
      <w:tblStyleRowBandSize w:val="1"/>
      <w:tblStyleColBandSize w:val="1"/>
      <w:tblCellMar>
        <w:top w:w="15.0" w:type="dxa"/>
        <w:left w:w="15.0" w:type="dxa"/>
        <w:bottom w:w="15.0" w:type="dxa"/>
        <w:right w:w="15.0" w:type="dxa"/>
      </w:tblCellMar>
    </w:tblPr>
  </w:style>
  <w:style w:type="numbering" w:styleId="Sinlista4" w:customStyle="1">
    <w:name w:val="Sin lista4"/>
    <w:next w:val="Sinlista"/>
    <w:uiPriority w:val="99"/>
    <w:semiHidden w:val="1"/>
    <w:unhideWhenUsed w:val="1"/>
    <w:rsid w:val="00412314"/>
  </w:style>
  <w:style w:type="table" w:styleId="TableNormal40" w:customStyle="1">
    <w:name w:val="Table Normal4"/>
    <w:rsid w:val="00412314"/>
    <w:rPr>
      <w:sz w:val="20"/>
      <w:szCs w:val="20"/>
    </w:rPr>
    <w:tblPr>
      <w:tblCellMar>
        <w:top w:w="0.0" w:type="dxa"/>
        <w:left w:w="0.0" w:type="dxa"/>
        <w:bottom w:w="0.0" w:type="dxa"/>
        <w:right w:w="0.0" w:type="dxa"/>
      </w:tblCellMar>
    </w:tblPr>
  </w:style>
  <w:style w:type="table" w:styleId="af6" w:customStyle="1">
    <w:basedOn w:val="TableNormale"/>
    <w:tblPr>
      <w:tblStyleRowBandSize w:val="1"/>
      <w:tblStyleColBandSize w:val="1"/>
      <w:tblCellMar>
        <w:left w:w="115.0" w:type="dxa"/>
        <w:right w:w="115.0" w:type="dxa"/>
      </w:tblCellMar>
    </w:tblPr>
  </w:style>
  <w:style w:type="table" w:styleId="af7" w:customStyle="1">
    <w:basedOn w:val="TableNormale"/>
    <w:tblPr>
      <w:tblStyleRowBandSize w:val="1"/>
      <w:tblStyleColBandSize w:val="1"/>
      <w:tblCellMar>
        <w:left w:w="115.0" w:type="dxa"/>
        <w:right w:w="115.0" w:type="dxa"/>
      </w:tblCellMar>
    </w:tblPr>
  </w:style>
  <w:style w:type="table" w:styleId="af8" w:customStyle="1">
    <w:basedOn w:val="TableNormald"/>
    <w:tblPr>
      <w:tblStyleRowBandSize w:val="1"/>
      <w:tblStyleColBandSize w:val="1"/>
      <w:tblCellMar>
        <w:left w:w="115.0" w:type="dxa"/>
        <w:right w:w="115.0" w:type="dxa"/>
      </w:tblCellMar>
    </w:tblPr>
  </w:style>
  <w:style w:type="table" w:styleId="af9" w:customStyle="1">
    <w:basedOn w:val="TableNormald"/>
    <w:tblPr>
      <w:tblStyleRowBandSize w:val="1"/>
      <w:tblStyleColBandSize w:val="1"/>
      <w:tblCellMar>
        <w:left w:w="115.0" w:type="dxa"/>
        <w:right w:w="115.0" w:type="dxa"/>
      </w:tblCellMar>
    </w:tblPr>
  </w:style>
  <w:style w:type="numbering" w:styleId="Sinlista5" w:customStyle="1">
    <w:name w:val="Sin lista5"/>
    <w:next w:val="Sinlista"/>
    <w:uiPriority w:val="99"/>
    <w:semiHidden w:val="1"/>
    <w:unhideWhenUsed w:val="1"/>
    <w:rsid w:val="008D028A"/>
  </w:style>
  <w:style w:type="table" w:styleId="TableNormal50" w:customStyle="1">
    <w:name w:val="Table Normal5"/>
    <w:rsid w:val="008D028A"/>
    <w:rPr>
      <w:sz w:val="20"/>
      <w:szCs w:val="20"/>
    </w:rPr>
    <w:tblPr>
      <w:tblCellMar>
        <w:top w:w="0.0" w:type="dxa"/>
        <w:left w:w="0.0" w:type="dxa"/>
        <w:bottom w:w="0.0" w:type="dxa"/>
        <w:right w:w="0.0" w:type="dxa"/>
      </w:tblCellMar>
    </w:tblPr>
  </w:style>
  <w:style w:type="table" w:styleId="afa" w:customStyle="1">
    <w:basedOn w:val="TableNormalc"/>
    <w:tblPr>
      <w:tblStyleRowBandSize w:val="1"/>
      <w:tblStyleColBandSize w:val="1"/>
      <w:tblCellMar>
        <w:left w:w="115.0" w:type="dxa"/>
        <w:right w:w="115.0" w:type="dxa"/>
      </w:tblCellMar>
    </w:tblPr>
  </w:style>
  <w:style w:type="table" w:styleId="afb" w:customStyle="1">
    <w:basedOn w:val="TableNormalc"/>
    <w:tblPr>
      <w:tblStyleRowBandSize w:val="1"/>
      <w:tblStyleColBandSize w:val="1"/>
      <w:tblCellMar>
        <w:left w:w="115.0" w:type="dxa"/>
        <w:right w:w="115.0" w:type="dxa"/>
      </w:tblCellMar>
    </w:tblPr>
  </w:style>
  <w:style w:type="numbering" w:styleId="Sinlista6" w:customStyle="1">
    <w:name w:val="Sin lista6"/>
    <w:next w:val="Sinlista"/>
    <w:uiPriority w:val="99"/>
    <w:semiHidden w:val="1"/>
    <w:unhideWhenUsed w:val="1"/>
    <w:rsid w:val="00F86369"/>
  </w:style>
  <w:style w:type="table" w:styleId="TableNormal60" w:customStyle="1">
    <w:name w:val="Table Normal6"/>
    <w:rsid w:val="00F86369"/>
    <w:rPr>
      <w:sz w:val="20"/>
      <w:szCs w:val="20"/>
    </w:rPr>
    <w:tblPr>
      <w:tblCellMar>
        <w:top w:w="0.0" w:type="dxa"/>
        <w:left w:w="0.0" w:type="dxa"/>
        <w:bottom w:w="0.0" w:type="dxa"/>
        <w:right w:w="0.0" w:type="dxa"/>
      </w:tblCellMar>
    </w:tblPr>
  </w:style>
  <w:style w:type="table" w:styleId="afc" w:customStyle="1">
    <w:basedOn w:val="TableNormalb"/>
    <w:tblPr>
      <w:tblStyleRowBandSize w:val="1"/>
      <w:tblStyleColBandSize w:val="1"/>
      <w:tblCellMar>
        <w:top w:w="15.0" w:type="dxa"/>
        <w:left w:w="15.0" w:type="dxa"/>
        <w:bottom w:w="15.0" w:type="dxa"/>
        <w:right w:w="15.0" w:type="dxa"/>
      </w:tblCellMar>
    </w:tblPr>
  </w:style>
  <w:style w:type="table" w:styleId="afd" w:customStyle="1">
    <w:basedOn w:val="TableNormalb"/>
    <w:tblPr>
      <w:tblStyleRowBandSize w:val="1"/>
      <w:tblStyleColBandSize w:val="1"/>
      <w:tblCellMar>
        <w:left w:w="115.0" w:type="dxa"/>
        <w:right w:w="115.0" w:type="dxa"/>
      </w:tblCellMar>
    </w:tblPr>
  </w:style>
  <w:style w:type="table" w:styleId="afe" w:customStyle="1">
    <w:basedOn w:val="TableNormalb"/>
    <w:tblPr>
      <w:tblStyleRowBandSize w:val="1"/>
      <w:tblStyleColBandSize w:val="1"/>
      <w:tblCellMar>
        <w:left w:w="115.0" w:type="dxa"/>
        <w:right w:w="115.0" w:type="dxa"/>
      </w:tblCellMar>
    </w:tblPr>
  </w:style>
  <w:style w:type="table" w:styleId="aff" w:customStyle="1">
    <w:basedOn w:val="TableNormala"/>
    <w:tblPr>
      <w:tblStyleRowBandSize w:val="1"/>
      <w:tblStyleColBandSize w:val="1"/>
      <w:tblCellMar>
        <w:top w:w="15.0" w:type="dxa"/>
        <w:left w:w="15.0" w:type="dxa"/>
        <w:bottom w:w="15.0" w:type="dxa"/>
        <w:right w:w="15.0" w:type="dxa"/>
      </w:tblCellMar>
    </w:tblPr>
  </w:style>
  <w:style w:type="table" w:styleId="aff0" w:customStyle="1">
    <w:basedOn w:val="TableNormala"/>
    <w:tblPr>
      <w:tblStyleRowBandSize w:val="1"/>
      <w:tblStyleColBandSize w:val="1"/>
      <w:tblCellMar>
        <w:top w:w="15.0" w:type="dxa"/>
        <w:left w:w="15.0" w:type="dxa"/>
        <w:bottom w:w="15.0" w:type="dxa"/>
        <w:right w:w="15.0" w:type="dxa"/>
      </w:tblCellMar>
    </w:tblPr>
  </w:style>
  <w:style w:type="table" w:styleId="aff1" w:customStyle="1">
    <w:basedOn w:val="TableNormala"/>
    <w:tblPr>
      <w:tblStyleRowBandSize w:val="1"/>
      <w:tblStyleColBandSize w:val="1"/>
      <w:tblCellMar>
        <w:top w:w="15.0" w:type="dxa"/>
        <w:left w:w="15.0" w:type="dxa"/>
        <w:bottom w:w="15.0" w:type="dxa"/>
        <w:right w:w="15.0" w:type="dxa"/>
      </w:tblCellMar>
    </w:tblPr>
  </w:style>
  <w:style w:type="table" w:styleId="aff2" w:customStyle="1">
    <w:basedOn w:val="TableNormala"/>
    <w:tblPr>
      <w:tblStyleRowBandSize w:val="1"/>
      <w:tblStyleColBandSize w:val="1"/>
      <w:tblCellMar>
        <w:top w:w="15.0" w:type="dxa"/>
        <w:left w:w="15.0" w:type="dxa"/>
        <w:bottom w:w="15.0" w:type="dxa"/>
        <w:right w:w="15.0" w:type="dxa"/>
      </w:tblCellMar>
    </w:tblPr>
  </w:style>
  <w:style w:type="table" w:styleId="aff3" w:customStyle="1">
    <w:basedOn w:val="TableNormala"/>
    <w:tblPr>
      <w:tblStyleRowBandSize w:val="1"/>
      <w:tblStyleColBandSize w:val="1"/>
      <w:tblCellMar>
        <w:top w:w="15.0" w:type="dxa"/>
        <w:left w:w="15.0" w:type="dxa"/>
        <w:bottom w:w="15.0" w:type="dxa"/>
        <w:right w:w="15.0" w:type="dxa"/>
      </w:tblCellMar>
    </w:tblPr>
  </w:style>
  <w:style w:type="table" w:styleId="aff4" w:customStyle="1">
    <w:basedOn w:val="TableNormala"/>
    <w:tblPr>
      <w:tblStyleRowBandSize w:val="1"/>
      <w:tblStyleColBandSize w:val="1"/>
      <w:tblCellMar>
        <w:top w:w="15.0" w:type="dxa"/>
        <w:left w:w="15.0" w:type="dxa"/>
        <w:bottom w:w="15.0" w:type="dxa"/>
        <w:right w:w="15.0" w:type="dxa"/>
      </w:tblCellMar>
    </w:tblPr>
  </w:style>
  <w:style w:type="table" w:styleId="aff5" w:customStyle="1">
    <w:basedOn w:val="TableNormal8"/>
    <w:tblPr>
      <w:tblStyleRowBandSize w:val="1"/>
      <w:tblStyleColBandSize w:val="1"/>
      <w:tblCellMar>
        <w:top w:w="15.0" w:type="dxa"/>
        <w:left w:w="15.0" w:type="dxa"/>
        <w:bottom w:w="15.0" w:type="dxa"/>
        <w:right w:w="15.0" w:type="dxa"/>
      </w:tblCellMar>
    </w:tblPr>
  </w:style>
  <w:style w:type="table" w:styleId="aff6" w:customStyle="1">
    <w:basedOn w:val="TableNormal8"/>
    <w:tblPr>
      <w:tblStyleRowBandSize w:val="1"/>
      <w:tblStyleColBandSize w:val="1"/>
      <w:tblCellMar>
        <w:top w:w="15.0" w:type="dxa"/>
        <w:left w:w="15.0" w:type="dxa"/>
        <w:bottom w:w="15.0" w:type="dxa"/>
        <w:right w:w="15.0" w:type="dxa"/>
      </w:tblCellMar>
    </w:tblPr>
  </w:style>
  <w:style w:type="table" w:styleId="aff7" w:customStyle="1">
    <w:basedOn w:val="TableNormal8"/>
    <w:tblPr>
      <w:tblStyleRowBandSize w:val="1"/>
      <w:tblStyleColBandSize w:val="1"/>
      <w:tblCellMar>
        <w:top w:w="15.0" w:type="dxa"/>
        <w:left w:w="15.0" w:type="dxa"/>
        <w:bottom w:w="15.0" w:type="dxa"/>
        <w:right w:w="15.0" w:type="dxa"/>
      </w:tblCellMar>
    </w:tblPr>
  </w:style>
  <w:style w:type="numbering" w:styleId="Sinlista7" w:customStyle="1">
    <w:name w:val="Sin lista7"/>
    <w:next w:val="Sinlista"/>
    <w:uiPriority w:val="99"/>
    <w:semiHidden w:val="1"/>
    <w:unhideWhenUsed w:val="1"/>
    <w:rsid w:val="003353EA"/>
  </w:style>
  <w:style w:type="table" w:styleId="TableNormal70" w:customStyle="1">
    <w:name w:val="Table Normal7"/>
    <w:rsid w:val="003353EA"/>
    <w:rPr>
      <w:sz w:val="20"/>
      <w:szCs w:val="20"/>
    </w:rPr>
    <w:tblPr>
      <w:tblCellMar>
        <w:top w:w="0.0" w:type="dxa"/>
        <w:left w:w="0.0" w:type="dxa"/>
        <w:bottom w:w="0.0" w:type="dxa"/>
        <w:right w:w="0.0" w:type="dxa"/>
      </w:tblCellMar>
    </w:tblPr>
  </w:style>
  <w:style w:type="table" w:styleId="aff8" w:customStyle="1">
    <w:basedOn w:val="TableNormal6"/>
    <w:tblPr>
      <w:tblStyleRowBandSize w:val="1"/>
      <w:tblStyleColBandSize w:val="1"/>
      <w:tblCellMar>
        <w:left w:w="115.0" w:type="dxa"/>
        <w:right w:w="115.0" w:type="dxa"/>
      </w:tblCellMar>
    </w:tblPr>
  </w:style>
  <w:style w:type="table" w:styleId="aff9" w:customStyle="1">
    <w:basedOn w:val="TableNormal6"/>
    <w:tblPr>
      <w:tblStyleRowBandSize w:val="1"/>
      <w:tblStyleColBandSize w:val="1"/>
      <w:tblCellMar>
        <w:left w:w="115.0" w:type="dxa"/>
        <w:right w:w="115.0" w:type="dxa"/>
      </w:tblCellMar>
    </w:tblPr>
  </w:style>
  <w:style w:type="table" w:styleId="affa" w:customStyle="1">
    <w:basedOn w:val="TableNormal6"/>
    <w:tblPr>
      <w:tblStyleRowBandSize w:val="1"/>
      <w:tblStyleColBandSize w:val="1"/>
      <w:tblCellMar>
        <w:left w:w="115.0" w:type="dxa"/>
        <w:right w:w="115.0" w:type="dxa"/>
      </w:tblCellMar>
    </w:tblPr>
  </w:style>
  <w:style w:type="numbering" w:styleId="Sinlista8" w:customStyle="1">
    <w:name w:val="Sin lista8"/>
    <w:next w:val="Sinlista"/>
    <w:uiPriority w:val="99"/>
    <w:semiHidden w:val="1"/>
    <w:unhideWhenUsed w:val="1"/>
    <w:rsid w:val="00583E51"/>
  </w:style>
  <w:style w:type="table" w:styleId="TableNormal80" w:customStyle="1">
    <w:name w:val="Table Normal8"/>
    <w:rsid w:val="00583E51"/>
    <w:rPr>
      <w:sz w:val="20"/>
      <w:szCs w:val="20"/>
    </w:rPr>
    <w:tblPr>
      <w:tblCellMar>
        <w:top w:w="0.0" w:type="dxa"/>
        <w:left w:w="0.0" w:type="dxa"/>
        <w:bottom w:w="0.0" w:type="dxa"/>
        <w:right w:w="0.0" w:type="dxa"/>
      </w:tblCellMar>
    </w:tblPr>
  </w:style>
  <w:style w:type="table" w:styleId="affb" w:customStyle="1">
    <w:basedOn w:val="TableNormal5"/>
    <w:tblPr>
      <w:tblStyleRowBandSize w:val="1"/>
      <w:tblStyleColBandSize w:val="1"/>
    </w:tblPr>
  </w:style>
  <w:style w:type="table" w:styleId="affc" w:customStyle="1">
    <w:basedOn w:val="TableNormal5"/>
    <w:tblPr>
      <w:tblStyleRowBandSize w:val="1"/>
      <w:tblStyleColBandSize w:val="1"/>
      <w:tblCellMar>
        <w:left w:w="115.0" w:type="dxa"/>
        <w:right w:w="115.0" w:type="dxa"/>
      </w:tblCellMar>
    </w:tblPr>
  </w:style>
  <w:style w:type="table" w:styleId="affd" w:customStyle="1">
    <w:basedOn w:val="TableNormal5"/>
    <w:tblPr>
      <w:tblStyleRowBandSize w:val="1"/>
      <w:tblStyleColBandSize w:val="1"/>
      <w:tblCellMar>
        <w:left w:w="115.0" w:type="dxa"/>
        <w:right w:w="115.0" w:type="dxa"/>
      </w:tblCellMar>
    </w:tblPr>
  </w:style>
  <w:style w:type="table" w:styleId="affe" w:customStyle="1">
    <w:basedOn w:val="TableNormal5"/>
    <w:tblPr>
      <w:tblStyleRowBandSize w:val="1"/>
      <w:tblStyleColBandSize w:val="1"/>
      <w:tblCellMar>
        <w:left w:w="115.0" w:type="dxa"/>
        <w:right w:w="115.0" w:type="dxa"/>
      </w:tblCellMar>
    </w:tblPr>
  </w:style>
  <w:style w:type="table" w:styleId="afff" w:customStyle="1">
    <w:basedOn w:val="TableNormal4"/>
    <w:tblPr>
      <w:tblStyleRowBandSize w:val="1"/>
      <w:tblStyleColBandSize w:val="1"/>
    </w:tblPr>
  </w:style>
  <w:style w:type="table" w:styleId="afff0" w:customStyle="1">
    <w:basedOn w:val="TableNormal4"/>
    <w:tblPr>
      <w:tblStyleRowBandSize w:val="1"/>
      <w:tblStyleColBandSize w:val="1"/>
      <w:tblCellMar>
        <w:left w:w="115.0" w:type="dxa"/>
        <w:right w:w="115.0" w:type="dxa"/>
      </w:tblCellMar>
    </w:tblPr>
  </w:style>
  <w:style w:type="table" w:styleId="afff1" w:customStyle="1">
    <w:basedOn w:val="TableNormal4"/>
    <w:tblPr>
      <w:tblStyleRowBandSize w:val="1"/>
      <w:tblStyleColBandSize w:val="1"/>
      <w:tblCellMar>
        <w:left w:w="115.0" w:type="dxa"/>
        <w:right w:w="115.0" w:type="dxa"/>
      </w:tblCellMar>
    </w:tblPr>
  </w:style>
  <w:style w:type="table" w:styleId="afff2" w:customStyle="1">
    <w:basedOn w:val="TableNormal4"/>
    <w:tblPr>
      <w:tblStyleRowBandSize w:val="1"/>
      <w:tblStyleColBandSize w:val="1"/>
      <w:tblCellMar>
        <w:left w:w="115.0" w:type="dxa"/>
        <w:right w:w="115.0" w:type="dxa"/>
      </w:tblCellMar>
    </w:tblPr>
  </w:style>
  <w:style w:type="table" w:styleId="Tablaconcuadrcula">
    <w:name w:val="Table Grid"/>
    <w:basedOn w:val="Tablanormal"/>
    <w:uiPriority w:val="39"/>
    <w:rsid w:val="00AA329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Sinlista9" w:customStyle="1">
    <w:name w:val="Sin lista9"/>
    <w:next w:val="Sinlista"/>
    <w:uiPriority w:val="99"/>
    <w:semiHidden w:val="1"/>
    <w:unhideWhenUsed w:val="1"/>
    <w:rsid w:val="00212C22"/>
  </w:style>
  <w:style w:type="table" w:styleId="TableNormal90" w:customStyle="1">
    <w:name w:val="Table Normal9"/>
    <w:rsid w:val="00212C22"/>
    <w:rPr>
      <w:sz w:val="20"/>
      <w:szCs w:val="20"/>
    </w:rPr>
    <w:tblPr>
      <w:tblCellMar>
        <w:top w:w="0.0" w:type="dxa"/>
        <w:left w:w="0.0" w:type="dxa"/>
        <w:bottom w:w="0.0" w:type="dxa"/>
        <w:right w:w="0.0" w:type="dxa"/>
      </w:tblCellMar>
    </w:tblPr>
  </w:style>
  <w:style w:type="table" w:styleId="afff3" w:customStyle="1">
    <w:basedOn w:val="TableNormal3"/>
    <w:tblPr>
      <w:tblStyleRowBandSize w:val="1"/>
      <w:tblStyleColBandSize w:val="1"/>
      <w:tblCellMar>
        <w:top w:w="15.0" w:type="dxa"/>
        <w:left w:w="15.0" w:type="dxa"/>
        <w:bottom w:w="15.0" w:type="dxa"/>
        <w:right w:w="15.0" w:type="dxa"/>
      </w:tblCellMar>
    </w:tblPr>
  </w:style>
  <w:style w:type="table" w:styleId="afff4" w:customStyle="1">
    <w:basedOn w:val="TableNormal3"/>
    <w:tblPr>
      <w:tblStyleRowBandSize w:val="1"/>
      <w:tblStyleColBandSize w:val="1"/>
      <w:tblCellMar>
        <w:top w:w="100.0" w:type="dxa"/>
        <w:left w:w="100.0" w:type="dxa"/>
        <w:bottom w:w="100.0" w:type="dxa"/>
        <w:right w:w="100.0" w:type="dxa"/>
      </w:tblCellMar>
    </w:tblPr>
  </w:style>
  <w:style w:type="table" w:styleId="afff5" w:customStyle="1">
    <w:basedOn w:val="TableNormal3"/>
    <w:tblPr>
      <w:tblStyleRowBandSize w:val="1"/>
      <w:tblStyleColBandSize w:val="1"/>
      <w:tblCellMar>
        <w:left w:w="115.0" w:type="dxa"/>
        <w:right w:w="115.0" w:type="dxa"/>
      </w:tblCellMar>
    </w:tblPr>
  </w:style>
  <w:style w:type="table" w:styleId="afff6" w:customStyle="1">
    <w:basedOn w:val="TableNormal3"/>
    <w:tblPr>
      <w:tblStyleRowBandSize w:val="1"/>
      <w:tblStyleColBandSize w:val="1"/>
      <w:tblCellMar>
        <w:left w:w="115.0" w:type="dxa"/>
        <w:right w:w="115.0" w:type="dxa"/>
      </w:tblCellMar>
    </w:tblPr>
  </w:style>
  <w:style w:type="table" w:styleId="afff7" w:customStyle="1">
    <w:basedOn w:val="TableNormal3"/>
    <w:tblPr>
      <w:tblStyleRowBandSize w:val="1"/>
      <w:tblStyleColBandSize w:val="1"/>
      <w:tblCellMar>
        <w:left w:w="115.0" w:type="dxa"/>
        <w:right w:w="115.0" w:type="dxa"/>
      </w:tblCellMar>
    </w:tblPr>
  </w:style>
  <w:style w:type="table" w:styleId="afff8" w:customStyle="1">
    <w:basedOn w:val="TableNormal3"/>
    <w:tblPr>
      <w:tblStyleRowBandSize w:val="1"/>
      <w:tblStyleColBandSize w:val="1"/>
      <w:tblCellMar>
        <w:top w:w="100.0" w:type="dxa"/>
        <w:left w:w="100.0" w:type="dxa"/>
        <w:bottom w:w="100.0" w:type="dxa"/>
        <w:right w:w="100.0" w:type="dxa"/>
      </w:tblCellMar>
    </w:tblPr>
  </w:style>
  <w:style w:type="table" w:styleId="afff9" w:customStyle="1">
    <w:basedOn w:val="TableNormal3"/>
    <w:tblPr>
      <w:tblStyleRowBandSize w:val="1"/>
      <w:tblStyleColBandSize w:val="1"/>
      <w:tblCellMar>
        <w:top w:w="100.0" w:type="dxa"/>
        <w:left w:w="100.0" w:type="dxa"/>
        <w:bottom w:w="100.0" w:type="dxa"/>
        <w:right w:w="100.0" w:type="dxa"/>
      </w:tblCellMar>
    </w:tblPr>
  </w:style>
  <w:style w:type="table" w:styleId="afffa" w:customStyle="1">
    <w:basedOn w:val="TableNormal3"/>
    <w:tblPr>
      <w:tblStyleRowBandSize w:val="1"/>
      <w:tblStyleColBandSize w:val="1"/>
      <w:tblCellMar>
        <w:top w:w="100.0" w:type="dxa"/>
        <w:left w:w="100.0" w:type="dxa"/>
        <w:bottom w:w="100.0" w:type="dxa"/>
        <w:right w:w="100.0" w:type="dxa"/>
      </w:tblCellMar>
    </w:tblPr>
  </w:style>
  <w:style w:type="table" w:styleId="afffb" w:customStyle="1">
    <w:basedOn w:val="TableNormal3"/>
    <w:tblPr>
      <w:tblStyleRowBandSize w:val="1"/>
      <w:tblStyleColBandSize w:val="1"/>
      <w:tblCellMar>
        <w:top w:w="100.0" w:type="dxa"/>
        <w:left w:w="100.0" w:type="dxa"/>
        <w:bottom w:w="100.0" w:type="dxa"/>
        <w:right w:w="100.0" w:type="dxa"/>
      </w:tblCellMar>
    </w:tblPr>
  </w:style>
  <w:style w:type="table" w:styleId="afffc" w:customStyle="1">
    <w:basedOn w:val="TableNormal1"/>
    <w:tblPr>
      <w:tblStyleRowBandSize w:val="1"/>
      <w:tblStyleColBandSize w:val="1"/>
      <w:tblCellMar>
        <w:top w:w="100.0" w:type="dxa"/>
        <w:left w:w="100.0" w:type="dxa"/>
        <w:bottom w:w="100.0" w:type="dxa"/>
        <w:right w:w="100.0" w:type="dxa"/>
      </w:tblCellMar>
    </w:tblPr>
  </w:style>
  <w:style w:type="table" w:styleId="afffd" w:customStyle="1">
    <w:basedOn w:val="TableNormal1"/>
    <w:tblPr>
      <w:tblStyleRowBandSize w:val="1"/>
      <w:tblStyleColBandSize w:val="1"/>
      <w:tblCellMar>
        <w:top w:w="100.0" w:type="dxa"/>
        <w:left w:w="100.0" w:type="dxa"/>
        <w:bottom w:w="100.0" w:type="dxa"/>
        <w:right w:w="100.0" w:type="dxa"/>
      </w:tblCellMar>
    </w:tblPr>
  </w:style>
  <w:style w:type="table" w:styleId="afffe" w:customStyle="1">
    <w:basedOn w:val="TableNormal1"/>
    <w:tblPr>
      <w:tblStyleRowBandSize w:val="1"/>
      <w:tblStyleColBandSize w:val="1"/>
      <w:tblCellMar>
        <w:top w:w="100.0" w:type="dxa"/>
        <w:left w:w="100.0" w:type="dxa"/>
        <w:bottom w:w="100.0" w:type="dxa"/>
        <w:right w:w="100.0" w:type="dxa"/>
      </w:tblCellMar>
    </w:tblPr>
  </w:style>
  <w:style w:type="table" w:styleId="affff" w:customStyle="1">
    <w:basedOn w:val="TableNormal1"/>
    <w:tblPr>
      <w:tblStyleRowBandSize w:val="1"/>
      <w:tblStyleColBandSize w:val="1"/>
      <w:tblCellMar>
        <w:top w:w="100.0" w:type="dxa"/>
        <w:left w:w="100.0" w:type="dxa"/>
        <w:bottom w:w="100.0" w:type="dxa"/>
        <w:right w:w="100.0" w:type="dxa"/>
      </w:tblCellMar>
    </w:tblPr>
  </w:style>
  <w:style w:type="table" w:styleId="affff0" w:customStyle="1">
    <w:basedOn w:val="TableNormal1"/>
    <w:tblPr>
      <w:tblStyleRowBandSize w:val="1"/>
      <w:tblStyleColBandSize w:val="1"/>
      <w:tblCellMar>
        <w:top w:w="100.0" w:type="dxa"/>
        <w:left w:w="100.0" w:type="dxa"/>
        <w:bottom w:w="100.0" w:type="dxa"/>
        <w:right w:w="100.0" w:type="dxa"/>
      </w:tblCellMar>
    </w:tblPr>
  </w:style>
  <w:style w:type="table" w:styleId="affff1" w:customStyle="1">
    <w:basedOn w:val="TableNormal1"/>
    <w:tblPr>
      <w:tblStyleRowBandSize w:val="1"/>
      <w:tblStyleColBandSize w:val="1"/>
      <w:tblCellMar>
        <w:top w:w="100.0" w:type="dxa"/>
        <w:left w:w="100.0" w:type="dxa"/>
        <w:bottom w:w="100.0" w:type="dxa"/>
        <w:right w:w="100.0" w:type="dxa"/>
      </w:tblCellMar>
    </w:tblPr>
  </w:style>
  <w:style w:type="numbering" w:styleId="Sinlista10" w:customStyle="1">
    <w:name w:val="Sin lista10"/>
    <w:next w:val="Sinlista"/>
    <w:uiPriority w:val="99"/>
    <w:semiHidden w:val="1"/>
    <w:unhideWhenUsed w:val="1"/>
    <w:rsid w:val="00EE1147"/>
  </w:style>
  <w:style w:type="table" w:styleId="TableNormal100" w:customStyle="1">
    <w:name w:val="Table Normal10"/>
    <w:rsid w:val="00EE1147"/>
    <w:pPr>
      <w:spacing w:line="360" w:lineRule="auto"/>
      <w:jc w:val="both"/>
    </w:pPr>
    <w:rPr>
      <w:rFonts w:ascii="Arial" w:cs="Arial" w:eastAsia="Arial" w:hAnsi="Arial"/>
      <w:sz w:val="12"/>
      <w:szCs w:val="12"/>
    </w:rPr>
    <w:tblPr>
      <w:tblCellMar>
        <w:top w:w="0.0" w:type="dxa"/>
        <w:left w:w="0.0" w:type="dxa"/>
        <w:bottom w:w="0.0" w:type="dxa"/>
        <w:right w:w="0.0" w:type="dxa"/>
      </w:tblCellMar>
    </w:tblPr>
  </w:style>
  <w:style w:type="paragraph" w:styleId="Subtitle">
    <w:name w:val="Subtitle"/>
    <w:basedOn w:val="Normal"/>
    <w:next w:val="Normal"/>
    <w:pPr/>
    <w:rPr>
      <w:rFonts w:ascii="Cambria" w:cs="Cambria" w:eastAsia="Cambria" w:hAnsi="Cambria"/>
      <w:i w:val="1"/>
      <w:color w:val="4f81bd"/>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rFonts w:ascii="Cambria" w:cs="Cambria" w:eastAsia="Cambria" w:hAnsi="Cambria"/>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ymoRRpXVwOvhwZ8bTK8LOWP6g==">CgMxLjAyDmguYjg1dXVpZHl0N3N2OAByITF2c1NLU0FfUllDNVk5SGpnamhBMDFSc1ExNDB5UVhrbw==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2025-01-10T19:43:00Z</dcterms:created>
  <dc:creator>Lorenzo, Carla Valeria</dc:creator>
</cp:coreProperties>
</file>