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4" w:right="329" w:firstLine="0"/>
        <w:jc w:val="both"/>
        <w:rPr>
          <w:sz w:val="22"/>
          <w:szCs w:val="22"/>
          <w:highlight w:val="white"/>
        </w:rPr>
      </w:pPr>
      <w:bookmarkStart w:colFirst="0" w:colLast="0" w:name="_heading=h.yk2pfajdqzrr" w:id="0"/>
      <w:bookmarkEnd w:id="0"/>
      <w:r w:rsidDel="00000000" w:rsidR="00000000" w:rsidRPr="00000000">
        <w:rPr>
          <w:sz w:val="22"/>
          <w:szCs w:val="22"/>
          <w:rtl w:val="0"/>
        </w:rPr>
        <w:t xml:space="preserve">En la Ciudad Autónoma de Buenos Aires, a los 14 días del mes de enero de 2026, siendo las 17 horas, se reúnen los directores de Banco Macro S.A. (el “Banco”), encontrándose presentes en la sede social los señores directores Carlos Alberto Giovanelli, Nelson Damián Pozzoli, Mario Vicens, los integrantes de la Comisión Fiscalizadora Cdores. Alejandro Almarza y Carlos Javier Piazza,  la Secretaria del Directorio Dra. Carolina Leonhart  y mediante videoconferencia los señores directores Delfín Federico Ezequiel Carballo, Fabián de Paul, José Sánchez, Sebastián Palla, Daniela Rivarola Meilán y Agustín Álvarez, la integrante de la Comisión Fiscalizadora Cdora. Vivian Stenghele, y el Asesor Legal del Directorio Dr. Hugo N. L. Bruzone. Conforme a lo dispuesto por el artículo 19 del estatuto social, se deja constancia de que: (i) la videoconferencia permite la transmisión simultánea de sonido e imágenes y posibilita la deliberación de los concurrentes en forma simultánea; y (ii) el acta contendrá las decisiones a</w:t>
      </w:r>
      <w:r w:rsidDel="00000000" w:rsidR="00000000" w:rsidRPr="00000000">
        <w:rPr>
          <w:sz w:val="22"/>
          <w:szCs w:val="22"/>
          <w:highlight w:val="white"/>
          <w:rtl w:val="0"/>
        </w:rPr>
        <w:t xml:space="preserve">doptadas por el Directorio en esta reunión, y los votos de los participantes. </w:t>
      </w:r>
    </w:p>
    <w:p w:rsidR="00000000" w:rsidDel="00000000" w:rsidP="00000000" w:rsidRDefault="00000000" w:rsidRPr="00000000" w14:paraId="00000002">
      <w:pPr>
        <w:spacing w:line="360" w:lineRule="auto"/>
        <w:ind w:left="284" w:right="329" w:firstLine="0"/>
        <w:jc w:val="both"/>
        <w:rPr>
          <w:b w:val="1"/>
          <w:bCs w:val="1"/>
          <w:sz w:val="22"/>
          <w:szCs w:val="22"/>
        </w:rPr>
      </w:pPr>
      <w:bookmarkStart w:colFirst="0" w:colLast="0" w:name="_heading=h.k1llb6nlip4p" w:id="1"/>
      <w:bookmarkEnd w:id="1"/>
      <w:r w:rsidDel="00000000" w:rsidR="00000000" w:rsidRPr="00000000">
        <w:rPr>
          <w:sz w:val="22"/>
          <w:szCs w:val="22"/>
          <w:highlight w:val="white"/>
          <w:rtl w:val="0"/>
        </w:rPr>
        <w:t xml:space="preserve">Pr</w:t>
      </w:r>
      <w:r w:rsidDel="00000000" w:rsidR="00000000" w:rsidRPr="00000000">
        <w:rPr>
          <w:sz w:val="22"/>
          <w:szCs w:val="22"/>
          <w:rtl w:val="0"/>
        </w:rPr>
        <w:t xml:space="preserve">eside la reunión el Vicepresidente del Directorio, señor Carlos Alberto Giovanelli, quien cede la palabra a la Secretaria de Directorio, Dra. Carolina Paola Leonhart, que informa que la presente reunión tiene por objeto considerar los siguientes puntos de la agenda: </w:t>
      </w:r>
      <w:r w:rsidDel="00000000" w:rsidR="00000000" w:rsidRPr="00000000">
        <w:rPr>
          <w:b w:val="1"/>
          <w:bCs w:val="1"/>
          <w:sz w:val="22"/>
          <w:szCs w:val="22"/>
          <w:rtl w:val="0"/>
        </w:rPr>
        <w:t xml:space="preserve">1)</w:t>
      </w:r>
      <w:r w:rsidDel="00000000" w:rsidR="00000000" w:rsidRPr="00000000">
        <w:rPr>
          <w:sz w:val="22"/>
          <w:szCs w:val="22"/>
          <w:rtl w:val="0"/>
        </w:rPr>
        <w:t xml:space="preserve"> </w:t>
      </w:r>
      <w:r w:rsidDel="00000000" w:rsidR="00000000" w:rsidRPr="00000000">
        <w:rPr>
          <w:b w:val="1"/>
          <w:bCs w:val="1"/>
          <w:sz w:val="22"/>
          <w:szCs w:val="22"/>
          <w:rtl w:val="0"/>
        </w:rPr>
        <w:t xml:space="preserve">Puesta a disposición de la cuota Nro. 8 del dividendo de conformidad con la autorización otorgada por el Banco Central de la República Argentina; …</w:t>
      </w:r>
    </w:p>
    <w:p w:rsidR="00000000" w:rsidDel="00000000" w:rsidP="00000000" w:rsidRDefault="00000000" w:rsidRPr="00000000" w14:paraId="00000003">
      <w:pPr>
        <w:spacing w:line="360" w:lineRule="auto"/>
        <w:ind w:left="284" w:right="329" w:firstLine="0"/>
        <w:jc w:val="both"/>
        <w:rPr>
          <w:sz w:val="22"/>
          <w:szCs w:val="22"/>
        </w:rPr>
      </w:pPr>
      <w:bookmarkStart w:colFirst="0" w:colLast="0" w:name="_heading=h.jnjl4whqe65v" w:id="2"/>
      <w:bookmarkEnd w:id="2"/>
      <w:r w:rsidDel="00000000" w:rsidR="00000000" w:rsidRPr="00000000">
        <w:rPr>
          <w:sz w:val="22"/>
          <w:szCs w:val="22"/>
          <w:rtl w:val="0"/>
        </w:rPr>
        <w:t xml:space="preserve">1)</w:t>
      </w:r>
      <w:r w:rsidDel="00000000" w:rsidR="00000000" w:rsidRPr="00000000">
        <w:rPr>
          <w:b w:val="1"/>
          <w:bCs w:val="1"/>
          <w:sz w:val="22"/>
          <w:szCs w:val="22"/>
          <w:rtl w:val="0"/>
        </w:rPr>
        <w:t xml:space="preserve"> </w:t>
      </w:r>
      <w:r w:rsidDel="00000000" w:rsidR="00000000" w:rsidRPr="00000000">
        <w:rPr>
          <w:sz w:val="22"/>
          <w:szCs w:val="22"/>
          <w:rtl w:val="0"/>
        </w:rPr>
        <w:t xml:space="preserve"> El señor Vicepresidente expresa que el 18 de junio de 2025 el Directorio aprobó el cronograma de pago del dividendo en efectivo por un total de $ 300.000.000.000 en 10 cuotas iguales, mensuales y consecutivas en los términos de la Comunicación “A” 8214 del Banco Central de la República Argentina. En razón de lo expuesto, el señor Vicepresidente propone poner a disposición de los Señores Accionistas, a partir del próximo 29 de enero de 2026 la cuota Nro. 8 del citado dividendo de acuerdo a las respectivas tenencias, lo cual se aprueba por unanimidad.</w:t>
      </w:r>
    </w:p>
    <w:p w:rsidR="00000000" w:rsidDel="00000000" w:rsidP="00000000" w:rsidRDefault="00000000" w:rsidRPr="00000000" w14:paraId="00000004">
      <w:pPr>
        <w:shd w:fill="ffffff" w:val="clear"/>
        <w:spacing w:line="360" w:lineRule="auto"/>
        <w:ind w:left="284" w:right="329" w:firstLine="0"/>
        <w:jc w:val="both"/>
        <w:rPr>
          <w:sz w:val="22"/>
          <w:szCs w:val="22"/>
        </w:rPr>
      </w:pPr>
      <w:r w:rsidDel="00000000" w:rsidR="00000000" w:rsidRPr="00000000">
        <w:rPr>
          <w:sz w:val="22"/>
          <w:szCs w:val="22"/>
          <w:rtl w:val="0"/>
        </w:rPr>
        <w:t xml:space="preserve">Acto seguido, se aprueba por unanimidad el texto del aviso a publicar con la siguiente redacción:</w:t>
      </w:r>
    </w:p>
    <w:p w:rsidR="00000000" w:rsidDel="00000000" w:rsidP="00000000" w:rsidRDefault="00000000" w:rsidRPr="00000000" w14:paraId="00000005">
      <w:pPr>
        <w:shd w:fill="ffffff" w:val="clear"/>
        <w:ind w:right="-386" w:hanging="2"/>
        <w:jc w:val="center"/>
        <w:rPr>
          <w:b w:val="1"/>
          <w:bCs w:val="1"/>
          <w:highlight w:val="white"/>
        </w:rPr>
      </w:pPr>
      <w:r w:rsidDel="00000000" w:rsidR="00000000" w:rsidRPr="00000000">
        <w:rPr>
          <w:rtl w:val="0"/>
        </w:rPr>
      </w:r>
    </w:p>
    <w:p w:rsidR="00000000" w:rsidDel="00000000" w:rsidP="00000000" w:rsidRDefault="00000000" w:rsidRPr="00000000" w14:paraId="00000006">
      <w:pPr>
        <w:shd w:fill="ffffff" w:val="clear"/>
        <w:ind w:right="-386" w:hanging="2"/>
        <w:jc w:val="center"/>
        <w:rPr/>
      </w:pPr>
      <w:r w:rsidDel="00000000" w:rsidR="00000000" w:rsidRPr="00000000">
        <w:rPr>
          <w:b w:val="1"/>
          <w:bCs w:val="1"/>
          <w:highlight w:val="white"/>
          <w:rtl w:val="0"/>
        </w:rPr>
        <w:t xml:space="preserve">Pago de Dividendo en Efectivo</w:t>
      </w:r>
      <w:r w:rsidDel="00000000" w:rsidR="00000000" w:rsidRPr="00000000">
        <w:rPr>
          <w:rtl w:val="0"/>
        </w:rPr>
      </w:r>
    </w:p>
    <w:p w:rsidR="00000000" w:rsidDel="00000000" w:rsidP="00000000" w:rsidRDefault="00000000" w:rsidRPr="00000000" w14:paraId="00000007">
      <w:pPr>
        <w:shd w:fill="ffffff" w:val="clear"/>
        <w:spacing w:before="120" w:lineRule="auto"/>
        <w:ind w:left="850" w:right="560" w:firstLine="0"/>
        <w:jc w:val="center"/>
        <w:rPr/>
      </w:pPr>
      <w:r w:rsidDel="00000000" w:rsidR="00000000" w:rsidRPr="00000000">
        <w:rPr>
          <w:rtl w:val="0"/>
        </w:rPr>
      </w:r>
    </w:p>
    <w:p w:rsidR="00000000" w:rsidDel="00000000" w:rsidP="00000000" w:rsidRDefault="00000000" w:rsidRPr="00000000" w14:paraId="00000008">
      <w:pPr>
        <w:shd w:fill="ffffff" w:val="clear"/>
        <w:ind w:left="850" w:right="840" w:firstLine="0"/>
        <w:jc w:val="both"/>
        <w:rPr/>
      </w:pPr>
      <w:r w:rsidDel="00000000" w:rsidR="00000000" w:rsidRPr="00000000">
        <w:rPr>
          <w:highlight w:val="white"/>
          <w:rtl w:val="0"/>
        </w:rPr>
        <w:t xml:space="preserve">Se comunica a los Señores Accionistas de Banco Macro S.A. que, de acuerdo a (i) lo resuelto por la Asamblea General Ordinaria y Extraordinaria celebrada el 4 de abril de 2025, (ii) la Comunicación “A” 8214 que faculta a las entidades financieras que cuenten con la autorización del Banco Central de la República Argentina a distribuir</w:t>
      </w:r>
      <w:r w:rsidDel="00000000" w:rsidR="00000000" w:rsidRPr="00000000">
        <w:rPr>
          <w:rtl w:val="0"/>
        </w:rPr>
        <w:t xml:space="preserve"> resultados en 10 cuotas iguales, mensuales y consecutivas expresadas en moneda homogénea, (iii) la autorización de la Superintendencia de Entidades Financieras y Cambiarias del Banco Central de la República Argentina obtenida el 4 de junio pasado, y (iv) lo resuelto por el Directorio en la reunión de fecha 14 de enero de 2026, Banco Macro S.A. procederá a la puesta a disposición y pago a sus accionistas de la cuota N° 8 del dividendo en efectivo de $39.464.628.153,79 (es decir, $ 61,7222815111 por acción que representa el 6.172,2281% del capital social de  $639.390.301).</w:t>
      </w:r>
      <w:r w:rsidDel="00000000" w:rsidR="00000000" w:rsidRPr="00000000">
        <w:rPr>
          <w:rFonts w:ascii="Cambria" w:cs="Cambria" w:eastAsia="Cambria" w:hAnsi="Cambria"/>
          <w:color w:val="ff0000"/>
          <w:sz w:val="22"/>
          <w:szCs w:val="22"/>
          <w:rtl w:val="0"/>
        </w:rPr>
        <w:t xml:space="preserve"> </w:t>
      </w:r>
      <w:r w:rsidDel="00000000" w:rsidR="00000000" w:rsidRPr="00000000">
        <w:rPr>
          <w:rtl w:val="0"/>
        </w:rPr>
      </w:r>
    </w:p>
    <w:p w:rsidR="00000000" w:rsidDel="00000000" w:rsidP="00000000" w:rsidRDefault="00000000" w:rsidRPr="00000000" w14:paraId="00000009">
      <w:pPr>
        <w:shd w:fill="ffffff" w:val="clear"/>
        <w:spacing w:before="120" w:lineRule="auto"/>
        <w:ind w:left="850" w:right="840" w:firstLine="0"/>
        <w:jc w:val="both"/>
        <w:rPr/>
      </w:pPr>
      <w:r w:rsidDel="00000000" w:rsidR="00000000" w:rsidRPr="00000000">
        <w:rPr>
          <w:rtl w:val="0"/>
        </w:rPr>
        <w:t xml:space="preserve">Fecha de puesta a disposición: 29/01/2026</w:t>
      </w:r>
    </w:p>
    <w:p w:rsidR="00000000" w:rsidDel="00000000" w:rsidP="00000000" w:rsidRDefault="00000000" w:rsidRPr="00000000" w14:paraId="0000000A">
      <w:pPr>
        <w:shd w:fill="ffffff" w:val="clear"/>
        <w:ind w:left="850" w:right="840" w:firstLine="0"/>
        <w:jc w:val="both"/>
        <w:rPr/>
      </w:pPr>
      <w:r w:rsidDel="00000000" w:rsidR="00000000" w:rsidRPr="00000000">
        <w:rPr>
          <w:rtl w:val="0"/>
        </w:rPr>
        <w:t xml:space="preserve">Fecha de record date o registro: 28/01/2026</w:t>
      </w:r>
    </w:p>
    <w:p w:rsidR="00000000" w:rsidDel="00000000" w:rsidP="00000000" w:rsidRDefault="00000000" w:rsidRPr="00000000" w14:paraId="0000000B">
      <w:pPr>
        <w:shd w:fill="ffffff" w:val="clear"/>
        <w:spacing w:before="120" w:lineRule="auto"/>
        <w:ind w:left="850" w:right="840" w:firstLine="0"/>
        <w:jc w:val="both"/>
        <w:rPr/>
      </w:pPr>
      <w:r w:rsidDel="00000000" w:rsidR="00000000" w:rsidRPr="00000000">
        <w:rPr>
          <w:rtl w:val="0"/>
        </w:rPr>
        <w:t xml:space="preserve">Respecto al monto total de dividendos a distribuir, se informa que s</w:t>
      </w:r>
      <w:r w:rsidDel="00000000" w:rsidR="00000000" w:rsidRPr="00000000">
        <w:rPr>
          <w:highlight w:val="white"/>
          <w:rtl w:val="0"/>
        </w:rPr>
        <w:t xml:space="preserve">e encuentra sujeto a la retención del 7% establecida en el artículo 97 de la Ley del Impuesto a las Ganancias, texto ordenado en 2019.</w:t>
      </w:r>
      <w:r w:rsidDel="00000000" w:rsidR="00000000" w:rsidRPr="00000000">
        <w:rPr>
          <w:rtl w:val="0"/>
        </w:rPr>
      </w:r>
    </w:p>
    <w:p w:rsidR="00000000" w:rsidDel="00000000" w:rsidP="00000000" w:rsidRDefault="00000000" w:rsidRPr="00000000" w14:paraId="0000000C">
      <w:pPr>
        <w:shd w:fill="ffffff" w:val="clear"/>
        <w:ind w:left="850" w:right="840" w:firstLine="0"/>
        <w:jc w:val="both"/>
        <w:rPr/>
      </w:pPr>
      <w:r w:rsidDel="00000000" w:rsidR="00000000" w:rsidRPr="00000000">
        <w:rPr>
          <w:highlight w:val="white"/>
          <w:rtl w:val="0"/>
        </w:rPr>
        <w:t xml:space="preserve">La puesta a disposición se efectuará a partir de la fecha indicada, en la Caja de Valores S.A., en su domicilio de 25 de Mayo 362, Ciudad Autónoma de Buenos Aires, de lunes a viernes de 10 a 15 horas.</w:t>
      </w:r>
      <w:r w:rsidDel="00000000" w:rsidR="00000000" w:rsidRPr="00000000">
        <w:rPr>
          <w:rtl w:val="0"/>
        </w:rPr>
      </w:r>
    </w:p>
    <w:p w:rsidR="00000000" w:rsidDel="00000000" w:rsidP="00000000" w:rsidRDefault="00000000" w:rsidRPr="00000000" w14:paraId="0000000D">
      <w:pPr>
        <w:shd w:fill="ffffff" w:val="clear"/>
        <w:ind w:left="850" w:right="840" w:firstLine="0"/>
        <w:jc w:val="both"/>
        <w:rPr/>
      </w:pPr>
      <w:r w:rsidDel="00000000" w:rsidR="00000000" w:rsidRPr="00000000">
        <w:rPr>
          <w:highlight w:val="white"/>
          <w:rtl w:val="0"/>
        </w:rPr>
        <w:t xml:space="preserve">Los tenedores de </w:t>
      </w:r>
      <w:r w:rsidDel="00000000" w:rsidR="00000000" w:rsidRPr="00000000">
        <w:rPr>
          <w:i w:val="1"/>
          <w:iCs w:val="1"/>
          <w:highlight w:val="white"/>
          <w:rtl w:val="0"/>
        </w:rPr>
        <w:t xml:space="preserve">American Depositary Receipts</w:t>
      </w:r>
      <w:r w:rsidDel="00000000" w:rsidR="00000000" w:rsidRPr="00000000">
        <w:rPr>
          <w:highlight w:val="white"/>
          <w:rtl w:val="0"/>
        </w:rPr>
        <w:t xml:space="preserve"> (ADRs) recibirán el dividendo que les corresponda de conformidad con el respectivo contrato de depósito a través de The Bank of New York Mellon, depositario de las Acciones Clase B subyacentes a dichos certificados a partir de la fecha que resulte por aplicación de las normas que rijan en la jurisdicción donde los ADRs de la Sociedad se encuentran listados. </w:t>
      </w:r>
      <w:r w:rsidDel="00000000" w:rsidR="00000000" w:rsidRPr="00000000">
        <w:rPr>
          <w:rtl w:val="0"/>
        </w:rPr>
      </w:r>
    </w:p>
    <w:p w:rsidR="00000000" w:rsidDel="00000000" w:rsidP="00000000" w:rsidRDefault="00000000" w:rsidRPr="00000000" w14:paraId="0000000E">
      <w:pPr>
        <w:shd w:fill="ffffff" w:val="clear"/>
        <w:spacing w:before="120" w:line="276" w:lineRule="auto"/>
        <w:ind w:left="560" w:right="840" w:firstLine="0"/>
        <w:jc w:val="both"/>
        <w:rPr>
          <w:b w:val="1"/>
          <w:bCs w:val="1"/>
          <w:sz w:val="22"/>
          <w:szCs w:val="22"/>
        </w:rPr>
      </w:pPr>
      <w:r w:rsidDel="00000000" w:rsidR="00000000" w:rsidRPr="00000000">
        <w:rPr>
          <w:rtl w:val="0"/>
        </w:rPr>
      </w:r>
    </w:p>
    <w:p w:rsidR="00000000" w:rsidDel="00000000" w:rsidP="00000000" w:rsidRDefault="00000000" w:rsidRPr="00000000" w14:paraId="0000000F">
      <w:pPr>
        <w:spacing w:line="360" w:lineRule="auto"/>
        <w:ind w:left="284" w:right="329" w:firstLine="0"/>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10">
      <w:pPr>
        <w:spacing w:line="360" w:lineRule="auto"/>
        <w:ind w:left="284" w:right="329" w:firstLine="0"/>
        <w:jc w:val="both"/>
        <w:rPr>
          <w:sz w:val="22"/>
          <w:szCs w:val="22"/>
        </w:rPr>
      </w:pPr>
      <w:r w:rsidDel="00000000" w:rsidR="00000000" w:rsidRPr="00000000">
        <w:rPr>
          <w:sz w:val="22"/>
          <w:szCs w:val="22"/>
          <w:rtl w:val="0"/>
        </w:rPr>
        <w:t xml:space="preserve">En cumplimiento de lo dispuesto por el artículo 19 del estatuto social, los miembros de la Comisión Fiscalizadora participantes de la presente reunión dejan constancia de la regularidad de las decisiones adoptadas.</w:t>
      </w:r>
    </w:p>
    <w:p w:rsidR="00000000" w:rsidDel="00000000" w:rsidP="00000000" w:rsidRDefault="00000000" w:rsidRPr="00000000" w14:paraId="00000011">
      <w:pPr>
        <w:spacing w:line="360" w:lineRule="auto"/>
        <w:ind w:left="284" w:right="329" w:firstLine="0"/>
        <w:jc w:val="both"/>
        <w:rPr>
          <w:sz w:val="22"/>
          <w:szCs w:val="22"/>
        </w:rPr>
      </w:pPr>
      <w:bookmarkStart w:colFirst="0" w:colLast="0" w:name="_heading=h.cgknm1ugoa4" w:id="3"/>
      <w:bookmarkEnd w:id="3"/>
      <w:r w:rsidDel="00000000" w:rsidR="00000000" w:rsidRPr="00000000">
        <w:rPr>
          <w:sz w:val="22"/>
          <w:szCs w:val="22"/>
          <w:rtl w:val="0"/>
        </w:rPr>
        <w:t xml:space="preserve">No habiendo más asuntos que tratar, se levanta la sesión, siendo las 17.20 horas.      </w:t>
      </w:r>
    </w:p>
    <w:p w:rsidR="00000000" w:rsidDel="00000000" w:rsidP="00000000" w:rsidRDefault="00000000" w:rsidRPr="00000000" w14:paraId="00000012">
      <w:pPr>
        <w:spacing w:line="360" w:lineRule="auto"/>
        <w:ind w:left="284" w:right="329" w:firstLine="0"/>
        <w:jc w:val="both"/>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7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7b5tgkvmxwg" w:id="4"/>
      <w:bookmarkEnd w:id="4"/>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Firmado: Carlos Alberto Giovanelli (Vicepresidente); Nelson Damián Pozzoli (Director); Mario Luis Vicens (Director); Fabián de Paul (Director); José Alfredo Sánchez (Director); Sebastián Palla (Director); Daniela Rivarola Meilan (Directora); Agustin Alvarez (Director); Alejandro Almarza (Síndico); Carlos Javier Piazza (Síndico); Vivian Stenghele (Síndica); Carolina Paola Leonhart (Secretaria del Directorio).</w:t>
      </w:r>
      <w:r w:rsidDel="00000000" w:rsidR="00000000" w:rsidRPr="00000000">
        <w:rPr>
          <w:rtl w:val="0"/>
        </w:rPr>
      </w:r>
    </w:p>
    <w:p w:rsidR="00000000" w:rsidDel="00000000" w:rsidP="00000000" w:rsidRDefault="00000000" w:rsidRPr="00000000" w14:paraId="00000014">
      <w:pPr>
        <w:spacing w:line="360" w:lineRule="auto"/>
        <w:ind w:left="284" w:right="329" w:firstLine="0"/>
        <w:jc w:val="both"/>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00" w:top="1700" w:left="566"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30"/>
      <w:jc w:val="center"/>
    </w:pPr>
    <w:rPr>
      <w:rFonts w:ascii="Cambria" w:cs="Cambria" w:eastAsia="Cambria" w:hAnsi="Cambria"/>
      <w:b w:val="1"/>
      <w:bCs w:val="1"/>
      <w:sz w:val="32"/>
      <w:szCs w:val="32"/>
    </w:rPr>
  </w:style>
  <w:style w:type="paragraph" w:styleId="Heading2">
    <w:name w:val="heading 2"/>
    <w:basedOn w:val="Normal"/>
    <w:next w:val="Normal"/>
    <w:pPr>
      <w:keepNext w:val="1"/>
      <w:tabs>
        <w:tab w:val="left" w:leader="none" w:pos="4962"/>
        <w:tab w:val="left" w:leader="none" w:pos="6804"/>
      </w:tabs>
      <w:spacing w:line="360" w:lineRule="auto"/>
      <w:jc w:val="both"/>
    </w:pPr>
    <w:rPr>
      <w:rFonts w:ascii="Cambria" w:cs="Cambria" w:eastAsia="Cambria" w:hAnsi="Cambria"/>
      <w:b w:val="1"/>
      <w:bCs w:val="1"/>
      <w:i w:val="1"/>
      <w:iCs w:val="1"/>
      <w:sz w:val="28"/>
      <w:szCs w:val="28"/>
    </w:rPr>
  </w:style>
  <w:style w:type="paragraph" w:styleId="Heading3">
    <w:name w:val="heading 3"/>
    <w:basedOn w:val="Normal"/>
    <w:next w:val="Normal"/>
    <w:pPr>
      <w:keepNext w:val="1"/>
      <w:jc w:val="both"/>
    </w:pPr>
    <w:rPr>
      <w:rFonts w:ascii="Cambria" w:cs="Cambria" w:eastAsia="Cambria" w:hAnsi="Cambria"/>
      <w:b w:val="1"/>
      <w:bCs w:val="1"/>
      <w:sz w:val="26"/>
      <w:szCs w:val="26"/>
    </w:rPr>
  </w:style>
  <w:style w:type="paragraph" w:styleId="Heading4">
    <w:name w:val="heading 4"/>
    <w:basedOn w:val="Normal"/>
    <w:next w:val="Normal"/>
    <w:pPr>
      <w:keepNext w:val="1"/>
      <w:jc w:val="center"/>
    </w:pPr>
    <w:rPr>
      <w:rFonts w:ascii="Calibri" w:cs="Calibri" w:eastAsia="Calibri" w:hAnsi="Calibri"/>
      <w:b w:val="1"/>
      <w:bCs w:val="1"/>
      <w:sz w:val="28"/>
      <w:szCs w:val="28"/>
    </w:rPr>
  </w:style>
  <w:style w:type="paragraph" w:styleId="Heading5">
    <w:name w:val="heading 5"/>
    <w:basedOn w:val="Normal"/>
    <w:next w:val="Normal"/>
    <w:pPr>
      <w:keepNext w:val="1"/>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Normal"/>
    <w:tblPr>
      <w:tblCellMar>
        <w:top w:w="0.0" w:type="dxa"/>
        <w:left w:w="0.0" w:type="dxa"/>
        <w:bottom w:w="0.0" w:type="dxa"/>
        <w:right w:w="0.0" w:type="dxa"/>
      </w:tblCellMar>
    </w:tblPr>
  </w:style>
  <w:style w:type="table" w:styleId="TableNormalb" w:customStyle="1">
    <w:name w:val="TableNormal"/>
    <w:tblPr>
      <w:tblCellMar>
        <w:top w:w="0.0" w:type="dxa"/>
        <w:left w:w="0.0" w:type="dxa"/>
        <w:bottom w:w="0.0" w:type="dxa"/>
        <w:right w:w="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Normal"/>
    <w:tblPr>
      <w:tblCellMar>
        <w:top w:w="0.0" w:type="dxa"/>
        <w:left w:w="0.0" w:type="dxa"/>
        <w:bottom w:w="0.0" w:type="dxa"/>
        <w:right w:w="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Normal"/>
    <w:tblPr>
      <w:tblCellMar>
        <w:top w:w="0.0" w:type="dxa"/>
        <w:left w:w="0.0" w:type="dxa"/>
        <w:bottom w:w="0.0" w:type="dxa"/>
        <w:right w:w="0.0" w:type="dxa"/>
      </w:tblCellMar>
    </w:tblPr>
  </w:style>
  <w:style w:type="table" w:styleId="TableNormalf0" w:customStyle="1">
    <w:name w:val="Table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a" w:customStyle="1">
    <w:basedOn w:val="TableNormalffa"/>
    <w:tblPr>
      <w:tblStyleRowBandSize w:val="1"/>
      <w:tblStyleColBandSize w:val="1"/>
      <w:tblCellMar>
        <w:left w:w="115.0" w:type="dxa"/>
        <w:right w:w="115.0" w:type="dxa"/>
      </w:tblCellMar>
    </w:tblPr>
  </w:style>
  <w:style w:type="table" w:styleId="a0" w:customStyle="1">
    <w:basedOn w:val="TableNormalffa"/>
    <w:tblPr>
      <w:tblStyleRowBandSize w:val="1"/>
      <w:tblStyleColBandSize w:val="1"/>
      <w:tblCellMar>
        <w:left w:w="115.0" w:type="dxa"/>
        <w:right w:w="115.0" w:type="dxa"/>
      </w:tblCellMar>
    </w:tblPr>
  </w:style>
  <w:style w:type="paragraph" w:styleId="Prrafodelista">
    <w:name w:val="List Paragraph"/>
    <w:basedOn w:val="Normal"/>
    <w:uiPriority w:val="34"/>
    <w:qFormat w:val="1"/>
    <w:rsid w:val="004C64D3"/>
    <w:pPr>
      <w:ind w:left="720"/>
      <w:contextualSpacing w:val="1"/>
    </w:pPr>
  </w:style>
  <w:style w:type="paragraph" w:styleId="NormalWeb">
    <w:name w:val="Normal (Web)"/>
    <w:basedOn w:val="Normal"/>
    <w:uiPriority w:val="99"/>
    <w:unhideWhenUsed w:val="1"/>
    <w:rsid w:val="004C68A3"/>
    <w:pPr>
      <w:spacing w:after="100" w:afterAutospacing="1" w:before="100" w:beforeAutospacing="1"/>
    </w:pPr>
  </w:style>
  <w:style w:type="numbering" w:styleId="Sinlista1" w:customStyle="1">
    <w:name w:val="Sin lista1"/>
    <w:next w:val="Sinlista"/>
    <w:uiPriority w:val="99"/>
    <w:semiHidden w:val="1"/>
    <w:unhideWhenUsed w:val="1"/>
    <w:rsid w:val="00B52C16"/>
  </w:style>
  <w:style w:type="table" w:styleId="TableNormal10" w:customStyle="1">
    <w:name w:val="Table Normal1"/>
    <w:rsid w:val="00B52C16"/>
    <w:rPr>
      <w:sz w:val="20"/>
      <w:szCs w:val="20"/>
    </w:rPr>
    <w:tblPr>
      <w:tblCellMar>
        <w:top w:w="0.0" w:type="dxa"/>
        <w:left w:w="0.0" w:type="dxa"/>
        <w:bottom w:w="0.0" w:type="dxa"/>
        <w:right w:w="0.0" w:type="dxa"/>
      </w:tblCellMar>
    </w:tblPr>
  </w:style>
  <w:style w:type="table" w:styleId="a1" w:customStyle="1">
    <w:basedOn w:val="TableNormalffa"/>
    <w:tblPr>
      <w:tblStyleRowBandSize w:val="1"/>
      <w:tblStyleColBandSize w:val="1"/>
    </w:tblPr>
  </w:style>
  <w:style w:type="table" w:styleId="a2" w:customStyle="1">
    <w:basedOn w:val="TableNormalffa"/>
    <w:tblPr>
      <w:tblStyleRowBandSize w:val="1"/>
      <w:tblStyleColBandSize w:val="1"/>
      <w:tblCellMar>
        <w:left w:w="115.0" w:type="dxa"/>
        <w:right w:w="115.0" w:type="dxa"/>
      </w:tblCellMar>
    </w:tblPr>
  </w:style>
  <w:style w:type="table" w:styleId="a3" w:customStyle="1">
    <w:basedOn w:val="TableNormalffa"/>
    <w:tblPr>
      <w:tblStyleRowBandSize w:val="1"/>
      <w:tblStyleColBandSize w:val="1"/>
      <w:tblCellMar>
        <w:left w:w="115.0" w:type="dxa"/>
        <w:right w:w="115.0" w:type="dxa"/>
      </w:tblCellMar>
    </w:tblPr>
  </w:style>
  <w:style w:type="table" w:styleId="a4" w:customStyle="1">
    <w:basedOn w:val="TableNormalffa"/>
    <w:tblPr>
      <w:tblStyleRowBandSize w:val="1"/>
      <w:tblStyleColBandSize w:val="1"/>
      <w:tblCellMar>
        <w:left w:w="115.0" w:type="dxa"/>
        <w:right w:w="115.0" w:type="dxa"/>
      </w:tblCellMar>
    </w:tblPr>
  </w:style>
  <w:style w:type="table" w:styleId="a5" w:customStyle="1">
    <w:basedOn w:val="TableNormalffa"/>
    <w:tblPr>
      <w:tblStyleRowBandSize w:val="1"/>
      <w:tblStyleColBandSize w:val="1"/>
      <w:tblCellMar>
        <w:top w:w="100.0" w:type="dxa"/>
        <w:left w:w="100.0" w:type="dxa"/>
        <w:bottom w:w="100.0" w:type="dxa"/>
        <w:right w:w="100.0" w:type="dxa"/>
      </w:tblCellMar>
    </w:tblPr>
  </w:style>
  <w:style w:type="table" w:styleId="a6" w:customStyle="1">
    <w:basedOn w:val="TableNormalffa"/>
    <w:tblPr>
      <w:tblStyleRowBandSize w:val="1"/>
      <w:tblStyleColBandSize w:val="1"/>
      <w:tblCellMar>
        <w:top w:w="100.0" w:type="dxa"/>
        <w:left w:w="100.0" w:type="dxa"/>
        <w:bottom w:w="100.0" w:type="dxa"/>
        <w:right w:w="100.0" w:type="dxa"/>
      </w:tblCellMar>
    </w:tblPr>
  </w:style>
  <w:style w:type="table" w:styleId="a7" w:customStyle="1">
    <w:basedOn w:val="TableNormalffa"/>
    <w:tblPr>
      <w:tblStyleRowBandSize w:val="1"/>
      <w:tblStyleColBandSize w:val="1"/>
      <w:tblCellMar>
        <w:top w:w="100.0" w:type="dxa"/>
        <w:left w:w="100.0" w:type="dxa"/>
        <w:bottom w:w="100.0" w:type="dxa"/>
        <w:right w:w="100.0" w:type="dxa"/>
      </w:tblCellMar>
    </w:tblPr>
  </w:style>
  <w:style w:type="paragraph" w:styleId="Textoindependiente">
    <w:name w:val="Body Text"/>
    <w:basedOn w:val="Normal"/>
    <w:link w:val="TextoindependienteCar"/>
    <w:uiPriority w:val="99"/>
    <w:unhideWhenUsed w:val="1"/>
    <w:rsid w:val="002C4FF3"/>
    <w:pPr>
      <w:overflowPunct w:val="0"/>
      <w:autoSpaceDE w:val="0"/>
      <w:autoSpaceDN w:val="0"/>
      <w:adjustRightInd w:val="0"/>
      <w:spacing w:after="120"/>
    </w:pPr>
    <w:rPr>
      <w:sz w:val="20"/>
      <w:szCs w:val="20"/>
      <w:lang w:eastAsia="es-ES" w:val="es-ES_tradnl"/>
    </w:rPr>
  </w:style>
  <w:style w:type="character" w:styleId="TextoindependienteCar" w:customStyle="1">
    <w:name w:val="Texto independiente Car"/>
    <w:basedOn w:val="Fuentedeprrafopredeter"/>
    <w:link w:val="Textoindependiente"/>
    <w:uiPriority w:val="99"/>
    <w:rsid w:val="002C4FF3"/>
    <w:rPr>
      <w:sz w:val="20"/>
      <w:szCs w:val="20"/>
      <w:lang w:eastAsia="es-ES" w:val="es-ES_tradnl"/>
    </w:rPr>
  </w:style>
  <w:style w:type="numbering" w:styleId="Sinlista2" w:customStyle="1">
    <w:name w:val="Sin lista2"/>
    <w:next w:val="Sinlista"/>
    <w:uiPriority w:val="99"/>
    <w:semiHidden w:val="1"/>
    <w:unhideWhenUsed w:val="1"/>
    <w:rsid w:val="00ED7D73"/>
  </w:style>
  <w:style w:type="character" w:styleId="Ttulo1Car" w:customStyle="1">
    <w:name w:val="Título 1 Car"/>
    <w:basedOn w:val="Fuentedeprrafopredeter"/>
    <w:rsid w:val="00ED7D73"/>
    <w:rPr>
      <w:rFonts w:ascii="Cambria" w:cs="Cambria" w:eastAsia="Cambria" w:hAnsi="Cambria"/>
      <w:b w:val="1"/>
      <w:sz w:val="32"/>
      <w:szCs w:val="32"/>
    </w:rPr>
  </w:style>
  <w:style w:type="character" w:styleId="Ttulo2Car" w:customStyle="1">
    <w:name w:val="Título 2 Car"/>
    <w:basedOn w:val="Fuentedeprrafopredeter"/>
    <w:rsid w:val="00ED7D73"/>
    <w:rPr>
      <w:rFonts w:ascii="Cambria" w:cs="Cambria" w:eastAsia="Cambria" w:hAnsi="Cambria"/>
      <w:b w:val="1"/>
      <w:i w:val="1"/>
      <w:sz w:val="28"/>
      <w:szCs w:val="28"/>
    </w:rPr>
  </w:style>
  <w:style w:type="character" w:styleId="Ttulo3Car" w:customStyle="1">
    <w:name w:val="Título 3 Car"/>
    <w:basedOn w:val="Fuentedeprrafopredeter"/>
    <w:rsid w:val="00ED7D73"/>
    <w:rPr>
      <w:rFonts w:ascii="Cambria" w:cs="Cambria" w:eastAsia="Cambria" w:hAnsi="Cambria"/>
      <w:b w:val="1"/>
      <w:sz w:val="26"/>
      <w:szCs w:val="26"/>
    </w:rPr>
  </w:style>
  <w:style w:type="character" w:styleId="Ttulo4Car" w:customStyle="1">
    <w:name w:val="Título 4 Car"/>
    <w:basedOn w:val="Fuentedeprrafopredeter"/>
    <w:rsid w:val="00ED7D73"/>
    <w:rPr>
      <w:rFonts w:ascii="Calibri" w:cs="Calibri" w:eastAsia="Calibri" w:hAnsi="Calibri"/>
      <w:b w:val="1"/>
      <w:sz w:val="28"/>
      <w:szCs w:val="28"/>
    </w:rPr>
  </w:style>
  <w:style w:type="character" w:styleId="Ttulo5Car" w:customStyle="1">
    <w:name w:val="Título 5 Car"/>
    <w:basedOn w:val="Fuentedeprrafopredeter"/>
    <w:rsid w:val="00ED7D73"/>
    <w:rPr>
      <w:rFonts w:ascii="Calibri" w:cs="Calibri" w:eastAsia="Calibri" w:hAnsi="Calibri"/>
      <w:b w:val="1"/>
      <w:i w:val="1"/>
      <w:sz w:val="26"/>
      <w:szCs w:val="26"/>
    </w:rPr>
  </w:style>
  <w:style w:type="character" w:styleId="Ttulo6Car" w:customStyle="1">
    <w:name w:val="Título 6 Car"/>
    <w:basedOn w:val="Fuentedeprrafopredeter"/>
    <w:rsid w:val="00ED7D73"/>
    <w:rPr>
      <w:b w:val="1"/>
      <w:sz w:val="20"/>
      <w:szCs w:val="20"/>
    </w:rPr>
  </w:style>
  <w:style w:type="table" w:styleId="TableNormal20" w:customStyle="1">
    <w:name w:val="Table Normal2"/>
    <w:rsid w:val="00ED7D73"/>
    <w:rPr>
      <w:sz w:val="20"/>
      <w:szCs w:val="20"/>
    </w:rPr>
    <w:tblPr>
      <w:tblCellMar>
        <w:top w:w="0.0" w:type="dxa"/>
        <w:left w:w="0.0" w:type="dxa"/>
        <w:bottom w:w="0.0" w:type="dxa"/>
        <w:right w:w="0.0" w:type="dxa"/>
      </w:tblCellMar>
    </w:tblPr>
  </w:style>
  <w:style w:type="character" w:styleId="TtuloCar" w:customStyle="1">
    <w:name w:val="Título Car"/>
    <w:basedOn w:val="Fuentedeprrafopredeter"/>
    <w:rsid w:val="00ED7D73"/>
    <w:rPr>
      <w:rFonts w:ascii="Cambria" w:cs="Cambria" w:eastAsia="Cambria" w:hAnsi="Cambria"/>
      <w:color w:val="17365d"/>
      <w:sz w:val="52"/>
      <w:szCs w:val="52"/>
    </w:rPr>
  </w:style>
  <w:style w:type="character" w:styleId="SubttuloCar" w:customStyle="1">
    <w:name w:val="Subtítulo Car"/>
    <w:basedOn w:val="Fuentedeprrafopredeter"/>
    <w:rsid w:val="00ED7D73"/>
    <w:rPr>
      <w:rFonts w:ascii="Cambria" w:cs="Cambria" w:eastAsia="Cambria" w:hAnsi="Cambria"/>
      <w:i w:val="1"/>
      <w:color w:val="4f81bd"/>
    </w:rPr>
  </w:style>
  <w:style w:type="table" w:styleId="a8" w:customStyle="1">
    <w:basedOn w:val="TableNormalff8"/>
    <w:tblPr>
      <w:tblStyleRowBandSize w:val="1"/>
      <w:tblStyleColBandSize w:val="1"/>
      <w:tblCellMar>
        <w:left w:w="115.0" w:type="dxa"/>
        <w:right w:w="115.0" w:type="dxa"/>
      </w:tblCellMar>
    </w:tblPr>
  </w:style>
  <w:style w:type="table" w:styleId="a9" w:customStyle="1">
    <w:basedOn w:val="TableNormalff8"/>
    <w:tblPr>
      <w:tblStyleRowBandSize w:val="1"/>
      <w:tblStyleColBandSize w:val="1"/>
      <w:tblCellMar>
        <w:left w:w="115.0" w:type="dxa"/>
        <w:right w:w="115.0" w:type="dxa"/>
      </w:tblCellMar>
    </w:tblPr>
  </w:style>
  <w:style w:type="table" w:styleId="aa" w:customStyle="1">
    <w:basedOn w:val="TableNormalff8"/>
    <w:tblPr>
      <w:tblStyleRowBandSize w:val="1"/>
      <w:tblStyleColBandSize w:val="1"/>
      <w:tblCellMar>
        <w:left w:w="115.0" w:type="dxa"/>
        <w:right w:w="115.0" w:type="dxa"/>
      </w:tblCellMar>
    </w:tblPr>
  </w:style>
  <w:style w:type="paragraph" w:styleId="Textodeglobo">
    <w:name w:val="Balloon Text"/>
    <w:basedOn w:val="Normal"/>
    <w:link w:val="TextodegloboCar"/>
    <w:uiPriority w:val="99"/>
    <w:semiHidden w:val="1"/>
    <w:unhideWhenUsed w:val="1"/>
    <w:rsid w:val="00823D07"/>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23D07"/>
    <w:rPr>
      <w:rFonts w:ascii="Segoe UI" w:cs="Segoe UI" w:hAnsi="Segoe UI"/>
      <w:sz w:val="18"/>
      <w:szCs w:val="18"/>
    </w:rPr>
  </w:style>
  <w:style w:type="table" w:styleId="ab" w:customStyle="1">
    <w:basedOn w:val="TableNormalff7"/>
    <w:tblPr>
      <w:tblStyleRowBandSize w:val="1"/>
      <w:tblStyleColBandSize w:val="1"/>
      <w:tblCellMar>
        <w:left w:w="115.0" w:type="dxa"/>
        <w:right w:w="115.0" w:type="dxa"/>
      </w:tblCellMar>
    </w:tblPr>
  </w:style>
  <w:style w:type="table" w:styleId="ac" w:customStyle="1">
    <w:basedOn w:val="TableNormalff7"/>
    <w:tblPr>
      <w:tblStyleRowBandSize w:val="1"/>
      <w:tblStyleColBandSize w:val="1"/>
      <w:tblCellMar>
        <w:left w:w="115.0" w:type="dxa"/>
        <w:right w:w="115.0" w:type="dxa"/>
      </w:tblCellMar>
    </w:tblPr>
  </w:style>
  <w:style w:type="table" w:styleId="ad" w:customStyle="1">
    <w:basedOn w:val="TableNormalff7"/>
    <w:tblPr>
      <w:tblStyleRowBandSize w:val="1"/>
      <w:tblStyleColBandSize w:val="1"/>
      <w:tblCellMar>
        <w:left w:w="115.0" w:type="dxa"/>
        <w:right w:w="115.0" w:type="dxa"/>
      </w:tblCellMar>
    </w:tblPr>
  </w:style>
  <w:style w:type="paragraph" w:styleId="Textoindependiente21" w:customStyle="1">
    <w:name w:val="Texto independiente 21"/>
    <w:basedOn w:val="Normal"/>
    <w:uiPriority w:val="99"/>
    <w:rsid w:val="000A3F22"/>
    <w:pPr>
      <w:overflowPunct w:val="0"/>
      <w:autoSpaceDE w:val="0"/>
      <w:autoSpaceDN w:val="0"/>
      <w:adjustRightInd w:val="0"/>
      <w:spacing w:line="360" w:lineRule="auto"/>
      <w:jc w:val="both"/>
      <w:textAlignment w:val="baseline"/>
    </w:pPr>
    <w:rPr>
      <w:rFonts w:ascii="Book Antiqua" w:hAnsi="Book Antiqua"/>
      <w:szCs w:val="20"/>
      <w:lang w:eastAsia="es-ES" w:val="es-ES_tradnl"/>
    </w:rPr>
  </w:style>
  <w:style w:type="table" w:styleId="ae" w:customStyle="1">
    <w:basedOn w:val="TableNormalff5"/>
    <w:tblPr>
      <w:tblStyleRowBandSize w:val="1"/>
      <w:tblStyleColBandSize w:val="1"/>
      <w:tblCellMar>
        <w:left w:w="71.0" w:type="dxa"/>
        <w:right w:w="71.0" w:type="dxa"/>
      </w:tblCellMar>
    </w:tblPr>
  </w:style>
  <w:style w:type="numbering" w:styleId="Sinlista3" w:customStyle="1">
    <w:name w:val="Sin lista3"/>
    <w:next w:val="Sinlista"/>
    <w:uiPriority w:val="99"/>
    <w:semiHidden w:val="1"/>
    <w:unhideWhenUsed w:val="1"/>
    <w:rsid w:val="00815A14"/>
  </w:style>
  <w:style w:type="table" w:styleId="TableNormal30" w:customStyle="1">
    <w:name w:val="Table Normal3"/>
    <w:rsid w:val="00815A14"/>
    <w:rPr>
      <w:sz w:val="20"/>
      <w:szCs w:val="20"/>
    </w:rPr>
    <w:tblPr>
      <w:tblCellMar>
        <w:top w:w="0.0" w:type="dxa"/>
        <w:left w:w="0.0" w:type="dxa"/>
        <w:bottom w:w="0.0" w:type="dxa"/>
        <w:right w:w="0.0" w:type="dxa"/>
      </w:tblCellMar>
    </w:tblPr>
  </w:style>
  <w:style w:type="table" w:styleId="af" w:customStyle="1">
    <w:basedOn w:val="TableNormalff4"/>
    <w:tblPr>
      <w:tblStyleRowBandSize w:val="1"/>
      <w:tblStyleColBandSize w:val="1"/>
      <w:tblCellMar>
        <w:left w:w="71.0" w:type="dxa"/>
        <w:right w:w="71.0" w:type="dxa"/>
      </w:tblCellMar>
    </w:tblPr>
  </w:style>
  <w:style w:type="table" w:styleId="af0" w:customStyle="1">
    <w:basedOn w:val="TableNormalff4"/>
    <w:tblPr>
      <w:tblStyleRowBandSize w:val="1"/>
      <w:tblStyleColBandSize w:val="1"/>
      <w:tblCellMar>
        <w:left w:w="115.0" w:type="dxa"/>
        <w:right w:w="115.0" w:type="dxa"/>
      </w:tblCellMar>
    </w:tblPr>
  </w:style>
  <w:style w:type="table" w:styleId="af1" w:customStyle="1">
    <w:basedOn w:val="TableNormalff4"/>
    <w:tblPr>
      <w:tblStyleRowBandSize w:val="1"/>
      <w:tblStyleColBandSize w:val="1"/>
      <w:tblCellMar>
        <w:left w:w="115.0" w:type="dxa"/>
        <w:right w:w="115.0" w:type="dxa"/>
      </w:tblCellMar>
    </w:tblPr>
  </w:style>
  <w:style w:type="table" w:styleId="af2" w:customStyle="1">
    <w:basedOn w:val="TableNormalff4"/>
    <w:tblPr>
      <w:tblStyleRowBandSize w:val="1"/>
      <w:tblStyleColBandSize w:val="1"/>
      <w:tblCellMar>
        <w:left w:w="115.0" w:type="dxa"/>
        <w:right w:w="115.0" w:type="dxa"/>
      </w:tblCellMar>
    </w:tblPr>
  </w:style>
  <w:style w:type="paragraph" w:styleId="msonormal0" w:customStyle="1">
    <w:name w:val="msonormal"/>
    <w:basedOn w:val="Normal"/>
    <w:rsid w:val="00DC2490"/>
    <w:pPr>
      <w:spacing w:after="100" w:afterAutospacing="1" w:before="100" w:beforeAutospacing="1"/>
    </w:pPr>
  </w:style>
  <w:style w:type="table" w:styleId="af3" w:customStyle="1">
    <w:basedOn w:val="TableNormalff3"/>
    <w:tblPr>
      <w:tblStyleRowBandSize w:val="1"/>
      <w:tblStyleColBandSize w:val="1"/>
      <w:tblCellMar>
        <w:top w:w="15.0" w:type="dxa"/>
        <w:left w:w="15.0" w:type="dxa"/>
        <w:bottom w:w="15.0" w:type="dxa"/>
        <w:right w:w="15.0" w:type="dxa"/>
      </w:tblCellMar>
    </w:tblPr>
  </w:style>
  <w:style w:type="table" w:styleId="af4" w:customStyle="1">
    <w:basedOn w:val="TableNormalff3"/>
    <w:tblPr>
      <w:tblStyleRowBandSize w:val="1"/>
      <w:tblStyleColBandSize w:val="1"/>
      <w:tblCellMar>
        <w:top w:w="15.0" w:type="dxa"/>
        <w:left w:w="15.0" w:type="dxa"/>
        <w:bottom w:w="15.0" w:type="dxa"/>
        <w:right w:w="15.0" w:type="dxa"/>
      </w:tblCellMar>
    </w:tblPr>
  </w:style>
  <w:style w:type="table" w:styleId="af5" w:customStyle="1">
    <w:basedOn w:val="TableNormalff3"/>
    <w:tblPr>
      <w:tblStyleRowBandSize w:val="1"/>
      <w:tblStyleColBandSize w:val="1"/>
      <w:tblCellMar>
        <w:top w:w="15.0" w:type="dxa"/>
        <w:left w:w="15.0" w:type="dxa"/>
        <w:bottom w:w="15.0" w:type="dxa"/>
        <w:right w:w="15.0" w:type="dxa"/>
      </w:tblCellMar>
    </w:tblPr>
  </w:style>
  <w:style w:type="numbering" w:styleId="Sinlista4" w:customStyle="1">
    <w:name w:val="Sin lista4"/>
    <w:next w:val="Sinlista"/>
    <w:uiPriority w:val="99"/>
    <w:semiHidden w:val="1"/>
    <w:unhideWhenUsed w:val="1"/>
    <w:rsid w:val="00412314"/>
  </w:style>
  <w:style w:type="table" w:styleId="TableNormal40" w:customStyle="1">
    <w:name w:val="Table Normal4"/>
    <w:rsid w:val="00412314"/>
    <w:rPr>
      <w:sz w:val="20"/>
      <w:szCs w:val="20"/>
    </w:rPr>
    <w:tblPr>
      <w:tblCellMar>
        <w:top w:w="0.0" w:type="dxa"/>
        <w:left w:w="0.0" w:type="dxa"/>
        <w:bottom w:w="0.0" w:type="dxa"/>
        <w:right w:w="0.0" w:type="dxa"/>
      </w:tblCellMar>
    </w:tblPr>
  </w:style>
  <w:style w:type="table" w:styleId="af6" w:customStyle="1">
    <w:basedOn w:val="TableNormalff1"/>
    <w:tblPr>
      <w:tblStyleRowBandSize w:val="1"/>
      <w:tblStyleColBandSize w:val="1"/>
      <w:tblCellMar>
        <w:left w:w="115.0" w:type="dxa"/>
        <w:right w:w="115.0" w:type="dxa"/>
      </w:tblCellMar>
    </w:tblPr>
  </w:style>
  <w:style w:type="table" w:styleId="af7" w:customStyle="1">
    <w:basedOn w:val="TableNormalff1"/>
    <w:tblPr>
      <w:tblStyleRowBandSize w:val="1"/>
      <w:tblStyleColBandSize w:val="1"/>
      <w:tblCellMar>
        <w:left w:w="115.0" w:type="dxa"/>
        <w:right w:w="115.0" w:type="dxa"/>
      </w:tblCellMar>
    </w:tblPr>
  </w:style>
  <w:style w:type="table" w:styleId="af8" w:customStyle="1">
    <w:basedOn w:val="TableNormalff0"/>
    <w:tblPr>
      <w:tblStyleRowBandSize w:val="1"/>
      <w:tblStyleColBandSize w:val="1"/>
      <w:tblCellMar>
        <w:left w:w="115.0" w:type="dxa"/>
        <w:right w:w="115.0" w:type="dxa"/>
      </w:tblCellMar>
    </w:tblPr>
  </w:style>
  <w:style w:type="table" w:styleId="af9" w:customStyle="1">
    <w:basedOn w:val="TableNormalff0"/>
    <w:tblPr>
      <w:tblStyleRowBandSize w:val="1"/>
      <w:tblStyleColBandSize w:val="1"/>
      <w:tblCellMar>
        <w:left w:w="115.0" w:type="dxa"/>
        <w:right w:w="115.0" w:type="dxa"/>
      </w:tblCellMar>
    </w:tblPr>
  </w:style>
  <w:style w:type="numbering" w:styleId="Sinlista5" w:customStyle="1">
    <w:name w:val="Sin lista5"/>
    <w:next w:val="Sinlista"/>
    <w:uiPriority w:val="99"/>
    <w:semiHidden w:val="1"/>
    <w:unhideWhenUsed w:val="1"/>
    <w:rsid w:val="008D028A"/>
  </w:style>
  <w:style w:type="table" w:styleId="TableNormal50" w:customStyle="1">
    <w:name w:val="Table Normal5"/>
    <w:rsid w:val="008D028A"/>
    <w:rPr>
      <w:sz w:val="20"/>
      <w:szCs w:val="20"/>
    </w:rPr>
    <w:tblPr>
      <w:tblCellMar>
        <w:top w:w="0.0" w:type="dxa"/>
        <w:left w:w="0.0" w:type="dxa"/>
        <w:bottom w:w="0.0" w:type="dxa"/>
        <w:right w:w="0.0" w:type="dxa"/>
      </w:tblCellMar>
    </w:tblPr>
  </w:style>
  <w:style w:type="table" w:styleId="afa" w:customStyle="1">
    <w:basedOn w:val="TableNormalff"/>
    <w:tblPr>
      <w:tblStyleRowBandSize w:val="1"/>
      <w:tblStyleColBandSize w:val="1"/>
      <w:tblCellMar>
        <w:left w:w="115.0" w:type="dxa"/>
        <w:right w:w="115.0" w:type="dxa"/>
      </w:tblCellMar>
    </w:tblPr>
  </w:style>
  <w:style w:type="table" w:styleId="afb" w:customStyle="1">
    <w:basedOn w:val="TableNormalff"/>
    <w:tblPr>
      <w:tblStyleRowBandSize w:val="1"/>
      <w:tblStyleColBandSize w:val="1"/>
      <w:tblCellMar>
        <w:left w:w="115.0" w:type="dxa"/>
        <w:right w:w="115.0" w:type="dxa"/>
      </w:tblCellMar>
    </w:tblPr>
  </w:style>
  <w:style w:type="numbering" w:styleId="Sinlista6" w:customStyle="1">
    <w:name w:val="Sin lista6"/>
    <w:next w:val="Sinlista"/>
    <w:uiPriority w:val="99"/>
    <w:semiHidden w:val="1"/>
    <w:unhideWhenUsed w:val="1"/>
    <w:rsid w:val="00F86369"/>
  </w:style>
  <w:style w:type="table" w:styleId="TableNormal60" w:customStyle="1">
    <w:name w:val="Table Normal6"/>
    <w:rsid w:val="00F86369"/>
    <w:rPr>
      <w:sz w:val="20"/>
      <w:szCs w:val="20"/>
    </w:rPr>
    <w:tblPr>
      <w:tblCellMar>
        <w:top w:w="0.0" w:type="dxa"/>
        <w:left w:w="0.0" w:type="dxa"/>
        <w:bottom w:w="0.0" w:type="dxa"/>
        <w:right w:w="0.0" w:type="dxa"/>
      </w:tblCellMar>
    </w:tblPr>
  </w:style>
  <w:style w:type="table" w:styleId="afc" w:customStyle="1">
    <w:basedOn w:val="TableNormalfe"/>
    <w:tblPr>
      <w:tblStyleRowBandSize w:val="1"/>
      <w:tblStyleColBandSize w:val="1"/>
      <w:tblCellMar>
        <w:top w:w="15.0" w:type="dxa"/>
        <w:left w:w="15.0" w:type="dxa"/>
        <w:bottom w:w="15.0" w:type="dxa"/>
        <w:right w:w="15.0" w:type="dxa"/>
      </w:tblCellMar>
    </w:tblPr>
  </w:style>
  <w:style w:type="table" w:styleId="afd" w:customStyle="1">
    <w:basedOn w:val="TableNormalfe"/>
    <w:tblPr>
      <w:tblStyleRowBandSize w:val="1"/>
      <w:tblStyleColBandSize w:val="1"/>
      <w:tblCellMar>
        <w:left w:w="115.0" w:type="dxa"/>
        <w:right w:w="115.0" w:type="dxa"/>
      </w:tblCellMar>
    </w:tblPr>
  </w:style>
  <w:style w:type="table" w:styleId="afe" w:customStyle="1">
    <w:basedOn w:val="TableNormalfe"/>
    <w:tblPr>
      <w:tblStyleRowBandSize w:val="1"/>
      <w:tblStyleColBandSize w:val="1"/>
      <w:tblCellMar>
        <w:left w:w="115.0" w:type="dxa"/>
        <w:right w:w="115.0" w:type="dxa"/>
      </w:tblCellMar>
    </w:tblPr>
  </w:style>
  <w:style w:type="table" w:styleId="aff" w:customStyle="1">
    <w:basedOn w:val="TableNormalfd"/>
    <w:tblPr>
      <w:tblStyleRowBandSize w:val="1"/>
      <w:tblStyleColBandSize w:val="1"/>
      <w:tblCellMar>
        <w:top w:w="15.0" w:type="dxa"/>
        <w:left w:w="15.0" w:type="dxa"/>
        <w:bottom w:w="15.0" w:type="dxa"/>
        <w:right w:w="15.0" w:type="dxa"/>
      </w:tblCellMar>
    </w:tblPr>
  </w:style>
  <w:style w:type="table" w:styleId="aff0" w:customStyle="1">
    <w:basedOn w:val="TableNormalfd"/>
    <w:tblPr>
      <w:tblStyleRowBandSize w:val="1"/>
      <w:tblStyleColBandSize w:val="1"/>
      <w:tblCellMar>
        <w:top w:w="15.0" w:type="dxa"/>
        <w:left w:w="15.0" w:type="dxa"/>
        <w:bottom w:w="15.0" w:type="dxa"/>
        <w:right w:w="15.0" w:type="dxa"/>
      </w:tblCellMar>
    </w:tblPr>
  </w:style>
  <w:style w:type="table" w:styleId="aff1" w:customStyle="1">
    <w:basedOn w:val="TableNormalfd"/>
    <w:tblPr>
      <w:tblStyleRowBandSize w:val="1"/>
      <w:tblStyleColBandSize w:val="1"/>
      <w:tblCellMar>
        <w:top w:w="15.0" w:type="dxa"/>
        <w:left w:w="15.0" w:type="dxa"/>
        <w:bottom w:w="15.0" w:type="dxa"/>
        <w:right w:w="15.0" w:type="dxa"/>
      </w:tblCellMar>
    </w:tblPr>
  </w:style>
  <w:style w:type="table" w:styleId="aff2" w:customStyle="1">
    <w:basedOn w:val="TableNormalfd"/>
    <w:tblPr>
      <w:tblStyleRowBandSize w:val="1"/>
      <w:tblStyleColBandSize w:val="1"/>
      <w:tblCellMar>
        <w:top w:w="15.0" w:type="dxa"/>
        <w:left w:w="15.0" w:type="dxa"/>
        <w:bottom w:w="15.0" w:type="dxa"/>
        <w:right w:w="15.0" w:type="dxa"/>
      </w:tblCellMar>
    </w:tblPr>
  </w:style>
  <w:style w:type="table" w:styleId="aff3" w:customStyle="1">
    <w:basedOn w:val="TableNormalfd"/>
    <w:tblPr>
      <w:tblStyleRowBandSize w:val="1"/>
      <w:tblStyleColBandSize w:val="1"/>
      <w:tblCellMar>
        <w:top w:w="15.0" w:type="dxa"/>
        <w:left w:w="15.0" w:type="dxa"/>
        <w:bottom w:w="15.0" w:type="dxa"/>
        <w:right w:w="15.0" w:type="dxa"/>
      </w:tblCellMar>
    </w:tblPr>
  </w:style>
  <w:style w:type="table" w:styleId="aff4" w:customStyle="1">
    <w:basedOn w:val="TableNormalfd"/>
    <w:tblPr>
      <w:tblStyleRowBandSize w:val="1"/>
      <w:tblStyleColBandSize w:val="1"/>
      <w:tblCellMar>
        <w:top w:w="15.0" w:type="dxa"/>
        <w:left w:w="15.0" w:type="dxa"/>
        <w:bottom w:w="15.0" w:type="dxa"/>
        <w:right w:w="15.0" w:type="dxa"/>
      </w:tblCellMar>
    </w:tblPr>
  </w:style>
  <w:style w:type="table" w:styleId="aff5" w:customStyle="1">
    <w:basedOn w:val="TableNormalfb"/>
    <w:tblPr>
      <w:tblStyleRowBandSize w:val="1"/>
      <w:tblStyleColBandSize w:val="1"/>
      <w:tblCellMar>
        <w:top w:w="15.0" w:type="dxa"/>
        <w:left w:w="15.0" w:type="dxa"/>
        <w:bottom w:w="15.0" w:type="dxa"/>
        <w:right w:w="15.0" w:type="dxa"/>
      </w:tblCellMar>
    </w:tblPr>
  </w:style>
  <w:style w:type="table" w:styleId="aff6" w:customStyle="1">
    <w:basedOn w:val="TableNormalfb"/>
    <w:tblPr>
      <w:tblStyleRowBandSize w:val="1"/>
      <w:tblStyleColBandSize w:val="1"/>
      <w:tblCellMar>
        <w:top w:w="15.0" w:type="dxa"/>
        <w:left w:w="15.0" w:type="dxa"/>
        <w:bottom w:w="15.0" w:type="dxa"/>
        <w:right w:w="15.0" w:type="dxa"/>
      </w:tblCellMar>
    </w:tblPr>
  </w:style>
  <w:style w:type="table" w:styleId="aff7" w:customStyle="1">
    <w:basedOn w:val="TableNormalfb"/>
    <w:tblPr>
      <w:tblStyleRowBandSize w:val="1"/>
      <w:tblStyleColBandSize w:val="1"/>
      <w:tblCellMar>
        <w:top w:w="15.0" w:type="dxa"/>
        <w:left w:w="15.0" w:type="dxa"/>
        <w:bottom w:w="15.0" w:type="dxa"/>
        <w:right w:w="15.0" w:type="dxa"/>
      </w:tblCellMar>
    </w:tblPr>
  </w:style>
  <w:style w:type="numbering" w:styleId="Sinlista7" w:customStyle="1">
    <w:name w:val="Sin lista7"/>
    <w:next w:val="Sinlista"/>
    <w:uiPriority w:val="99"/>
    <w:semiHidden w:val="1"/>
    <w:unhideWhenUsed w:val="1"/>
    <w:rsid w:val="003353EA"/>
  </w:style>
  <w:style w:type="table" w:styleId="TableNormal70" w:customStyle="1">
    <w:name w:val="Table Normal7"/>
    <w:rsid w:val="003353EA"/>
    <w:rPr>
      <w:sz w:val="20"/>
      <w:szCs w:val="20"/>
    </w:rPr>
    <w:tblPr>
      <w:tblCellMar>
        <w:top w:w="0.0" w:type="dxa"/>
        <w:left w:w="0.0" w:type="dxa"/>
        <w:bottom w:w="0.0" w:type="dxa"/>
        <w:right w:w="0.0" w:type="dxa"/>
      </w:tblCellMar>
    </w:tblPr>
  </w:style>
  <w:style w:type="table" w:styleId="aff8" w:customStyle="1">
    <w:basedOn w:val="TableNormalf9"/>
    <w:tblPr>
      <w:tblStyleRowBandSize w:val="1"/>
      <w:tblStyleColBandSize w:val="1"/>
      <w:tblCellMar>
        <w:left w:w="115.0" w:type="dxa"/>
        <w:right w:w="115.0" w:type="dxa"/>
      </w:tblCellMar>
    </w:tblPr>
  </w:style>
  <w:style w:type="table" w:styleId="aff9" w:customStyle="1">
    <w:basedOn w:val="TableNormalf9"/>
    <w:tblPr>
      <w:tblStyleRowBandSize w:val="1"/>
      <w:tblStyleColBandSize w:val="1"/>
      <w:tblCellMar>
        <w:left w:w="115.0" w:type="dxa"/>
        <w:right w:w="115.0" w:type="dxa"/>
      </w:tblCellMar>
    </w:tblPr>
  </w:style>
  <w:style w:type="table" w:styleId="affa" w:customStyle="1">
    <w:basedOn w:val="TableNormalf9"/>
    <w:tblPr>
      <w:tblStyleRowBandSize w:val="1"/>
      <w:tblStyleColBandSize w:val="1"/>
      <w:tblCellMar>
        <w:left w:w="115.0" w:type="dxa"/>
        <w:right w:w="115.0" w:type="dxa"/>
      </w:tblCellMar>
    </w:tblPr>
  </w:style>
  <w:style w:type="numbering" w:styleId="Sinlista8" w:customStyle="1">
    <w:name w:val="Sin lista8"/>
    <w:next w:val="Sinlista"/>
    <w:uiPriority w:val="99"/>
    <w:semiHidden w:val="1"/>
    <w:unhideWhenUsed w:val="1"/>
    <w:rsid w:val="00583E51"/>
  </w:style>
  <w:style w:type="table" w:styleId="TableNormal80" w:customStyle="1">
    <w:name w:val="Table Normal8"/>
    <w:rsid w:val="00583E51"/>
    <w:rPr>
      <w:sz w:val="20"/>
      <w:szCs w:val="20"/>
    </w:rPr>
    <w:tblPr>
      <w:tblCellMar>
        <w:top w:w="0.0" w:type="dxa"/>
        <w:left w:w="0.0" w:type="dxa"/>
        <w:bottom w:w="0.0" w:type="dxa"/>
        <w:right w:w="0.0" w:type="dxa"/>
      </w:tblCellMar>
    </w:tblPr>
  </w:style>
  <w:style w:type="table" w:styleId="affb" w:customStyle="1">
    <w:basedOn w:val="TableNormalf8"/>
    <w:tblPr>
      <w:tblStyleRowBandSize w:val="1"/>
      <w:tblStyleColBandSize w:val="1"/>
    </w:tblPr>
  </w:style>
  <w:style w:type="table" w:styleId="affc" w:customStyle="1">
    <w:basedOn w:val="TableNormalf8"/>
    <w:tblPr>
      <w:tblStyleRowBandSize w:val="1"/>
      <w:tblStyleColBandSize w:val="1"/>
      <w:tblCellMar>
        <w:left w:w="115.0" w:type="dxa"/>
        <w:right w:w="115.0" w:type="dxa"/>
      </w:tblCellMar>
    </w:tblPr>
  </w:style>
  <w:style w:type="table" w:styleId="affd" w:customStyle="1">
    <w:basedOn w:val="TableNormalf8"/>
    <w:tblPr>
      <w:tblStyleRowBandSize w:val="1"/>
      <w:tblStyleColBandSize w:val="1"/>
      <w:tblCellMar>
        <w:left w:w="115.0" w:type="dxa"/>
        <w:right w:w="115.0" w:type="dxa"/>
      </w:tblCellMar>
    </w:tblPr>
  </w:style>
  <w:style w:type="table" w:styleId="affe" w:customStyle="1">
    <w:basedOn w:val="TableNormalf8"/>
    <w:tblPr>
      <w:tblStyleRowBandSize w:val="1"/>
      <w:tblStyleColBandSize w:val="1"/>
      <w:tblCellMar>
        <w:left w:w="115.0" w:type="dxa"/>
        <w:right w:w="115.0" w:type="dxa"/>
      </w:tblCellMar>
    </w:tblPr>
  </w:style>
  <w:style w:type="table" w:styleId="afff" w:customStyle="1">
    <w:basedOn w:val="TableNormalf7"/>
    <w:tblPr>
      <w:tblStyleRowBandSize w:val="1"/>
      <w:tblStyleColBandSize w:val="1"/>
    </w:tblPr>
  </w:style>
  <w:style w:type="table" w:styleId="afff0" w:customStyle="1">
    <w:basedOn w:val="TableNormalf7"/>
    <w:tblPr>
      <w:tblStyleRowBandSize w:val="1"/>
      <w:tblStyleColBandSize w:val="1"/>
      <w:tblCellMar>
        <w:left w:w="115.0" w:type="dxa"/>
        <w:right w:w="115.0" w:type="dxa"/>
      </w:tblCellMar>
    </w:tblPr>
  </w:style>
  <w:style w:type="table" w:styleId="afff1" w:customStyle="1">
    <w:basedOn w:val="TableNormalf7"/>
    <w:tblPr>
      <w:tblStyleRowBandSize w:val="1"/>
      <w:tblStyleColBandSize w:val="1"/>
      <w:tblCellMar>
        <w:left w:w="115.0" w:type="dxa"/>
        <w:right w:w="115.0" w:type="dxa"/>
      </w:tblCellMar>
    </w:tblPr>
  </w:style>
  <w:style w:type="table" w:styleId="afff2" w:customStyle="1">
    <w:basedOn w:val="TableNormalf7"/>
    <w:tblPr>
      <w:tblStyleRowBandSize w:val="1"/>
      <w:tblStyleColBandSize w:val="1"/>
      <w:tblCellMar>
        <w:left w:w="115.0" w:type="dxa"/>
        <w:right w:w="115.0" w:type="dxa"/>
      </w:tblCellMar>
    </w:tblPr>
  </w:style>
  <w:style w:type="table" w:styleId="Tablaconcuadrcula">
    <w:name w:val="Table Grid"/>
    <w:basedOn w:val="Tablanormal"/>
    <w:uiPriority w:val="39"/>
    <w:rsid w:val="00AA329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inlista9" w:customStyle="1">
    <w:name w:val="Sin lista9"/>
    <w:next w:val="Sinlista"/>
    <w:uiPriority w:val="99"/>
    <w:semiHidden w:val="1"/>
    <w:unhideWhenUsed w:val="1"/>
    <w:rsid w:val="00212C22"/>
  </w:style>
  <w:style w:type="table" w:styleId="TableNormal90" w:customStyle="1">
    <w:name w:val="Table Normal9"/>
    <w:rsid w:val="00212C22"/>
    <w:rPr>
      <w:sz w:val="20"/>
      <w:szCs w:val="20"/>
    </w:rPr>
    <w:tblPr>
      <w:tblCellMar>
        <w:top w:w="0.0" w:type="dxa"/>
        <w:left w:w="0.0" w:type="dxa"/>
        <w:bottom w:w="0.0" w:type="dxa"/>
        <w:right w:w="0.0" w:type="dxa"/>
      </w:tblCellMar>
    </w:tblPr>
  </w:style>
  <w:style w:type="table" w:styleId="afff3" w:customStyle="1">
    <w:basedOn w:val="TableNormalf6"/>
    <w:tblPr>
      <w:tblStyleRowBandSize w:val="1"/>
      <w:tblStyleColBandSize w:val="1"/>
      <w:tblCellMar>
        <w:top w:w="15.0" w:type="dxa"/>
        <w:left w:w="15.0" w:type="dxa"/>
        <w:bottom w:w="15.0" w:type="dxa"/>
        <w:right w:w="15.0" w:type="dxa"/>
      </w:tblCellMar>
    </w:tblPr>
  </w:style>
  <w:style w:type="table" w:styleId="afff4" w:customStyle="1">
    <w:basedOn w:val="TableNormalf6"/>
    <w:tblPr>
      <w:tblStyleRowBandSize w:val="1"/>
      <w:tblStyleColBandSize w:val="1"/>
      <w:tblCellMar>
        <w:top w:w="100.0" w:type="dxa"/>
        <w:left w:w="100.0" w:type="dxa"/>
        <w:bottom w:w="100.0" w:type="dxa"/>
        <w:right w:w="100.0" w:type="dxa"/>
      </w:tblCellMar>
    </w:tblPr>
  </w:style>
  <w:style w:type="table" w:styleId="afff5" w:customStyle="1">
    <w:basedOn w:val="TableNormalf6"/>
    <w:tblPr>
      <w:tblStyleRowBandSize w:val="1"/>
      <w:tblStyleColBandSize w:val="1"/>
      <w:tblCellMar>
        <w:left w:w="115.0" w:type="dxa"/>
        <w:right w:w="115.0" w:type="dxa"/>
      </w:tblCellMar>
    </w:tblPr>
  </w:style>
  <w:style w:type="table" w:styleId="afff6" w:customStyle="1">
    <w:basedOn w:val="TableNormalf6"/>
    <w:tblPr>
      <w:tblStyleRowBandSize w:val="1"/>
      <w:tblStyleColBandSize w:val="1"/>
      <w:tblCellMar>
        <w:left w:w="115.0" w:type="dxa"/>
        <w:right w:w="115.0" w:type="dxa"/>
      </w:tblCellMar>
    </w:tblPr>
  </w:style>
  <w:style w:type="table" w:styleId="afff7" w:customStyle="1">
    <w:basedOn w:val="TableNormalf6"/>
    <w:tblPr>
      <w:tblStyleRowBandSize w:val="1"/>
      <w:tblStyleColBandSize w:val="1"/>
      <w:tblCellMar>
        <w:left w:w="115.0" w:type="dxa"/>
        <w:right w:w="115.0" w:type="dxa"/>
      </w:tblCellMar>
    </w:tblPr>
  </w:style>
  <w:style w:type="table" w:styleId="afff8" w:customStyle="1">
    <w:basedOn w:val="TableNormalf6"/>
    <w:tblPr>
      <w:tblStyleRowBandSize w:val="1"/>
      <w:tblStyleColBandSize w:val="1"/>
      <w:tblCellMar>
        <w:top w:w="100.0" w:type="dxa"/>
        <w:left w:w="100.0" w:type="dxa"/>
        <w:bottom w:w="100.0" w:type="dxa"/>
        <w:right w:w="100.0" w:type="dxa"/>
      </w:tblCellMar>
    </w:tblPr>
  </w:style>
  <w:style w:type="table" w:styleId="afff9" w:customStyle="1">
    <w:basedOn w:val="TableNormalf6"/>
    <w:tblPr>
      <w:tblStyleRowBandSize w:val="1"/>
      <w:tblStyleColBandSize w:val="1"/>
      <w:tblCellMar>
        <w:top w:w="100.0" w:type="dxa"/>
        <w:left w:w="100.0" w:type="dxa"/>
        <w:bottom w:w="100.0" w:type="dxa"/>
        <w:right w:w="100.0" w:type="dxa"/>
      </w:tblCellMar>
    </w:tblPr>
  </w:style>
  <w:style w:type="table" w:styleId="afffa" w:customStyle="1">
    <w:basedOn w:val="TableNormalf6"/>
    <w:tblPr>
      <w:tblStyleRowBandSize w:val="1"/>
      <w:tblStyleColBandSize w:val="1"/>
      <w:tblCellMar>
        <w:top w:w="100.0" w:type="dxa"/>
        <w:left w:w="100.0" w:type="dxa"/>
        <w:bottom w:w="100.0" w:type="dxa"/>
        <w:right w:w="100.0" w:type="dxa"/>
      </w:tblCellMar>
    </w:tblPr>
  </w:style>
  <w:style w:type="table" w:styleId="afffb" w:customStyle="1">
    <w:basedOn w:val="TableNormalf6"/>
    <w:tblPr>
      <w:tblStyleRowBandSize w:val="1"/>
      <w:tblStyleColBandSize w:val="1"/>
      <w:tblCellMar>
        <w:top w:w="100.0" w:type="dxa"/>
        <w:left w:w="100.0" w:type="dxa"/>
        <w:bottom w:w="100.0" w:type="dxa"/>
        <w:right w:w="100.0" w:type="dxa"/>
      </w:tblCellMar>
    </w:tblPr>
  </w:style>
  <w:style w:type="table" w:styleId="afffc" w:customStyle="1">
    <w:basedOn w:val="TableNormalf4"/>
    <w:tblPr>
      <w:tblStyleRowBandSize w:val="1"/>
      <w:tblStyleColBandSize w:val="1"/>
      <w:tblCellMar>
        <w:top w:w="100.0" w:type="dxa"/>
        <w:left w:w="100.0" w:type="dxa"/>
        <w:bottom w:w="100.0" w:type="dxa"/>
        <w:right w:w="100.0" w:type="dxa"/>
      </w:tblCellMar>
    </w:tblPr>
  </w:style>
  <w:style w:type="table" w:styleId="afffd" w:customStyle="1">
    <w:basedOn w:val="TableNormalf4"/>
    <w:tblPr>
      <w:tblStyleRowBandSize w:val="1"/>
      <w:tblStyleColBandSize w:val="1"/>
      <w:tblCellMar>
        <w:top w:w="100.0" w:type="dxa"/>
        <w:left w:w="100.0" w:type="dxa"/>
        <w:bottom w:w="100.0" w:type="dxa"/>
        <w:right w:w="100.0" w:type="dxa"/>
      </w:tblCellMar>
    </w:tblPr>
  </w:style>
  <w:style w:type="table" w:styleId="afffe" w:customStyle="1">
    <w:basedOn w:val="TableNormalf4"/>
    <w:tblPr>
      <w:tblStyleRowBandSize w:val="1"/>
      <w:tblStyleColBandSize w:val="1"/>
      <w:tblCellMar>
        <w:top w:w="100.0" w:type="dxa"/>
        <w:left w:w="100.0" w:type="dxa"/>
        <w:bottom w:w="100.0" w:type="dxa"/>
        <w:right w:w="100.0" w:type="dxa"/>
      </w:tblCellMar>
    </w:tblPr>
  </w:style>
  <w:style w:type="table" w:styleId="affff" w:customStyle="1">
    <w:basedOn w:val="TableNormalf4"/>
    <w:tblPr>
      <w:tblStyleRowBandSize w:val="1"/>
      <w:tblStyleColBandSize w:val="1"/>
      <w:tblCellMar>
        <w:top w:w="100.0" w:type="dxa"/>
        <w:left w:w="100.0" w:type="dxa"/>
        <w:bottom w:w="100.0" w:type="dxa"/>
        <w:right w:w="100.0" w:type="dxa"/>
      </w:tblCellMar>
    </w:tblPr>
  </w:style>
  <w:style w:type="table" w:styleId="affff0" w:customStyle="1">
    <w:basedOn w:val="TableNormalf4"/>
    <w:tblPr>
      <w:tblStyleRowBandSize w:val="1"/>
      <w:tblStyleColBandSize w:val="1"/>
      <w:tblCellMar>
        <w:top w:w="100.0" w:type="dxa"/>
        <w:left w:w="100.0" w:type="dxa"/>
        <w:bottom w:w="100.0" w:type="dxa"/>
        <w:right w:w="100.0" w:type="dxa"/>
      </w:tblCellMar>
    </w:tblPr>
  </w:style>
  <w:style w:type="table" w:styleId="affff1" w:customStyle="1">
    <w:basedOn w:val="TableNormalf4"/>
    <w:tblPr>
      <w:tblStyleRowBandSize w:val="1"/>
      <w:tblStyleColBandSize w:val="1"/>
      <w:tblCellMar>
        <w:top w:w="100.0" w:type="dxa"/>
        <w:left w:w="100.0" w:type="dxa"/>
        <w:bottom w:w="100.0" w:type="dxa"/>
        <w:right w:w="100.0" w:type="dxa"/>
      </w:tblCellMar>
    </w:tblPr>
  </w:style>
  <w:style w:type="numbering" w:styleId="Sinlista10" w:customStyle="1">
    <w:name w:val="Sin lista10"/>
    <w:next w:val="Sinlista"/>
    <w:uiPriority w:val="99"/>
    <w:semiHidden w:val="1"/>
    <w:unhideWhenUsed w:val="1"/>
    <w:rsid w:val="00EE1147"/>
  </w:style>
  <w:style w:type="table" w:styleId="TableNormal100" w:customStyle="1">
    <w:name w:val="Table Normal10"/>
    <w:rsid w:val="00EE1147"/>
    <w:pPr>
      <w:spacing w:line="360" w:lineRule="auto"/>
      <w:jc w:val="both"/>
    </w:pPr>
    <w:rPr>
      <w:rFonts w:ascii="Arial" w:cs="Arial" w:eastAsia="Arial" w:hAnsi="Arial"/>
      <w:sz w:val="12"/>
      <w:szCs w:val="12"/>
    </w:rPr>
    <w:tblPr>
      <w:tblCellMar>
        <w:top w:w="0.0" w:type="dxa"/>
        <w:left w:w="0.0" w:type="dxa"/>
        <w:bottom w:w="0.0" w:type="dxa"/>
        <w:right w:w="0.0" w:type="dxa"/>
      </w:tblCellMar>
    </w:tblPr>
  </w:style>
  <w:style w:type="table" w:styleId="affff2" w:customStyle="1">
    <w:basedOn w:val="TableNormalf2"/>
    <w:tblPr>
      <w:tblStyleRowBandSize w:val="1"/>
      <w:tblStyleColBandSize w:val="1"/>
      <w:tblCellMar>
        <w:left w:w="115.0" w:type="dxa"/>
        <w:right w:w="115.0" w:type="dxa"/>
      </w:tblCellMar>
    </w:tblPr>
  </w:style>
  <w:style w:type="table" w:styleId="affff3" w:customStyle="1">
    <w:basedOn w:val="TableNormalf2"/>
    <w:tblPr>
      <w:tblStyleRowBandSize w:val="1"/>
      <w:tblStyleColBandSize w:val="1"/>
      <w:tblCellMar>
        <w:left w:w="115.0" w:type="dxa"/>
        <w:right w:w="115.0" w:type="dxa"/>
      </w:tblCellMar>
    </w:tblPr>
  </w:style>
  <w:style w:type="table" w:styleId="affff4" w:customStyle="1">
    <w:basedOn w:val="TableNormalf2"/>
    <w:tblPr>
      <w:tblStyleRowBandSize w:val="1"/>
      <w:tblStyleColBandSize w:val="1"/>
      <w:tblCellMar>
        <w:left w:w="115.0" w:type="dxa"/>
        <w:right w:w="115.0" w:type="dxa"/>
      </w:tblCellMar>
    </w:tblPr>
  </w:style>
  <w:style w:type="table" w:styleId="affff5" w:customStyle="1">
    <w:basedOn w:val="TableNormalf0"/>
    <w:tblPr>
      <w:tblStyleRowBandSize w:val="1"/>
      <w:tblStyleColBandSize w:val="1"/>
      <w:tblCellMar>
        <w:top w:w="15.0" w:type="dxa"/>
        <w:left w:w="15.0" w:type="dxa"/>
        <w:bottom w:w="15.0" w:type="dxa"/>
        <w:right w:w="15.0" w:type="dxa"/>
      </w:tblCellMar>
    </w:tblPr>
  </w:style>
  <w:style w:type="table" w:styleId="affff6" w:customStyle="1">
    <w:basedOn w:val="TableNormalf0"/>
    <w:tblPr>
      <w:tblStyleRowBandSize w:val="1"/>
      <w:tblStyleColBandSize w:val="1"/>
      <w:tblCellMar>
        <w:top w:w="15.0" w:type="dxa"/>
        <w:left w:w="15.0" w:type="dxa"/>
        <w:bottom w:w="15.0" w:type="dxa"/>
        <w:right w:w="15.0" w:type="dxa"/>
      </w:tblCellMar>
    </w:tblPr>
  </w:style>
  <w:style w:type="table" w:styleId="affff7" w:customStyle="1">
    <w:basedOn w:val="TableNormalf0"/>
    <w:tblPr>
      <w:tblStyleRowBandSize w:val="1"/>
      <w:tblStyleColBandSize w:val="1"/>
      <w:tblCellMar>
        <w:top w:w="15.0" w:type="dxa"/>
        <w:left w:w="15.0" w:type="dxa"/>
        <w:bottom w:w="15.0" w:type="dxa"/>
        <w:right w:w="15.0" w:type="dxa"/>
      </w:tblCellMar>
    </w:tblPr>
  </w:style>
  <w:style w:type="table" w:styleId="affff8" w:customStyle="1">
    <w:basedOn w:val="TableNormalf0"/>
    <w:tblPr>
      <w:tblStyleRowBandSize w:val="1"/>
      <w:tblStyleColBandSize w:val="1"/>
      <w:tblCellMar>
        <w:top w:w="15.0" w:type="dxa"/>
        <w:left w:w="15.0" w:type="dxa"/>
        <w:bottom w:w="15.0" w:type="dxa"/>
        <w:right w:w="15.0" w:type="dxa"/>
      </w:tblCellMar>
    </w:tblPr>
  </w:style>
  <w:style w:type="table" w:styleId="affff9" w:customStyle="1">
    <w:basedOn w:val="TableNormalf"/>
    <w:tblPr>
      <w:tblStyleRowBandSize w:val="1"/>
      <w:tblStyleColBandSize w:val="1"/>
      <w:tblCellMar>
        <w:top w:w="100.0" w:type="dxa"/>
        <w:left w:w="100.0" w:type="dxa"/>
        <w:bottom w:w="100.0" w:type="dxa"/>
        <w:right w:w="100.0" w:type="dxa"/>
      </w:tblCellMar>
    </w:tblPr>
  </w:style>
  <w:style w:type="table" w:styleId="affffa" w:customStyle="1">
    <w:basedOn w:val="TableNormalf"/>
    <w:tblPr>
      <w:tblStyleRowBandSize w:val="1"/>
      <w:tblStyleColBandSize w:val="1"/>
      <w:tblCellMar>
        <w:top w:w="15.0" w:type="dxa"/>
        <w:left w:w="15.0" w:type="dxa"/>
        <w:bottom w:w="15.0" w:type="dxa"/>
        <w:right w:w="15.0" w:type="dxa"/>
      </w:tblCellMar>
    </w:tblPr>
  </w:style>
  <w:style w:type="table" w:styleId="affffb" w:customStyle="1">
    <w:basedOn w:val="TableNormalf"/>
    <w:tblPr>
      <w:tblStyleRowBandSize w:val="1"/>
      <w:tblStyleColBandSize w:val="1"/>
      <w:tblCellMar>
        <w:top w:w="15.0" w:type="dxa"/>
        <w:left w:w="15.0" w:type="dxa"/>
        <w:bottom w:w="15.0" w:type="dxa"/>
        <w:right w:w="15.0" w:type="dxa"/>
      </w:tblCellMar>
    </w:tblPr>
  </w:style>
  <w:style w:type="table" w:styleId="affffc" w:customStyle="1">
    <w:basedOn w:val="TableNormalf"/>
    <w:tblPr>
      <w:tblStyleRowBandSize w:val="1"/>
      <w:tblStyleColBandSize w:val="1"/>
      <w:tblCellMar>
        <w:top w:w="15.0" w:type="dxa"/>
        <w:left w:w="15.0" w:type="dxa"/>
        <w:bottom w:w="15.0" w:type="dxa"/>
        <w:right w:w="15.0" w:type="dxa"/>
      </w:tblCellMar>
    </w:tblPr>
  </w:style>
  <w:style w:type="table" w:styleId="affffd" w:customStyle="1">
    <w:basedOn w:val="TableNormalf"/>
    <w:tblPr>
      <w:tblStyleRowBandSize w:val="1"/>
      <w:tblStyleColBandSize w:val="1"/>
      <w:tblCellMar>
        <w:top w:w="15.0" w:type="dxa"/>
        <w:left w:w="15.0" w:type="dxa"/>
        <w:bottom w:w="15.0" w:type="dxa"/>
        <w:right w:w="15.0" w:type="dxa"/>
      </w:tblCellMar>
    </w:tblPr>
  </w:style>
  <w:style w:type="table" w:styleId="affffe" w:customStyle="1">
    <w:basedOn w:val="TableNormale"/>
    <w:tblPr>
      <w:tblStyleRowBandSize w:val="1"/>
      <w:tblStyleColBandSize w:val="1"/>
      <w:tblCellMar>
        <w:top w:w="15.0" w:type="dxa"/>
        <w:left w:w="15.0" w:type="dxa"/>
        <w:bottom w:w="15.0" w:type="dxa"/>
        <w:right w:w="15.0" w:type="dxa"/>
      </w:tblCellMar>
    </w:tblPr>
  </w:style>
  <w:style w:type="table" w:styleId="afffff" w:customStyle="1">
    <w:basedOn w:val="TableNormale"/>
    <w:tblPr>
      <w:tblStyleRowBandSize w:val="1"/>
      <w:tblStyleColBandSize w:val="1"/>
      <w:tblCellMar>
        <w:top w:w="15.0" w:type="dxa"/>
        <w:left w:w="15.0" w:type="dxa"/>
        <w:bottom w:w="15.0" w:type="dxa"/>
        <w:right w:w="15.0" w:type="dxa"/>
      </w:tblCellMar>
    </w:tblPr>
  </w:style>
  <w:style w:type="table" w:styleId="afffff0" w:customStyle="1">
    <w:basedOn w:val="TableNormale"/>
    <w:tblPr>
      <w:tblStyleRowBandSize w:val="1"/>
      <w:tblStyleColBandSize w:val="1"/>
      <w:tblCellMar>
        <w:top w:w="15.0" w:type="dxa"/>
        <w:left w:w="15.0" w:type="dxa"/>
        <w:bottom w:w="15.0" w:type="dxa"/>
        <w:right w:w="15.0" w:type="dxa"/>
      </w:tblCellMar>
    </w:tblPr>
  </w:style>
  <w:style w:type="table" w:styleId="afffff1" w:customStyle="1">
    <w:basedOn w:val="TableNormale"/>
    <w:tblPr>
      <w:tblStyleRowBandSize w:val="1"/>
      <w:tblStyleColBandSize w:val="1"/>
      <w:tblCellMar>
        <w:top w:w="15.0" w:type="dxa"/>
        <w:left w:w="15.0" w:type="dxa"/>
        <w:bottom w:w="15.0" w:type="dxa"/>
        <w:right w:w="15.0" w:type="dxa"/>
      </w:tblCellMar>
    </w:tblPr>
  </w:style>
  <w:style w:type="table" w:styleId="afffff2" w:customStyle="1">
    <w:basedOn w:val="TableNormale"/>
    <w:tblPr>
      <w:tblStyleRowBandSize w:val="1"/>
      <w:tblStyleColBandSize w:val="1"/>
      <w:tblCellMar>
        <w:top w:w="15.0" w:type="dxa"/>
        <w:left w:w="15.0" w:type="dxa"/>
        <w:bottom w:w="15.0" w:type="dxa"/>
        <w:right w:w="15.0" w:type="dxa"/>
      </w:tblCellMar>
    </w:tblPr>
  </w:style>
  <w:style w:type="table" w:styleId="afffff3" w:customStyle="1">
    <w:basedOn w:val="TableNormale"/>
    <w:tblPr>
      <w:tblStyleRowBandSize w:val="1"/>
      <w:tblStyleColBandSize w:val="1"/>
      <w:tblCellMar>
        <w:top w:w="15.0" w:type="dxa"/>
        <w:left w:w="15.0" w:type="dxa"/>
        <w:bottom w:w="15.0" w:type="dxa"/>
        <w:right w:w="15.0" w:type="dxa"/>
      </w:tblCellMar>
    </w:tblPr>
  </w:style>
  <w:style w:type="table" w:styleId="afffff4" w:customStyle="1">
    <w:basedOn w:val="TableNormale"/>
    <w:tblPr>
      <w:tblStyleRowBandSize w:val="1"/>
      <w:tblStyleColBandSize w:val="1"/>
      <w:tblCellMar>
        <w:top w:w="15.0" w:type="dxa"/>
        <w:left w:w="15.0" w:type="dxa"/>
        <w:bottom w:w="15.0" w:type="dxa"/>
        <w:right w:w="15.0" w:type="dxa"/>
      </w:tblCellMar>
    </w:tblPr>
  </w:style>
  <w:style w:type="table" w:styleId="afffff5" w:customStyle="1">
    <w:basedOn w:val="TableNormale"/>
    <w:tblPr>
      <w:tblStyleRowBandSize w:val="1"/>
      <w:tblStyleColBandSize w:val="1"/>
      <w:tblCellMar>
        <w:top w:w="15.0" w:type="dxa"/>
        <w:left w:w="15.0" w:type="dxa"/>
        <w:bottom w:w="15.0" w:type="dxa"/>
        <w:right w:w="15.0" w:type="dxa"/>
      </w:tblCellMar>
    </w:tblPr>
  </w:style>
  <w:style w:type="table" w:styleId="afffff6" w:customStyle="1">
    <w:basedOn w:val="TableNormale"/>
    <w:tblPr>
      <w:tblStyleRowBandSize w:val="1"/>
      <w:tblStyleColBandSize w:val="1"/>
      <w:tblCellMar>
        <w:top w:w="15.0" w:type="dxa"/>
        <w:left w:w="15.0" w:type="dxa"/>
        <w:bottom w:w="15.0" w:type="dxa"/>
        <w:right w:w="15.0" w:type="dxa"/>
      </w:tblCellMar>
    </w:tblPr>
  </w:style>
  <w:style w:type="numbering" w:styleId="Sinlista11" w:customStyle="1">
    <w:name w:val="Sin lista11"/>
    <w:next w:val="Sinlista"/>
    <w:uiPriority w:val="99"/>
    <w:semiHidden w:val="1"/>
    <w:unhideWhenUsed w:val="1"/>
    <w:rsid w:val="00D64665"/>
  </w:style>
  <w:style w:type="table" w:styleId="TableNormal11" w:customStyle="1">
    <w:name w:val="TableNormal1"/>
    <w:rsid w:val="00D64665"/>
    <w:pPr>
      <w:spacing w:line="360" w:lineRule="auto"/>
      <w:jc w:val="both"/>
    </w:pPr>
    <w:rPr>
      <w:rFonts w:ascii="Arial" w:cs="Arial" w:eastAsia="Arial" w:hAnsi="Arial"/>
      <w:sz w:val="12"/>
      <w:szCs w:val="12"/>
    </w:rPr>
    <w:tblPr>
      <w:tblCellMar>
        <w:top w:w="0.0" w:type="dxa"/>
        <w:left w:w="0.0" w:type="dxa"/>
        <w:bottom w:w="0.0" w:type="dxa"/>
        <w:right w:w="0.0" w:type="dxa"/>
      </w:tblCellMar>
    </w:tblPr>
  </w:style>
  <w:style w:type="table" w:styleId="afffff7" w:customStyle="1">
    <w:basedOn w:val="TableNormalc"/>
    <w:tblPr>
      <w:tblStyleRowBandSize w:val="1"/>
      <w:tblStyleColBandSize w:val="1"/>
      <w:tblCellMar>
        <w:left w:w="115.0" w:type="dxa"/>
        <w:right w:w="115.0" w:type="dxa"/>
      </w:tblCellMar>
    </w:tblPr>
  </w:style>
  <w:style w:type="table" w:styleId="afffff8" w:customStyle="1">
    <w:basedOn w:val="TableNormalc"/>
    <w:tblPr>
      <w:tblStyleRowBandSize w:val="1"/>
      <w:tblStyleColBandSize w:val="1"/>
      <w:tblCellMar>
        <w:left w:w="115.0" w:type="dxa"/>
        <w:right w:w="115.0" w:type="dxa"/>
      </w:tblCellMar>
    </w:tblPr>
  </w:style>
  <w:style w:type="table" w:styleId="afffff9" w:customStyle="1">
    <w:basedOn w:val="TableNormalc"/>
    <w:tblPr>
      <w:tblStyleRowBandSize w:val="1"/>
      <w:tblStyleColBandSize w:val="1"/>
      <w:tblCellMar>
        <w:left w:w="115.0" w:type="dxa"/>
        <w:right w:w="115.0" w:type="dxa"/>
      </w:tblCellMar>
    </w:tblPr>
  </w:style>
  <w:style w:type="table" w:styleId="afffffa" w:customStyle="1">
    <w:basedOn w:val="TableNormalb"/>
    <w:tblPr>
      <w:tblStyleRowBandSize w:val="1"/>
      <w:tblStyleColBandSize w:val="1"/>
      <w:tblCellMar>
        <w:left w:w="115.0" w:type="dxa"/>
        <w:right w:w="115.0" w:type="dxa"/>
      </w:tblCellMar>
    </w:tblPr>
  </w:style>
  <w:style w:type="table" w:styleId="afffffb" w:customStyle="1">
    <w:basedOn w:val="TableNormalb"/>
    <w:tblPr>
      <w:tblStyleRowBandSize w:val="1"/>
      <w:tblStyleColBandSize w:val="1"/>
      <w:tblCellMar>
        <w:left w:w="115.0" w:type="dxa"/>
        <w:right w:w="115.0" w:type="dxa"/>
      </w:tblCellMar>
    </w:tblPr>
  </w:style>
  <w:style w:type="table" w:styleId="afffffc" w:customStyle="1">
    <w:basedOn w:val="TableNormalb"/>
    <w:tblPr>
      <w:tblStyleRowBandSize w:val="1"/>
      <w:tblStyleColBandSize w:val="1"/>
      <w:tblCellMar>
        <w:left w:w="115.0" w:type="dxa"/>
        <w:right w:w="115.0" w:type="dxa"/>
      </w:tblCellMar>
    </w:tblPr>
  </w:style>
  <w:style w:type="table" w:styleId="afffffd" w:customStyle="1">
    <w:basedOn w:val="TableNormala"/>
    <w:tblPr>
      <w:tblStyleRowBandSize w:val="1"/>
      <w:tblStyleColBandSize w:val="1"/>
      <w:tblCellMar>
        <w:left w:w="115.0" w:type="dxa"/>
        <w:right w:w="115.0" w:type="dxa"/>
      </w:tblCellMar>
    </w:tblPr>
  </w:style>
  <w:style w:type="table" w:styleId="afffffe" w:customStyle="1">
    <w:basedOn w:val="TableNormala"/>
    <w:tblPr>
      <w:tblStyleRowBandSize w:val="1"/>
      <w:tblStyleColBandSize w:val="1"/>
      <w:tblCellMar>
        <w:left w:w="115.0" w:type="dxa"/>
        <w:right w:w="115.0" w:type="dxa"/>
      </w:tblCellMar>
    </w:tblPr>
  </w:style>
  <w:style w:type="table" w:styleId="affffff" w:customStyle="1">
    <w:basedOn w:val="TableNormala"/>
    <w:tblPr>
      <w:tblStyleRowBandSize w:val="1"/>
      <w:tblStyleColBandSize w:val="1"/>
      <w:tblCellMar>
        <w:left w:w="115.0" w:type="dxa"/>
        <w:right w:w="115.0" w:type="dxa"/>
      </w:tblCellMar>
    </w:tblPr>
  </w:style>
  <w:style w:type="numbering" w:styleId="Sinlista12" w:customStyle="1">
    <w:name w:val="Sin lista12"/>
    <w:next w:val="Sinlista"/>
    <w:uiPriority w:val="99"/>
    <w:semiHidden w:val="1"/>
    <w:unhideWhenUsed w:val="1"/>
    <w:rsid w:val="001344A6"/>
  </w:style>
  <w:style w:type="table" w:styleId="TableNormal21" w:customStyle="1">
    <w:name w:val="TableNormal2"/>
    <w:rsid w:val="001344A6"/>
    <w:pPr>
      <w:spacing w:line="360" w:lineRule="auto"/>
      <w:jc w:val="both"/>
    </w:pPr>
    <w:rPr>
      <w:rFonts w:ascii="Arial" w:cs="Arial" w:eastAsia="Arial" w:hAnsi="Arial"/>
      <w:sz w:val="12"/>
      <w:szCs w:val="12"/>
    </w:rPr>
    <w:tblPr>
      <w:tblCellMar>
        <w:top w:w="0.0" w:type="dxa"/>
        <w:left w:w="0.0" w:type="dxa"/>
        <w:bottom w:w="0.0" w:type="dxa"/>
        <w:right w:w="0.0" w:type="dxa"/>
      </w:tblCellMar>
    </w:tblPr>
  </w:style>
  <w:style w:type="table" w:styleId="affffff0" w:customStyle="1">
    <w:basedOn w:val="TableNormal9"/>
    <w:tblPr>
      <w:tblStyleRowBandSize w:val="1"/>
      <w:tblStyleColBandSize w:val="1"/>
      <w:tblCellMar>
        <w:top w:w="100.0" w:type="dxa"/>
        <w:left w:w="100.0" w:type="dxa"/>
        <w:bottom w:w="100.0" w:type="dxa"/>
        <w:right w:w="100.0" w:type="dxa"/>
      </w:tblCellMar>
    </w:tblPr>
  </w:style>
  <w:style w:type="table" w:styleId="affffff1" w:customStyle="1">
    <w:basedOn w:val="TableNormal9"/>
    <w:tblPr>
      <w:tblStyleRowBandSize w:val="1"/>
      <w:tblStyleColBandSize w:val="1"/>
      <w:tblCellMar>
        <w:left w:w="115.0" w:type="dxa"/>
        <w:right w:w="115.0" w:type="dxa"/>
      </w:tblCellMar>
    </w:tblPr>
  </w:style>
  <w:style w:type="table" w:styleId="affffff2" w:customStyle="1">
    <w:basedOn w:val="TableNormal9"/>
    <w:tblPr>
      <w:tblStyleRowBandSize w:val="1"/>
      <w:tblStyleColBandSize w:val="1"/>
      <w:tblCellMar>
        <w:left w:w="115.0" w:type="dxa"/>
        <w:right w:w="115.0" w:type="dxa"/>
      </w:tblCellMar>
    </w:tblPr>
  </w:style>
  <w:style w:type="table" w:styleId="affffff3" w:customStyle="1">
    <w:basedOn w:val="TableNormal9"/>
    <w:tblPr>
      <w:tblStyleRowBandSize w:val="1"/>
      <w:tblStyleColBandSize w:val="1"/>
      <w:tblCellMar>
        <w:left w:w="115.0" w:type="dxa"/>
        <w:right w:w="115.0" w:type="dxa"/>
      </w:tblCellMar>
    </w:tblPr>
  </w:style>
  <w:style w:type="table" w:styleId="affffff4" w:customStyle="1">
    <w:basedOn w:val="TableNormal8"/>
    <w:tblPr>
      <w:tblStyleRowBandSize w:val="1"/>
      <w:tblStyleColBandSize w:val="1"/>
      <w:tblCellMar>
        <w:top w:w="100.0" w:type="dxa"/>
        <w:left w:w="100.0" w:type="dxa"/>
        <w:bottom w:w="100.0" w:type="dxa"/>
        <w:right w:w="100.0" w:type="dxa"/>
      </w:tblCellMar>
    </w:tblPr>
  </w:style>
  <w:style w:type="table" w:styleId="affffff5" w:customStyle="1">
    <w:basedOn w:val="TableNormal8"/>
    <w:tblPr>
      <w:tblStyleRowBandSize w:val="1"/>
      <w:tblStyleColBandSize w:val="1"/>
      <w:tblCellMar>
        <w:left w:w="115.0" w:type="dxa"/>
        <w:right w:w="115.0" w:type="dxa"/>
      </w:tblCellMar>
    </w:tblPr>
  </w:style>
  <w:style w:type="table" w:styleId="affffff6" w:customStyle="1">
    <w:basedOn w:val="TableNormal8"/>
    <w:tblPr>
      <w:tblStyleRowBandSize w:val="1"/>
      <w:tblStyleColBandSize w:val="1"/>
      <w:tblCellMar>
        <w:left w:w="115.0" w:type="dxa"/>
        <w:right w:w="115.0" w:type="dxa"/>
      </w:tblCellMar>
    </w:tblPr>
  </w:style>
  <w:style w:type="table" w:styleId="affffff7" w:customStyle="1">
    <w:basedOn w:val="TableNormal8"/>
    <w:tblPr>
      <w:tblStyleRowBandSize w:val="1"/>
      <w:tblStyleColBandSize w:val="1"/>
      <w:tblCellMar>
        <w:left w:w="115.0" w:type="dxa"/>
        <w:right w:w="115.0" w:type="dxa"/>
      </w:tblCellMar>
    </w:tblPr>
  </w:style>
  <w:style w:type="table" w:styleId="affffff8" w:customStyle="1">
    <w:basedOn w:val="TableNormal7"/>
    <w:tblPr>
      <w:tblStyleRowBandSize w:val="1"/>
      <w:tblStyleColBandSize w:val="1"/>
      <w:tblCellMar>
        <w:top w:w="15.0" w:type="dxa"/>
        <w:left w:w="15.0" w:type="dxa"/>
        <w:bottom w:w="15.0" w:type="dxa"/>
        <w:right w:w="15.0" w:type="dxa"/>
      </w:tblCellMar>
    </w:tblPr>
  </w:style>
  <w:style w:type="table" w:styleId="affffff9" w:customStyle="1">
    <w:basedOn w:val="TableNormal7"/>
    <w:tblPr>
      <w:tblStyleRowBandSize w:val="1"/>
      <w:tblStyleColBandSize w:val="1"/>
      <w:tblCellMar>
        <w:top w:w="15.0" w:type="dxa"/>
        <w:left w:w="15.0" w:type="dxa"/>
        <w:bottom w:w="15.0" w:type="dxa"/>
        <w:right w:w="15.0" w:type="dxa"/>
      </w:tblCellMar>
    </w:tblPr>
  </w:style>
  <w:style w:type="table" w:styleId="affffffa" w:customStyle="1">
    <w:basedOn w:val="TableNormal7"/>
    <w:tblPr>
      <w:tblStyleRowBandSize w:val="1"/>
      <w:tblStyleColBandSize w:val="1"/>
      <w:tblCellMar>
        <w:top w:w="15.0" w:type="dxa"/>
        <w:left w:w="15.0" w:type="dxa"/>
        <w:bottom w:w="15.0" w:type="dxa"/>
        <w:right w:w="15.0" w:type="dxa"/>
      </w:tblCellMar>
    </w:tblPr>
  </w:style>
  <w:style w:type="table" w:styleId="affffffb" w:customStyle="1">
    <w:basedOn w:val="TableNormal6"/>
    <w:tblPr>
      <w:tblStyleRowBandSize w:val="1"/>
      <w:tblStyleColBandSize w:val="1"/>
      <w:tblCellMar>
        <w:top w:w="15.0" w:type="dxa"/>
        <w:left w:w="15.0" w:type="dxa"/>
        <w:bottom w:w="15.0" w:type="dxa"/>
        <w:right w:w="15.0" w:type="dxa"/>
      </w:tblCellMar>
    </w:tblPr>
  </w:style>
  <w:style w:type="table" w:styleId="affffffc" w:customStyle="1">
    <w:basedOn w:val="TableNormal6"/>
    <w:tblPr>
      <w:tblStyleRowBandSize w:val="1"/>
      <w:tblStyleColBandSize w:val="1"/>
      <w:tblCellMar>
        <w:top w:w="15.0" w:type="dxa"/>
        <w:left w:w="15.0" w:type="dxa"/>
        <w:bottom w:w="15.0" w:type="dxa"/>
        <w:right w:w="15.0" w:type="dxa"/>
      </w:tblCellMar>
    </w:tblPr>
  </w:style>
  <w:style w:type="table" w:styleId="affffffd" w:customStyle="1">
    <w:basedOn w:val="TableNormal6"/>
    <w:tblPr>
      <w:tblStyleRowBandSize w:val="1"/>
      <w:tblStyleColBandSize w:val="1"/>
      <w:tblCellMar>
        <w:top w:w="15.0" w:type="dxa"/>
        <w:left w:w="15.0" w:type="dxa"/>
        <w:bottom w:w="15.0" w:type="dxa"/>
        <w:right w:w="15.0" w:type="dxa"/>
      </w:tblCellMar>
    </w:tblPr>
  </w:style>
  <w:style w:type="character" w:styleId="apple-tab-span" w:customStyle="1">
    <w:name w:val="apple-tab-span"/>
    <w:basedOn w:val="Fuentedeprrafopredeter"/>
    <w:rsid w:val="007C07FD"/>
  </w:style>
  <w:style w:type="table" w:styleId="affffffe" w:customStyle="1">
    <w:basedOn w:val="TableNormal5"/>
    <w:tblPr>
      <w:tblStyleRowBandSize w:val="1"/>
      <w:tblStyleColBandSize w:val="1"/>
      <w:tblCellMar>
        <w:top w:w="15.0" w:type="dxa"/>
        <w:left w:w="15.0" w:type="dxa"/>
        <w:bottom w:w="15.0" w:type="dxa"/>
        <w:right w:w="15.0" w:type="dxa"/>
      </w:tblCellMar>
    </w:tblPr>
  </w:style>
  <w:style w:type="table" w:styleId="afffffff" w:customStyle="1">
    <w:basedOn w:val="TableNormal5"/>
    <w:tblPr>
      <w:tblStyleRowBandSize w:val="1"/>
      <w:tblStyleColBandSize w:val="1"/>
      <w:tblCellMar>
        <w:top w:w="15.0" w:type="dxa"/>
        <w:left w:w="15.0" w:type="dxa"/>
        <w:bottom w:w="15.0" w:type="dxa"/>
        <w:right w:w="15.0" w:type="dxa"/>
      </w:tblCellMar>
    </w:tblPr>
  </w:style>
  <w:style w:type="table" w:styleId="afffffff0" w:customStyle="1">
    <w:basedOn w:val="TableNormal5"/>
    <w:tblPr>
      <w:tblStyleRowBandSize w:val="1"/>
      <w:tblStyleColBandSize w:val="1"/>
      <w:tblCellMar>
        <w:top w:w="15.0" w:type="dxa"/>
        <w:left w:w="15.0" w:type="dxa"/>
        <w:bottom w:w="15.0" w:type="dxa"/>
        <w:right w:w="15.0" w:type="dxa"/>
      </w:tblCellMar>
    </w:tblPr>
  </w:style>
  <w:style w:type="table" w:styleId="afffffff1" w:customStyle="1">
    <w:basedOn w:val="TableNormal5"/>
    <w:tblPr>
      <w:tblStyleRowBandSize w:val="1"/>
      <w:tblStyleColBandSize w:val="1"/>
      <w:tblCellMar>
        <w:top w:w="15.0" w:type="dxa"/>
        <w:left w:w="15.0" w:type="dxa"/>
        <w:bottom w:w="15.0" w:type="dxa"/>
        <w:right w:w="15.0" w:type="dxa"/>
      </w:tblCellMar>
    </w:tblPr>
  </w:style>
  <w:style w:type="table" w:styleId="afffffff2" w:customStyle="1">
    <w:basedOn w:val="TableNormal5"/>
    <w:tblPr>
      <w:tblStyleRowBandSize w:val="1"/>
      <w:tblStyleColBandSize w:val="1"/>
      <w:tblCellMar>
        <w:top w:w="15.0" w:type="dxa"/>
        <w:left w:w="15.0" w:type="dxa"/>
        <w:bottom w:w="15.0" w:type="dxa"/>
        <w:right w:w="15.0" w:type="dxa"/>
      </w:tblCellMar>
    </w:tblPr>
  </w:style>
  <w:style w:type="numbering" w:styleId="Sinlista13" w:customStyle="1">
    <w:name w:val="Sin lista13"/>
    <w:next w:val="Sinlista"/>
    <w:uiPriority w:val="99"/>
    <w:semiHidden w:val="1"/>
    <w:unhideWhenUsed w:val="1"/>
    <w:rsid w:val="003533F3"/>
  </w:style>
  <w:style w:type="table" w:styleId="TableNormal31" w:customStyle="1">
    <w:name w:val="TableNormal3"/>
    <w:rsid w:val="003533F3"/>
    <w:pPr>
      <w:spacing w:line="360" w:lineRule="auto"/>
      <w:jc w:val="both"/>
    </w:pPr>
    <w:rPr>
      <w:rFonts w:ascii="Arial" w:cs="Arial" w:eastAsia="Arial" w:hAnsi="Arial"/>
      <w:sz w:val="12"/>
      <w:szCs w:val="12"/>
    </w:rPr>
    <w:tblPr>
      <w:tblCellMar>
        <w:top w:w="100.0" w:type="dxa"/>
        <w:left w:w="100.0" w:type="dxa"/>
        <w:bottom w:w="100.0" w:type="dxa"/>
        <w:right w:w="100.0" w:type="dxa"/>
      </w:tblCellMar>
    </w:tblPr>
  </w:style>
  <w:style w:type="table" w:styleId="afffffff3" w:customStyle="1">
    <w:basedOn w:val="TableNormal4"/>
    <w:tblPr>
      <w:tblStyleRowBandSize w:val="1"/>
      <w:tblStyleColBandSize w:val="1"/>
      <w:tblCellMar>
        <w:top w:w="0.0" w:type="dxa"/>
        <w:left w:w="0.0" w:type="dxa"/>
        <w:bottom w:w="0.0" w:type="dxa"/>
        <w:right w:w="0.0" w:type="dxa"/>
      </w:tblCellMar>
    </w:tblPr>
  </w:style>
  <w:style w:type="table" w:styleId="afffffff4" w:customStyle="1">
    <w:basedOn w:val="TableNormal4"/>
    <w:tblPr>
      <w:tblStyleRowBandSize w:val="1"/>
      <w:tblStyleColBandSize w:val="1"/>
      <w:tblCellMar>
        <w:top w:w="0.0" w:type="dxa"/>
        <w:left w:w="115.0" w:type="dxa"/>
        <w:bottom w:w="0.0" w:type="dxa"/>
        <w:right w:w="115.0" w:type="dxa"/>
      </w:tblCellMar>
    </w:tblPr>
  </w:style>
  <w:style w:type="table" w:styleId="afffffff5" w:customStyle="1">
    <w:basedOn w:val="TableNormal4"/>
    <w:tblPr>
      <w:tblStyleRowBandSize w:val="1"/>
      <w:tblStyleColBandSize w:val="1"/>
      <w:tblCellMar>
        <w:top w:w="0.0" w:type="dxa"/>
        <w:left w:w="115.0" w:type="dxa"/>
        <w:bottom w:w="0.0" w:type="dxa"/>
        <w:right w:w="115.0" w:type="dxa"/>
      </w:tblCellMar>
    </w:tblPr>
  </w:style>
  <w:style w:type="table" w:styleId="afffffff6" w:customStyle="1">
    <w:basedOn w:val="TableNormal4"/>
    <w:tblPr>
      <w:tblStyleRowBandSize w:val="1"/>
      <w:tblStyleColBandSize w:val="1"/>
      <w:tblCellMar>
        <w:top w:w="0.0" w:type="dxa"/>
        <w:left w:w="115.0" w:type="dxa"/>
        <w:bottom w:w="0.0" w:type="dxa"/>
        <w:right w:w="115.0" w:type="dxa"/>
      </w:tblCellMar>
    </w:tblPr>
  </w:style>
  <w:style w:type="table" w:styleId="afffffff7" w:customStyle="1">
    <w:basedOn w:val="TableNormal3"/>
    <w:tblPr>
      <w:tblStyleRowBandSize w:val="1"/>
      <w:tblStyleColBandSize w:val="1"/>
      <w:tblCellMar>
        <w:top w:w="0.0" w:type="dxa"/>
        <w:left w:w="0.0" w:type="dxa"/>
        <w:bottom w:w="0.0" w:type="dxa"/>
        <w:right w:w="0.0" w:type="dxa"/>
      </w:tblCellMar>
    </w:tblPr>
  </w:style>
  <w:style w:type="table" w:styleId="afffffff8" w:customStyle="1">
    <w:basedOn w:val="TableNormal3"/>
    <w:tblPr>
      <w:tblStyleRowBandSize w:val="1"/>
      <w:tblStyleColBandSize w:val="1"/>
      <w:tblCellMar>
        <w:top w:w="0.0" w:type="dxa"/>
        <w:left w:w="115.0" w:type="dxa"/>
        <w:bottom w:w="0.0" w:type="dxa"/>
        <w:right w:w="115.0" w:type="dxa"/>
      </w:tblCellMar>
    </w:tblPr>
  </w:style>
  <w:style w:type="table" w:styleId="afffffff9" w:customStyle="1">
    <w:basedOn w:val="TableNormal3"/>
    <w:tblPr>
      <w:tblStyleRowBandSize w:val="1"/>
      <w:tblStyleColBandSize w:val="1"/>
      <w:tblCellMar>
        <w:top w:w="0.0" w:type="dxa"/>
        <w:left w:w="115.0" w:type="dxa"/>
        <w:bottom w:w="0.0" w:type="dxa"/>
        <w:right w:w="115.0" w:type="dxa"/>
      </w:tblCellMar>
    </w:tblPr>
  </w:style>
  <w:style w:type="table" w:styleId="afffffffa" w:customStyle="1">
    <w:basedOn w:val="TableNormal3"/>
    <w:tblPr>
      <w:tblStyleRowBandSize w:val="1"/>
      <w:tblStyleColBandSize w:val="1"/>
      <w:tblCellMar>
        <w:top w:w="0.0" w:type="dxa"/>
        <w:left w:w="115.0" w:type="dxa"/>
        <w:bottom w:w="0.0" w:type="dxa"/>
        <w:right w:w="115.0" w:type="dxa"/>
      </w:tblCellMar>
    </w:tblPr>
  </w:style>
  <w:style w:type="table" w:styleId="afffffffb" w:customStyle="1">
    <w:basedOn w:val="TableNormal2"/>
    <w:tblPr>
      <w:tblStyleRowBandSize w:val="1"/>
      <w:tblStyleColBandSize w:val="1"/>
      <w:tblCellMar>
        <w:top w:w="0.0" w:type="dxa"/>
        <w:left w:w="0.0" w:type="dxa"/>
        <w:bottom w:w="0.0" w:type="dxa"/>
        <w:right w:w="0.0" w:type="dxa"/>
      </w:tblCellMar>
    </w:tblPr>
  </w:style>
  <w:style w:type="table" w:styleId="afffffffc" w:customStyle="1">
    <w:basedOn w:val="TableNormal2"/>
    <w:tblPr>
      <w:tblStyleRowBandSize w:val="1"/>
      <w:tblStyleColBandSize w:val="1"/>
      <w:tblCellMar>
        <w:top w:w="0.0" w:type="dxa"/>
        <w:left w:w="115.0" w:type="dxa"/>
        <w:bottom w:w="0.0" w:type="dxa"/>
        <w:right w:w="115.0" w:type="dxa"/>
      </w:tblCellMar>
    </w:tblPr>
  </w:style>
  <w:style w:type="table" w:styleId="afffffffd" w:customStyle="1">
    <w:basedOn w:val="TableNormal2"/>
    <w:tblPr>
      <w:tblStyleRowBandSize w:val="1"/>
      <w:tblStyleColBandSize w:val="1"/>
      <w:tblCellMar>
        <w:top w:w="0.0" w:type="dxa"/>
        <w:left w:w="115.0" w:type="dxa"/>
        <w:bottom w:w="0.0" w:type="dxa"/>
        <w:right w:w="115.0" w:type="dxa"/>
      </w:tblCellMar>
    </w:tblPr>
  </w:style>
  <w:style w:type="table" w:styleId="afffffffe" w:customStyle="1">
    <w:basedOn w:val="TableNormal2"/>
    <w:tblPr>
      <w:tblStyleRowBandSize w:val="1"/>
      <w:tblStyleColBandSize w:val="1"/>
      <w:tblCellMar>
        <w:top w:w="0.0" w:type="dxa"/>
        <w:left w:w="115.0" w:type="dxa"/>
        <w:bottom w:w="0.0" w:type="dxa"/>
        <w:right w:w="115.0" w:type="dxa"/>
      </w:tblCellMar>
    </w:tblPr>
  </w:style>
  <w:style w:type="table" w:styleId="affffffff" w:customStyle="1">
    <w:basedOn w:val="TableNormal2"/>
    <w:tblPr>
      <w:tblStyleRowBandSize w:val="1"/>
      <w:tblStyleColBandSize w:val="1"/>
      <w:tblCellMar>
        <w:top w:w="0.0" w:type="dxa"/>
        <w:left w:w="115.0" w:type="dxa"/>
        <w:bottom w:w="0.0" w:type="dxa"/>
        <w:right w:w="115.0" w:type="dxa"/>
      </w:tblCellMar>
    </w:tblPr>
  </w:style>
  <w:style w:type="numbering" w:styleId="Sinlista14" w:customStyle="1">
    <w:name w:val="Sin lista14"/>
    <w:next w:val="Sinlista"/>
    <w:uiPriority w:val="99"/>
    <w:semiHidden w:val="1"/>
    <w:unhideWhenUsed w:val="1"/>
    <w:rsid w:val="00CA1A80"/>
  </w:style>
  <w:style w:type="table" w:styleId="TableNormal41" w:customStyle="1">
    <w:name w:val="TableNormal4"/>
    <w:rsid w:val="00CA1A80"/>
    <w:pPr>
      <w:spacing w:line="360" w:lineRule="auto"/>
      <w:jc w:val="both"/>
    </w:pPr>
    <w:rPr>
      <w:rFonts w:ascii="Arial" w:cs="Arial" w:eastAsia="Arial" w:hAnsi="Arial"/>
      <w:sz w:val="12"/>
      <w:szCs w:val="12"/>
    </w:rPr>
    <w:tblPr>
      <w:tblCellMar>
        <w:top w:w="100.0" w:type="dxa"/>
        <w:left w:w="100.0" w:type="dxa"/>
        <w:bottom w:w="100.0" w:type="dxa"/>
        <w:right w:w="100.0" w:type="dxa"/>
      </w:tblCellMar>
    </w:tblPr>
  </w:style>
  <w:style w:type="table" w:styleId="affffffff0" w:customStyle="1">
    <w:basedOn w:val="TableNormal0"/>
    <w:tblPr>
      <w:tblStyleRowBandSize w:val="1"/>
      <w:tblStyleColBandSize w:val="1"/>
    </w:tblPr>
  </w:style>
  <w:style w:type="table" w:styleId="affffffff1" w:customStyle="1">
    <w:basedOn w:val="TableNormal0"/>
    <w:tblPr>
      <w:tblStyleRowBandSize w:val="1"/>
      <w:tblStyleColBandSize w:val="1"/>
    </w:tblPr>
  </w:style>
  <w:style w:type="table" w:styleId="affffffff2" w:customStyle="1">
    <w:basedOn w:val="TableNormal0"/>
    <w:tblPr>
      <w:tblStyleRowBandSize w:val="1"/>
      <w:tblStyleColBandSize w:val="1"/>
      <w:tblCellMar>
        <w:top w:w="0.0" w:type="dxa"/>
        <w:left w:w="115.0" w:type="dxa"/>
        <w:bottom w:w="0.0" w:type="dxa"/>
        <w:right w:w="115.0" w:type="dxa"/>
      </w:tblCellMar>
    </w:tblPr>
  </w:style>
  <w:style w:type="table" w:styleId="affffffff3" w:customStyle="1">
    <w:basedOn w:val="TableNormal0"/>
    <w:tblPr>
      <w:tblStyleRowBandSize w:val="1"/>
      <w:tblStyleColBandSize w:val="1"/>
      <w:tblCellMar>
        <w:top w:w="0.0" w:type="dxa"/>
        <w:left w:w="115.0" w:type="dxa"/>
        <w:bottom w:w="0.0" w:type="dxa"/>
        <w:right w:w="115.0" w:type="dxa"/>
      </w:tblCellMar>
    </w:tblPr>
  </w:style>
  <w:style w:type="table" w:styleId="affffffff4" w:customStyle="1">
    <w:basedOn w:val="TableNormal0"/>
    <w:tblPr>
      <w:tblStyleRowBandSize w:val="1"/>
      <w:tblStyleColBandSize w:val="1"/>
      <w:tblCellMar>
        <w:top w:w="0.0" w:type="dxa"/>
        <w:left w:w="115.0" w:type="dxa"/>
        <w:bottom w:w="0.0" w:type="dxa"/>
        <w:right w:w="115.0" w:type="dxa"/>
      </w:tblCellMar>
    </w:tblPr>
  </w:style>
  <w:style w:type="table" w:styleId="affffffff5"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mbria" w:cs="Cambria" w:eastAsia="Cambria" w:hAnsi="Cambria"/>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jm+XRJpDDtClRhK5wM8CqC9ww==">CgMxLjAyDmgueWsycGZhamRxenJyMg5oLmsxbGxiNm5saXA0cDIOaC5qbmpsNHdocWU2NXYyDWguY2drbm0xdWdvYTQyDmgubzdiNXRna3ZteHdnOAByITFIQnE4RDJ5TjlGUG5FWUNyZ2NfeUtNY0NsY1o4QXhTYg==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2025-12-18T14:42:00Z</dcterms:created>
  <dc:creator>Lorenzo, Carla Valeria</dc:creator>
</cp:coreProperties>
</file>