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033C7" w14:textId="77777777" w:rsidR="00A36119" w:rsidRPr="00FC5794" w:rsidRDefault="00A36119" w:rsidP="00A36119">
      <w:pPr>
        <w:spacing w:after="120"/>
        <w:jc w:val="center"/>
        <w:rPr>
          <w:rFonts w:ascii="Arial" w:hAnsi="Arial" w:cs="Arial"/>
          <w:b/>
          <w:sz w:val="20"/>
          <w:u w:val="single"/>
          <w:lang w:val="es-AR"/>
        </w:rPr>
      </w:pPr>
      <w:r w:rsidRPr="00FC5794">
        <w:rPr>
          <w:rFonts w:ascii="Arial" w:hAnsi="Arial" w:cs="Arial"/>
          <w:b/>
          <w:sz w:val="22"/>
          <w:szCs w:val="22"/>
          <w:u w:val="single"/>
        </w:rPr>
        <w:t>ANEXO I</w:t>
      </w:r>
      <w:r>
        <w:rPr>
          <w:rFonts w:ascii="Arial" w:hAnsi="Arial" w:cs="Arial"/>
          <w:b/>
          <w:sz w:val="22"/>
          <w:szCs w:val="22"/>
          <w:u w:val="single"/>
        </w:rPr>
        <w:t>V</w:t>
      </w:r>
      <w:r w:rsidRPr="00FC5794">
        <w:rPr>
          <w:rFonts w:ascii="Arial" w:hAnsi="Arial" w:cs="Arial"/>
          <w:b/>
          <w:sz w:val="22"/>
          <w:szCs w:val="22"/>
          <w:u w:val="single"/>
        </w:rPr>
        <w:t xml:space="preserve"> Acta de Directorio </w:t>
      </w:r>
      <w:proofErr w:type="spellStart"/>
      <w:r w:rsidRPr="00FC5794">
        <w:rPr>
          <w:rFonts w:ascii="Arial" w:hAnsi="Arial" w:cs="Arial"/>
          <w:b/>
          <w:sz w:val="22"/>
          <w:szCs w:val="22"/>
          <w:u w:val="single"/>
        </w:rPr>
        <w:t>N°</w:t>
      </w:r>
      <w:proofErr w:type="spellEnd"/>
      <w:r w:rsidRPr="00FC5794">
        <w:rPr>
          <w:rFonts w:ascii="Arial" w:hAnsi="Arial" w:cs="Arial"/>
          <w:b/>
          <w:sz w:val="22"/>
          <w:szCs w:val="22"/>
          <w:u w:val="single"/>
        </w:rPr>
        <w:t xml:space="preserve"> 16</w:t>
      </w:r>
      <w:r>
        <w:rPr>
          <w:rFonts w:ascii="Arial" w:hAnsi="Arial" w:cs="Arial"/>
          <w:b/>
          <w:sz w:val="22"/>
          <w:szCs w:val="22"/>
          <w:u w:val="single"/>
        </w:rPr>
        <w:t>38</w:t>
      </w:r>
      <w:r w:rsidRPr="00FC5794">
        <w:rPr>
          <w:rFonts w:ascii="Arial" w:hAnsi="Arial" w:cs="Arial"/>
          <w:b/>
          <w:sz w:val="22"/>
          <w:szCs w:val="22"/>
          <w:u w:val="single"/>
        </w:rPr>
        <w:t xml:space="preserve"> de fecha </w:t>
      </w:r>
      <w:r>
        <w:rPr>
          <w:rFonts w:ascii="Arial" w:hAnsi="Arial" w:cs="Arial"/>
          <w:b/>
          <w:sz w:val="22"/>
          <w:szCs w:val="22"/>
          <w:u w:val="single"/>
        </w:rPr>
        <w:t>21</w:t>
      </w:r>
      <w:r w:rsidRPr="00FC5794">
        <w:rPr>
          <w:rFonts w:ascii="Arial" w:hAnsi="Arial" w:cs="Arial"/>
          <w:b/>
          <w:sz w:val="22"/>
          <w:szCs w:val="22"/>
          <w:u w:val="single"/>
        </w:rPr>
        <w:t xml:space="preserve"> de agosto de 20</w:t>
      </w:r>
      <w:r>
        <w:rPr>
          <w:rFonts w:ascii="Arial" w:hAnsi="Arial" w:cs="Arial"/>
          <w:b/>
          <w:sz w:val="22"/>
          <w:szCs w:val="22"/>
          <w:u w:val="single"/>
        </w:rPr>
        <w:t>20</w:t>
      </w:r>
    </w:p>
    <w:p w14:paraId="188F408C" w14:textId="77777777" w:rsidR="00A36119" w:rsidRPr="00FC5794" w:rsidRDefault="00A36119" w:rsidP="00A36119">
      <w:pPr>
        <w:jc w:val="center"/>
        <w:rPr>
          <w:rFonts w:ascii="Arial" w:hAnsi="Arial" w:cs="Arial"/>
          <w:b/>
          <w:sz w:val="22"/>
          <w:szCs w:val="22"/>
          <w:u w:val="single"/>
        </w:rPr>
      </w:pPr>
      <w:r w:rsidRPr="00FC5794">
        <w:rPr>
          <w:rFonts w:ascii="Arial" w:hAnsi="Arial" w:cs="Arial"/>
          <w:b/>
          <w:sz w:val="22"/>
          <w:szCs w:val="22"/>
        </w:rPr>
        <w:t xml:space="preserve"> “</w:t>
      </w:r>
      <w:r w:rsidRPr="00FC5794">
        <w:rPr>
          <w:rFonts w:ascii="Arial" w:hAnsi="Arial" w:cs="Arial"/>
          <w:b/>
          <w:sz w:val="22"/>
          <w:szCs w:val="22"/>
          <w:u w:val="single"/>
        </w:rPr>
        <w:t>Informe del Comité de Auditoría de Celulosa Argentina S.A.”</w:t>
      </w:r>
    </w:p>
    <w:p w14:paraId="4AABFA06" w14:textId="77777777" w:rsidR="00A36119" w:rsidRPr="00FC5794" w:rsidRDefault="00A36119" w:rsidP="00A36119">
      <w:pPr>
        <w:ind w:right="425"/>
        <w:jc w:val="both"/>
        <w:rPr>
          <w:rFonts w:ascii="Arial" w:hAnsi="Arial" w:cs="Arial"/>
          <w:sz w:val="22"/>
          <w:szCs w:val="22"/>
          <w:lang w:val="es-ES_tradnl"/>
        </w:rPr>
      </w:pPr>
    </w:p>
    <w:p w14:paraId="42A396BD" w14:textId="77777777" w:rsidR="00A36119" w:rsidRPr="00FC5794" w:rsidRDefault="00A36119" w:rsidP="00A36119">
      <w:pPr>
        <w:rPr>
          <w:rFonts w:ascii="Arial" w:hAnsi="Arial" w:cs="Arial"/>
          <w:b/>
          <w:sz w:val="22"/>
          <w:szCs w:val="22"/>
          <w:lang w:val="es-AR"/>
        </w:rPr>
      </w:pPr>
      <w:r w:rsidRPr="00FC5794">
        <w:rPr>
          <w:rFonts w:ascii="Arial" w:hAnsi="Arial" w:cs="Arial"/>
          <w:b/>
          <w:sz w:val="22"/>
          <w:szCs w:val="22"/>
        </w:rPr>
        <w:t xml:space="preserve"> “A los señores </w:t>
      </w:r>
      <w:proofErr w:type="gramStart"/>
      <w:r w:rsidRPr="00FC5794">
        <w:rPr>
          <w:rFonts w:ascii="Arial" w:hAnsi="Arial" w:cs="Arial"/>
          <w:b/>
          <w:sz w:val="22"/>
          <w:szCs w:val="22"/>
        </w:rPr>
        <w:t>Directores</w:t>
      </w:r>
      <w:proofErr w:type="gramEnd"/>
      <w:r w:rsidRPr="00FC5794">
        <w:rPr>
          <w:rFonts w:ascii="Arial" w:hAnsi="Arial" w:cs="Arial"/>
          <w:b/>
          <w:sz w:val="22"/>
          <w:szCs w:val="22"/>
        </w:rPr>
        <w:t xml:space="preserve"> de”</w:t>
      </w:r>
    </w:p>
    <w:p w14:paraId="18DAB358" w14:textId="77777777" w:rsidR="00A36119" w:rsidRPr="00FC5794" w:rsidRDefault="00A36119" w:rsidP="00A36119">
      <w:pPr>
        <w:rPr>
          <w:rFonts w:ascii="Arial" w:hAnsi="Arial" w:cs="Arial"/>
          <w:b/>
          <w:sz w:val="22"/>
          <w:szCs w:val="22"/>
        </w:rPr>
      </w:pPr>
      <w:r w:rsidRPr="00FC5794">
        <w:rPr>
          <w:rFonts w:ascii="Arial" w:hAnsi="Arial" w:cs="Arial"/>
          <w:b/>
          <w:sz w:val="22"/>
          <w:szCs w:val="22"/>
        </w:rPr>
        <w:t>“Celulosa Argentina Sociedad Anónima”</w:t>
      </w:r>
    </w:p>
    <w:p w14:paraId="191EF2EA" w14:textId="77777777" w:rsidR="00A36119" w:rsidRPr="00FC5794" w:rsidRDefault="00A36119" w:rsidP="00A36119">
      <w:pPr>
        <w:rPr>
          <w:rFonts w:ascii="Arial" w:hAnsi="Arial" w:cs="Arial"/>
          <w:b/>
          <w:sz w:val="22"/>
          <w:szCs w:val="22"/>
        </w:rPr>
      </w:pPr>
      <w:r w:rsidRPr="00FC5794">
        <w:rPr>
          <w:rFonts w:ascii="Arial" w:hAnsi="Arial" w:cs="Arial"/>
          <w:b/>
          <w:sz w:val="22"/>
          <w:szCs w:val="22"/>
        </w:rPr>
        <w:t>_______________________________</w:t>
      </w:r>
      <w:r w:rsidRPr="00FC5794">
        <w:rPr>
          <w:rFonts w:ascii="Arial" w:hAnsi="Arial" w:cs="Arial"/>
          <w:b/>
          <w:sz w:val="22"/>
          <w:szCs w:val="22"/>
        </w:rPr>
        <w:softHyphen/>
      </w:r>
      <w:r w:rsidRPr="00FC5794">
        <w:rPr>
          <w:rFonts w:ascii="Arial" w:hAnsi="Arial" w:cs="Arial"/>
          <w:b/>
          <w:sz w:val="22"/>
          <w:szCs w:val="22"/>
        </w:rPr>
        <w:softHyphen/>
      </w:r>
      <w:r w:rsidRPr="00FC5794">
        <w:rPr>
          <w:rFonts w:ascii="Arial" w:hAnsi="Arial" w:cs="Arial"/>
          <w:b/>
          <w:sz w:val="22"/>
          <w:szCs w:val="22"/>
        </w:rPr>
        <w:softHyphen/>
      </w:r>
      <w:r w:rsidRPr="00FC5794">
        <w:rPr>
          <w:rFonts w:ascii="Arial" w:hAnsi="Arial" w:cs="Arial"/>
          <w:b/>
          <w:sz w:val="22"/>
          <w:szCs w:val="22"/>
        </w:rPr>
        <w:softHyphen/>
        <w:t>___</w:t>
      </w:r>
    </w:p>
    <w:p w14:paraId="5359BA79" w14:textId="77777777" w:rsidR="00A36119" w:rsidRPr="00FC5794" w:rsidRDefault="00A36119" w:rsidP="00A36119">
      <w:pPr>
        <w:rPr>
          <w:rFonts w:ascii="Arial" w:hAnsi="Arial" w:cs="Arial"/>
          <w:sz w:val="22"/>
          <w:szCs w:val="22"/>
        </w:rPr>
      </w:pPr>
    </w:p>
    <w:p w14:paraId="34538807" w14:textId="77777777" w:rsidR="00A36119" w:rsidRPr="00FC5794" w:rsidRDefault="00A36119" w:rsidP="00A36119">
      <w:pPr>
        <w:jc w:val="both"/>
        <w:rPr>
          <w:rFonts w:ascii="Arial" w:hAnsi="Arial" w:cs="Arial"/>
          <w:sz w:val="22"/>
          <w:szCs w:val="22"/>
        </w:rPr>
      </w:pPr>
      <w:r w:rsidRPr="00FC5794">
        <w:rPr>
          <w:rFonts w:ascii="Arial" w:hAnsi="Arial" w:cs="Arial"/>
          <w:sz w:val="22"/>
          <w:szCs w:val="22"/>
        </w:rPr>
        <w:t>“En cumplimiento de lo dispuesto por la ley 26.831, Ley de Mercado de Capitales, de las normas reglamentarias y complementarias establecidas por la C.N.V, el Comité de Auditoría de Celulosa Argentina S.A. ha elaborado el presente informe para ser publicado junto con los estados contables anuales de la Sociedad al 31 de mayo de 20</w:t>
      </w:r>
      <w:r>
        <w:rPr>
          <w:rFonts w:ascii="Arial" w:hAnsi="Arial" w:cs="Arial"/>
          <w:sz w:val="22"/>
          <w:szCs w:val="22"/>
        </w:rPr>
        <w:t>20</w:t>
      </w:r>
      <w:r w:rsidRPr="00FC5794">
        <w:rPr>
          <w:rFonts w:ascii="Arial" w:hAnsi="Arial" w:cs="Arial"/>
          <w:sz w:val="22"/>
          <w:szCs w:val="22"/>
        </w:rPr>
        <w:t>”</w:t>
      </w:r>
    </w:p>
    <w:p w14:paraId="039646BE" w14:textId="77777777" w:rsidR="00A36119" w:rsidRPr="00FC5794" w:rsidRDefault="00A36119" w:rsidP="00A36119">
      <w:pPr>
        <w:jc w:val="both"/>
        <w:rPr>
          <w:rFonts w:ascii="Arial" w:hAnsi="Arial" w:cs="Arial"/>
          <w:sz w:val="22"/>
          <w:szCs w:val="22"/>
        </w:rPr>
      </w:pPr>
    </w:p>
    <w:p w14:paraId="3724A477" w14:textId="77777777" w:rsidR="00A36119" w:rsidRPr="00FC5794" w:rsidRDefault="00A36119" w:rsidP="00A36119">
      <w:pPr>
        <w:jc w:val="both"/>
        <w:rPr>
          <w:rFonts w:ascii="Arial" w:hAnsi="Arial" w:cs="Arial"/>
          <w:sz w:val="22"/>
          <w:szCs w:val="22"/>
        </w:rPr>
      </w:pPr>
      <w:r w:rsidRPr="00FC5794">
        <w:rPr>
          <w:rFonts w:ascii="Arial" w:hAnsi="Arial" w:cs="Arial"/>
          <w:sz w:val="22"/>
          <w:szCs w:val="22"/>
        </w:rPr>
        <w:t xml:space="preserve">“La emisión de los estados contables de Celulosa Argentina S.A. es responsabilidad del Directorio de </w:t>
      </w:r>
      <w:smartTag w:uri="urn:schemas-microsoft-com:office:smarttags" w:element="PersonName">
        <w:smartTagPr>
          <w:attr w:name="ProductID" w:val="la Sociedad"/>
        </w:smartTagPr>
        <w:r w:rsidRPr="00FC5794">
          <w:rPr>
            <w:rFonts w:ascii="Arial" w:hAnsi="Arial" w:cs="Arial"/>
            <w:sz w:val="22"/>
            <w:szCs w:val="22"/>
          </w:rPr>
          <w:t>la Sociedad</w:t>
        </w:r>
      </w:smartTag>
      <w:r w:rsidRPr="00FC5794">
        <w:rPr>
          <w:rFonts w:ascii="Arial" w:hAnsi="Arial" w:cs="Arial"/>
          <w:sz w:val="22"/>
          <w:szCs w:val="22"/>
        </w:rPr>
        <w:t xml:space="preserve"> en cumplimiento de sus funciones exclusivas. La responsabilidad de los auditores externos es opinar sobre la razonabilidad de los estados contables preparados de acuerdo con normas contables profesionales. El rol del Comité de Auditoría surge de la Ley de Mercado de Capitales 26.831, de las normas reglamentarias y complementarias establecidas por la C.N.V. y de su Reglamento Interno.”</w:t>
      </w:r>
    </w:p>
    <w:p w14:paraId="13C640F9" w14:textId="77777777" w:rsidR="00A36119" w:rsidRPr="00FC5794" w:rsidRDefault="00A36119" w:rsidP="00A36119">
      <w:pPr>
        <w:jc w:val="both"/>
        <w:rPr>
          <w:rFonts w:ascii="Arial" w:hAnsi="Arial" w:cs="Arial"/>
          <w:sz w:val="22"/>
          <w:szCs w:val="22"/>
        </w:rPr>
      </w:pPr>
      <w:r w:rsidRPr="00FC5794">
        <w:rPr>
          <w:rFonts w:ascii="Arial" w:hAnsi="Arial" w:cs="Arial"/>
          <w:sz w:val="22"/>
          <w:szCs w:val="22"/>
        </w:rPr>
        <w:t xml:space="preserve"> </w:t>
      </w:r>
    </w:p>
    <w:p w14:paraId="37B75ED5" w14:textId="77777777" w:rsidR="00A36119" w:rsidRPr="00FC5794" w:rsidRDefault="00A36119" w:rsidP="00A36119">
      <w:pPr>
        <w:jc w:val="both"/>
        <w:rPr>
          <w:rFonts w:ascii="Arial" w:hAnsi="Arial" w:cs="Arial"/>
          <w:sz w:val="22"/>
          <w:szCs w:val="22"/>
        </w:rPr>
      </w:pPr>
      <w:r w:rsidRPr="00FC5794">
        <w:rPr>
          <w:rFonts w:ascii="Arial" w:hAnsi="Arial" w:cs="Arial"/>
          <w:sz w:val="22"/>
          <w:szCs w:val="22"/>
        </w:rPr>
        <w:t xml:space="preserve">“Durante el presente ejercicio se celebraron </w:t>
      </w:r>
      <w:r>
        <w:rPr>
          <w:rFonts w:ascii="Arial" w:hAnsi="Arial" w:cs="Arial"/>
          <w:sz w:val="22"/>
          <w:szCs w:val="22"/>
        </w:rPr>
        <w:t>17</w:t>
      </w:r>
      <w:r w:rsidRPr="00FC5794">
        <w:rPr>
          <w:rFonts w:ascii="Arial" w:hAnsi="Arial" w:cs="Arial"/>
          <w:sz w:val="22"/>
          <w:szCs w:val="22"/>
        </w:rPr>
        <w:t xml:space="preserve"> reuniones con la finalidad de tratar las cuestiones de nuestra competencia establecidas por la ley 26.831, Ley de Mercado de Capitales y de sus normas complementarias y reglamentarias, se analizaron informes de la auditoría externa y otra información requerida a la Sociedad. En particular, las cuestiones abordadas fueron, entre otras, las siguientes:”</w:t>
      </w:r>
    </w:p>
    <w:p w14:paraId="10BDEB12" w14:textId="77777777" w:rsidR="00A36119" w:rsidRPr="00FC5794" w:rsidRDefault="00A36119" w:rsidP="00A36119">
      <w:pPr>
        <w:jc w:val="both"/>
        <w:rPr>
          <w:rFonts w:ascii="Arial" w:hAnsi="Arial" w:cs="Arial"/>
          <w:sz w:val="22"/>
          <w:szCs w:val="22"/>
        </w:rPr>
      </w:pPr>
    </w:p>
    <w:p w14:paraId="60EFD546"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 xml:space="preserve">“Se analizó, </w:t>
      </w:r>
      <w:proofErr w:type="gramStart"/>
      <w:r w:rsidRPr="00FC5794">
        <w:rPr>
          <w:rFonts w:ascii="Arial" w:hAnsi="Arial" w:cs="Arial"/>
          <w:sz w:val="22"/>
          <w:szCs w:val="22"/>
        </w:rPr>
        <w:t>conjuntamente con</w:t>
      </w:r>
      <w:proofErr w:type="gramEnd"/>
      <w:r w:rsidRPr="00FC5794">
        <w:rPr>
          <w:rFonts w:ascii="Arial" w:hAnsi="Arial" w:cs="Arial"/>
          <w:sz w:val="22"/>
          <w:szCs w:val="22"/>
        </w:rPr>
        <w:t xml:space="preserve"> los auditores externos, el enfoque y su plan de auditoría para el ejercicio terminado el 31 de mayo de 20</w:t>
      </w:r>
      <w:r>
        <w:rPr>
          <w:rFonts w:ascii="Arial" w:hAnsi="Arial" w:cs="Arial"/>
          <w:sz w:val="22"/>
          <w:szCs w:val="22"/>
        </w:rPr>
        <w:t>20</w:t>
      </w:r>
      <w:r w:rsidRPr="00FC5794">
        <w:rPr>
          <w:rFonts w:ascii="Arial" w:hAnsi="Arial" w:cs="Arial"/>
          <w:sz w:val="22"/>
          <w:szCs w:val="22"/>
        </w:rPr>
        <w:t>.”</w:t>
      </w:r>
    </w:p>
    <w:p w14:paraId="6BD5C00F"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 xml:space="preserve">“Se analizó la independencia de los auditores externos respecto de la Sociedad. En este análisis se tuvo en cuenta la prestación, por parte de Deloitte &amp; Co S.A. de otros servicios distintos de la auditoría externa.” </w:t>
      </w:r>
    </w:p>
    <w:p w14:paraId="0235F34B"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 xml:space="preserve">“Se evaluó el resultado de los exámenes de los auditores externos y sus conclusiones sobre la confiabilidad del control interno, del sistema administrativo contable y de la información financiera o de otros hechos significativos presentada por </w:t>
      </w:r>
      <w:smartTag w:uri="urn:schemas-microsoft-com:office:smarttags" w:element="PersonName">
        <w:smartTagPr>
          <w:attr w:name="ProductID" w:val="la Sociedad"/>
        </w:smartTagPr>
        <w:r w:rsidRPr="00FC5794">
          <w:rPr>
            <w:rFonts w:ascii="Arial" w:hAnsi="Arial" w:cs="Arial"/>
            <w:sz w:val="22"/>
            <w:szCs w:val="22"/>
          </w:rPr>
          <w:t>la Sociedad</w:t>
        </w:r>
      </w:smartTag>
      <w:r w:rsidRPr="00FC5794">
        <w:rPr>
          <w:rFonts w:ascii="Arial" w:hAnsi="Arial" w:cs="Arial"/>
          <w:sz w:val="22"/>
          <w:szCs w:val="22"/>
        </w:rPr>
        <w:t xml:space="preserve"> a </w:t>
      </w:r>
      <w:smartTag w:uri="urn:schemas-microsoft-com:office:smarttags" w:element="PersonName">
        <w:smartTagPr>
          <w:attr w:name="ProductID" w:val="la Comisi￳n Nacional"/>
        </w:smartTagPr>
        <w:r w:rsidRPr="00FC5794">
          <w:rPr>
            <w:rFonts w:ascii="Arial" w:hAnsi="Arial" w:cs="Arial"/>
            <w:sz w:val="22"/>
            <w:szCs w:val="22"/>
          </w:rPr>
          <w:t>la Comisión Nacional</w:t>
        </w:r>
      </w:smartTag>
      <w:r w:rsidRPr="00FC5794">
        <w:rPr>
          <w:rFonts w:ascii="Arial" w:hAnsi="Arial" w:cs="Arial"/>
          <w:sz w:val="22"/>
          <w:szCs w:val="22"/>
        </w:rPr>
        <w:t xml:space="preserve"> de Valores.”</w:t>
      </w:r>
    </w:p>
    <w:p w14:paraId="6AC330D3"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“Se supervisó la aplicación de políticas en materia de Información sobre Gestión de Riesgos de la Sociedad.”</w:t>
      </w:r>
    </w:p>
    <w:p w14:paraId="5D3511C7"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“Se supervisó la aplicación de políticas en materia de comunicación de Hechos Relevantes.”</w:t>
      </w:r>
    </w:p>
    <w:p w14:paraId="57F7EB30"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“Se revisaron y analizaron los estados contables de Celulosa Argentina S.A. con los niveles gerenciales de la Sociedad y con Deloitte &amp; Co S.A.”</w:t>
      </w:r>
    </w:p>
    <w:p w14:paraId="5D067FDB"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“Se analizaron las transacciones con partes relacionadas en los casos establecidos por la Ley de Mercado de Mercado de Capitales 26.831.”</w:t>
      </w:r>
    </w:p>
    <w:p w14:paraId="5D63D238" w14:textId="77777777" w:rsidR="00A36119" w:rsidRPr="00FC5794" w:rsidRDefault="00A36119" w:rsidP="00A36119">
      <w:pPr>
        <w:numPr>
          <w:ilvl w:val="0"/>
          <w:numId w:val="1"/>
        </w:numPr>
        <w:jc w:val="both"/>
        <w:rPr>
          <w:rFonts w:ascii="Arial" w:hAnsi="Arial" w:cs="Arial"/>
          <w:sz w:val="22"/>
          <w:szCs w:val="22"/>
        </w:rPr>
      </w:pPr>
      <w:r w:rsidRPr="00FC5794">
        <w:rPr>
          <w:rFonts w:ascii="Arial" w:hAnsi="Arial" w:cs="Arial"/>
          <w:sz w:val="22"/>
          <w:szCs w:val="22"/>
        </w:rPr>
        <w:t>“Se supervisó el funcionamiento del sistema de control interno de la Compañía.”</w:t>
      </w:r>
    </w:p>
    <w:p w14:paraId="59848A21" w14:textId="77777777" w:rsidR="00A36119" w:rsidRPr="00FC5794" w:rsidRDefault="00A36119" w:rsidP="00A36119">
      <w:pPr>
        <w:jc w:val="both"/>
        <w:rPr>
          <w:rFonts w:ascii="Arial" w:hAnsi="Arial" w:cs="Arial"/>
          <w:sz w:val="22"/>
          <w:szCs w:val="22"/>
        </w:rPr>
      </w:pPr>
    </w:p>
    <w:p w14:paraId="4CB40162" w14:textId="77777777" w:rsidR="00A36119" w:rsidRPr="00FC5794" w:rsidRDefault="00A36119" w:rsidP="00A36119">
      <w:pPr>
        <w:jc w:val="both"/>
        <w:rPr>
          <w:rFonts w:ascii="Arial" w:hAnsi="Arial" w:cs="Arial"/>
          <w:sz w:val="22"/>
          <w:szCs w:val="22"/>
        </w:rPr>
      </w:pPr>
      <w:r w:rsidRPr="00FC5794">
        <w:rPr>
          <w:rFonts w:ascii="Arial" w:hAnsi="Arial" w:cs="Arial"/>
          <w:sz w:val="22"/>
          <w:szCs w:val="22"/>
        </w:rPr>
        <w:t xml:space="preserve">“Basados en nuestras revisiones, reuniones con los auditores externos, análisis efectuados e informes considerados, y sujetos a las limitaciones del rol del Comité de Auditoría mencionado en el párrafo segundo del presente, manifestamos que no tenemos observaciones que formular respecto a las materias de nuestra competencia.” </w:t>
      </w:r>
    </w:p>
    <w:p w14:paraId="30A5EDEF" w14:textId="77777777" w:rsidR="00A36119" w:rsidRPr="00FC5794" w:rsidRDefault="00A36119" w:rsidP="00A36119">
      <w:pPr>
        <w:spacing w:line="360" w:lineRule="auto"/>
        <w:ind w:firstLine="708"/>
        <w:jc w:val="both"/>
        <w:rPr>
          <w:rFonts w:ascii="Arial" w:hAnsi="Arial" w:cs="Arial"/>
          <w:sz w:val="22"/>
          <w:szCs w:val="22"/>
        </w:rPr>
      </w:pPr>
    </w:p>
    <w:p w14:paraId="68A5C1CA" w14:textId="77777777" w:rsidR="00A36119" w:rsidRPr="00FC5794" w:rsidRDefault="00A36119" w:rsidP="00A36119">
      <w:pPr>
        <w:spacing w:line="360" w:lineRule="auto"/>
        <w:jc w:val="both"/>
        <w:rPr>
          <w:rFonts w:ascii="Arial" w:hAnsi="Arial" w:cs="Arial"/>
          <w:szCs w:val="24"/>
        </w:rPr>
      </w:pPr>
      <w:r w:rsidRPr="00FC5794">
        <w:rPr>
          <w:rFonts w:ascii="Arial" w:hAnsi="Arial" w:cs="Arial"/>
          <w:sz w:val="22"/>
          <w:szCs w:val="22"/>
        </w:rPr>
        <w:t xml:space="preserve">“Capitán Bermúdez, </w:t>
      </w:r>
      <w:r>
        <w:rPr>
          <w:rFonts w:ascii="Arial" w:hAnsi="Arial" w:cs="Arial"/>
          <w:sz w:val="22"/>
          <w:szCs w:val="22"/>
        </w:rPr>
        <w:t>21</w:t>
      </w:r>
      <w:r w:rsidRPr="00FC5794">
        <w:rPr>
          <w:rFonts w:ascii="Arial" w:hAnsi="Arial" w:cs="Arial"/>
          <w:sz w:val="22"/>
          <w:szCs w:val="22"/>
        </w:rPr>
        <w:t xml:space="preserve"> de agosto de 20</w:t>
      </w:r>
      <w:r>
        <w:rPr>
          <w:rFonts w:ascii="Arial" w:hAnsi="Arial" w:cs="Arial"/>
          <w:sz w:val="22"/>
          <w:szCs w:val="22"/>
        </w:rPr>
        <w:t>20</w:t>
      </w:r>
      <w:r w:rsidRPr="00FC5794">
        <w:rPr>
          <w:rFonts w:ascii="Arial" w:hAnsi="Arial" w:cs="Arial"/>
          <w:sz w:val="22"/>
          <w:szCs w:val="22"/>
        </w:rPr>
        <w:t>.”</w:t>
      </w:r>
    </w:p>
    <w:p w14:paraId="3A0845AA" w14:textId="77777777" w:rsidR="00A36119" w:rsidRPr="00FC5794" w:rsidRDefault="00A36119" w:rsidP="00A36119">
      <w:pPr>
        <w:rPr>
          <w:rFonts w:ascii="Arial" w:hAnsi="Arial" w:cs="Arial"/>
          <w:sz w:val="20"/>
        </w:rPr>
      </w:pPr>
      <w:r w:rsidRPr="00FC5794">
        <w:rPr>
          <w:rFonts w:ascii="Arial" w:hAnsi="Arial" w:cs="Arial"/>
          <w:sz w:val="20"/>
        </w:rPr>
        <w:t xml:space="preserve">“Firmado: Diego Tuttolomondo, </w:t>
      </w:r>
      <w:proofErr w:type="gramStart"/>
      <w:r w:rsidRPr="00FC5794">
        <w:rPr>
          <w:rFonts w:ascii="Arial" w:hAnsi="Arial" w:cs="Arial"/>
          <w:sz w:val="20"/>
        </w:rPr>
        <w:t>Presidente</w:t>
      </w:r>
      <w:proofErr w:type="gramEnd"/>
      <w:r w:rsidRPr="00FC5794">
        <w:rPr>
          <w:rFonts w:ascii="Arial" w:hAnsi="Arial" w:cs="Arial"/>
          <w:sz w:val="20"/>
        </w:rPr>
        <w:t xml:space="preserve"> del Comité de Auditoría”</w:t>
      </w:r>
    </w:p>
    <w:p w14:paraId="6A655815" w14:textId="77777777" w:rsidR="00A36119" w:rsidRPr="00FC5794" w:rsidRDefault="00A36119" w:rsidP="00A36119">
      <w:pPr>
        <w:rPr>
          <w:rFonts w:ascii="Arial" w:hAnsi="Arial" w:cs="Arial"/>
          <w:sz w:val="22"/>
          <w:szCs w:val="22"/>
        </w:rPr>
      </w:pPr>
    </w:p>
    <w:p w14:paraId="3D105056" w14:textId="77777777" w:rsidR="008853AD" w:rsidRDefault="008853AD"/>
    <w:sectPr w:rsidR="008853AD" w:rsidSect="00EC1494">
      <w:footerReference w:type="default" r:id="rId5"/>
      <w:pgSz w:w="12240" w:h="20160" w:code="5"/>
      <w:pgMar w:top="3119" w:right="851" w:bottom="2552" w:left="2552" w:header="0" w:footer="284" w:gutter="0"/>
      <w:pgNumType w:start="2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108DA" w14:textId="77777777" w:rsidR="00426CE7" w:rsidRDefault="00A36119">
    <w:pPr>
      <w:pStyle w:val="Piedepgina"/>
    </w:pPr>
  </w:p>
  <w:p w14:paraId="55ED6A43" w14:textId="77777777" w:rsidR="00426CE7" w:rsidRDefault="00A36119">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6425"/>
    <w:multiLevelType w:val="hybridMultilevel"/>
    <w:tmpl w:val="54E64DE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9"/>
    <w:rsid w:val="008853AD"/>
    <w:rsid w:val="00A361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EC979D"/>
  <w15:chartTrackingRefBased/>
  <w15:docId w15:val="{6DFC9559-D7B4-4B6F-AEAC-35AF6023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19"/>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36119"/>
    <w:pPr>
      <w:tabs>
        <w:tab w:val="center" w:pos="4320"/>
        <w:tab w:val="right" w:pos="8640"/>
      </w:tabs>
      <w:jc w:val="both"/>
    </w:pPr>
    <w:rPr>
      <w:lang w:val="es-ES_tradnl" w:eastAsia="en-US"/>
    </w:rPr>
  </w:style>
  <w:style w:type="character" w:customStyle="1" w:styleId="PiedepginaCar">
    <w:name w:val="Pie de página Car"/>
    <w:basedOn w:val="Fuentedeprrafopredeter"/>
    <w:link w:val="Piedepgina"/>
    <w:uiPriority w:val="99"/>
    <w:rsid w:val="00A36119"/>
    <w:rPr>
      <w:rFonts w:ascii="Times New Roman" w:eastAsia="Times New Roman" w:hAnsi="Times New Roman"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2653</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Gimbatti</dc:creator>
  <cp:keywords/>
  <dc:description/>
  <cp:lastModifiedBy>Amalia Gimbatti</cp:lastModifiedBy>
  <cp:revision>1</cp:revision>
  <dcterms:created xsi:type="dcterms:W3CDTF">2020-08-21T17:55:00Z</dcterms:created>
  <dcterms:modified xsi:type="dcterms:W3CDTF">2020-08-21T17:55:00Z</dcterms:modified>
</cp:coreProperties>
</file>