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EC0C3" w14:textId="77777777" w:rsidR="00AB4BDC" w:rsidRPr="00AB4BDC" w:rsidRDefault="00AB4BDC" w:rsidP="00AB4BDC">
      <w:pPr>
        <w:widowControl w:val="0"/>
        <w:spacing w:after="0" w:line="240" w:lineRule="auto"/>
        <w:ind w:right="69"/>
        <w:jc w:val="center"/>
        <w:rPr>
          <w:rFonts w:ascii="Verdana" w:eastAsia="Times New Roman" w:hAnsi="Verdana" w:cs="Times New Roman"/>
          <w:b/>
          <w:sz w:val="17"/>
          <w:szCs w:val="17"/>
          <w:u w:val="single"/>
          <w:lang w:val="es-ES_tradnl" w:eastAsia="es-ES"/>
        </w:rPr>
      </w:pPr>
      <w:r w:rsidRPr="00AB4BDC">
        <w:rPr>
          <w:rFonts w:ascii="Verdana" w:eastAsia="Times New Roman" w:hAnsi="Verdana" w:cs="Times New Roman"/>
          <w:b/>
          <w:sz w:val="17"/>
          <w:szCs w:val="17"/>
          <w:u w:val="single"/>
          <w:lang w:val="es-ES_tradnl" w:eastAsia="es-ES"/>
        </w:rPr>
        <w:t>CELULOSA ARGENTINA SOCIEDAD ANÓNIMA</w:t>
      </w:r>
    </w:p>
    <w:p w14:paraId="3F55B229" w14:textId="77777777" w:rsidR="00AB4BDC" w:rsidRPr="00AB4BDC" w:rsidRDefault="00AB4BDC" w:rsidP="00AB4BDC">
      <w:pPr>
        <w:widowControl w:val="0"/>
        <w:spacing w:after="0" w:line="240" w:lineRule="auto"/>
        <w:jc w:val="center"/>
        <w:rPr>
          <w:rFonts w:ascii="Verdana" w:eastAsia="Times New Roman" w:hAnsi="Verdana" w:cs="Times New Roman"/>
          <w:b/>
          <w:sz w:val="17"/>
          <w:szCs w:val="17"/>
          <w:u w:val="single"/>
          <w:lang w:val="es-ES_tradnl" w:eastAsia="es-ES"/>
        </w:rPr>
      </w:pPr>
    </w:p>
    <w:p w14:paraId="55A0A702" w14:textId="77777777" w:rsidR="00AB4BDC" w:rsidRPr="00AB4BDC" w:rsidRDefault="00AB4BDC" w:rsidP="00AB4BDC">
      <w:pPr>
        <w:keepNext/>
        <w:widowControl w:val="0"/>
        <w:spacing w:after="0" w:line="240" w:lineRule="auto"/>
        <w:jc w:val="center"/>
        <w:outlineLvl w:val="3"/>
        <w:rPr>
          <w:rFonts w:ascii="Verdana" w:eastAsia="Times New Roman" w:hAnsi="Verdana" w:cs="Times New Roman"/>
          <w:b/>
          <w:bCs/>
          <w:sz w:val="17"/>
          <w:szCs w:val="17"/>
          <w:lang w:val="es-ES_tradnl" w:eastAsia="es-ES"/>
        </w:rPr>
      </w:pPr>
      <w:r w:rsidRPr="00AB4BDC">
        <w:rPr>
          <w:rFonts w:ascii="Verdana" w:eastAsia="Times New Roman" w:hAnsi="Verdana" w:cs="Times New Roman"/>
          <w:b/>
          <w:bCs/>
          <w:sz w:val="17"/>
          <w:szCs w:val="17"/>
          <w:lang w:val="es-ES_tradnl" w:eastAsia="es-ES"/>
        </w:rPr>
        <w:t>RESEÑA INFORMATIVA SOBRE EL PRIMER PERÍODO DE TRES MESES DEL EJERCICIO 2020/2021</w:t>
      </w:r>
    </w:p>
    <w:p w14:paraId="0F33E8F2" w14:textId="77777777" w:rsidR="00AB4BDC" w:rsidRPr="00AB4BDC" w:rsidRDefault="00AB4BDC" w:rsidP="00AB4BDC">
      <w:pPr>
        <w:widowControl w:val="0"/>
        <w:spacing w:after="0" w:line="240" w:lineRule="auto"/>
        <w:rPr>
          <w:rFonts w:ascii="Verdana" w:eastAsia="Times New Roman" w:hAnsi="Verdana" w:cs="Times New Roman"/>
          <w:sz w:val="17"/>
          <w:szCs w:val="17"/>
          <w:lang w:val="es-ES_tradnl" w:eastAsia="es-ES"/>
        </w:rPr>
      </w:pPr>
    </w:p>
    <w:p w14:paraId="557C50FF" w14:textId="77777777" w:rsidR="00AB4BDC" w:rsidRPr="00AB4BDC" w:rsidRDefault="00AB4BDC" w:rsidP="00AB4BDC">
      <w:pPr>
        <w:widowControl w:val="0"/>
        <w:spacing w:after="0" w:line="240" w:lineRule="auto"/>
        <w:jc w:val="center"/>
        <w:rPr>
          <w:rFonts w:ascii="Verdana" w:eastAsia="Times New Roman" w:hAnsi="Verdana" w:cs="Times New Roman"/>
          <w:sz w:val="17"/>
          <w:szCs w:val="17"/>
          <w:lang w:val="es-ES_tradnl" w:eastAsia="es-ES"/>
        </w:rPr>
      </w:pPr>
    </w:p>
    <w:p w14:paraId="1D3C329C" w14:textId="77777777" w:rsidR="00AB4BDC" w:rsidRPr="00AB4BDC" w:rsidRDefault="00AB4BDC" w:rsidP="00AB4BDC">
      <w:pPr>
        <w:widowControl w:val="0"/>
        <w:spacing w:after="0" w:line="240" w:lineRule="auto"/>
        <w:jc w:val="both"/>
        <w:rPr>
          <w:rFonts w:ascii="Verdana" w:eastAsia="Times New Roman" w:hAnsi="Verdana" w:cs="Times New Roman"/>
          <w:b/>
          <w:sz w:val="17"/>
          <w:szCs w:val="17"/>
          <w:lang w:val="es-ES_tradnl" w:eastAsia="es-ES"/>
        </w:rPr>
      </w:pPr>
      <w:r w:rsidRPr="00AB4BDC">
        <w:rPr>
          <w:rFonts w:ascii="Verdana" w:eastAsia="Times New Roman" w:hAnsi="Verdana" w:cs="Times New Roman"/>
          <w:b/>
          <w:bCs/>
          <w:sz w:val="17"/>
          <w:szCs w:val="17"/>
          <w:lang w:val="es-ES" w:eastAsia="es-ES"/>
        </w:rPr>
        <w:t>1. Breve comentario sobre actividades</w:t>
      </w:r>
    </w:p>
    <w:p w14:paraId="296E5AB2"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099A3835"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7C6AFF0D"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El resultado bruto del período de tres meses finalizado el 31 de agosto de 2020 arrojó una ganancia de $674,3 millones, mientras que el mismo período del ejercicio anterior arrojó una ganancia de $504,9 millones, lo que representa un incremento del 34%. Esto se debe, principalmente, a una combinación de </w:t>
      </w:r>
      <w:proofErr w:type="spellStart"/>
      <w:r w:rsidRPr="00AB4BDC">
        <w:rPr>
          <w:rFonts w:ascii="Verdana" w:eastAsia="Times New Roman" w:hAnsi="Verdana" w:cs="Times New Roman"/>
          <w:sz w:val="17"/>
          <w:szCs w:val="17"/>
          <w:lang w:val="es-ES" w:eastAsia="es-ES"/>
        </w:rPr>
        <w:t>mix</w:t>
      </w:r>
      <w:proofErr w:type="spellEnd"/>
      <w:r w:rsidRPr="00AB4BDC">
        <w:rPr>
          <w:rFonts w:ascii="Verdana" w:eastAsia="Times New Roman" w:hAnsi="Verdana" w:cs="Times New Roman"/>
          <w:sz w:val="17"/>
          <w:szCs w:val="17"/>
          <w:lang w:val="es-ES" w:eastAsia="es-ES"/>
        </w:rPr>
        <w:t xml:space="preserve"> de ventas, precios y baja de costo de producción, por la baja del precio del gas, respecto al mismo periodo del año anterior. </w:t>
      </w:r>
    </w:p>
    <w:p w14:paraId="2FC77F99"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1376DD63"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El resultado operativo del período de tres meses finalizado el 31 de agosto de 2020 arrojó una ganancia de $386,6 millones, mientras que el mismo período del ejercicio anterior arrojó una pérdida de $55,8 millones, como consecuencia de lo mencionado en el párrafo anterior, menores gastos de distribución, administración y publicidad y la incidencia de la ganancia por cambios en el valor razonable de los activos biológicos en el período de tres meses bajo análisis respecto de la pérdida en el mismo período del ejercicio anterior.</w:t>
      </w:r>
    </w:p>
    <w:p w14:paraId="5217D968"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77FC5EB1"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El resultado del período de tres meses en análisis ascendió a una pérdida de $281,4 millones, mientras que el período en comparación arrojó una pérdida de $1.964,4 millones. </w:t>
      </w:r>
    </w:p>
    <w:p w14:paraId="27C9AC6E"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7EE8C2D0"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El resultado integral del período de tres meses en análisis fue una pérdida de $275,9 millones, frente a una pérdida de $1.812,3 millones en el mismo período del ejercicio anterior.</w:t>
      </w:r>
    </w:p>
    <w:p w14:paraId="42869103"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3F75E5D9"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Los ingresos de actividades ordinarias ascendieron a $3.648,5 millones, que representan una disminución del 5,2% sobre el mismo período de tres meses del ejercicio precedente, mientras los costos de ventas disminuyeron un 11%. </w:t>
      </w:r>
    </w:p>
    <w:p w14:paraId="28FF93CB"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6FD5A40A"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En Celulosa Argentina, los ingresos por actividades ordinarias disminuyeron 5,3%, como consecuencia de disponer para el período de tres meses en análisis de un mayor volumen de producto para la venta debido a la parada por mantenimiento de la planta de Capitán Bermúdez en el mismo período del ejercicio anterior y de mayores ventas en el mercado local de embalaje y en el mercado exterior de </w:t>
      </w:r>
      <w:proofErr w:type="spellStart"/>
      <w:r w:rsidRPr="00AB4BDC">
        <w:rPr>
          <w:rFonts w:ascii="Verdana" w:eastAsia="Times New Roman" w:hAnsi="Verdana" w:cs="Times New Roman"/>
          <w:sz w:val="17"/>
          <w:szCs w:val="17"/>
          <w:lang w:val="es-ES" w:eastAsia="es-ES"/>
        </w:rPr>
        <w:t>tissue</w:t>
      </w:r>
      <w:proofErr w:type="spellEnd"/>
      <w:r w:rsidRPr="00AB4BDC">
        <w:rPr>
          <w:rFonts w:ascii="Verdana" w:eastAsia="Times New Roman" w:hAnsi="Verdana" w:cs="Times New Roman"/>
          <w:sz w:val="17"/>
          <w:szCs w:val="17"/>
          <w:lang w:val="es-ES" w:eastAsia="es-ES"/>
        </w:rPr>
        <w:t xml:space="preserve"> y papel </w:t>
      </w:r>
      <w:proofErr w:type="gramStart"/>
      <w:r w:rsidRPr="00AB4BDC">
        <w:rPr>
          <w:rFonts w:ascii="Verdana" w:eastAsia="Times New Roman" w:hAnsi="Verdana" w:cs="Times New Roman"/>
          <w:sz w:val="17"/>
          <w:szCs w:val="17"/>
          <w:lang w:val="es-ES" w:eastAsia="es-ES"/>
        </w:rPr>
        <w:t>obra</w:t>
      </w:r>
      <w:proofErr w:type="gramEnd"/>
      <w:r w:rsidRPr="00AB4BDC">
        <w:rPr>
          <w:rFonts w:ascii="Verdana" w:eastAsia="Times New Roman" w:hAnsi="Verdana" w:cs="Times New Roman"/>
          <w:sz w:val="17"/>
          <w:szCs w:val="17"/>
          <w:lang w:val="es-ES" w:eastAsia="es-ES"/>
        </w:rPr>
        <w:t xml:space="preserve"> así como mayor venta de pasta. Mientras tanto, los costos de ventas disminuyeron un 12,5%. </w:t>
      </w:r>
    </w:p>
    <w:p w14:paraId="720316E8"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7B92A51C"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En Celulosa Argentina, la producción de papeles de impresión y escritura, papeles </w:t>
      </w:r>
      <w:proofErr w:type="spellStart"/>
      <w:r w:rsidRPr="00AB4BDC">
        <w:rPr>
          <w:rFonts w:ascii="Verdana" w:eastAsia="Times New Roman" w:hAnsi="Verdana" w:cs="Times New Roman"/>
          <w:sz w:val="17"/>
          <w:szCs w:val="17"/>
          <w:lang w:val="es-ES" w:eastAsia="es-ES"/>
        </w:rPr>
        <w:t>tissue</w:t>
      </w:r>
      <w:proofErr w:type="spellEnd"/>
      <w:r w:rsidRPr="00AB4BDC">
        <w:rPr>
          <w:rFonts w:ascii="Verdana" w:eastAsia="Times New Roman" w:hAnsi="Verdana" w:cs="Times New Roman"/>
          <w:sz w:val="17"/>
          <w:szCs w:val="17"/>
          <w:lang w:val="es-ES" w:eastAsia="es-ES"/>
        </w:rPr>
        <w:t xml:space="preserve"> y pulpa de mercado de eucaliptus del período de tres meses finalizado el 31 de agosto de 2020 fue de 42.988 toneladas, cifra un 8,8 % superior al del mismo período del ejercicio anterior. Esta diferencia se debe principalmente a la realización de la parada de planta llevada a cabo durante los meses de junio y julio del 2019.</w:t>
      </w:r>
    </w:p>
    <w:p w14:paraId="43D5137D"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6059870A"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La facturación de papel para impresión y escritura, estucados y no estucados, de </w:t>
      </w:r>
      <w:proofErr w:type="spellStart"/>
      <w:r w:rsidRPr="00AB4BDC">
        <w:rPr>
          <w:rFonts w:ascii="Verdana" w:eastAsia="Times New Roman" w:hAnsi="Verdana" w:cs="Times New Roman"/>
          <w:sz w:val="17"/>
          <w:szCs w:val="17"/>
          <w:lang w:val="es-ES" w:eastAsia="es-ES"/>
        </w:rPr>
        <w:t>Fanapel</w:t>
      </w:r>
      <w:proofErr w:type="spellEnd"/>
      <w:r w:rsidRPr="00AB4BDC">
        <w:rPr>
          <w:rFonts w:ascii="Verdana" w:eastAsia="Times New Roman" w:hAnsi="Verdana" w:cs="Times New Roman"/>
          <w:sz w:val="17"/>
          <w:szCs w:val="17"/>
          <w:lang w:val="es-ES" w:eastAsia="es-ES"/>
        </w:rPr>
        <w:t xml:space="preserve"> consolidada de este período de tres meses ascendió a $235,6 millones, disminuyendo 29% respecto del mismo período del ejercicio anterior.</w:t>
      </w:r>
    </w:p>
    <w:p w14:paraId="659E624C"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082DEB62"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En </w:t>
      </w:r>
      <w:proofErr w:type="spellStart"/>
      <w:r w:rsidRPr="00AB4BDC">
        <w:rPr>
          <w:rFonts w:ascii="Verdana" w:eastAsia="Times New Roman" w:hAnsi="Verdana" w:cs="Times New Roman"/>
          <w:sz w:val="17"/>
          <w:szCs w:val="17"/>
          <w:lang w:val="es-ES" w:eastAsia="es-ES"/>
        </w:rPr>
        <w:t>Forestadora</w:t>
      </w:r>
      <w:proofErr w:type="spellEnd"/>
      <w:r w:rsidRPr="00AB4BDC">
        <w:rPr>
          <w:rFonts w:ascii="Verdana" w:eastAsia="Times New Roman" w:hAnsi="Verdana" w:cs="Times New Roman"/>
          <w:sz w:val="17"/>
          <w:szCs w:val="17"/>
          <w:lang w:val="es-ES" w:eastAsia="es-ES"/>
        </w:rPr>
        <w:t xml:space="preserve"> </w:t>
      </w:r>
      <w:proofErr w:type="spellStart"/>
      <w:r w:rsidRPr="00AB4BDC">
        <w:rPr>
          <w:rFonts w:ascii="Verdana" w:eastAsia="Times New Roman" w:hAnsi="Verdana" w:cs="Times New Roman"/>
          <w:sz w:val="17"/>
          <w:szCs w:val="17"/>
          <w:lang w:val="es-ES" w:eastAsia="es-ES"/>
        </w:rPr>
        <w:t>Tapebicuá</w:t>
      </w:r>
      <w:proofErr w:type="spellEnd"/>
      <w:r w:rsidRPr="00AB4BDC">
        <w:rPr>
          <w:rFonts w:ascii="Verdana" w:eastAsia="Times New Roman" w:hAnsi="Verdana" w:cs="Times New Roman"/>
          <w:sz w:val="17"/>
          <w:szCs w:val="17"/>
          <w:lang w:val="es-ES" w:eastAsia="es-ES"/>
        </w:rPr>
        <w:t xml:space="preserve">, la facturación fue de $282,3 millones, lo que representó una disminución del 10% con respecto a igual período del ejercicio anterior. Dicho descenso es producto del estancamiento de la actividad de la construcción a raíz del cumplimiento del “aislamiento social, preventivo y obligatorio” conforme al Decreto 297/2020. Del mismo modo, se verifica un incremento de la demanda durante el período de tres meses, llegando en agosto, a niveles de actividad semejantes a los anteriores a la pandemia. </w:t>
      </w:r>
    </w:p>
    <w:p w14:paraId="64ABC60C"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2CD9A416"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En TC Rey, las ventas totales se incrementaron levemente, producto de la reactivación de la exportación.</w:t>
      </w:r>
    </w:p>
    <w:p w14:paraId="34789EC8" w14:textId="77777777" w:rsidR="00AB4BDC" w:rsidRPr="00AB4BDC" w:rsidRDefault="00AB4BDC" w:rsidP="00AB4BDC">
      <w:pPr>
        <w:widowControl w:val="0"/>
        <w:spacing w:after="0" w:line="240" w:lineRule="auto"/>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br w:type="page"/>
      </w:r>
    </w:p>
    <w:p w14:paraId="6057278A"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lastRenderedPageBreak/>
        <w:t>El resultado por cambio en el valor razonable de los activos biológicos fue una ganancia de $101,2 millones en el período de tres meses finalizado el 31 de agosto de 2020, mientras que en el mismo período del ejercicio anterior ascendió a una pérdida de $148,7 millones.</w:t>
      </w:r>
    </w:p>
    <w:p w14:paraId="0A94B440"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05D3A9EF"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Los costos de distribución y los gastos de administración, en su conjunto, disminuyeron $44,8 millones respecto del mismo período del ejercicio anterior, como consecuencia principalmente de menores gastos de entrega por fletes y derechos de exportación como consecuencia de menores ventas.</w:t>
      </w:r>
    </w:p>
    <w:p w14:paraId="242AEF85"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1E3395EA"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Al 31 de agosto de 2020 se registró un cargo de Gastos de arrendamientos de $23 millones producto de la aplicación de la NIIF 16.</w:t>
      </w:r>
    </w:p>
    <w:p w14:paraId="3C0AE842"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097CF2F0"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Los otros egresos arrojaron una pérdida de $13,6 millones durante el período de tres meses finalizado el 31 de agosto de 2020, mientras que en el mismo período del ejercicio anterior representaron una pérdida de $27,4 millones.</w:t>
      </w:r>
    </w:p>
    <w:p w14:paraId="19809531"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74E82E85"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Los egresos financieros arrojaron una pérdida de $364,8 millones durante el período de tres meses finalizado el 31 de agosto de 2020, mientras que en el mismo período del ejercicio anterior representaron una pérdida de $408,2 millones. </w:t>
      </w:r>
    </w:p>
    <w:p w14:paraId="0A4DAD97"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61092457"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La diferencia de cambio neta arrojó una pérdida de $299,6 millones durante el período de tres meses finalizado el 31 de agosto de 2020, mientras que en el mismo período del ejercicio anterior representó una pérdida de $2.401,4 millones, producto de la devaluación del peso argentino respecto del dólar estadounidense, medida en términos reales.</w:t>
      </w:r>
    </w:p>
    <w:p w14:paraId="36C3F712"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16EA42BC"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Al 31 de agosto de 2020, se registró una ganancia por exposición a los cambios en el poder adquisitivo de la moneda de $37,4 millones, mientras que en el mismo período del ejercicio anterior la ganancia ascendió a $270,8 millones. La variación obedece al impacto de la tasa de inflación sobre la posición monetaria neta de la Sociedad, expuesta a la inflación.</w:t>
      </w:r>
    </w:p>
    <w:p w14:paraId="340EEDEE"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3BCA8FD0"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Al 31 de agosto de 2020, se registró una pérdida por impuesto a las ganancias de $89,7 millones, mientras que en el mismo período del ejercicio anterior se registró un beneficio de $615 millones.</w:t>
      </w:r>
    </w:p>
    <w:p w14:paraId="64FBFBEC"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31FC7303"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Al 31 de agosto de 2020, se registró una ganancia por ajuste por conversión de sociedades controladas del exterior de $5,3 millones, mientras que en el mismo período del ejercicio anterior se había registrado una ganancia de $149,6 millones.</w:t>
      </w:r>
    </w:p>
    <w:p w14:paraId="3CD5119B"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55114724"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Al 31 de agosto de 2020, se registró una ganancia por cambio en el valor razonable de activos financieros de $0,3 millones, mientras que en el mismo período del ejercicio anterior se registró una ganancia de $2,5 millones, para reflejar el valor razonable de los valores al cobro.</w:t>
      </w:r>
    </w:p>
    <w:p w14:paraId="12E31622"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2CD4D8F7"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La dotación total del Grupo alcanzó, al 31 de agosto de 2020, la cantidad de 1.444 personas.</w:t>
      </w:r>
    </w:p>
    <w:p w14:paraId="7C94418F"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MX" w:eastAsia="es-ES"/>
        </w:rPr>
      </w:pPr>
    </w:p>
    <w:p w14:paraId="5EA4163D"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MX" w:eastAsia="es-ES"/>
        </w:rPr>
      </w:pPr>
    </w:p>
    <w:p w14:paraId="57F615C6" w14:textId="77777777" w:rsidR="00AB4BDC" w:rsidRPr="00AB4BDC" w:rsidRDefault="00AB4BDC" w:rsidP="00AB4BDC">
      <w:pPr>
        <w:widowControl w:val="0"/>
        <w:spacing w:after="0" w:line="240" w:lineRule="auto"/>
        <w:jc w:val="both"/>
        <w:rPr>
          <w:rFonts w:ascii="Verdana" w:eastAsia="Times New Roman" w:hAnsi="Verdana" w:cs="Times New Roman"/>
          <w:b/>
          <w:bCs/>
          <w:sz w:val="17"/>
          <w:szCs w:val="17"/>
          <w:lang w:val="es-ES" w:eastAsia="es-ES"/>
        </w:rPr>
      </w:pPr>
      <w:r w:rsidRPr="00AB4BDC">
        <w:rPr>
          <w:rFonts w:ascii="Verdana" w:eastAsia="Times New Roman" w:hAnsi="Verdana" w:cs="Times New Roman"/>
          <w:b/>
          <w:bCs/>
          <w:sz w:val="17"/>
          <w:szCs w:val="17"/>
          <w:lang w:val="es-ES_tradnl" w:eastAsia="es-ES"/>
        </w:rPr>
        <w:t>2. Información comparativa.</w:t>
      </w:r>
    </w:p>
    <w:p w14:paraId="16AE3130"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33A1B343"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En los anexos 1 y 2 adjuntos, se incluye información comparativa con períodos anteriores relacionada con la estructura patrimonial, de resultados y de flujos de efectivo, datos estadísticos e índices. </w:t>
      </w:r>
    </w:p>
    <w:p w14:paraId="5D66ED5A" w14:textId="77777777" w:rsidR="00AB4BDC" w:rsidRPr="00AB4BDC" w:rsidRDefault="00AB4BDC" w:rsidP="00AB4BDC">
      <w:pPr>
        <w:widowControl w:val="0"/>
        <w:spacing w:after="0" w:line="240" w:lineRule="auto"/>
        <w:jc w:val="both"/>
        <w:rPr>
          <w:rFonts w:ascii="Verdana" w:eastAsia="Times New Roman" w:hAnsi="Verdana" w:cs="Times New Roman"/>
          <w:b/>
          <w:bCs/>
          <w:sz w:val="17"/>
          <w:szCs w:val="17"/>
          <w:lang w:val="es-ES_tradnl" w:eastAsia="es-ES"/>
        </w:rPr>
      </w:pPr>
    </w:p>
    <w:p w14:paraId="291351EA" w14:textId="641C5CA7" w:rsidR="00AB4BDC" w:rsidRDefault="00AB4BDC">
      <w:pPr>
        <w:rPr>
          <w:lang w:val="es-ES_tradnl"/>
        </w:rPr>
      </w:pPr>
    </w:p>
    <w:p w14:paraId="2F1B5832" w14:textId="471354B9" w:rsidR="00AB4BDC" w:rsidRDefault="00AB4BDC">
      <w:pPr>
        <w:rPr>
          <w:lang w:val="es-ES_tradnl"/>
        </w:rPr>
      </w:pPr>
    </w:p>
    <w:p w14:paraId="4BA61FE3" w14:textId="3F2229C5" w:rsidR="00AB4BDC" w:rsidRDefault="00AB4BDC">
      <w:pPr>
        <w:rPr>
          <w:lang w:val="es-ES_tradnl"/>
        </w:rPr>
      </w:pPr>
    </w:p>
    <w:p w14:paraId="1CA95065" w14:textId="267E06C3" w:rsidR="00AB4BDC" w:rsidRDefault="00AB4BDC">
      <w:pPr>
        <w:rPr>
          <w:lang w:val="es-ES_tradnl"/>
        </w:rPr>
      </w:pPr>
    </w:p>
    <w:p w14:paraId="4BD63909" w14:textId="7456F212" w:rsidR="00AB4BDC" w:rsidRDefault="00AB4BDC">
      <w:pPr>
        <w:rPr>
          <w:lang w:val="es-ES_tradnl"/>
        </w:rPr>
      </w:pPr>
    </w:p>
    <w:p w14:paraId="46919AA5" w14:textId="5AE67A64" w:rsidR="00AB4BDC" w:rsidRDefault="00AB4BDC">
      <w:pPr>
        <w:rPr>
          <w:lang w:val="es-ES_tradnl"/>
        </w:rPr>
      </w:pPr>
    </w:p>
    <w:p w14:paraId="56F22EFC" w14:textId="24015F87" w:rsidR="00AB4BDC" w:rsidRDefault="00AB4BDC">
      <w:pPr>
        <w:rPr>
          <w:lang w:val="es-ES_tradnl"/>
        </w:rPr>
      </w:pPr>
    </w:p>
    <w:p w14:paraId="03DB1EE5"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_tradnl" w:eastAsia="es-ES"/>
        </w:rPr>
      </w:pPr>
      <w:r w:rsidRPr="00AB4BDC">
        <w:rPr>
          <w:rFonts w:ascii="Verdana" w:eastAsia="Times New Roman" w:hAnsi="Verdana" w:cs="Times New Roman"/>
          <w:b/>
          <w:bCs/>
          <w:sz w:val="17"/>
          <w:szCs w:val="17"/>
          <w:lang w:val="es-ES_tradnl" w:eastAsia="es-ES"/>
        </w:rPr>
        <w:lastRenderedPageBreak/>
        <w:t>3. Breve comentario sobre perspectivas</w:t>
      </w:r>
    </w:p>
    <w:p w14:paraId="083CF563"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259E814D"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La Sociedad cerró su período de tres meses finalizado el 31 de agosto de 2020 dentro de un contexto extremadamente complejo debido a la situación generada por el coronavirus COVID–19. Gracias al esfuerzo realizado para operar en este desafiante entorno la Sociedad pudo generar una ganancia operativa de 386,6 millones de pesos, sin considerar las pérdidas por desvalorización de activos, otros ingresos y egresos del período. </w:t>
      </w:r>
    </w:p>
    <w:p w14:paraId="4CD33280"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5D4535EF"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Este fenómeno de escala global, ha afectado el desenvolvimiento y ralentizado en forma significativa la actividad económica general, sin que los analistas puedan brindar hasta el momento opiniones fundamentadas respecto al momento de que se podrá superar el impacto de la pandemia.   </w:t>
      </w:r>
    </w:p>
    <w:p w14:paraId="4332FF12"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167028F0"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 xml:space="preserve">La Sociedad ha puesto en vigor todas las medidas sanitarias recomendadas para la protección de su personal, clientes y proveedores, manteniendo en operación las áreas que fabrican productos “esenciales” y haciendo un gran esfuerzo para mantener abastecido el mercado de </w:t>
      </w:r>
      <w:proofErr w:type="spellStart"/>
      <w:r w:rsidRPr="00AB4BDC">
        <w:rPr>
          <w:rFonts w:ascii="Verdana" w:eastAsia="Times New Roman" w:hAnsi="Verdana" w:cs="Times New Roman"/>
          <w:sz w:val="17"/>
          <w:szCs w:val="17"/>
          <w:lang w:val="es-ES" w:eastAsia="es-ES"/>
        </w:rPr>
        <w:t>Tissue</w:t>
      </w:r>
      <w:proofErr w:type="spellEnd"/>
      <w:r w:rsidRPr="00AB4BDC">
        <w:rPr>
          <w:rFonts w:ascii="Verdana" w:eastAsia="Times New Roman" w:hAnsi="Verdana" w:cs="Times New Roman"/>
          <w:sz w:val="17"/>
          <w:szCs w:val="17"/>
          <w:lang w:val="es-ES" w:eastAsia="es-ES"/>
        </w:rPr>
        <w:t xml:space="preserve"> (higiene: papel y pulpa celulósica), </w:t>
      </w:r>
      <w:proofErr w:type="spellStart"/>
      <w:r w:rsidRPr="00AB4BDC">
        <w:rPr>
          <w:rFonts w:ascii="Verdana" w:eastAsia="Times New Roman" w:hAnsi="Verdana" w:cs="Times New Roman"/>
          <w:sz w:val="17"/>
          <w:szCs w:val="17"/>
          <w:lang w:val="es-ES" w:eastAsia="es-ES"/>
        </w:rPr>
        <w:t>packaging</w:t>
      </w:r>
      <w:proofErr w:type="spellEnd"/>
      <w:r w:rsidRPr="00AB4BDC">
        <w:rPr>
          <w:rFonts w:ascii="Verdana" w:eastAsia="Times New Roman" w:hAnsi="Verdana" w:cs="Times New Roman"/>
          <w:sz w:val="17"/>
          <w:szCs w:val="17"/>
          <w:lang w:val="es-ES" w:eastAsia="es-ES"/>
        </w:rPr>
        <w:t xml:space="preserve"> (envoltorios para alimentos y medicamentos) y papel obra.</w:t>
      </w:r>
    </w:p>
    <w:p w14:paraId="67DF3908"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799BCA6F"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Estas medidas, conjuntamente con la versatilidad de su proceso productivo y diversidad de productos, permitieron al Grupo seguir operando en este complejo contexto, abasteciendo tanto el mercado local como el de exportación, manteniendo resultados y flujo de caja operativos positivos.</w:t>
      </w:r>
    </w:p>
    <w:p w14:paraId="68B1FF0E"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0F92AA4F"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Dada la incertidumbre respecto de la evolución de la pandemia y sus consecuencias macroeconómicas, es esperable que los próximos meses presenten importantes desafíos para la Sociedad.  Sin embargo y en base a lo expuesto anteriormente, hay motivos para ser optimistas respecto del largo plazo.</w:t>
      </w:r>
    </w:p>
    <w:p w14:paraId="089C5399"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MX" w:eastAsia="es-ES"/>
        </w:rPr>
      </w:pPr>
    </w:p>
    <w:p w14:paraId="703FBF37" w14:textId="77777777" w:rsidR="00AB4BDC" w:rsidRPr="00AB4BDC" w:rsidRDefault="00AB4BDC" w:rsidP="00AB4BDC">
      <w:pPr>
        <w:widowControl w:val="0"/>
        <w:spacing w:after="0" w:line="240" w:lineRule="auto"/>
        <w:jc w:val="both"/>
        <w:rPr>
          <w:rFonts w:ascii="Verdana" w:eastAsia="Times New Roman" w:hAnsi="Verdana" w:cs="Times New Roman"/>
          <w:sz w:val="17"/>
          <w:szCs w:val="17"/>
          <w:lang w:val="es-ES" w:eastAsia="es-ES"/>
        </w:rPr>
      </w:pPr>
    </w:p>
    <w:p w14:paraId="58978861" w14:textId="77777777" w:rsidR="00AB4BDC" w:rsidRPr="00AB4BDC" w:rsidRDefault="00AB4BDC" w:rsidP="00AB4BDC">
      <w:pPr>
        <w:widowControl w:val="0"/>
        <w:spacing w:after="0" w:line="360" w:lineRule="auto"/>
        <w:jc w:val="both"/>
        <w:rPr>
          <w:rFonts w:ascii="Verdana" w:eastAsia="Times New Roman" w:hAnsi="Verdana" w:cs="Times New Roman"/>
          <w:sz w:val="17"/>
          <w:szCs w:val="17"/>
          <w:lang w:val="es-ES" w:eastAsia="es-ES"/>
        </w:rPr>
      </w:pPr>
      <w:r w:rsidRPr="00AB4BDC">
        <w:rPr>
          <w:rFonts w:ascii="Verdana" w:eastAsia="Times New Roman" w:hAnsi="Verdana" w:cs="Times New Roman"/>
          <w:sz w:val="17"/>
          <w:szCs w:val="17"/>
          <w:lang w:val="es-ES" w:eastAsia="es-ES"/>
        </w:rPr>
        <w:t>Capitán Bermúdez, 22 de octubre de 2020.</w:t>
      </w:r>
    </w:p>
    <w:p w14:paraId="4857E48E" w14:textId="77777777" w:rsidR="00AB4BDC" w:rsidRPr="00AB4BDC" w:rsidRDefault="00AB4BDC" w:rsidP="00AB4BDC">
      <w:pPr>
        <w:widowControl w:val="0"/>
        <w:spacing w:after="0" w:line="240" w:lineRule="auto"/>
        <w:ind w:left="426"/>
        <w:jc w:val="both"/>
        <w:rPr>
          <w:rFonts w:ascii="Verdana" w:eastAsia="Times New Roman" w:hAnsi="Verdana" w:cs="Times New Roman"/>
          <w:sz w:val="17"/>
          <w:szCs w:val="17"/>
          <w:lang w:val="es-ES" w:eastAsia="es-ES"/>
        </w:rPr>
      </w:pPr>
    </w:p>
    <w:p w14:paraId="6EE7E3F7" w14:textId="77777777" w:rsidR="00AB4BDC" w:rsidRPr="00AB4BDC" w:rsidRDefault="00AB4BDC" w:rsidP="00AB4BDC">
      <w:pPr>
        <w:widowControl w:val="0"/>
        <w:spacing w:after="0" w:line="240" w:lineRule="auto"/>
        <w:ind w:left="426"/>
        <w:jc w:val="both"/>
        <w:rPr>
          <w:rFonts w:ascii="Verdana" w:eastAsia="Times New Roman" w:hAnsi="Verdana" w:cs="Times New Roman"/>
          <w:sz w:val="17"/>
          <w:szCs w:val="17"/>
          <w:lang w:val="es-ES" w:eastAsia="es-ES"/>
        </w:rPr>
      </w:pPr>
    </w:p>
    <w:p w14:paraId="51216667" w14:textId="77777777" w:rsidR="00AB4BDC" w:rsidRPr="00AB4BDC" w:rsidRDefault="00AB4BDC" w:rsidP="00AB4BDC">
      <w:pPr>
        <w:widowControl w:val="0"/>
        <w:spacing w:after="0" w:line="240" w:lineRule="auto"/>
        <w:jc w:val="both"/>
        <w:rPr>
          <w:rFonts w:ascii="Verdana" w:eastAsia="Times New Roman" w:hAnsi="Verdana" w:cs="Times New Roman"/>
          <w:b/>
          <w:sz w:val="17"/>
          <w:szCs w:val="17"/>
          <w:lang w:val="es-ES_tradnl" w:eastAsia="es-ES"/>
        </w:rPr>
      </w:pPr>
    </w:p>
    <w:tbl>
      <w:tblPr>
        <w:tblW w:w="11226" w:type="dxa"/>
        <w:jc w:val="center"/>
        <w:tblLook w:val="04A0" w:firstRow="1" w:lastRow="0" w:firstColumn="1" w:lastColumn="0" w:noHBand="0" w:noVBand="1"/>
      </w:tblPr>
      <w:tblGrid>
        <w:gridCol w:w="3969"/>
        <w:gridCol w:w="3288"/>
        <w:gridCol w:w="3969"/>
      </w:tblGrid>
      <w:tr w:rsidR="00AB4BDC" w:rsidRPr="00AB4BDC" w14:paraId="7DA5A1EA" w14:textId="77777777" w:rsidTr="001C6392">
        <w:trPr>
          <w:trHeight w:val="113"/>
          <w:jc w:val="center"/>
        </w:trPr>
        <w:tc>
          <w:tcPr>
            <w:tcW w:w="3969" w:type="dxa"/>
            <w:shd w:val="clear" w:color="auto" w:fill="auto"/>
          </w:tcPr>
          <w:p w14:paraId="09625803"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r w:rsidRPr="00AB4BDC">
              <w:rPr>
                <w:rFonts w:ascii="Verdana" w:eastAsia="MS Mincho" w:hAnsi="Verdana" w:cs="Times New Roman"/>
                <w:sz w:val="14"/>
                <w:szCs w:val="14"/>
                <w:lang w:val="es-ES"/>
              </w:rPr>
              <w:t>Firmado a los efectos de su identificación</w:t>
            </w:r>
          </w:p>
        </w:tc>
        <w:tc>
          <w:tcPr>
            <w:tcW w:w="3288" w:type="dxa"/>
            <w:shd w:val="clear" w:color="auto" w:fill="auto"/>
          </w:tcPr>
          <w:p w14:paraId="1CD70F5C"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0174EC9B"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5E2D921A" w14:textId="77777777" w:rsidTr="001C6392">
        <w:trPr>
          <w:trHeight w:val="113"/>
          <w:jc w:val="center"/>
        </w:trPr>
        <w:tc>
          <w:tcPr>
            <w:tcW w:w="3969" w:type="dxa"/>
            <w:shd w:val="clear" w:color="auto" w:fill="auto"/>
          </w:tcPr>
          <w:p w14:paraId="56418345"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r w:rsidRPr="00AB4BDC">
              <w:rPr>
                <w:rFonts w:ascii="Verdana" w:eastAsia="MS Mincho" w:hAnsi="Verdana" w:cs="Times New Roman"/>
                <w:sz w:val="14"/>
                <w:szCs w:val="14"/>
                <w:lang w:val="es-ES"/>
              </w:rPr>
              <w:t>con nuestro informe de fecha 22 de octubre de 2020</w:t>
            </w:r>
          </w:p>
        </w:tc>
        <w:tc>
          <w:tcPr>
            <w:tcW w:w="3288" w:type="dxa"/>
            <w:shd w:val="clear" w:color="auto" w:fill="auto"/>
          </w:tcPr>
          <w:p w14:paraId="2A55DDC9"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3B2A3B31"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1FD33B28" w14:textId="77777777" w:rsidTr="001C6392">
        <w:trPr>
          <w:trHeight w:val="113"/>
          <w:jc w:val="center"/>
        </w:trPr>
        <w:tc>
          <w:tcPr>
            <w:tcW w:w="3969" w:type="dxa"/>
            <w:shd w:val="clear" w:color="auto" w:fill="auto"/>
          </w:tcPr>
          <w:p w14:paraId="154ADE58"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744082D9"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69E8B777"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7426B585" w14:textId="77777777" w:rsidTr="001C6392">
        <w:trPr>
          <w:trHeight w:val="113"/>
          <w:jc w:val="center"/>
        </w:trPr>
        <w:tc>
          <w:tcPr>
            <w:tcW w:w="3969" w:type="dxa"/>
            <w:shd w:val="clear" w:color="auto" w:fill="auto"/>
          </w:tcPr>
          <w:p w14:paraId="059128BA"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2CD42E14"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62F88C2E"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7AE2E76D" w14:textId="77777777" w:rsidTr="001C6392">
        <w:trPr>
          <w:trHeight w:val="113"/>
          <w:jc w:val="center"/>
        </w:trPr>
        <w:tc>
          <w:tcPr>
            <w:tcW w:w="3969" w:type="dxa"/>
            <w:shd w:val="clear" w:color="auto" w:fill="auto"/>
          </w:tcPr>
          <w:p w14:paraId="0C0EB657" w14:textId="77777777" w:rsidR="00AB4BDC" w:rsidRPr="00AB4BDC" w:rsidRDefault="00AB4BDC" w:rsidP="00AB4BDC">
            <w:pPr>
              <w:widowControl w:val="0"/>
              <w:spacing w:after="0" w:line="240" w:lineRule="auto"/>
              <w:jc w:val="center"/>
              <w:rPr>
                <w:rFonts w:ascii="Verdana" w:eastAsia="MS Mincho" w:hAnsi="Verdana" w:cs="Times New Roman"/>
                <w:b/>
                <w:sz w:val="14"/>
                <w:szCs w:val="14"/>
                <w:lang w:val="es-ES"/>
              </w:rPr>
            </w:pPr>
            <w:r w:rsidRPr="00AB4BDC">
              <w:rPr>
                <w:rFonts w:ascii="Verdana" w:eastAsia="MS Mincho" w:hAnsi="Verdana" w:cs="Times New Roman"/>
                <w:b/>
                <w:sz w:val="14"/>
                <w:szCs w:val="14"/>
                <w:lang w:val="es-ES"/>
              </w:rPr>
              <w:t>DANIEL NÉSTOR GALLO</w:t>
            </w:r>
          </w:p>
        </w:tc>
        <w:tc>
          <w:tcPr>
            <w:tcW w:w="3288" w:type="dxa"/>
            <w:shd w:val="clear" w:color="auto" w:fill="auto"/>
          </w:tcPr>
          <w:p w14:paraId="2B75E75F"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6539F117" w14:textId="77777777" w:rsidR="00AB4BDC" w:rsidRPr="00AB4BDC" w:rsidRDefault="00AB4BDC" w:rsidP="00AB4BDC">
            <w:pPr>
              <w:widowControl w:val="0"/>
              <w:spacing w:after="0" w:line="240" w:lineRule="auto"/>
              <w:jc w:val="center"/>
              <w:rPr>
                <w:rFonts w:ascii="Verdana" w:eastAsia="MS Mincho" w:hAnsi="Verdana" w:cs="Times New Roman"/>
                <w:b/>
                <w:sz w:val="14"/>
                <w:szCs w:val="14"/>
                <w:lang w:val="es-ES"/>
              </w:rPr>
            </w:pPr>
            <w:r w:rsidRPr="00AB4BDC">
              <w:rPr>
                <w:rFonts w:ascii="Verdana" w:eastAsia="MS Mincho" w:hAnsi="Verdana" w:cs="Times New Roman"/>
                <w:b/>
                <w:sz w:val="14"/>
                <w:szCs w:val="14"/>
                <w:lang w:val="es-ES"/>
              </w:rPr>
              <w:t>DOUGLAS ALBRECHT</w:t>
            </w:r>
          </w:p>
        </w:tc>
      </w:tr>
      <w:tr w:rsidR="00AB4BDC" w:rsidRPr="00AB4BDC" w14:paraId="138D7680" w14:textId="77777777" w:rsidTr="001C6392">
        <w:trPr>
          <w:trHeight w:val="113"/>
          <w:jc w:val="center"/>
        </w:trPr>
        <w:tc>
          <w:tcPr>
            <w:tcW w:w="3969" w:type="dxa"/>
            <w:shd w:val="clear" w:color="auto" w:fill="auto"/>
          </w:tcPr>
          <w:p w14:paraId="6DD54C43"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r w:rsidRPr="00AB4BDC">
              <w:rPr>
                <w:rFonts w:ascii="Verdana" w:eastAsia="MS Mincho" w:hAnsi="Verdana" w:cs="Times New Roman"/>
                <w:sz w:val="14"/>
                <w:szCs w:val="14"/>
                <w:lang w:val="es-ES"/>
              </w:rPr>
              <w:t>Por Comisión Fiscalizadora</w:t>
            </w:r>
          </w:p>
        </w:tc>
        <w:tc>
          <w:tcPr>
            <w:tcW w:w="3288" w:type="dxa"/>
            <w:shd w:val="clear" w:color="auto" w:fill="auto"/>
          </w:tcPr>
          <w:p w14:paraId="2ADB965C"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4524102D"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r w:rsidRPr="00AB4BDC">
              <w:rPr>
                <w:rFonts w:ascii="Verdana" w:eastAsia="MS Mincho" w:hAnsi="Verdana" w:cs="Times New Roman"/>
                <w:sz w:val="14"/>
                <w:szCs w:val="14"/>
                <w:lang w:val="es-ES"/>
              </w:rPr>
              <w:t>Presidente</w:t>
            </w:r>
          </w:p>
        </w:tc>
      </w:tr>
      <w:tr w:rsidR="00AB4BDC" w:rsidRPr="00AB4BDC" w14:paraId="0BB25D5E" w14:textId="77777777" w:rsidTr="001C6392">
        <w:trPr>
          <w:trHeight w:val="113"/>
          <w:jc w:val="center"/>
        </w:trPr>
        <w:tc>
          <w:tcPr>
            <w:tcW w:w="3969" w:type="dxa"/>
            <w:shd w:val="clear" w:color="auto" w:fill="auto"/>
          </w:tcPr>
          <w:p w14:paraId="3507D269"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r w:rsidRPr="00AB4BDC">
              <w:rPr>
                <w:rFonts w:ascii="Verdana" w:eastAsia="MS Mincho" w:hAnsi="Verdana" w:cs="Times New Roman"/>
                <w:sz w:val="14"/>
                <w:szCs w:val="14"/>
                <w:lang w:val="es-ES"/>
              </w:rPr>
              <w:t>Contador Público Nacional (U.N.R.)</w:t>
            </w:r>
          </w:p>
        </w:tc>
        <w:tc>
          <w:tcPr>
            <w:tcW w:w="3288" w:type="dxa"/>
            <w:shd w:val="clear" w:color="auto" w:fill="auto"/>
          </w:tcPr>
          <w:p w14:paraId="081FCBAF"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46D59B44"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3FE13DFF" w14:textId="77777777" w:rsidTr="001C6392">
        <w:trPr>
          <w:trHeight w:val="113"/>
          <w:jc w:val="center"/>
        </w:trPr>
        <w:tc>
          <w:tcPr>
            <w:tcW w:w="3969" w:type="dxa"/>
            <w:shd w:val="clear" w:color="auto" w:fill="auto"/>
          </w:tcPr>
          <w:p w14:paraId="54B49492"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r w:rsidRPr="00AB4BDC">
              <w:rPr>
                <w:rFonts w:ascii="Verdana" w:eastAsia="MS Mincho" w:hAnsi="Verdana" w:cs="Times New Roman"/>
                <w:sz w:val="14"/>
                <w:szCs w:val="14"/>
                <w:lang w:val="es-ES"/>
              </w:rPr>
              <w:t>Matrícula 2.869 – Ley 8.738</w:t>
            </w:r>
          </w:p>
        </w:tc>
        <w:tc>
          <w:tcPr>
            <w:tcW w:w="3288" w:type="dxa"/>
            <w:shd w:val="clear" w:color="auto" w:fill="auto"/>
          </w:tcPr>
          <w:p w14:paraId="2EB49270"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60628DA8"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15972489" w14:textId="77777777" w:rsidTr="001C6392">
        <w:trPr>
          <w:trHeight w:val="113"/>
          <w:jc w:val="center"/>
        </w:trPr>
        <w:tc>
          <w:tcPr>
            <w:tcW w:w="3969" w:type="dxa"/>
            <w:shd w:val="clear" w:color="auto" w:fill="auto"/>
          </w:tcPr>
          <w:p w14:paraId="3F1442EB"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r w:rsidRPr="00AB4BDC">
              <w:rPr>
                <w:rFonts w:ascii="Verdana" w:eastAsia="MS Mincho" w:hAnsi="Verdana" w:cs="Times New Roman"/>
                <w:sz w:val="14"/>
                <w:szCs w:val="14"/>
                <w:lang w:val="es-ES"/>
              </w:rPr>
              <w:t xml:space="preserve">C.P.C.E. </w:t>
            </w:r>
            <w:proofErr w:type="spellStart"/>
            <w:r w:rsidRPr="00AB4BDC">
              <w:rPr>
                <w:rFonts w:ascii="Verdana" w:eastAsia="MS Mincho" w:hAnsi="Verdana" w:cs="Times New Roman"/>
                <w:sz w:val="14"/>
                <w:szCs w:val="14"/>
                <w:lang w:val="es-ES"/>
              </w:rPr>
              <w:t>Pcia</w:t>
            </w:r>
            <w:proofErr w:type="spellEnd"/>
            <w:r w:rsidRPr="00AB4BDC">
              <w:rPr>
                <w:rFonts w:ascii="Verdana" w:eastAsia="MS Mincho" w:hAnsi="Verdana" w:cs="Times New Roman"/>
                <w:sz w:val="14"/>
                <w:szCs w:val="14"/>
                <w:lang w:val="es-ES"/>
              </w:rPr>
              <w:t>. de Santa Fe</w:t>
            </w:r>
          </w:p>
        </w:tc>
        <w:tc>
          <w:tcPr>
            <w:tcW w:w="3288" w:type="dxa"/>
            <w:shd w:val="clear" w:color="auto" w:fill="auto"/>
          </w:tcPr>
          <w:p w14:paraId="0757FEB3"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55D2DDE3"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7D0CA6B9" w14:textId="77777777" w:rsidTr="001C6392">
        <w:trPr>
          <w:trHeight w:val="113"/>
          <w:jc w:val="center"/>
        </w:trPr>
        <w:tc>
          <w:tcPr>
            <w:tcW w:w="3969" w:type="dxa"/>
            <w:shd w:val="clear" w:color="auto" w:fill="auto"/>
          </w:tcPr>
          <w:p w14:paraId="626151CB"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4A8BB129"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p>
        </w:tc>
        <w:tc>
          <w:tcPr>
            <w:tcW w:w="3969" w:type="dxa"/>
            <w:shd w:val="clear" w:color="auto" w:fill="auto"/>
          </w:tcPr>
          <w:p w14:paraId="6C18589E"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16D42042" w14:textId="77777777" w:rsidTr="001C6392">
        <w:trPr>
          <w:trHeight w:val="113"/>
          <w:jc w:val="center"/>
        </w:trPr>
        <w:tc>
          <w:tcPr>
            <w:tcW w:w="3969" w:type="dxa"/>
            <w:shd w:val="clear" w:color="auto" w:fill="auto"/>
          </w:tcPr>
          <w:p w14:paraId="6964F4D3"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611138F6"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r w:rsidRPr="00AB4BDC">
              <w:rPr>
                <w:rFonts w:ascii="Verdana" w:eastAsia="MS Mincho" w:hAnsi="Verdana" w:cs="Times New Roman"/>
                <w:sz w:val="14"/>
                <w:szCs w:val="14"/>
                <w:lang w:val="it-IT"/>
              </w:rPr>
              <w:t>El informe de fecha 22 de octubre de 2020</w:t>
            </w:r>
          </w:p>
        </w:tc>
        <w:tc>
          <w:tcPr>
            <w:tcW w:w="3969" w:type="dxa"/>
            <w:shd w:val="clear" w:color="auto" w:fill="auto"/>
          </w:tcPr>
          <w:p w14:paraId="6CC32E4D"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7934BB72" w14:textId="77777777" w:rsidTr="001C6392">
        <w:trPr>
          <w:trHeight w:val="113"/>
          <w:jc w:val="center"/>
        </w:trPr>
        <w:tc>
          <w:tcPr>
            <w:tcW w:w="3969" w:type="dxa"/>
            <w:shd w:val="clear" w:color="auto" w:fill="auto"/>
          </w:tcPr>
          <w:p w14:paraId="62E6472F"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3745D3A8"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r w:rsidRPr="00AB4BDC">
              <w:rPr>
                <w:rFonts w:ascii="Verdana" w:eastAsia="MS Mincho" w:hAnsi="Verdana" w:cs="Times New Roman"/>
                <w:sz w:val="14"/>
                <w:szCs w:val="14"/>
                <w:lang w:val="it-IT"/>
              </w:rPr>
              <w:t>se extiende en documento aparte.</w:t>
            </w:r>
          </w:p>
        </w:tc>
        <w:tc>
          <w:tcPr>
            <w:tcW w:w="3969" w:type="dxa"/>
            <w:shd w:val="clear" w:color="auto" w:fill="auto"/>
          </w:tcPr>
          <w:p w14:paraId="0CD597FF"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5114A989" w14:textId="77777777" w:rsidTr="001C6392">
        <w:trPr>
          <w:trHeight w:val="113"/>
          <w:jc w:val="center"/>
        </w:trPr>
        <w:tc>
          <w:tcPr>
            <w:tcW w:w="3969" w:type="dxa"/>
            <w:shd w:val="clear" w:color="auto" w:fill="auto"/>
          </w:tcPr>
          <w:p w14:paraId="7707EBE3"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05F15DD4" w14:textId="77777777" w:rsidR="00AB4BDC" w:rsidRPr="00AB4BDC" w:rsidRDefault="00AB4BDC" w:rsidP="00AB4BDC">
            <w:pPr>
              <w:widowControl w:val="0"/>
              <w:spacing w:after="0" w:line="240" w:lineRule="auto"/>
              <w:jc w:val="center"/>
              <w:rPr>
                <w:rFonts w:ascii="Verdana" w:eastAsia="MS Mincho" w:hAnsi="Verdana" w:cs="Times New Roman"/>
                <w:b/>
                <w:sz w:val="14"/>
                <w:szCs w:val="14"/>
                <w:lang w:val="it-IT"/>
              </w:rPr>
            </w:pPr>
            <w:r w:rsidRPr="00AB4BDC">
              <w:rPr>
                <w:rFonts w:ascii="Verdana" w:eastAsia="MS Mincho" w:hAnsi="Verdana" w:cs="Times New Roman"/>
                <w:b/>
                <w:sz w:val="14"/>
                <w:szCs w:val="14"/>
                <w:lang w:val="it-IT"/>
              </w:rPr>
              <w:t>DELOITTE &amp; Co. S.A.</w:t>
            </w:r>
          </w:p>
        </w:tc>
        <w:tc>
          <w:tcPr>
            <w:tcW w:w="3969" w:type="dxa"/>
            <w:shd w:val="clear" w:color="auto" w:fill="auto"/>
          </w:tcPr>
          <w:p w14:paraId="17A932F5"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354B6ACE" w14:textId="77777777" w:rsidTr="001C6392">
        <w:trPr>
          <w:trHeight w:val="113"/>
          <w:jc w:val="center"/>
        </w:trPr>
        <w:tc>
          <w:tcPr>
            <w:tcW w:w="3969" w:type="dxa"/>
            <w:shd w:val="clear" w:color="auto" w:fill="auto"/>
          </w:tcPr>
          <w:p w14:paraId="20B8C004"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6AAB2BB9" w14:textId="77777777" w:rsidR="00AB4BDC" w:rsidRPr="00AB4BDC" w:rsidRDefault="00AB4BDC" w:rsidP="00AB4BDC">
            <w:pPr>
              <w:widowControl w:val="0"/>
              <w:spacing w:after="0" w:line="240" w:lineRule="auto"/>
              <w:jc w:val="center"/>
              <w:rPr>
                <w:rFonts w:ascii="Verdana" w:eastAsia="MS Mincho" w:hAnsi="Verdana" w:cs="Times New Roman"/>
                <w:b/>
                <w:sz w:val="14"/>
                <w:szCs w:val="14"/>
                <w:lang w:val="it-IT"/>
              </w:rPr>
            </w:pPr>
          </w:p>
        </w:tc>
        <w:tc>
          <w:tcPr>
            <w:tcW w:w="3969" w:type="dxa"/>
            <w:shd w:val="clear" w:color="auto" w:fill="auto"/>
          </w:tcPr>
          <w:p w14:paraId="43B942FB"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0AFF2AF9" w14:textId="77777777" w:rsidTr="001C6392">
        <w:trPr>
          <w:trHeight w:val="113"/>
          <w:jc w:val="center"/>
        </w:trPr>
        <w:tc>
          <w:tcPr>
            <w:tcW w:w="3969" w:type="dxa"/>
            <w:shd w:val="clear" w:color="auto" w:fill="auto"/>
          </w:tcPr>
          <w:p w14:paraId="294D2F96"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112763AA" w14:textId="77777777" w:rsidR="00AB4BDC" w:rsidRPr="00AB4BDC" w:rsidRDefault="00AB4BDC" w:rsidP="00AB4BDC">
            <w:pPr>
              <w:widowControl w:val="0"/>
              <w:spacing w:after="0" w:line="240" w:lineRule="auto"/>
              <w:jc w:val="center"/>
              <w:rPr>
                <w:rFonts w:ascii="Verdana" w:eastAsia="MS Mincho" w:hAnsi="Verdana" w:cs="Times New Roman"/>
                <w:b/>
                <w:sz w:val="14"/>
                <w:szCs w:val="14"/>
                <w:lang w:val="it-IT"/>
              </w:rPr>
            </w:pPr>
          </w:p>
        </w:tc>
        <w:tc>
          <w:tcPr>
            <w:tcW w:w="3969" w:type="dxa"/>
            <w:shd w:val="clear" w:color="auto" w:fill="auto"/>
          </w:tcPr>
          <w:p w14:paraId="2F271FE4"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38D727B8" w14:textId="77777777" w:rsidTr="001C6392">
        <w:trPr>
          <w:trHeight w:val="113"/>
          <w:jc w:val="center"/>
        </w:trPr>
        <w:tc>
          <w:tcPr>
            <w:tcW w:w="3969" w:type="dxa"/>
            <w:shd w:val="clear" w:color="auto" w:fill="auto"/>
          </w:tcPr>
          <w:p w14:paraId="7A204E52"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4469A503" w14:textId="77777777" w:rsidR="00AB4BDC" w:rsidRPr="00AB4BDC" w:rsidRDefault="00AB4BDC" w:rsidP="00AB4BDC">
            <w:pPr>
              <w:widowControl w:val="0"/>
              <w:spacing w:after="0" w:line="240" w:lineRule="auto"/>
              <w:jc w:val="center"/>
              <w:rPr>
                <w:rFonts w:ascii="Verdana" w:eastAsia="MS Mincho" w:hAnsi="Verdana" w:cs="Times New Roman"/>
                <w:b/>
                <w:sz w:val="14"/>
                <w:szCs w:val="14"/>
                <w:lang w:val="it-IT"/>
              </w:rPr>
            </w:pPr>
            <w:r w:rsidRPr="00AB4BDC">
              <w:rPr>
                <w:rFonts w:ascii="Verdana" w:eastAsia="MS Mincho" w:hAnsi="Verdana" w:cs="Times New Roman"/>
                <w:b/>
                <w:sz w:val="14"/>
                <w:szCs w:val="14"/>
                <w:lang w:val="it-IT"/>
              </w:rPr>
              <w:t>EDUARDO RUBÉN SELLE (Socio)</w:t>
            </w:r>
          </w:p>
        </w:tc>
        <w:tc>
          <w:tcPr>
            <w:tcW w:w="3969" w:type="dxa"/>
            <w:shd w:val="clear" w:color="auto" w:fill="auto"/>
          </w:tcPr>
          <w:p w14:paraId="23EC3C6F"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7A52D835" w14:textId="77777777" w:rsidTr="001C6392">
        <w:trPr>
          <w:trHeight w:val="113"/>
          <w:jc w:val="center"/>
        </w:trPr>
        <w:tc>
          <w:tcPr>
            <w:tcW w:w="3969" w:type="dxa"/>
            <w:shd w:val="clear" w:color="auto" w:fill="auto"/>
          </w:tcPr>
          <w:p w14:paraId="311B9CEE"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0B601D32"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r w:rsidRPr="00AB4BDC">
              <w:rPr>
                <w:rFonts w:ascii="Verdana" w:eastAsia="MS Mincho" w:hAnsi="Verdana" w:cs="Times New Roman"/>
                <w:sz w:val="14"/>
                <w:szCs w:val="14"/>
                <w:lang w:val="it-IT"/>
              </w:rPr>
              <w:t>Contador Público (U.N.R.)</w:t>
            </w:r>
          </w:p>
        </w:tc>
        <w:tc>
          <w:tcPr>
            <w:tcW w:w="3969" w:type="dxa"/>
            <w:shd w:val="clear" w:color="auto" w:fill="auto"/>
          </w:tcPr>
          <w:p w14:paraId="014CCCA0"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0E6E0596" w14:textId="77777777" w:rsidTr="001C6392">
        <w:trPr>
          <w:trHeight w:val="113"/>
          <w:jc w:val="center"/>
        </w:trPr>
        <w:tc>
          <w:tcPr>
            <w:tcW w:w="3969" w:type="dxa"/>
            <w:shd w:val="clear" w:color="auto" w:fill="auto"/>
          </w:tcPr>
          <w:p w14:paraId="573D7166"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6B343D14"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r w:rsidRPr="00AB4BDC">
              <w:rPr>
                <w:rFonts w:ascii="Verdana" w:eastAsia="MS Mincho" w:hAnsi="Verdana" w:cs="Times New Roman"/>
                <w:sz w:val="14"/>
                <w:szCs w:val="14"/>
                <w:lang w:val="it-IT"/>
              </w:rPr>
              <w:t>Matrícula 7.904 – Ley 8.738</w:t>
            </w:r>
          </w:p>
        </w:tc>
        <w:tc>
          <w:tcPr>
            <w:tcW w:w="3969" w:type="dxa"/>
            <w:shd w:val="clear" w:color="auto" w:fill="auto"/>
          </w:tcPr>
          <w:p w14:paraId="4E181F1A"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r w:rsidR="00AB4BDC" w:rsidRPr="00AB4BDC" w14:paraId="14548F89" w14:textId="77777777" w:rsidTr="001C6392">
        <w:trPr>
          <w:trHeight w:val="113"/>
          <w:jc w:val="center"/>
        </w:trPr>
        <w:tc>
          <w:tcPr>
            <w:tcW w:w="3969" w:type="dxa"/>
            <w:shd w:val="clear" w:color="auto" w:fill="auto"/>
          </w:tcPr>
          <w:p w14:paraId="2DD8F681"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c>
          <w:tcPr>
            <w:tcW w:w="3288" w:type="dxa"/>
            <w:shd w:val="clear" w:color="auto" w:fill="auto"/>
          </w:tcPr>
          <w:p w14:paraId="77757060"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it-IT"/>
              </w:rPr>
            </w:pPr>
            <w:r w:rsidRPr="00AB4BDC">
              <w:rPr>
                <w:rFonts w:ascii="Verdana" w:eastAsia="MS Mincho" w:hAnsi="Verdana" w:cs="Times New Roman"/>
                <w:sz w:val="14"/>
                <w:szCs w:val="14"/>
                <w:lang w:val="it-IT"/>
              </w:rPr>
              <w:t>C.P.C.E. Pcia. de Santa Fe</w:t>
            </w:r>
          </w:p>
        </w:tc>
        <w:tc>
          <w:tcPr>
            <w:tcW w:w="3969" w:type="dxa"/>
            <w:shd w:val="clear" w:color="auto" w:fill="auto"/>
          </w:tcPr>
          <w:p w14:paraId="6F6517F2" w14:textId="77777777" w:rsidR="00AB4BDC" w:rsidRPr="00AB4BDC" w:rsidRDefault="00AB4BDC" w:rsidP="00AB4BDC">
            <w:pPr>
              <w:widowControl w:val="0"/>
              <w:spacing w:after="0" w:line="240" w:lineRule="auto"/>
              <w:jc w:val="center"/>
              <w:rPr>
                <w:rFonts w:ascii="Verdana" w:eastAsia="MS Mincho" w:hAnsi="Verdana" w:cs="Times New Roman"/>
                <w:sz w:val="14"/>
                <w:szCs w:val="14"/>
                <w:lang w:val="es-ES"/>
              </w:rPr>
            </w:pPr>
          </w:p>
        </w:tc>
      </w:tr>
    </w:tbl>
    <w:p w14:paraId="0B132E8C" w14:textId="77777777" w:rsidR="00AB4BDC" w:rsidRPr="00AB4BDC" w:rsidRDefault="00AB4BDC" w:rsidP="00AB4BDC">
      <w:pPr>
        <w:widowControl w:val="0"/>
        <w:spacing w:after="0" w:line="240" w:lineRule="auto"/>
        <w:jc w:val="both"/>
        <w:rPr>
          <w:rFonts w:ascii="Verdana" w:eastAsia="Times New Roman" w:hAnsi="Verdana" w:cs="Times New Roman"/>
          <w:b/>
          <w:sz w:val="17"/>
          <w:szCs w:val="17"/>
          <w:lang w:val="es-ES" w:eastAsia="es-ES"/>
        </w:rPr>
      </w:pPr>
    </w:p>
    <w:p w14:paraId="63BA79AF" w14:textId="2593DCF3" w:rsidR="00AB4BDC" w:rsidRDefault="00AB4BDC">
      <w:pPr>
        <w:rPr>
          <w:lang w:val="es-ES"/>
        </w:rPr>
      </w:pPr>
    </w:p>
    <w:p w14:paraId="34902B52" w14:textId="19DAC8DA" w:rsidR="00AB4BDC" w:rsidRDefault="00AB4BDC">
      <w:pPr>
        <w:rPr>
          <w:lang w:val="es-ES"/>
        </w:rPr>
      </w:pPr>
    </w:p>
    <w:p w14:paraId="7958016C" w14:textId="403B8F36" w:rsidR="00AB4BDC" w:rsidRDefault="00AB4BDC">
      <w:pPr>
        <w:rPr>
          <w:lang w:val="es-ES"/>
        </w:rPr>
      </w:pPr>
    </w:p>
    <w:p w14:paraId="47F1D193" w14:textId="2301CEC5" w:rsidR="00AB4BDC" w:rsidRDefault="00AB4BDC">
      <w:pPr>
        <w:rPr>
          <w:lang w:val="es-ES"/>
        </w:rPr>
      </w:pPr>
    </w:p>
    <w:p w14:paraId="1766114B" w14:textId="41B226CA" w:rsidR="00AB4BDC" w:rsidRDefault="00AB4BDC">
      <w:pPr>
        <w:rPr>
          <w:lang w:val="es-ES"/>
        </w:rPr>
      </w:pPr>
    </w:p>
    <w:p w14:paraId="6A86E43A" w14:textId="53EE84E6" w:rsidR="00AB4BDC" w:rsidRDefault="00AB4BDC">
      <w:pPr>
        <w:rPr>
          <w:lang w:val="es-ES"/>
        </w:rPr>
      </w:pPr>
    </w:p>
    <w:p w14:paraId="006D40C1" w14:textId="7A59CD61" w:rsidR="00AB4BDC" w:rsidRDefault="00AB4BDC">
      <w:pPr>
        <w:rPr>
          <w:lang w:val="es-ES"/>
        </w:rPr>
      </w:pPr>
    </w:p>
    <w:p w14:paraId="6228F4F4" w14:textId="6CD8C6C4" w:rsidR="00AB4BDC" w:rsidRDefault="00AB4BDC">
      <w:pPr>
        <w:rPr>
          <w:lang w:val="es-ES"/>
        </w:rPr>
      </w:pPr>
      <w:r w:rsidRPr="00464047">
        <w:rPr>
          <w:b/>
          <w:noProof/>
        </w:rPr>
        <w:lastRenderedPageBreak/>
        <w:drawing>
          <wp:inline distT="0" distB="0" distL="0" distR="0" wp14:anchorId="2E5EFC3C" wp14:editId="17E5FAF2">
            <wp:extent cx="5612130" cy="68200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6820015"/>
                    </a:xfrm>
                    <a:prstGeom prst="rect">
                      <a:avLst/>
                    </a:prstGeom>
                    <a:noFill/>
                    <a:ln>
                      <a:noFill/>
                    </a:ln>
                  </pic:spPr>
                </pic:pic>
              </a:graphicData>
            </a:graphic>
          </wp:inline>
        </w:drawing>
      </w:r>
    </w:p>
    <w:p w14:paraId="534E3787" w14:textId="3942C0CD" w:rsidR="00AB4BDC" w:rsidRDefault="00AB4BDC">
      <w:pPr>
        <w:rPr>
          <w:lang w:val="es-ES"/>
        </w:rPr>
      </w:pPr>
    </w:p>
    <w:p w14:paraId="50EB58E8" w14:textId="6FBE8D5A" w:rsidR="00AB4BDC" w:rsidRDefault="00AB4BDC">
      <w:pPr>
        <w:rPr>
          <w:lang w:val="es-ES"/>
        </w:rPr>
      </w:pPr>
    </w:p>
    <w:p w14:paraId="7C41A410" w14:textId="7D3FE914" w:rsidR="00AB4BDC" w:rsidRDefault="00AB4BDC">
      <w:pPr>
        <w:rPr>
          <w:lang w:val="es-ES"/>
        </w:rPr>
      </w:pPr>
    </w:p>
    <w:p w14:paraId="17DD9A6E" w14:textId="2B7A32AC" w:rsidR="00AB4BDC" w:rsidRDefault="00AB4BDC">
      <w:pPr>
        <w:rPr>
          <w:lang w:val="es-ES"/>
        </w:rPr>
      </w:pPr>
    </w:p>
    <w:p w14:paraId="09F6B99E" w14:textId="593BA0AA" w:rsidR="00AB4BDC" w:rsidRDefault="00AB4BDC">
      <w:pPr>
        <w:rPr>
          <w:lang w:val="es-ES"/>
        </w:rPr>
      </w:pPr>
    </w:p>
    <w:p w14:paraId="5F8F716C" w14:textId="1A8C40A7" w:rsidR="00AB4BDC" w:rsidRPr="00AB4BDC" w:rsidRDefault="00AB4BDC">
      <w:pPr>
        <w:rPr>
          <w:lang w:val="es-ES"/>
        </w:rPr>
      </w:pPr>
      <w:r w:rsidRPr="00464047">
        <w:rPr>
          <w:b/>
          <w:noProof/>
        </w:rPr>
        <w:lastRenderedPageBreak/>
        <w:drawing>
          <wp:inline distT="0" distB="0" distL="0" distR="0" wp14:anchorId="1198FBDF" wp14:editId="3E99869E">
            <wp:extent cx="5612130" cy="5233554"/>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5233554"/>
                    </a:xfrm>
                    <a:prstGeom prst="rect">
                      <a:avLst/>
                    </a:prstGeom>
                    <a:noFill/>
                    <a:ln>
                      <a:noFill/>
                    </a:ln>
                  </pic:spPr>
                </pic:pic>
              </a:graphicData>
            </a:graphic>
          </wp:inline>
        </w:drawing>
      </w:r>
    </w:p>
    <w:sectPr w:rsidR="00AB4BDC" w:rsidRPr="00AB4B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1E773" w14:textId="77777777" w:rsidR="00AB4BDC" w:rsidRDefault="00AB4BDC" w:rsidP="00AB4BDC">
      <w:pPr>
        <w:spacing w:after="0" w:line="240" w:lineRule="auto"/>
      </w:pPr>
      <w:r>
        <w:separator/>
      </w:r>
    </w:p>
  </w:endnote>
  <w:endnote w:type="continuationSeparator" w:id="0">
    <w:p w14:paraId="41D88390" w14:textId="77777777" w:rsidR="00AB4BDC" w:rsidRDefault="00AB4BDC" w:rsidP="00AB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A4B5D" w14:textId="77777777" w:rsidR="00AB4BDC" w:rsidRDefault="00AB4BDC" w:rsidP="00AB4BDC">
      <w:pPr>
        <w:spacing w:after="0" w:line="240" w:lineRule="auto"/>
      </w:pPr>
      <w:r>
        <w:separator/>
      </w:r>
    </w:p>
  </w:footnote>
  <w:footnote w:type="continuationSeparator" w:id="0">
    <w:p w14:paraId="06180F35" w14:textId="77777777" w:rsidR="00AB4BDC" w:rsidRDefault="00AB4BDC" w:rsidP="00AB4B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comments="0" w:insDel="0" w:formatting="0" w:inkAnnotations="0"/>
  <w:defaultTabStop w:val="708"/>
  <w:hyphenationZone w:val="425"/>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DC"/>
    <w:rsid w:val="00AB4BD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346A56D"/>
  <w15:chartTrackingRefBased/>
  <w15:docId w15:val="{EAD9C7CA-11E8-423B-9861-8B00C93E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1343</Words>
  <Characters>7388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Notthoff</dc:creator>
  <cp:keywords/>
  <dc:description/>
  <cp:lastModifiedBy>Cristian Notthoff</cp:lastModifiedBy>
  <cp:revision>1</cp:revision>
  <dcterms:created xsi:type="dcterms:W3CDTF">2020-10-22T19:03:00Z</dcterms:created>
  <dcterms:modified xsi:type="dcterms:W3CDTF">2020-10-22T19:09:00Z</dcterms:modified>
</cp:coreProperties>
</file>