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177" w:lineRule="exact" w:before="74"/>
        <w:ind w:left="4493" w:right="0" w:firstLine="0"/>
        <w:jc w:val="left"/>
        <w:rPr>
          <w:sz w:val="16"/>
        </w:rPr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1080516</wp:posOffset>
            </wp:positionH>
            <wp:positionV relativeFrom="paragraph">
              <wp:posOffset>55520</wp:posOffset>
            </wp:positionV>
            <wp:extent cx="980694" cy="371474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0694" cy="3714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78685F"/>
          <w:sz w:val="16"/>
        </w:rPr>
        <w:t>Tel:</w:t>
      </w:r>
      <w:r>
        <w:rPr>
          <w:color w:val="78685F"/>
          <w:spacing w:val="-2"/>
          <w:sz w:val="16"/>
        </w:rPr>
        <w:t> </w:t>
      </w:r>
      <w:r>
        <w:rPr>
          <w:color w:val="78685F"/>
          <w:sz w:val="16"/>
        </w:rPr>
        <w:t>54</w:t>
      </w:r>
      <w:r>
        <w:rPr>
          <w:color w:val="78685F"/>
          <w:spacing w:val="-1"/>
          <w:sz w:val="16"/>
        </w:rPr>
        <w:t> </w:t>
      </w:r>
      <w:r>
        <w:rPr>
          <w:color w:val="78685F"/>
          <w:sz w:val="16"/>
        </w:rPr>
        <w:t>11</w:t>
      </w:r>
      <w:r>
        <w:rPr>
          <w:color w:val="78685F"/>
          <w:spacing w:val="-1"/>
          <w:sz w:val="16"/>
        </w:rPr>
        <w:t> </w:t>
      </w:r>
      <w:r>
        <w:rPr>
          <w:color w:val="78685F"/>
          <w:sz w:val="16"/>
        </w:rPr>
        <w:t>4106</w:t>
      </w:r>
      <w:r>
        <w:rPr>
          <w:color w:val="78685F"/>
          <w:spacing w:val="-2"/>
          <w:sz w:val="16"/>
        </w:rPr>
        <w:t> </w:t>
      </w:r>
      <w:r>
        <w:rPr>
          <w:color w:val="78685F"/>
          <w:sz w:val="16"/>
        </w:rPr>
        <w:t>7000</w:t>
      </w:r>
    </w:p>
    <w:p>
      <w:pPr>
        <w:spacing w:line="170" w:lineRule="exact" w:before="0"/>
        <w:ind w:left="4493" w:right="0" w:firstLine="0"/>
        <w:jc w:val="left"/>
        <w:rPr>
          <w:sz w:val="16"/>
        </w:rPr>
      </w:pPr>
      <w:r>
        <w:rPr>
          <w:color w:val="78685F"/>
          <w:sz w:val="16"/>
        </w:rPr>
        <w:t>Fax:</w:t>
      </w:r>
      <w:r>
        <w:rPr>
          <w:color w:val="78685F"/>
          <w:spacing w:val="-1"/>
          <w:sz w:val="16"/>
        </w:rPr>
        <w:t> </w:t>
      </w:r>
      <w:r>
        <w:rPr>
          <w:color w:val="78685F"/>
          <w:sz w:val="16"/>
        </w:rPr>
        <w:t>54</w:t>
      </w:r>
      <w:r>
        <w:rPr>
          <w:color w:val="78685F"/>
          <w:spacing w:val="-1"/>
          <w:sz w:val="16"/>
        </w:rPr>
        <w:t> </w:t>
      </w:r>
      <w:r>
        <w:rPr>
          <w:color w:val="78685F"/>
          <w:sz w:val="16"/>
        </w:rPr>
        <w:t>11</w:t>
      </w:r>
      <w:r>
        <w:rPr>
          <w:color w:val="78685F"/>
          <w:spacing w:val="-1"/>
          <w:sz w:val="16"/>
        </w:rPr>
        <w:t> </w:t>
      </w:r>
      <w:r>
        <w:rPr>
          <w:color w:val="78685F"/>
          <w:sz w:val="16"/>
        </w:rPr>
        <w:t>4106</w:t>
      </w:r>
      <w:r>
        <w:rPr>
          <w:color w:val="78685F"/>
          <w:spacing w:val="-1"/>
          <w:sz w:val="16"/>
        </w:rPr>
        <w:t> </w:t>
      </w:r>
      <w:r>
        <w:rPr>
          <w:color w:val="78685F"/>
          <w:sz w:val="16"/>
        </w:rPr>
        <w:t>7200</w:t>
      </w:r>
    </w:p>
    <w:p>
      <w:pPr>
        <w:spacing w:line="178" w:lineRule="exact" w:before="0"/>
        <w:ind w:left="4493" w:right="0" w:firstLine="0"/>
        <w:jc w:val="left"/>
        <w:rPr>
          <w:sz w:val="16"/>
        </w:rPr>
      </w:pPr>
      <w:hyperlink r:id="rId7">
        <w:r>
          <w:rPr>
            <w:color w:val="78685F"/>
            <w:sz w:val="16"/>
          </w:rPr>
          <w:t>www.bdoargentina.com</w:t>
        </w:r>
      </w:hyperlink>
    </w:p>
    <w:p>
      <w:pPr>
        <w:spacing w:line="218" w:lineRule="auto" w:before="88"/>
        <w:ind w:left="181" w:right="200" w:firstLine="0"/>
        <w:jc w:val="left"/>
        <w:rPr>
          <w:sz w:val="16"/>
        </w:rPr>
      </w:pPr>
      <w:r>
        <w:rPr/>
        <w:br w:type="column"/>
      </w:r>
      <w:r>
        <w:rPr>
          <w:color w:val="78685F"/>
          <w:sz w:val="16"/>
        </w:rPr>
        <w:t>Maipú 942, Primer piso</w:t>
      </w:r>
      <w:r>
        <w:rPr>
          <w:color w:val="78685F"/>
          <w:spacing w:val="1"/>
          <w:sz w:val="16"/>
        </w:rPr>
        <w:t> </w:t>
      </w:r>
      <w:r>
        <w:rPr>
          <w:color w:val="78685F"/>
          <w:sz w:val="16"/>
        </w:rPr>
        <w:t>C1006ACN</w:t>
      </w:r>
      <w:r>
        <w:rPr>
          <w:color w:val="78685F"/>
          <w:spacing w:val="-3"/>
          <w:sz w:val="16"/>
        </w:rPr>
        <w:t> </w:t>
      </w:r>
      <w:r>
        <w:rPr>
          <w:color w:val="78685F"/>
          <w:sz w:val="16"/>
        </w:rPr>
        <w:t>-</w:t>
      </w:r>
      <w:r>
        <w:rPr>
          <w:color w:val="78685F"/>
          <w:spacing w:val="-3"/>
          <w:sz w:val="16"/>
        </w:rPr>
        <w:t> </w:t>
      </w:r>
      <w:r>
        <w:rPr>
          <w:color w:val="78685F"/>
          <w:sz w:val="16"/>
        </w:rPr>
        <w:t>Buenos</w:t>
      </w:r>
      <w:r>
        <w:rPr>
          <w:color w:val="78685F"/>
          <w:spacing w:val="-3"/>
          <w:sz w:val="16"/>
        </w:rPr>
        <w:t> </w:t>
      </w:r>
      <w:r>
        <w:rPr>
          <w:color w:val="78685F"/>
          <w:sz w:val="16"/>
        </w:rPr>
        <w:t>Aires</w:t>
      </w:r>
      <w:r>
        <w:rPr>
          <w:color w:val="78685F"/>
          <w:spacing w:val="-45"/>
          <w:sz w:val="16"/>
        </w:rPr>
        <w:t> </w:t>
      </w:r>
      <w:r>
        <w:rPr>
          <w:color w:val="78685F"/>
          <w:sz w:val="16"/>
        </w:rPr>
        <w:t>Argentina</w:t>
      </w:r>
    </w:p>
    <w:p>
      <w:pPr>
        <w:spacing w:after="0" w:line="218" w:lineRule="auto"/>
        <w:jc w:val="left"/>
        <w:rPr>
          <w:sz w:val="16"/>
        </w:rPr>
        <w:sectPr>
          <w:footerReference w:type="default" r:id="rId5"/>
          <w:type w:val="continuous"/>
          <w:pgSz w:w="12240" w:h="15840"/>
          <w:pgMar w:footer="1168" w:top="620" w:bottom="1360" w:left="1520" w:right="1580"/>
          <w:pgNumType w:start="1"/>
          <w:cols w:num="2" w:equalWidth="0">
            <w:col w:w="6251" w:space="712"/>
            <w:col w:w="2177"/>
          </w:cols>
        </w:sectPr>
      </w:pPr>
    </w:p>
    <w:p>
      <w:pPr>
        <w:pStyle w:val="BodyText"/>
      </w:pPr>
    </w:p>
    <w:p>
      <w:pPr>
        <w:pStyle w:val="BodyText"/>
        <w:spacing w:before="9"/>
        <w:rPr>
          <w:sz w:val="29"/>
        </w:rPr>
      </w:pPr>
    </w:p>
    <w:p>
      <w:pPr>
        <w:pStyle w:val="Title"/>
        <w:rPr>
          <w:u w:val="none"/>
        </w:rPr>
      </w:pPr>
      <w:bookmarkStart w:name="INFORME DE REVISIÓN DE LOS AUDITORES IND" w:id="1"/>
      <w:bookmarkEnd w:id="1"/>
      <w:r>
        <w:rPr>
          <w:b w:val="0"/>
          <w:u w:val="none"/>
        </w:rPr>
      </w:r>
      <w:r>
        <w:rPr>
          <w:u w:val="thick"/>
        </w:rPr>
        <w:t>INFORME DE REVISIÓN DE LOS AUDITORES INDEPENDIENTES SOBRE LOS</w:t>
      </w:r>
      <w:r>
        <w:rPr>
          <w:spacing w:val="-70"/>
          <w:u w:val="none"/>
        </w:rPr>
        <w:t> </w:t>
      </w:r>
      <w:r>
        <w:rPr>
          <w:u w:val="thick"/>
        </w:rPr>
        <w:t>ESTADOS</w:t>
      </w:r>
      <w:r>
        <w:rPr>
          <w:spacing w:val="-4"/>
          <w:u w:val="thick"/>
        </w:rPr>
        <w:t> </w:t>
      </w:r>
      <w:r>
        <w:rPr>
          <w:u w:val="thick"/>
        </w:rPr>
        <w:t>FINANCIEROS</w:t>
      </w:r>
      <w:r>
        <w:rPr>
          <w:spacing w:val="-3"/>
          <w:u w:val="thick"/>
        </w:rPr>
        <w:t> </w:t>
      </w:r>
      <w:r>
        <w:rPr>
          <w:u w:val="thick"/>
        </w:rPr>
        <w:t>INTERMEDIOS</w:t>
      </w:r>
      <w:r>
        <w:rPr>
          <w:spacing w:val="-3"/>
          <w:u w:val="thick"/>
        </w:rPr>
        <w:t> </w:t>
      </w:r>
      <w:r>
        <w:rPr>
          <w:u w:val="thick"/>
        </w:rPr>
        <w:t>SEPARADOS</w:t>
      </w:r>
      <w:r>
        <w:rPr>
          <w:spacing w:val="-3"/>
          <w:u w:val="thick"/>
        </w:rPr>
        <w:t> </w:t>
      </w:r>
      <w:r>
        <w:rPr>
          <w:u w:val="thick"/>
        </w:rPr>
        <w:t>CONDENSADOS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line="232" w:lineRule="exact"/>
        <w:ind w:left="181"/>
      </w:pPr>
      <w:r>
        <w:rPr/>
        <w:t>A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Señores</w:t>
      </w:r>
    </w:p>
    <w:p>
      <w:pPr>
        <w:pStyle w:val="BodyText"/>
        <w:spacing w:line="232" w:lineRule="exact"/>
        <w:ind w:left="181"/>
      </w:pPr>
      <w:r>
        <w:rPr/>
        <w:t>Presidente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Directores</w:t>
      </w:r>
      <w:r>
        <w:rPr>
          <w:spacing w:val="-1"/>
        </w:rPr>
        <w:t> </w:t>
      </w:r>
      <w:r>
        <w:rPr/>
        <w:t>de</w:t>
      </w:r>
    </w:p>
    <w:p>
      <w:pPr>
        <w:spacing w:line="232" w:lineRule="exact" w:before="0"/>
        <w:ind w:left="181" w:right="0" w:firstLine="0"/>
        <w:jc w:val="left"/>
        <w:rPr>
          <w:b/>
          <w:sz w:val="20"/>
        </w:rPr>
      </w:pPr>
      <w:r>
        <w:rPr>
          <w:b/>
          <w:sz w:val="20"/>
        </w:rPr>
        <w:t>CELULOSA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ARGENTINA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SOCIEDAD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ANONIMA</w:t>
      </w:r>
    </w:p>
    <w:p>
      <w:pPr>
        <w:pStyle w:val="BodyText"/>
        <w:spacing w:line="232" w:lineRule="exact"/>
        <w:ind w:left="181"/>
      </w:pPr>
      <w:r>
        <w:rPr/>
        <w:t>C.U.I.T.</w:t>
      </w:r>
      <w:r>
        <w:rPr>
          <w:spacing w:val="-6"/>
        </w:rPr>
        <w:t> </w:t>
      </w:r>
      <w:r>
        <w:rPr/>
        <w:t>30-50106215-0</w:t>
      </w:r>
    </w:p>
    <w:p>
      <w:pPr>
        <w:pStyle w:val="BodyText"/>
        <w:spacing w:before="1"/>
        <w:ind w:left="181" w:right="4278"/>
      </w:pPr>
      <w:r>
        <w:rPr/>
        <w:t>Domicilio legal: Av. Pomilio s/n – Capitán Bermúdez</w:t>
      </w:r>
      <w:r>
        <w:rPr>
          <w:spacing w:val="-58"/>
        </w:rPr>
        <w:t> </w:t>
      </w:r>
      <w:r>
        <w:rPr>
          <w:u w:val="single"/>
        </w:rPr>
        <w:t>Provincia</w:t>
      </w:r>
      <w:r>
        <w:rPr>
          <w:spacing w:val="-1"/>
          <w:u w:val="single"/>
        </w:rPr>
        <w:t> </w:t>
      </w:r>
      <w:r>
        <w:rPr>
          <w:u w:val="single"/>
        </w:rPr>
        <w:t>de</w:t>
      </w:r>
      <w:r>
        <w:rPr>
          <w:spacing w:val="-2"/>
          <w:u w:val="single"/>
        </w:rPr>
        <w:t> </w:t>
      </w:r>
      <w:r>
        <w:rPr>
          <w:u w:val="single"/>
        </w:rPr>
        <w:t>Santa</w:t>
      </w:r>
      <w:r>
        <w:rPr>
          <w:spacing w:val="-1"/>
          <w:u w:val="single"/>
        </w:rPr>
        <w:t> </w:t>
      </w:r>
      <w:r>
        <w:rPr>
          <w:u w:val="single"/>
        </w:rPr>
        <w:t>Fe</w:t>
      </w:r>
    </w:p>
    <w:p>
      <w:pPr>
        <w:pStyle w:val="BodyText"/>
      </w:pPr>
    </w:p>
    <w:p>
      <w:pPr>
        <w:pStyle w:val="BodyText"/>
        <w:spacing w:before="11"/>
        <w:rPr>
          <w:sz w:val="19"/>
        </w:rPr>
      </w:pPr>
    </w:p>
    <w:p>
      <w:pPr>
        <w:pStyle w:val="Heading1"/>
        <w:ind w:left="181" w:firstLine="0"/>
        <w:rPr>
          <w:u w:val="none"/>
        </w:rPr>
      </w:pPr>
      <w:r>
        <w:rPr>
          <w:u w:val="single"/>
        </w:rPr>
        <w:t>INFORME</w:t>
      </w:r>
      <w:r>
        <w:rPr>
          <w:spacing w:val="-5"/>
          <w:u w:val="single"/>
        </w:rPr>
        <w:t> </w:t>
      </w:r>
      <w:r>
        <w:rPr>
          <w:u w:val="single"/>
        </w:rPr>
        <w:t>SOBRE</w:t>
      </w:r>
      <w:r>
        <w:rPr>
          <w:spacing w:val="-4"/>
          <w:u w:val="single"/>
        </w:rPr>
        <w:t> </w:t>
      </w:r>
      <w:r>
        <w:rPr>
          <w:u w:val="single"/>
        </w:rPr>
        <w:t>LOS</w:t>
      </w:r>
      <w:r>
        <w:rPr>
          <w:spacing w:val="-4"/>
          <w:u w:val="single"/>
        </w:rPr>
        <w:t> </w:t>
      </w:r>
      <w:r>
        <w:rPr>
          <w:u w:val="single"/>
        </w:rPr>
        <w:t>ESTADOS</w:t>
      </w:r>
      <w:r>
        <w:rPr>
          <w:spacing w:val="-4"/>
          <w:u w:val="single"/>
        </w:rPr>
        <w:t> </w:t>
      </w:r>
      <w:r>
        <w:rPr>
          <w:u w:val="single"/>
        </w:rPr>
        <w:t>FINANCIEROS</w:t>
      </w:r>
      <w:r>
        <w:rPr>
          <w:spacing w:val="-4"/>
          <w:u w:val="single"/>
        </w:rPr>
        <w:t> </w:t>
      </w:r>
      <w:r>
        <w:rPr>
          <w:u w:val="single"/>
        </w:rPr>
        <w:t>INTERMEDIOS</w:t>
      </w:r>
      <w:r>
        <w:rPr>
          <w:spacing w:val="-5"/>
          <w:u w:val="single"/>
        </w:rPr>
        <w:t> </w:t>
      </w:r>
      <w:r>
        <w:rPr>
          <w:u w:val="single"/>
        </w:rPr>
        <w:t>SEPARADOS</w:t>
      </w:r>
      <w:r>
        <w:rPr>
          <w:spacing w:val="-4"/>
          <w:u w:val="single"/>
        </w:rPr>
        <w:t> </w:t>
      </w:r>
      <w:r>
        <w:rPr>
          <w:u w:val="single"/>
        </w:rPr>
        <w:t>CONDENSADOS</w:t>
      </w:r>
    </w:p>
    <w:p>
      <w:pPr>
        <w:pStyle w:val="BodyText"/>
        <w:rPr>
          <w:b/>
        </w:rPr>
      </w:pPr>
    </w:p>
    <w:p>
      <w:pPr>
        <w:pStyle w:val="BodyText"/>
        <w:spacing w:before="11"/>
        <w:rPr>
          <w:b/>
          <w:sz w:val="19"/>
        </w:rPr>
      </w:pPr>
    </w:p>
    <w:p>
      <w:pPr>
        <w:pStyle w:val="ListParagraph"/>
        <w:numPr>
          <w:ilvl w:val="0"/>
          <w:numId w:val="1"/>
        </w:numPr>
        <w:tabs>
          <w:tab w:pos="467" w:val="left" w:leader="none"/>
        </w:tabs>
        <w:spacing w:line="240" w:lineRule="auto" w:before="0" w:after="0"/>
        <w:ind w:left="465" w:right="115" w:hanging="285"/>
        <w:jc w:val="left"/>
        <w:rPr>
          <w:b/>
          <w:sz w:val="20"/>
        </w:rPr>
      </w:pPr>
      <w:r>
        <w:rPr>
          <w:b/>
          <w:sz w:val="20"/>
          <w:u w:val="single"/>
        </w:rPr>
        <w:t>Identificación</w:t>
      </w:r>
      <w:r>
        <w:rPr>
          <w:b/>
          <w:spacing w:val="44"/>
          <w:sz w:val="20"/>
          <w:u w:val="single"/>
        </w:rPr>
        <w:t> </w:t>
      </w:r>
      <w:r>
        <w:rPr>
          <w:b/>
          <w:sz w:val="20"/>
          <w:u w:val="single"/>
        </w:rPr>
        <w:t>de</w:t>
      </w:r>
      <w:r>
        <w:rPr>
          <w:b/>
          <w:spacing w:val="44"/>
          <w:sz w:val="20"/>
          <w:u w:val="single"/>
        </w:rPr>
        <w:t> </w:t>
      </w:r>
      <w:r>
        <w:rPr>
          <w:b/>
          <w:sz w:val="20"/>
          <w:u w:val="single"/>
        </w:rPr>
        <w:t>los</w:t>
      </w:r>
      <w:r>
        <w:rPr>
          <w:b/>
          <w:spacing w:val="44"/>
          <w:sz w:val="20"/>
          <w:u w:val="single"/>
        </w:rPr>
        <w:t> </w:t>
      </w:r>
      <w:r>
        <w:rPr>
          <w:b/>
          <w:sz w:val="20"/>
          <w:u w:val="single"/>
        </w:rPr>
        <w:t>estados</w:t>
      </w:r>
      <w:r>
        <w:rPr>
          <w:b/>
          <w:spacing w:val="43"/>
          <w:sz w:val="20"/>
          <w:u w:val="single"/>
        </w:rPr>
        <w:t> </w:t>
      </w:r>
      <w:r>
        <w:rPr>
          <w:b/>
          <w:sz w:val="20"/>
          <w:u w:val="single"/>
        </w:rPr>
        <w:t>financieros</w:t>
      </w:r>
      <w:r>
        <w:rPr>
          <w:b/>
          <w:spacing w:val="44"/>
          <w:sz w:val="20"/>
          <w:u w:val="single"/>
        </w:rPr>
        <w:t> </w:t>
      </w:r>
      <w:r>
        <w:rPr>
          <w:b/>
          <w:sz w:val="20"/>
          <w:u w:val="single"/>
        </w:rPr>
        <w:t>intermedios</w:t>
      </w:r>
      <w:r>
        <w:rPr>
          <w:b/>
          <w:spacing w:val="44"/>
          <w:sz w:val="20"/>
          <w:u w:val="single"/>
        </w:rPr>
        <w:t> </w:t>
      </w:r>
      <w:r>
        <w:rPr>
          <w:b/>
          <w:sz w:val="20"/>
          <w:u w:val="single"/>
        </w:rPr>
        <w:t>separados</w:t>
      </w:r>
      <w:r>
        <w:rPr>
          <w:b/>
          <w:spacing w:val="44"/>
          <w:sz w:val="20"/>
          <w:u w:val="single"/>
        </w:rPr>
        <w:t> </w:t>
      </w:r>
      <w:r>
        <w:rPr>
          <w:b/>
          <w:sz w:val="20"/>
          <w:u w:val="single"/>
        </w:rPr>
        <w:t>condensados</w:t>
      </w:r>
      <w:r>
        <w:rPr>
          <w:b/>
          <w:spacing w:val="43"/>
          <w:sz w:val="20"/>
          <w:u w:val="single"/>
        </w:rPr>
        <w:t> </w:t>
      </w:r>
      <w:r>
        <w:rPr>
          <w:b/>
          <w:sz w:val="20"/>
          <w:u w:val="single"/>
        </w:rPr>
        <w:t>objeto</w:t>
      </w:r>
      <w:r>
        <w:rPr>
          <w:b/>
          <w:spacing w:val="43"/>
          <w:sz w:val="20"/>
          <w:u w:val="single"/>
        </w:rPr>
        <w:t> </w:t>
      </w:r>
      <w:r>
        <w:rPr>
          <w:b/>
          <w:sz w:val="20"/>
          <w:u w:val="single"/>
        </w:rPr>
        <w:t>de</w:t>
      </w:r>
      <w:r>
        <w:rPr>
          <w:b/>
          <w:spacing w:val="-58"/>
          <w:sz w:val="20"/>
        </w:rPr>
        <w:t> </w:t>
      </w:r>
      <w:r>
        <w:rPr>
          <w:b/>
          <w:sz w:val="20"/>
          <w:u w:val="single"/>
        </w:rPr>
        <w:t>revisión</w:t>
      </w:r>
    </w:p>
    <w:p>
      <w:pPr>
        <w:pStyle w:val="BodyText"/>
        <w:rPr>
          <w:b/>
        </w:rPr>
      </w:pPr>
    </w:p>
    <w:p>
      <w:pPr>
        <w:pStyle w:val="BodyText"/>
        <w:spacing w:before="1"/>
        <w:ind w:left="465" w:right="116"/>
        <w:jc w:val="both"/>
      </w:pPr>
      <w:r>
        <w:rPr/>
        <w:t>Hemos</w:t>
      </w:r>
      <w:r>
        <w:rPr>
          <w:spacing w:val="1"/>
        </w:rPr>
        <w:t> </w:t>
      </w:r>
      <w:r>
        <w:rPr/>
        <w:t>revisado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estados</w:t>
      </w:r>
      <w:r>
        <w:rPr>
          <w:spacing w:val="1"/>
        </w:rPr>
        <w:t> </w:t>
      </w:r>
      <w:r>
        <w:rPr/>
        <w:t>financieros</w:t>
      </w:r>
      <w:r>
        <w:rPr>
          <w:spacing w:val="1"/>
        </w:rPr>
        <w:t> </w:t>
      </w:r>
      <w:r>
        <w:rPr/>
        <w:t>intermedios</w:t>
      </w:r>
      <w:r>
        <w:rPr>
          <w:spacing w:val="1"/>
        </w:rPr>
        <w:t> </w:t>
      </w:r>
      <w:r>
        <w:rPr/>
        <w:t>separados</w:t>
      </w:r>
      <w:r>
        <w:rPr>
          <w:spacing w:val="1"/>
        </w:rPr>
        <w:t> </w:t>
      </w:r>
      <w:r>
        <w:rPr/>
        <w:t>condensados</w:t>
      </w:r>
      <w:r>
        <w:rPr>
          <w:spacing w:val="1"/>
        </w:rPr>
        <w:t> </w:t>
      </w:r>
      <w:r>
        <w:rPr/>
        <w:t>adjuntos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>
          <w:b/>
        </w:rPr>
        <w:t>CELULOSA</w:t>
      </w:r>
      <w:r>
        <w:rPr>
          <w:b/>
          <w:spacing w:val="1"/>
        </w:rPr>
        <w:t> </w:t>
      </w:r>
      <w:r>
        <w:rPr>
          <w:b/>
        </w:rPr>
        <w:t>ARGENTINA</w:t>
      </w:r>
      <w:r>
        <w:rPr>
          <w:b/>
          <w:spacing w:val="1"/>
        </w:rPr>
        <w:t> </w:t>
      </w:r>
      <w:r>
        <w:rPr>
          <w:b/>
        </w:rPr>
        <w:t>SOCIEDAD</w:t>
      </w:r>
      <w:r>
        <w:rPr>
          <w:b/>
          <w:spacing w:val="1"/>
        </w:rPr>
        <w:t> </w:t>
      </w:r>
      <w:r>
        <w:rPr>
          <w:b/>
        </w:rPr>
        <w:t>ANONIMA</w:t>
      </w:r>
      <w:r>
        <w:rPr>
          <w:b/>
          <w:spacing w:val="1"/>
        </w:rPr>
        <w:t> </w:t>
      </w:r>
      <w:r>
        <w:rPr/>
        <w:t>(“la</w:t>
      </w:r>
      <w:r>
        <w:rPr>
          <w:spacing w:val="1"/>
        </w:rPr>
        <w:t> </w:t>
      </w:r>
      <w:r>
        <w:rPr/>
        <w:t>Sociedad”)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comprenden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intermedio separado condensado de situación financiera al 28 de febrero de 2022 y los</w:t>
      </w:r>
      <w:r>
        <w:rPr>
          <w:spacing w:val="1"/>
        </w:rPr>
        <w:t> </w:t>
      </w:r>
      <w:r>
        <w:rPr/>
        <w:t>correspondientes estados intermedios separados condensados de ganancias o pérdidas y otros</w:t>
      </w:r>
      <w:r>
        <w:rPr>
          <w:spacing w:val="1"/>
        </w:rPr>
        <w:t> </w:t>
      </w:r>
      <w:r>
        <w:rPr/>
        <w:t>resultados integrales, de cambios en el patrimonio y de flujos de efectivo por el período de</w:t>
      </w:r>
      <w:r>
        <w:rPr>
          <w:spacing w:val="1"/>
        </w:rPr>
        <w:t> </w:t>
      </w:r>
      <w:r>
        <w:rPr/>
        <w:t>nueve</w:t>
      </w:r>
      <w:r>
        <w:rPr>
          <w:spacing w:val="1"/>
        </w:rPr>
        <w:t> </w:t>
      </w:r>
      <w:r>
        <w:rPr/>
        <w:t>meses</w:t>
      </w:r>
      <w:r>
        <w:rPr>
          <w:spacing w:val="1"/>
        </w:rPr>
        <w:t> </w:t>
      </w:r>
      <w:r>
        <w:rPr/>
        <w:t>finalizado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28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febrero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2022,</w:t>
      </w:r>
      <w:r>
        <w:rPr>
          <w:spacing w:val="1"/>
        </w:rPr>
        <w:t> </w:t>
      </w:r>
      <w:r>
        <w:rPr/>
        <w:t>así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explicativa</w:t>
      </w:r>
      <w:r>
        <w:rPr>
          <w:spacing w:val="1"/>
        </w:rPr>
        <w:t> </w:t>
      </w:r>
      <w:r>
        <w:rPr/>
        <w:t>seleccionada</w:t>
      </w:r>
      <w:r>
        <w:rPr>
          <w:spacing w:val="-10"/>
        </w:rPr>
        <w:t> </w:t>
      </w:r>
      <w:r>
        <w:rPr/>
        <w:t>contenida</w:t>
      </w:r>
      <w:r>
        <w:rPr>
          <w:spacing w:val="-8"/>
        </w:rPr>
        <w:t> </w:t>
      </w:r>
      <w:r>
        <w:rPr/>
        <w:t>en</w:t>
      </w:r>
      <w:r>
        <w:rPr>
          <w:spacing w:val="-10"/>
        </w:rPr>
        <w:t> </w:t>
      </w:r>
      <w:r>
        <w:rPr/>
        <w:t>notas</w:t>
      </w:r>
      <w:r>
        <w:rPr>
          <w:spacing w:val="-10"/>
        </w:rPr>
        <w:t> </w:t>
      </w:r>
      <w:r>
        <w:rPr/>
        <w:t>1</w:t>
      </w:r>
      <w:r>
        <w:rPr>
          <w:spacing w:val="-9"/>
        </w:rPr>
        <w:t> </w:t>
      </w:r>
      <w:r>
        <w:rPr/>
        <w:t>a</w:t>
      </w:r>
      <w:r>
        <w:rPr>
          <w:spacing w:val="-8"/>
        </w:rPr>
        <w:t> </w:t>
      </w:r>
      <w:r>
        <w:rPr/>
        <w:t>31.</w:t>
      </w:r>
      <w:r>
        <w:rPr>
          <w:spacing w:val="-9"/>
        </w:rPr>
        <w:t> </w:t>
      </w:r>
      <w:r>
        <w:rPr/>
        <w:t>Sus</w:t>
      </w:r>
      <w:r>
        <w:rPr>
          <w:spacing w:val="-8"/>
        </w:rPr>
        <w:t> </w:t>
      </w:r>
      <w:r>
        <w:rPr/>
        <w:t>cifras</w:t>
      </w:r>
      <w:r>
        <w:rPr>
          <w:spacing w:val="-8"/>
        </w:rPr>
        <w:t> </w:t>
      </w:r>
      <w:r>
        <w:rPr/>
        <w:t>resumidas,</w:t>
      </w:r>
      <w:r>
        <w:rPr>
          <w:spacing w:val="-9"/>
        </w:rPr>
        <w:t> </w:t>
      </w:r>
      <w:r>
        <w:rPr/>
        <w:t>expresadas</w:t>
      </w:r>
      <w:r>
        <w:rPr>
          <w:spacing w:val="-9"/>
        </w:rPr>
        <w:t> </w:t>
      </w:r>
      <w:r>
        <w:rPr/>
        <w:t>en</w:t>
      </w:r>
      <w:r>
        <w:rPr>
          <w:spacing w:val="-10"/>
        </w:rPr>
        <w:t> </w:t>
      </w:r>
      <w:r>
        <w:rPr/>
        <w:t>miles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pesos,</w:t>
      </w:r>
      <w:r>
        <w:rPr>
          <w:spacing w:val="-8"/>
        </w:rPr>
        <w:t> </w:t>
      </w:r>
      <w:r>
        <w:rPr/>
        <w:t>son</w:t>
      </w:r>
      <w:r>
        <w:rPr>
          <w:spacing w:val="-58"/>
        </w:rPr>
        <w:t> </w:t>
      </w:r>
      <w:r>
        <w:rPr/>
        <w:t>las</w:t>
      </w:r>
      <w:r>
        <w:rPr>
          <w:spacing w:val="-1"/>
        </w:rPr>
        <w:t> </w:t>
      </w:r>
      <w:r>
        <w:rPr/>
        <w:t>siguientes:</w:t>
      </w:r>
    </w:p>
    <w:p>
      <w:pPr>
        <w:pStyle w:val="BodyText"/>
        <w:spacing w:before="11"/>
        <w:rPr>
          <w:sz w:val="19"/>
        </w:rPr>
      </w:pPr>
    </w:p>
    <w:tbl>
      <w:tblPr>
        <w:tblW w:w="0" w:type="auto"/>
        <w:jc w:val="left"/>
        <w:tblInd w:w="8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32"/>
        <w:gridCol w:w="1984"/>
      </w:tblGrid>
      <w:tr>
        <w:trPr>
          <w:trHeight w:val="232" w:hRule="atLeast"/>
        </w:trPr>
        <w:tc>
          <w:tcPr>
            <w:tcW w:w="4732" w:type="dxa"/>
          </w:tcPr>
          <w:p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>Activo</w:t>
            </w:r>
          </w:p>
        </w:tc>
        <w:tc>
          <w:tcPr>
            <w:tcW w:w="1984" w:type="dxa"/>
          </w:tcPr>
          <w:p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34.461.927</w:t>
            </w:r>
          </w:p>
        </w:tc>
      </w:tr>
      <w:tr>
        <w:trPr>
          <w:trHeight w:val="232" w:hRule="atLeast"/>
        </w:trPr>
        <w:tc>
          <w:tcPr>
            <w:tcW w:w="4732" w:type="dxa"/>
          </w:tcPr>
          <w:p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>Pasivo</w:t>
            </w:r>
          </w:p>
        </w:tc>
        <w:tc>
          <w:tcPr>
            <w:tcW w:w="1984" w:type="dxa"/>
          </w:tcPr>
          <w:p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27.686.960</w:t>
            </w:r>
          </w:p>
        </w:tc>
      </w:tr>
      <w:tr>
        <w:trPr>
          <w:trHeight w:val="232" w:hRule="atLeast"/>
        </w:trPr>
        <w:tc>
          <w:tcPr>
            <w:tcW w:w="4732" w:type="dxa"/>
          </w:tcPr>
          <w:p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>Patrimonio</w:t>
            </w:r>
          </w:p>
        </w:tc>
        <w:tc>
          <w:tcPr>
            <w:tcW w:w="1984" w:type="dxa"/>
          </w:tcPr>
          <w:p>
            <w:pPr>
              <w:pStyle w:val="TableParagraph"/>
              <w:ind w:right="198"/>
              <w:jc w:val="right"/>
              <w:rPr>
                <w:sz w:val="20"/>
              </w:rPr>
            </w:pPr>
            <w:r>
              <w:rPr>
                <w:sz w:val="20"/>
              </w:rPr>
              <w:t>6.774.967</w:t>
            </w:r>
          </w:p>
        </w:tc>
      </w:tr>
      <w:tr>
        <w:trPr>
          <w:trHeight w:val="232" w:hRule="atLeast"/>
        </w:trPr>
        <w:tc>
          <w:tcPr>
            <w:tcW w:w="4732" w:type="dxa"/>
          </w:tcPr>
          <w:p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>Ganancia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período</w:t>
            </w:r>
          </w:p>
        </w:tc>
        <w:tc>
          <w:tcPr>
            <w:tcW w:w="1984" w:type="dxa"/>
          </w:tcPr>
          <w:p>
            <w:pPr>
              <w:pStyle w:val="TableParagraph"/>
              <w:ind w:right="198"/>
              <w:jc w:val="right"/>
              <w:rPr>
                <w:sz w:val="20"/>
              </w:rPr>
            </w:pPr>
            <w:r>
              <w:rPr>
                <w:sz w:val="20"/>
              </w:rPr>
              <w:t>2.015.999</w:t>
            </w:r>
          </w:p>
        </w:tc>
      </w:tr>
      <w:tr>
        <w:trPr>
          <w:trHeight w:val="232" w:hRule="atLeast"/>
        </w:trPr>
        <w:tc>
          <w:tcPr>
            <w:tcW w:w="4732" w:type="dxa"/>
          </w:tcPr>
          <w:p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>Resultado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integral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período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Ganancia</w:t>
            </w:r>
          </w:p>
        </w:tc>
        <w:tc>
          <w:tcPr>
            <w:tcW w:w="1984" w:type="dxa"/>
          </w:tcPr>
          <w:p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786.550</w:t>
            </w:r>
          </w:p>
        </w:tc>
      </w:tr>
    </w:tbl>
    <w:p>
      <w:pPr>
        <w:pStyle w:val="BodyText"/>
        <w:spacing w:before="11"/>
        <w:rPr>
          <w:sz w:val="19"/>
        </w:rPr>
      </w:pPr>
    </w:p>
    <w:p>
      <w:pPr>
        <w:pStyle w:val="BodyText"/>
        <w:ind w:left="465" w:right="117"/>
        <w:jc w:val="both"/>
      </w:pPr>
      <w:r>
        <w:rPr/>
        <w:t>Las cifras y otra información correspondiente al ejercicio económico finalizado el 31 de mayo</w:t>
      </w:r>
      <w:r>
        <w:rPr>
          <w:spacing w:val="1"/>
        </w:rPr>
        <w:t> </w:t>
      </w:r>
      <w:r>
        <w:rPr/>
        <w:t>de 2021 y al período de nueve meses finalizado el 28 de febrero de 2021, son parte integrante</w:t>
      </w:r>
      <w:r>
        <w:rPr>
          <w:spacing w:val="1"/>
        </w:rPr>
        <w:t> </w:t>
      </w:r>
      <w:r>
        <w:rPr/>
        <w:t>de los estados financieros mencionados precedentemente y se las presenta con el propósito de</w:t>
      </w:r>
      <w:r>
        <w:rPr>
          <w:spacing w:val="-58"/>
        </w:rPr>
        <w:t> </w:t>
      </w:r>
      <w:r>
        <w:rPr/>
        <w:t>que se interpreten exclusivamente en relación con las cifras y otra información del período</w:t>
      </w:r>
      <w:r>
        <w:rPr>
          <w:spacing w:val="1"/>
        </w:rPr>
        <w:t> </w:t>
      </w:r>
      <w:r>
        <w:rPr/>
        <w:t>intermedio</w:t>
      </w:r>
      <w:r>
        <w:rPr>
          <w:spacing w:val="-1"/>
        </w:rPr>
        <w:t> </w:t>
      </w:r>
      <w:r>
        <w:rPr/>
        <w:t>actual.</w:t>
      </w:r>
    </w:p>
    <w:p>
      <w:pPr>
        <w:pStyle w:val="BodyText"/>
      </w:pPr>
    </w:p>
    <w:p>
      <w:pPr>
        <w:pStyle w:val="Heading1"/>
        <w:numPr>
          <w:ilvl w:val="0"/>
          <w:numId w:val="1"/>
        </w:numPr>
        <w:tabs>
          <w:tab w:pos="467" w:val="left" w:leader="none"/>
        </w:tabs>
        <w:spacing w:line="240" w:lineRule="auto" w:before="0" w:after="0"/>
        <w:ind w:left="466" w:right="0" w:hanging="286"/>
        <w:jc w:val="left"/>
        <w:rPr>
          <w:u w:val="none"/>
        </w:rPr>
      </w:pPr>
      <w:r>
        <w:rPr>
          <w:u w:val="single"/>
        </w:rPr>
        <w:t>Responsabilidad</w:t>
      </w:r>
      <w:r>
        <w:rPr>
          <w:spacing w:val="-3"/>
          <w:u w:val="single"/>
        </w:rPr>
        <w:t> </w:t>
      </w:r>
      <w:r>
        <w:rPr>
          <w:u w:val="single"/>
        </w:rPr>
        <w:t>de</w:t>
      </w:r>
      <w:r>
        <w:rPr>
          <w:spacing w:val="-3"/>
          <w:u w:val="single"/>
        </w:rPr>
        <w:t> </w:t>
      </w:r>
      <w:r>
        <w:rPr>
          <w:u w:val="single"/>
        </w:rPr>
        <w:t>la</w:t>
      </w:r>
      <w:r>
        <w:rPr>
          <w:spacing w:val="-2"/>
          <w:u w:val="single"/>
        </w:rPr>
        <w:t> </w:t>
      </w:r>
      <w:r>
        <w:rPr>
          <w:u w:val="single"/>
        </w:rPr>
        <w:t>Dirección</w:t>
      </w:r>
    </w:p>
    <w:p>
      <w:pPr>
        <w:pStyle w:val="BodyText"/>
        <w:rPr>
          <w:b/>
        </w:rPr>
      </w:pPr>
    </w:p>
    <w:p>
      <w:pPr>
        <w:pStyle w:val="BodyText"/>
        <w:ind w:left="465" w:right="116"/>
        <w:jc w:val="both"/>
      </w:pPr>
      <w:r>
        <w:rPr/>
        <w:t>El Directorio de la Sociedad es responsable de la preparación y presentación de los estados</w:t>
      </w:r>
      <w:r>
        <w:rPr>
          <w:spacing w:val="1"/>
        </w:rPr>
        <w:t> </w:t>
      </w:r>
      <w:r>
        <w:rPr/>
        <w:t>financieros intermedios separados condensados de la Sociedad de acuerdo con las Normas</w:t>
      </w:r>
      <w:r>
        <w:rPr>
          <w:spacing w:val="1"/>
        </w:rPr>
        <w:t> </w:t>
      </w:r>
      <w:r>
        <w:rPr/>
        <w:t>Internacionales de Información Financiera adoptadas por la Federación Argentina de Consejos</w:t>
      </w:r>
      <w:r>
        <w:rPr>
          <w:spacing w:val="1"/>
        </w:rPr>
        <w:t> </w:t>
      </w:r>
      <w:r>
        <w:rPr/>
        <w:t>Profesionales de Ciencias Económicas (F.A.C.P.C.E.) como normas contables profesionales, tal</w:t>
      </w:r>
      <w:r>
        <w:rPr>
          <w:spacing w:val="1"/>
        </w:rPr>
        <w:t> </w:t>
      </w:r>
      <w:r>
        <w:rPr/>
        <w:t>como fueron aprobadas por el Consejo de Normas Internacionales de Contabilidad (“IASB”, por</w:t>
      </w:r>
      <w:r>
        <w:rPr>
          <w:spacing w:val="-58"/>
        </w:rPr>
        <w:t> </w:t>
      </w:r>
      <w:r>
        <w:rPr/>
        <w:t>su sigla en inglés), e incorporadas por la Comisión Nacional de Valores a su normativa, y por lo</w:t>
      </w:r>
      <w:r>
        <w:rPr>
          <w:spacing w:val="-58"/>
        </w:rPr>
        <w:t> </w:t>
      </w:r>
      <w:r>
        <w:rPr/>
        <w:t>tanto es responsable de la preparación y presentación de los estados financieros intermedios</w:t>
      </w:r>
      <w:r>
        <w:rPr>
          <w:spacing w:val="1"/>
        </w:rPr>
        <w:t> </w:t>
      </w:r>
      <w:r>
        <w:rPr/>
        <w:t>separados condensados adjuntos, de acuerdo con la Norma Internacional de Contabilidad 34,</w:t>
      </w:r>
      <w:r>
        <w:rPr>
          <w:spacing w:val="1"/>
        </w:rPr>
        <w:t> </w:t>
      </w:r>
      <w:r>
        <w:rPr/>
        <w:t>“Información</w:t>
      </w:r>
      <w:r>
        <w:rPr>
          <w:spacing w:val="-8"/>
        </w:rPr>
        <w:t> </w:t>
      </w:r>
      <w:r>
        <w:rPr/>
        <w:t>financiera</w:t>
      </w:r>
      <w:r>
        <w:rPr>
          <w:spacing w:val="-5"/>
        </w:rPr>
        <w:t> </w:t>
      </w:r>
      <w:r>
        <w:rPr/>
        <w:t>intermedia”.</w:t>
      </w:r>
      <w:r>
        <w:rPr>
          <w:spacing w:val="-7"/>
        </w:rPr>
        <w:t> </w:t>
      </w:r>
      <w:r>
        <w:rPr/>
        <w:t>Asimismo,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Directorio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Sociedad</w:t>
      </w:r>
      <w:r>
        <w:rPr>
          <w:spacing w:val="-6"/>
        </w:rPr>
        <w:t> </w:t>
      </w:r>
      <w:r>
        <w:rPr/>
        <w:t>es</w:t>
      </w:r>
      <w:r>
        <w:rPr>
          <w:spacing w:val="-6"/>
        </w:rPr>
        <w:t> </w:t>
      </w:r>
      <w:r>
        <w:rPr/>
        <w:t>responsable</w:t>
      </w:r>
      <w:r>
        <w:rPr>
          <w:spacing w:val="-7"/>
        </w:rPr>
        <w:t> </w:t>
      </w:r>
      <w:r>
        <w:rPr/>
        <w:t>del</w:t>
      </w:r>
      <w:r>
        <w:rPr>
          <w:spacing w:val="-57"/>
        </w:rPr>
        <w:t> </w:t>
      </w:r>
      <w:r>
        <w:rPr/>
        <w:t>control interno que considere necesario para permitir la preparación de estados financieros</w:t>
      </w:r>
      <w:r>
        <w:rPr>
          <w:spacing w:val="1"/>
        </w:rPr>
        <w:t> </w:t>
      </w:r>
      <w:r>
        <w:rPr/>
        <w:t>intermedios</w:t>
      </w:r>
      <w:r>
        <w:rPr>
          <w:spacing w:val="-1"/>
        </w:rPr>
        <w:t> </w:t>
      </w:r>
      <w:r>
        <w:rPr/>
        <w:t>separados</w:t>
      </w:r>
      <w:r>
        <w:rPr>
          <w:spacing w:val="-1"/>
        </w:rPr>
        <w:t> </w:t>
      </w:r>
      <w:r>
        <w:rPr/>
        <w:t>condensados</w:t>
      </w:r>
      <w:r>
        <w:rPr>
          <w:spacing w:val="-1"/>
        </w:rPr>
        <w:t> </w:t>
      </w:r>
      <w:r>
        <w:rPr/>
        <w:t>libres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incorrecciones</w:t>
      </w:r>
      <w:r>
        <w:rPr>
          <w:spacing w:val="-1"/>
        </w:rPr>
        <w:t> </w:t>
      </w:r>
      <w:r>
        <w:rPr/>
        <w:t>significativas.</w:t>
      </w:r>
    </w:p>
    <w:p>
      <w:pPr>
        <w:spacing w:after="0"/>
        <w:jc w:val="both"/>
        <w:sectPr>
          <w:type w:val="continuous"/>
          <w:pgSz w:w="12240" w:h="15840"/>
          <w:pgMar w:top="620" w:bottom="1360" w:left="1520" w:right="1580"/>
        </w:sectPr>
      </w:pPr>
    </w:p>
    <w:p>
      <w:pPr>
        <w:pStyle w:val="BodyText"/>
        <w:rPr>
          <w:sz w:val="22"/>
        </w:rPr>
      </w:pPr>
    </w:p>
    <w:p>
      <w:pPr>
        <w:pStyle w:val="Heading1"/>
        <w:numPr>
          <w:ilvl w:val="0"/>
          <w:numId w:val="1"/>
        </w:numPr>
        <w:tabs>
          <w:tab w:pos="467" w:val="left" w:leader="none"/>
        </w:tabs>
        <w:spacing w:line="240" w:lineRule="auto" w:before="101" w:after="0"/>
        <w:ind w:left="466" w:right="0" w:hanging="361"/>
        <w:jc w:val="left"/>
        <w:rPr>
          <w:u w:val="none"/>
        </w:rPr>
      </w:pPr>
      <w:r>
        <w:rPr>
          <w:u w:val="single"/>
        </w:rPr>
        <w:t>Responsabilidad</w:t>
      </w:r>
      <w:r>
        <w:rPr>
          <w:spacing w:val="-3"/>
          <w:u w:val="single"/>
        </w:rPr>
        <w:t> </w:t>
      </w:r>
      <w:r>
        <w:rPr>
          <w:u w:val="single"/>
        </w:rPr>
        <w:t>de</w:t>
      </w:r>
      <w:r>
        <w:rPr>
          <w:spacing w:val="-3"/>
          <w:u w:val="single"/>
        </w:rPr>
        <w:t> </w:t>
      </w:r>
      <w:r>
        <w:rPr>
          <w:u w:val="single"/>
        </w:rPr>
        <w:t>los</w:t>
      </w:r>
      <w:r>
        <w:rPr>
          <w:spacing w:val="-3"/>
          <w:u w:val="single"/>
        </w:rPr>
        <w:t> </w:t>
      </w:r>
      <w:r>
        <w:rPr>
          <w:u w:val="single"/>
        </w:rPr>
        <w:t>auditores</w:t>
      </w:r>
    </w:p>
    <w:p>
      <w:pPr>
        <w:pStyle w:val="BodyText"/>
        <w:spacing w:before="11"/>
        <w:rPr>
          <w:b/>
          <w:sz w:val="19"/>
        </w:rPr>
      </w:pPr>
    </w:p>
    <w:p>
      <w:pPr>
        <w:pStyle w:val="BodyText"/>
        <w:ind w:left="465" w:right="116"/>
        <w:jc w:val="both"/>
      </w:pPr>
      <w:r>
        <w:rPr/>
        <w:t>Nuestra</w:t>
      </w:r>
      <w:r>
        <w:rPr>
          <w:spacing w:val="1"/>
        </w:rPr>
        <w:t> </w:t>
      </w:r>
      <w:r>
        <w:rPr/>
        <w:t>responsabilidad</w:t>
      </w:r>
      <w:r>
        <w:rPr>
          <w:spacing w:val="1"/>
        </w:rPr>
        <w:t> </w:t>
      </w:r>
      <w:r>
        <w:rPr/>
        <w:t>consiste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emitir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conclusión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estados</w:t>
      </w:r>
      <w:r>
        <w:rPr>
          <w:spacing w:val="1"/>
        </w:rPr>
        <w:t> </w:t>
      </w:r>
      <w:r>
        <w:rPr/>
        <w:t>financieros</w:t>
      </w:r>
      <w:r>
        <w:rPr>
          <w:spacing w:val="1"/>
        </w:rPr>
        <w:t> </w:t>
      </w:r>
      <w:r>
        <w:rPr/>
        <w:t>intermedios</w:t>
      </w:r>
      <w:r>
        <w:rPr>
          <w:spacing w:val="-7"/>
        </w:rPr>
        <w:t> </w:t>
      </w:r>
      <w:r>
        <w:rPr/>
        <w:t>separados</w:t>
      </w:r>
      <w:r>
        <w:rPr>
          <w:spacing w:val="-5"/>
        </w:rPr>
        <w:t> </w:t>
      </w:r>
      <w:r>
        <w:rPr/>
        <w:t>condensados</w:t>
      </w:r>
      <w:r>
        <w:rPr>
          <w:spacing w:val="-6"/>
        </w:rPr>
        <w:t> </w:t>
      </w:r>
      <w:r>
        <w:rPr/>
        <w:t>adjuntos</w:t>
      </w:r>
      <w:r>
        <w:rPr>
          <w:spacing w:val="-4"/>
        </w:rPr>
        <w:t> </w:t>
      </w:r>
      <w:r>
        <w:rPr/>
        <w:t>basada</w:t>
      </w:r>
      <w:r>
        <w:rPr>
          <w:spacing w:val="-6"/>
        </w:rPr>
        <w:t> </w:t>
      </w:r>
      <w:r>
        <w:rPr/>
        <w:t>en</w:t>
      </w:r>
      <w:r>
        <w:rPr>
          <w:spacing w:val="-5"/>
        </w:rPr>
        <w:t> </w:t>
      </w:r>
      <w:r>
        <w:rPr/>
        <w:t>nuestra</w:t>
      </w:r>
      <w:r>
        <w:rPr>
          <w:spacing w:val="-6"/>
        </w:rPr>
        <w:t> </w:t>
      </w:r>
      <w:r>
        <w:rPr/>
        <w:t>revisión.</w:t>
      </w:r>
      <w:r>
        <w:rPr>
          <w:spacing w:val="-6"/>
        </w:rPr>
        <w:t> </w:t>
      </w:r>
      <w:r>
        <w:rPr/>
        <w:t>Hemos</w:t>
      </w:r>
      <w:r>
        <w:rPr>
          <w:spacing w:val="-5"/>
        </w:rPr>
        <w:t> </w:t>
      </w:r>
      <w:r>
        <w:rPr/>
        <w:t>llevado</w:t>
      </w:r>
      <w:r>
        <w:rPr>
          <w:spacing w:val="-6"/>
        </w:rPr>
        <w:t> </w:t>
      </w:r>
      <w:r>
        <w:rPr/>
        <w:t>a</w:t>
      </w:r>
      <w:r>
        <w:rPr>
          <w:spacing w:val="-5"/>
        </w:rPr>
        <w:t> </w:t>
      </w:r>
      <w:r>
        <w:rPr/>
        <w:t>cabo</w:t>
      </w:r>
      <w:r>
        <w:rPr>
          <w:spacing w:val="-58"/>
        </w:rPr>
        <w:t> </w:t>
      </w:r>
      <w:r>
        <w:rPr/>
        <w:t>nuestra revisión de conformidad con las Normas Internacionales de Encargos de Revisión,</w:t>
      </w:r>
      <w:r>
        <w:rPr>
          <w:spacing w:val="1"/>
        </w:rPr>
        <w:t> </w:t>
      </w:r>
      <w:r>
        <w:rPr/>
        <w:t>adoptadas por la F.A.C.P.C.E. a través de la Resolución Técnica Nº 33, tal como fueron</w:t>
      </w:r>
      <w:r>
        <w:rPr>
          <w:spacing w:val="1"/>
        </w:rPr>
        <w:t> </w:t>
      </w:r>
      <w:r>
        <w:rPr/>
        <w:t>aprobadas</w:t>
      </w:r>
      <w:r>
        <w:rPr>
          <w:spacing w:val="-8"/>
        </w:rPr>
        <w:t> </w:t>
      </w:r>
      <w:r>
        <w:rPr/>
        <w:t>por</w:t>
      </w:r>
      <w:r>
        <w:rPr>
          <w:spacing w:val="-9"/>
        </w:rPr>
        <w:t> </w:t>
      </w:r>
      <w:r>
        <w:rPr/>
        <w:t>el</w:t>
      </w:r>
      <w:r>
        <w:rPr>
          <w:spacing w:val="-9"/>
        </w:rPr>
        <w:t> </w:t>
      </w:r>
      <w:r>
        <w:rPr/>
        <w:t>Consejo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Normas</w:t>
      </w:r>
      <w:r>
        <w:rPr>
          <w:spacing w:val="-8"/>
        </w:rPr>
        <w:t> </w:t>
      </w:r>
      <w:r>
        <w:rPr/>
        <w:t>Internacionales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Auditoria</w:t>
      </w:r>
      <w:r>
        <w:rPr>
          <w:spacing w:val="-9"/>
        </w:rPr>
        <w:t> </w:t>
      </w:r>
      <w:r>
        <w:rPr/>
        <w:t>y</w:t>
      </w:r>
      <w:r>
        <w:rPr>
          <w:spacing w:val="-9"/>
        </w:rPr>
        <w:t> </w:t>
      </w:r>
      <w:r>
        <w:rPr/>
        <w:t>Aseguramiento</w:t>
      </w:r>
      <w:r>
        <w:rPr>
          <w:spacing w:val="-8"/>
        </w:rPr>
        <w:t> </w:t>
      </w:r>
      <w:r>
        <w:rPr/>
        <w:t>(“IAASB”</w:t>
      </w:r>
      <w:r>
        <w:rPr>
          <w:spacing w:val="-9"/>
        </w:rPr>
        <w:t> </w:t>
      </w:r>
      <w:r>
        <w:rPr/>
        <w:t>por</w:t>
      </w:r>
      <w:r>
        <w:rPr>
          <w:spacing w:val="-58"/>
        </w:rPr>
        <w:t> </w:t>
      </w:r>
      <w:r>
        <w:rPr/>
        <w:t>su</w:t>
      </w:r>
      <w:r>
        <w:rPr>
          <w:spacing w:val="-7"/>
        </w:rPr>
        <w:t> </w:t>
      </w:r>
      <w:r>
        <w:rPr/>
        <w:t>sigla</w:t>
      </w:r>
      <w:r>
        <w:rPr>
          <w:spacing w:val="-6"/>
        </w:rPr>
        <w:t> </w:t>
      </w:r>
      <w:r>
        <w:rPr/>
        <w:t>en</w:t>
      </w:r>
      <w:r>
        <w:rPr>
          <w:spacing w:val="-8"/>
        </w:rPr>
        <w:t> </w:t>
      </w:r>
      <w:r>
        <w:rPr/>
        <w:t>inglés)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Federación</w:t>
      </w:r>
      <w:r>
        <w:rPr>
          <w:spacing w:val="-7"/>
        </w:rPr>
        <w:t> </w:t>
      </w:r>
      <w:r>
        <w:rPr/>
        <w:t>Internacional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Contadores</w:t>
      </w:r>
      <w:r>
        <w:rPr>
          <w:spacing w:val="-5"/>
        </w:rPr>
        <w:t> </w:t>
      </w:r>
      <w:r>
        <w:rPr/>
        <w:t>(“IFAC”,</w:t>
      </w:r>
      <w:r>
        <w:rPr>
          <w:spacing w:val="-7"/>
        </w:rPr>
        <w:t> </w:t>
      </w:r>
      <w:r>
        <w:rPr/>
        <w:t>por</w:t>
      </w:r>
      <w:r>
        <w:rPr>
          <w:spacing w:val="-7"/>
        </w:rPr>
        <w:t> </w:t>
      </w:r>
      <w:r>
        <w:rPr/>
        <w:t>su</w:t>
      </w:r>
      <w:r>
        <w:rPr>
          <w:spacing w:val="-7"/>
        </w:rPr>
        <w:t> </w:t>
      </w:r>
      <w:r>
        <w:rPr/>
        <w:t>sigla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inglés).</w:t>
      </w:r>
      <w:r>
        <w:rPr>
          <w:spacing w:val="-58"/>
        </w:rPr>
        <w:t> </w:t>
      </w:r>
      <w:r>
        <w:rPr/>
        <w:t>Dichas</w:t>
      </w:r>
      <w:r>
        <w:rPr>
          <w:spacing w:val="-1"/>
        </w:rPr>
        <w:t> </w:t>
      </w:r>
      <w:r>
        <w:rPr/>
        <w:t>normas exigen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cumplamos</w:t>
      </w:r>
      <w:r>
        <w:rPr>
          <w:spacing w:val="-1"/>
        </w:rPr>
        <w:t> </w:t>
      </w:r>
      <w:r>
        <w:rPr/>
        <w:t>los requerimientos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ética.</w:t>
      </w:r>
    </w:p>
    <w:p>
      <w:pPr>
        <w:pStyle w:val="BodyText"/>
      </w:pPr>
    </w:p>
    <w:p>
      <w:pPr>
        <w:pStyle w:val="BodyText"/>
        <w:spacing w:before="1"/>
        <w:ind w:left="465" w:right="117"/>
        <w:jc w:val="both"/>
      </w:pPr>
      <w:r>
        <w:rPr/>
        <w:t>Una</w:t>
      </w:r>
      <w:r>
        <w:rPr>
          <w:spacing w:val="1"/>
        </w:rPr>
        <w:t> </w:t>
      </w:r>
      <w:r>
        <w:rPr/>
        <w:t>revisión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estados</w:t>
      </w:r>
      <w:r>
        <w:rPr>
          <w:spacing w:val="1"/>
        </w:rPr>
        <w:t> </w:t>
      </w:r>
      <w:r>
        <w:rPr/>
        <w:t>financieros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períodos</w:t>
      </w:r>
      <w:r>
        <w:rPr>
          <w:spacing w:val="1"/>
        </w:rPr>
        <w:t> </w:t>
      </w:r>
      <w:r>
        <w:rPr/>
        <w:t>intermedios</w:t>
      </w:r>
      <w:r>
        <w:rPr>
          <w:spacing w:val="1"/>
        </w:rPr>
        <w:t> </w:t>
      </w:r>
      <w:r>
        <w:rPr/>
        <w:t>consiste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realizar</w:t>
      </w:r>
      <w:r>
        <w:rPr>
          <w:spacing w:val="1"/>
        </w:rPr>
        <w:t> </w:t>
      </w:r>
      <w:r>
        <w:rPr/>
        <w:t>indagaciones, principalmente a las personas responsables de los temas financieros y contables,</w:t>
      </w:r>
      <w:r>
        <w:rPr>
          <w:spacing w:val="-58"/>
        </w:rPr>
        <w:t> </w:t>
      </w:r>
      <w:r>
        <w:rPr/>
        <w:t>y aplicar procedimientos analíticos y otros procedimientos de revisión. Una revisión tiene un</w:t>
      </w:r>
      <w:r>
        <w:rPr>
          <w:spacing w:val="1"/>
        </w:rPr>
        <w:t> </w:t>
      </w:r>
      <w:r>
        <w:rPr/>
        <w:t>alcance significativamente menor que el de una auditoria y, por consiguiente, no nos permite</w:t>
      </w:r>
      <w:r>
        <w:rPr>
          <w:spacing w:val="1"/>
        </w:rPr>
        <w:t> </w:t>
      </w:r>
      <w:r>
        <w:rPr/>
        <w:t>obtener seguridad de que tomemos conocimiento de todos los temas significativos que podrían</w:t>
      </w:r>
      <w:r>
        <w:rPr>
          <w:spacing w:val="-58"/>
        </w:rPr>
        <w:t> </w:t>
      </w:r>
      <w:r>
        <w:rPr/>
        <w:t>identificarse</w:t>
      </w:r>
      <w:r>
        <w:rPr>
          <w:spacing w:val="-4"/>
        </w:rPr>
        <w:t> </w:t>
      </w:r>
      <w:r>
        <w:rPr/>
        <w:t>en</w:t>
      </w:r>
      <w:r>
        <w:rPr>
          <w:spacing w:val="-2"/>
        </w:rPr>
        <w:t> </w:t>
      </w:r>
      <w:r>
        <w:rPr/>
        <w:t>una</w:t>
      </w:r>
      <w:r>
        <w:rPr>
          <w:spacing w:val="-2"/>
        </w:rPr>
        <w:t> </w:t>
      </w:r>
      <w:r>
        <w:rPr/>
        <w:t>auditoria.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consecuencia,</w:t>
      </w:r>
      <w:r>
        <w:rPr>
          <w:spacing w:val="-2"/>
        </w:rPr>
        <w:t> </w:t>
      </w:r>
      <w:r>
        <w:rPr/>
        <w:t>no</w:t>
      </w:r>
      <w:r>
        <w:rPr>
          <w:spacing w:val="-3"/>
        </w:rPr>
        <w:t> </w:t>
      </w:r>
      <w:r>
        <w:rPr/>
        <w:t>expresamos</w:t>
      </w:r>
      <w:r>
        <w:rPr>
          <w:spacing w:val="-1"/>
        </w:rPr>
        <w:t> </w:t>
      </w:r>
      <w:r>
        <w:rPr/>
        <w:t>una</w:t>
      </w:r>
      <w:r>
        <w:rPr>
          <w:spacing w:val="-2"/>
        </w:rPr>
        <w:t> </w:t>
      </w:r>
      <w:r>
        <w:rPr/>
        <w:t>opinión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auditoría.</w:t>
      </w:r>
    </w:p>
    <w:p>
      <w:pPr>
        <w:pStyle w:val="BodyText"/>
        <w:spacing w:before="11"/>
        <w:rPr>
          <w:sz w:val="19"/>
        </w:rPr>
      </w:pPr>
    </w:p>
    <w:p>
      <w:pPr>
        <w:pStyle w:val="Heading1"/>
        <w:numPr>
          <w:ilvl w:val="0"/>
          <w:numId w:val="1"/>
        </w:numPr>
        <w:tabs>
          <w:tab w:pos="467" w:val="left" w:leader="none"/>
        </w:tabs>
        <w:spacing w:line="240" w:lineRule="auto" w:before="0" w:after="0"/>
        <w:ind w:left="466" w:right="0" w:hanging="362"/>
        <w:jc w:val="left"/>
        <w:rPr>
          <w:u w:val="none"/>
        </w:rPr>
      </w:pPr>
      <w:r>
        <w:rPr>
          <w:u w:val="single"/>
        </w:rPr>
        <w:t>Conclusión</w:t>
      </w:r>
    </w:p>
    <w:p>
      <w:pPr>
        <w:pStyle w:val="BodyText"/>
        <w:rPr>
          <w:b/>
        </w:rPr>
      </w:pPr>
    </w:p>
    <w:p>
      <w:pPr>
        <w:pStyle w:val="BodyText"/>
        <w:ind w:left="465" w:right="116"/>
        <w:jc w:val="both"/>
      </w:pPr>
      <w:r>
        <w:rPr/>
        <w:t>Sobre la base de nuestra revisión, estamos en condiciones de manifestar que no se nos han</w:t>
      </w:r>
      <w:r>
        <w:rPr>
          <w:spacing w:val="1"/>
        </w:rPr>
        <w:t> </w:t>
      </w:r>
      <w:r>
        <w:rPr/>
        <w:t>presentado circunstancias que nos hicieran pensar que los estados financieros intermedios</w:t>
      </w:r>
      <w:r>
        <w:rPr>
          <w:spacing w:val="1"/>
        </w:rPr>
        <w:t> </w:t>
      </w:r>
      <w:r>
        <w:rPr/>
        <w:t>separados</w:t>
      </w:r>
      <w:r>
        <w:rPr>
          <w:spacing w:val="1"/>
        </w:rPr>
        <w:t> </w:t>
      </w:r>
      <w:r>
        <w:rPr/>
        <w:t>condensados</w:t>
      </w:r>
      <w:r>
        <w:rPr>
          <w:spacing w:val="1"/>
        </w:rPr>
        <w:t> </w:t>
      </w:r>
      <w:r>
        <w:rPr/>
        <w:t>adjuntos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>
          <w:b/>
        </w:rPr>
        <w:t>CELULOSA</w:t>
      </w:r>
      <w:r>
        <w:rPr>
          <w:b/>
          <w:spacing w:val="1"/>
        </w:rPr>
        <w:t> </w:t>
      </w:r>
      <w:r>
        <w:rPr>
          <w:b/>
        </w:rPr>
        <w:t>ARGENTINA</w:t>
      </w:r>
      <w:r>
        <w:rPr>
          <w:b/>
          <w:spacing w:val="1"/>
        </w:rPr>
        <w:t> </w:t>
      </w:r>
      <w:r>
        <w:rPr>
          <w:b/>
        </w:rPr>
        <w:t>SOCIEDAD</w:t>
      </w:r>
      <w:r>
        <w:rPr>
          <w:b/>
          <w:spacing w:val="1"/>
        </w:rPr>
        <w:t> </w:t>
      </w:r>
      <w:r>
        <w:rPr>
          <w:b/>
        </w:rPr>
        <w:t>ANONIMA</w:t>
      </w:r>
      <w:r>
        <w:rPr>
          <w:b/>
          <w:spacing w:val="-58"/>
        </w:rPr>
        <w:t> </w:t>
      </w:r>
      <w:r>
        <w:rPr/>
        <w:t>correspondientes al período de nueve meses finalizado el 28 de febrero de 2022 no están</w:t>
      </w:r>
      <w:r>
        <w:rPr>
          <w:spacing w:val="1"/>
        </w:rPr>
        <w:t> </w:t>
      </w:r>
      <w:r>
        <w:rPr/>
        <w:t>preparados, en todos sus aspectos significativos, de acuerdo con la Norma Internacional de</w:t>
      </w:r>
      <w:r>
        <w:rPr>
          <w:spacing w:val="1"/>
        </w:rPr>
        <w:t> </w:t>
      </w:r>
      <w:r>
        <w:rPr/>
        <w:t>Contabilidad</w:t>
      </w:r>
      <w:r>
        <w:rPr>
          <w:spacing w:val="-3"/>
        </w:rPr>
        <w:t> </w:t>
      </w:r>
      <w:r>
        <w:rPr/>
        <w:t>34.</w:t>
      </w:r>
    </w:p>
    <w:p>
      <w:pPr>
        <w:pStyle w:val="BodyText"/>
        <w:spacing w:before="11"/>
        <w:rPr>
          <w:sz w:val="19"/>
        </w:rPr>
      </w:pPr>
    </w:p>
    <w:p>
      <w:pPr>
        <w:pStyle w:val="Heading1"/>
        <w:numPr>
          <w:ilvl w:val="0"/>
          <w:numId w:val="1"/>
        </w:numPr>
        <w:tabs>
          <w:tab w:pos="467" w:val="left" w:leader="none"/>
        </w:tabs>
        <w:spacing w:line="240" w:lineRule="auto" w:before="0" w:after="0"/>
        <w:ind w:left="466" w:right="0" w:hanging="362"/>
        <w:jc w:val="left"/>
        <w:rPr>
          <w:u w:val="none"/>
        </w:rPr>
      </w:pPr>
      <w:r>
        <w:rPr>
          <w:u w:val="single"/>
        </w:rPr>
        <w:t>Párrafos</w:t>
      </w:r>
      <w:r>
        <w:rPr>
          <w:spacing w:val="-2"/>
          <w:u w:val="single"/>
        </w:rPr>
        <w:t> </w:t>
      </w:r>
      <w:r>
        <w:rPr>
          <w:u w:val="single"/>
        </w:rPr>
        <w:t>en</w:t>
      </w:r>
      <w:r>
        <w:rPr>
          <w:spacing w:val="-2"/>
          <w:u w:val="single"/>
        </w:rPr>
        <w:t> </w:t>
      </w:r>
      <w:r>
        <w:rPr>
          <w:u w:val="single"/>
        </w:rPr>
        <w:t>énfasis</w:t>
      </w:r>
    </w:p>
    <w:p>
      <w:pPr>
        <w:pStyle w:val="BodyText"/>
        <w:rPr>
          <w:b/>
        </w:rPr>
      </w:pPr>
    </w:p>
    <w:p>
      <w:pPr>
        <w:pStyle w:val="BodyText"/>
        <w:ind w:left="465"/>
        <w:jc w:val="both"/>
      </w:pPr>
      <w:r>
        <w:rPr/>
        <w:t>Sin</w:t>
      </w:r>
      <w:r>
        <w:rPr>
          <w:spacing w:val="-4"/>
        </w:rPr>
        <w:t> </w:t>
      </w:r>
      <w:r>
        <w:rPr/>
        <w:t>modificar</w:t>
      </w:r>
      <w:r>
        <w:rPr>
          <w:spacing w:val="-5"/>
        </w:rPr>
        <w:t> </w:t>
      </w:r>
      <w:r>
        <w:rPr/>
        <w:t>nuestra</w:t>
      </w:r>
      <w:r>
        <w:rPr>
          <w:spacing w:val="-4"/>
        </w:rPr>
        <w:t> </w:t>
      </w:r>
      <w:r>
        <w:rPr/>
        <w:t>opinión,</w:t>
      </w:r>
      <w:r>
        <w:rPr>
          <w:spacing w:val="-4"/>
        </w:rPr>
        <w:t> </w:t>
      </w:r>
      <w:r>
        <w:rPr/>
        <w:t>queremos</w:t>
      </w:r>
      <w:r>
        <w:rPr>
          <w:spacing w:val="-3"/>
        </w:rPr>
        <w:t> </w:t>
      </w:r>
      <w:r>
        <w:rPr/>
        <w:t>enfatizar: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1"/>
        </w:numPr>
        <w:tabs>
          <w:tab w:pos="750" w:val="left" w:leader="none"/>
        </w:tabs>
        <w:spacing w:line="240" w:lineRule="auto" w:before="0" w:after="0"/>
        <w:ind w:left="749" w:right="115" w:hanging="360"/>
        <w:jc w:val="both"/>
        <w:rPr>
          <w:i/>
          <w:sz w:val="20"/>
        </w:rPr>
      </w:pPr>
      <w:r>
        <w:rPr>
          <w:sz w:val="20"/>
        </w:rPr>
        <w:t>La información contenida en la nota 2.5. a los estados financieros intermedios separados</w:t>
      </w:r>
      <w:r>
        <w:rPr>
          <w:spacing w:val="1"/>
          <w:sz w:val="20"/>
        </w:rPr>
        <w:t> </w:t>
      </w:r>
      <w:r>
        <w:rPr>
          <w:sz w:val="20"/>
        </w:rPr>
        <w:t>condensados,</w:t>
      </w:r>
      <w:r>
        <w:rPr>
          <w:spacing w:val="1"/>
          <w:sz w:val="20"/>
        </w:rPr>
        <w:t> </w:t>
      </w:r>
      <w:r>
        <w:rPr>
          <w:sz w:val="20"/>
        </w:rPr>
        <w:t>dónde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Directorio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1"/>
          <w:sz w:val="20"/>
        </w:rPr>
        <w:t> </w:t>
      </w:r>
      <w:r>
        <w:rPr>
          <w:sz w:val="20"/>
        </w:rPr>
        <w:t>indica</w:t>
      </w:r>
      <w:r>
        <w:rPr>
          <w:spacing w:val="1"/>
          <w:sz w:val="20"/>
        </w:rPr>
        <w:t> </w:t>
      </w:r>
      <w:r>
        <w:rPr>
          <w:sz w:val="20"/>
        </w:rPr>
        <w:t>que:</w:t>
      </w:r>
      <w:r>
        <w:rPr>
          <w:spacing w:val="1"/>
          <w:sz w:val="20"/>
        </w:rPr>
        <w:t> </w:t>
      </w:r>
      <w:r>
        <w:rPr>
          <w:i/>
          <w:sz w:val="20"/>
        </w:rPr>
        <w:t>“Los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presentes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estados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financieros intermedios separados condensados han sido preparados utilizando el principio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empresa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funcionamiento.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Directorio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Gerencia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Sociedad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consideran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</w:t>
      </w:r>
      <w:r>
        <w:rPr>
          <w:i/>
          <w:spacing w:val="-58"/>
          <w:sz w:val="20"/>
        </w:rPr>
        <w:t> </w:t>
      </w:r>
      <w:r>
        <w:rPr>
          <w:i/>
          <w:sz w:val="20"/>
        </w:rPr>
        <w:t>Sociedad cuenta con la capacidad suficiente para llevar adelante su actividad durante el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futuro previsible (al menos doce meses posteriores a la fecha de cierre del presente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período).</w:t>
      </w:r>
    </w:p>
    <w:p>
      <w:pPr>
        <w:pStyle w:val="BodyText"/>
        <w:rPr>
          <w:i/>
        </w:rPr>
      </w:pPr>
    </w:p>
    <w:p>
      <w:pPr>
        <w:spacing w:before="0"/>
        <w:ind w:left="749" w:right="117" w:firstLine="0"/>
        <w:jc w:val="both"/>
        <w:rPr>
          <w:i/>
          <w:sz w:val="20"/>
        </w:rPr>
      </w:pPr>
      <w:r>
        <w:rPr>
          <w:i/>
          <w:sz w:val="20"/>
        </w:rPr>
        <w:t>El ratio de liquidez corriente se mantuvo en niveles similares al del ejercicio económico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finalizado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31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mayo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2021,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pasando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0.60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comienzo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ejercicio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0,65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cierre</w:t>
      </w:r>
      <w:r>
        <w:rPr>
          <w:i/>
          <w:spacing w:val="-58"/>
          <w:sz w:val="20"/>
        </w:rPr>
        <w:t> </w:t>
      </w:r>
      <w:r>
        <w:rPr>
          <w:i/>
          <w:sz w:val="20"/>
        </w:rPr>
        <w:t>del mismo. El capital de trabajo expone un saldo negativo de 5.280.532 y la Sociedad sigue</w:t>
      </w:r>
      <w:r>
        <w:rPr>
          <w:i/>
          <w:spacing w:val="-58"/>
          <w:sz w:val="20"/>
        </w:rPr>
        <w:t> </w:t>
      </w:r>
      <w:r>
        <w:rPr>
          <w:i/>
          <w:sz w:val="20"/>
        </w:rPr>
        <w:t>con el plan oportunamente establecido para mejorarlo y revertirlo, algunas de cuyas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medidas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sido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ejecutadas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se describen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párrafo siguiente.</w:t>
      </w:r>
    </w:p>
    <w:p>
      <w:pPr>
        <w:pStyle w:val="BodyText"/>
        <w:rPr>
          <w:i/>
        </w:rPr>
      </w:pPr>
    </w:p>
    <w:p>
      <w:pPr>
        <w:spacing w:before="1"/>
        <w:ind w:left="749" w:right="117" w:firstLine="0"/>
        <w:jc w:val="both"/>
        <w:rPr>
          <w:i/>
          <w:sz w:val="20"/>
        </w:rPr>
      </w:pPr>
      <w:r>
        <w:rPr>
          <w:i/>
          <w:sz w:val="20"/>
        </w:rPr>
        <w:t>Recientemente, el Directorio y la Gerencia de la Sociedad han podido materializar varias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iniciativas para mejorar la situación financiera de corto plazo y lograr un nuevo perfil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financiero compatible con el negocio de la Sociedad. La reciente venta de los activos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forestales (al respecto, ver nota 9 a los presentes estados financieros separados) ha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permitido reducir la deuda financiera de la Sociedad en 3.656 millones y regularizar la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situación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todas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las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líneas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financiamiento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con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entidades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bancarias,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lográndose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extender sus plazos y reprogramar los vencimientos remanentes (al respecto, ver nota 28 a</w:t>
      </w:r>
      <w:r>
        <w:rPr>
          <w:i/>
          <w:spacing w:val="-58"/>
          <w:sz w:val="20"/>
        </w:rPr>
        <w:t> </w:t>
      </w:r>
      <w:r>
        <w:rPr>
          <w:i/>
          <w:sz w:val="20"/>
        </w:rPr>
        <w:t>los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presentes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estados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financieros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separados).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Adicionalmente,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fecha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6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de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agosto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de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2021</w:t>
      </w:r>
      <w:r>
        <w:rPr>
          <w:i/>
          <w:spacing w:val="-58"/>
          <w:sz w:val="20"/>
        </w:rPr>
        <w:t> </w:t>
      </w:r>
      <w:r>
        <w:rPr>
          <w:i/>
          <w:sz w:val="20"/>
        </w:rPr>
        <w:t>la Sociedad emitió Obligaciones Negociables Clase 16 por un monto de US$ 6 millones, las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cuales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también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contribuyeron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mejora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de su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situación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liquidez.</w:t>
      </w:r>
    </w:p>
    <w:p>
      <w:pPr>
        <w:spacing w:after="0"/>
        <w:jc w:val="both"/>
        <w:rPr>
          <w:sz w:val="20"/>
        </w:rPr>
        <w:sectPr>
          <w:headerReference w:type="default" r:id="rId8"/>
          <w:footerReference w:type="default" r:id="rId9"/>
          <w:pgSz w:w="12240" w:h="15840"/>
          <w:pgMar w:header="708" w:footer="1168" w:top="1280" w:bottom="1360" w:left="1520" w:right="1580"/>
        </w:sectPr>
      </w:pPr>
    </w:p>
    <w:p>
      <w:pPr>
        <w:pStyle w:val="Heading1"/>
        <w:numPr>
          <w:ilvl w:val="0"/>
          <w:numId w:val="1"/>
        </w:numPr>
        <w:tabs>
          <w:tab w:pos="467" w:val="left" w:leader="none"/>
        </w:tabs>
        <w:spacing w:line="240" w:lineRule="auto" w:before="123" w:after="0"/>
        <w:ind w:left="466" w:right="0" w:hanging="362"/>
        <w:jc w:val="left"/>
        <w:rPr>
          <w:u w:val="none"/>
        </w:rPr>
      </w:pPr>
      <w:r>
        <w:rPr>
          <w:u w:val="single"/>
        </w:rPr>
        <w:t>Párrafos</w:t>
      </w:r>
      <w:r>
        <w:rPr>
          <w:spacing w:val="-3"/>
          <w:u w:val="single"/>
        </w:rPr>
        <w:t> </w:t>
      </w:r>
      <w:r>
        <w:rPr>
          <w:u w:val="single"/>
        </w:rPr>
        <w:t>en</w:t>
      </w:r>
      <w:r>
        <w:rPr>
          <w:spacing w:val="-3"/>
          <w:u w:val="single"/>
        </w:rPr>
        <w:t> </w:t>
      </w:r>
      <w:r>
        <w:rPr>
          <w:u w:val="single"/>
        </w:rPr>
        <w:t>énfasis</w:t>
      </w:r>
      <w:r>
        <w:rPr>
          <w:spacing w:val="-3"/>
          <w:u w:val="none"/>
        </w:rPr>
        <w:t> </w:t>
      </w:r>
      <w:r>
        <w:rPr>
          <w:u w:val="none"/>
        </w:rPr>
        <w:t>(Continuación)</w:t>
      </w:r>
    </w:p>
    <w:p>
      <w:pPr>
        <w:pStyle w:val="BodyText"/>
        <w:rPr>
          <w:b/>
        </w:rPr>
      </w:pPr>
    </w:p>
    <w:p>
      <w:pPr>
        <w:spacing w:before="0"/>
        <w:ind w:left="749" w:right="115" w:firstLine="0"/>
        <w:jc w:val="both"/>
        <w:rPr>
          <w:i/>
          <w:sz w:val="20"/>
        </w:rPr>
      </w:pPr>
      <w:r>
        <w:rPr>
          <w:i/>
          <w:spacing w:val="-1"/>
          <w:sz w:val="20"/>
        </w:rPr>
        <w:t>A</w:t>
      </w:r>
      <w:r>
        <w:rPr>
          <w:i/>
          <w:spacing w:val="-15"/>
          <w:sz w:val="20"/>
        </w:rPr>
        <w:t> </w:t>
      </w:r>
      <w:r>
        <w:rPr>
          <w:i/>
          <w:spacing w:val="-1"/>
          <w:sz w:val="20"/>
        </w:rPr>
        <w:t>la</w:t>
      </w:r>
      <w:r>
        <w:rPr>
          <w:i/>
          <w:spacing w:val="-15"/>
          <w:sz w:val="20"/>
        </w:rPr>
        <w:t> </w:t>
      </w:r>
      <w:r>
        <w:rPr>
          <w:i/>
          <w:spacing w:val="-1"/>
          <w:sz w:val="20"/>
        </w:rPr>
        <w:t>fecha</w:t>
      </w:r>
      <w:r>
        <w:rPr>
          <w:i/>
          <w:spacing w:val="-15"/>
          <w:sz w:val="20"/>
        </w:rPr>
        <w:t> </w:t>
      </w:r>
      <w:r>
        <w:rPr>
          <w:i/>
          <w:spacing w:val="-1"/>
          <w:sz w:val="20"/>
        </w:rPr>
        <w:t>de</w:t>
      </w:r>
      <w:r>
        <w:rPr>
          <w:i/>
          <w:spacing w:val="-15"/>
          <w:sz w:val="20"/>
        </w:rPr>
        <w:t> </w:t>
      </w:r>
      <w:r>
        <w:rPr>
          <w:i/>
          <w:spacing w:val="-1"/>
          <w:sz w:val="20"/>
        </w:rPr>
        <w:t>emisión</w:t>
      </w:r>
      <w:r>
        <w:rPr>
          <w:i/>
          <w:spacing w:val="-15"/>
          <w:sz w:val="20"/>
        </w:rPr>
        <w:t> </w:t>
      </w:r>
      <w:r>
        <w:rPr>
          <w:i/>
          <w:spacing w:val="-1"/>
          <w:sz w:val="20"/>
        </w:rPr>
        <w:t>de</w:t>
      </w:r>
      <w:r>
        <w:rPr>
          <w:i/>
          <w:spacing w:val="-16"/>
          <w:sz w:val="20"/>
        </w:rPr>
        <w:t> </w:t>
      </w:r>
      <w:r>
        <w:rPr>
          <w:i/>
          <w:spacing w:val="-1"/>
          <w:sz w:val="20"/>
        </w:rPr>
        <w:t>los</w:t>
      </w:r>
      <w:r>
        <w:rPr>
          <w:i/>
          <w:spacing w:val="-15"/>
          <w:sz w:val="20"/>
        </w:rPr>
        <w:t> </w:t>
      </w:r>
      <w:r>
        <w:rPr>
          <w:i/>
          <w:spacing w:val="-1"/>
          <w:sz w:val="20"/>
        </w:rPr>
        <w:t>presentes</w:t>
      </w:r>
      <w:r>
        <w:rPr>
          <w:i/>
          <w:spacing w:val="-15"/>
          <w:sz w:val="20"/>
        </w:rPr>
        <w:t> </w:t>
      </w:r>
      <w:r>
        <w:rPr>
          <w:i/>
          <w:sz w:val="20"/>
        </w:rPr>
        <w:t>estados</w:t>
      </w:r>
      <w:r>
        <w:rPr>
          <w:i/>
          <w:spacing w:val="-15"/>
          <w:sz w:val="20"/>
        </w:rPr>
        <w:t> </w:t>
      </w:r>
      <w:r>
        <w:rPr>
          <w:i/>
          <w:sz w:val="20"/>
        </w:rPr>
        <w:t>financieros</w:t>
      </w:r>
      <w:r>
        <w:rPr>
          <w:i/>
          <w:spacing w:val="-15"/>
          <w:sz w:val="20"/>
        </w:rPr>
        <w:t> </w:t>
      </w:r>
      <w:r>
        <w:rPr>
          <w:i/>
          <w:sz w:val="20"/>
        </w:rPr>
        <w:t>separados</w:t>
      </w:r>
      <w:r>
        <w:rPr>
          <w:i/>
          <w:spacing w:val="-15"/>
          <w:sz w:val="20"/>
        </w:rPr>
        <w:t> </w:t>
      </w:r>
      <w:r>
        <w:rPr>
          <w:i/>
          <w:sz w:val="20"/>
        </w:rPr>
        <w:t>condensados,</w:t>
      </w:r>
      <w:r>
        <w:rPr>
          <w:i/>
          <w:spacing w:val="-15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15"/>
          <w:sz w:val="20"/>
        </w:rPr>
        <w:t> </w:t>
      </w:r>
      <w:r>
        <w:rPr>
          <w:i/>
          <w:sz w:val="20"/>
        </w:rPr>
        <w:t>existen</w:t>
      </w:r>
      <w:r>
        <w:rPr>
          <w:i/>
          <w:spacing w:val="-58"/>
          <w:sz w:val="20"/>
        </w:rPr>
        <w:t> </w:t>
      </w:r>
      <w:r>
        <w:rPr>
          <w:i/>
          <w:sz w:val="20"/>
        </w:rPr>
        <w:t>limitaciones a las operaciones de la Sociedad relacionadas con el Coronavirus COVID-19 y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prácticamente todo del personal ha retomado el desempeño de sus funciones de manera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habitual. Un eventual recrudecimiento de la pandemia y potenciales medidas por parte del</w:t>
      </w:r>
      <w:r>
        <w:rPr>
          <w:i/>
          <w:spacing w:val="-59"/>
          <w:sz w:val="20"/>
        </w:rPr>
        <w:t> </w:t>
      </w:r>
      <w:r>
        <w:rPr>
          <w:i/>
          <w:sz w:val="20"/>
        </w:rPr>
        <w:t>Gobierno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podrían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afectar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nuevamente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las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operaciones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la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Sociedad.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En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base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la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experiencia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los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hechos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recientes,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Directorio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Gerencia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están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trabajando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manera</w:t>
      </w:r>
      <w:r>
        <w:rPr>
          <w:i/>
          <w:spacing w:val="-58"/>
          <w:sz w:val="20"/>
        </w:rPr>
        <w:t> </w:t>
      </w:r>
      <w:r>
        <w:rPr>
          <w:i/>
          <w:sz w:val="20"/>
        </w:rPr>
        <w:t>focalizada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para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mitigar -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medida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lo posible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eventuales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impactos.”</w:t>
      </w:r>
    </w:p>
    <w:p>
      <w:pPr>
        <w:pStyle w:val="BodyText"/>
        <w:spacing w:before="2"/>
        <w:rPr>
          <w:i/>
        </w:rPr>
      </w:pPr>
    </w:p>
    <w:p>
      <w:pPr>
        <w:pStyle w:val="BodyText"/>
        <w:ind w:left="748" w:right="117" w:hanging="360"/>
        <w:jc w:val="both"/>
      </w:pPr>
      <w:r>
        <w:rPr/>
        <w:t>b)</w:t>
      </w:r>
      <w:r>
        <w:rPr>
          <w:spacing w:val="1"/>
        </w:rPr>
        <w:t> </w:t>
      </w:r>
      <w:r>
        <w:rPr/>
        <w:t>Tal</w:t>
      </w:r>
      <w:r>
        <w:rPr>
          <w:spacing w:val="1"/>
        </w:rPr>
        <w:t> </w:t>
      </w:r>
      <w:r>
        <w:rPr/>
        <w:t>cómo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detalla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nota</w:t>
      </w:r>
      <w:r>
        <w:rPr>
          <w:spacing w:val="1"/>
        </w:rPr>
        <w:t> </w:t>
      </w:r>
      <w:r>
        <w:rPr/>
        <w:t>9.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estados</w:t>
      </w:r>
      <w:r>
        <w:rPr>
          <w:spacing w:val="1"/>
        </w:rPr>
        <w:t> </w:t>
      </w:r>
      <w:r>
        <w:rPr/>
        <w:t>financieros</w:t>
      </w:r>
      <w:r>
        <w:rPr>
          <w:spacing w:val="1"/>
        </w:rPr>
        <w:t> </w:t>
      </w:r>
      <w:r>
        <w:rPr/>
        <w:t>intermedios</w:t>
      </w:r>
      <w:r>
        <w:rPr>
          <w:spacing w:val="1"/>
        </w:rPr>
        <w:t> </w:t>
      </w:r>
      <w:r>
        <w:rPr/>
        <w:t>separados</w:t>
      </w:r>
      <w:r>
        <w:rPr>
          <w:spacing w:val="1"/>
        </w:rPr>
        <w:t> </w:t>
      </w:r>
      <w:r>
        <w:rPr/>
        <w:t>condensados, la subsidiaria uruguaya Fábrica Nacional de Papel S.A. presenta capital de</w:t>
      </w:r>
      <w:r>
        <w:rPr>
          <w:spacing w:val="1"/>
        </w:rPr>
        <w:t> </w:t>
      </w:r>
      <w:r>
        <w:rPr/>
        <w:t>trabajo negativo y sería necesaria la realización de sus activos industriales con el objetivo</w:t>
      </w:r>
      <w:r>
        <w:rPr>
          <w:spacing w:val="1"/>
        </w:rPr>
        <w:t> </w:t>
      </w:r>
      <w:r>
        <w:rPr/>
        <w:t>de</w:t>
      </w:r>
      <w:r>
        <w:rPr>
          <w:spacing w:val="-7"/>
        </w:rPr>
        <w:t> </w:t>
      </w:r>
      <w:r>
        <w:rPr/>
        <w:t>obtener</w:t>
      </w:r>
      <w:r>
        <w:rPr>
          <w:spacing w:val="-7"/>
        </w:rPr>
        <w:t> </w:t>
      </w:r>
      <w:r>
        <w:rPr/>
        <w:t>fondos</w:t>
      </w:r>
      <w:r>
        <w:rPr>
          <w:spacing w:val="-6"/>
        </w:rPr>
        <w:t> </w:t>
      </w:r>
      <w:r>
        <w:rPr/>
        <w:t>para</w:t>
      </w:r>
      <w:r>
        <w:rPr>
          <w:spacing w:val="-6"/>
        </w:rPr>
        <w:t> </w:t>
      </w:r>
      <w:r>
        <w:rPr/>
        <w:t>cancelar</w:t>
      </w:r>
      <w:r>
        <w:rPr>
          <w:spacing w:val="-6"/>
        </w:rPr>
        <w:t> </w:t>
      </w:r>
      <w:r>
        <w:rPr/>
        <w:t>los</w:t>
      </w:r>
      <w:r>
        <w:rPr>
          <w:spacing w:val="-6"/>
        </w:rPr>
        <w:t> </w:t>
      </w:r>
      <w:r>
        <w:rPr/>
        <w:t>pasivos</w:t>
      </w:r>
      <w:r>
        <w:rPr>
          <w:spacing w:val="-6"/>
        </w:rPr>
        <w:t> </w:t>
      </w:r>
      <w:r>
        <w:rPr/>
        <w:t>financieros</w:t>
      </w:r>
      <w:r>
        <w:rPr>
          <w:spacing w:val="-6"/>
        </w:rPr>
        <w:t> </w:t>
      </w:r>
      <w:r>
        <w:rPr/>
        <w:t>y</w:t>
      </w:r>
      <w:r>
        <w:rPr>
          <w:spacing w:val="-7"/>
        </w:rPr>
        <w:t> </w:t>
      </w:r>
      <w:r>
        <w:rPr/>
        <w:t>otros</w:t>
      </w:r>
      <w:r>
        <w:rPr>
          <w:spacing w:val="-6"/>
        </w:rPr>
        <w:t> </w:t>
      </w:r>
      <w:r>
        <w:rPr/>
        <w:t>provenientes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la</w:t>
      </w:r>
      <w:r>
        <w:rPr>
          <w:spacing w:val="-6"/>
        </w:rPr>
        <w:t> </w:t>
      </w:r>
      <w:r>
        <w:rPr/>
        <w:t>operación</w:t>
      </w:r>
      <w:r>
        <w:rPr>
          <w:spacing w:val="-58"/>
        </w:rPr>
        <w:t> </w:t>
      </w:r>
      <w:r>
        <w:rPr/>
        <w:t>industrial,</w:t>
      </w:r>
      <w:r>
        <w:rPr>
          <w:spacing w:val="-14"/>
        </w:rPr>
        <w:t> </w:t>
      </w:r>
      <w:r>
        <w:rPr/>
        <w:t>hecho</w:t>
      </w:r>
      <w:r>
        <w:rPr>
          <w:spacing w:val="-12"/>
        </w:rPr>
        <w:t> </w:t>
      </w:r>
      <w:r>
        <w:rPr/>
        <w:t>que</w:t>
      </w:r>
      <w:r>
        <w:rPr>
          <w:spacing w:val="-14"/>
        </w:rPr>
        <w:t> </w:t>
      </w:r>
      <w:r>
        <w:rPr/>
        <w:t>pudiera</w:t>
      </w:r>
      <w:r>
        <w:rPr>
          <w:spacing w:val="-12"/>
        </w:rPr>
        <w:t> </w:t>
      </w:r>
      <w:r>
        <w:rPr/>
        <w:t>verse</w:t>
      </w:r>
      <w:r>
        <w:rPr>
          <w:spacing w:val="-12"/>
        </w:rPr>
        <w:t> </w:t>
      </w:r>
      <w:r>
        <w:rPr/>
        <w:t>diferido</w:t>
      </w:r>
      <w:r>
        <w:rPr>
          <w:spacing w:val="-14"/>
        </w:rPr>
        <w:t> </w:t>
      </w:r>
      <w:r>
        <w:rPr/>
        <w:t>dada</w:t>
      </w:r>
      <w:r>
        <w:rPr>
          <w:spacing w:val="-12"/>
        </w:rPr>
        <w:t> </w:t>
      </w:r>
      <w:r>
        <w:rPr/>
        <w:t>la</w:t>
      </w:r>
      <w:r>
        <w:rPr>
          <w:spacing w:val="-13"/>
        </w:rPr>
        <w:t> </w:t>
      </w:r>
      <w:r>
        <w:rPr/>
        <w:t>situación</w:t>
      </w:r>
      <w:r>
        <w:rPr>
          <w:spacing w:val="-15"/>
        </w:rPr>
        <w:t> </w:t>
      </w:r>
      <w:r>
        <w:rPr/>
        <w:t>actual.</w:t>
      </w:r>
      <w:r>
        <w:rPr>
          <w:spacing w:val="-13"/>
        </w:rPr>
        <w:t> </w:t>
      </w:r>
      <w:r>
        <w:rPr/>
        <w:t>El</w:t>
      </w:r>
      <w:r>
        <w:rPr>
          <w:spacing w:val="-13"/>
        </w:rPr>
        <w:t> </w:t>
      </w:r>
      <w:r>
        <w:rPr/>
        <w:t>Directorio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Fábrica</w:t>
      </w:r>
      <w:r>
        <w:rPr>
          <w:spacing w:val="-58"/>
        </w:rPr>
        <w:t> </w:t>
      </w:r>
      <w:r>
        <w:rPr/>
        <w:t>Nacional de Papel S.A. monitorea la evolución de estos eventos a los efectos de tomar las</w:t>
      </w:r>
      <w:r>
        <w:rPr>
          <w:spacing w:val="1"/>
        </w:rPr>
        <w:t> </w:t>
      </w:r>
      <w:r>
        <w:rPr/>
        <w:t>medidas mitigantes disponibles para preservar el valor de los activos y la operación en</w:t>
      </w:r>
      <w:r>
        <w:rPr>
          <w:spacing w:val="1"/>
        </w:rPr>
        <w:t> </w:t>
      </w:r>
      <w:r>
        <w:rPr/>
        <w:t>general. Asimismo, considera que la ocurrencia de eventos diferentes a los asumidos en sus</w:t>
      </w:r>
      <w:r>
        <w:rPr>
          <w:spacing w:val="-58"/>
        </w:rPr>
        <w:t> </w:t>
      </w:r>
      <w:r>
        <w:rPr/>
        <w:t>estimaciones</w:t>
      </w:r>
      <w:r>
        <w:rPr>
          <w:spacing w:val="1"/>
        </w:rPr>
        <w:t> </w:t>
      </w:r>
      <w:r>
        <w:rPr/>
        <w:t>puede</w:t>
      </w:r>
      <w:r>
        <w:rPr>
          <w:spacing w:val="1"/>
        </w:rPr>
        <w:t> </w:t>
      </w:r>
      <w:r>
        <w:rPr/>
        <w:t>generar</w:t>
      </w:r>
      <w:r>
        <w:rPr>
          <w:spacing w:val="1"/>
        </w:rPr>
        <w:t> </w:t>
      </w:r>
      <w:r>
        <w:rPr/>
        <w:t>impactos</w:t>
      </w:r>
      <w:r>
        <w:rPr>
          <w:spacing w:val="1"/>
        </w:rPr>
        <w:t> </w:t>
      </w:r>
      <w:r>
        <w:rPr/>
        <w:t>significativos,</w:t>
      </w:r>
      <w:r>
        <w:rPr>
          <w:spacing w:val="1"/>
        </w:rPr>
        <w:t> </w:t>
      </w:r>
      <w:r>
        <w:rPr/>
        <w:t>teniendo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determinación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-58"/>
        </w:rPr>
        <w:t> </w:t>
      </w:r>
      <w:r>
        <w:rPr/>
        <w:t>impactos</w:t>
      </w:r>
      <w:r>
        <w:rPr>
          <w:spacing w:val="-1"/>
        </w:rPr>
        <w:t> </w:t>
      </w:r>
      <w:r>
        <w:rPr/>
        <w:t>un</w:t>
      </w:r>
      <w:r>
        <w:rPr>
          <w:spacing w:val="-2"/>
        </w:rPr>
        <w:t> </w:t>
      </w:r>
      <w:r>
        <w:rPr/>
        <w:t>alto grado de</w:t>
      </w:r>
      <w:r>
        <w:rPr>
          <w:spacing w:val="-2"/>
        </w:rPr>
        <w:t> </w:t>
      </w:r>
      <w:r>
        <w:rPr/>
        <w:t>incertidumbre.</w:t>
      </w:r>
    </w:p>
    <w:p>
      <w:pPr>
        <w:pStyle w:val="BodyText"/>
        <w:spacing w:before="11"/>
        <w:rPr>
          <w:sz w:val="19"/>
        </w:rPr>
      </w:pPr>
    </w:p>
    <w:p>
      <w:pPr>
        <w:pStyle w:val="BodyText"/>
        <w:ind w:left="748" w:right="119"/>
        <w:jc w:val="both"/>
      </w:pPr>
      <w:r>
        <w:rPr/>
        <w:t>Las cuestiones mencionadas indican la existencia de una incertidumbre material que puede</w:t>
      </w:r>
      <w:r>
        <w:rPr>
          <w:spacing w:val="-58"/>
        </w:rPr>
        <w:t> </w:t>
      </w:r>
      <w:r>
        <w:rPr/>
        <w:t>generar dudas significativas sobre la capacidad de la subsidiaria para continuar cómo</w:t>
      </w:r>
      <w:r>
        <w:rPr>
          <w:spacing w:val="1"/>
        </w:rPr>
        <w:t> </w:t>
      </w:r>
      <w:r>
        <w:rPr/>
        <w:t>empresa en funcionamiento y que pueda realizar sus activos y cancelar sus pasivos en el</w:t>
      </w:r>
      <w:r>
        <w:rPr>
          <w:spacing w:val="1"/>
        </w:rPr>
        <w:t> </w:t>
      </w:r>
      <w:r>
        <w:rPr/>
        <w:t>curso</w:t>
      </w:r>
      <w:r>
        <w:rPr>
          <w:spacing w:val="-1"/>
        </w:rPr>
        <w:t> </w:t>
      </w:r>
      <w:r>
        <w:rPr/>
        <w:t>normal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los negocios.</w:t>
      </w:r>
    </w:p>
    <w:p>
      <w:pPr>
        <w:pStyle w:val="BodyText"/>
        <w:spacing w:before="11"/>
        <w:rPr>
          <w:sz w:val="19"/>
        </w:rPr>
      </w:pPr>
    </w:p>
    <w:p>
      <w:pPr>
        <w:pStyle w:val="Heading1"/>
        <w:numPr>
          <w:ilvl w:val="0"/>
          <w:numId w:val="1"/>
        </w:numPr>
        <w:tabs>
          <w:tab w:pos="467" w:val="left" w:leader="none"/>
        </w:tabs>
        <w:spacing w:line="240" w:lineRule="auto" w:before="0" w:after="0"/>
        <w:ind w:left="466" w:right="0" w:hanging="362"/>
        <w:jc w:val="left"/>
        <w:rPr>
          <w:u w:val="none"/>
        </w:rPr>
      </w:pPr>
      <w:r>
        <w:rPr>
          <w:u w:val="single"/>
        </w:rPr>
        <w:t>Otras</w:t>
      </w:r>
      <w:r>
        <w:rPr>
          <w:spacing w:val="-3"/>
          <w:u w:val="single"/>
        </w:rPr>
        <w:t> </w:t>
      </w:r>
      <w:r>
        <w:rPr>
          <w:u w:val="single"/>
        </w:rPr>
        <w:t>cuestiones</w:t>
      </w:r>
    </w:p>
    <w:p>
      <w:pPr>
        <w:pStyle w:val="BodyText"/>
        <w:rPr>
          <w:b/>
        </w:rPr>
      </w:pPr>
    </w:p>
    <w:p>
      <w:pPr>
        <w:pStyle w:val="BodyText"/>
        <w:ind w:left="466" w:right="116"/>
        <w:jc w:val="both"/>
      </w:pPr>
      <w:r>
        <w:rPr/>
        <w:t>Los estados financieros intermedios separados condensados al 28 de febrero de 2021 fueron</w:t>
      </w:r>
      <w:r>
        <w:rPr>
          <w:spacing w:val="1"/>
        </w:rPr>
        <w:t> </w:t>
      </w:r>
      <w:r>
        <w:rPr/>
        <w:t>revisados por otro profesional, quien ha emitido su informe que expresa una conclusión sin</w:t>
      </w:r>
      <w:r>
        <w:rPr>
          <w:spacing w:val="1"/>
        </w:rPr>
        <w:t> </w:t>
      </w:r>
      <w:r>
        <w:rPr/>
        <w:t>salvedades con fecha 12 de abril de 2021. Los estados financieros separados al 31 de mayo de</w:t>
      </w:r>
      <w:r>
        <w:rPr>
          <w:spacing w:val="1"/>
        </w:rPr>
        <w:t> </w:t>
      </w:r>
      <w:r>
        <w:rPr>
          <w:spacing w:val="-1"/>
        </w:rPr>
        <w:t>2021</w:t>
      </w:r>
      <w:r>
        <w:rPr>
          <w:spacing w:val="-15"/>
        </w:rPr>
        <w:t> </w:t>
      </w:r>
      <w:r>
        <w:rPr>
          <w:spacing w:val="-1"/>
        </w:rPr>
        <w:t>fueron</w:t>
      </w:r>
      <w:r>
        <w:rPr>
          <w:spacing w:val="-14"/>
        </w:rPr>
        <w:t> </w:t>
      </w:r>
      <w:r>
        <w:rPr>
          <w:spacing w:val="-1"/>
        </w:rPr>
        <w:t>auditados</w:t>
      </w:r>
      <w:r>
        <w:rPr>
          <w:spacing w:val="-15"/>
        </w:rPr>
        <w:t> </w:t>
      </w:r>
      <w:r>
        <w:rPr>
          <w:spacing w:val="-1"/>
        </w:rPr>
        <w:t>por</w:t>
      </w:r>
      <w:r>
        <w:rPr>
          <w:spacing w:val="-14"/>
        </w:rPr>
        <w:t> </w:t>
      </w:r>
      <w:r>
        <w:rPr>
          <w:spacing w:val="-1"/>
        </w:rPr>
        <w:t>otro</w:t>
      </w:r>
      <w:r>
        <w:rPr>
          <w:spacing w:val="-15"/>
        </w:rPr>
        <w:t> </w:t>
      </w:r>
      <w:r>
        <w:rPr>
          <w:spacing w:val="-1"/>
        </w:rPr>
        <w:t>profesional,</w:t>
      </w:r>
      <w:r>
        <w:rPr>
          <w:spacing w:val="-15"/>
        </w:rPr>
        <w:t> </w:t>
      </w:r>
      <w:r>
        <w:rPr/>
        <w:t>quien</w:t>
      </w:r>
      <w:r>
        <w:rPr>
          <w:spacing w:val="-16"/>
        </w:rPr>
        <w:t> </w:t>
      </w:r>
      <w:r>
        <w:rPr/>
        <w:t>ha</w:t>
      </w:r>
      <w:r>
        <w:rPr>
          <w:spacing w:val="-13"/>
        </w:rPr>
        <w:t> </w:t>
      </w:r>
      <w:r>
        <w:rPr/>
        <w:t>emitido</w:t>
      </w:r>
      <w:r>
        <w:rPr>
          <w:spacing w:val="-15"/>
        </w:rPr>
        <w:t> </w:t>
      </w:r>
      <w:r>
        <w:rPr/>
        <w:t>su</w:t>
      </w:r>
      <w:r>
        <w:rPr>
          <w:spacing w:val="-14"/>
        </w:rPr>
        <w:t> </w:t>
      </w:r>
      <w:r>
        <w:rPr/>
        <w:t>informe</w:t>
      </w:r>
      <w:r>
        <w:rPr>
          <w:spacing w:val="-15"/>
        </w:rPr>
        <w:t> </w:t>
      </w:r>
      <w:r>
        <w:rPr/>
        <w:t>que</w:t>
      </w:r>
      <w:r>
        <w:rPr>
          <w:spacing w:val="-14"/>
        </w:rPr>
        <w:t> </w:t>
      </w:r>
      <w:r>
        <w:rPr/>
        <w:t>expresa</w:t>
      </w:r>
      <w:r>
        <w:rPr>
          <w:spacing w:val="-15"/>
        </w:rPr>
        <w:t> </w:t>
      </w:r>
      <w:r>
        <w:rPr/>
        <w:t>una</w:t>
      </w:r>
      <w:r>
        <w:rPr>
          <w:spacing w:val="-14"/>
        </w:rPr>
        <w:t> </w:t>
      </w:r>
      <w:r>
        <w:rPr/>
        <w:t>opinión</w:t>
      </w:r>
      <w:r>
        <w:rPr>
          <w:spacing w:val="-58"/>
        </w:rPr>
        <w:t> </w:t>
      </w:r>
      <w:r>
        <w:rPr/>
        <w:t>sin</w:t>
      </w:r>
      <w:r>
        <w:rPr>
          <w:spacing w:val="-2"/>
        </w:rPr>
        <w:t> </w:t>
      </w:r>
      <w:r>
        <w:rPr/>
        <w:t>salvedades con</w:t>
      </w:r>
      <w:r>
        <w:rPr>
          <w:spacing w:val="-2"/>
        </w:rPr>
        <w:t> </w:t>
      </w:r>
      <w:r>
        <w:rPr/>
        <w:t>fecha</w:t>
      </w:r>
      <w:r>
        <w:rPr>
          <w:spacing w:val="-2"/>
        </w:rPr>
        <w:t> </w:t>
      </w:r>
      <w:r>
        <w:rPr/>
        <w:t>12 de</w:t>
      </w:r>
      <w:r>
        <w:rPr>
          <w:spacing w:val="-1"/>
        </w:rPr>
        <w:t> </w:t>
      </w:r>
      <w:r>
        <w:rPr/>
        <w:t>agosto de</w:t>
      </w:r>
      <w:r>
        <w:rPr>
          <w:spacing w:val="-2"/>
        </w:rPr>
        <w:t> </w:t>
      </w:r>
      <w:r>
        <w:rPr/>
        <w:t>2021.</w:t>
      </w:r>
    </w:p>
    <w:p>
      <w:pPr>
        <w:pStyle w:val="BodyText"/>
      </w:pPr>
    </w:p>
    <w:p>
      <w:pPr>
        <w:pStyle w:val="Heading1"/>
        <w:ind w:left="181" w:firstLine="0"/>
        <w:rPr>
          <w:u w:val="none"/>
        </w:rPr>
      </w:pPr>
      <w:r>
        <w:rPr>
          <w:u w:val="single"/>
        </w:rPr>
        <w:t>INFORME</w:t>
      </w:r>
      <w:r>
        <w:rPr>
          <w:spacing w:val="-4"/>
          <w:u w:val="single"/>
        </w:rPr>
        <w:t> </w:t>
      </w:r>
      <w:r>
        <w:rPr>
          <w:u w:val="single"/>
        </w:rPr>
        <w:t>SOBRE</w:t>
      </w:r>
      <w:r>
        <w:rPr>
          <w:spacing w:val="-3"/>
          <w:u w:val="single"/>
        </w:rPr>
        <w:t> </w:t>
      </w:r>
      <w:r>
        <w:rPr>
          <w:u w:val="single"/>
        </w:rPr>
        <w:t>OTROS</w:t>
      </w:r>
      <w:r>
        <w:rPr>
          <w:spacing w:val="-3"/>
          <w:u w:val="single"/>
        </w:rPr>
        <w:t> </w:t>
      </w:r>
      <w:r>
        <w:rPr>
          <w:u w:val="single"/>
        </w:rPr>
        <w:t>REQUERIMIENTOS</w:t>
      </w:r>
      <w:r>
        <w:rPr>
          <w:spacing w:val="-3"/>
          <w:u w:val="single"/>
        </w:rPr>
        <w:t> </w:t>
      </w:r>
      <w:r>
        <w:rPr>
          <w:u w:val="single"/>
        </w:rPr>
        <w:t>LEGALES</w:t>
      </w:r>
      <w:r>
        <w:rPr>
          <w:spacing w:val="-3"/>
          <w:u w:val="single"/>
        </w:rPr>
        <w:t> </w:t>
      </w:r>
      <w:r>
        <w:rPr>
          <w:u w:val="single"/>
        </w:rPr>
        <w:t>Y</w:t>
      </w:r>
      <w:r>
        <w:rPr>
          <w:spacing w:val="-3"/>
          <w:u w:val="single"/>
        </w:rPr>
        <w:t> </w:t>
      </w:r>
      <w:r>
        <w:rPr>
          <w:u w:val="single"/>
        </w:rPr>
        <w:t>REGLAMENTARIOS</w:t>
      </w:r>
    </w:p>
    <w:p>
      <w:pPr>
        <w:pStyle w:val="BodyText"/>
        <w:rPr>
          <w:b/>
        </w:rPr>
      </w:pPr>
    </w:p>
    <w:p>
      <w:pPr>
        <w:pStyle w:val="BodyText"/>
        <w:ind w:left="181"/>
      </w:pPr>
      <w:r>
        <w:rPr/>
        <w:t>A</w:t>
      </w:r>
      <w:r>
        <w:rPr>
          <w:spacing w:val="-3"/>
        </w:rPr>
        <w:t> </w:t>
      </w:r>
      <w:r>
        <w:rPr/>
        <w:t>efectos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dar</w:t>
      </w:r>
      <w:r>
        <w:rPr>
          <w:spacing w:val="-4"/>
        </w:rPr>
        <w:t> </w:t>
      </w:r>
      <w:r>
        <w:rPr/>
        <w:t>cumplimiento</w:t>
      </w:r>
      <w:r>
        <w:rPr>
          <w:spacing w:val="-2"/>
        </w:rPr>
        <w:t> </w:t>
      </w:r>
      <w:r>
        <w:rPr/>
        <w:t>a</w:t>
      </w:r>
      <w:r>
        <w:rPr>
          <w:spacing w:val="-4"/>
        </w:rPr>
        <w:t> </w:t>
      </w:r>
      <w:r>
        <w:rPr/>
        <w:t>disposiciones</w:t>
      </w:r>
      <w:r>
        <w:rPr>
          <w:spacing w:val="-3"/>
        </w:rPr>
        <w:t> </w:t>
      </w:r>
      <w:r>
        <w:rPr/>
        <w:t>legales</w:t>
      </w:r>
      <w:r>
        <w:rPr>
          <w:spacing w:val="-3"/>
        </w:rPr>
        <w:t> </w:t>
      </w:r>
      <w:r>
        <w:rPr/>
        <w:t>vigentes</w:t>
      </w:r>
      <w:r>
        <w:rPr>
          <w:spacing w:val="-2"/>
        </w:rPr>
        <w:t> </w:t>
      </w:r>
      <w:r>
        <w:rPr/>
        <w:t>informamos</w:t>
      </w:r>
      <w:r>
        <w:rPr>
          <w:spacing w:val="-3"/>
        </w:rPr>
        <w:t> </w:t>
      </w:r>
      <w:r>
        <w:rPr/>
        <w:t>que: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465" w:val="left" w:leader="none"/>
        </w:tabs>
        <w:spacing w:line="240" w:lineRule="auto" w:before="0" w:after="0"/>
        <w:ind w:left="465" w:right="117" w:hanging="285"/>
        <w:jc w:val="both"/>
        <w:rPr>
          <w:sz w:val="20"/>
        </w:rPr>
      </w:pPr>
      <w:r>
        <w:rPr>
          <w:sz w:val="20"/>
        </w:rPr>
        <w:t>Los</w:t>
      </w:r>
      <w:r>
        <w:rPr>
          <w:spacing w:val="-5"/>
          <w:sz w:val="20"/>
        </w:rPr>
        <w:t> </w:t>
      </w:r>
      <w:r>
        <w:rPr>
          <w:sz w:val="20"/>
        </w:rPr>
        <w:t>estados</w:t>
      </w:r>
      <w:r>
        <w:rPr>
          <w:spacing w:val="-6"/>
          <w:sz w:val="20"/>
        </w:rPr>
        <w:t> </w:t>
      </w:r>
      <w:r>
        <w:rPr>
          <w:sz w:val="20"/>
        </w:rPr>
        <w:t>financieros</w:t>
      </w:r>
      <w:r>
        <w:rPr>
          <w:spacing w:val="-5"/>
          <w:sz w:val="20"/>
        </w:rPr>
        <w:t> </w:t>
      </w:r>
      <w:r>
        <w:rPr>
          <w:sz w:val="20"/>
        </w:rPr>
        <w:t>mencionados</w:t>
      </w:r>
      <w:r>
        <w:rPr>
          <w:spacing w:val="-5"/>
          <w:sz w:val="20"/>
        </w:rPr>
        <w:t> </w:t>
      </w:r>
      <w:r>
        <w:rPr>
          <w:sz w:val="20"/>
        </w:rPr>
        <w:t>en</w:t>
      </w:r>
      <w:r>
        <w:rPr>
          <w:spacing w:val="-6"/>
          <w:sz w:val="20"/>
        </w:rPr>
        <w:t> </w:t>
      </w:r>
      <w:r>
        <w:rPr>
          <w:sz w:val="20"/>
        </w:rPr>
        <w:t>el</w:t>
      </w:r>
      <w:r>
        <w:rPr>
          <w:spacing w:val="-5"/>
          <w:sz w:val="20"/>
        </w:rPr>
        <w:t> </w:t>
      </w:r>
      <w:r>
        <w:rPr>
          <w:sz w:val="20"/>
        </w:rPr>
        <w:t>apartado</w:t>
      </w:r>
      <w:r>
        <w:rPr>
          <w:spacing w:val="-6"/>
          <w:sz w:val="20"/>
        </w:rPr>
        <w:t> </w:t>
      </w:r>
      <w:r>
        <w:rPr>
          <w:sz w:val="20"/>
        </w:rPr>
        <w:t>1.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este</w:t>
      </w:r>
      <w:r>
        <w:rPr>
          <w:spacing w:val="-5"/>
          <w:sz w:val="20"/>
        </w:rPr>
        <w:t> </w:t>
      </w:r>
      <w:r>
        <w:rPr>
          <w:sz w:val="20"/>
        </w:rPr>
        <w:t>informe</w:t>
      </w:r>
      <w:r>
        <w:rPr>
          <w:spacing w:val="-5"/>
          <w:sz w:val="20"/>
        </w:rPr>
        <w:t> </w:t>
      </w:r>
      <w:r>
        <w:rPr>
          <w:sz w:val="20"/>
        </w:rPr>
        <w:t>han</w:t>
      </w:r>
      <w:r>
        <w:rPr>
          <w:spacing w:val="-7"/>
          <w:sz w:val="20"/>
        </w:rPr>
        <w:t> </w:t>
      </w:r>
      <w:r>
        <w:rPr>
          <w:sz w:val="20"/>
        </w:rPr>
        <w:t>sido</w:t>
      </w:r>
      <w:r>
        <w:rPr>
          <w:spacing w:val="-6"/>
          <w:sz w:val="20"/>
        </w:rPr>
        <w:t> </w:t>
      </w:r>
      <w:r>
        <w:rPr>
          <w:sz w:val="20"/>
        </w:rPr>
        <w:t>preparados,</w:t>
      </w:r>
      <w:r>
        <w:rPr>
          <w:spacing w:val="-7"/>
          <w:sz w:val="20"/>
        </w:rPr>
        <w:t> </w:t>
      </w:r>
      <w:r>
        <w:rPr>
          <w:sz w:val="20"/>
        </w:rPr>
        <w:t>en</w:t>
      </w:r>
      <w:r>
        <w:rPr>
          <w:spacing w:val="-58"/>
          <w:sz w:val="20"/>
        </w:rPr>
        <w:t> </w:t>
      </w:r>
      <w:r>
        <w:rPr>
          <w:sz w:val="20"/>
        </w:rPr>
        <w:t>todos sus aspectos significativos, de conformidad con las normas pertinentes de la Ley General</w:t>
      </w:r>
      <w:r>
        <w:rPr>
          <w:spacing w:val="-58"/>
          <w:sz w:val="20"/>
        </w:rPr>
        <w:t> </w:t>
      </w:r>
      <w:r>
        <w:rPr>
          <w:sz w:val="20"/>
        </w:rPr>
        <w:t>de Sociedades N°19.550 y de la Comisión Nacional de Valores, excepto en lo relativo a la</w:t>
      </w:r>
      <w:r>
        <w:rPr>
          <w:spacing w:val="1"/>
          <w:sz w:val="20"/>
        </w:rPr>
        <w:t> </w:t>
      </w:r>
      <w:r>
        <w:rPr>
          <w:sz w:val="20"/>
        </w:rPr>
        <w:t>transcripción al libro Diario e Inventarios y Balances dado que a la fecha aún no han sido</w:t>
      </w:r>
      <w:r>
        <w:rPr>
          <w:spacing w:val="1"/>
          <w:sz w:val="20"/>
        </w:rPr>
        <w:t> </w:t>
      </w:r>
      <w:r>
        <w:rPr>
          <w:sz w:val="20"/>
        </w:rPr>
        <w:t>transcriptos.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465" w:val="left" w:leader="none"/>
        </w:tabs>
        <w:spacing w:line="240" w:lineRule="auto" w:before="0" w:after="0"/>
        <w:ind w:left="465" w:right="116" w:hanging="285"/>
        <w:jc w:val="both"/>
        <w:rPr>
          <w:sz w:val="20"/>
        </w:rPr>
      </w:pPr>
      <w:r>
        <w:rPr>
          <w:sz w:val="20"/>
        </w:rPr>
        <w:t>Las cifras de los estados financieros mencionados en el apartado 1. de este informe surgen de</w:t>
      </w:r>
      <w:r>
        <w:rPr>
          <w:spacing w:val="1"/>
          <w:sz w:val="20"/>
        </w:rPr>
        <w:t> </w:t>
      </w:r>
      <w:r>
        <w:rPr>
          <w:sz w:val="20"/>
        </w:rPr>
        <w:t>los registros contables de la Sociedad, que se encuentran en proceso de transcripción a discos</w:t>
      </w:r>
      <w:r>
        <w:rPr>
          <w:spacing w:val="1"/>
          <w:sz w:val="20"/>
        </w:rPr>
        <w:t> </w:t>
      </w:r>
      <w:r>
        <w:rPr>
          <w:sz w:val="20"/>
        </w:rPr>
        <w:t>ópticos.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cumplimiento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normas</w:t>
      </w:r>
      <w:r>
        <w:rPr>
          <w:spacing w:val="1"/>
          <w:sz w:val="20"/>
        </w:rPr>
        <w:t> </w:t>
      </w:r>
      <w:r>
        <w:rPr>
          <w:sz w:val="20"/>
        </w:rPr>
        <w:t>aplicables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Comisión</w:t>
      </w:r>
      <w:r>
        <w:rPr>
          <w:spacing w:val="1"/>
          <w:sz w:val="20"/>
        </w:rPr>
        <w:t> </w:t>
      </w:r>
      <w:r>
        <w:rPr>
          <w:sz w:val="20"/>
        </w:rPr>
        <w:t>Nacional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Valores,</w:t>
      </w:r>
      <w:r>
        <w:rPr>
          <w:spacing w:val="-58"/>
          <w:sz w:val="20"/>
        </w:rPr>
        <w:t> </w:t>
      </w:r>
      <w:r>
        <w:rPr>
          <w:sz w:val="20"/>
        </w:rPr>
        <w:t>informamos que, según nuestro criterio, los sistemas de registros contables mantienen las</w:t>
      </w:r>
      <w:r>
        <w:rPr>
          <w:spacing w:val="1"/>
          <w:sz w:val="20"/>
        </w:rPr>
        <w:t> </w:t>
      </w:r>
      <w:r>
        <w:rPr>
          <w:sz w:val="20"/>
        </w:rPr>
        <w:t>condiciones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seguridad</w:t>
      </w:r>
      <w:r>
        <w:rPr>
          <w:spacing w:val="-3"/>
          <w:sz w:val="20"/>
        </w:rPr>
        <w:t> </w:t>
      </w:r>
      <w:r>
        <w:rPr>
          <w:sz w:val="20"/>
        </w:rPr>
        <w:t>e</w:t>
      </w:r>
      <w:r>
        <w:rPr>
          <w:spacing w:val="-4"/>
          <w:sz w:val="20"/>
        </w:rPr>
        <w:t> </w:t>
      </w:r>
      <w:r>
        <w:rPr>
          <w:sz w:val="20"/>
        </w:rPr>
        <w:t>integridad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base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cuales</w:t>
      </w:r>
      <w:r>
        <w:rPr>
          <w:spacing w:val="-3"/>
          <w:sz w:val="20"/>
        </w:rPr>
        <w:t> </w:t>
      </w:r>
      <w:r>
        <w:rPr>
          <w:sz w:val="20"/>
        </w:rPr>
        <w:t>fueron</w:t>
      </w:r>
      <w:r>
        <w:rPr>
          <w:spacing w:val="-4"/>
          <w:sz w:val="20"/>
        </w:rPr>
        <w:t> </w:t>
      </w:r>
      <w:r>
        <w:rPr>
          <w:sz w:val="20"/>
        </w:rPr>
        <w:t>oportunamente</w:t>
      </w:r>
      <w:r>
        <w:rPr>
          <w:spacing w:val="-3"/>
          <w:sz w:val="20"/>
        </w:rPr>
        <w:t> </w:t>
      </w:r>
      <w:r>
        <w:rPr>
          <w:sz w:val="20"/>
        </w:rPr>
        <w:t>autorizadas.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465" w:val="left" w:leader="none"/>
        </w:tabs>
        <w:spacing w:line="240" w:lineRule="auto" w:before="0" w:after="0"/>
        <w:ind w:left="465" w:right="118" w:hanging="285"/>
        <w:jc w:val="both"/>
        <w:rPr>
          <w:sz w:val="20"/>
        </w:rPr>
      </w:pPr>
      <w:r>
        <w:rPr>
          <w:sz w:val="20"/>
        </w:rPr>
        <w:t>Al 28 de febrero de 2022, las deudas devengadas en conceptos de aportes y contribuciones</w:t>
      </w:r>
      <w:r>
        <w:rPr>
          <w:spacing w:val="1"/>
          <w:sz w:val="20"/>
        </w:rPr>
        <w:t> </w:t>
      </w:r>
      <w:r>
        <w:rPr>
          <w:sz w:val="20"/>
        </w:rPr>
        <w:t>previsionales a favor del Sistema Integrado Previsional Argentino, que surgen de los registros</w:t>
      </w:r>
      <w:r>
        <w:rPr>
          <w:spacing w:val="1"/>
          <w:sz w:val="20"/>
        </w:rPr>
        <w:t> </w:t>
      </w:r>
      <w:r>
        <w:rPr>
          <w:sz w:val="20"/>
        </w:rPr>
        <w:t>contables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Sociedad,</w:t>
      </w:r>
      <w:r>
        <w:rPr>
          <w:spacing w:val="-4"/>
          <w:sz w:val="20"/>
        </w:rPr>
        <w:t> </w:t>
      </w:r>
      <w:r>
        <w:rPr>
          <w:sz w:val="20"/>
        </w:rPr>
        <w:t>ascienden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$559.339.658,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cuales</w:t>
      </w:r>
      <w:r>
        <w:rPr>
          <w:spacing w:val="-2"/>
          <w:sz w:val="20"/>
        </w:rPr>
        <w:t> </w:t>
      </w:r>
      <w:r>
        <w:rPr>
          <w:sz w:val="20"/>
        </w:rPr>
        <w:t>no</w:t>
      </w:r>
      <w:r>
        <w:rPr>
          <w:spacing w:val="-3"/>
          <w:sz w:val="20"/>
        </w:rPr>
        <w:t> </w:t>
      </w:r>
      <w:r>
        <w:rPr>
          <w:sz w:val="20"/>
        </w:rPr>
        <w:t>son</w:t>
      </w:r>
      <w:r>
        <w:rPr>
          <w:spacing w:val="-3"/>
          <w:sz w:val="20"/>
        </w:rPr>
        <w:t> </w:t>
      </w:r>
      <w:r>
        <w:rPr>
          <w:sz w:val="20"/>
        </w:rPr>
        <w:t>exigibles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dicha</w:t>
      </w:r>
      <w:r>
        <w:rPr>
          <w:spacing w:val="-3"/>
          <w:sz w:val="20"/>
        </w:rPr>
        <w:t> </w:t>
      </w:r>
      <w:r>
        <w:rPr>
          <w:sz w:val="20"/>
        </w:rPr>
        <w:t>fecha.</w:t>
      </w:r>
    </w:p>
    <w:p>
      <w:pPr>
        <w:spacing w:after="0" w:line="240" w:lineRule="auto"/>
        <w:jc w:val="both"/>
        <w:rPr>
          <w:sz w:val="20"/>
        </w:rPr>
        <w:sectPr>
          <w:pgSz w:w="12240" w:h="15840"/>
          <w:pgMar w:header="708" w:footer="1168" w:top="1280" w:bottom="1360" w:left="1520" w:right="1580"/>
        </w:sectPr>
      </w:pPr>
    </w:p>
    <w:p>
      <w:pPr>
        <w:pStyle w:val="BodyText"/>
        <w:rPr>
          <w:sz w:val="22"/>
        </w:rPr>
      </w:pPr>
    </w:p>
    <w:p>
      <w:pPr>
        <w:pStyle w:val="Heading1"/>
        <w:spacing w:before="101"/>
        <w:ind w:left="181" w:firstLine="0"/>
        <w:rPr>
          <w:u w:val="none"/>
        </w:rPr>
      </w:pPr>
      <w:r>
        <w:rPr>
          <w:u w:val="single"/>
        </w:rPr>
        <w:t>INFORME</w:t>
      </w:r>
      <w:r>
        <w:rPr>
          <w:spacing w:val="-4"/>
          <w:u w:val="single"/>
        </w:rPr>
        <w:t> </w:t>
      </w:r>
      <w:r>
        <w:rPr>
          <w:u w:val="single"/>
        </w:rPr>
        <w:t>SOBRE</w:t>
      </w:r>
      <w:r>
        <w:rPr>
          <w:spacing w:val="-4"/>
          <w:u w:val="single"/>
        </w:rPr>
        <w:t> </w:t>
      </w:r>
      <w:r>
        <w:rPr>
          <w:u w:val="single"/>
        </w:rPr>
        <w:t>OTROS</w:t>
      </w:r>
      <w:r>
        <w:rPr>
          <w:spacing w:val="-3"/>
          <w:u w:val="single"/>
        </w:rPr>
        <w:t> </w:t>
      </w:r>
      <w:r>
        <w:rPr>
          <w:u w:val="single"/>
        </w:rPr>
        <w:t>REQUERIMIENTOS</w:t>
      </w:r>
      <w:r>
        <w:rPr>
          <w:spacing w:val="-4"/>
          <w:u w:val="single"/>
        </w:rPr>
        <w:t> </w:t>
      </w:r>
      <w:r>
        <w:rPr>
          <w:u w:val="single"/>
        </w:rPr>
        <w:t>LEGALES</w:t>
      </w:r>
      <w:r>
        <w:rPr>
          <w:spacing w:val="-4"/>
          <w:u w:val="single"/>
        </w:rPr>
        <w:t> </w:t>
      </w:r>
      <w:r>
        <w:rPr>
          <w:u w:val="single"/>
        </w:rPr>
        <w:t>Y</w:t>
      </w:r>
      <w:r>
        <w:rPr>
          <w:spacing w:val="-3"/>
          <w:u w:val="single"/>
        </w:rPr>
        <w:t> </w:t>
      </w:r>
      <w:r>
        <w:rPr>
          <w:u w:val="single"/>
        </w:rPr>
        <w:t>REGLAMENTARIOS</w:t>
      </w:r>
      <w:r>
        <w:rPr>
          <w:spacing w:val="-4"/>
          <w:u w:val="none"/>
        </w:rPr>
        <w:t> </w:t>
      </w:r>
      <w:r>
        <w:rPr>
          <w:u w:val="none"/>
        </w:rPr>
        <w:t>(Continuación)</w:t>
      </w:r>
    </w:p>
    <w:p>
      <w:pPr>
        <w:pStyle w:val="BodyText"/>
        <w:spacing w:before="11"/>
        <w:rPr>
          <w:b/>
          <w:sz w:val="19"/>
        </w:rPr>
      </w:pPr>
    </w:p>
    <w:p>
      <w:pPr>
        <w:pStyle w:val="ListParagraph"/>
        <w:numPr>
          <w:ilvl w:val="0"/>
          <w:numId w:val="2"/>
        </w:numPr>
        <w:tabs>
          <w:tab w:pos="465" w:val="left" w:leader="none"/>
        </w:tabs>
        <w:spacing w:line="240" w:lineRule="auto" w:before="0" w:after="0"/>
        <w:ind w:left="465" w:right="117" w:hanging="285"/>
        <w:jc w:val="left"/>
        <w:rPr>
          <w:sz w:val="20"/>
        </w:rPr>
      </w:pPr>
      <w:r>
        <w:rPr>
          <w:sz w:val="20"/>
        </w:rPr>
        <w:t>Al</w:t>
      </w:r>
      <w:r>
        <w:rPr>
          <w:spacing w:val="3"/>
          <w:sz w:val="20"/>
        </w:rPr>
        <w:t> </w:t>
      </w:r>
      <w:r>
        <w:rPr>
          <w:sz w:val="20"/>
        </w:rPr>
        <w:t>28</w:t>
      </w:r>
      <w:r>
        <w:rPr>
          <w:spacing w:val="4"/>
          <w:sz w:val="20"/>
        </w:rPr>
        <w:t> </w:t>
      </w:r>
      <w:r>
        <w:rPr>
          <w:sz w:val="20"/>
        </w:rPr>
        <w:t>de</w:t>
      </w:r>
      <w:r>
        <w:rPr>
          <w:spacing w:val="4"/>
          <w:sz w:val="20"/>
        </w:rPr>
        <w:t> </w:t>
      </w:r>
      <w:r>
        <w:rPr>
          <w:sz w:val="20"/>
        </w:rPr>
        <w:t>febrero</w:t>
      </w:r>
      <w:r>
        <w:rPr>
          <w:spacing w:val="3"/>
          <w:sz w:val="20"/>
        </w:rPr>
        <w:t> </w:t>
      </w:r>
      <w:r>
        <w:rPr>
          <w:sz w:val="20"/>
        </w:rPr>
        <w:t>de</w:t>
      </w:r>
      <w:r>
        <w:rPr>
          <w:spacing w:val="3"/>
          <w:sz w:val="20"/>
        </w:rPr>
        <w:t> </w:t>
      </w:r>
      <w:r>
        <w:rPr>
          <w:sz w:val="20"/>
        </w:rPr>
        <w:t>2022,</w:t>
      </w:r>
      <w:r>
        <w:rPr>
          <w:spacing w:val="3"/>
          <w:sz w:val="20"/>
        </w:rPr>
        <w:t> </w:t>
      </w:r>
      <w:r>
        <w:rPr>
          <w:sz w:val="20"/>
        </w:rPr>
        <w:t>la</w:t>
      </w:r>
      <w:r>
        <w:rPr>
          <w:spacing w:val="3"/>
          <w:sz w:val="20"/>
        </w:rPr>
        <w:t> </w:t>
      </w:r>
      <w:r>
        <w:rPr>
          <w:sz w:val="20"/>
        </w:rPr>
        <w:t>Sociedad</w:t>
      </w:r>
      <w:r>
        <w:rPr>
          <w:spacing w:val="4"/>
          <w:sz w:val="20"/>
        </w:rPr>
        <w:t> </w:t>
      </w:r>
      <w:r>
        <w:rPr>
          <w:sz w:val="20"/>
        </w:rPr>
        <w:t>posee</w:t>
      </w:r>
      <w:r>
        <w:rPr>
          <w:spacing w:val="3"/>
          <w:sz w:val="20"/>
        </w:rPr>
        <w:t> </w:t>
      </w:r>
      <w:r>
        <w:rPr>
          <w:sz w:val="20"/>
        </w:rPr>
        <w:t>un</w:t>
      </w:r>
      <w:r>
        <w:rPr>
          <w:spacing w:val="3"/>
          <w:sz w:val="20"/>
        </w:rPr>
        <w:t> </w:t>
      </w:r>
      <w:r>
        <w:rPr>
          <w:sz w:val="20"/>
        </w:rPr>
        <w:t>saldo</w:t>
      </w:r>
      <w:r>
        <w:rPr>
          <w:spacing w:val="2"/>
          <w:sz w:val="20"/>
        </w:rPr>
        <w:t> </w:t>
      </w:r>
      <w:r>
        <w:rPr>
          <w:sz w:val="20"/>
        </w:rPr>
        <w:t>a</w:t>
      </w:r>
      <w:r>
        <w:rPr>
          <w:spacing w:val="4"/>
          <w:sz w:val="20"/>
        </w:rPr>
        <w:t> </w:t>
      </w:r>
      <w:r>
        <w:rPr>
          <w:sz w:val="20"/>
        </w:rPr>
        <w:t>favor</w:t>
      </w:r>
      <w:r>
        <w:rPr>
          <w:spacing w:val="2"/>
          <w:sz w:val="20"/>
        </w:rPr>
        <w:t> </w:t>
      </w:r>
      <w:r>
        <w:rPr>
          <w:sz w:val="20"/>
        </w:rPr>
        <w:t>ante</w:t>
      </w:r>
      <w:r>
        <w:rPr>
          <w:spacing w:val="3"/>
          <w:sz w:val="20"/>
        </w:rPr>
        <w:t> </w:t>
      </w:r>
      <w:r>
        <w:rPr>
          <w:sz w:val="20"/>
        </w:rPr>
        <w:t>la</w:t>
      </w:r>
      <w:r>
        <w:rPr>
          <w:spacing w:val="3"/>
          <w:sz w:val="20"/>
        </w:rPr>
        <w:t> </w:t>
      </w:r>
      <w:r>
        <w:rPr>
          <w:sz w:val="20"/>
        </w:rPr>
        <w:t>Administración</w:t>
      </w:r>
      <w:r>
        <w:rPr>
          <w:spacing w:val="4"/>
          <w:sz w:val="20"/>
        </w:rPr>
        <w:t> </w:t>
      </w:r>
      <w:r>
        <w:rPr>
          <w:sz w:val="20"/>
        </w:rPr>
        <w:t>Provincial</w:t>
      </w:r>
      <w:r>
        <w:rPr>
          <w:spacing w:val="-58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Impuestos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Provincia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Santa</w:t>
      </w:r>
      <w:r>
        <w:rPr>
          <w:spacing w:val="-4"/>
          <w:sz w:val="20"/>
        </w:rPr>
        <w:t> </w:t>
      </w:r>
      <w:r>
        <w:rPr>
          <w:sz w:val="20"/>
        </w:rPr>
        <w:t>Fe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conceptos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impuestos</w:t>
      </w:r>
      <w:r>
        <w:rPr>
          <w:spacing w:val="-2"/>
          <w:sz w:val="20"/>
        </w:rPr>
        <w:t> </w:t>
      </w:r>
      <w:r>
        <w:rPr>
          <w:sz w:val="20"/>
        </w:rPr>
        <w:t>sobre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ingresos</w:t>
      </w:r>
      <w:r>
        <w:rPr>
          <w:spacing w:val="-2"/>
          <w:sz w:val="20"/>
        </w:rPr>
        <w:t> </w:t>
      </w:r>
      <w:r>
        <w:rPr>
          <w:sz w:val="20"/>
        </w:rPr>
        <w:t>brutos.</w:t>
      </w:r>
    </w:p>
    <w:p>
      <w:pPr>
        <w:pStyle w:val="BodyText"/>
      </w:pPr>
    </w:p>
    <w:p>
      <w:pPr>
        <w:pStyle w:val="BodyText"/>
        <w:ind w:left="181"/>
      </w:pPr>
      <w:r>
        <w:rPr/>
        <w:t>Rosario,</w:t>
      </w:r>
      <w:r>
        <w:rPr>
          <w:spacing w:val="-3"/>
        </w:rPr>
        <w:t> </w:t>
      </w:r>
      <w:r>
        <w:rPr/>
        <w:t>Provincia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Santa</w:t>
      </w:r>
      <w:r>
        <w:rPr>
          <w:spacing w:val="-3"/>
        </w:rPr>
        <w:t> </w:t>
      </w:r>
      <w:r>
        <w:rPr/>
        <w:t>Fe,</w:t>
      </w:r>
      <w:r>
        <w:rPr>
          <w:spacing w:val="-2"/>
        </w:rPr>
        <w:t> </w:t>
      </w:r>
      <w:r>
        <w:rPr/>
        <w:t>11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abril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2022.</w:t>
      </w:r>
    </w:p>
    <w:p>
      <w:pPr>
        <w:pStyle w:val="BodyText"/>
      </w:pPr>
    </w:p>
    <w:p>
      <w:pPr>
        <w:pStyle w:val="BodyText"/>
        <w:spacing w:before="3"/>
      </w:pPr>
    </w:p>
    <w:tbl>
      <w:tblPr>
        <w:tblW w:w="0" w:type="auto"/>
        <w:jc w:val="left"/>
        <w:tblInd w:w="49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91"/>
      </w:tblGrid>
      <w:tr>
        <w:trPr>
          <w:trHeight w:val="236" w:hRule="atLeast"/>
        </w:trPr>
        <w:tc>
          <w:tcPr>
            <w:tcW w:w="4091" w:type="dxa"/>
          </w:tcPr>
          <w:p>
            <w:pPr>
              <w:pStyle w:val="TableParagraph"/>
              <w:spacing w:line="216" w:lineRule="exact"/>
              <w:ind w:left="618" w:right="6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BECHER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ASOCIADOS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S.R.L.</w:t>
            </w:r>
          </w:p>
        </w:tc>
      </w:tr>
      <w:tr>
        <w:trPr>
          <w:trHeight w:val="600" w:hRule="atLeast"/>
        </w:trPr>
        <w:tc>
          <w:tcPr>
            <w:tcW w:w="4091" w:type="dxa"/>
          </w:tcPr>
          <w:p>
            <w:pPr>
              <w:pStyle w:val="TableParagraph"/>
              <w:spacing w:line="240" w:lineRule="auto" w:before="4"/>
              <w:ind w:left="200"/>
              <w:rPr>
                <w:sz w:val="20"/>
              </w:rPr>
            </w:pPr>
            <w:r>
              <w:rPr>
                <w:sz w:val="20"/>
              </w:rPr>
              <w:t>C.P.C.E.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Prov.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Santa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Fe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Matrícula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7-282</w:t>
            </w:r>
          </w:p>
        </w:tc>
      </w:tr>
      <w:tr>
        <w:trPr>
          <w:trHeight w:val="600" w:hRule="atLeast"/>
        </w:trPr>
        <w:tc>
          <w:tcPr>
            <w:tcW w:w="4091" w:type="dxa"/>
          </w:tcPr>
          <w:p>
            <w:pPr>
              <w:pStyle w:val="TableParagraph"/>
              <w:spacing w:line="240" w:lineRule="auto" w:before="4"/>
              <w:rPr>
                <w:sz w:val="31"/>
              </w:rPr>
            </w:pPr>
          </w:p>
          <w:p>
            <w:pPr>
              <w:pStyle w:val="TableParagraph"/>
              <w:spacing w:line="216" w:lineRule="exact"/>
              <w:ind w:left="619" w:right="619"/>
              <w:jc w:val="center"/>
              <w:rPr>
                <w:sz w:val="20"/>
              </w:rPr>
            </w:pPr>
            <w:r>
              <w:rPr>
                <w:sz w:val="20"/>
              </w:rPr>
              <w:t>Fabián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Gustavo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Marcote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(Socio)</w:t>
            </w:r>
          </w:p>
        </w:tc>
      </w:tr>
      <w:tr>
        <w:trPr>
          <w:trHeight w:val="240" w:hRule="atLeast"/>
        </w:trPr>
        <w:tc>
          <w:tcPr>
            <w:tcW w:w="4091" w:type="dxa"/>
          </w:tcPr>
          <w:p>
            <w:pPr>
              <w:pStyle w:val="TableParagraph"/>
              <w:spacing w:line="216" w:lineRule="exact" w:before="4"/>
              <w:ind w:left="619" w:right="619"/>
              <w:jc w:val="center"/>
              <w:rPr>
                <w:sz w:val="20"/>
              </w:rPr>
            </w:pPr>
            <w:r>
              <w:rPr>
                <w:sz w:val="20"/>
              </w:rPr>
              <w:t>Contador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Público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(U.B.A)</w:t>
            </w:r>
          </w:p>
        </w:tc>
      </w:tr>
      <w:tr>
        <w:trPr>
          <w:trHeight w:val="236" w:hRule="atLeast"/>
        </w:trPr>
        <w:tc>
          <w:tcPr>
            <w:tcW w:w="4091" w:type="dxa"/>
          </w:tcPr>
          <w:p>
            <w:pPr>
              <w:pStyle w:val="TableParagraph"/>
              <w:spacing w:before="4"/>
              <w:ind w:left="326"/>
              <w:rPr>
                <w:sz w:val="20"/>
              </w:rPr>
            </w:pPr>
            <w:r>
              <w:rPr>
                <w:sz w:val="20"/>
              </w:rPr>
              <w:t>C.P.C.E.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Prov.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Santa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Fe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Matr.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16.845</w:t>
            </w:r>
          </w:p>
        </w:tc>
      </w:tr>
    </w:tbl>
    <w:sectPr>
      <w:pgSz w:w="12240" w:h="15840"/>
      <w:pgMar w:header="708" w:footer="1168" w:top="1280" w:bottom="1360" w:left="1520" w:right="1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rebuchet MS">
    <w:altName w:val="Trebuchet MS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84.080002pt;margin-top:722.606201pt;width:439.15pt;height:23.4pt;mso-position-horizontal-relative:page;mso-position-vertical-relative:page;z-index:-15824896" type="#_x0000_t202" filled="false" stroked="false">
          <v:textbox inset="0,0,0,0">
            <w:txbxContent>
              <w:p>
                <w:pPr>
                  <w:spacing w:line="247" w:lineRule="auto" w:before="20"/>
                  <w:ind w:left="20" w:right="0" w:firstLine="0"/>
                  <w:jc w:val="left"/>
                  <w:rPr>
                    <w:sz w:val="12"/>
                  </w:rPr>
                </w:pPr>
                <w:r>
                  <w:rPr>
                    <w:color w:val="78685F"/>
                    <w:sz w:val="12"/>
                  </w:rPr>
                  <w:t>Becher</w:t>
                </w:r>
                <w:r>
                  <w:rPr>
                    <w:color w:val="78685F"/>
                    <w:spacing w:val="-4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y</w:t>
                </w:r>
                <w:r>
                  <w:rPr>
                    <w:color w:val="78685F"/>
                    <w:spacing w:val="-3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Asociados</w:t>
                </w:r>
                <w:r>
                  <w:rPr>
                    <w:color w:val="78685F"/>
                    <w:spacing w:val="-2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S.R.L.,</w:t>
                </w:r>
                <w:r>
                  <w:rPr>
                    <w:color w:val="78685F"/>
                    <w:spacing w:val="-2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una</w:t>
                </w:r>
                <w:r>
                  <w:rPr>
                    <w:color w:val="78685F"/>
                    <w:spacing w:val="-2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sociedad</w:t>
                </w:r>
                <w:r>
                  <w:rPr>
                    <w:color w:val="78685F"/>
                    <w:spacing w:val="-4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argentina</w:t>
                </w:r>
                <w:r>
                  <w:rPr>
                    <w:color w:val="78685F"/>
                    <w:spacing w:val="-4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de</w:t>
                </w:r>
                <w:r>
                  <w:rPr>
                    <w:color w:val="78685F"/>
                    <w:spacing w:val="-2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responsabilidad</w:t>
                </w:r>
                <w:r>
                  <w:rPr>
                    <w:color w:val="78685F"/>
                    <w:spacing w:val="-2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limitada,</w:t>
                </w:r>
                <w:r>
                  <w:rPr>
                    <w:color w:val="78685F"/>
                    <w:spacing w:val="-4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es</w:t>
                </w:r>
                <w:r>
                  <w:rPr>
                    <w:color w:val="78685F"/>
                    <w:spacing w:val="-2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miembro</w:t>
                </w:r>
                <w:r>
                  <w:rPr>
                    <w:color w:val="78685F"/>
                    <w:spacing w:val="-2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de</w:t>
                </w:r>
                <w:r>
                  <w:rPr>
                    <w:color w:val="78685F"/>
                    <w:spacing w:val="-3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BDO</w:t>
                </w:r>
                <w:r>
                  <w:rPr>
                    <w:color w:val="78685F"/>
                    <w:spacing w:val="-4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International</w:t>
                </w:r>
                <w:r>
                  <w:rPr>
                    <w:color w:val="78685F"/>
                    <w:spacing w:val="-3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Limited,</w:t>
                </w:r>
                <w:r>
                  <w:rPr>
                    <w:color w:val="78685F"/>
                    <w:spacing w:val="-2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una</w:t>
                </w:r>
                <w:r>
                  <w:rPr>
                    <w:color w:val="78685F"/>
                    <w:spacing w:val="-2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compañía</w:t>
                </w:r>
                <w:r>
                  <w:rPr>
                    <w:color w:val="78685F"/>
                    <w:spacing w:val="-2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limitada</w:t>
                </w:r>
                <w:r>
                  <w:rPr>
                    <w:color w:val="78685F"/>
                    <w:spacing w:val="-2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por</w:t>
                </w:r>
                <w:r>
                  <w:rPr>
                    <w:color w:val="78685F"/>
                    <w:spacing w:val="-3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garantía</w:t>
                </w:r>
                <w:r>
                  <w:rPr>
                    <w:color w:val="78685F"/>
                    <w:spacing w:val="-2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del</w:t>
                </w:r>
                <w:r>
                  <w:rPr>
                    <w:color w:val="78685F"/>
                    <w:spacing w:val="1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Reino</w:t>
                </w:r>
                <w:r>
                  <w:rPr>
                    <w:color w:val="78685F"/>
                    <w:spacing w:val="-1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Unido, y</w:t>
                </w:r>
                <w:r>
                  <w:rPr>
                    <w:color w:val="78685F"/>
                    <w:spacing w:val="-1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forma</w:t>
                </w:r>
                <w:r>
                  <w:rPr>
                    <w:color w:val="78685F"/>
                    <w:spacing w:val="-1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parte</w:t>
                </w:r>
                <w:r>
                  <w:rPr>
                    <w:color w:val="78685F"/>
                    <w:spacing w:val="-1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de</w:t>
                </w:r>
                <w:r>
                  <w:rPr>
                    <w:color w:val="78685F"/>
                    <w:spacing w:val="-1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la red</w:t>
                </w:r>
                <w:r>
                  <w:rPr>
                    <w:color w:val="78685F"/>
                    <w:spacing w:val="-1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internacional BDO</w:t>
                </w:r>
                <w:r>
                  <w:rPr>
                    <w:color w:val="78685F"/>
                    <w:spacing w:val="-1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de</w:t>
                </w:r>
                <w:r>
                  <w:rPr>
                    <w:color w:val="78685F"/>
                    <w:spacing w:val="-1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empresas</w:t>
                </w:r>
                <w:r>
                  <w:rPr>
                    <w:color w:val="78685F"/>
                    <w:spacing w:val="-1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independientes asociadas.</w:t>
                </w:r>
              </w:p>
              <w:p>
                <w:pPr>
                  <w:spacing w:before="1"/>
                  <w:ind w:left="20" w:right="0" w:firstLine="0"/>
                  <w:jc w:val="left"/>
                  <w:rPr>
                    <w:sz w:val="12"/>
                  </w:rPr>
                </w:pPr>
                <w:r>
                  <w:rPr>
                    <w:color w:val="78685F"/>
                    <w:sz w:val="12"/>
                  </w:rPr>
                  <w:t>BDO</w:t>
                </w:r>
                <w:r>
                  <w:rPr>
                    <w:color w:val="78685F"/>
                    <w:spacing w:val="-3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es</w:t>
                </w:r>
                <w:r>
                  <w:rPr>
                    <w:color w:val="78685F"/>
                    <w:spacing w:val="-1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el</w:t>
                </w:r>
                <w:r>
                  <w:rPr>
                    <w:color w:val="78685F"/>
                    <w:spacing w:val="-2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nombre</w:t>
                </w:r>
                <w:r>
                  <w:rPr>
                    <w:color w:val="78685F"/>
                    <w:spacing w:val="-1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comercial</w:t>
                </w:r>
                <w:r>
                  <w:rPr>
                    <w:color w:val="78685F"/>
                    <w:spacing w:val="-1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de</w:t>
                </w:r>
                <w:r>
                  <w:rPr>
                    <w:color w:val="78685F"/>
                    <w:spacing w:val="-2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la</w:t>
                </w:r>
                <w:r>
                  <w:rPr>
                    <w:color w:val="78685F"/>
                    <w:spacing w:val="-1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red</w:t>
                </w:r>
                <w:r>
                  <w:rPr>
                    <w:color w:val="78685F"/>
                    <w:spacing w:val="-1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BDO</w:t>
                </w:r>
                <w:r>
                  <w:rPr>
                    <w:color w:val="78685F"/>
                    <w:spacing w:val="-2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y</w:t>
                </w:r>
                <w:r>
                  <w:rPr>
                    <w:color w:val="78685F"/>
                    <w:spacing w:val="-2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de</w:t>
                </w:r>
                <w:r>
                  <w:rPr>
                    <w:color w:val="78685F"/>
                    <w:spacing w:val="-2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cada</w:t>
                </w:r>
                <w:r>
                  <w:rPr>
                    <w:color w:val="78685F"/>
                    <w:spacing w:val="-2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una</w:t>
                </w:r>
                <w:r>
                  <w:rPr>
                    <w:color w:val="78685F"/>
                    <w:spacing w:val="-2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de</w:t>
                </w:r>
                <w:r>
                  <w:rPr>
                    <w:color w:val="78685F"/>
                    <w:spacing w:val="-1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las</w:t>
                </w:r>
                <w:r>
                  <w:rPr>
                    <w:color w:val="78685F"/>
                    <w:spacing w:val="-2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empresas</w:t>
                </w:r>
                <w:r>
                  <w:rPr>
                    <w:color w:val="78685F"/>
                    <w:spacing w:val="-2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asociadas</w:t>
                </w:r>
                <w:r>
                  <w:rPr>
                    <w:color w:val="78685F"/>
                    <w:spacing w:val="-2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a</w:t>
                </w:r>
                <w:r>
                  <w:rPr>
                    <w:color w:val="78685F"/>
                    <w:spacing w:val="-1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BDO.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84.080002pt;margin-top:722.606201pt;width:439.15pt;height:23.4pt;mso-position-horizontal-relative:page;mso-position-vertical-relative:page;z-index:-15823872" type="#_x0000_t202" filled="false" stroked="false">
          <v:textbox inset="0,0,0,0">
            <w:txbxContent>
              <w:p>
                <w:pPr>
                  <w:spacing w:line="247" w:lineRule="auto" w:before="20"/>
                  <w:ind w:left="20" w:right="0" w:firstLine="0"/>
                  <w:jc w:val="left"/>
                  <w:rPr>
                    <w:sz w:val="12"/>
                  </w:rPr>
                </w:pPr>
                <w:r>
                  <w:rPr>
                    <w:color w:val="78685F"/>
                    <w:sz w:val="12"/>
                  </w:rPr>
                  <w:t>Becher</w:t>
                </w:r>
                <w:r>
                  <w:rPr>
                    <w:color w:val="78685F"/>
                    <w:spacing w:val="-4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y</w:t>
                </w:r>
                <w:r>
                  <w:rPr>
                    <w:color w:val="78685F"/>
                    <w:spacing w:val="-3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Asociados</w:t>
                </w:r>
                <w:r>
                  <w:rPr>
                    <w:color w:val="78685F"/>
                    <w:spacing w:val="-2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S.R.L.,</w:t>
                </w:r>
                <w:r>
                  <w:rPr>
                    <w:color w:val="78685F"/>
                    <w:spacing w:val="-2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una</w:t>
                </w:r>
                <w:r>
                  <w:rPr>
                    <w:color w:val="78685F"/>
                    <w:spacing w:val="-2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sociedad</w:t>
                </w:r>
                <w:r>
                  <w:rPr>
                    <w:color w:val="78685F"/>
                    <w:spacing w:val="-4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argentina</w:t>
                </w:r>
                <w:r>
                  <w:rPr>
                    <w:color w:val="78685F"/>
                    <w:spacing w:val="-4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de</w:t>
                </w:r>
                <w:r>
                  <w:rPr>
                    <w:color w:val="78685F"/>
                    <w:spacing w:val="-2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responsabilidad</w:t>
                </w:r>
                <w:r>
                  <w:rPr>
                    <w:color w:val="78685F"/>
                    <w:spacing w:val="-2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limitada,</w:t>
                </w:r>
                <w:r>
                  <w:rPr>
                    <w:color w:val="78685F"/>
                    <w:spacing w:val="-4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es</w:t>
                </w:r>
                <w:r>
                  <w:rPr>
                    <w:color w:val="78685F"/>
                    <w:spacing w:val="-2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miembro</w:t>
                </w:r>
                <w:r>
                  <w:rPr>
                    <w:color w:val="78685F"/>
                    <w:spacing w:val="-2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de</w:t>
                </w:r>
                <w:r>
                  <w:rPr>
                    <w:color w:val="78685F"/>
                    <w:spacing w:val="-3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BDO</w:t>
                </w:r>
                <w:r>
                  <w:rPr>
                    <w:color w:val="78685F"/>
                    <w:spacing w:val="-4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International</w:t>
                </w:r>
                <w:r>
                  <w:rPr>
                    <w:color w:val="78685F"/>
                    <w:spacing w:val="-3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Limited,</w:t>
                </w:r>
                <w:r>
                  <w:rPr>
                    <w:color w:val="78685F"/>
                    <w:spacing w:val="-2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una</w:t>
                </w:r>
                <w:r>
                  <w:rPr>
                    <w:color w:val="78685F"/>
                    <w:spacing w:val="-2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compañía</w:t>
                </w:r>
                <w:r>
                  <w:rPr>
                    <w:color w:val="78685F"/>
                    <w:spacing w:val="-2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limitada</w:t>
                </w:r>
                <w:r>
                  <w:rPr>
                    <w:color w:val="78685F"/>
                    <w:spacing w:val="-2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por</w:t>
                </w:r>
                <w:r>
                  <w:rPr>
                    <w:color w:val="78685F"/>
                    <w:spacing w:val="-3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garantía</w:t>
                </w:r>
                <w:r>
                  <w:rPr>
                    <w:color w:val="78685F"/>
                    <w:spacing w:val="-2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del</w:t>
                </w:r>
                <w:r>
                  <w:rPr>
                    <w:color w:val="78685F"/>
                    <w:spacing w:val="1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Reino</w:t>
                </w:r>
                <w:r>
                  <w:rPr>
                    <w:color w:val="78685F"/>
                    <w:spacing w:val="-1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Unido, y</w:t>
                </w:r>
                <w:r>
                  <w:rPr>
                    <w:color w:val="78685F"/>
                    <w:spacing w:val="-1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forma</w:t>
                </w:r>
                <w:r>
                  <w:rPr>
                    <w:color w:val="78685F"/>
                    <w:spacing w:val="-1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parte</w:t>
                </w:r>
                <w:r>
                  <w:rPr>
                    <w:color w:val="78685F"/>
                    <w:spacing w:val="-1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de</w:t>
                </w:r>
                <w:r>
                  <w:rPr>
                    <w:color w:val="78685F"/>
                    <w:spacing w:val="-1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la red</w:t>
                </w:r>
                <w:r>
                  <w:rPr>
                    <w:color w:val="78685F"/>
                    <w:spacing w:val="-1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internacional BDO</w:t>
                </w:r>
                <w:r>
                  <w:rPr>
                    <w:color w:val="78685F"/>
                    <w:spacing w:val="-1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de</w:t>
                </w:r>
                <w:r>
                  <w:rPr>
                    <w:color w:val="78685F"/>
                    <w:spacing w:val="-1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empresas</w:t>
                </w:r>
                <w:r>
                  <w:rPr>
                    <w:color w:val="78685F"/>
                    <w:spacing w:val="-1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independientes asociadas.</w:t>
                </w:r>
              </w:p>
              <w:p>
                <w:pPr>
                  <w:spacing w:before="1"/>
                  <w:ind w:left="20" w:right="0" w:firstLine="0"/>
                  <w:jc w:val="left"/>
                  <w:rPr>
                    <w:sz w:val="12"/>
                  </w:rPr>
                </w:pPr>
                <w:r>
                  <w:rPr>
                    <w:color w:val="78685F"/>
                    <w:sz w:val="12"/>
                  </w:rPr>
                  <w:t>BDO</w:t>
                </w:r>
                <w:r>
                  <w:rPr>
                    <w:color w:val="78685F"/>
                    <w:spacing w:val="-3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es</w:t>
                </w:r>
                <w:r>
                  <w:rPr>
                    <w:color w:val="78685F"/>
                    <w:spacing w:val="-1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el</w:t>
                </w:r>
                <w:r>
                  <w:rPr>
                    <w:color w:val="78685F"/>
                    <w:spacing w:val="-2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nombre</w:t>
                </w:r>
                <w:r>
                  <w:rPr>
                    <w:color w:val="78685F"/>
                    <w:spacing w:val="-1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comercial</w:t>
                </w:r>
                <w:r>
                  <w:rPr>
                    <w:color w:val="78685F"/>
                    <w:spacing w:val="-1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de</w:t>
                </w:r>
                <w:r>
                  <w:rPr>
                    <w:color w:val="78685F"/>
                    <w:spacing w:val="-2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la</w:t>
                </w:r>
                <w:r>
                  <w:rPr>
                    <w:color w:val="78685F"/>
                    <w:spacing w:val="-1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red</w:t>
                </w:r>
                <w:r>
                  <w:rPr>
                    <w:color w:val="78685F"/>
                    <w:spacing w:val="-1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BDO</w:t>
                </w:r>
                <w:r>
                  <w:rPr>
                    <w:color w:val="78685F"/>
                    <w:spacing w:val="-2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y</w:t>
                </w:r>
                <w:r>
                  <w:rPr>
                    <w:color w:val="78685F"/>
                    <w:spacing w:val="-2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de</w:t>
                </w:r>
                <w:r>
                  <w:rPr>
                    <w:color w:val="78685F"/>
                    <w:spacing w:val="-2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cada</w:t>
                </w:r>
                <w:r>
                  <w:rPr>
                    <w:color w:val="78685F"/>
                    <w:spacing w:val="-2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una</w:t>
                </w:r>
                <w:r>
                  <w:rPr>
                    <w:color w:val="78685F"/>
                    <w:spacing w:val="-2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de</w:t>
                </w:r>
                <w:r>
                  <w:rPr>
                    <w:color w:val="78685F"/>
                    <w:spacing w:val="-1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las</w:t>
                </w:r>
                <w:r>
                  <w:rPr>
                    <w:color w:val="78685F"/>
                    <w:spacing w:val="-2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empresas</w:t>
                </w:r>
                <w:r>
                  <w:rPr>
                    <w:color w:val="78685F"/>
                    <w:spacing w:val="-2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asociadas</w:t>
                </w:r>
                <w:r>
                  <w:rPr>
                    <w:color w:val="78685F"/>
                    <w:spacing w:val="-2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a</w:t>
                </w:r>
                <w:r>
                  <w:rPr>
                    <w:color w:val="78685F"/>
                    <w:spacing w:val="-1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BDO.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drawing>
        <wp:anchor distT="0" distB="0" distL="0" distR="0" allowOverlap="1" layoutInCell="1" locked="0" behindDoc="1" simplePos="0" relativeHeight="487492096">
          <wp:simplePos x="0" y="0"/>
          <wp:positionH relativeFrom="page">
            <wp:posOffset>1080135</wp:posOffset>
          </wp:positionH>
          <wp:positionV relativeFrom="page">
            <wp:posOffset>449580</wp:posOffset>
          </wp:positionV>
          <wp:extent cx="981074" cy="371474"/>
          <wp:effectExtent l="0" t="0" r="0" b="0"/>
          <wp:wrapNone/>
          <wp:docPr id="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1074" cy="3714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lowerLetter"/>
      <w:lvlText w:val="%1)"/>
      <w:lvlJc w:val="left"/>
      <w:pPr>
        <w:ind w:left="465" w:hanging="284"/>
        <w:jc w:val="left"/>
      </w:pPr>
      <w:rPr>
        <w:rFonts w:hint="default" w:ascii="Trebuchet MS" w:hAnsi="Trebuchet MS" w:eastAsia="Trebuchet MS" w:cs="Trebuchet MS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328" w:hanging="28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96" w:hanging="28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64" w:hanging="28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32" w:hanging="28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00" w:hanging="28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668" w:hanging="28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536" w:hanging="28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404" w:hanging="284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66" w:hanging="285"/>
        <w:jc w:val="right"/>
      </w:pPr>
      <w:rPr>
        <w:rFonts w:hint="default" w:ascii="Trebuchet MS" w:hAnsi="Trebuchet MS" w:eastAsia="Trebuchet MS" w:cs="Trebuchet MS"/>
        <w:b/>
        <w:bCs/>
        <w:w w:val="100"/>
        <w:sz w:val="20"/>
        <w:szCs w:val="20"/>
        <w:lang w:val="es-ES" w:eastAsia="en-US" w:bidi="ar-SA"/>
      </w:rPr>
    </w:lvl>
    <w:lvl w:ilvl="1">
      <w:start w:val="1"/>
      <w:numFmt w:val="lowerLetter"/>
      <w:lvlText w:val="%2)"/>
      <w:lvlJc w:val="left"/>
      <w:pPr>
        <w:ind w:left="749" w:hanging="360"/>
        <w:jc w:val="left"/>
      </w:pPr>
      <w:rPr>
        <w:rFonts w:hint="default" w:ascii="Trebuchet MS" w:hAnsi="Trebuchet MS" w:eastAsia="Trebuchet MS" w:cs="Trebuchet MS"/>
        <w:w w:val="100"/>
        <w:sz w:val="20"/>
        <w:szCs w:val="20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673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606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4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73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406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34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273" w:hanging="360"/>
      </w:pPr>
      <w:rPr>
        <w:rFonts w:hint="default"/>
        <w:lang w:val="es-E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rebuchet MS" w:hAnsi="Trebuchet MS" w:eastAsia="Trebuchet MS" w:cs="Trebuchet MS"/>
      <w:sz w:val="20"/>
      <w:szCs w:val="20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466" w:hanging="362"/>
      <w:outlineLvl w:val="1"/>
    </w:pPr>
    <w:rPr>
      <w:rFonts w:ascii="Trebuchet MS" w:hAnsi="Trebuchet MS" w:eastAsia="Trebuchet MS" w:cs="Trebuchet MS"/>
      <w:b/>
      <w:bCs/>
      <w:sz w:val="20"/>
      <w:szCs w:val="20"/>
      <w:u w:val="single" w:color="000000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100"/>
      <w:ind w:left="1007" w:right="582" w:hanging="346"/>
    </w:pPr>
    <w:rPr>
      <w:rFonts w:ascii="Trebuchet MS" w:hAnsi="Trebuchet MS" w:eastAsia="Trebuchet MS" w:cs="Trebuchet MS"/>
      <w:b/>
      <w:bCs/>
      <w:sz w:val="24"/>
      <w:szCs w:val="24"/>
      <w:u w:val="single" w:color="000000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466" w:hanging="285"/>
    </w:pPr>
    <w:rPr>
      <w:rFonts w:ascii="Trebuchet MS" w:hAnsi="Trebuchet MS" w:eastAsia="Trebuchet MS" w:cs="Trebuchet MS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line="212" w:lineRule="exact"/>
    </w:pPr>
    <w:rPr>
      <w:rFonts w:ascii="Trebuchet MS" w:hAnsi="Trebuchet MS" w:eastAsia="Trebuchet MS" w:cs="Trebuchet MS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hyperlink" Target="http://www.bdoargentina.com/" TargetMode="External"/><Relationship Id="rId8" Type="http://schemas.openxmlformats.org/officeDocument/2006/relationships/header" Target="header1.xml"/><Relationship Id="rId9" Type="http://schemas.openxmlformats.org/officeDocument/2006/relationships/footer" Target="footer2.xml"/><Relationship Id="rId10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2022-04-11T18:59:12Z</dcterms:created>
  <dcterms:modified xsi:type="dcterms:W3CDTF">2022-04-11T18:59:12Z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2022-04-11T00:00:00Z</vt:filetime>
  </property>
</Properties>
</file>