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81C9" w14:textId="77777777"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r w:rsidRPr="00E44D66">
        <w:t>CELULOSA ARGENTINA S.A.</w:t>
      </w:r>
    </w:p>
    <w:p w14:paraId="3680BE7B" w14:textId="77777777" w:rsidR="00680431" w:rsidRPr="00E44D66" w:rsidRDefault="00680431" w:rsidP="00E44D66">
      <w:pPr>
        <w:pStyle w:val="10-AnexoSub"/>
        <w:jc w:val="center"/>
      </w:pPr>
    </w:p>
    <w:p w14:paraId="041852F3" w14:textId="77777777" w:rsidR="00891C82" w:rsidRPr="00E44D66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14:paraId="3432D4B9" w14:textId="77777777" w:rsidR="00891C82" w:rsidRDefault="00891C82" w:rsidP="00891C82">
      <w:pPr>
        <w:pStyle w:val="10-AnexoSub"/>
      </w:pPr>
    </w:p>
    <w:tbl>
      <w:tblPr>
        <w:tblW w:w="9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14:paraId="35C6D2DD" w14:textId="77777777" w:rsidTr="00BC4F75">
        <w:tc>
          <w:tcPr>
            <w:tcW w:w="496" w:type="dxa"/>
          </w:tcPr>
          <w:p w14:paraId="1D1789A3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2B07F02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14:paraId="6A95F6DD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62C7A8B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14:paraId="4365DC72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5A14304B" w14:textId="77777777" w:rsidTr="00BC4F75">
        <w:tc>
          <w:tcPr>
            <w:tcW w:w="496" w:type="dxa"/>
          </w:tcPr>
          <w:p w14:paraId="27942CC5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7A865C27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14:paraId="0F8A352A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4263C70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14:paraId="09E966AA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D888EF5" w14:textId="77777777" w:rsidTr="00BC4F75">
        <w:tc>
          <w:tcPr>
            <w:tcW w:w="496" w:type="dxa"/>
          </w:tcPr>
          <w:p w14:paraId="538D9159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790DF6F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14:paraId="27C7862C" w14:textId="77777777"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14:paraId="2C72FAF6" w14:textId="1BA100A7"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A641E4">
              <w:rPr>
                <w:bCs/>
                <w:sz w:val="20"/>
              </w:rPr>
              <w:t xml:space="preserve">Programa ha sido autorizada por la Resolución </w:t>
            </w:r>
            <w:proofErr w:type="spellStart"/>
            <w:r w:rsidRPr="00A641E4">
              <w:rPr>
                <w:bCs/>
                <w:sz w:val="20"/>
              </w:rPr>
              <w:t>Nº</w:t>
            </w:r>
            <w:proofErr w:type="spellEnd"/>
            <w:r w:rsidRPr="00A641E4">
              <w:rPr>
                <w:bCs/>
                <w:sz w:val="20"/>
              </w:rPr>
              <w:t xml:space="preserve"> 16.593 del Directorio de la CNV de fecha 28 de junio de 2011</w:t>
            </w:r>
            <w:r w:rsidR="00A641E4" w:rsidRPr="00A641E4">
              <w:rPr>
                <w:bCs/>
                <w:sz w:val="20"/>
              </w:rPr>
              <w:t xml:space="preserve">, </w:t>
            </w:r>
            <w:r w:rsidR="00DC7642" w:rsidRPr="00A641E4">
              <w:rPr>
                <w:bCs/>
                <w:sz w:val="20"/>
              </w:rPr>
              <w:t xml:space="preserve">su </w:t>
            </w:r>
            <w:r w:rsidR="00A641E4" w:rsidRPr="00A641E4">
              <w:rPr>
                <w:bCs/>
                <w:sz w:val="20"/>
              </w:rPr>
              <w:t xml:space="preserve">primera </w:t>
            </w:r>
            <w:r w:rsidR="00DC7642" w:rsidRPr="00A641E4">
              <w:rPr>
                <w:bCs/>
                <w:sz w:val="20"/>
              </w:rPr>
              <w:t>prórroga</w:t>
            </w:r>
            <w:r w:rsidR="00A641E4" w:rsidRPr="00A641E4">
              <w:rPr>
                <w:bCs/>
                <w:sz w:val="20"/>
              </w:rPr>
              <w:t xml:space="preserve"> fue</w:t>
            </w:r>
            <w:r w:rsidR="00DC7642" w:rsidRPr="00A641E4">
              <w:rPr>
                <w:bCs/>
                <w:sz w:val="20"/>
              </w:rPr>
              <w:t xml:space="preserve"> autorizada por Resolución </w:t>
            </w:r>
            <w:proofErr w:type="spellStart"/>
            <w:r w:rsidR="00DC7642" w:rsidRPr="00A641E4">
              <w:rPr>
                <w:bCs/>
                <w:sz w:val="20"/>
              </w:rPr>
              <w:t>N°</w:t>
            </w:r>
            <w:proofErr w:type="spellEnd"/>
            <w:r w:rsidR="00A641E4" w:rsidRPr="00A641E4">
              <w:rPr>
                <w:bCs/>
                <w:sz w:val="20"/>
              </w:rPr>
              <w:t xml:space="preserve"> </w:t>
            </w:r>
            <w:r w:rsidR="00DC7642" w:rsidRPr="00A641E4">
              <w:rPr>
                <w:bCs/>
                <w:sz w:val="20"/>
              </w:rPr>
              <w:t>18.025 de fecha 21 de abril de 2016 del Directorio de la CNV</w:t>
            </w:r>
            <w:r w:rsidR="00A641E4" w:rsidRPr="00A641E4">
              <w:rPr>
                <w:bCs/>
                <w:sz w:val="20"/>
              </w:rPr>
              <w:t xml:space="preserve">, y su segunda prórroga y reducción del monto de capital del Programa fue autorizada por la Disposición </w:t>
            </w:r>
            <w:proofErr w:type="spellStart"/>
            <w:r w:rsidR="00A641E4" w:rsidRPr="00A641E4">
              <w:rPr>
                <w:bCs/>
                <w:sz w:val="20"/>
              </w:rPr>
              <w:t>Nº</w:t>
            </w:r>
            <w:proofErr w:type="spellEnd"/>
            <w:r w:rsidR="00A641E4" w:rsidRPr="00A641E4">
              <w:rPr>
                <w:bCs/>
                <w:sz w:val="20"/>
              </w:rPr>
              <w:t xml:space="preserve"> 8 de fecha 25 de marzo de 2021 de la Gerencia de Emisoras de CNV.</w:t>
            </w:r>
          </w:p>
          <w:p w14:paraId="28D0CE56" w14:textId="755FFE09" w:rsidR="00854FB2" w:rsidRPr="004A2737" w:rsidRDefault="00854FB2" w:rsidP="00430AC7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891C82" w:rsidRPr="001466DA" w14:paraId="0B0FD545" w14:textId="77777777" w:rsidTr="00BC4F75">
        <w:tc>
          <w:tcPr>
            <w:tcW w:w="496" w:type="dxa"/>
          </w:tcPr>
          <w:p w14:paraId="2AE1456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1F30C974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14:paraId="2DAD27BB" w14:textId="77777777" w:rsidR="00A07A73" w:rsidRDefault="00A07A73" w:rsidP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D9FA70" w14:textId="02F2AA75" w:rsidR="00A07A73" w:rsidRDefault="00A07A73" w:rsidP="00430A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</w:t>
            </w:r>
            <w:r w:rsidR="00A641E4">
              <w:rPr>
                <w:rFonts w:ascii="Arial" w:hAnsi="Arial" w:cs="Arial"/>
                <w:sz w:val="20"/>
              </w:rPr>
              <w:t xml:space="preserve">en cualquier momento </w:t>
            </w:r>
            <w:r>
              <w:rPr>
                <w:rFonts w:ascii="Arial" w:hAnsi="Arial" w:cs="Arial"/>
                <w:sz w:val="20"/>
              </w:rPr>
              <w:t xml:space="preserve">de hasta </w:t>
            </w:r>
            <w:r w:rsidRPr="005C3448">
              <w:rPr>
                <w:rFonts w:ascii="Arial" w:hAnsi="Arial" w:cs="Arial"/>
                <w:sz w:val="20"/>
              </w:rPr>
              <w:t xml:space="preserve">U$S </w:t>
            </w:r>
            <w:r w:rsidR="00A641E4">
              <w:rPr>
                <w:rFonts w:ascii="Arial" w:hAnsi="Arial" w:cs="Arial"/>
                <w:sz w:val="20"/>
              </w:rPr>
              <w:t>15</w:t>
            </w:r>
            <w:r w:rsidRPr="005C3448">
              <w:rPr>
                <w:rFonts w:ascii="Arial" w:hAnsi="Arial" w:cs="Arial"/>
                <w:sz w:val="20"/>
              </w:rPr>
              <w:t>0.000.000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  <w:r w:rsidR="009A7D5B">
              <w:rPr>
                <w:rFonts w:ascii="Arial" w:hAnsi="Arial" w:cs="Arial"/>
                <w:sz w:val="20"/>
              </w:rPr>
              <w:t>.</w:t>
            </w:r>
          </w:p>
          <w:p w14:paraId="53697BCB" w14:textId="77777777" w:rsidR="00A07A73" w:rsidRPr="009A7D5B" w:rsidRDefault="00A07A73" w:rsidP="00430AC7">
            <w:pPr>
              <w:rPr>
                <w:rFonts w:ascii="Arial" w:hAnsi="Arial" w:cs="Arial"/>
                <w:sz w:val="20"/>
              </w:rPr>
            </w:pPr>
          </w:p>
          <w:p w14:paraId="4896CACF" w14:textId="3F9A62F4" w:rsidR="006D72EF" w:rsidRDefault="009A7D5B" w:rsidP="009A7D5B">
            <w:pPr>
              <w:rPr>
                <w:rFonts w:ascii="Arial" w:hAnsi="Arial" w:cs="Arial"/>
                <w:b/>
                <w:iCs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A7D5B">
              <w:rPr>
                <w:rFonts w:ascii="Arial" w:hAnsi="Arial" w:cs="Arial"/>
                <w:sz w:val="20"/>
              </w:rPr>
              <w:t>lase 1</w:t>
            </w:r>
            <w:r w:rsidR="00A641E4">
              <w:rPr>
                <w:rFonts w:ascii="Arial" w:hAnsi="Arial" w:cs="Arial"/>
                <w:sz w:val="20"/>
              </w:rPr>
              <w:t>6</w:t>
            </w:r>
            <w:r w:rsidRPr="009A7D5B">
              <w:rPr>
                <w:rFonts w:ascii="Arial" w:hAnsi="Arial" w:cs="Arial"/>
                <w:sz w:val="20"/>
              </w:rPr>
              <w:t xml:space="preserve">: </w:t>
            </w:r>
            <w:r w:rsidR="008F62BF">
              <w:rPr>
                <w:rFonts w:ascii="Arial" w:hAnsi="Arial" w:cs="Arial"/>
                <w:sz w:val="20"/>
              </w:rPr>
              <w:t>P</w:t>
            </w:r>
            <w:r w:rsidR="008F62BF" w:rsidRPr="008F62BF">
              <w:rPr>
                <w:rFonts w:ascii="Arial" w:hAnsi="Arial" w:cs="Arial"/>
                <w:sz w:val="20"/>
              </w:rPr>
              <w:t xml:space="preserve">or </w:t>
            </w:r>
            <w:r w:rsidR="008F62BF" w:rsidRPr="008F62BF">
              <w:rPr>
                <w:rFonts w:ascii="Arial" w:hAnsi="Arial" w:cs="Arial"/>
                <w:iCs/>
                <w:sz w:val="20"/>
                <w:lang w:val="es-AR"/>
              </w:rPr>
              <w:t xml:space="preserve">hasta 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U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$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S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 xml:space="preserve"> </w:t>
            </w:r>
            <w:r w:rsidR="00A641E4">
              <w:rPr>
                <w:rFonts w:ascii="Arial" w:hAnsi="Arial" w:cs="Arial"/>
                <w:iCs/>
                <w:sz w:val="20"/>
                <w:lang w:val="es-AR"/>
              </w:rPr>
              <w:t>4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 xml:space="preserve">.000.000 ampliable hasta 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U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$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 xml:space="preserve">S </w:t>
            </w:r>
            <w:r w:rsidR="00A641E4">
              <w:rPr>
                <w:rFonts w:ascii="Arial" w:hAnsi="Arial" w:cs="Arial"/>
                <w:iCs/>
                <w:sz w:val="20"/>
                <w:lang w:val="es-AR"/>
              </w:rPr>
              <w:t>10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.000.000 convertidos al tipo de cambio de integración</w:t>
            </w:r>
            <w:r w:rsidR="008F62BF">
              <w:rPr>
                <w:rFonts w:ascii="Arial" w:hAnsi="Arial" w:cs="Arial"/>
                <w:b/>
                <w:iCs/>
                <w:sz w:val="20"/>
                <w:lang w:val="es-AR"/>
              </w:rPr>
              <w:t>.</w:t>
            </w:r>
          </w:p>
          <w:p w14:paraId="10BF042C" w14:textId="5ECF0F9C" w:rsidR="008F62BF" w:rsidRPr="00430AC7" w:rsidRDefault="008F62BF" w:rsidP="00430AC7">
            <w:pPr>
              <w:rPr>
                <w:rFonts w:ascii="Arial" w:hAnsi="Arial" w:cs="Arial"/>
                <w:bCs/>
                <w:iCs/>
                <w:sz w:val="20"/>
                <w:lang w:val="es-AR"/>
              </w:rPr>
            </w:pPr>
          </w:p>
        </w:tc>
      </w:tr>
      <w:tr w:rsidR="00891C82" w:rsidRPr="001466DA" w14:paraId="3EB59549" w14:textId="77777777" w:rsidTr="00BC4F75">
        <w:tc>
          <w:tcPr>
            <w:tcW w:w="496" w:type="dxa"/>
          </w:tcPr>
          <w:p w14:paraId="79755DE7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6A05CB5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14:paraId="711153E8" w14:textId="77777777"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0CCE869" w14:textId="5E2AA1B8" w:rsidR="00C3085F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proofErr w:type="gramStart"/>
            <w:r w:rsidR="008254A6" w:rsidRPr="00330F3A">
              <w:rPr>
                <w:rFonts w:cs="Arial"/>
                <w:sz w:val="20"/>
              </w:rPr>
              <w:t>Dólares Estadounidenses</w:t>
            </w:r>
            <w:proofErr w:type="gramEnd"/>
            <w:r w:rsidRPr="00330F3A">
              <w:rPr>
                <w:rFonts w:cs="Arial"/>
                <w:sz w:val="20"/>
              </w:rPr>
              <w:t xml:space="preserve"> (o su equivalente en otras monedas)</w:t>
            </w:r>
            <w:r w:rsidR="00360180">
              <w:rPr>
                <w:rFonts w:cs="Arial"/>
                <w:sz w:val="20"/>
              </w:rPr>
              <w:t>.</w:t>
            </w:r>
          </w:p>
          <w:p w14:paraId="0FFCEB2D" w14:textId="77777777" w:rsidR="00A07A73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74D6C774" w14:textId="5AB5F079" w:rsidR="00A07A73" w:rsidRDefault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9A7D5B">
              <w:rPr>
                <w:rFonts w:cs="Arial"/>
                <w:sz w:val="20"/>
              </w:rPr>
              <w:t>1</w:t>
            </w:r>
            <w:r w:rsidR="00A641E4">
              <w:rPr>
                <w:rFonts w:cs="Arial"/>
                <w:sz w:val="20"/>
              </w:rPr>
              <w:t>6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proofErr w:type="gramStart"/>
            <w:r w:rsidR="006D72EF">
              <w:rPr>
                <w:rFonts w:cs="Arial"/>
                <w:sz w:val="20"/>
              </w:rPr>
              <w:t>D</w:t>
            </w:r>
            <w:r w:rsidR="00460096">
              <w:rPr>
                <w:rFonts w:cs="Arial"/>
                <w:sz w:val="20"/>
              </w:rPr>
              <w:t>ólares</w:t>
            </w:r>
            <w:r w:rsidR="00330F3A" w:rsidRPr="00330F3A">
              <w:rPr>
                <w:rFonts w:cs="Arial"/>
                <w:sz w:val="20"/>
              </w:rPr>
              <w:t xml:space="preserve"> </w:t>
            </w:r>
            <w:r w:rsidR="006D72EF">
              <w:rPr>
                <w:rFonts w:cs="Arial"/>
                <w:sz w:val="20"/>
              </w:rPr>
              <w:t>E</w:t>
            </w:r>
            <w:r w:rsidR="0081753D">
              <w:rPr>
                <w:rFonts w:cs="Arial"/>
                <w:sz w:val="20"/>
              </w:rPr>
              <w:t>stadounidenses</w:t>
            </w:r>
            <w:proofErr w:type="gramEnd"/>
            <w:r w:rsidR="00360180">
              <w:rPr>
                <w:rFonts w:cs="Arial"/>
                <w:sz w:val="20"/>
              </w:rPr>
              <w:t>.</w:t>
            </w:r>
          </w:p>
          <w:p w14:paraId="6EAEB07D" w14:textId="77777777"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493A2EB4" w14:textId="77777777" w:rsidTr="00BC4F75">
        <w:tc>
          <w:tcPr>
            <w:tcW w:w="496" w:type="dxa"/>
          </w:tcPr>
          <w:p w14:paraId="572CDE52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F59D09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14:paraId="63A44B22" w14:textId="77777777"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33131" w14:textId="248AF526" w:rsidR="005C3448" w:rsidRDefault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global de emisión de Obligaciones Negociables</w:t>
            </w:r>
          </w:p>
          <w:p w14:paraId="16E2F67A" w14:textId="77777777" w:rsidR="00A07A73" w:rsidRPr="00A07A73" w:rsidRDefault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165959" w14:textId="2B56E36F" w:rsidR="00A07A73" w:rsidRDefault="002A530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Obligaciones Negociables </w:t>
            </w:r>
            <w:r w:rsidR="00FB20A9">
              <w:rPr>
                <w:rFonts w:ascii="Arial" w:hAnsi="Arial" w:cs="Arial"/>
                <w:sz w:val="20"/>
              </w:rPr>
              <w:t xml:space="preserve">Clase </w:t>
            </w:r>
            <w:r w:rsidR="009A7D5B">
              <w:rPr>
                <w:rFonts w:ascii="Arial" w:hAnsi="Arial" w:cs="Arial"/>
                <w:sz w:val="20"/>
              </w:rPr>
              <w:t>1</w:t>
            </w:r>
            <w:r w:rsidR="00A641E4">
              <w:rPr>
                <w:rFonts w:ascii="Arial" w:hAnsi="Arial" w:cs="Arial"/>
                <w:sz w:val="20"/>
              </w:rPr>
              <w:t>6</w:t>
            </w:r>
          </w:p>
          <w:p w14:paraId="206E798F" w14:textId="77777777"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14:paraId="67770C3D" w14:textId="77777777" w:rsidTr="00BC4F75">
        <w:tc>
          <w:tcPr>
            <w:tcW w:w="496" w:type="dxa"/>
          </w:tcPr>
          <w:p w14:paraId="581E7B5E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246FA60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14:paraId="6A41556C" w14:textId="7D832DF1"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1777A67" w14:textId="77777777" w:rsidTr="00BC4F75">
        <w:tc>
          <w:tcPr>
            <w:tcW w:w="496" w:type="dxa"/>
          </w:tcPr>
          <w:p w14:paraId="5D1D719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D9BFAE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14:paraId="25ED4400" w14:textId="4DD84379" w:rsidR="00CF1DC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>Clase 1</w:t>
            </w:r>
            <w:r w:rsidR="00A641E4" w:rsidRPr="00435090">
              <w:rPr>
                <w:rFonts w:cs="Arial"/>
                <w:sz w:val="20"/>
              </w:rPr>
              <w:t>6</w:t>
            </w:r>
            <w:r w:rsidRPr="00435090">
              <w:rPr>
                <w:rFonts w:cs="Arial"/>
                <w:sz w:val="20"/>
              </w:rPr>
              <w:t xml:space="preserve">: </w:t>
            </w:r>
            <w:r w:rsidR="00A641E4" w:rsidRPr="00435090">
              <w:rPr>
                <w:rFonts w:cs="Arial"/>
                <w:sz w:val="20"/>
              </w:rPr>
              <w:t>6 de agosto de 2021</w:t>
            </w:r>
          </w:p>
          <w:p w14:paraId="5C69CA01" w14:textId="77777777" w:rsidR="000F5FB3" w:rsidRPr="00C3085F" w:rsidRDefault="000F5FB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8BE2369" w14:textId="77777777" w:rsidTr="00370A6E">
        <w:trPr>
          <w:trHeight w:val="394"/>
        </w:trPr>
        <w:tc>
          <w:tcPr>
            <w:tcW w:w="496" w:type="dxa"/>
          </w:tcPr>
          <w:p w14:paraId="3F9FACC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6BB4A662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14:paraId="0C5FF81D" w14:textId="77777777"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28E62F32" w14:textId="77777777" w:rsidTr="00BC4F75">
        <w:tc>
          <w:tcPr>
            <w:tcW w:w="496" w:type="dxa"/>
          </w:tcPr>
          <w:p w14:paraId="116159CD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EBEBB1A" w14:textId="58CC46DF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colocado total:</w:t>
            </w:r>
          </w:p>
        </w:tc>
        <w:tc>
          <w:tcPr>
            <w:tcW w:w="3968" w:type="dxa"/>
            <w:gridSpan w:val="2"/>
          </w:tcPr>
          <w:p w14:paraId="21F17134" w14:textId="46D1B7F5" w:rsidR="00891C82" w:rsidRDefault="00460096" w:rsidP="00430AC7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US</w:t>
            </w:r>
            <w:r w:rsidR="007A26C4" w:rsidRPr="007A26C4">
              <w:rPr>
                <w:sz w:val="20"/>
              </w:rPr>
              <w:t>$</w:t>
            </w:r>
            <w:r>
              <w:rPr>
                <w:sz w:val="20"/>
              </w:rPr>
              <w:t xml:space="preserve"> </w:t>
            </w:r>
            <w:r w:rsidR="00A641E4">
              <w:rPr>
                <w:sz w:val="20"/>
              </w:rPr>
              <w:t>6.000.000</w:t>
            </w:r>
          </w:p>
          <w:p w14:paraId="561CC609" w14:textId="6C25F712" w:rsidR="004A4A66" w:rsidRPr="00C3085F" w:rsidRDefault="004A4A66" w:rsidP="00430AC7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4B25C3EE" w14:textId="77777777" w:rsidTr="00FB20A9">
        <w:trPr>
          <w:trHeight w:val="366"/>
        </w:trPr>
        <w:tc>
          <w:tcPr>
            <w:tcW w:w="496" w:type="dxa"/>
          </w:tcPr>
          <w:p w14:paraId="21AD688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48FFB4E" w14:textId="2FC7BA58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en circulación:</w:t>
            </w:r>
          </w:p>
        </w:tc>
        <w:tc>
          <w:tcPr>
            <w:tcW w:w="3968" w:type="dxa"/>
            <w:gridSpan w:val="2"/>
          </w:tcPr>
          <w:p w14:paraId="72A8A744" w14:textId="6DBBBD62" w:rsidR="00891C82" w:rsidRPr="00C3085F" w:rsidRDefault="00460096" w:rsidP="00430AC7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435090">
              <w:rPr>
                <w:sz w:val="20"/>
              </w:rPr>
              <w:t>US$</w:t>
            </w:r>
            <w:r w:rsidR="00D5032B" w:rsidRPr="00435090">
              <w:rPr>
                <w:sz w:val="20"/>
              </w:rPr>
              <w:t xml:space="preserve"> </w:t>
            </w:r>
            <w:r w:rsidR="00A641E4" w:rsidRPr="00435090">
              <w:rPr>
                <w:sz w:val="20"/>
              </w:rPr>
              <w:t>6.000.000</w:t>
            </w:r>
          </w:p>
        </w:tc>
      </w:tr>
      <w:tr w:rsidR="00891C82" w:rsidRPr="001466DA" w14:paraId="20F66039" w14:textId="77777777" w:rsidTr="00BC4F75">
        <w:tc>
          <w:tcPr>
            <w:tcW w:w="496" w:type="dxa"/>
          </w:tcPr>
          <w:p w14:paraId="02DA4E6B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BFF00E4" w14:textId="34FE2235"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</w:t>
            </w:r>
            <w:r w:rsidR="00430AC7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neto ingresado a la emisora:</w:t>
            </w:r>
          </w:p>
        </w:tc>
        <w:tc>
          <w:tcPr>
            <w:tcW w:w="3968" w:type="dxa"/>
            <w:gridSpan w:val="2"/>
          </w:tcPr>
          <w:p w14:paraId="50D1F023" w14:textId="24B7A065" w:rsidR="00891C82" w:rsidRPr="007C7702" w:rsidRDefault="00C520BA" w:rsidP="00177FE4">
            <w:pPr>
              <w:pStyle w:val="Textodebloq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C7702">
              <w:rPr>
                <w:sz w:val="20"/>
              </w:rPr>
              <w:t xml:space="preserve">US$ </w:t>
            </w:r>
            <w:r w:rsidR="00177FE4" w:rsidRPr="007C7702">
              <w:rPr>
                <w:sz w:val="20"/>
              </w:rPr>
              <w:t>5.894.853</w:t>
            </w:r>
          </w:p>
        </w:tc>
      </w:tr>
      <w:tr w:rsidR="00891C82" w:rsidRPr="001466DA" w14:paraId="25CFCC3C" w14:textId="77777777" w:rsidTr="00BC4F75">
        <w:tc>
          <w:tcPr>
            <w:tcW w:w="496" w:type="dxa"/>
          </w:tcPr>
          <w:p w14:paraId="26D63C6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03D72EA2" w14:textId="77777777"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14:paraId="7124A4B6" w14:textId="3E84DD81" w:rsidR="00B518E7" w:rsidRPr="007A26C4" w:rsidRDefault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8F62BF">
              <w:rPr>
                <w:rFonts w:cs="Arial"/>
                <w:sz w:val="20"/>
              </w:rPr>
              <w:t>100%</w:t>
            </w:r>
          </w:p>
        </w:tc>
      </w:tr>
      <w:tr w:rsidR="00891C82" w:rsidRPr="001466DA" w14:paraId="684AB08C" w14:textId="77777777" w:rsidTr="00BC4F75">
        <w:tc>
          <w:tcPr>
            <w:tcW w:w="496" w:type="dxa"/>
          </w:tcPr>
          <w:p w14:paraId="2FDAE5D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14:paraId="7BB09DAE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</w:t>
            </w:r>
            <w:r w:rsidRPr="002421B4">
              <w:rPr>
                <w:rFonts w:cs="Arial"/>
                <w:sz w:val="22"/>
                <w:szCs w:val="22"/>
              </w:rPr>
              <w:lastRenderedPageBreak/>
              <w:t>tasa de referencia):</w:t>
            </w:r>
          </w:p>
        </w:tc>
        <w:tc>
          <w:tcPr>
            <w:tcW w:w="3968" w:type="dxa"/>
            <w:gridSpan w:val="2"/>
          </w:tcPr>
          <w:p w14:paraId="419E12F9" w14:textId="77777777"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7F2044B" w14:textId="77777777" w:rsidTr="00BC4F75">
        <w:tc>
          <w:tcPr>
            <w:tcW w:w="496" w:type="dxa"/>
          </w:tcPr>
          <w:p w14:paraId="1463DFC0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8B8A03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14:paraId="423A76F2" w14:textId="21FA22E0" w:rsidR="00B518E7" w:rsidRPr="007A26C4" w:rsidRDefault="00A641E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9,50</w:t>
            </w:r>
            <w:r w:rsidR="00460096" w:rsidRPr="00882255">
              <w:rPr>
                <w:sz w:val="20"/>
              </w:rPr>
              <w:t>% nominal anual</w:t>
            </w:r>
          </w:p>
        </w:tc>
      </w:tr>
      <w:tr w:rsidR="00BC4F75" w:rsidRPr="001466DA" w14:paraId="4741F7E8" w14:textId="77777777" w:rsidTr="00BC4F75">
        <w:tc>
          <w:tcPr>
            <w:tcW w:w="496" w:type="dxa"/>
          </w:tcPr>
          <w:p w14:paraId="7A9B9E0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F0ADBF2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14:paraId="1EA4A590" w14:textId="77777777" w:rsidR="00BC4F75" w:rsidRDefault="00460096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D704634" w14:textId="77777777" w:rsidR="002421B4" w:rsidRPr="007A26C4" w:rsidRDefault="002421B4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BC4F75" w:rsidRPr="001466DA" w14:paraId="5266CF6F" w14:textId="77777777" w:rsidTr="002A1E34">
        <w:trPr>
          <w:trHeight w:val="216"/>
        </w:trPr>
        <w:tc>
          <w:tcPr>
            <w:tcW w:w="496" w:type="dxa"/>
          </w:tcPr>
          <w:p w14:paraId="48D04FE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963BD6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14:paraId="708288A9" w14:textId="77777777" w:rsidR="002421B4" w:rsidRDefault="00460096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  <w:p w14:paraId="5AC1A86A" w14:textId="77777777" w:rsidR="002421B4" w:rsidRPr="007A26C4" w:rsidRDefault="002421B4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14:paraId="15FD327A" w14:textId="77777777" w:rsidTr="00BC4F75">
        <w:tc>
          <w:tcPr>
            <w:tcW w:w="496" w:type="dxa"/>
          </w:tcPr>
          <w:p w14:paraId="4D30C8D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6396A392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14:paraId="250DF75A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3D6ECF9" w14:textId="77AE2737"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435090">
              <w:rPr>
                <w:sz w:val="20"/>
                <w:lang w:val="es-ES"/>
              </w:rPr>
              <w:t>Programa</w:t>
            </w:r>
            <w:r w:rsidR="00435090" w:rsidRPr="00435090">
              <w:rPr>
                <w:sz w:val="20"/>
                <w:lang w:val="es-ES"/>
              </w:rPr>
              <w:t>:</w:t>
            </w:r>
            <w:r w:rsidRPr="00435090">
              <w:rPr>
                <w:sz w:val="20"/>
                <w:lang w:val="es-ES"/>
              </w:rPr>
              <w:t xml:space="preserve"> </w:t>
            </w:r>
            <w:r w:rsidR="00435090" w:rsidRPr="00435090">
              <w:rPr>
                <w:sz w:val="20"/>
                <w:lang w:val="es-ES"/>
              </w:rPr>
              <w:t xml:space="preserve">5 años contados desde la fecha de vencimiento del Programa dispuesta por la prórroga autorizada por la Resolución </w:t>
            </w:r>
            <w:proofErr w:type="spellStart"/>
            <w:r w:rsidR="00435090" w:rsidRPr="00435090">
              <w:rPr>
                <w:sz w:val="20"/>
                <w:lang w:val="es-ES"/>
              </w:rPr>
              <w:t>Nº</w:t>
            </w:r>
            <w:proofErr w:type="spellEnd"/>
            <w:r w:rsidR="00435090" w:rsidRPr="00435090">
              <w:rPr>
                <w:sz w:val="20"/>
                <w:lang w:val="es-ES"/>
              </w:rPr>
              <w:t xml:space="preserve"> 18.025 de la CNV de fecha 21 de abril de 201</w:t>
            </w:r>
            <w:r w:rsidR="00435090">
              <w:rPr>
                <w:sz w:val="20"/>
                <w:lang w:val="es-ES"/>
              </w:rPr>
              <w:t>6, es decir el 21 de abril de 2026.</w:t>
            </w:r>
          </w:p>
          <w:p w14:paraId="074DC58E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4DA09BCC" w14:textId="413171ED" w:rsidR="000F5FB3" w:rsidRDefault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460096">
              <w:rPr>
                <w:sz w:val="20"/>
                <w:lang w:val="es-ES"/>
              </w:rPr>
              <w:t>1</w:t>
            </w:r>
            <w:r w:rsidR="00A641E4">
              <w:rPr>
                <w:sz w:val="20"/>
                <w:lang w:val="es-ES"/>
              </w:rPr>
              <w:t>6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A641E4">
              <w:rPr>
                <w:sz w:val="20"/>
                <w:lang w:val="es-ES"/>
              </w:rPr>
              <w:t>6 de agosto de 2023</w:t>
            </w:r>
            <w:r w:rsidR="00B518E7">
              <w:rPr>
                <w:sz w:val="20"/>
                <w:lang w:val="es-ES"/>
              </w:rPr>
              <w:t>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2585B854" w14:textId="77777777"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14:paraId="787AE02D" w14:textId="77777777" w:rsidTr="00BC4F75">
        <w:tc>
          <w:tcPr>
            <w:tcW w:w="496" w:type="dxa"/>
          </w:tcPr>
          <w:p w14:paraId="2D86427F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12B1C341" w14:textId="77777777"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14:paraId="489C422B" w14:textId="4EEE5AAD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Primer pago por intereses </w:t>
            </w:r>
            <w:r w:rsidR="00A641E4">
              <w:rPr>
                <w:sz w:val="20"/>
                <w:lang w:val="es-ES"/>
              </w:rPr>
              <w:t>6 de noviembre de 2021</w:t>
            </w:r>
          </w:p>
          <w:p w14:paraId="2DA3563F" w14:textId="77777777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6E307491" w14:textId="50BF216E" w:rsidR="00BC4F75" w:rsidRPr="0088225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Pago </w:t>
            </w:r>
            <w:r w:rsidR="00B518E7" w:rsidRPr="00882255">
              <w:rPr>
                <w:sz w:val="20"/>
                <w:lang w:val="es-ES"/>
              </w:rPr>
              <w:t>trimestral</w:t>
            </w:r>
          </w:p>
          <w:p w14:paraId="53F4DC08" w14:textId="77777777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5A11D08F" w14:textId="222F5A58" w:rsidR="002421B4" w:rsidRPr="00680431" w:rsidRDefault="000F5FB3" w:rsidP="00A641E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Siguientes pagos por intereses: </w:t>
            </w:r>
            <w:r w:rsidR="00A641E4" w:rsidRPr="00A641E4">
              <w:rPr>
                <w:sz w:val="20"/>
                <w:lang w:val="es-ES"/>
              </w:rPr>
              <w:t>6 de febrero de 2022, 6 de mayo de 2022, 6 de agosto de 2022, 6 de noviembre de 2022, 6 de febrero de 2023, 6 de mayo de 2023 y 6 de agosto de 2023</w:t>
            </w:r>
          </w:p>
        </w:tc>
      </w:tr>
      <w:tr w:rsidR="00BC4F75" w:rsidRPr="001466DA" w14:paraId="0E026140" w14:textId="77777777" w:rsidTr="00BC4F75">
        <w:tc>
          <w:tcPr>
            <w:tcW w:w="496" w:type="dxa"/>
          </w:tcPr>
          <w:p w14:paraId="1CF72393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501C706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14:paraId="2C97FCDB" w14:textId="77777777" w:rsidR="00A35260" w:rsidRPr="00882255" w:rsidRDefault="00A35260" w:rsidP="00430AC7">
            <w:pPr>
              <w:rPr>
                <w:rFonts w:ascii="Arial" w:hAnsi="Arial" w:cs="Arial"/>
                <w:sz w:val="20"/>
                <w:lang w:val="es-AR"/>
              </w:rPr>
            </w:pPr>
          </w:p>
          <w:p w14:paraId="7A9BCDB8" w14:textId="2659E71C" w:rsidR="000F5FB3" w:rsidRPr="00882255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 w:rsidRPr="00882255">
              <w:rPr>
                <w:rFonts w:ascii="Arial" w:hAnsi="Arial" w:cs="Arial"/>
                <w:sz w:val="20"/>
                <w:lang w:val="es-AR"/>
              </w:rPr>
              <w:t>Pr</w:t>
            </w:r>
            <w:r w:rsidR="00FB20A9" w:rsidRPr="00882255">
              <w:rPr>
                <w:rFonts w:ascii="Arial" w:hAnsi="Arial" w:cs="Arial"/>
                <w:sz w:val="20"/>
                <w:lang w:val="es-AR"/>
              </w:rPr>
              <w:t>imera amortización</w:t>
            </w:r>
            <w:r w:rsidR="00A35260" w:rsidRPr="00882255">
              <w:rPr>
                <w:rFonts w:ascii="Arial" w:hAnsi="Arial" w:cs="Arial"/>
                <w:sz w:val="20"/>
                <w:lang w:val="es-AR"/>
              </w:rPr>
              <w:t>:</w:t>
            </w:r>
            <w:r w:rsidR="00FB20A9" w:rsidRPr="00882255">
              <w:rPr>
                <w:rFonts w:ascii="Arial" w:hAnsi="Arial" w:cs="Arial"/>
                <w:sz w:val="20"/>
                <w:lang w:val="es-AR"/>
              </w:rPr>
              <w:t xml:space="preserve"> </w:t>
            </w:r>
            <w:r w:rsidR="00A641E4">
              <w:rPr>
                <w:rFonts w:ascii="Arial" w:hAnsi="Arial" w:cs="Arial"/>
                <w:sz w:val="20"/>
                <w:lang w:val="es-ES"/>
              </w:rPr>
              <w:t>6 de noviembre de 2022</w:t>
            </w:r>
          </w:p>
          <w:p w14:paraId="462FF904" w14:textId="77777777" w:rsidR="000F5FB3" w:rsidRPr="00882255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6C77FBA7" w14:textId="77777777" w:rsidR="00A35260" w:rsidRPr="00882255" w:rsidRDefault="000F5FB3" w:rsidP="00A35260">
            <w:pPr>
              <w:pStyle w:val="Textodebloque"/>
              <w:jc w:val="center"/>
              <w:rPr>
                <w:sz w:val="20"/>
                <w:lang w:val="es-ES_tradnl"/>
              </w:rPr>
            </w:pPr>
            <w:r w:rsidRPr="00882255">
              <w:rPr>
                <w:rFonts w:cs="Arial"/>
                <w:sz w:val="20"/>
              </w:rPr>
              <w:t xml:space="preserve">Siguientes amortizaciones: </w:t>
            </w:r>
          </w:p>
          <w:p w14:paraId="599D98F9" w14:textId="3A642BDC" w:rsidR="00430AC7" w:rsidRPr="00430AC7" w:rsidRDefault="00A641E4" w:rsidP="00A641E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A641E4">
              <w:rPr>
                <w:sz w:val="20"/>
                <w:lang w:val="es-ES"/>
              </w:rPr>
              <w:t>6 de febrero de 2023, 6 de mayo de 2023 y 6 de agosto de 2023</w:t>
            </w:r>
          </w:p>
        </w:tc>
      </w:tr>
      <w:tr w:rsidR="00BC4F75" w:rsidRPr="001466DA" w14:paraId="3BD11CAD" w14:textId="77777777" w:rsidTr="00BC4F75">
        <w:tc>
          <w:tcPr>
            <w:tcW w:w="496" w:type="dxa"/>
          </w:tcPr>
          <w:p w14:paraId="0C599118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09CDFFCB" w14:textId="77777777" w:rsidR="00F865EC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  <w:lang w:val="es-ES"/>
              </w:rPr>
              <w:t>u$s</w:t>
            </w:r>
            <w:proofErr w:type="spellEnd"/>
            <w:r w:rsidRPr="001466DA">
              <w:rPr>
                <w:rFonts w:cs="Arial"/>
                <w:sz w:val="22"/>
                <w:szCs w:val="22"/>
                <w:lang w:val="es-ES"/>
              </w:rPr>
              <w:t>):</w:t>
            </w:r>
            <w:r w:rsidR="00F865EC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63200C13" w14:textId="68163035" w:rsidR="00BC4F75" w:rsidRPr="00430AC7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0"/>
                <w:lang w:val="es-ES"/>
              </w:rPr>
            </w:pPr>
          </w:p>
        </w:tc>
        <w:tc>
          <w:tcPr>
            <w:tcW w:w="3968" w:type="dxa"/>
            <w:gridSpan w:val="2"/>
          </w:tcPr>
          <w:p w14:paraId="5F7C243F" w14:textId="77777777"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F0E1D0C" w14:textId="77777777" w:rsidR="004A2737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  <w:p w14:paraId="3BCAD1BC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DDB5237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8875B94" w14:textId="36444BBA" w:rsidR="00F865EC" w:rsidRPr="00ED7F9F" w:rsidRDefault="00F865EC" w:rsidP="00430AC7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BC4F75" w:rsidRPr="001466DA" w14:paraId="07FA63CA" w14:textId="77777777" w:rsidTr="00BC4F75">
        <w:trPr>
          <w:cantSplit/>
        </w:trPr>
        <w:tc>
          <w:tcPr>
            <w:tcW w:w="496" w:type="dxa"/>
          </w:tcPr>
          <w:p w14:paraId="6045DF8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9C3CB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14:paraId="4BD2250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14:paraId="57E44534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14:paraId="6B3FC1C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200C08" w:rsidRPr="001466DA" w14:paraId="7C6263FE" w14:textId="77777777" w:rsidTr="008C5974">
        <w:trPr>
          <w:cantSplit/>
        </w:trPr>
        <w:tc>
          <w:tcPr>
            <w:tcW w:w="496" w:type="dxa"/>
          </w:tcPr>
          <w:p w14:paraId="06EABBCD" w14:textId="77777777" w:rsidR="00200C08" w:rsidRPr="001466DA" w:rsidRDefault="00200C08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787" w:type="dxa"/>
            <w:gridSpan w:val="4"/>
          </w:tcPr>
          <w:p w14:paraId="331D0C01" w14:textId="1959F0E6" w:rsidR="00200C08" w:rsidRPr="001466DA" w:rsidRDefault="00200C08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Intereses</w:t>
            </w:r>
          </w:p>
        </w:tc>
      </w:tr>
      <w:tr w:rsidR="00DB5AA4" w:rsidRPr="001466DA" w14:paraId="57949825" w14:textId="77777777" w:rsidTr="00AA1E96">
        <w:trPr>
          <w:cantSplit/>
          <w:trHeight w:val="180"/>
        </w:trPr>
        <w:tc>
          <w:tcPr>
            <w:tcW w:w="496" w:type="dxa"/>
          </w:tcPr>
          <w:p w14:paraId="24055953" w14:textId="77777777" w:rsidR="00DB5AA4" w:rsidRPr="001466DA" w:rsidRDefault="00DB5AA4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408A16" w14:textId="3CD8B416" w:rsidR="00DB5AA4" w:rsidRPr="00435090" w:rsidRDefault="00435090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>6 de noviembre de 2021</w:t>
            </w:r>
          </w:p>
        </w:tc>
        <w:tc>
          <w:tcPr>
            <w:tcW w:w="2693" w:type="dxa"/>
            <w:shd w:val="clear" w:color="auto" w:fill="auto"/>
          </w:tcPr>
          <w:p w14:paraId="52FE6308" w14:textId="3ECCEEDB" w:rsidR="00DB5AA4" w:rsidRPr="00435090" w:rsidRDefault="00DB5AA4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>U$S</w:t>
            </w:r>
            <w:r w:rsidR="00714AD3">
              <w:rPr>
                <w:rFonts w:cs="Arial"/>
                <w:sz w:val="20"/>
              </w:rPr>
              <w:t xml:space="preserve"> </w:t>
            </w:r>
            <w:r w:rsidR="00714AD3" w:rsidRPr="00714AD3">
              <w:rPr>
                <w:rFonts w:cs="Arial"/>
                <w:sz w:val="20"/>
              </w:rPr>
              <w:t>144.083,33</w:t>
            </w:r>
          </w:p>
        </w:tc>
        <w:tc>
          <w:tcPr>
            <w:tcW w:w="1700" w:type="dxa"/>
            <w:shd w:val="clear" w:color="auto" w:fill="auto"/>
          </w:tcPr>
          <w:p w14:paraId="0429F942" w14:textId="6C0036C3" w:rsidR="00DB5AA4" w:rsidRPr="00435090" w:rsidRDefault="00714AD3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435090" w:rsidRPr="00435090">
              <w:rPr>
                <w:rFonts w:cs="Arial"/>
                <w:sz w:val="20"/>
              </w:rPr>
              <w:t xml:space="preserve"> de noviembre de 2021</w:t>
            </w:r>
          </w:p>
        </w:tc>
        <w:tc>
          <w:tcPr>
            <w:tcW w:w="2268" w:type="dxa"/>
            <w:shd w:val="clear" w:color="auto" w:fill="auto"/>
          </w:tcPr>
          <w:p w14:paraId="594C1A2A" w14:textId="5EA4F061" w:rsidR="00DB5AA4" w:rsidRPr="00435090" w:rsidRDefault="00DB5AA4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 xml:space="preserve">U$S </w:t>
            </w:r>
            <w:r w:rsidR="00714AD3" w:rsidRPr="00714AD3">
              <w:rPr>
                <w:rFonts w:cs="Arial"/>
                <w:sz w:val="20"/>
              </w:rPr>
              <w:t>144.083,33</w:t>
            </w:r>
            <w:r w:rsidRPr="00435090">
              <w:rPr>
                <w:rFonts w:cs="Arial"/>
                <w:sz w:val="20"/>
              </w:rPr>
              <w:t xml:space="preserve"> (intereses) equivalentes a $</w:t>
            </w:r>
            <w:r w:rsidR="00714AD3" w:rsidRPr="00714AD3">
              <w:rPr>
                <w:rFonts w:cs="Arial"/>
                <w:sz w:val="20"/>
              </w:rPr>
              <w:t xml:space="preserve">14.361.751,19 </w:t>
            </w:r>
            <w:r w:rsidRPr="00435090">
              <w:rPr>
                <w:rFonts w:cs="Arial"/>
                <w:sz w:val="20"/>
              </w:rPr>
              <w:t xml:space="preserve">al tipo de cambio </w:t>
            </w:r>
            <w:r w:rsidR="00714AD3">
              <w:rPr>
                <w:rFonts w:cs="Arial"/>
                <w:sz w:val="20"/>
              </w:rPr>
              <w:t>COM “A” 3500 BCRA</w:t>
            </w:r>
          </w:p>
        </w:tc>
      </w:tr>
      <w:tr w:rsidR="00D64C2D" w:rsidRPr="001466DA" w14:paraId="5136F118" w14:textId="77777777" w:rsidTr="00AA1E96">
        <w:trPr>
          <w:cantSplit/>
          <w:trHeight w:val="180"/>
        </w:trPr>
        <w:tc>
          <w:tcPr>
            <w:tcW w:w="496" w:type="dxa"/>
          </w:tcPr>
          <w:p w14:paraId="7861EE27" w14:textId="77777777" w:rsidR="00D64C2D" w:rsidRPr="001466DA" w:rsidRDefault="00D64C2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FA487D" w14:textId="6B2BED9C" w:rsidR="00D64C2D" w:rsidRPr="00435090" w:rsidRDefault="00FC069E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D64C2D">
              <w:rPr>
                <w:rFonts w:cs="Arial"/>
                <w:sz w:val="20"/>
              </w:rPr>
              <w:t xml:space="preserve"> de febrero de 2022</w:t>
            </w:r>
          </w:p>
        </w:tc>
        <w:tc>
          <w:tcPr>
            <w:tcW w:w="2693" w:type="dxa"/>
            <w:shd w:val="clear" w:color="auto" w:fill="auto"/>
          </w:tcPr>
          <w:p w14:paraId="1FBBBE73" w14:textId="56901C25" w:rsidR="00D64C2D" w:rsidRPr="00435090" w:rsidRDefault="00836BF0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="00FC069E" w:rsidRPr="00FC069E">
              <w:rPr>
                <w:rFonts w:cs="Arial"/>
                <w:sz w:val="20"/>
              </w:rPr>
              <w:t>142.500,00</w:t>
            </w:r>
          </w:p>
        </w:tc>
        <w:tc>
          <w:tcPr>
            <w:tcW w:w="1700" w:type="dxa"/>
            <w:shd w:val="clear" w:color="auto" w:fill="auto"/>
          </w:tcPr>
          <w:p w14:paraId="00860FDB" w14:textId="43E79A73" w:rsidR="00D64C2D" w:rsidRPr="00435090" w:rsidRDefault="00FC069E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D64C2D">
              <w:rPr>
                <w:rFonts w:cs="Arial"/>
                <w:sz w:val="20"/>
              </w:rPr>
              <w:t xml:space="preserve"> de febrero de 2022</w:t>
            </w:r>
          </w:p>
        </w:tc>
        <w:tc>
          <w:tcPr>
            <w:tcW w:w="2268" w:type="dxa"/>
            <w:shd w:val="clear" w:color="auto" w:fill="auto"/>
          </w:tcPr>
          <w:p w14:paraId="321B0260" w14:textId="1B0F3FFB" w:rsidR="00D64C2D" w:rsidRPr="00435090" w:rsidRDefault="00FC069E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 xml:space="preserve">U$S </w:t>
            </w:r>
            <w:r w:rsidRPr="00714AD3">
              <w:rPr>
                <w:rFonts w:cs="Arial"/>
                <w:sz w:val="20"/>
              </w:rPr>
              <w:t>14</w:t>
            </w:r>
            <w:r>
              <w:rPr>
                <w:rFonts w:cs="Arial"/>
                <w:sz w:val="20"/>
              </w:rPr>
              <w:t>2</w:t>
            </w:r>
            <w:r w:rsidRPr="00714AD3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500,00</w:t>
            </w:r>
            <w:r w:rsidRPr="00435090">
              <w:rPr>
                <w:rFonts w:cs="Arial"/>
                <w:sz w:val="20"/>
              </w:rPr>
              <w:t xml:space="preserve"> (intereses) equivalentes a $</w:t>
            </w:r>
            <w:r w:rsidRPr="00FC069E">
              <w:rPr>
                <w:rFonts w:cs="Arial"/>
                <w:sz w:val="20"/>
              </w:rPr>
              <w:t xml:space="preserve">14.927.744,25 </w:t>
            </w:r>
            <w:r w:rsidRPr="00435090">
              <w:rPr>
                <w:rFonts w:cs="Arial"/>
                <w:sz w:val="20"/>
              </w:rPr>
              <w:t xml:space="preserve">al tipo de cambio </w:t>
            </w:r>
            <w:r>
              <w:rPr>
                <w:rFonts w:cs="Arial"/>
                <w:sz w:val="20"/>
              </w:rPr>
              <w:t>COM “A” 3500 BCRA</w:t>
            </w:r>
          </w:p>
        </w:tc>
      </w:tr>
      <w:tr w:rsidR="00503A7A" w:rsidRPr="001466DA" w14:paraId="72D90E5B" w14:textId="77777777" w:rsidTr="00AA1E96">
        <w:trPr>
          <w:cantSplit/>
          <w:trHeight w:val="180"/>
        </w:trPr>
        <w:tc>
          <w:tcPr>
            <w:tcW w:w="496" w:type="dxa"/>
          </w:tcPr>
          <w:p w14:paraId="2D5185EE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8BB3F5" w14:textId="4A04F4E8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mayo de 2022</w:t>
            </w:r>
          </w:p>
        </w:tc>
        <w:tc>
          <w:tcPr>
            <w:tcW w:w="2693" w:type="dxa"/>
            <w:shd w:val="clear" w:color="auto" w:fill="auto"/>
          </w:tcPr>
          <w:p w14:paraId="29839632" w14:textId="0EA2EB65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503A7A">
              <w:rPr>
                <w:rFonts w:cs="Arial"/>
                <w:sz w:val="20"/>
              </w:rPr>
              <w:t>140.916,67</w:t>
            </w:r>
          </w:p>
        </w:tc>
        <w:tc>
          <w:tcPr>
            <w:tcW w:w="1700" w:type="dxa"/>
            <w:shd w:val="clear" w:color="auto" w:fill="auto"/>
          </w:tcPr>
          <w:p w14:paraId="3825CDFD" w14:textId="587A6AA3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mayo de 2022</w:t>
            </w:r>
          </w:p>
        </w:tc>
        <w:tc>
          <w:tcPr>
            <w:tcW w:w="2268" w:type="dxa"/>
            <w:shd w:val="clear" w:color="auto" w:fill="auto"/>
          </w:tcPr>
          <w:p w14:paraId="1D5C23E0" w14:textId="6E645571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35090">
              <w:rPr>
                <w:rFonts w:cs="Arial"/>
                <w:sz w:val="20"/>
              </w:rPr>
              <w:t xml:space="preserve">U$S </w:t>
            </w:r>
            <w:r w:rsidRPr="00503A7A">
              <w:rPr>
                <w:rFonts w:cs="Arial"/>
                <w:sz w:val="20"/>
              </w:rPr>
              <w:t xml:space="preserve">140.916,67 </w:t>
            </w:r>
            <w:r w:rsidRPr="00435090">
              <w:rPr>
                <w:rFonts w:cs="Arial"/>
                <w:sz w:val="20"/>
              </w:rPr>
              <w:t>(intereses) equivalentes a $</w:t>
            </w:r>
            <w:r w:rsidRPr="00503A7A">
              <w:rPr>
                <w:rFonts w:cs="Arial"/>
                <w:sz w:val="20"/>
              </w:rPr>
              <w:t xml:space="preserve">16.206.360,04 </w:t>
            </w:r>
            <w:r w:rsidRPr="00435090">
              <w:rPr>
                <w:rFonts w:cs="Arial"/>
                <w:sz w:val="20"/>
              </w:rPr>
              <w:t xml:space="preserve">al tipo de cambio </w:t>
            </w:r>
            <w:r>
              <w:rPr>
                <w:rFonts w:cs="Arial"/>
                <w:sz w:val="20"/>
              </w:rPr>
              <w:t>COM “A” 3500 BCRA</w:t>
            </w:r>
          </w:p>
        </w:tc>
      </w:tr>
      <w:tr w:rsidR="00503A7A" w:rsidRPr="001466DA" w14:paraId="6149A260" w14:textId="77777777" w:rsidTr="00AA1E96">
        <w:trPr>
          <w:cantSplit/>
          <w:trHeight w:val="180"/>
        </w:trPr>
        <w:tc>
          <w:tcPr>
            <w:tcW w:w="496" w:type="dxa"/>
          </w:tcPr>
          <w:p w14:paraId="0805D1CD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4E635D" w14:textId="3289E2DE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agosto de 2022</w:t>
            </w:r>
          </w:p>
        </w:tc>
        <w:tc>
          <w:tcPr>
            <w:tcW w:w="2693" w:type="dxa"/>
            <w:shd w:val="clear" w:color="auto" w:fill="auto"/>
          </w:tcPr>
          <w:p w14:paraId="7446C1F8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98C4978" w14:textId="46A6AC1E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agosto de 2022</w:t>
            </w:r>
          </w:p>
        </w:tc>
        <w:tc>
          <w:tcPr>
            <w:tcW w:w="2268" w:type="dxa"/>
            <w:shd w:val="clear" w:color="auto" w:fill="auto"/>
          </w:tcPr>
          <w:p w14:paraId="75EB5C87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7A69B4CB" w14:textId="77777777" w:rsidTr="00AA1E96">
        <w:trPr>
          <w:cantSplit/>
          <w:trHeight w:val="180"/>
        </w:trPr>
        <w:tc>
          <w:tcPr>
            <w:tcW w:w="496" w:type="dxa"/>
          </w:tcPr>
          <w:p w14:paraId="6060C3A5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3E8AFF" w14:textId="5D490056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noviembre de 2022</w:t>
            </w:r>
          </w:p>
        </w:tc>
        <w:tc>
          <w:tcPr>
            <w:tcW w:w="2693" w:type="dxa"/>
            <w:shd w:val="clear" w:color="auto" w:fill="auto"/>
          </w:tcPr>
          <w:p w14:paraId="296754B8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C29E8E3" w14:textId="4E58870B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noviembre de 2022</w:t>
            </w:r>
          </w:p>
        </w:tc>
        <w:tc>
          <w:tcPr>
            <w:tcW w:w="2268" w:type="dxa"/>
            <w:shd w:val="clear" w:color="auto" w:fill="auto"/>
          </w:tcPr>
          <w:p w14:paraId="6ED848B2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0B8B7E64" w14:textId="77777777" w:rsidTr="00AA1E96">
        <w:trPr>
          <w:cantSplit/>
          <w:trHeight w:val="180"/>
        </w:trPr>
        <w:tc>
          <w:tcPr>
            <w:tcW w:w="496" w:type="dxa"/>
          </w:tcPr>
          <w:p w14:paraId="51BE90A6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C0122A" w14:textId="6A0BD34F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febrero de 2023</w:t>
            </w:r>
          </w:p>
        </w:tc>
        <w:tc>
          <w:tcPr>
            <w:tcW w:w="2693" w:type="dxa"/>
            <w:shd w:val="clear" w:color="auto" w:fill="auto"/>
          </w:tcPr>
          <w:p w14:paraId="61859146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C231739" w14:textId="279E0830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febrero de 2023</w:t>
            </w:r>
          </w:p>
        </w:tc>
        <w:tc>
          <w:tcPr>
            <w:tcW w:w="2268" w:type="dxa"/>
            <w:shd w:val="clear" w:color="auto" w:fill="auto"/>
          </w:tcPr>
          <w:p w14:paraId="493EDC05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7CE1CAB2" w14:textId="77777777" w:rsidTr="00AA1E96">
        <w:trPr>
          <w:cantSplit/>
          <w:trHeight w:val="180"/>
        </w:trPr>
        <w:tc>
          <w:tcPr>
            <w:tcW w:w="496" w:type="dxa"/>
          </w:tcPr>
          <w:p w14:paraId="130751D6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B3B36" w14:textId="361E32B9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mayo de 2023</w:t>
            </w:r>
          </w:p>
        </w:tc>
        <w:tc>
          <w:tcPr>
            <w:tcW w:w="2693" w:type="dxa"/>
            <w:shd w:val="clear" w:color="auto" w:fill="auto"/>
          </w:tcPr>
          <w:p w14:paraId="677B507F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0CBF5BA" w14:textId="6AB9B60D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mayo de 2023</w:t>
            </w:r>
          </w:p>
        </w:tc>
        <w:tc>
          <w:tcPr>
            <w:tcW w:w="2268" w:type="dxa"/>
            <w:shd w:val="clear" w:color="auto" w:fill="auto"/>
          </w:tcPr>
          <w:p w14:paraId="2B9E8F07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05939A36" w14:textId="77777777" w:rsidTr="00AA1E96">
        <w:trPr>
          <w:cantSplit/>
          <w:trHeight w:val="180"/>
        </w:trPr>
        <w:tc>
          <w:tcPr>
            <w:tcW w:w="496" w:type="dxa"/>
          </w:tcPr>
          <w:p w14:paraId="3CCCDD49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5209B2" w14:textId="781452A6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agosto de 2023</w:t>
            </w:r>
          </w:p>
        </w:tc>
        <w:tc>
          <w:tcPr>
            <w:tcW w:w="2693" w:type="dxa"/>
            <w:shd w:val="clear" w:color="auto" w:fill="auto"/>
          </w:tcPr>
          <w:p w14:paraId="584AB2C7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4B95036" w14:textId="6D1CD398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agosto de 2023</w:t>
            </w:r>
          </w:p>
        </w:tc>
        <w:tc>
          <w:tcPr>
            <w:tcW w:w="2268" w:type="dxa"/>
            <w:shd w:val="clear" w:color="auto" w:fill="auto"/>
          </w:tcPr>
          <w:p w14:paraId="1447123E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597B61E9" w14:textId="77777777" w:rsidTr="00F97583">
        <w:trPr>
          <w:cantSplit/>
          <w:trHeight w:val="180"/>
        </w:trPr>
        <w:tc>
          <w:tcPr>
            <w:tcW w:w="496" w:type="dxa"/>
          </w:tcPr>
          <w:p w14:paraId="3A7B3C6F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787" w:type="dxa"/>
            <w:gridSpan w:val="4"/>
          </w:tcPr>
          <w:p w14:paraId="6964C235" w14:textId="7D60FDD0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Amortización</w:t>
            </w:r>
          </w:p>
        </w:tc>
      </w:tr>
      <w:tr w:rsidR="00503A7A" w:rsidRPr="001466DA" w14:paraId="1111D9FC" w14:textId="77777777" w:rsidTr="00AA1E96">
        <w:trPr>
          <w:cantSplit/>
          <w:trHeight w:val="180"/>
        </w:trPr>
        <w:tc>
          <w:tcPr>
            <w:tcW w:w="496" w:type="dxa"/>
          </w:tcPr>
          <w:p w14:paraId="304EED50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F2EA5B" w14:textId="5D295DF4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noviembre de 2022</w:t>
            </w:r>
          </w:p>
        </w:tc>
        <w:tc>
          <w:tcPr>
            <w:tcW w:w="2693" w:type="dxa"/>
            <w:shd w:val="clear" w:color="auto" w:fill="auto"/>
          </w:tcPr>
          <w:p w14:paraId="28158C29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DAED856" w14:textId="31B216C5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noviembre de 2022</w:t>
            </w:r>
          </w:p>
        </w:tc>
        <w:tc>
          <w:tcPr>
            <w:tcW w:w="2268" w:type="dxa"/>
            <w:shd w:val="clear" w:color="auto" w:fill="auto"/>
          </w:tcPr>
          <w:p w14:paraId="17AE341C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0CC1671B" w14:textId="77777777" w:rsidTr="00AA1E96">
        <w:trPr>
          <w:cantSplit/>
          <w:trHeight w:val="180"/>
        </w:trPr>
        <w:tc>
          <w:tcPr>
            <w:tcW w:w="496" w:type="dxa"/>
          </w:tcPr>
          <w:p w14:paraId="11A2B46F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F0D3CD" w14:textId="3B04C162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febrero de 2023</w:t>
            </w:r>
          </w:p>
        </w:tc>
        <w:tc>
          <w:tcPr>
            <w:tcW w:w="2693" w:type="dxa"/>
            <w:shd w:val="clear" w:color="auto" w:fill="auto"/>
          </w:tcPr>
          <w:p w14:paraId="16FA3245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7674FE5" w14:textId="1AB31C81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febrero de 2023</w:t>
            </w:r>
          </w:p>
        </w:tc>
        <w:tc>
          <w:tcPr>
            <w:tcW w:w="2268" w:type="dxa"/>
            <w:shd w:val="clear" w:color="auto" w:fill="auto"/>
          </w:tcPr>
          <w:p w14:paraId="7170BAF6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653D3635" w14:textId="77777777" w:rsidTr="00AA1E96">
        <w:trPr>
          <w:cantSplit/>
          <w:trHeight w:val="180"/>
        </w:trPr>
        <w:tc>
          <w:tcPr>
            <w:tcW w:w="496" w:type="dxa"/>
          </w:tcPr>
          <w:p w14:paraId="5177133E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2A19E6" w14:textId="3E0A06C7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mayo de 2023</w:t>
            </w:r>
          </w:p>
        </w:tc>
        <w:tc>
          <w:tcPr>
            <w:tcW w:w="2693" w:type="dxa"/>
            <w:shd w:val="clear" w:color="auto" w:fill="auto"/>
          </w:tcPr>
          <w:p w14:paraId="4A30675E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3DFA60AF" w14:textId="379E180E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mayo de 2023</w:t>
            </w:r>
          </w:p>
        </w:tc>
        <w:tc>
          <w:tcPr>
            <w:tcW w:w="2268" w:type="dxa"/>
            <w:shd w:val="clear" w:color="auto" w:fill="auto"/>
          </w:tcPr>
          <w:p w14:paraId="495BE3C1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020260C4" w14:textId="77777777" w:rsidTr="00AA1E96">
        <w:trPr>
          <w:cantSplit/>
          <w:trHeight w:val="180"/>
        </w:trPr>
        <w:tc>
          <w:tcPr>
            <w:tcW w:w="496" w:type="dxa"/>
          </w:tcPr>
          <w:p w14:paraId="48F3D339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B01F4" w14:textId="181F298D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agosto de 2023</w:t>
            </w:r>
          </w:p>
        </w:tc>
        <w:tc>
          <w:tcPr>
            <w:tcW w:w="2693" w:type="dxa"/>
            <w:shd w:val="clear" w:color="auto" w:fill="auto"/>
          </w:tcPr>
          <w:p w14:paraId="5486DC16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4B607CA" w14:textId="13C07C49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de agosto de 2023</w:t>
            </w:r>
          </w:p>
        </w:tc>
        <w:tc>
          <w:tcPr>
            <w:tcW w:w="2268" w:type="dxa"/>
            <w:shd w:val="clear" w:color="auto" w:fill="auto"/>
          </w:tcPr>
          <w:p w14:paraId="6655BB61" w14:textId="77777777" w:rsidR="00503A7A" w:rsidRPr="00435090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73270961" w14:textId="77777777" w:rsidTr="00BC4F75">
        <w:tc>
          <w:tcPr>
            <w:tcW w:w="496" w:type="dxa"/>
          </w:tcPr>
          <w:p w14:paraId="2CDE532E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14:paraId="6829C5C7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3968" w:type="dxa"/>
            <w:gridSpan w:val="2"/>
          </w:tcPr>
          <w:p w14:paraId="25955ABB" w14:textId="77777777" w:rsidR="00503A7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DC67FF0" w14:textId="0F0CD1D3" w:rsidR="00503A7A" w:rsidRPr="00ED7F9F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MAE</w:t>
            </w:r>
            <w:r>
              <w:rPr>
                <w:rFonts w:cs="Arial"/>
                <w:sz w:val="20"/>
              </w:rPr>
              <w:t xml:space="preserve">, </w:t>
            </w:r>
            <w:r w:rsidRPr="002A530F">
              <w:rPr>
                <w:rFonts w:cs="Arial"/>
                <w:sz w:val="20"/>
              </w:rPr>
              <w:t xml:space="preserve">BYMA y </w:t>
            </w:r>
            <w:proofErr w:type="spellStart"/>
            <w:r w:rsidRPr="002A530F">
              <w:rPr>
                <w:rFonts w:cs="Arial"/>
                <w:sz w:val="20"/>
              </w:rPr>
              <w:t>Euroclear</w:t>
            </w:r>
            <w:proofErr w:type="spellEnd"/>
          </w:p>
        </w:tc>
      </w:tr>
      <w:tr w:rsidR="00503A7A" w:rsidRPr="001466DA" w14:paraId="55D12419" w14:textId="77777777" w:rsidTr="00BC4F75">
        <w:tc>
          <w:tcPr>
            <w:tcW w:w="496" w:type="dxa"/>
          </w:tcPr>
          <w:p w14:paraId="3B9FBD5C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819" w:type="dxa"/>
            <w:gridSpan w:val="2"/>
          </w:tcPr>
          <w:p w14:paraId="7A303448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14:paraId="2652A166" w14:textId="77777777" w:rsidR="00503A7A" w:rsidRDefault="00503A7A" w:rsidP="00503A7A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06879E" w14:textId="63DC3274" w:rsidR="00503A7A" w:rsidRDefault="00503A7A" w:rsidP="00503A7A">
            <w:pPr>
              <w:jc w:val="center"/>
              <w:rPr>
                <w:rFonts w:ascii="Arial" w:hAnsi="Arial" w:cs="Arial"/>
                <w:sz w:val="20"/>
              </w:rPr>
            </w:pPr>
            <w:r w:rsidRPr="002A530F">
              <w:rPr>
                <w:rFonts w:ascii="Arial" w:hAnsi="Arial" w:cs="Arial"/>
                <w:sz w:val="20"/>
              </w:rPr>
              <w:t xml:space="preserve">i) Rescate por Razones Impositivas; y </w:t>
            </w:r>
            <w:proofErr w:type="spellStart"/>
            <w:r w:rsidRPr="002A530F">
              <w:rPr>
                <w:rFonts w:ascii="Arial" w:hAnsi="Arial" w:cs="Arial"/>
                <w:sz w:val="20"/>
              </w:rPr>
              <w:t>ii</w:t>
            </w:r>
            <w:proofErr w:type="spellEnd"/>
            <w:r w:rsidRPr="002A530F">
              <w:rPr>
                <w:rFonts w:ascii="Arial" w:hAnsi="Arial" w:cs="Arial"/>
                <w:sz w:val="20"/>
              </w:rPr>
              <w:t>) Rescate por Cambio de Control.</w:t>
            </w:r>
          </w:p>
          <w:p w14:paraId="548D8FC4" w14:textId="77777777" w:rsidR="00503A7A" w:rsidRPr="00370A6E" w:rsidRDefault="00503A7A" w:rsidP="00503A7A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503A7A" w:rsidRPr="001466DA" w14:paraId="29188391" w14:textId="77777777" w:rsidTr="00BC4F75">
        <w:tc>
          <w:tcPr>
            <w:tcW w:w="496" w:type="dxa"/>
          </w:tcPr>
          <w:p w14:paraId="5362C160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EA1681B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14:paraId="61237A52" w14:textId="77777777" w:rsidR="00503A7A" w:rsidRPr="002421B4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503A7A" w:rsidRPr="001466DA" w14:paraId="721C98C5" w14:textId="77777777" w:rsidTr="00BC4F75">
        <w:tc>
          <w:tcPr>
            <w:tcW w:w="496" w:type="dxa"/>
          </w:tcPr>
          <w:p w14:paraId="2C7C1B1B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028B4F3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</w:rPr>
              <w:t>u$s</w:t>
            </w:r>
            <w:proofErr w:type="spellEnd"/>
          </w:p>
        </w:tc>
        <w:tc>
          <w:tcPr>
            <w:tcW w:w="3968" w:type="dxa"/>
            <w:gridSpan w:val="2"/>
          </w:tcPr>
          <w:p w14:paraId="24B29576" w14:textId="77777777" w:rsidR="00503A7A" w:rsidRPr="002421B4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503A7A" w:rsidRPr="001466DA" w14:paraId="593A0804" w14:textId="77777777" w:rsidTr="00BC4F75">
        <w:tc>
          <w:tcPr>
            <w:tcW w:w="496" w:type="dxa"/>
          </w:tcPr>
          <w:p w14:paraId="4E1DB3A7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819" w:type="dxa"/>
            <w:gridSpan w:val="2"/>
          </w:tcPr>
          <w:p w14:paraId="6481F1B2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14:paraId="6822264F" w14:textId="77777777" w:rsidR="00503A7A" w:rsidRPr="00AC75F4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01248D14" w14:textId="502C699E" w:rsidR="00503A7A" w:rsidRPr="00AC75F4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AC75F4">
              <w:rPr>
                <w:rFonts w:cs="Arial"/>
                <w:sz w:val="20"/>
              </w:rPr>
              <w:t>Sin garantías</w:t>
            </w:r>
          </w:p>
          <w:p w14:paraId="7244ECB6" w14:textId="77777777" w:rsidR="00503A7A" w:rsidRPr="00AC75F4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03A7A" w:rsidRPr="001466DA" w14:paraId="710D707D" w14:textId="77777777" w:rsidTr="00BC4F75">
        <w:tc>
          <w:tcPr>
            <w:tcW w:w="496" w:type="dxa"/>
          </w:tcPr>
          <w:p w14:paraId="22525740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819" w:type="dxa"/>
            <w:gridSpan w:val="2"/>
          </w:tcPr>
          <w:p w14:paraId="4BE9E4E7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14:paraId="66FF43AA" w14:textId="77777777" w:rsidR="00503A7A" w:rsidRPr="00AC75F4" w:rsidRDefault="00503A7A" w:rsidP="00503A7A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D3B11D" w14:textId="521C576F" w:rsidR="00503A7A" w:rsidRDefault="00503A7A" w:rsidP="00503A7A">
            <w:pPr>
              <w:jc w:val="center"/>
              <w:rPr>
                <w:rFonts w:ascii="Arial" w:hAnsi="Arial" w:cs="Arial"/>
                <w:sz w:val="20"/>
              </w:rPr>
            </w:pPr>
            <w:r w:rsidRPr="007C7702">
              <w:rPr>
                <w:rFonts w:ascii="Arial" w:hAnsi="Arial" w:cs="Arial"/>
                <w:sz w:val="20"/>
              </w:rPr>
              <w:t>Clase 16: $10.179.593 equivalente a U$$ 105.146,64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793E9600" w14:textId="77777777" w:rsidR="00503A7A" w:rsidRPr="00AC75F4" w:rsidRDefault="00503A7A" w:rsidP="00503A7A">
            <w:pPr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503A7A" w:rsidRPr="001466DA" w14:paraId="4BEBB884" w14:textId="77777777" w:rsidTr="00BC4F75">
        <w:tc>
          <w:tcPr>
            <w:tcW w:w="496" w:type="dxa"/>
          </w:tcPr>
          <w:p w14:paraId="2BA15A3B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14:paraId="680F55C9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14:paraId="2F5ADD62" w14:textId="77777777" w:rsidR="00503A7A" w:rsidRPr="00AC75F4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503A7A" w:rsidRPr="001466DA" w14:paraId="17CF9210" w14:textId="77777777" w:rsidTr="00BC4F75">
        <w:tc>
          <w:tcPr>
            <w:tcW w:w="496" w:type="dxa"/>
          </w:tcPr>
          <w:p w14:paraId="2D127779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14:paraId="387E166E" w14:textId="77777777" w:rsidR="00503A7A" w:rsidRPr="00D64C2D" w:rsidRDefault="00503A7A" w:rsidP="00503A7A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64C2D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14:paraId="582F39A6" w14:textId="77777777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6C37E48" w14:textId="4DEB4415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D64C2D">
              <w:rPr>
                <w:rFonts w:cs="Arial"/>
                <w:sz w:val="20"/>
              </w:rPr>
              <w:t>Prospecto del Programa: 30 de junio de 2011 en la Autopista de la Información Financiera</w:t>
            </w:r>
          </w:p>
          <w:p w14:paraId="34D055FE" w14:textId="77777777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77FAFD7" w14:textId="7C693845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D64C2D">
              <w:rPr>
                <w:rFonts w:cs="Arial"/>
                <w:sz w:val="20"/>
              </w:rPr>
              <w:t>Actualización del Prospecto: 24 de mayo 2019 en la Autopista de la Información Financiera y en el Boletín Diario de la BCBA</w:t>
            </w:r>
          </w:p>
          <w:p w14:paraId="2BD00789" w14:textId="66BDE7A9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E6D36E2" w14:textId="1407498F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5F41BC">
              <w:rPr>
                <w:rFonts w:cs="Arial"/>
                <w:sz w:val="20"/>
              </w:rPr>
              <w:t>Prórroga del Programa: 31 de marzo de 2021 en la Autopista de la Información Financiera, en el Boletín Diario del MAE y en el Boletín Diario de la BCBA</w:t>
            </w:r>
          </w:p>
          <w:p w14:paraId="38899848" w14:textId="77777777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1A3DF72" w14:textId="3A8CE4FD" w:rsidR="00503A7A" w:rsidRPr="00D64C2D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5F41BC">
              <w:rPr>
                <w:rFonts w:cs="Arial"/>
                <w:sz w:val="20"/>
              </w:rPr>
              <w:t>Clase 16</w:t>
            </w:r>
            <w:r>
              <w:rPr>
                <w:rFonts w:cs="Arial"/>
                <w:sz w:val="20"/>
              </w:rPr>
              <w:t xml:space="preserve"> </w:t>
            </w:r>
            <w:r w:rsidRPr="005F41BC">
              <w:rPr>
                <w:rFonts w:cs="Arial"/>
                <w:sz w:val="20"/>
              </w:rPr>
              <w:t xml:space="preserve">Suplemento de </w:t>
            </w:r>
            <w:r>
              <w:rPr>
                <w:rFonts w:cs="Arial"/>
                <w:sz w:val="20"/>
              </w:rPr>
              <w:t>P</w:t>
            </w:r>
            <w:r w:rsidRPr="005F41BC">
              <w:rPr>
                <w:rFonts w:cs="Arial"/>
                <w:sz w:val="20"/>
              </w:rPr>
              <w:t>recio: 29 de julio de 2021 en la Autopista de la Información Financiera, en el micrositio web de colocaciones primarias del MAE y en el Boletín Diario de la BCBA</w:t>
            </w:r>
          </w:p>
          <w:p w14:paraId="56BFD15C" w14:textId="77777777" w:rsidR="00503A7A" w:rsidRPr="00D64C2D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503A7A" w:rsidRPr="001466DA" w14:paraId="24C83B41" w14:textId="77777777" w:rsidTr="00BC4F75">
        <w:tc>
          <w:tcPr>
            <w:tcW w:w="496" w:type="dxa"/>
          </w:tcPr>
          <w:p w14:paraId="112328E9" w14:textId="77777777" w:rsidR="00503A7A" w:rsidRPr="001466DA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819" w:type="dxa"/>
            <w:gridSpan w:val="2"/>
          </w:tcPr>
          <w:p w14:paraId="0CE535DC" w14:textId="77777777" w:rsidR="00503A7A" w:rsidRPr="001466DA" w:rsidRDefault="00503A7A" w:rsidP="00503A7A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14:paraId="504FE9C6" w14:textId="77777777" w:rsidR="00503A7A" w:rsidRPr="00B120E6" w:rsidRDefault="00503A7A" w:rsidP="00503A7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14:paraId="3095FCCA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050F9280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4173E60F" w14:textId="77777777"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14:paraId="164D91B6" w14:textId="75FE39D9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</w:t>
      </w:r>
      <w:r w:rsidR="00360180">
        <w:rPr>
          <w:rFonts w:cs="Arial"/>
          <w:szCs w:val="24"/>
        </w:rPr>
        <w:t xml:space="preserve"> Re</w:t>
      </w:r>
      <w:r w:rsidRPr="007A57DE">
        <w:rPr>
          <w:rFonts w:cs="Arial"/>
          <w:szCs w:val="24"/>
        </w:rPr>
        <w:t xml:space="preserve">laciones con el </w:t>
      </w:r>
      <w:r w:rsidR="00360180">
        <w:rPr>
          <w:rFonts w:cs="Arial"/>
          <w:szCs w:val="24"/>
        </w:rPr>
        <w:t>M</w:t>
      </w:r>
      <w:r w:rsidRPr="007A57DE">
        <w:rPr>
          <w:rFonts w:cs="Arial"/>
          <w:szCs w:val="24"/>
        </w:rPr>
        <w:t>ercado</w:t>
      </w:r>
    </w:p>
    <w:p w14:paraId="148715A7" w14:textId="4A398F0F" w:rsidR="0069172C" w:rsidRPr="005F41BC" w:rsidRDefault="00ED7F9F" w:rsidP="005F41BC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sectPr w:rsidR="0069172C" w:rsidRPr="005F4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240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82"/>
    <w:rsid w:val="0003205D"/>
    <w:rsid w:val="00045426"/>
    <w:rsid w:val="0007575D"/>
    <w:rsid w:val="00087E08"/>
    <w:rsid w:val="000C4293"/>
    <w:rsid w:val="000F5FB3"/>
    <w:rsid w:val="001234CA"/>
    <w:rsid w:val="00152A7E"/>
    <w:rsid w:val="00177FE4"/>
    <w:rsid w:val="001D1120"/>
    <w:rsid w:val="001F5310"/>
    <w:rsid w:val="00200C08"/>
    <w:rsid w:val="00222216"/>
    <w:rsid w:val="00231DED"/>
    <w:rsid w:val="002421B4"/>
    <w:rsid w:val="00283C76"/>
    <w:rsid w:val="002A1E34"/>
    <w:rsid w:val="002A530F"/>
    <w:rsid w:val="002B07D1"/>
    <w:rsid w:val="002B1320"/>
    <w:rsid w:val="002D1646"/>
    <w:rsid w:val="003003A6"/>
    <w:rsid w:val="00305F62"/>
    <w:rsid w:val="00310984"/>
    <w:rsid w:val="00311A06"/>
    <w:rsid w:val="00330F3A"/>
    <w:rsid w:val="0033480E"/>
    <w:rsid w:val="00347AB1"/>
    <w:rsid w:val="00360180"/>
    <w:rsid w:val="00370A6E"/>
    <w:rsid w:val="003773AC"/>
    <w:rsid w:val="003B6919"/>
    <w:rsid w:val="003D4048"/>
    <w:rsid w:val="003F3E9E"/>
    <w:rsid w:val="00430AC7"/>
    <w:rsid w:val="00435090"/>
    <w:rsid w:val="00460096"/>
    <w:rsid w:val="00462F58"/>
    <w:rsid w:val="004639C7"/>
    <w:rsid w:val="004710D4"/>
    <w:rsid w:val="0047649D"/>
    <w:rsid w:val="004778BC"/>
    <w:rsid w:val="004A2737"/>
    <w:rsid w:val="004A4A66"/>
    <w:rsid w:val="004A6672"/>
    <w:rsid w:val="004E5ADC"/>
    <w:rsid w:val="00503A7A"/>
    <w:rsid w:val="005145AF"/>
    <w:rsid w:val="005164C8"/>
    <w:rsid w:val="0054178D"/>
    <w:rsid w:val="00555A77"/>
    <w:rsid w:val="00582669"/>
    <w:rsid w:val="005A0372"/>
    <w:rsid w:val="005C3448"/>
    <w:rsid w:val="005C502B"/>
    <w:rsid w:val="005D572F"/>
    <w:rsid w:val="005F41BC"/>
    <w:rsid w:val="006036A8"/>
    <w:rsid w:val="00635C28"/>
    <w:rsid w:val="00680431"/>
    <w:rsid w:val="006804F7"/>
    <w:rsid w:val="00690AE5"/>
    <w:rsid w:val="0069172C"/>
    <w:rsid w:val="006A6921"/>
    <w:rsid w:val="006A7846"/>
    <w:rsid w:val="006D72EF"/>
    <w:rsid w:val="0070338F"/>
    <w:rsid w:val="00714AD3"/>
    <w:rsid w:val="007A26C4"/>
    <w:rsid w:val="007A57DE"/>
    <w:rsid w:val="007C7702"/>
    <w:rsid w:val="007F11D5"/>
    <w:rsid w:val="00816C78"/>
    <w:rsid w:val="0081753D"/>
    <w:rsid w:val="008254A6"/>
    <w:rsid w:val="00836BF0"/>
    <w:rsid w:val="00854FB2"/>
    <w:rsid w:val="008701A9"/>
    <w:rsid w:val="00882255"/>
    <w:rsid w:val="00891C82"/>
    <w:rsid w:val="008B67AD"/>
    <w:rsid w:val="008F5B93"/>
    <w:rsid w:val="008F62BF"/>
    <w:rsid w:val="0090379B"/>
    <w:rsid w:val="0091255B"/>
    <w:rsid w:val="00917EAB"/>
    <w:rsid w:val="009459E3"/>
    <w:rsid w:val="00971566"/>
    <w:rsid w:val="009A7D5B"/>
    <w:rsid w:val="009D4B9D"/>
    <w:rsid w:val="009F44BA"/>
    <w:rsid w:val="00A07A73"/>
    <w:rsid w:val="00A12126"/>
    <w:rsid w:val="00A31B43"/>
    <w:rsid w:val="00A33D65"/>
    <w:rsid w:val="00A35260"/>
    <w:rsid w:val="00A4140F"/>
    <w:rsid w:val="00A641E4"/>
    <w:rsid w:val="00AC75F4"/>
    <w:rsid w:val="00B03533"/>
    <w:rsid w:val="00B11942"/>
    <w:rsid w:val="00B120E6"/>
    <w:rsid w:val="00B4711D"/>
    <w:rsid w:val="00B515AC"/>
    <w:rsid w:val="00B518E7"/>
    <w:rsid w:val="00B54A1B"/>
    <w:rsid w:val="00B56881"/>
    <w:rsid w:val="00B83BB9"/>
    <w:rsid w:val="00B84E7B"/>
    <w:rsid w:val="00B977D4"/>
    <w:rsid w:val="00BC4F75"/>
    <w:rsid w:val="00BD4096"/>
    <w:rsid w:val="00BE7242"/>
    <w:rsid w:val="00C3085F"/>
    <w:rsid w:val="00C3185D"/>
    <w:rsid w:val="00C520BA"/>
    <w:rsid w:val="00CA4835"/>
    <w:rsid w:val="00CC08A1"/>
    <w:rsid w:val="00CC317F"/>
    <w:rsid w:val="00CF1DC3"/>
    <w:rsid w:val="00D214C5"/>
    <w:rsid w:val="00D22488"/>
    <w:rsid w:val="00D332A3"/>
    <w:rsid w:val="00D4701D"/>
    <w:rsid w:val="00D5032B"/>
    <w:rsid w:val="00D64C2D"/>
    <w:rsid w:val="00DB5AA4"/>
    <w:rsid w:val="00DC7642"/>
    <w:rsid w:val="00E05405"/>
    <w:rsid w:val="00E156F3"/>
    <w:rsid w:val="00E370DC"/>
    <w:rsid w:val="00E44D66"/>
    <w:rsid w:val="00E471C3"/>
    <w:rsid w:val="00E945B9"/>
    <w:rsid w:val="00ED7F9F"/>
    <w:rsid w:val="00EE3BCD"/>
    <w:rsid w:val="00EF08D7"/>
    <w:rsid w:val="00EF3A58"/>
    <w:rsid w:val="00F10230"/>
    <w:rsid w:val="00F77296"/>
    <w:rsid w:val="00F865EC"/>
    <w:rsid w:val="00FB20A9"/>
    <w:rsid w:val="00FC069E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E776"/>
  <w14:defaultImageDpi w14:val="30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Rodrigo Ferreyra</cp:lastModifiedBy>
  <cp:revision>6</cp:revision>
  <cp:lastPrinted>2022-04-28T19:01:00Z</cp:lastPrinted>
  <dcterms:created xsi:type="dcterms:W3CDTF">2021-10-19T20:27:00Z</dcterms:created>
  <dcterms:modified xsi:type="dcterms:W3CDTF">2022-04-28T19:01:00Z</dcterms:modified>
</cp:coreProperties>
</file>