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01"/>
        <w:ind w:left="1707" w:right="1123" w:firstLine="0"/>
        <w:jc w:val="center"/>
        <w:rPr>
          <w:b/>
          <w:sz w:val="17"/>
        </w:rPr>
      </w:pPr>
      <w:bookmarkStart w:name="2024_02_Reseña informativa" w:id="1"/>
      <w:bookmarkEnd w:id="1"/>
      <w:r>
        <w:rPr/>
      </w:r>
      <w:r>
        <w:rPr>
          <w:b/>
          <w:sz w:val="17"/>
          <w:u w:val="single"/>
        </w:rPr>
        <w:t>CELULOSA</w:t>
      </w:r>
      <w:r>
        <w:rPr>
          <w:b/>
          <w:spacing w:val="-5"/>
          <w:sz w:val="17"/>
          <w:u w:val="single"/>
        </w:rPr>
        <w:t> </w:t>
      </w:r>
      <w:r>
        <w:rPr>
          <w:b/>
          <w:sz w:val="17"/>
          <w:u w:val="single"/>
        </w:rPr>
        <w:t>ARGENTINA</w:t>
      </w:r>
      <w:r>
        <w:rPr>
          <w:b/>
          <w:spacing w:val="-4"/>
          <w:sz w:val="17"/>
          <w:u w:val="single"/>
        </w:rPr>
        <w:t> </w:t>
      </w:r>
      <w:r>
        <w:rPr>
          <w:b/>
          <w:sz w:val="17"/>
          <w:u w:val="single"/>
        </w:rPr>
        <w:t>SOCIEDAD</w:t>
      </w:r>
      <w:r>
        <w:rPr>
          <w:b/>
          <w:spacing w:val="-4"/>
          <w:sz w:val="17"/>
          <w:u w:val="single"/>
        </w:rPr>
        <w:t> </w:t>
      </w:r>
      <w:r>
        <w:rPr>
          <w:b/>
          <w:sz w:val="17"/>
          <w:u w:val="single"/>
        </w:rPr>
        <w:t>ANÓNIMA</w:t>
      </w:r>
    </w:p>
    <w:p>
      <w:pPr>
        <w:pStyle w:val="BodyText"/>
        <w:rPr>
          <w:b/>
        </w:rPr>
      </w:pPr>
    </w:p>
    <w:p>
      <w:pPr>
        <w:spacing w:before="0"/>
        <w:ind w:left="1776" w:right="1123" w:firstLine="0"/>
        <w:jc w:val="center"/>
        <w:rPr>
          <w:b/>
          <w:sz w:val="17"/>
        </w:rPr>
      </w:pPr>
      <w:bookmarkStart w:name="RESEÑA INFORMATIVA SOBRE EL PERÍODO DE N" w:id="2"/>
      <w:bookmarkEnd w:id="2"/>
      <w:r>
        <w:rPr/>
      </w:r>
      <w:r>
        <w:rPr>
          <w:b/>
          <w:sz w:val="17"/>
        </w:rPr>
        <w:t>RESEÑA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INFORMATIVA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SOBRE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PERÍODO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NUEVE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MESES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DEL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EJERCICIO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2023/2024</w:t>
      </w:r>
    </w:p>
    <w:p>
      <w:pPr>
        <w:pStyle w:val="BodyText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169" w:after="0"/>
        <w:ind w:left="1545" w:right="0" w:hanging="242"/>
        <w:jc w:val="left"/>
      </w:pPr>
      <w:r>
        <w:rPr/>
        <w:t>Breve</w:t>
      </w:r>
      <w:r>
        <w:rPr>
          <w:spacing w:val="-6"/>
        </w:rPr>
        <w:t> </w:t>
      </w:r>
      <w:r>
        <w:rPr/>
        <w:t>comentario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actividades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06" w:lineRule="exact"/>
        <w:ind w:left="1304"/>
        <w:jc w:val="both"/>
      </w:pPr>
      <w:bookmarkStart w:name="El resultado bruto del período de los nu" w:id="3"/>
      <w:bookmarkEnd w:id="3"/>
      <w:r>
        <w:rPr/>
      </w:r>
      <w:r>
        <w:rPr/>
        <w:t>El</w:t>
      </w:r>
      <w:r>
        <w:rPr>
          <w:spacing w:val="3"/>
        </w:rPr>
        <w:t> </w:t>
      </w:r>
      <w:r>
        <w:rPr/>
        <w:t>resultado</w:t>
      </w:r>
      <w:r>
        <w:rPr>
          <w:spacing w:val="2"/>
        </w:rPr>
        <w:t> </w:t>
      </w:r>
      <w:r>
        <w:rPr/>
        <w:t>bruto</w:t>
      </w:r>
      <w:r>
        <w:rPr>
          <w:spacing w:val="2"/>
        </w:rPr>
        <w:t> </w:t>
      </w:r>
      <w:r>
        <w:rPr/>
        <w:t>del</w:t>
      </w:r>
      <w:r>
        <w:rPr>
          <w:spacing w:val="3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los</w:t>
      </w:r>
      <w:r>
        <w:rPr>
          <w:spacing w:val="4"/>
        </w:rPr>
        <w:t> </w:t>
      </w:r>
      <w:r>
        <w:rPr/>
        <w:t>nueve</w:t>
      </w:r>
      <w:r>
        <w:rPr>
          <w:spacing w:val="4"/>
        </w:rPr>
        <w:t> </w:t>
      </w:r>
      <w:r>
        <w:rPr/>
        <w:t>meses</w:t>
      </w:r>
      <w:r>
        <w:rPr>
          <w:spacing w:val="3"/>
        </w:rPr>
        <w:t> </w:t>
      </w:r>
      <w:r>
        <w:rPr/>
        <w:t>finalizado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29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febrero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/>
        <w:t>2024</w:t>
      </w:r>
      <w:r>
        <w:rPr>
          <w:spacing w:val="3"/>
        </w:rPr>
        <w:t> </w:t>
      </w:r>
      <w:r>
        <w:rPr/>
        <w:t>arrojó</w:t>
      </w:r>
      <w:r>
        <w:rPr>
          <w:spacing w:val="1"/>
        </w:rPr>
        <w:t> </w:t>
      </w:r>
      <w:r>
        <w:rPr/>
        <w:t>una</w:t>
      </w:r>
      <w:r>
        <w:rPr>
          <w:spacing w:val="3"/>
        </w:rPr>
        <w:t> </w:t>
      </w:r>
      <w:r>
        <w:rPr/>
        <w:t>ganancia</w:t>
      </w:r>
      <w:r>
        <w:rPr>
          <w:spacing w:val="2"/>
        </w:rPr>
        <w:t> </w:t>
      </w:r>
      <w:r>
        <w:rPr/>
        <w:t>de</w:t>
      </w:r>
    </w:p>
    <w:p>
      <w:pPr>
        <w:pStyle w:val="BodyText"/>
        <w:ind w:left="1304" w:right="647"/>
        <w:jc w:val="both"/>
      </w:pPr>
      <w:r>
        <w:rPr/>
        <w:t>$62.102 millones, mientras que el mismo período del ejercicio anterior arrojó una ganancia de $42.137,4</w:t>
      </w:r>
      <w:r>
        <w:rPr>
          <w:spacing w:val="1"/>
        </w:rPr>
        <w:t> </w:t>
      </w:r>
      <w:r>
        <w:rPr/>
        <w:t>millones, lo que representa un incremento del 47% producto del aumento de las ventas en pesos con</w:t>
      </w:r>
      <w:r>
        <w:rPr>
          <w:spacing w:val="1"/>
        </w:rPr>
        <w:t> </w:t>
      </w:r>
      <w:r>
        <w:rPr/>
        <w:t>disminución</w:t>
      </w:r>
      <w:r>
        <w:rPr>
          <w:spacing w:val="-2"/>
        </w:rPr>
        <w:t> </w:t>
      </w:r>
      <w:r>
        <w:rPr/>
        <w:t>de los</w:t>
      </w:r>
      <w:r>
        <w:rPr>
          <w:spacing w:val="-1"/>
        </w:rPr>
        <w:t> </w:t>
      </w:r>
      <w:r>
        <w:rPr/>
        <w:t>costos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producción.</w:t>
      </w:r>
    </w:p>
    <w:p>
      <w:pPr>
        <w:pStyle w:val="BodyText"/>
      </w:pPr>
    </w:p>
    <w:p>
      <w:pPr>
        <w:pStyle w:val="BodyText"/>
        <w:ind w:left="1304" w:right="646"/>
        <w:jc w:val="both"/>
      </w:pPr>
      <w:bookmarkStart w:name="El resultado operativo sin considerar la" w:id="4"/>
      <w:bookmarkEnd w:id="4"/>
      <w:r>
        <w:rPr/>
      </w:r>
      <w:r>
        <w:rPr/>
        <w:t>El resultado operativo sin considerar las pérdidas por desvalorización de activos, otros ingresos y egresos, del</w:t>
      </w:r>
      <w:r>
        <w:rPr>
          <w:spacing w:val="-57"/>
        </w:rPr>
        <w:t> </w:t>
      </w:r>
      <w:r>
        <w:rPr/>
        <w:t>período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nueve</w:t>
      </w:r>
      <w:r>
        <w:rPr>
          <w:spacing w:val="-10"/>
        </w:rPr>
        <w:t> </w:t>
      </w:r>
      <w:r>
        <w:rPr/>
        <w:t>meses</w:t>
      </w:r>
      <w:r>
        <w:rPr>
          <w:spacing w:val="-10"/>
        </w:rPr>
        <w:t> </w:t>
      </w:r>
      <w:r>
        <w:rPr/>
        <w:t>finalizado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29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febrero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2024</w:t>
      </w:r>
      <w:r>
        <w:rPr>
          <w:spacing w:val="-10"/>
        </w:rPr>
        <w:t> </w:t>
      </w:r>
      <w:r>
        <w:rPr/>
        <w:t>arrojó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ganancia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$41.431</w:t>
      </w:r>
      <w:r>
        <w:rPr>
          <w:spacing w:val="-9"/>
        </w:rPr>
        <w:t> </w:t>
      </w:r>
      <w:r>
        <w:rPr/>
        <w:t>millones,</w:t>
      </w:r>
      <w:r>
        <w:rPr>
          <w:spacing w:val="-9"/>
        </w:rPr>
        <w:t> </w:t>
      </w:r>
      <w:r>
        <w:rPr/>
        <w:t>mientras</w:t>
      </w:r>
      <w:r>
        <w:rPr>
          <w:spacing w:val="-57"/>
        </w:rPr>
        <w:t> </w:t>
      </w:r>
      <w:r>
        <w:rPr/>
        <w:t>que el mismo período del ejercicio anterior, arrojó una ganancia de $24.987,8 millones como consecuencia,</w:t>
      </w:r>
      <w:r>
        <w:rPr>
          <w:spacing w:val="1"/>
        </w:rPr>
        <w:t> </w:t>
      </w:r>
      <w:r>
        <w:rPr/>
        <w:t>principalmente,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mencionado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 anterior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mayores</w:t>
      </w:r>
      <w:r>
        <w:rPr>
          <w:spacing w:val="-1"/>
        </w:rPr>
        <w:t> </w:t>
      </w:r>
      <w:r>
        <w:rPr/>
        <w:t>gastos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8"/>
        <w:jc w:val="both"/>
      </w:pPr>
      <w:bookmarkStart w:name="El resultado del período de nueve meses " w:id="5"/>
      <w:bookmarkEnd w:id="5"/>
      <w:r>
        <w:rPr/>
      </w:r>
      <w:r>
        <w:rPr/>
        <w:t>El resultado del período de nueve meses en análisis ascendió a una ganancia de $6.291,7 millones, mientras</w:t>
      </w:r>
      <w:r>
        <w:rPr>
          <w:spacing w:val="1"/>
        </w:rPr>
        <w:t> </w:t>
      </w:r>
      <w:r>
        <w:rPr/>
        <w:t>que el mismo período del ejercicio anterior arrojó una ganancia de $16.888,7 millones, como consecuencia,</w:t>
      </w:r>
      <w:r>
        <w:rPr>
          <w:spacing w:val="1"/>
        </w:rPr>
        <w:t> </w:t>
      </w:r>
      <w:r>
        <w:rPr/>
        <w:t>principalmente, de una pérdida por diferencia de cambio resultante de la importante devaluación del peso</w:t>
      </w:r>
      <w:r>
        <w:rPr>
          <w:spacing w:val="1"/>
        </w:rPr>
        <w:t> </w:t>
      </w:r>
      <w:r>
        <w:rPr/>
        <w:t>durante diciembre 2023, en contraste a una ganancia por el mismo concepto, en el mismo período del año</w:t>
      </w:r>
      <w:r>
        <w:rPr>
          <w:spacing w:val="1"/>
        </w:rPr>
        <w:t> </w:t>
      </w:r>
      <w:r>
        <w:rPr/>
        <w:t>anterior;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menor</w:t>
      </w:r>
      <w:r>
        <w:rPr>
          <w:spacing w:val="-3"/>
        </w:rPr>
        <w:t> </w:t>
      </w:r>
      <w:r>
        <w:rPr/>
        <w:t>ganancia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resultado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exposición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cambios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poder</w:t>
      </w:r>
      <w:r>
        <w:rPr>
          <w:spacing w:val="-3"/>
        </w:rPr>
        <w:t> </w:t>
      </w:r>
      <w:r>
        <w:rPr/>
        <w:t>adquisitivo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moneda</w:t>
      </w:r>
      <w:r>
        <w:rPr>
          <w:spacing w:val="-57"/>
        </w:rPr>
        <w:t> </w:t>
      </w:r>
      <w:r>
        <w:rPr/>
        <w:t>y</w:t>
      </w:r>
      <w:r>
        <w:rPr>
          <w:spacing w:val="-1"/>
        </w:rPr>
        <w:t> </w:t>
      </w:r>
      <w:r>
        <w:rPr/>
        <w:t>mayores ingresos financieros.</w:t>
      </w:r>
    </w:p>
    <w:p>
      <w:pPr>
        <w:pStyle w:val="BodyText"/>
      </w:pPr>
    </w:p>
    <w:p>
      <w:pPr>
        <w:pStyle w:val="BodyText"/>
        <w:ind w:left="1304" w:right="646"/>
        <w:jc w:val="both"/>
      </w:pPr>
      <w:bookmarkStart w:name="El resultado integral del período de nue" w:id="6"/>
      <w:bookmarkEnd w:id="6"/>
      <w:r>
        <w:rPr/>
      </w:r>
      <w:r>
        <w:rPr/>
        <w:t>El resultado integral del período de nueve meses en análisis fue una ganancia de $6.561,5 millones, frente a</w:t>
      </w:r>
      <w:r>
        <w:rPr>
          <w:spacing w:val="1"/>
        </w:rPr>
        <w:t> </w:t>
      </w:r>
      <w:r>
        <w:rPr/>
        <w:t>una</w:t>
      </w:r>
      <w:r>
        <w:rPr>
          <w:spacing w:val="-3"/>
        </w:rPr>
        <w:t> </w:t>
      </w:r>
      <w:r>
        <w:rPr/>
        <w:t>ganancia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$16.939,9</w:t>
      </w:r>
      <w:r>
        <w:rPr>
          <w:spacing w:val="-2"/>
        </w:rPr>
        <w:t> </w:t>
      </w:r>
      <w:r>
        <w:rPr/>
        <w:t>millones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2"/>
        </w:rPr>
        <w:t> </w:t>
      </w:r>
      <w:r>
        <w:rPr/>
        <w:t>período del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304" w:right="650"/>
        <w:jc w:val="both"/>
      </w:pPr>
      <w:bookmarkStart w:name="Los ingresos de actividades ordinarias a" w:id="7"/>
      <w:bookmarkEnd w:id="7"/>
      <w:r>
        <w:rPr/>
      </w:r>
      <w:r>
        <w:rPr/>
        <w:t>Los ingresos de actividades ordinarias ascendieron a $209.327,6 millones, que representan un incremento del</w:t>
      </w:r>
      <w:r>
        <w:rPr>
          <w:spacing w:val="-57"/>
        </w:rPr>
        <w:t> </w:t>
      </w:r>
      <w:r>
        <w:rPr/>
        <w:t>8% sobre el mismo período del ejercicio precedente, mientras los costos de ventas disminuyeron un 3%</w:t>
      </w:r>
      <w:r>
        <w:rPr>
          <w:spacing w:val="1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mismo período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</w:pPr>
    </w:p>
    <w:p>
      <w:pPr>
        <w:pStyle w:val="BodyText"/>
        <w:ind w:left="1304" w:right="648"/>
        <w:jc w:val="both"/>
      </w:pPr>
      <w:bookmarkStart w:name="En Celulosa Argentina, los ingresos por " w:id="8"/>
      <w:bookmarkEnd w:id="8"/>
      <w:r>
        <w:rPr/>
      </w:r>
      <w:r>
        <w:rPr/>
        <w:t>En Celulosa Argentina, los ingresos por actividades ordinarias se incrementaron un 19%, mientras tanto, los</w:t>
      </w:r>
      <w:r>
        <w:rPr>
          <w:spacing w:val="1"/>
        </w:rPr>
        <w:t> </w:t>
      </w:r>
      <w:r>
        <w:rPr/>
        <w:t>costos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ventas se</w:t>
      </w:r>
      <w:r>
        <w:rPr>
          <w:spacing w:val="-1"/>
        </w:rPr>
        <w:t> </w:t>
      </w:r>
      <w:r>
        <w:rPr/>
        <w:t>incrementaron sólo</w:t>
      </w:r>
      <w:r>
        <w:rPr>
          <w:spacing w:val="-2"/>
        </w:rPr>
        <w:t> </w:t>
      </w:r>
      <w:r>
        <w:rPr/>
        <w:t>un 3%.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8"/>
        <w:jc w:val="both"/>
      </w:pPr>
      <w:bookmarkStart w:name="En Celulosa Argentina, la producción de " w:id="9"/>
      <w:bookmarkEnd w:id="9"/>
      <w:r>
        <w:rPr/>
      </w:r>
      <w:r>
        <w:rPr/>
        <w:t>En Celulosa Argentina, la producción de papeles de impresión y escritura, papeles tissue y pulpa de mercado</w:t>
      </w:r>
      <w:r>
        <w:rPr>
          <w:spacing w:val="1"/>
        </w:rPr>
        <w:t> </w:t>
      </w:r>
      <w:r>
        <w:rPr/>
        <w:t>de eucaliptus del período de nueve meses finalizado el 29 de febrero de 2024 fue de 125.810 toneladas, cifra</w:t>
      </w:r>
      <w:r>
        <w:rPr>
          <w:spacing w:val="1"/>
        </w:rPr>
        <w:t> </w:t>
      </w:r>
      <w:r>
        <w:rPr/>
        <w:t>un</w:t>
      </w:r>
      <w:r>
        <w:rPr>
          <w:spacing w:val="-1"/>
        </w:rPr>
        <w:t> </w:t>
      </w:r>
      <w:r>
        <w:rPr/>
        <w:t>8,4</w:t>
      </w:r>
      <w:r>
        <w:rPr>
          <w:spacing w:val="-2"/>
        </w:rPr>
        <w:t> </w:t>
      </w:r>
      <w:r>
        <w:rPr/>
        <w:t>% superior al</w:t>
      </w:r>
      <w:r>
        <w:rPr>
          <w:spacing w:val="-1"/>
        </w:rPr>
        <w:t> </w:t>
      </w:r>
      <w:r>
        <w:rPr/>
        <w:t>del mismo</w:t>
      </w:r>
      <w:r>
        <w:rPr>
          <w:spacing w:val="-1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anterior.</w:t>
      </w:r>
    </w:p>
    <w:p>
      <w:pPr>
        <w:pStyle w:val="BodyText"/>
      </w:pPr>
    </w:p>
    <w:p>
      <w:pPr>
        <w:pStyle w:val="BodyText"/>
        <w:spacing w:before="1"/>
        <w:ind w:left="1304" w:right="647"/>
        <w:jc w:val="both"/>
      </w:pPr>
      <w:bookmarkStart w:name="La facturación de papel para impresión y" w:id="10"/>
      <w:bookmarkEnd w:id="10"/>
      <w:r>
        <w:rPr/>
      </w:r>
      <w:r>
        <w:rPr/>
        <w:t>La facturación de papel para impresión y escritura, estucados y no estucados, de Fanapel consolidada del</w:t>
      </w:r>
      <w:r>
        <w:rPr>
          <w:spacing w:val="1"/>
        </w:rPr>
        <w:t> </w:t>
      </w:r>
      <w:r>
        <w:rPr/>
        <w:t>período ascendió a $10.002,4 millones de pesos argentinos, mientras que para el mismo período del ejercicio</w:t>
      </w:r>
      <w:r>
        <w:rPr>
          <w:spacing w:val="1"/>
        </w:rPr>
        <w:t> </w:t>
      </w:r>
      <w:r>
        <w:rPr/>
        <w:t>anterior ascendió a $10.812,9, producto de su actividad como distribuidora con una reducción del 7%. Los</w:t>
      </w:r>
      <w:r>
        <w:rPr>
          <w:spacing w:val="1"/>
        </w:rPr>
        <w:t> </w:t>
      </w:r>
      <w:r>
        <w:rPr>
          <w:spacing w:val="-1"/>
        </w:rPr>
        <w:t>ingresos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empresa</w:t>
      </w:r>
      <w:r>
        <w:rPr>
          <w:spacing w:val="-14"/>
        </w:rPr>
        <w:t> </w:t>
      </w:r>
      <w:r>
        <w:rPr/>
        <w:t>están</w:t>
      </w:r>
      <w:r>
        <w:rPr>
          <w:spacing w:val="-12"/>
        </w:rPr>
        <w:t> </w:t>
      </w:r>
      <w:r>
        <w:rPr/>
        <w:t>nominados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dólares,</w:t>
      </w:r>
      <w:r>
        <w:rPr>
          <w:spacing w:val="-14"/>
        </w:rPr>
        <w:t> </w:t>
      </w:r>
      <w:r>
        <w:rPr/>
        <w:t>pero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diferente</w:t>
      </w:r>
      <w:r>
        <w:rPr>
          <w:spacing w:val="-13"/>
        </w:rPr>
        <w:t> </w:t>
      </w:r>
      <w:r>
        <w:rPr/>
        <w:t>evolución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cotización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esta</w:t>
      </w:r>
      <w:r>
        <w:rPr>
          <w:spacing w:val="-14"/>
        </w:rPr>
        <w:t> </w:t>
      </w:r>
      <w:r>
        <w:rPr/>
        <w:t>moneda</w:t>
      </w:r>
      <w:r>
        <w:rPr>
          <w:spacing w:val="-58"/>
        </w:rPr>
        <w:t> </w:t>
      </w:r>
      <w:r>
        <w:rPr/>
        <w:t>y la inflación en la República Argentina se traduce en una disminución de los montos facturados medidos en la</w:t>
      </w:r>
      <w:r>
        <w:rPr>
          <w:spacing w:val="-57"/>
        </w:rPr>
        <w:t> </w:t>
      </w:r>
      <w:r>
        <w:rPr/>
        <w:t>moneda</w:t>
      </w:r>
      <w:r>
        <w:rPr>
          <w:spacing w:val="-2"/>
        </w:rPr>
        <w:t> </w:t>
      </w:r>
      <w:r>
        <w:rPr/>
        <w:t>local.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8"/>
        <w:jc w:val="both"/>
      </w:pPr>
      <w:bookmarkStart w:name="Forestadora Tapebicuá registró una factu" w:id="11"/>
      <w:bookmarkEnd w:id="11"/>
      <w:r>
        <w:rPr/>
      </w:r>
      <w:r>
        <w:rPr/>
        <w:t>Forestadora</w:t>
      </w:r>
      <w:r>
        <w:rPr>
          <w:spacing w:val="-5"/>
        </w:rPr>
        <w:t> </w:t>
      </w:r>
      <w:r>
        <w:rPr/>
        <w:t>Tapebicuá</w:t>
      </w:r>
      <w:r>
        <w:rPr>
          <w:spacing w:val="-5"/>
        </w:rPr>
        <w:t> </w:t>
      </w:r>
      <w:r>
        <w:rPr/>
        <w:t>registró</w:t>
      </w:r>
      <w:r>
        <w:rPr>
          <w:spacing w:val="-5"/>
        </w:rPr>
        <w:t> </w:t>
      </w:r>
      <w:r>
        <w:rPr/>
        <w:t>una</w:t>
      </w:r>
      <w:r>
        <w:rPr>
          <w:spacing w:val="-3"/>
        </w:rPr>
        <w:t> </w:t>
      </w:r>
      <w:r>
        <w:rPr/>
        <w:t>facturación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$17.584,4</w:t>
      </w:r>
      <w:r>
        <w:rPr>
          <w:spacing w:val="-3"/>
        </w:rPr>
        <w:t> </w:t>
      </w:r>
      <w:r>
        <w:rPr/>
        <w:t>millones,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23%</w:t>
      </w:r>
      <w:r>
        <w:rPr>
          <w:spacing w:val="-3"/>
        </w:rPr>
        <w:t> </w:t>
      </w:r>
      <w:r>
        <w:rPr/>
        <w:t>inferior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</w:t>
      </w:r>
      <w:r>
        <w:rPr>
          <w:spacing w:val="-5"/>
        </w:rPr>
        <w:t> </w:t>
      </w:r>
      <w:r>
        <w:rPr/>
        <w:t>período</w:t>
      </w:r>
      <w:r>
        <w:rPr>
          <w:spacing w:val="-57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</w:pPr>
    </w:p>
    <w:p>
      <w:pPr>
        <w:pStyle w:val="BodyText"/>
        <w:spacing w:before="1"/>
        <w:ind w:left="1304" w:right="649"/>
        <w:jc w:val="both"/>
      </w:pPr>
      <w:bookmarkStart w:name="Los costos de distribución y los gastos " w:id="12"/>
      <w:bookmarkEnd w:id="12"/>
      <w:r>
        <w:rPr/>
      </w:r>
      <w:r>
        <w:rPr/>
        <w:t>Los costos de distribución y los gastos de administración, en su conjunto, aumentaron $3.521,4 millones</w:t>
      </w:r>
      <w:r>
        <w:rPr>
          <w:spacing w:val="1"/>
        </w:rPr>
        <w:t> </w:t>
      </w:r>
      <w:r>
        <w:rPr/>
        <w:t>respecto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</w:t>
      </w:r>
      <w:r>
        <w:rPr>
          <w:spacing w:val="-2"/>
        </w:rPr>
        <w:t> </w:t>
      </w:r>
      <w:r>
        <w:rPr/>
        <w:t>período del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6"/>
        <w:jc w:val="both"/>
      </w:pPr>
      <w:bookmarkStart w:name="Los ingresos financieros se incrementaro" w:id="13"/>
      <w:bookmarkEnd w:id="13"/>
      <w:r>
        <w:rPr/>
      </w:r>
      <w:r>
        <w:rPr/>
        <w:t>Los</w:t>
      </w:r>
      <w:r>
        <w:rPr>
          <w:spacing w:val="-6"/>
        </w:rPr>
        <w:t> </w:t>
      </w:r>
      <w:r>
        <w:rPr/>
        <w:t>ingresos</w:t>
      </w:r>
      <w:r>
        <w:rPr>
          <w:spacing w:val="-5"/>
        </w:rPr>
        <w:t> </w:t>
      </w:r>
      <w:r>
        <w:rPr/>
        <w:t>financieros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incrementaron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este</w:t>
      </w:r>
      <w:r>
        <w:rPr>
          <w:spacing w:val="-5"/>
        </w:rPr>
        <w:t> </w:t>
      </w:r>
      <w:r>
        <w:rPr/>
        <w:t>período,</w:t>
      </w:r>
      <w:r>
        <w:rPr>
          <w:spacing w:val="-5"/>
        </w:rPr>
        <w:t> </w:t>
      </w:r>
      <w:r>
        <w:rPr/>
        <w:t>ascendiendo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$9.996,1,</w:t>
      </w:r>
      <w:r>
        <w:rPr>
          <w:spacing w:val="-5"/>
        </w:rPr>
        <w:t> </w:t>
      </w:r>
      <w:r>
        <w:rPr/>
        <w:t>mientras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mismo</w:t>
      </w:r>
      <w:r>
        <w:rPr>
          <w:spacing w:val="-58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anterior fueron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$7.398,9</w:t>
      </w:r>
      <w:r>
        <w:rPr>
          <w:spacing w:val="-1"/>
        </w:rPr>
        <w:t> </w:t>
      </w:r>
      <w:r>
        <w:rPr/>
        <w:t>millones.</w:t>
      </w:r>
    </w:p>
    <w:p>
      <w:pPr>
        <w:pStyle w:val="BodyText"/>
      </w:pPr>
    </w:p>
    <w:p>
      <w:pPr>
        <w:pStyle w:val="BodyText"/>
        <w:ind w:left="1304" w:right="648"/>
        <w:jc w:val="both"/>
      </w:pPr>
      <w:bookmarkStart w:name="Los egresos financieros se mantuvieron e" w:id="14"/>
      <w:bookmarkEnd w:id="14"/>
      <w:r>
        <w:rPr/>
      </w:r>
      <w:r>
        <w:rPr/>
        <w:t>Los egresos financieros se mantuvieron en valores similares a los del período anterior, arrojando una pérdida</w:t>
      </w:r>
      <w:r>
        <w:rPr>
          <w:spacing w:val="1"/>
        </w:rPr>
        <w:t> </w:t>
      </w:r>
      <w:r>
        <w:rPr/>
        <w:t>de $13.763,9 millones durante el período de nueve meses finalizado el 29 de febrero de 2024, mientras que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2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representaron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pérdida</w:t>
      </w:r>
      <w:r>
        <w:rPr>
          <w:spacing w:val="-3"/>
        </w:rPr>
        <w:t> </w:t>
      </w:r>
      <w:r>
        <w:rPr/>
        <w:t>$13.249,9</w:t>
      </w:r>
      <w:r>
        <w:rPr>
          <w:spacing w:val="-1"/>
        </w:rPr>
        <w:t> </w:t>
      </w:r>
      <w:r>
        <w:rPr/>
        <w:t>millones.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304" w:right="647"/>
        <w:jc w:val="both"/>
      </w:pPr>
      <w:bookmarkStart w:name="La diferencia de cambio neta arrojó una " w:id="15"/>
      <w:bookmarkEnd w:id="15"/>
      <w:r>
        <w:rPr/>
      </w:r>
      <w:r>
        <w:rPr/>
        <w:t>La diferencia de cambio neta arrojó una pérdida de $9.152,7 millones durante el período de nueve meses</w:t>
      </w:r>
      <w:r>
        <w:rPr>
          <w:spacing w:val="1"/>
        </w:rPr>
        <w:t> </w:t>
      </w:r>
      <w:r>
        <w:rPr/>
        <w:t>finalizado el 29 de febrero de 2024; mientras que, en el mismo período del ejercicio anterior, representó una</w:t>
      </w:r>
      <w:r>
        <w:rPr>
          <w:spacing w:val="1"/>
        </w:rPr>
        <w:t> </w:t>
      </w:r>
      <w:r>
        <w:rPr/>
        <w:t>ganancia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$3.054,6</w:t>
      </w:r>
      <w:r>
        <w:rPr>
          <w:spacing w:val="1"/>
        </w:rPr>
        <w:t> </w:t>
      </w:r>
      <w:r>
        <w:rPr/>
        <w:t>millones,</w:t>
      </w:r>
      <w:r>
        <w:rPr>
          <w:spacing w:val="1"/>
        </w:rPr>
        <w:t> </w:t>
      </w:r>
      <w:r>
        <w:rPr/>
        <w:t>producto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devaluación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peso</w:t>
      </w:r>
      <w:r>
        <w:rPr>
          <w:spacing w:val="1"/>
        </w:rPr>
        <w:t> </w:t>
      </w:r>
      <w:r>
        <w:rPr/>
        <w:t>argentino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dólar</w:t>
      </w:r>
      <w:r>
        <w:rPr>
          <w:spacing w:val="1"/>
        </w:rPr>
        <w:t> </w:t>
      </w:r>
      <w:r>
        <w:rPr/>
        <w:t>estadounidense,</w:t>
      </w:r>
      <w:r>
        <w:rPr>
          <w:spacing w:val="-2"/>
        </w:rPr>
        <w:t> </w:t>
      </w:r>
      <w:r>
        <w:rPr/>
        <w:t>medida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reales.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304" w:right="648"/>
        <w:jc w:val="both"/>
      </w:pPr>
      <w:bookmarkStart w:name="Al 29 de febrero de 2024, se registró un" w:id="16"/>
      <w:bookmarkEnd w:id="16"/>
      <w:r>
        <w:rPr/>
      </w:r>
      <w:r>
        <w:rPr/>
        <w:t>Al 29 de febrero de 2024, se registró una ganancia por exposición a los cambios en el poder adquisitivo de la</w:t>
      </w:r>
      <w:r>
        <w:rPr>
          <w:spacing w:val="1"/>
        </w:rPr>
        <w:t> </w:t>
      </w:r>
      <w:r>
        <w:rPr/>
        <w:t>moneda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$171,5</w:t>
      </w:r>
      <w:r>
        <w:rPr>
          <w:spacing w:val="13"/>
        </w:rPr>
        <w:t> </w:t>
      </w:r>
      <w:r>
        <w:rPr/>
        <w:t>millones,</w:t>
      </w:r>
      <w:r>
        <w:rPr>
          <w:spacing w:val="13"/>
        </w:rPr>
        <w:t> </w:t>
      </w:r>
      <w:r>
        <w:rPr/>
        <w:t>mientras</w:t>
      </w:r>
      <w:r>
        <w:rPr>
          <w:spacing w:val="11"/>
        </w:rPr>
        <w:t> </w:t>
      </w:r>
      <w:r>
        <w:rPr/>
        <w:t>que</w:t>
      </w:r>
      <w:r>
        <w:rPr>
          <w:spacing w:val="12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mismo</w:t>
      </w:r>
      <w:r>
        <w:rPr>
          <w:spacing w:val="12"/>
        </w:rPr>
        <w:t> </w:t>
      </w:r>
      <w:r>
        <w:rPr/>
        <w:t>período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ejercicio</w:t>
      </w:r>
      <w:r>
        <w:rPr>
          <w:spacing w:val="12"/>
        </w:rPr>
        <w:t> </w:t>
      </w:r>
      <w:r>
        <w:rPr/>
        <w:t>anterior</w:t>
      </w:r>
      <w:r>
        <w:rPr>
          <w:spacing w:val="14"/>
        </w:rPr>
        <w:t> </w:t>
      </w:r>
      <w:r>
        <w:rPr/>
        <w:t>la</w:t>
      </w:r>
      <w:r>
        <w:rPr>
          <w:spacing w:val="11"/>
        </w:rPr>
        <w:t> </w:t>
      </w:r>
      <w:r>
        <w:rPr/>
        <w:t>ganancia</w:t>
      </w:r>
      <w:r>
        <w:rPr>
          <w:spacing w:val="13"/>
        </w:rPr>
        <w:t> </w:t>
      </w:r>
      <w:r>
        <w:rPr/>
        <w:t>ascendió</w:t>
      </w:r>
      <w:r>
        <w:rPr>
          <w:spacing w:val="11"/>
        </w:rPr>
        <w:t> </w:t>
      </w:r>
      <w:r>
        <w:rPr/>
        <w:t>a</w:t>
      </w:r>
    </w:p>
    <w:p>
      <w:pPr>
        <w:pStyle w:val="BodyText"/>
        <w:ind w:left="1304" w:right="649"/>
        <w:jc w:val="both"/>
      </w:pPr>
      <w:r>
        <w:rPr/>
        <w:t>$10.138,5</w:t>
      </w:r>
      <w:r>
        <w:rPr>
          <w:spacing w:val="-8"/>
        </w:rPr>
        <w:t> </w:t>
      </w:r>
      <w:r>
        <w:rPr/>
        <w:t>millones.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variación</w:t>
      </w:r>
      <w:r>
        <w:rPr>
          <w:spacing w:val="-7"/>
        </w:rPr>
        <w:t> </w:t>
      </w:r>
      <w:r>
        <w:rPr/>
        <w:t>obedece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impacto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tasa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inflación</w:t>
      </w:r>
      <w:r>
        <w:rPr>
          <w:spacing w:val="-7"/>
        </w:rPr>
        <w:t> </w:t>
      </w:r>
      <w:r>
        <w:rPr/>
        <w:t>sobre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posición</w:t>
      </w:r>
      <w:r>
        <w:rPr>
          <w:spacing w:val="-8"/>
        </w:rPr>
        <w:t> </w:t>
      </w:r>
      <w:r>
        <w:rPr/>
        <w:t>monetaria</w:t>
      </w:r>
      <w:r>
        <w:rPr>
          <w:spacing w:val="-9"/>
        </w:rPr>
        <w:t> </w:t>
      </w:r>
      <w:r>
        <w:rPr/>
        <w:t>neta</w:t>
      </w:r>
      <w:r>
        <w:rPr>
          <w:spacing w:val="-9"/>
        </w:rPr>
        <w:t> </w:t>
      </w:r>
      <w:r>
        <w:rPr/>
        <w:t>de</w:t>
      </w:r>
      <w:r>
        <w:rPr>
          <w:spacing w:val="-57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Sociedad,</w:t>
      </w:r>
      <w:r>
        <w:rPr>
          <w:spacing w:val="-1"/>
        </w:rPr>
        <w:t> </w:t>
      </w:r>
      <w:r>
        <w:rPr/>
        <w:t>expuesta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inflación.</w:t>
      </w:r>
    </w:p>
    <w:p>
      <w:pPr>
        <w:spacing w:after="0"/>
        <w:jc w:val="both"/>
        <w:sectPr>
          <w:type w:val="continuous"/>
          <w:pgSz w:w="11910" w:h="16840"/>
          <w:pgMar w:top="1580" w:bottom="280" w:left="0" w:right="483"/>
        </w:sectPr>
      </w:pPr>
    </w:p>
    <w:p>
      <w:pPr>
        <w:pStyle w:val="BodyText"/>
        <w:spacing w:before="101"/>
        <w:ind w:left="1304" w:right="648"/>
        <w:jc w:val="both"/>
      </w:pPr>
      <w:bookmarkStart w:name="Al 29 de febrero de 2024, se registró un" w:id="17"/>
      <w:bookmarkEnd w:id="17"/>
      <w:r>
        <w:rPr/>
      </w:r>
      <w:r>
        <w:rPr/>
        <w:t>Al</w:t>
      </w:r>
      <w:r>
        <w:rPr>
          <w:spacing w:val="-13"/>
        </w:rPr>
        <w:t> </w:t>
      </w:r>
      <w:r>
        <w:rPr/>
        <w:t>29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2024,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registró</w:t>
      </w:r>
      <w:r>
        <w:rPr>
          <w:spacing w:val="-13"/>
        </w:rPr>
        <w:t> </w:t>
      </w:r>
      <w:r>
        <w:rPr/>
        <w:t>una</w:t>
      </w:r>
      <w:r>
        <w:rPr>
          <w:spacing w:val="-15"/>
        </w:rPr>
        <w:t> </w:t>
      </w:r>
      <w:r>
        <w:rPr/>
        <w:t>pérdida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impuesto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las</w:t>
      </w:r>
      <w:r>
        <w:rPr>
          <w:spacing w:val="-14"/>
        </w:rPr>
        <w:t> </w:t>
      </w:r>
      <w:r>
        <w:rPr/>
        <w:t>ganancias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$20.699,7</w:t>
      </w:r>
      <w:r>
        <w:rPr>
          <w:spacing w:val="-13"/>
        </w:rPr>
        <w:t> </w:t>
      </w:r>
      <w:r>
        <w:rPr/>
        <w:t>millones;</w:t>
      </w:r>
      <w:r>
        <w:rPr>
          <w:spacing w:val="-11"/>
        </w:rPr>
        <w:t> </w:t>
      </w:r>
      <w:r>
        <w:rPr/>
        <w:t>mientras</w:t>
      </w:r>
      <w:r>
        <w:rPr>
          <w:spacing w:val="-58"/>
        </w:rPr>
        <w:t> </w:t>
      </w:r>
      <w:r>
        <w:rPr/>
        <w:t>que,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se registró</w:t>
      </w:r>
      <w:r>
        <w:rPr>
          <w:spacing w:val="-1"/>
        </w:rPr>
        <w:t> </w:t>
      </w:r>
      <w:r>
        <w:rPr/>
        <w:t>una</w:t>
      </w:r>
      <w:r>
        <w:rPr>
          <w:spacing w:val="-3"/>
        </w:rPr>
        <w:t> </w:t>
      </w:r>
      <w:r>
        <w:rPr/>
        <w:t>pérdida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$14.747,2</w:t>
      </w:r>
      <w:r>
        <w:rPr>
          <w:spacing w:val="-2"/>
        </w:rPr>
        <w:t> </w:t>
      </w:r>
      <w:r>
        <w:rPr/>
        <w:t>millones.</w:t>
      </w:r>
    </w:p>
    <w:p>
      <w:pPr>
        <w:pStyle w:val="BodyText"/>
        <w:ind w:left="1304" w:right="645"/>
        <w:jc w:val="both"/>
      </w:pPr>
      <w:bookmarkStart w:name="Al 29 de febrero de 2024, se registró un" w:id="18"/>
      <w:bookmarkEnd w:id="18"/>
      <w:r>
        <w:rPr/>
      </w:r>
      <w:r>
        <w:rPr/>
        <w:t>Al 29 de febrero de 2024, se registró una ganancia por ajuste por conversión de sociedades controladas del</w:t>
      </w:r>
      <w:r>
        <w:rPr>
          <w:spacing w:val="1"/>
        </w:rPr>
        <w:t> </w:t>
      </w:r>
      <w:r>
        <w:rPr/>
        <w:t>exterior de $264,4 millones; mientras que en el mismo período del ejercicio anterior se había registrado una</w:t>
      </w:r>
      <w:r>
        <w:rPr>
          <w:spacing w:val="1"/>
        </w:rPr>
        <w:t> </w:t>
      </w:r>
      <w:r>
        <w:rPr/>
        <w:t>ganancia</w:t>
      </w:r>
      <w:r>
        <w:rPr>
          <w:spacing w:val="-1"/>
        </w:rPr>
        <w:t> </w:t>
      </w:r>
      <w:r>
        <w:rPr/>
        <w:t>de $50,6</w:t>
      </w:r>
      <w:r>
        <w:rPr>
          <w:spacing w:val="-1"/>
        </w:rPr>
        <w:t> </w:t>
      </w:r>
      <w:r>
        <w:rPr/>
        <w:t>millones.</w:t>
      </w:r>
    </w:p>
    <w:p>
      <w:pPr>
        <w:pStyle w:val="BodyText"/>
      </w:pPr>
    </w:p>
    <w:p>
      <w:pPr>
        <w:pStyle w:val="BodyText"/>
        <w:ind w:left="1304"/>
        <w:jc w:val="both"/>
      </w:pPr>
      <w:r>
        <w:rPr/>
        <w:t>La</w:t>
      </w:r>
      <w:r>
        <w:rPr>
          <w:spacing w:val="-3"/>
        </w:rPr>
        <w:t> </w:t>
      </w:r>
      <w:r>
        <w:rPr/>
        <w:t>dotación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Empresa</w:t>
      </w:r>
      <w:r>
        <w:rPr>
          <w:spacing w:val="-2"/>
        </w:rPr>
        <w:t> </w:t>
      </w:r>
      <w:r>
        <w:rPr/>
        <w:t>alcanzó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2024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cantidad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1.521</w:t>
      </w:r>
      <w:r>
        <w:rPr>
          <w:spacing w:val="-2"/>
        </w:rPr>
        <w:t> </w:t>
      </w:r>
      <w:r>
        <w:rPr/>
        <w:t>personas.</w:t>
      </w:r>
    </w:p>
    <w:p>
      <w:pPr>
        <w:pStyle w:val="BodyText"/>
        <w:spacing w:before="11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1" w:after="0"/>
        <w:ind w:left="1545" w:right="0" w:hanging="242"/>
        <w:jc w:val="left"/>
      </w:pPr>
      <w:r>
        <w:rPr/>
        <w:t>Información</w:t>
      </w:r>
      <w:r>
        <w:rPr>
          <w:spacing w:val="-7"/>
        </w:rPr>
        <w:t> </w:t>
      </w:r>
      <w:r>
        <w:rPr/>
        <w:t>comparativa.</w:t>
      </w: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ind w:left="1304" w:right="649"/>
        <w:jc w:val="both"/>
      </w:pPr>
      <w:r>
        <w:rPr/>
        <w:t>En los anexos 1 y 2 adjuntos, se incluye información comparativa con períodos anteriores relacionada con la</w:t>
      </w:r>
      <w:r>
        <w:rPr>
          <w:spacing w:val="1"/>
        </w:rPr>
        <w:t> </w:t>
      </w:r>
      <w:r>
        <w:rPr/>
        <w:t>estructura</w:t>
      </w:r>
      <w:r>
        <w:rPr>
          <w:spacing w:val="-3"/>
        </w:rPr>
        <w:t> </w:t>
      </w:r>
      <w:r>
        <w:rPr/>
        <w:t>patrimonial,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 flujos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efectivo,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estadísticos</w:t>
      </w:r>
      <w:r>
        <w:rPr>
          <w:spacing w:val="-2"/>
        </w:rPr>
        <w:t> </w:t>
      </w:r>
      <w:r>
        <w:rPr/>
        <w:t>e índices.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1542" w:val="left" w:leader="none"/>
        </w:tabs>
        <w:spacing w:line="240" w:lineRule="auto" w:before="1" w:after="0"/>
        <w:ind w:left="1304" w:right="647" w:firstLine="0"/>
        <w:jc w:val="left"/>
      </w:pPr>
      <w:r>
        <w:rPr/>
        <w:t>Grupo</w:t>
      </w:r>
      <w:r>
        <w:rPr>
          <w:spacing w:val="-8"/>
        </w:rPr>
        <w:t> </w:t>
      </w:r>
      <w:r>
        <w:rPr/>
        <w:t>Tapebicuá:</w:t>
      </w:r>
      <w:r>
        <w:rPr>
          <w:spacing w:val="-8"/>
        </w:rPr>
        <w:t> </w:t>
      </w:r>
      <w:r>
        <w:rPr/>
        <w:t>Transformación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modernización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tecnologías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información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Evolución</w:t>
      </w:r>
      <w:r>
        <w:rPr>
          <w:spacing w:val="-55"/>
        </w:rPr>
        <w:t> </w:t>
      </w:r>
      <w:r>
        <w:rPr/>
        <w:t>cultural.</w:t>
      </w: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ind w:left="1304" w:right="648"/>
        <w:jc w:val="both"/>
      </w:pPr>
      <w:bookmarkStart w:name="Grupo Tapebicuá inició un proceso de rev" w:id="19"/>
      <w:bookmarkEnd w:id="19"/>
      <w:r>
        <w:rPr/>
      </w:r>
      <w:r>
        <w:rPr/>
        <w:t>Grupo</w:t>
      </w:r>
      <w:r>
        <w:rPr>
          <w:spacing w:val="-6"/>
        </w:rPr>
        <w:t> </w:t>
      </w:r>
      <w:r>
        <w:rPr/>
        <w:t>Tapebicuá</w:t>
      </w:r>
      <w:r>
        <w:rPr>
          <w:spacing w:val="-5"/>
        </w:rPr>
        <w:t> </w:t>
      </w:r>
      <w:r>
        <w:rPr/>
        <w:t>inició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proceso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revisión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análisis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procesos</w:t>
      </w:r>
      <w:r>
        <w:rPr>
          <w:spacing w:val="-6"/>
        </w:rPr>
        <w:t> </w:t>
      </w:r>
      <w:r>
        <w:rPr/>
        <w:t>internos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5"/>
        </w:rPr>
        <w:t> </w:t>
      </w:r>
      <w:r>
        <w:rPr/>
        <w:t>cuatro</w:t>
      </w:r>
      <w:r>
        <w:rPr>
          <w:spacing w:val="-5"/>
        </w:rPr>
        <w:t> </w:t>
      </w:r>
      <w:r>
        <w:rPr/>
        <w:t>compañías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7"/>
        </w:rPr>
        <w:t> </w:t>
      </w:r>
      <w:r>
        <w:rPr/>
        <w:t>las tecnologías de información, buscando mejorar y armonizar procesos, contar con mejor información para la</w:t>
      </w:r>
      <w:r>
        <w:rPr>
          <w:spacing w:val="-57"/>
        </w:rPr>
        <w:t> </w:t>
      </w:r>
      <w:r>
        <w:rPr/>
        <w:t>toma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decisiones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desarrollar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estrategia</w:t>
      </w:r>
      <w:r>
        <w:rPr>
          <w:spacing w:val="-1"/>
        </w:rPr>
        <w:t> </w:t>
      </w:r>
      <w:r>
        <w:rPr/>
        <w:t>digital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sustente</w:t>
      </w:r>
      <w:r>
        <w:rPr>
          <w:spacing w:val="-1"/>
        </w:rPr>
        <w:t> </w:t>
      </w:r>
      <w:r>
        <w:rPr/>
        <w:t>los objetivos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negocio.</w:t>
      </w:r>
    </w:p>
    <w:p>
      <w:pPr>
        <w:pStyle w:val="BodyText"/>
      </w:pPr>
    </w:p>
    <w:p>
      <w:pPr>
        <w:pStyle w:val="BodyText"/>
        <w:ind w:left="1304" w:right="648"/>
        <w:jc w:val="both"/>
      </w:pPr>
      <w:bookmarkStart w:name="Con tal fin, se contrataron los servicio" w:id="20"/>
      <w:bookmarkEnd w:id="20"/>
      <w:r>
        <w:rPr/>
      </w:r>
      <w:r>
        <w:rPr/>
        <w:t>Con tal fin, se contrataron los servicios de la empresa Globant, con quienes estamos trabajando sobre cuatro</w:t>
      </w:r>
      <w:r>
        <w:rPr>
          <w:spacing w:val="1"/>
        </w:rPr>
        <w:t> </w:t>
      </w:r>
      <w:r>
        <w:rPr/>
        <w:t>pilares:</w:t>
      </w:r>
      <w:r>
        <w:rPr>
          <w:spacing w:val="-1"/>
        </w:rPr>
        <w:t> </w:t>
      </w:r>
      <w:r>
        <w:rPr/>
        <w:t>Valor,</w:t>
      </w:r>
      <w:r>
        <w:rPr>
          <w:spacing w:val="-1"/>
        </w:rPr>
        <w:t> </w:t>
      </w:r>
      <w:r>
        <w:rPr/>
        <w:t>Procesos,</w:t>
      </w:r>
      <w:r>
        <w:rPr>
          <w:spacing w:val="-1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Organización,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Tecnología</w:t>
      </w:r>
      <w:r>
        <w:rPr>
          <w:spacing w:val="-1"/>
        </w:rPr>
        <w:t> </w:t>
      </w:r>
      <w:r>
        <w:rPr/>
        <w:t>y Datos.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304"/>
        <w:jc w:val="both"/>
      </w:pPr>
      <w:r>
        <w:rPr/>
        <w:t>En</w:t>
      </w:r>
      <w:r>
        <w:rPr>
          <w:spacing w:val="-3"/>
        </w:rPr>
        <w:t> </w:t>
      </w:r>
      <w:r>
        <w:rPr/>
        <w:t>Tecnología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Información,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está</w:t>
      </w:r>
      <w:r>
        <w:rPr>
          <w:spacing w:val="-4"/>
        </w:rPr>
        <w:t> </w:t>
      </w:r>
      <w:r>
        <w:rPr/>
        <w:t>implementado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ERP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clase</w:t>
      </w:r>
      <w:r>
        <w:rPr>
          <w:spacing w:val="-1"/>
        </w:rPr>
        <w:t> </w:t>
      </w:r>
      <w:r>
        <w:rPr/>
        <w:t>mundial:</w:t>
      </w:r>
      <w:r>
        <w:rPr>
          <w:spacing w:val="-2"/>
        </w:rPr>
        <w:t> </w:t>
      </w:r>
      <w:r>
        <w:rPr/>
        <w:t>ORACLE</w:t>
      </w:r>
      <w:r>
        <w:rPr>
          <w:spacing w:val="-2"/>
        </w:rPr>
        <w:t> </w:t>
      </w:r>
      <w:r>
        <w:rPr/>
        <w:t>CLOUD.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1304" w:right="648"/>
        <w:jc w:val="both"/>
      </w:pPr>
      <w:bookmarkStart w:name="En otro de los pilares, se conformó una " w:id="21"/>
      <w:bookmarkEnd w:id="21"/>
      <w:r>
        <w:rPr/>
      </w:r>
      <w:r>
        <w:rPr/>
        <w:t>En otro de los pilares, se conformó una Mesa de Evolución Cultural y una Mesa de Transformación en la que</w:t>
      </w:r>
      <w:r>
        <w:rPr>
          <w:spacing w:val="1"/>
        </w:rPr>
        <w:t> </w:t>
      </w:r>
      <w:r>
        <w:rPr/>
        <w:t>participan referentes de RRHH de todas las empresas del Grupo con el fin de establecer sinergias, compartir</w:t>
      </w:r>
      <w:r>
        <w:rPr>
          <w:spacing w:val="1"/>
        </w:rPr>
        <w:t> </w:t>
      </w:r>
      <w:r>
        <w:rPr/>
        <w:t>mejores</w:t>
      </w:r>
      <w:r>
        <w:rPr>
          <w:spacing w:val="-2"/>
        </w:rPr>
        <w:t> </w:t>
      </w:r>
      <w:r>
        <w:rPr/>
        <w:t>prácticas y trabajar</w:t>
      </w:r>
      <w:r>
        <w:rPr>
          <w:spacing w:val="-1"/>
        </w:rPr>
        <w:t> </w:t>
      </w:r>
      <w:r>
        <w:rPr/>
        <w:t>sobre aspectos culturales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Grupo.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1546" w:val="left" w:leader="none"/>
        </w:tabs>
        <w:spacing w:line="240" w:lineRule="auto" w:before="0" w:after="0"/>
        <w:ind w:left="1545" w:right="0" w:hanging="242"/>
        <w:jc w:val="left"/>
      </w:pPr>
      <w:r>
        <w:rPr/>
        <w:t>Breve</w:t>
      </w:r>
      <w:r>
        <w:rPr>
          <w:spacing w:val="-5"/>
        </w:rPr>
        <w:t> </w:t>
      </w:r>
      <w:r>
        <w:rPr/>
        <w:t>comentario</w:t>
      </w:r>
      <w:r>
        <w:rPr>
          <w:spacing w:val="-3"/>
        </w:rPr>
        <w:t> </w:t>
      </w:r>
      <w:r>
        <w:rPr/>
        <w:t>sobre</w:t>
      </w:r>
      <w:r>
        <w:rPr>
          <w:spacing w:val="-4"/>
        </w:rPr>
        <w:t> </w:t>
      </w:r>
      <w:r>
        <w:rPr/>
        <w:t>perspectivas</w:t>
      </w:r>
    </w:p>
    <w:p>
      <w:pPr>
        <w:pStyle w:val="BodyText"/>
        <w:rPr>
          <w:b/>
        </w:rPr>
      </w:pPr>
    </w:p>
    <w:p>
      <w:pPr>
        <w:pStyle w:val="BodyText"/>
        <w:ind w:left="1304" w:right="648"/>
        <w:jc w:val="both"/>
      </w:pPr>
      <w:bookmarkStart w:name="La Sociedad cerró el período de nueve me" w:id="22"/>
      <w:bookmarkEnd w:id="22"/>
      <w:r>
        <w:rPr/>
      </w:r>
      <w:r>
        <w:rPr/>
        <w:t>La</w:t>
      </w:r>
      <w:r>
        <w:rPr>
          <w:spacing w:val="-4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cerró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nueve</w:t>
      </w:r>
      <w:r>
        <w:rPr>
          <w:spacing w:val="-3"/>
        </w:rPr>
        <w:t> </w:t>
      </w:r>
      <w:r>
        <w:rPr/>
        <w:t>meses</w:t>
      </w:r>
      <w:r>
        <w:rPr>
          <w:spacing w:val="-2"/>
        </w:rPr>
        <w:t> </w:t>
      </w:r>
      <w:r>
        <w:rPr/>
        <w:t>finalizado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29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2024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contexto</w:t>
      </w:r>
      <w:r>
        <w:rPr>
          <w:spacing w:val="-4"/>
        </w:rPr>
        <w:t> </w:t>
      </w:r>
      <w:r>
        <w:rPr/>
        <w:t>desafiante</w:t>
      </w:r>
      <w:r>
        <w:rPr>
          <w:spacing w:val="-3"/>
        </w:rPr>
        <w:t> </w:t>
      </w:r>
      <w:r>
        <w:rPr/>
        <w:t>en</w:t>
      </w:r>
      <w:r>
        <w:rPr>
          <w:spacing w:val="-58"/>
        </w:rPr>
        <w:t> </w:t>
      </w:r>
      <w:r>
        <w:rPr/>
        <w:t>el</w:t>
      </w:r>
      <w:r>
        <w:rPr>
          <w:spacing w:val="-7"/>
        </w:rPr>
        <w:t> </w:t>
      </w:r>
      <w:r>
        <w:rPr/>
        <w:t>marco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profundos</w:t>
      </w:r>
      <w:r>
        <w:rPr>
          <w:spacing w:val="-7"/>
        </w:rPr>
        <w:t> </w:t>
      </w:r>
      <w:r>
        <w:rPr/>
        <w:t>cambios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está</w:t>
      </w:r>
      <w:r>
        <w:rPr>
          <w:spacing w:val="-7"/>
        </w:rPr>
        <w:t> </w:t>
      </w:r>
      <w:r>
        <w:rPr/>
        <w:t>instrumentando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Gobierno</w:t>
      </w:r>
      <w:r>
        <w:rPr>
          <w:spacing w:val="-6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materia</w:t>
      </w:r>
      <w:r>
        <w:rPr>
          <w:spacing w:val="-7"/>
        </w:rPr>
        <w:t> </w:t>
      </w:r>
      <w:r>
        <w:rPr/>
        <w:t>fiscal,</w:t>
      </w:r>
      <w:r>
        <w:rPr>
          <w:spacing w:val="-7"/>
        </w:rPr>
        <w:t> </w:t>
      </w:r>
      <w:r>
        <w:rPr/>
        <w:t>monetaria,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precios</w:t>
      </w:r>
      <w:r>
        <w:rPr>
          <w:spacing w:val="-1"/>
        </w:rPr>
        <w:t> </w:t>
      </w:r>
      <w:r>
        <w:rPr/>
        <w:t>relativos y</w:t>
      </w:r>
      <w:r>
        <w:rPr>
          <w:spacing w:val="-2"/>
        </w:rPr>
        <w:t> </w:t>
      </w:r>
      <w:r>
        <w:rPr/>
        <w:t>del mercado</w:t>
      </w:r>
      <w:r>
        <w:rPr>
          <w:spacing w:val="-2"/>
        </w:rPr>
        <w:t> </w:t>
      </w:r>
      <w:r>
        <w:rPr/>
        <w:t>de cambios.</w:t>
      </w:r>
    </w:p>
    <w:p>
      <w:pPr>
        <w:pStyle w:val="BodyText"/>
      </w:pPr>
    </w:p>
    <w:p>
      <w:pPr>
        <w:pStyle w:val="BodyText"/>
        <w:ind w:left="1304" w:right="648"/>
        <w:jc w:val="both"/>
      </w:pPr>
      <w:bookmarkStart w:name="El resultado operativo consolidado del p" w:id="23"/>
      <w:bookmarkEnd w:id="23"/>
      <w:r>
        <w:rPr/>
      </w:r>
      <w:r>
        <w:rPr/>
        <w:t>El resultado operativo consolidado del período de nueve meses finalizado el 29 de febrero de 2024, tuvo una</w:t>
      </w:r>
      <w:r>
        <w:rPr>
          <w:spacing w:val="1"/>
        </w:rPr>
        <w:t> </w:t>
      </w:r>
      <w:r>
        <w:rPr/>
        <w:t>ganancia de $41.431 millones, frente a una ganancia de $24.987,8 millones en el mismo período del ejercicio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</w:pPr>
    </w:p>
    <w:p>
      <w:pPr>
        <w:pStyle w:val="BodyText"/>
        <w:ind w:left="1304" w:right="647"/>
        <w:jc w:val="both"/>
      </w:pPr>
      <w:bookmarkStart w:name="En tanto, el resultado después de impues" w:id="24"/>
      <w:bookmarkEnd w:id="24"/>
      <w:r>
        <w:rPr/>
      </w:r>
      <w:r>
        <w:rPr/>
        <w:t>En</w:t>
      </w:r>
      <w:r>
        <w:rPr>
          <w:spacing w:val="-6"/>
        </w:rPr>
        <w:t> </w:t>
      </w:r>
      <w:r>
        <w:rPr/>
        <w:t>tanto,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resultado</w:t>
      </w:r>
      <w:r>
        <w:rPr>
          <w:spacing w:val="-6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impuestos</w:t>
      </w:r>
      <w:r>
        <w:rPr>
          <w:spacing w:val="-5"/>
        </w:rPr>
        <w:t> </w:t>
      </w:r>
      <w:r>
        <w:rPr/>
        <w:t>fue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ganancia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$</w:t>
      </w:r>
      <w:r>
        <w:rPr>
          <w:spacing w:val="-6"/>
        </w:rPr>
        <w:t> </w:t>
      </w:r>
      <w:r>
        <w:rPr/>
        <w:t>6.291,7</w:t>
      </w:r>
      <w:r>
        <w:rPr>
          <w:spacing w:val="-6"/>
        </w:rPr>
        <w:t> </w:t>
      </w:r>
      <w:r>
        <w:rPr/>
        <w:t>millones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nueve</w:t>
      </w:r>
      <w:r>
        <w:rPr>
          <w:spacing w:val="-57"/>
        </w:rPr>
        <w:t> </w:t>
      </w:r>
      <w:r>
        <w:rPr/>
        <w:t>meses</w:t>
      </w:r>
      <w:r>
        <w:rPr>
          <w:spacing w:val="-8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29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febrero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2024,</w:t>
      </w:r>
      <w:r>
        <w:rPr>
          <w:spacing w:val="-7"/>
        </w:rPr>
        <w:t> </w:t>
      </w:r>
      <w:r>
        <w:rPr/>
        <w:t>versus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ganancia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$16.888,7</w:t>
      </w:r>
      <w:r>
        <w:rPr>
          <w:spacing w:val="-8"/>
        </w:rPr>
        <w:t> </w:t>
      </w:r>
      <w:r>
        <w:rPr/>
        <w:t>millones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mismo</w:t>
      </w:r>
      <w:r>
        <w:rPr>
          <w:spacing w:val="-8"/>
        </w:rPr>
        <w:t> </w:t>
      </w:r>
      <w:r>
        <w:rPr/>
        <w:t>período</w:t>
      </w:r>
      <w:r>
        <w:rPr>
          <w:spacing w:val="-9"/>
        </w:rPr>
        <w:t> </w:t>
      </w:r>
      <w:r>
        <w:rPr/>
        <w:t>del</w:t>
      </w:r>
      <w:r>
        <w:rPr>
          <w:spacing w:val="-57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04" w:right="648"/>
        <w:jc w:val="both"/>
      </w:pPr>
      <w:bookmarkStart w:name="A pesar de la difícil coyuntura económic" w:id="25"/>
      <w:bookmarkEnd w:id="25"/>
      <w:r>
        <w:rPr/>
      </w:r>
      <w:r>
        <w:rPr/>
        <w:t>A</w:t>
      </w:r>
      <w:r>
        <w:rPr>
          <w:spacing w:val="-12"/>
        </w:rPr>
        <w:t> </w:t>
      </w:r>
      <w:r>
        <w:rPr/>
        <w:t>pesar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difícil</w:t>
      </w:r>
      <w:r>
        <w:rPr>
          <w:spacing w:val="-12"/>
        </w:rPr>
        <w:t> </w:t>
      </w:r>
      <w:r>
        <w:rPr/>
        <w:t>coyuntura</w:t>
      </w:r>
      <w:r>
        <w:rPr>
          <w:spacing w:val="-12"/>
        </w:rPr>
        <w:t> </w:t>
      </w:r>
      <w:r>
        <w:rPr/>
        <w:t>económica</w:t>
      </w:r>
      <w:r>
        <w:rPr>
          <w:spacing w:val="-14"/>
        </w:rPr>
        <w:t> </w:t>
      </w:r>
      <w:r>
        <w:rPr/>
        <w:t>que</w:t>
      </w:r>
      <w:r>
        <w:rPr>
          <w:spacing w:val="-12"/>
        </w:rPr>
        <w:t> </w:t>
      </w:r>
      <w:r>
        <w:rPr/>
        <w:t>está</w:t>
      </w:r>
      <w:r>
        <w:rPr>
          <w:spacing w:val="-12"/>
        </w:rPr>
        <w:t> </w:t>
      </w:r>
      <w:r>
        <w:rPr/>
        <w:t>atravesando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País,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Directorio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Gerencia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Sociedad</w:t>
      </w:r>
      <w:r>
        <w:rPr>
          <w:spacing w:val="-58"/>
        </w:rPr>
        <w:t> </w:t>
      </w:r>
      <w:r>
        <w:rPr/>
        <w:t>confían en poder mantener la capacidad plena de nuestras operaciones, adecuando el mix de productos y</w:t>
      </w:r>
      <w:r>
        <w:rPr>
          <w:spacing w:val="1"/>
        </w:rPr>
        <w:t> </w:t>
      </w:r>
      <w:r>
        <w:rPr/>
        <w:t>mercados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función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demanda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trabajando</w:t>
      </w:r>
      <w:r>
        <w:rPr>
          <w:spacing w:val="-1"/>
        </w:rPr>
        <w:t> </w:t>
      </w:r>
      <w:r>
        <w:rPr/>
        <w:t>fuertemente en</w:t>
      </w:r>
      <w:r>
        <w:rPr>
          <w:spacing w:val="-1"/>
        </w:rPr>
        <w:t> </w:t>
      </w:r>
      <w:r>
        <w:rPr/>
        <w:t>nuestro</w:t>
      </w:r>
      <w:r>
        <w:rPr>
          <w:spacing w:val="-1"/>
        </w:rPr>
        <w:t> </w:t>
      </w:r>
      <w:r>
        <w:rPr/>
        <w:t>perfil</w:t>
      </w:r>
      <w:r>
        <w:rPr>
          <w:spacing w:val="-2"/>
        </w:rPr>
        <w:t> </w:t>
      </w:r>
      <w:r>
        <w:rPr/>
        <w:t>exportador.</w:t>
      </w:r>
    </w:p>
    <w:p>
      <w:pPr>
        <w:pStyle w:val="BodyText"/>
      </w:pPr>
    </w:p>
    <w:p>
      <w:pPr>
        <w:pStyle w:val="BodyText"/>
        <w:spacing w:before="1"/>
        <w:ind w:left="1304" w:right="648"/>
        <w:jc w:val="both"/>
      </w:pPr>
      <w:bookmarkStart w:name="Se espera que, en el mediano plazo, el g" w:id="26"/>
      <w:bookmarkEnd w:id="26"/>
      <w:r>
        <w:rPr/>
      </w:r>
      <w:r>
        <w:rPr/>
        <w:t>Se</w:t>
      </w:r>
      <w:r>
        <w:rPr>
          <w:spacing w:val="-4"/>
        </w:rPr>
        <w:t> </w:t>
      </w:r>
      <w:r>
        <w:rPr/>
        <w:t>espera</w:t>
      </w:r>
      <w:r>
        <w:rPr>
          <w:spacing w:val="-5"/>
        </w:rPr>
        <w:t> </w:t>
      </w:r>
      <w:r>
        <w:rPr/>
        <w:t>que,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mediano</w:t>
      </w:r>
      <w:r>
        <w:rPr>
          <w:spacing w:val="-4"/>
        </w:rPr>
        <w:t> </w:t>
      </w:r>
      <w:r>
        <w:rPr/>
        <w:t>plazo,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logre</w:t>
      </w:r>
      <w:r>
        <w:rPr>
          <w:spacing w:val="-4"/>
        </w:rPr>
        <w:t> </w:t>
      </w:r>
      <w:r>
        <w:rPr/>
        <w:t>bajar</w:t>
      </w:r>
      <w:r>
        <w:rPr>
          <w:spacing w:val="-4"/>
        </w:rPr>
        <w:t> </w:t>
      </w:r>
      <w:r>
        <w:rPr/>
        <w:t>paulatinamente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inflación,</w:t>
      </w:r>
      <w:r>
        <w:rPr>
          <w:spacing w:val="-4"/>
        </w:rPr>
        <w:t> </w:t>
      </w:r>
      <w:r>
        <w:rPr/>
        <w:t>normalizar</w:t>
      </w:r>
      <w:r>
        <w:rPr>
          <w:spacing w:val="-4"/>
        </w:rPr>
        <w:t> </w:t>
      </w:r>
      <w:r>
        <w:rPr/>
        <w:t>la</w:t>
      </w:r>
      <w:r>
        <w:rPr>
          <w:spacing w:val="-57"/>
        </w:rPr>
        <w:t> </w:t>
      </w:r>
      <w:r>
        <w:rPr/>
        <w:t>situación</w:t>
      </w:r>
      <w:r>
        <w:rPr>
          <w:spacing w:val="-2"/>
        </w:rPr>
        <w:t> </w:t>
      </w:r>
      <w:r>
        <w:rPr/>
        <w:t>en el mercado cambiario</w:t>
      </w:r>
      <w:r>
        <w:rPr>
          <w:spacing w:val="-1"/>
        </w:rPr>
        <w:t> </w:t>
      </w:r>
      <w:r>
        <w:rPr/>
        <w:t>y la</w:t>
      </w:r>
      <w:r>
        <w:rPr>
          <w:spacing w:val="-2"/>
        </w:rPr>
        <w:t> </w:t>
      </w:r>
      <w:r>
        <w:rPr/>
        <w:t>macroeconomía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Argentina.</w:t>
      </w:r>
    </w:p>
    <w:p>
      <w:pPr>
        <w:pStyle w:val="BodyText"/>
      </w:pPr>
    </w:p>
    <w:p>
      <w:pPr>
        <w:pStyle w:val="BodyText"/>
        <w:ind w:left="1304"/>
        <w:jc w:val="both"/>
      </w:pPr>
      <w:r>
        <w:rPr/>
        <w:t>Capitán</w:t>
      </w:r>
      <w:r>
        <w:rPr>
          <w:spacing w:val="-3"/>
        </w:rPr>
        <w:t> </w:t>
      </w:r>
      <w:r>
        <w:rPr/>
        <w:t>Bermúdez,</w:t>
      </w:r>
      <w:r>
        <w:rPr>
          <w:spacing w:val="-2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2024.</w:t>
      </w:r>
    </w:p>
    <w:p>
      <w:pPr>
        <w:pStyle w:val="BodyText"/>
        <w:spacing w:before="12"/>
        <w:rPr>
          <w:sz w:val="22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6"/>
        <w:gridCol w:w="4934"/>
      </w:tblGrid>
      <w:tr>
        <w:trPr>
          <w:trHeight w:val="169" w:hRule="atLeast"/>
        </w:trPr>
        <w:tc>
          <w:tcPr>
            <w:tcW w:w="5986" w:type="dxa"/>
          </w:tcPr>
          <w:p>
            <w:pPr>
              <w:pStyle w:val="TableParagraph"/>
              <w:spacing w:line="150" w:lineRule="exact"/>
              <w:ind w:left="189" w:right="227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Firmado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los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efectos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de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su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identificación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5986" w:type="dxa"/>
          </w:tcPr>
          <w:p>
            <w:pPr>
              <w:pStyle w:val="TableParagraph"/>
              <w:spacing w:line="170" w:lineRule="exact"/>
              <w:ind w:left="190" w:right="2277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con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nuestro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informe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fecha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11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abril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2024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5986" w:type="dxa"/>
          </w:tcPr>
          <w:p>
            <w:pPr>
              <w:pStyle w:val="TableParagraph"/>
              <w:rPr>
                <w:rFonts w:ascii="Verdana"/>
                <w:sz w:val="14"/>
              </w:rPr>
            </w:pPr>
          </w:p>
          <w:p>
            <w:pPr>
              <w:pStyle w:val="TableParagraph"/>
              <w:spacing w:line="150" w:lineRule="exact"/>
              <w:ind w:left="189" w:right="2277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DANIEL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NÉSTOR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GALLO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rFonts w:ascii="Verdana"/>
                <w:sz w:val="14"/>
              </w:rPr>
            </w:pPr>
          </w:p>
          <w:p>
            <w:pPr>
              <w:pStyle w:val="TableParagraph"/>
              <w:spacing w:line="150" w:lineRule="exact"/>
              <w:ind w:left="3083" w:right="181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z w:val="14"/>
              </w:rPr>
              <w:t>DOUGLAS</w:t>
            </w:r>
            <w:r>
              <w:rPr>
                <w:rFonts w:ascii="Verdana"/>
                <w:b/>
                <w:spacing w:val="-3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ALBRECHT</w:t>
            </w:r>
          </w:p>
        </w:tc>
      </w:tr>
      <w:tr>
        <w:trPr>
          <w:trHeight w:val="169" w:hRule="atLeast"/>
        </w:trPr>
        <w:tc>
          <w:tcPr>
            <w:tcW w:w="5986" w:type="dxa"/>
          </w:tcPr>
          <w:p>
            <w:pPr>
              <w:pStyle w:val="TableParagraph"/>
              <w:spacing w:line="150" w:lineRule="exact"/>
              <w:ind w:left="189" w:right="227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Por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Comisión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Fiscalizadora</w:t>
            </w:r>
          </w:p>
        </w:tc>
        <w:tc>
          <w:tcPr>
            <w:tcW w:w="4934" w:type="dxa"/>
          </w:tcPr>
          <w:p>
            <w:pPr>
              <w:pStyle w:val="TableParagraph"/>
              <w:spacing w:line="150" w:lineRule="exact"/>
              <w:ind w:left="3082" w:right="181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Presidente</w:t>
            </w:r>
          </w:p>
        </w:tc>
      </w:tr>
      <w:tr>
        <w:trPr>
          <w:trHeight w:val="169" w:hRule="atLeast"/>
        </w:trPr>
        <w:tc>
          <w:tcPr>
            <w:tcW w:w="5986" w:type="dxa"/>
          </w:tcPr>
          <w:p>
            <w:pPr>
              <w:pStyle w:val="TableParagraph"/>
              <w:spacing w:line="150" w:lineRule="exact"/>
              <w:ind w:left="189" w:right="227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Contador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Público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Nacional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(U.N.R.)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0" w:hRule="atLeast"/>
        </w:trPr>
        <w:tc>
          <w:tcPr>
            <w:tcW w:w="5986" w:type="dxa"/>
          </w:tcPr>
          <w:p>
            <w:pPr>
              <w:pStyle w:val="TableParagraph"/>
              <w:spacing w:line="150" w:lineRule="exact"/>
              <w:ind w:left="190" w:right="2277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Matrícula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2.869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Ley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8.738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0" w:hRule="atLeast"/>
        </w:trPr>
        <w:tc>
          <w:tcPr>
            <w:tcW w:w="5986" w:type="dxa"/>
          </w:tcPr>
          <w:p>
            <w:pPr>
              <w:pStyle w:val="TableParagraph"/>
              <w:spacing w:line="150" w:lineRule="exact"/>
              <w:ind w:left="1026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C.P.C.E.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Pcia.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Santa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Fe</w:t>
            </w:r>
          </w:p>
        </w:tc>
        <w:tc>
          <w:tcPr>
            <w:tcW w:w="4934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0" w:hRule="atLeast"/>
        </w:trPr>
        <w:tc>
          <w:tcPr>
            <w:tcW w:w="10920" w:type="dxa"/>
            <w:gridSpan w:val="2"/>
          </w:tcPr>
          <w:p>
            <w:pPr>
              <w:pStyle w:val="TableParagraph"/>
              <w:spacing w:line="150" w:lineRule="exact"/>
              <w:ind w:left="4475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Firmado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los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efectos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de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su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identificación</w:t>
            </w:r>
          </w:p>
        </w:tc>
      </w:tr>
      <w:tr>
        <w:trPr>
          <w:trHeight w:val="169" w:hRule="atLeast"/>
        </w:trPr>
        <w:tc>
          <w:tcPr>
            <w:tcW w:w="10920" w:type="dxa"/>
            <w:gridSpan w:val="2"/>
          </w:tcPr>
          <w:p>
            <w:pPr>
              <w:pStyle w:val="TableParagraph"/>
              <w:spacing w:line="150" w:lineRule="exact"/>
              <w:ind w:left="4179"/>
              <w:rPr>
                <w:rFonts w:ascii="Verdana"/>
                <w:sz w:val="14"/>
              </w:rPr>
            </w:pPr>
            <w:r>
              <w:rPr>
                <w:rFonts w:ascii="Verdana"/>
                <w:sz w:val="14"/>
              </w:rPr>
              <w:t>con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nuestro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informe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fecha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11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2"/>
                <w:sz w:val="14"/>
              </w:rPr>
              <w:t> </w:t>
            </w:r>
            <w:r>
              <w:rPr>
                <w:rFonts w:ascii="Verdana"/>
                <w:sz w:val="14"/>
              </w:rPr>
              <w:t>abril</w:t>
            </w:r>
            <w:r>
              <w:rPr>
                <w:rFonts w:ascii="Verdana"/>
                <w:spacing w:val="-3"/>
                <w:sz w:val="14"/>
              </w:rPr>
              <w:t> </w:t>
            </w:r>
            <w:r>
              <w:rPr>
                <w:rFonts w:ascii="Verdana"/>
                <w:sz w:val="14"/>
              </w:rPr>
              <w:t>de</w:t>
            </w:r>
            <w:r>
              <w:rPr>
                <w:rFonts w:ascii="Verdana"/>
                <w:spacing w:val="-1"/>
                <w:sz w:val="14"/>
              </w:rPr>
              <w:t> </w:t>
            </w:r>
            <w:r>
              <w:rPr>
                <w:rFonts w:ascii="Verdana"/>
                <w:sz w:val="14"/>
              </w:rPr>
              <w:t>2024</w:t>
            </w:r>
          </w:p>
        </w:tc>
      </w:tr>
      <w:tr>
        <w:trPr>
          <w:trHeight w:val="169" w:hRule="atLeast"/>
        </w:trPr>
        <w:tc>
          <w:tcPr>
            <w:tcW w:w="10920" w:type="dxa"/>
            <w:gridSpan w:val="2"/>
          </w:tcPr>
          <w:p>
            <w:pPr>
              <w:pStyle w:val="TableParagraph"/>
              <w:spacing w:line="150" w:lineRule="exact"/>
              <w:ind w:left="4656" w:right="3722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z w:val="14"/>
              </w:rPr>
              <w:t>BECHER</w:t>
            </w:r>
            <w:r>
              <w:rPr>
                <w:rFonts w:ascii="Verdana"/>
                <w:b/>
                <w:spacing w:val="-3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Y</w:t>
            </w:r>
            <w:r>
              <w:rPr>
                <w:rFonts w:ascii="Verdana"/>
                <w:b/>
                <w:spacing w:val="-2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ASOCIADOS</w:t>
            </w:r>
            <w:r>
              <w:rPr>
                <w:rFonts w:ascii="Verdana"/>
                <w:b/>
                <w:spacing w:val="-4"/>
                <w:sz w:val="14"/>
              </w:rPr>
              <w:t> </w:t>
            </w:r>
            <w:r>
              <w:rPr>
                <w:rFonts w:ascii="Verdana"/>
                <w:b/>
                <w:sz w:val="14"/>
              </w:rPr>
              <w:t>S.R.L.</w:t>
            </w:r>
          </w:p>
        </w:tc>
      </w:tr>
      <w:tr>
        <w:trPr>
          <w:trHeight w:val="340" w:hRule="atLeast"/>
        </w:trPr>
        <w:tc>
          <w:tcPr>
            <w:tcW w:w="10920" w:type="dxa"/>
            <w:gridSpan w:val="2"/>
          </w:tcPr>
          <w:p>
            <w:pPr>
              <w:pStyle w:val="TableParagraph"/>
              <w:ind w:left="4451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C.P.C.E.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Prov.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Santa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Fe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4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Matrícula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7-282</w:t>
            </w:r>
          </w:p>
        </w:tc>
      </w:tr>
      <w:tr>
        <w:trPr>
          <w:trHeight w:val="340" w:hRule="atLeast"/>
        </w:trPr>
        <w:tc>
          <w:tcPr>
            <w:tcW w:w="10920" w:type="dxa"/>
            <w:gridSpan w:val="2"/>
          </w:tcPr>
          <w:p>
            <w:pPr>
              <w:pStyle w:val="TableParagraph"/>
              <w:spacing w:before="12"/>
              <w:rPr>
                <w:rFonts w:ascii="Verdana"/>
                <w:sz w:val="13"/>
              </w:rPr>
            </w:pPr>
          </w:p>
          <w:p>
            <w:pPr>
              <w:pStyle w:val="TableParagraph"/>
              <w:spacing w:line="150" w:lineRule="exact"/>
              <w:ind w:left="4656" w:right="3723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Fabián</w:t>
            </w:r>
            <w:r>
              <w:rPr>
                <w:rFonts w:ascii="Verdana" w:hAnsi="Verdana"/>
                <w:b/>
                <w:spacing w:val="-4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Gustavo</w:t>
            </w:r>
            <w:r>
              <w:rPr>
                <w:rFonts w:ascii="Verdana" w:hAnsi="Verdana"/>
                <w:b/>
                <w:spacing w:val="-5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Marcote</w:t>
            </w:r>
            <w:r>
              <w:rPr>
                <w:rFonts w:ascii="Verdana" w:hAnsi="Verdana"/>
                <w:b/>
                <w:spacing w:val="-3"/>
                <w:sz w:val="14"/>
              </w:rPr>
              <w:t> </w:t>
            </w:r>
            <w:r>
              <w:rPr>
                <w:rFonts w:ascii="Verdana" w:hAnsi="Verdana"/>
                <w:b/>
                <w:sz w:val="14"/>
              </w:rPr>
              <w:t>(Socio)</w:t>
            </w:r>
          </w:p>
        </w:tc>
      </w:tr>
      <w:tr>
        <w:trPr>
          <w:trHeight w:val="170" w:hRule="atLeast"/>
        </w:trPr>
        <w:tc>
          <w:tcPr>
            <w:tcW w:w="10920" w:type="dxa"/>
            <w:gridSpan w:val="2"/>
          </w:tcPr>
          <w:p>
            <w:pPr>
              <w:pStyle w:val="TableParagraph"/>
              <w:spacing w:line="150" w:lineRule="exact"/>
              <w:ind w:left="4656" w:right="3723"/>
              <w:jc w:val="center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Contador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Público</w:t>
            </w:r>
            <w:r>
              <w:rPr>
                <w:rFonts w:ascii="Verdana" w:hAnsi="Verdana"/>
                <w:spacing w:val="-5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(U.B.A)</w:t>
            </w:r>
          </w:p>
        </w:tc>
      </w:tr>
      <w:tr>
        <w:trPr>
          <w:trHeight w:val="170" w:hRule="atLeast"/>
        </w:trPr>
        <w:tc>
          <w:tcPr>
            <w:tcW w:w="10920" w:type="dxa"/>
            <w:gridSpan w:val="2"/>
          </w:tcPr>
          <w:p>
            <w:pPr>
              <w:pStyle w:val="TableParagraph"/>
              <w:spacing w:line="150" w:lineRule="exact"/>
              <w:ind w:left="4548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C.P.C.E.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Prov.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Santa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Fe</w:t>
            </w:r>
            <w:r>
              <w:rPr>
                <w:rFonts w:ascii="Verdana" w:hAnsi="Verdana"/>
                <w:spacing w:val="-1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–</w:t>
            </w:r>
            <w:r>
              <w:rPr>
                <w:rFonts w:ascii="Verdana" w:hAnsi="Verdana"/>
                <w:spacing w:val="-3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Matr.</w:t>
            </w:r>
            <w:r>
              <w:rPr>
                <w:rFonts w:ascii="Verdana" w:hAnsi="Verdana"/>
                <w:spacing w:val="-2"/>
                <w:sz w:val="14"/>
              </w:rPr>
              <w:t> </w:t>
            </w:r>
            <w:r>
              <w:rPr>
                <w:rFonts w:ascii="Verdana" w:hAnsi="Verdana"/>
                <w:sz w:val="14"/>
              </w:rPr>
              <w:t>16.845</w:t>
            </w:r>
          </w:p>
        </w:tc>
      </w:tr>
    </w:tbl>
    <w:p>
      <w:pPr>
        <w:spacing w:after="0" w:line="150" w:lineRule="exact"/>
        <w:rPr>
          <w:rFonts w:ascii="Verdana" w:hAnsi="Verdana"/>
          <w:sz w:val="14"/>
        </w:rPr>
        <w:sectPr>
          <w:pgSz w:w="11910" w:h="16840"/>
          <w:pgMar w:top="1580" w:bottom="280" w:left="0" w:right="483"/>
        </w:sectPr>
      </w:pPr>
    </w:p>
    <w:p>
      <w:pPr>
        <w:pStyle w:val="BodyText"/>
        <w:spacing w:line="180" w:lineRule="exact"/>
        <w:ind w:left="10290"/>
        <w:rPr>
          <w:sz w:val="19"/>
        </w:rPr>
      </w:pPr>
      <w:r>
        <w:rPr>
          <w:position w:val="-3"/>
          <w:sz w:val="19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3.5pt;height:8.5pt;mso-position-horizontal-relative:char;mso-position-vertical-relative:line" type="#_x0000_t202" filled="false" stroked="true" strokeweight=".5pt" strokecolor="#000000">
            <w10:anchorlock/>
            <v:textbox inset="0,0,0,0">
              <w:txbxContent>
                <w:p>
                  <w:pPr>
                    <w:spacing w:before="17"/>
                    <w:ind w:left="230" w:right="0" w:firstLine="0"/>
                    <w:jc w:val="left"/>
                    <w:rPr>
                      <w:rFonts w:ascii="Times New Roman"/>
                      <w:sz w:val="11"/>
                    </w:rPr>
                  </w:pPr>
                  <w:bookmarkStart w:name="Anexo 1" w:id="27"/>
                  <w:bookmarkEnd w:id="27"/>
                  <w:r>
                    <w:rPr/>
                  </w:r>
                  <w:r>
                    <w:rPr>
                      <w:rFonts w:ascii="Times New Roman"/>
                      <w:sz w:val="11"/>
                    </w:rPr>
                    <w:t>Anexo</w:t>
                  </w:r>
                  <w:r>
                    <w:rPr>
                      <w:rFonts w:ascii="Times New Roman"/>
                      <w:spacing w:val="-5"/>
                      <w:sz w:val="11"/>
                    </w:rPr>
                    <w:t> </w:t>
                  </w:r>
                  <w:r>
                    <w:rPr>
                      <w:rFonts w:ascii="Times New Roman"/>
                      <w:sz w:val="11"/>
                    </w:rPr>
                    <w:t>1</w:t>
                  </w:r>
                </w:p>
              </w:txbxContent>
            </v:textbox>
            <v:stroke dashstyle="solid"/>
          </v:shape>
        </w:pict>
      </w:r>
      <w:r>
        <w:rPr>
          <w:position w:val="-3"/>
          <w:sz w:val="19"/>
        </w:rPr>
      </w:r>
    </w:p>
    <w:p>
      <w:pPr>
        <w:spacing w:before="57"/>
        <w:ind w:left="65" w:right="0" w:firstLine="0"/>
        <w:jc w:val="center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b/>
          <w:spacing w:val="-1"/>
          <w:sz w:val="11"/>
        </w:rPr>
        <w:t>CELULOSA</w:t>
      </w:r>
      <w:r>
        <w:rPr>
          <w:rFonts w:ascii="Times New Roman" w:hAnsi="Times New Roman"/>
          <w:b/>
          <w:spacing w:val="-6"/>
          <w:sz w:val="11"/>
        </w:rPr>
        <w:t> </w:t>
      </w:r>
      <w:r>
        <w:rPr>
          <w:rFonts w:ascii="Times New Roman" w:hAnsi="Times New Roman"/>
          <w:b/>
          <w:sz w:val="11"/>
        </w:rPr>
        <w:t>ARGENTINA</w:t>
      </w:r>
      <w:r>
        <w:rPr>
          <w:rFonts w:ascii="Times New Roman" w:hAnsi="Times New Roman"/>
          <w:b/>
          <w:spacing w:val="-6"/>
          <w:sz w:val="11"/>
        </w:rPr>
        <w:t> </w:t>
      </w:r>
      <w:r>
        <w:rPr>
          <w:rFonts w:ascii="Times New Roman" w:hAnsi="Times New Roman"/>
          <w:b/>
          <w:sz w:val="11"/>
        </w:rPr>
        <w:t>SOCIEDAD</w:t>
      </w:r>
      <w:r>
        <w:rPr>
          <w:rFonts w:ascii="Times New Roman" w:hAnsi="Times New Roman"/>
          <w:b/>
          <w:spacing w:val="-6"/>
          <w:sz w:val="11"/>
        </w:rPr>
        <w:t> </w:t>
      </w:r>
      <w:r>
        <w:rPr>
          <w:rFonts w:ascii="Times New Roman" w:hAnsi="Times New Roman"/>
          <w:b/>
          <w:sz w:val="11"/>
        </w:rPr>
        <w:t>ANÓNIMA</w:t>
      </w:r>
    </w:p>
    <w:p>
      <w:pPr>
        <w:spacing w:before="44"/>
        <w:ind w:left="10" w:right="0" w:firstLine="0"/>
        <w:jc w:val="center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RESEÑA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INFORMATIVA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SOBRE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EL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TERCER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TRIMESTRE DEL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EJERCICIO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2023/2024</w:t>
      </w:r>
    </w:p>
    <w:p>
      <w:pPr>
        <w:spacing w:before="43"/>
        <w:ind w:left="13" w:right="0" w:firstLine="0"/>
        <w:jc w:val="center"/>
        <w:rPr>
          <w:rFonts w:ascii="Times New Roman" w:hAnsi="Times New Roman"/>
          <w:sz w:val="11"/>
        </w:rPr>
      </w:pPr>
      <w:r>
        <w:rPr/>
        <w:pict>
          <v:rect style="position:absolute;margin-left:296.5pt;margin-top:77.283852pt;width:41pt;height:.5pt;mso-position-horizontal-relative:page;mso-position-vertical-relative:paragraph;z-index:-16460288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77.283852pt;width:41.5pt;height:.5pt;mso-position-horizontal-relative:page;mso-position-vertical-relative:paragraph;z-index:-16459776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77.283852pt;width:42pt;height:.5pt;mso-position-horizontal-relative:page;mso-position-vertical-relative:paragraph;z-index:-16459264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77.283852pt;width:41pt;height:.5pt;mso-position-horizontal-relative:page;mso-position-vertical-relative:paragraph;z-index:-16458752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77.283852pt;width:44pt;height:.5pt;mso-position-horizontal-relative:page;mso-position-vertical-relative:paragraph;z-index:-16452096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11"/>
        </w:rPr>
        <w:t>(Cifras expresadas en moneda homogénea - En miles de pesos)</w:t>
      </w:r>
    </w:p>
    <w:p>
      <w:pPr>
        <w:pStyle w:val="BodyText"/>
        <w:rPr>
          <w:rFonts w:ascii="Times New Roman"/>
          <w:sz w:val="19"/>
        </w:r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8"/>
        <w:gridCol w:w="820"/>
        <w:gridCol w:w="270"/>
        <w:gridCol w:w="830"/>
        <w:gridCol w:w="270"/>
        <w:gridCol w:w="840"/>
        <w:gridCol w:w="270"/>
        <w:gridCol w:w="820"/>
        <w:gridCol w:w="240"/>
        <w:gridCol w:w="880"/>
      </w:tblGrid>
      <w:tr>
        <w:trPr>
          <w:trHeight w:val="230" w:hRule="atLeast"/>
        </w:trPr>
        <w:tc>
          <w:tcPr>
            <w:tcW w:w="5578" w:type="dxa"/>
          </w:tcPr>
          <w:p>
            <w:pPr>
              <w:pStyle w:val="TableParagraph"/>
              <w:spacing w:line="122" w:lineRule="exact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Estructura</w:t>
            </w:r>
            <w:r>
              <w:rPr>
                <w:b/>
                <w:spacing w:val="-4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patrimonial</w:t>
            </w:r>
            <w:r>
              <w:rPr>
                <w:b/>
                <w:spacing w:val="-3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comparativa</w:t>
            </w:r>
            <w:r>
              <w:rPr>
                <w:b/>
                <w:spacing w:val="-5"/>
                <w:sz w:val="11"/>
                <w:u w:val="single"/>
              </w:rPr>
              <w:t> </w:t>
            </w:r>
          </w:p>
        </w:tc>
        <w:tc>
          <w:tcPr>
            <w:tcW w:w="5240" w:type="dxa"/>
            <w:gridSpan w:val="9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  <w:u w:val="single"/>
              </w:rPr>
              <w:t>Rubro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29.02.24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28.02.23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28.02.22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28.02.21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2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29.02.20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</w:tr>
      <w:tr>
        <w:trPr>
          <w:trHeight w:val="255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Activo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92.016.875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84.614.474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92.058.622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209"/>
              <w:rPr>
                <w:sz w:val="11"/>
              </w:rPr>
            </w:pPr>
            <w:r>
              <w:rPr>
                <w:sz w:val="11"/>
              </w:rPr>
              <w:t>95.634.296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69"/>
              <w:rPr>
                <w:sz w:val="11"/>
              </w:rPr>
            </w:pPr>
            <w:r>
              <w:rPr>
                <w:sz w:val="11"/>
              </w:rPr>
              <w:t>89.531.289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Activo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171.287.425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171.511.430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204.353.132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149"/>
              <w:rPr>
                <w:sz w:val="11"/>
              </w:rPr>
            </w:pPr>
            <w:r>
              <w:rPr>
                <w:sz w:val="11"/>
              </w:rPr>
              <w:t>246.353.881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209"/>
              <w:rPr>
                <w:sz w:val="11"/>
              </w:rPr>
            </w:pPr>
            <w:r>
              <w:rPr>
                <w:sz w:val="11"/>
              </w:rPr>
              <w:t>258.125.740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Total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263.304.300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256.125.904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296.411.754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149"/>
              <w:rPr>
                <w:sz w:val="11"/>
              </w:rPr>
            </w:pPr>
            <w:r>
              <w:rPr>
                <w:sz w:val="11"/>
              </w:rPr>
              <w:t>341.988.177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09"/>
              <w:rPr>
                <w:sz w:val="11"/>
              </w:rPr>
            </w:pPr>
            <w:r>
              <w:rPr>
                <w:sz w:val="11"/>
              </w:rPr>
              <w:t>347.657.029</w:t>
            </w:r>
          </w:p>
        </w:tc>
      </w:tr>
      <w:tr>
        <w:trPr>
          <w:trHeight w:val="337" w:hRule="atLeast"/>
        </w:trPr>
        <w:tc>
          <w:tcPr>
            <w:tcW w:w="557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sz w:val="11"/>
              </w:rPr>
            </w:pPr>
            <w:r>
              <w:rPr>
                <w:sz w:val="11"/>
              </w:rPr>
              <w:t>Pasivo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109.731.894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113.118.962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139.064.645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149"/>
              <w:rPr>
                <w:sz w:val="11"/>
              </w:rPr>
            </w:pPr>
            <w:r>
              <w:rPr>
                <w:sz w:val="11"/>
              </w:rPr>
              <w:t>172.874.714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09"/>
              <w:rPr>
                <w:sz w:val="11"/>
              </w:rPr>
            </w:pPr>
            <w:r>
              <w:rPr>
                <w:sz w:val="11"/>
              </w:rPr>
              <w:t>164.376.913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Pasivo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84.179.619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80.175.633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103.107.455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149"/>
              <w:rPr>
                <w:sz w:val="11"/>
              </w:rPr>
            </w:pPr>
            <w:r>
              <w:rPr>
                <w:sz w:val="11"/>
              </w:rPr>
              <w:t>112.429.185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left="209"/>
              <w:rPr>
                <w:sz w:val="11"/>
              </w:rPr>
            </w:pPr>
            <w:r>
              <w:rPr>
                <w:sz w:val="11"/>
              </w:rPr>
              <w:t>117.431.334</w:t>
            </w:r>
          </w:p>
        </w:tc>
      </w:tr>
      <w:tr>
        <w:trPr>
          <w:trHeight w:val="160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7"/>
              <w:ind w:left="27"/>
              <w:rPr>
                <w:sz w:val="11"/>
              </w:rPr>
            </w:pPr>
            <w:r>
              <w:rPr>
                <w:sz w:val="11"/>
              </w:rPr>
              <w:t>Subtotal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Pasivo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193.911.513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193.294.595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242.172.100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149"/>
              <w:rPr>
                <w:sz w:val="11"/>
              </w:rPr>
            </w:pPr>
            <w:r>
              <w:rPr>
                <w:sz w:val="11"/>
              </w:rPr>
              <w:t>285.303.899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209"/>
              <w:rPr>
                <w:sz w:val="11"/>
              </w:rPr>
            </w:pPr>
            <w:r>
              <w:rPr>
                <w:sz w:val="11"/>
              </w:rPr>
              <w:t>281.808.247</w:t>
            </w:r>
          </w:p>
        </w:tc>
      </w:tr>
      <w:tr>
        <w:trPr>
          <w:trHeight w:val="167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Patrimonio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atribuible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los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propietarios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sociedad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(controladora)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67.790.313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61.479.810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52.817.414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09"/>
              <w:rPr>
                <w:sz w:val="11"/>
              </w:rPr>
            </w:pPr>
            <w:r>
              <w:rPr>
                <w:sz w:val="11"/>
              </w:rPr>
              <w:t>54.957.378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69"/>
              <w:rPr>
                <w:sz w:val="11"/>
              </w:rPr>
            </w:pPr>
            <w:r>
              <w:rPr>
                <w:sz w:val="11"/>
              </w:rPr>
              <w:t>64.193.710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Participaciones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no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controladoras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1.602.474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1.351.499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1.422.240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1.726.900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1.655.072</w:t>
            </w:r>
          </w:p>
        </w:tc>
      </w:tr>
      <w:tr>
        <w:trPr>
          <w:trHeight w:val="160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7"/>
              <w:ind w:left="27"/>
              <w:rPr>
                <w:sz w:val="11"/>
              </w:rPr>
            </w:pPr>
            <w:r>
              <w:rPr>
                <w:sz w:val="11"/>
              </w:rPr>
              <w:t>Patrimonio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total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69.392.787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62.831.309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54.239.654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209"/>
              <w:rPr>
                <w:sz w:val="11"/>
              </w:rPr>
            </w:pPr>
            <w:r>
              <w:rPr>
                <w:sz w:val="11"/>
              </w:rPr>
              <w:t>56.684.278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7"/>
              <w:ind w:left="269"/>
              <w:rPr>
                <w:sz w:val="11"/>
              </w:rPr>
            </w:pPr>
            <w:r>
              <w:rPr>
                <w:sz w:val="11"/>
              </w:rPr>
              <w:t>65.848.782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Total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Pasivo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más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Patrimonio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263.304.300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256.125.904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8"/>
              <w:jc w:val="right"/>
              <w:rPr>
                <w:sz w:val="11"/>
              </w:rPr>
            </w:pPr>
            <w:r>
              <w:rPr>
                <w:sz w:val="11"/>
              </w:rPr>
              <w:t>296.411.754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149"/>
              <w:rPr>
                <w:sz w:val="11"/>
              </w:rPr>
            </w:pPr>
            <w:r>
              <w:rPr>
                <w:sz w:val="11"/>
              </w:rPr>
              <w:t>341.988.177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09"/>
              <w:rPr>
                <w:sz w:val="11"/>
              </w:rPr>
            </w:pPr>
            <w:r>
              <w:rPr>
                <w:sz w:val="11"/>
              </w:rPr>
              <w:t>347.657.029</w:t>
            </w:r>
          </w:p>
        </w:tc>
      </w:tr>
      <w:tr>
        <w:trPr>
          <w:trHeight w:val="422" w:hRule="atLeast"/>
        </w:trPr>
        <w:tc>
          <w:tcPr>
            <w:tcW w:w="557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Estructura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de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resultados comparativa</w:t>
            </w:r>
            <w:r>
              <w:rPr>
                <w:b/>
                <w:spacing w:val="3"/>
                <w:sz w:val="11"/>
                <w:u w:val="single"/>
              </w:rPr>
              <w:t> 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39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  <w:u w:val="single"/>
              </w:rPr>
              <w:t>Rubro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29.02.24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28.02.23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left="20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28.02.22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19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28.02.21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29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29.02.20</w:t>
            </w:r>
            <w:r>
              <w:rPr>
                <w:b/>
                <w:spacing w:val="7"/>
                <w:sz w:val="11"/>
                <w:u w:val="single"/>
              </w:rPr>
              <w:t> </w:t>
            </w:r>
          </w:p>
        </w:tc>
      </w:tr>
      <w:tr>
        <w:trPr>
          <w:trHeight w:val="255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Resultado operativo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41.431.014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24.987.754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8.807.111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209"/>
              <w:rPr>
                <w:sz w:val="11"/>
              </w:rPr>
            </w:pPr>
            <w:r>
              <w:rPr>
                <w:sz w:val="11"/>
              </w:rPr>
              <w:t>14.788.939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left="269"/>
              <w:rPr>
                <w:sz w:val="11"/>
              </w:rPr>
            </w:pPr>
            <w:r>
              <w:rPr>
                <w:sz w:val="11"/>
              </w:rPr>
              <w:t>19.958.055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Resultados financieros y resultado por la posición monetaria neta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84"/>
              <w:jc w:val="right"/>
              <w:rPr>
                <w:sz w:val="11"/>
              </w:rPr>
            </w:pPr>
            <w:r>
              <w:rPr>
                <w:sz w:val="11"/>
              </w:rPr>
              <w:t>(12.748.994)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7.342.177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18.874.018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left="167"/>
              <w:rPr>
                <w:sz w:val="11"/>
              </w:rPr>
            </w:pPr>
            <w:r>
              <w:rPr>
                <w:color w:val="FF0000"/>
                <w:sz w:val="11"/>
              </w:rPr>
              <w:t>(15.495.667)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left="226"/>
              <w:rPr>
                <w:sz w:val="11"/>
              </w:rPr>
            </w:pPr>
            <w:r>
              <w:rPr>
                <w:color w:val="FF0000"/>
                <w:sz w:val="11"/>
              </w:rPr>
              <w:t>(27.610.164)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Otros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ingresos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egresos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80"/>
              <w:jc w:val="right"/>
              <w:rPr>
                <w:sz w:val="11"/>
              </w:rPr>
            </w:pPr>
            <w:r>
              <w:rPr>
                <w:sz w:val="11"/>
              </w:rPr>
              <w:t>(1.690.543)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(693.957)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(1.087.140)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(525.923)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(139.141)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Impuesto a las ganancias / a la ganancia mínima presunta / a los activos netos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84"/>
              <w:jc w:val="right"/>
              <w:rPr>
                <w:sz w:val="11"/>
              </w:rPr>
            </w:pPr>
            <w:r>
              <w:rPr>
                <w:sz w:val="11"/>
              </w:rPr>
              <w:t>(20.699.737)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82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(14.747.240)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82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(20.299.448)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(7.978.094)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(7.927.377)</w:t>
            </w:r>
          </w:p>
        </w:tc>
      </w:tr>
      <w:tr>
        <w:trPr>
          <w:trHeight w:val="167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Resultado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ejercicio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Ganancia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(Pérdida)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6.291.740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16.888.734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6.294.541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right="80"/>
              <w:jc w:val="right"/>
              <w:rPr>
                <w:sz w:val="11"/>
              </w:rPr>
            </w:pPr>
            <w:r>
              <w:rPr>
                <w:sz w:val="11"/>
              </w:rPr>
              <w:t>(9.210.745)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24"/>
              <w:rPr>
                <w:sz w:val="11"/>
              </w:rPr>
            </w:pPr>
            <w:r>
              <w:rPr>
                <w:sz w:val="11"/>
              </w:rPr>
              <w:t>(15.718.627)</w:t>
            </w:r>
          </w:p>
        </w:tc>
      </w:tr>
      <w:tr>
        <w:trPr>
          <w:trHeight w:val="162" w:hRule="atLeast"/>
        </w:trPr>
        <w:tc>
          <w:tcPr>
            <w:tcW w:w="5578" w:type="dxa"/>
          </w:tcPr>
          <w:p>
            <w:pPr>
              <w:pStyle w:val="TableParagraph"/>
              <w:spacing w:line="123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Otro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resultado integral luego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impuesto a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las ganancias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0"/>
              <w:jc w:val="right"/>
              <w:rPr>
                <w:sz w:val="11"/>
              </w:rPr>
            </w:pPr>
            <w:r>
              <w:rPr>
                <w:sz w:val="11"/>
              </w:rPr>
              <w:t>269.738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95"/>
              <w:jc w:val="right"/>
              <w:rPr>
                <w:sz w:val="11"/>
              </w:rPr>
            </w:pPr>
            <w:r>
              <w:rPr>
                <w:sz w:val="11"/>
              </w:rPr>
              <w:t>51.141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(355.658)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96"/>
              <w:jc w:val="right"/>
              <w:rPr>
                <w:sz w:val="11"/>
              </w:rPr>
            </w:pPr>
            <w:r>
              <w:rPr>
                <w:sz w:val="11"/>
              </w:rPr>
              <w:t>46.252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 w:before="19"/>
              <w:ind w:right="102"/>
              <w:jc w:val="right"/>
              <w:rPr>
                <w:sz w:val="11"/>
              </w:rPr>
            </w:pPr>
            <w:r>
              <w:rPr>
                <w:sz w:val="11"/>
              </w:rPr>
              <w:t>294.400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Resultado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integral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total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ejercicio -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Ganancia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 (Pérdida)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7"/>
              <w:jc w:val="right"/>
              <w:rPr>
                <w:sz w:val="11"/>
              </w:rPr>
            </w:pPr>
            <w:r>
              <w:rPr>
                <w:sz w:val="11"/>
              </w:rPr>
              <w:t>6.561.478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12"/>
              <w:jc w:val="right"/>
              <w:rPr>
                <w:sz w:val="11"/>
              </w:rPr>
            </w:pPr>
            <w:r>
              <w:rPr>
                <w:sz w:val="11"/>
              </w:rPr>
              <w:t>16.939.875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7"/>
              <w:jc w:val="right"/>
              <w:rPr>
                <w:sz w:val="11"/>
              </w:rPr>
            </w:pPr>
            <w:r>
              <w:rPr>
                <w:sz w:val="11"/>
              </w:rPr>
              <w:t>5.938.883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79"/>
              <w:jc w:val="right"/>
              <w:rPr>
                <w:sz w:val="11"/>
              </w:rPr>
            </w:pPr>
            <w:r>
              <w:rPr>
                <w:sz w:val="11"/>
              </w:rPr>
              <w:t>(9.164.493)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25"/>
              <w:rPr>
                <w:sz w:val="11"/>
              </w:rPr>
            </w:pPr>
            <w:r>
              <w:rPr>
                <w:sz w:val="11"/>
              </w:rPr>
              <w:t>(15.424.227)</w:t>
            </w:r>
          </w:p>
        </w:tc>
      </w:tr>
      <w:tr>
        <w:trPr>
          <w:trHeight w:val="422" w:hRule="atLeast"/>
        </w:trPr>
        <w:tc>
          <w:tcPr>
            <w:tcW w:w="557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Estructura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del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flujo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de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efectivo</w:t>
            </w:r>
            <w:r>
              <w:rPr>
                <w:b/>
                <w:spacing w:val="-1"/>
                <w:sz w:val="11"/>
                <w:u w:val="single"/>
              </w:rPr>
              <w:t> </w:t>
            </w:r>
            <w:r>
              <w:rPr>
                <w:b/>
                <w:sz w:val="11"/>
                <w:u w:val="single"/>
              </w:rPr>
              <w:t>comparativo</w:t>
            </w:r>
            <w:r>
              <w:rPr>
                <w:b/>
                <w:spacing w:val="10"/>
                <w:sz w:val="11"/>
                <w:u w:val="single"/>
              </w:rPr>
              <w:t> 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4" w:hRule="atLeast"/>
        </w:trPr>
        <w:tc>
          <w:tcPr>
            <w:tcW w:w="5578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Fondos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procedentes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(utilizados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en) las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actividades de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operación</w:t>
            </w: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15.458.240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04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17.873.494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(2.977.063)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04"/>
              <w:ind w:left="209"/>
              <w:rPr>
                <w:sz w:val="11"/>
              </w:rPr>
            </w:pPr>
            <w:r>
              <w:rPr>
                <w:sz w:val="11"/>
              </w:rPr>
              <w:t>17.600.836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04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9.523.840</w:t>
            </w:r>
          </w:p>
        </w:tc>
      </w:tr>
      <w:tr>
        <w:trPr>
          <w:trHeight w:val="169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Fondos(utilizados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en)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procedentes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24"/>
                <w:sz w:val="11"/>
              </w:rPr>
              <w:t> </w:t>
            </w:r>
            <w:r>
              <w:rPr>
                <w:sz w:val="11"/>
              </w:rPr>
              <w:t>las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actividades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inversión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80"/>
              <w:jc w:val="right"/>
              <w:rPr>
                <w:sz w:val="11"/>
              </w:rPr>
            </w:pPr>
            <w:r>
              <w:rPr>
                <w:sz w:val="11"/>
              </w:rPr>
              <w:t>(1.721.974)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100"/>
              <w:jc w:val="right"/>
              <w:rPr>
                <w:sz w:val="11"/>
              </w:rPr>
            </w:pPr>
            <w:r>
              <w:rPr>
                <w:sz w:val="11"/>
              </w:rPr>
              <w:t>123.740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113"/>
              <w:jc w:val="right"/>
              <w:rPr>
                <w:sz w:val="11"/>
              </w:rPr>
            </w:pPr>
            <w:r>
              <w:rPr>
                <w:sz w:val="11"/>
              </w:rPr>
              <w:t>23.273.401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(604.428)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(2.421.590)</w:t>
            </w:r>
          </w:p>
        </w:tc>
      </w:tr>
      <w:tr>
        <w:trPr>
          <w:trHeight w:val="170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Fondos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(utilizados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en) procedentes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las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actividades de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financiación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9"/>
              <w:jc w:val="right"/>
              <w:rPr>
                <w:sz w:val="11"/>
              </w:rPr>
            </w:pPr>
            <w:r>
              <w:rPr>
                <w:sz w:val="11"/>
              </w:rPr>
              <w:t>(9.242.464)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82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(15.125.437)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82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(18.477.921)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left="166"/>
              <w:rPr>
                <w:sz w:val="11"/>
              </w:rPr>
            </w:pPr>
            <w:r>
              <w:rPr>
                <w:color w:val="FF0000"/>
                <w:sz w:val="11"/>
              </w:rPr>
              <w:t>(14.567.073)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(9.825.974)</w:t>
            </w:r>
          </w:p>
        </w:tc>
      </w:tr>
      <w:tr>
        <w:trPr>
          <w:trHeight w:val="332" w:hRule="atLeast"/>
        </w:trPr>
        <w:tc>
          <w:tcPr>
            <w:tcW w:w="5578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Disminución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exposición a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los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cambios en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el poder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adquisitivo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 la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moneda 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efectivo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y</w:t>
            </w:r>
          </w:p>
          <w:p>
            <w:pPr>
              <w:pStyle w:val="TableParagraph"/>
              <w:spacing w:line="123" w:lineRule="exact" w:before="44"/>
              <w:ind w:left="137"/>
              <w:rPr>
                <w:sz w:val="11"/>
              </w:rPr>
            </w:pPr>
            <w:r>
              <w:rPr>
                <w:sz w:val="11"/>
              </w:rPr>
              <w:t>y equivalentes al efectivo</w:t>
            </w: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8"/>
              <w:jc w:val="right"/>
              <w:rPr>
                <w:sz w:val="11"/>
              </w:rPr>
            </w:pPr>
            <w:r>
              <w:rPr>
                <w:sz w:val="11"/>
              </w:rPr>
              <w:t>(4.618.089)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spacing w:before="19"/>
              <w:ind w:right="78"/>
              <w:jc w:val="right"/>
              <w:rPr>
                <w:sz w:val="11"/>
              </w:rPr>
            </w:pPr>
            <w:r>
              <w:rPr>
                <w:sz w:val="11"/>
              </w:rPr>
              <w:t>(2.178.921)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(2.191.162)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(2.021.235)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spacing w:before="19"/>
              <w:ind w:right="7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(1.799.162)</w:t>
            </w:r>
          </w:p>
        </w:tc>
      </w:tr>
      <w:tr>
        <w:trPr>
          <w:trHeight w:val="180" w:hRule="atLeast"/>
        </w:trPr>
        <w:tc>
          <w:tcPr>
            <w:tcW w:w="5578" w:type="dxa"/>
          </w:tcPr>
          <w:p>
            <w:pPr>
              <w:pStyle w:val="TableParagraph"/>
              <w:spacing w:before="17"/>
              <w:ind w:left="27"/>
              <w:rPr>
                <w:sz w:val="11"/>
              </w:rPr>
            </w:pPr>
            <w:r>
              <w:rPr>
                <w:sz w:val="11"/>
              </w:rPr>
              <w:t>Total de fondos generados (aplicados) durante el ejercicio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(124.287)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0"/>
              <w:jc w:val="right"/>
              <w:rPr>
                <w:sz w:val="11"/>
              </w:rPr>
            </w:pPr>
            <w:r>
              <w:rPr>
                <w:sz w:val="11"/>
              </w:rPr>
              <w:t>692.876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(372.744)</w:t>
            </w:r>
          </w:p>
        </w:tc>
        <w:tc>
          <w:tcPr>
            <w:tcW w:w="2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00"/>
              <w:jc w:val="right"/>
              <w:rPr>
                <w:sz w:val="11"/>
              </w:rPr>
            </w:pPr>
            <w:r>
              <w:rPr>
                <w:sz w:val="11"/>
              </w:rPr>
              <w:t>408.100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79"/>
              <w:jc w:val="right"/>
              <w:rPr>
                <w:sz w:val="11"/>
              </w:rPr>
            </w:pPr>
            <w:r>
              <w:rPr>
                <w:sz w:val="11"/>
              </w:rPr>
              <w:t>(4.522.885)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5"/>
        </w:r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6"/>
        <w:gridCol w:w="2193"/>
        <w:gridCol w:w="1100"/>
        <w:gridCol w:w="1105"/>
        <w:gridCol w:w="1095"/>
        <w:gridCol w:w="669"/>
      </w:tblGrid>
      <w:tr>
        <w:trPr>
          <w:trHeight w:val="230" w:hRule="atLeast"/>
        </w:trPr>
        <w:tc>
          <w:tcPr>
            <w:tcW w:w="4316" w:type="dxa"/>
          </w:tcPr>
          <w:p>
            <w:pPr>
              <w:pStyle w:val="TableParagraph"/>
              <w:spacing w:line="122" w:lineRule="exact"/>
              <w:ind w:left="27"/>
              <w:rPr>
                <w:b/>
                <w:sz w:val="11"/>
              </w:rPr>
            </w:pPr>
            <w:r>
              <w:rPr>
                <w:b/>
                <w:sz w:val="11"/>
                <w:u w:val="single"/>
              </w:rPr>
              <w:t>Índices</w:t>
            </w:r>
            <w:r>
              <w:rPr>
                <w:b/>
                <w:spacing w:val="6"/>
                <w:sz w:val="11"/>
                <w:u w:val="single"/>
              </w:rPr>
              <w:t> </w:t>
            </w:r>
          </w:p>
        </w:tc>
        <w:tc>
          <w:tcPr>
            <w:tcW w:w="6162" w:type="dxa"/>
            <w:gridSpan w:val="5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4" w:hRule="atLeast"/>
        </w:trPr>
        <w:tc>
          <w:tcPr>
            <w:tcW w:w="4316" w:type="dxa"/>
          </w:tcPr>
          <w:p>
            <w:pPr>
              <w:pStyle w:val="TableParagraph"/>
              <w:spacing w:before="104"/>
              <w:ind w:left="27"/>
              <w:rPr>
                <w:sz w:val="11"/>
              </w:rPr>
            </w:pPr>
            <w:r>
              <w:rPr>
                <w:sz w:val="11"/>
              </w:rPr>
              <w:t>Liquidez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(Activo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Pasivo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corriente)</w:t>
            </w:r>
          </w:p>
        </w:tc>
        <w:tc>
          <w:tcPr>
            <w:tcW w:w="2193" w:type="dxa"/>
          </w:tcPr>
          <w:p>
            <w:pPr>
              <w:pStyle w:val="TableParagraph"/>
              <w:spacing w:before="104"/>
              <w:ind w:right="447"/>
              <w:jc w:val="right"/>
              <w:rPr>
                <w:sz w:val="11"/>
              </w:rPr>
            </w:pPr>
            <w:r>
              <w:rPr>
                <w:sz w:val="11"/>
              </w:rPr>
              <w:t>0,84</w:t>
            </w:r>
          </w:p>
        </w:tc>
        <w:tc>
          <w:tcPr>
            <w:tcW w:w="1100" w:type="dxa"/>
          </w:tcPr>
          <w:p>
            <w:pPr>
              <w:pStyle w:val="TableParagraph"/>
              <w:spacing w:before="104"/>
              <w:ind w:left="448"/>
              <w:rPr>
                <w:sz w:val="11"/>
              </w:rPr>
            </w:pPr>
            <w:r>
              <w:rPr>
                <w:sz w:val="11"/>
              </w:rPr>
              <w:t>0,75</w:t>
            </w:r>
          </w:p>
        </w:tc>
        <w:tc>
          <w:tcPr>
            <w:tcW w:w="1105" w:type="dxa"/>
          </w:tcPr>
          <w:p>
            <w:pPr>
              <w:pStyle w:val="TableParagraph"/>
              <w:spacing w:before="104"/>
              <w:ind w:left="438" w:right="434"/>
              <w:jc w:val="center"/>
              <w:rPr>
                <w:sz w:val="11"/>
              </w:rPr>
            </w:pPr>
            <w:r>
              <w:rPr>
                <w:sz w:val="11"/>
              </w:rPr>
              <w:t>0,66</w:t>
            </w:r>
          </w:p>
        </w:tc>
        <w:tc>
          <w:tcPr>
            <w:tcW w:w="1095" w:type="dxa"/>
          </w:tcPr>
          <w:p>
            <w:pPr>
              <w:pStyle w:val="TableParagraph"/>
              <w:spacing w:before="104"/>
              <w:ind w:left="433" w:right="429"/>
              <w:jc w:val="center"/>
              <w:rPr>
                <w:sz w:val="11"/>
              </w:rPr>
            </w:pPr>
            <w:r>
              <w:rPr>
                <w:sz w:val="11"/>
              </w:rPr>
              <w:t>0,55</w:t>
            </w:r>
          </w:p>
        </w:tc>
        <w:tc>
          <w:tcPr>
            <w:tcW w:w="669" w:type="dxa"/>
          </w:tcPr>
          <w:p>
            <w:pPr>
              <w:pStyle w:val="TableParagraph"/>
              <w:spacing w:before="104"/>
              <w:ind w:right="27"/>
              <w:jc w:val="right"/>
              <w:rPr>
                <w:sz w:val="11"/>
              </w:rPr>
            </w:pPr>
            <w:r>
              <w:rPr>
                <w:sz w:val="11"/>
              </w:rPr>
              <w:t>0,54</w:t>
            </w:r>
          </w:p>
        </w:tc>
      </w:tr>
      <w:tr>
        <w:trPr>
          <w:trHeight w:val="169" w:hRule="atLeast"/>
        </w:trPr>
        <w:tc>
          <w:tcPr>
            <w:tcW w:w="4316" w:type="dxa"/>
          </w:tcPr>
          <w:p>
            <w:pPr>
              <w:pStyle w:val="TableParagraph"/>
              <w:spacing w:before="19"/>
              <w:ind w:left="27"/>
              <w:rPr>
                <w:sz w:val="11"/>
              </w:rPr>
            </w:pPr>
            <w:r>
              <w:rPr>
                <w:sz w:val="11"/>
              </w:rPr>
              <w:t>Solvencia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(Patrimonio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Total/Pasivo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Total)</w:t>
            </w:r>
          </w:p>
        </w:tc>
        <w:tc>
          <w:tcPr>
            <w:tcW w:w="2193" w:type="dxa"/>
          </w:tcPr>
          <w:p>
            <w:pPr>
              <w:pStyle w:val="TableParagraph"/>
              <w:spacing w:before="19"/>
              <w:ind w:right="447"/>
              <w:jc w:val="right"/>
              <w:rPr>
                <w:sz w:val="11"/>
              </w:rPr>
            </w:pPr>
            <w:r>
              <w:rPr>
                <w:sz w:val="11"/>
              </w:rPr>
              <w:t>0,36</w:t>
            </w:r>
          </w:p>
        </w:tc>
        <w:tc>
          <w:tcPr>
            <w:tcW w:w="1100" w:type="dxa"/>
          </w:tcPr>
          <w:p>
            <w:pPr>
              <w:pStyle w:val="TableParagraph"/>
              <w:spacing w:before="19"/>
              <w:ind w:left="448"/>
              <w:rPr>
                <w:sz w:val="11"/>
              </w:rPr>
            </w:pPr>
            <w:r>
              <w:rPr>
                <w:sz w:val="11"/>
              </w:rPr>
              <w:t>0,33</w:t>
            </w:r>
          </w:p>
        </w:tc>
        <w:tc>
          <w:tcPr>
            <w:tcW w:w="1105" w:type="dxa"/>
          </w:tcPr>
          <w:p>
            <w:pPr>
              <w:pStyle w:val="TableParagraph"/>
              <w:spacing w:before="19"/>
              <w:ind w:left="438" w:right="434"/>
              <w:jc w:val="center"/>
              <w:rPr>
                <w:sz w:val="11"/>
              </w:rPr>
            </w:pPr>
            <w:r>
              <w:rPr>
                <w:sz w:val="11"/>
              </w:rPr>
              <w:t>0,22</w:t>
            </w:r>
          </w:p>
        </w:tc>
        <w:tc>
          <w:tcPr>
            <w:tcW w:w="1095" w:type="dxa"/>
          </w:tcPr>
          <w:p>
            <w:pPr>
              <w:pStyle w:val="TableParagraph"/>
              <w:spacing w:before="19"/>
              <w:ind w:left="433" w:right="429"/>
              <w:jc w:val="center"/>
              <w:rPr>
                <w:sz w:val="11"/>
              </w:rPr>
            </w:pPr>
            <w:r>
              <w:rPr>
                <w:sz w:val="11"/>
              </w:rPr>
              <w:t>0,20</w:t>
            </w:r>
          </w:p>
        </w:tc>
        <w:tc>
          <w:tcPr>
            <w:tcW w:w="669" w:type="dxa"/>
          </w:tcPr>
          <w:p>
            <w:pPr>
              <w:pStyle w:val="TableParagraph"/>
              <w:spacing w:before="19"/>
              <w:ind w:right="27"/>
              <w:jc w:val="right"/>
              <w:rPr>
                <w:sz w:val="11"/>
              </w:rPr>
            </w:pPr>
            <w:r>
              <w:rPr>
                <w:sz w:val="11"/>
              </w:rPr>
              <w:t>0,23</w:t>
            </w:r>
          </w:p>
        </w:tc>
      </w:tr>
      <w:tr>
        <w:trPr>
          <w:trHeight w:val="145" w:hRule="atLeast"/>
        </w:trPr>
        <w:tc>
          <w:tcPr>
            <w:tcW w:w="4316" w:type="dxa"/>
          </w:tcPr>
          <w:p>
            <w:pPr>
              <w:pStyle w:val="TableParagraph"/>
              <w:spacing w:line="106" w:lineRule="exact" w:before="19"/>
              <w:ind w:left="27"/>
              <w:rPr>
                <w:sz w:val="11"/>
              </w:rPr>
            </w:pPr>
            <w:r>
              <w:rPr>
                <w:sz w:val="11"/>
              </w:rPr>
              <w:t>Inmovilización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Capital (Activo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no corriente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 Activo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total)</w:t>
            </w:r>
          </w:p>
        </w:tc>
        <w:tc>
          <w:tcPr>
            <w:tcW w:w="2193" w:type="dxa"/>
          </w:tcPr>
          <w:p>
            <w:pPr>
              <w:pStyle w:val="TableParagraph"/>
              <w:spacing w:line="106" w:lineRule="exact" w:before="19"/>
              <w:ind w:right="446"/>
              <w:jc w:val="right"/>
              <w:rPr>
                <w:sz w:val="11"/>
              </w:rPr>
            </w:pPr>
            <w:r>
              <w:rPr>
                <w:sz w:val="11"/>
              </w:rPr>
              <w:t>0,65</w:t>
            </w:r>
          </w:p>
        </w:tc>
        <w:tc>
          <w:tcPr>
            <w:tcW w:w="1100" w:type="dxa"/>
          </w:tcPr>
          <w:p>
            <w:pPr>
              <w:pStyle w:val="TableParagraph"/>
              <w:spacing w:line="106" w:lineRule="exact" w:before="19"/>
              <w:ind w:left="448"/>
              <w:rPr>
                <w:sz w:val="11"/>
              </w:rPr>
            </w:pPr>
            <w:r>
              <w:rPr>
                <w:sz w:val="11"/>
              </w:rPr>
              <w:t>0,67</w:t>
            </w:r>
          </w:p>
        </w:tc>
        <w:tc>
          <w:tcPr>
            <w:tcW w:w="1105" w:type="dxa"/>
          </w:tcPr>
          <w:p>
            <w:pPr>
              <w:pStyle w:val="TableParagraph"/>
              <w:spacing w:line="106" w:lineRule="exact" w:before="19"/>
              <w:ind w:left="438" w:right="434"/>
              <w:jc w:val="center"/>
              <w:rPr>
                <w:sz w:val="11"/>
              </w:rPr>
            </w:pPr>
            <w:r>
              <w:rPr>
                <w:sz w:val="11"/>
              </w:rPr>
              <w:t>0,69</w:t>
            </w:r>
          </w:p>
        </w:tc>
        <w:tc>
          <w:tcPr>
            <w:tcW w:w="1095" w:type="dxa"/>
          </w:tcPr>
          <w:p>
            <w:pPr>
              <w:pStyle w:val="TableParagraph"/>
              <w:spacing w:line="106" w:lineRule="exact" w:before="19"/>
              <w:ind w:left="433" w:right="429"/>
              <w:jc w:val="center"/>
              <w:rPr>
                <w:sz w:val="11"/>
              </w:rPr>
            </w:pPr>
            <w:r>
              <w:rPr>
                <w:sz w:val="11"/>
              </w:rPr>
              <w:t>0,72</w:t>
            </w:r>
          </w:p>
        </w:tc>
        <w:tc>
          <w:tcPr>
            <w:tcW w:w="669" w:type="dxa"/>
          </w:tcPr>
          <w:p>
            <w:pPr>
              <w:pStyle w:val="TableParagraph"/>
              <w:spacing w:line="106" w:lineRule="exact" w:before="19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0,74</w:t>
            </w:r>
          </w:p>
        </w:tc>
      </w:tr>
    </w:tbl>
    <w:p>
      <w:pPr>
        <w:pStyle w:val="BodyText"/>
        <w:rPr>
          <w:rFonts w:ascii="Times New Roman"/>
          <w:sz w:val="25"/>
        </w:rPr>
      </w:pPr>
    </w:p>
    <w:p>
      <w:pPr>
        <w:spacing w:before="96"/>
        <w:ind w:left="932" w:right="0" w:firstLine="0"/>
        <w:jc w:val="left"/>
        <w:rPr>
          <w:rFonts w:ascii="Times New Roman" w:hAnsi="Times New Roman"/>
          <w:sz w:val="11"/>
        </w:rPr>
      </w:pPr>
      <w:r>
        <w:rPr/>
        <w:pict>
          <v:rect style="position:absolute;margin-left:296.5pt;margin-top:-82.566177pt;width:41pt;height:.5pt;mso-position-horizontal-relative:page;mso-position-vertical-relative:paragraph;z-index:-16454144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-82.566177pt;width:41.5pt;height:.5pt;mso-position-horizontal-relative:page;mso-position-vertical-relative:paragraph;z-index:-16453632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-82.566177pt;width:42pt;height:.5pt;mso-position-horizontal-relative:page;mso-position-vertical-relative:paragraph;z-index:-16453120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-82.566177pt;width:41pt;height:.5pt;mso-position-horizontal-relative:page;mso-position-vertical-relative:paragraph;z-index:-16452608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-82.566177pt;width:44pt;height:.5pt;mso-position-horizontal-relative:page;mso-position-vertical-relative:paragraph;z-index:-16450560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11"/>
        </w:rPr>
        <w:t>Firmado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a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los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efectos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su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identificación</w:t>
      </w:r>
    </w:p>
    <w:p>
      <w:pPr>
        <w:spacing w:before="43"/>
        <w:ind w:left="849" w:right="0" w:firstLine="0"/>
        <w:jc w:val="left"/>
        <w:rPr>
          <w:rFonts w:ascii="Times New Roman"/>
          <w:sz w:val="11"/>
        </w:rPr>
      </w:pPr>
      <w:r>
        <w:rPr>
          <w:rFonts w:ascii="Times New Roman"/>
          <w:sz w:val="11"/>
        </w:rPr>
        <w:t>con nuestro informe de fecha 11 de abril de 2024</w:t>
      </w:r>
    </w:p>
    <w:p>
      <w:pPr>
        <w:pStyle w:val="BodyText"/>
        <w:spacing w:before="11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pgSz w:w="11910" w:h="16840"/>
          <w:pgMar w:top="1080" w:bottom="280" w:left="0" w:right="480"/>
        </w:sectPr>
      </w:pPr>
    </w:p>
    <w:p>
      <w:pPr>
        <w:spacing w:before="95"/>
        <w:ind w:left="1120" w:right="0" w:firstLine="0"/>
        <w:jc w:val="left"/>
        <w:rPr>
          <w:rFonts w:ascii="Times New Roman" w:hAnsi="Times New Roman"/>
          <w:b/>
          <w:sz w:val="11"/>
        </w:rPr>
      </w:pPr>
      <w:r>
        <w:rPr/>
        <w:pict>
          <v:rect style="position:absolute;margin-left:296.5pt;margin-top:227pt;width:41pt;height:.5pt;mso-position-horizontal-relative:page;mso-position-vertical-relative:page;z-index:-16458240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227pt;width:41.5pt;height:.5pt;mso-position-horizontal-relative:page;mso-position-vertical-relative:page;z-index:-16457728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227pt;width:42pt;height:.5pt;mso-position-horizontal-relative:page;mso-position-vertical-relative:page;z-index:-16457216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227pt;width:41pt;height:.5pt;mso-position-horizontal-relative:page;mso-position-vertical-relative:page;z-index:-16456704" filled="true" fillcolor="#000000" stroked="false">
            <v:fill type="solid"/>
            <w10:wrap type="none"/>
          </v:rect>
        </w:pict>
      </w:r>
      <w:r>
        <w:rPr/>
        <w:pict>
          <v:rect style="position:absolute;margin-left:296.5pt;margin-top:330pt;width:41pt;height:.5pt;mso-position-horizontal-relative:page;mso-position-vertical-relative:page;z-index:-16456192" filled="true" fillcolor="#000000" stroked="false">
            <v:fill type="solid"/>
            <w10:wrap type="none"/>
          </v:rect>
        </w:pict>
      </w:r>
      <w:r>
        <w:rPr/>
        <w:pict>
          <v:rect style="position:absolute;margin-left:351pt;margin-top:330pt;width:41.5pt;height:.5pt;mso-position-horizontal-relative:page;mso-position-vertical-relative:page;z-index:-16455680" filled="true" fillcolor="#000000" stroked="false">
            <v:fill type="solid"/>
            <w10:wrap type="none"/>
          </v:rect>
        </w:pict>
      </w:r>
      <w:r>
        <w:rPr/>
        <w:pict>
          <v:rect style="position:absolute;margin-left:406pt;margin-top:330pt;width:42pt;height:.5pt;mso-position-horizontal-relative:page;mso-position-vertical-relative:page;z-index:-16455168" filled="true" fillcolor="#000000" stroked="false">
            <v:fill type="solid"/>
            <w10:wrap type="none"/>
          </v:rect>
        </w:pict>
      </w:r>
      <w:r>
        <w:rPr/>
        <w:pict>
          <v:rect style="position:absolute;margin-left:461.5pt;margin-top:330pt;width:41pt;height:.5pt;mso-position-horizontal-relative:page;mso-position-vertical-relative:page;z-index:-16454656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227pt;width:44pt;height:.5pt;mso-position-horizontal-relative:page;mso-position-vertical-relative:page;z-index:-16451584" filled="true" fillcolor="#000000" stroked="false">
            <v:fill type="solid"/>
            <w10:wrap type="none"/>
          </v:rect>
        </w:pict>
      </w:r>
      <w:r>
        <w:rPr/>
        <w:pict>
          <v:rect style="position:absolute;margin-left:514.5pt;margin-top:330pt;width:44pt;height:.5pt;mso-position-horizontal-relative:page;mso-position-vertical-relative:page;z-index:-16451072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b/>
          <w:sz w:val="11"/>
        </w:rPr>
        <w:t>DANIEL</w:t>
      </w:r>
      <w:r>
        <w:rPr>
          <w:rFonts w:ascii="Times New Roman" w:hAnsi="Times New Roman"/>
          <w:b/>
          <w:spacing w:val="-4"/>
          <w:sz w:val="11"/>
        </w:rPr>
        <w:t> </w:t>
      </w:r>
      <w:r>
        <w:rPr>
          <w:rFonts w:ascii="Times New Roman" w:hAnsi="Times New Roman"/>
          <w:b/>
          <w:sz w:val="11"/>
        </w:rPr>
        <w:t>NÉSTOR</w:t>
      </w:r>
      <w:r>
        <w:rPr>
          <w:rFonts w:ascii="Times New Roman" w:hAnsi="Times New Roman"/>
          <w:b/>
          <w:spacing w:val="-4"/>
          <w:sz w:val="11"/>
        </w:rPr>
        <w:t> </w:t>
      </w:r>
      <w:r>
        <w:rPr>
          <w:rFonts w:ascii="Times New Roman" w:hAnsi="Times New Roman"/>
          <w:b/>
          <w:sz w:val="11"/>
        </w:rPr>
        <w:t>GALLO</w:t>
      </w:r>
    </w:p>
    <w:p>
      <w:pPr>
        <w:spacing w:line="321" w:lineRule="auto" w:before="44"/>
        <w:ind w:left="1042" w:right="33" w:firstLine="125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Por Comisión Fiscalizadora</w:t>
      </w:r>
      <w:r>
        <w:rPr>
          <w:rFonts w:ascii="Times New Roman" w:hAnsi="Times New Roman"/>
          <w:spacing w:val="1"/>
          <w:sz w:val="11"/>
        </w:rPr>
        <w:t> </w:t>
      </w:r>
      <w:r>
        <w:rPr>
          <w:rFonts w:ascii="Times New Roman" w:hAnsi="Times New Roman"/>
          <w:sz w:val="11"/>
        </w:rPr>
        <w:t>Contador</w:t>
      </w:r>
      <w:r>
        <w:rPr>
          <w:rFonts w:ascii="Times New Roman" w:hAnsi="Times New Roman"/>
          <w:spacing w:val="-4"/>
          <w:sz w:val="11"/>
        </w:rPr>
        <w:t> </w:t>
      </w:r>
      <w:r>
        <w:rPr>
          <w:rFonts w:ascii="Times New Roman" w:hAnsi="Times New Roman"/>
          <w:sz w:val="11"/>
        </w:rPr>
        <w:t>Público</w:t>
      </w:r>
      <w:r>
        <w:rPr>
          <w:rFonts w:ascii="Times New Roman" w:hAnsi="Times New Roman"/>
          <w:spacing w:val="-5"/>
          <w:sz w:val="11"/>
        </w:rPr>
        <w:t> </w:t>
      </w:r>
      <w:r>
        <w:rPr>
          <w:rFonts w:ascii="Times New Roman" w:hAnsi="Times New Roman"/>
          <w:sz w:val="11"/>
        </w:rPr>
        <w:t>Nacional</w:t>
      </w:r>
      <w:r>
        <w:rPr>
          <w:rFonts w:ascii="Times New Roman" w:hAnsi="Times New Roman"/>
          <w:spacing w:val="-4"/>
          <w:sz w:val="11"/>
        </w:rPr>
        <w:t> </w:t>
      </w:r>
      <w:r>
        <w:rPr>
          <w:rFonts w:ascii="Times New Roman" w:hAnsi="Times New Roman"/>
          <w:sz w:val="11"/>
        </w:rPr>
        <w:t>(U.N.R.)</w:t>
      </w:r>
    </w:p>
    <w:p>
      <w:pPr>
        <w:spacing w:before="1"/>
        <w:ind w:left="1234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Matrícula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2.869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-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Ley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8.738</w:t>
      </w:r>
    </w:p>
    <w:p>
      <w:pPr>
        <w:spacing w:before="43"/>
        <w:ind w:left="1262" w:right="0" w:firstLine="0"/>
        <w:jc w:val="left"/>
        <w:rPr>
          <w:rFonts w:ascii="Times New Roman"/>
          <w:sz w:val="11"/>
        </w:rPr>
      </w:pPr>
      <w:r>
        <w:rPr>
          <w:rFonts w:ascii="Times New Roman"/>
          <w:sz w:val="11"/>
        </w:rPr>
        <w:t>C.P.C.E.</w:t>
      </w:r>
      <w:r>
        <w:rPr>
          <w:rFonts w:ascii="Times New Roman"/>
          <w:spacing w:val="-2"/>
          <w:sz w:val="11"/>
        </w:rPr>
        <w:t> </w:t>
      </w:r>
      <w:r>
        <w:rPr>
          <w:rFonts w:ascii="Times New Roman"/>
          <w:sz w:val="11"/>
        </w:rPr>
        <w:t>Pcia.</w:t>
      </w:r>
      <w:r>
        <w:rPr>
          <w:rFonts w:ascii="Times New Roman"/>
          <w:spacing w:val="-3"/>
          <w:sz w:val="11"/>
        </w:rPr>
        <w:t> </w:t>
      </w:r>
      <w:r>
        <w:rPr>
          <w:rFonts w:ascii="Times New Roman"/>
          <w:sz w:val="11"/>
        </w:rPr>
        <w:t>de</w:t>
      </w:r>
      <w:r>
        <w:rPr>
          <w:rFonts w:ascii="Times New Roman"/>
          <w:spacing w:val="-2"/>
          <w:sz w:val="11"/>
        </w:rPr>
        <w:t> </w:t>
      </w:r>
      <w:r>
        <w:rPr>
          <w:rFonts w:ascii="Times New Roman"/>
          <w:sz w:val="11"/>
        </w:rPr>
        <w:t>Santa</w:t>
      </w:r>
      <w:r>
        <w:rPr>
          <w:rFonts w:ascii="Times New Roman"/>
          <w:spacing w:val="-3"/>
          <w:sz w:val="11"/>
        </w:rPr>
        <w:t> </w:t>
      </w:r>
      <w:r>
        <w:rPr>
          <w:rFonts w:ascii="Times New Roman"/>
          <w:sz w:val="11"/>
        </w:rPr>
        <w:t>Fe</w:t>
      </w:r>
    </w:p>
    <w:p>
      <w:pPr>
        <w:pStyle w:val="BodyText"/>
        <w:rPr>
          <w:rFonts w:ascii="Times New Roman"/>
          <w:sz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1"/>
        <w:rPr>
          <w:rFonts w:ascii="Times New Roman"/>
          <w:sz w:val="11"/>
        </w:rPr>
      </w:pPr>
    </w:p>
    <w:p>
      <w:pPr>
        <w:spacing w:line="340" w:lineRule="auto" w:before="0"/>
        <w:ind w:left="1042" w:right="37" w:firstLine="19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Firmado a los efectos de su identificación</w:t>
      </w:r>
      <w:r>
        <w:rPr>
          <w:rFonts w:ascii="Times New Roman" w:hAnsi="Times New Roman"/>
          <w:spacing w:val="1"/>
          <w:sz w:val="11"/>
        </w:rPr>
        <w:t> </w:t>
      </w:r>
      <w:r>
        <w:rPr>
          <w:rFonts w:ascii="Times New Roman" w:hAnsi="Times New Roman"/>
          <w:sz w:val="11"/>
        </w:rPr>
        <w:t>con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nuestro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informe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fecha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11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abril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2024</w:t>
      </w:r>
    </w:p>
    <w:p>
      <w:pPr>
        <w:spacing w:before="1"/>
        <w:ind w:left="1338" w:right="299" w:firstLine="0"/>
        <w:jc w:val="center"/>
        <w:rPr>
          <w:rFonts w:ascii="Times New Roman"/>
          <w:b/>
          <w:sz w:val="11"/>
        </w:rPr>
      </w:pPr>
      <w:r>
        <w:rPr>
          <w:rFonts w:ascii="Times New Roman"/>
          <w:b/>
          <w:sz w:val="11"/>
        </w:rPr>
        <w:t>BECHER</w:t>
      </w:r>
      <w:r>
        <w:rPr>
          <w:rFonts w:ascii="Times New Roman"/>
          <w:b/>
          <w:spacing w:val="-4"/>
          <w:sz w:val="11"/>
        </w:rPr>
        <w:t> </w:t>
      </w:r>
      <w:r>
        <w:rPr>
          <w:rFonts w:ascii="Times New Roman"/>
          <w:b/>
          <w:sz w:val="11"/>
        </w:rPr>
        <w:t>Y</w:t>
      </w:r>
      <w:r>
        <w:rPr>
          <w:rFonts w:ascii="Times New Roman"/>
          <w:b/>
          <w:spacing w:val="-4"/>
          <w:sz w:val="11"/>
        </w:rPr>
        <w:t> </w:t>
      </w:r>
      <w:r>
        <w:rPr>
          <w:rFonts w:ascii="Times New Roman"/>
          <w:b/>
          <w:sz w:val="11"/>
        </w:rPr>
        <w:t>ASOCIADOS</w:t>
      </w:r>
      <w:r>
        <w:rPr>
          <w:rFonts w:ascii="Times New Roman"/>
          <w:b/>
          <w:spacing w:val="-4"/>
          <w:sz w:val="11"/>
        </w:rPr>
        <w:t> </w:t>
      </w:r>
      <w:r>
        <w:rPr>
          <w:rFonts w:ascii="Times New Roman"/>
          <w:b/>
          <w:sz w:val="11"/>
        </w:rPr>
        <w:t>S.R.L.</w:t>
      </w:r>
    </w:p>
    <w:p>
      <w:pPr>
        <w:spacing w:before="43"/>
        <w:ind w:left="1182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C.P.C.E.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Prov.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Santa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Fe</w:t>
      </w:r>
      <w:r>
        <w:rPr>
          <w:rFonts w:ascii="Times New Roman" w:hAnsi="Times New Roman"/>
          <w:spacing w:val="-4"/>
          <w:sz w:val="11"/>
        </w:rPr>
        <w:t> </w:t>
      </w:r>
      <w:r>
        <w:rPr>
          <w:rFonts w:ascii="Times New Roman" w:hAnsi="Times New Roman"/>
          <w:sz w:val="11"/>
        </w:rPr>
        <w:t>–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Matrícula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7-282</w:t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1"/>
        <w:rPr>
          <w:rFonts w:ascii="Times New Roman"/>
          <w:sz w:val="11"/>
        </w:rPr>
      </w:pPr>
    </w:p>
    <w:p>
      <w:pPr>
        <w:spacing w:before="0"/>
        <w:ind w:left="1332" w:right="345" w:firstLine="0"/>
        <w:jc w:val="center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b/>
          <w:sz w:val="11"/>
        </w:rPr>
        <w:t>Fabián Gustavo Marcote (Socio)</w:t>
      </w:r>
    </w:p>
    <w:p>
      <w:pPr>
        <w:spacing w:before="54"/>
        <w:ind w:left="1332" w:right="269" w:firstLine="0"/>
        <w:jc w:val="center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Contador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Público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(U.B.A)</w:t>
      </w:r>
    </w:p>
    <w:p>
      <w:pPr>
        <w:spacing w:before="43"/>
        <w:ind w:left="1252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C.P.C.E.</w:t>
      </w:r>
      <w:r>
        <w:rPr>
          <w:rFonts w:ascii="Times New Roman" w:hAnsi="Times New Roman"/>
          <w:spacing w:val="-2"/>
          <w:sz w:val="11"/>
        </w:rPr>
        <w:t> </w:t>
      </w:r>
      <w:r>
        <w:rPr>
          <w:rFonts w:ascii="Times New Roman" w:hAnsi="Times New Roman"/>
          <w:sz w:val="11"/>
        </w:rPr>
        <w:t>Prov.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Santa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Fe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–</w:t>
      </w:r>
      <w:r>
        <w:rPr>
          <w:rFonts w:ascii="Times New Roman" w:hAnsi="Times New Roman"/>
          <w:spacing w:val="-1"/>
          <w:sz w:val="11"/>
        </w:rPr>
        <w:t> </w:t>
      </w:r>
      <w:r>
        <w:rPr>
          <w:rFonts w:ascii="Times New Roman" w:hAnsi="Times New Roman"/>
          <w:sz w:val="11"/>
        </w:rPr>
        <w:t>Matr.</w:t>
      </w:r>
      <w:r>
        <w:rPr>
          <w:rFonts w:ascii="Times New Roman" w:hAnsi="Times New Roman"/>
          <w:spacing w:val="-3"/>
          <w:sz w:val="11"/>
        </w:rPr>
        <w:t> </w:t>
      </w:r>
      <w:r>
        <w:rPr>
          <w:rFonts w:ascii="Times New Roman" w:hAnsi="Times New Roman"/>
          <w:sz w:val="11"/>
        </w:rPr>
        <w:t>16.845</w:t>
      </w:r>
    </w:p>
    <w:p>
      <w:pPr>
        <w:spacing w:before="95"/>
        <w:ind w:left="1034" w:right="2155" w:firstLine="0"/>
        <w:jc w:val="center"/>
        <w:rPr>
          <w:rFonts w:ascii="Times New Roman"/>
          <w:b/>
          <w:sz w:val="11"/>
        </w:rPr>
      </w:pPr>
      <w:r>
        <w:rPr/>
        <w:br w:type="column"/>
      </w:r>
      <w:r>
        <w:rPr>
          <w:rFonts w:ascii="Times New Roman"/>
          <w:b/>
          <w:spacing w:val="-1"/>
          <w:sz w:val="11"/>
        </w:rPr>
        <w:t>DOUGLAS</w:t>
      </w:r>
      <w:r>
        <w:rPr>
          <w:rFonts w:ascii="Times New Roman"/>
          <w:b/>
          <w:sz w:val="11"/>
        </w:rPr>
        <w:t> </w:t>
      </w:r>
      <w:r>
        <w:rPr>
          <w:rFonts w:ascii="Times New Roman"/>
          <w:b/>
          <w:spacing w:val="-1"/>
          <w:sz w:val="11"/>
        </w:rPr>
        <w:t>ALBRECHT</w:t>
      </w:r>
    </w:p>
    <w:p>
      <w:pPr>
        <w:spacing w:before="44"/>
        <w:ind w:left="1034" w:right="2145" w:firstLine="0"/>
        <w:jc w:val="center"/>
        <w:rPr>
          <w:rFonts w:ascii="Times New Roman"/>
          <w:sz w:val="11"/>
        </w:rPr>
      </w:pPr>
      <w:r>
        <w:rPr>
          <w:rFonts w:ascii="Times New Roman"/>
          <w:sz w:val="11"/>
        </w:rPr>
        <w:t>Presidente</w:t>
      </w:r>
    </w:p>
    <w:p>
      <w:pPr>
        <w:spacing w:after="0"/>
        <w:jc w:val="center"/>
        <w:rPr>
          <w:rFonts w:ascii="Times New Roman"/>
          <w:sz w:val="11"/>
        </w:rPr>
        <w:sectPr>
          <w:type w:val="continuous"/>
          <w:pgSz w:w="11910" w:h="16840"/>
          <w:pgMar w:top="1580" w:bottom="280" w:left="0" w:right="480"/>
          <w:cols w:num="3" w:equalWidth="0">
            <w:col w:w="2696" w:space="892"/>
            <w:col w:w="3243" w:space="196"/>
            <w:col w:w="4403"/>
          </w:cols>
        </w:sectPr>
      </w:pPr>
    </w:p>
    <w:p>
      <w:pPr>
        <w:pStyle w:val="BodyText"/>
        <w:spacing w:line="211" w:lineRule="exact"/>
        <w:ind w:left="10651"/>
        <w:rPr>
          <w:rFonts w:ascii="Times New Roman"/>
          <w:sz w:val="20"/>
        </w:rPr>
      </w:pPr>
      <w:r>
        <w:rPr>
          <w:rFonts w:ascii="Times New Roman"/>
          <w:position w:val="-4"/>
          <w:sz w:val="20"/>
        </w:rPr>
        <w:pict>
          <v:shape style="width:31pt;height:10.1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42"/>
                    <w:ind w:left="86" w:right="0" w:firstLine="0"/>
                    <w:jc w:val="left"/>
                    <w:rPr>
                      <w:rFonts w:ascii="Times New Roman"/>
                      <w:sz w:val="13"/>
                    </w:rPr>
                  </w:pPr>
                  <w:bookmarkStart w:name="Anexo 2" w:id="28"/>
                  <w:bookmarkEnd w:id="28"/>
                  <w:r>
                    <w:rPr/>
                  </w:r>
                  <w:r>
                    <w:rPr>
                      <w:rFonts w:ascii="Times New Roman"/>
                      <w:sz w:val="13"/>
                    </w:rPr>
                    <w:t>Anexo</w:t>
                  </w:r>
                  <w:r>
                    <w:rPr>
                      <w:rFonts w:ascii="Times New Roman"/>
                      <w:spacing w:val="-3"/>
                      <w:sz w:val="13"/>
                    </w:rPr>
                    <w:t> </w:t>
                  </w:r>
                  <w:r>
                    <w:rPr>
                      <w:rFonts w:ascii="Times New Roman"/>
                      <w:sz w:val="13"/>
                    </w:rPr>
                    <w:t>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-4"/>
          <w:sz w:val="20"/>
        </w:rPr>
      </w:r>
    </w:p>
    <w:p>
      <w:pPr>
        <w:spacing w:before="38"/>
        <w:ind w:left="548" w:right="0" w:firstLine="0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CELULOSA</w:t>
      </w:r>
      <w:r>
        <w:rPr>
          <w:rFonts w:ascii="Times New Roman" w:hAnsi="Times New Roman"/>
          <w:b/>
          <w:spacing w:val="-7"/>
          <w:sz w:val="13"/>
        </w:rPr>
        <w:t> </w:t>
      </w:r>
      <w:r>
        <w:rPr>
          <w:rFonts w:ascii="Times New Roman" w:hAnsi="Times New Roman"/>
          <w:b/>
          <w:sz w:val="13"/>
        </w:rPr>
        <w:t>ARGENTINA</w:t>
      </w:r>
      <w:r>
        <w:rPr>
          <w:rFonts w:ascii="Times New Roman" w:hAnsi="Times New Roman"/>
          <w:b/>
          <w:spacing w:val="-7"/>
          <w:sz w:val="13"/>
        </w:rPr>
        <w:t> </w:t>
      </w:r>
      <w:r>
        <w:rPr>
          <w:rFonts w:ascii="Times New Roman" w:hAnsi="Times New Roman"/>
          <w:b/>
          <w:sz w:val="13"/>
        </w:rPr>
        <w:t>SOCIEDAD</w:t>
      </w:r>
      <w:r>
        <w:rPr>
          <w:rFonts w:ascii="Times New Roman" w:hAnsi="Times New Roman"/>
          <w:b/>
          <w:spacing w:val="-2"/>
          <w:sz w:val="13"/>
        </w:rPr>
        <w:t> </w:t>
      </w:r>
      <w:r>
        <w:rPr>
          <w:rFonts w:ascii="Times New Roman" w:hAnsi="Times New Roman"/>
          <w:b/>
          <w:sz w:val="13"/>
        </w:rPr>
        <w:t>ANÓNIMA</w:t>
      </w:r>
    </w:p>
    <w:p>
      <w:pPr>
        <w:spacing w:before="47"/>
        <w:ind w:left="551" w:right="0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RESEÑA</w:t>
      </w:r>
      <w:r>
        <w:rPr>
          <w:rFonts w:ascii="Times New Roman" w:hAnsi="Times New Roman"/>
          <w:spacing w:val="-8"/>
          <w:sz w:val="13"/>
        </w:rPr>
        <w:t> </w:t>
      </w:r>
      <w:r>
        <w:rPr>
          <w:rFonts w:ascii="Times New Roman" w:hAnsi="Times New Roman"/>
          <w:sz w:val="13"/>
        </w:rPr>
        <w:t>INFORMATIVA</w:t>
      </w:r>
      <w:r>
        <w:rPr>
          <w:rFonts w:ascii="Times New Roman" w:hAnsi="Times New Roman"/>
          <w:spacing w:val="-8"/>
          <w:sz w:val="13"/>
        </w:rPr>
        <w:t> </w:t>
      </w:r>
      <w:r>
        <w:rPr>
          <w:rFonts w:ascii="Times New Roman" w:hAnsi="Times New Roman"/>
          <w:sz w:val="13"/>
        </w:rPr>
        <w:t>SOBRE</w:t>
      </w:r>
      <w:r>
        <w:rPr>
          <w:rFonts w:ascii="Times New Roman" w:hAnsi="Times New Roman"/>
          <w:spacing w:val="-3"/>
          <w:sz w:val="13"/>
        </w:rPr>
        <w:t> </w:t>
      </w:r>
      <w:r>
        <w:rPr>
          <w:rFonts w:ascii="Times New Roman" w:hAnsi="Times New Roman"/>
          <w:sz w:val="13"/>
        </w:rPr>
        <w:t>EL</w:t>
      </w:r>
      <w:r>
        <w:rPr>
          <w:rFonts w:ascii="Times New Roman" w:hAnsi="Times New Roman"/>
          <w:spacing w:val="-8"/>
          <w:sz w:val="13"/>
        </w:rPr>
        <w:t> </w:t>
      </w:r>
      <w:r>
        <w:rPr>
          <w:rFonts w:ascii="Times New Roman" w:hAnsi="Times New Roman"/>
          <w:sz w:val="13"/>
        </w:rPr>
        <w:t>TERCER</w:t>
      </w:r>
      <w:r>
        <w:rPr>
          <w:rFonts w:ascii="Times New Roman" w:hAnsi="Times New Roman"/>
          <w:spacing w:val="-5"/>
          <w:sz w:val="13"/>
        </w:rPr>
        <w:t> </w:t>
      </w:r>
      <w:r>
        <w:rPr>
          <w:rFonts w:ascii="Times New Roman" w:hAnsi="Times New Roman"/>
          <w:sz w:val="13"/>
        </w:rPr>
        <w:t>TRIMESTRE</w:t>
      </w:r>
      <w:r>
        <w:rPr>
          <w:rFonts w:ascii="Times New Roman" w:hAnsi="Times New Roman"/>
          <w:spacing w:val="-4"/>
          <w:sz w:val="13"/>
        </w:rPr>
        <w:t> </w:t>
      </w:r>
      <w:r>
        <w:rPr>
          <w:rFonts w:ascii="Times New Roman" w:hAnsi="Times New Roman"/>
          <w:sz w:val="13"/>
        </w:rPr>
        <w:t>DEL</w:t>
      </w:r>
      <w:r>
        <w:rPr>
          <w:rFonts w:ascii="Times New Roman" w:hAnsi="Times New Roman"/>
          <w:spacing w:val="-8"/>
          <w:sz w:val="13"/>
        </w:rPr>
        <w:t> </w:t>
      </w:r>
      <w:r>
        <w:rPr>
          <w:rFonts w:ascii="Times New Roman" w:hAnsi="Times New Roman"/>
          <w:sz w:val="13"/>
        </w:rPr>
        <w:t>EJERCICIO</w:t>
      </w:r>
      <w:r>
        <w:rPr>
          <w:rFonts w:ascii="Times New Roman" w:hAnsi="Times New Roman"/>
          <w:spacing w:val="-7"/>
          <w:sz w:val="13"/>
        </w:rPr>
        <w:t> </w:t>
      </w:r>
      <w:r>
        <w:rPr>
          <w:rFonts w:ascii="Times New Roman" w:hAnsi="Times New Roman"/>
          <w:sz w:val="13"/>
        </w:rPr>
        <w:t>2023/2024</w:t>
      </w: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spacing w:before="95"/>
        <w:ind w:left="715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  <w:u w:val="single"/>
        </w:rPr>
        <w:t>Datos</w:t>
      </w:r>
      <w:r>
        <w:rPr>
          <w:rFonts w:ascii="Times New Roman" w:hAnsi="Times New Roman"/>
          <w:b/>
          <w:spacing w:val="8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estadísticos</w:t>
      </w:r>
      <w:r>
        <w:rPr>
          <w:rFonts w:ascii="Times New Roman" w:hAnsi="Times New Roman"/>
          <w:b/>
          <w:spacing w:val="8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(en</w:t>
      </w:r>
      <w:r>
        <w:rPr>
          <w:rFonts w:ascii="Times New Roman" w:hAnsi="Times New Roman"/>
          <w:b/>
          <w:spacing w:val="6"/>
          <w:sz w:val="13"/>
          <w:u w:val="single"/>
        </w:rPr>
        <w:t> </w:t>
      </w:r>
      <w:r>
        <w:rPr>
          <w:rFonts w:ascii="Times New Roman" w:hAnsi="Times New Roman"/>
          <w:b/>
          <w:sz w:val="13"/>
          <w:u w:val="single"/>
        </w:rPr>
        <w:t>toneladas)</w:t>
      </w:r>
    </w:p>
    <w:p>
      <w:pPr>
        <w:spacing w:before="52"/>
        <w:ind w:left="715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Relativos</w:t>
      </w:r>
      <w:r>
        <w:rPr>
          <w:rFonts w:ascii="Times New Roman"/>
          <w:b/>
          <w:spacing w:val="5"/>
          <w:sz w:val="13"/>
        </w:rPr>
        <w:t> </w:t>
      </w:r>
      <w:r>
        <w:rPr>
          <w:rFonts w:ascii="Times New Roman"/>
          <w:b/>
          <w:sz w:val="13"/>
        </w:rPr>
        <w:t>a</w:t>
      </w:r>
      <w:r>
        <w:rPr>
          <w:rFonts w:ascii="Times New Roman"/>
          <w:b/>
          <w:spacing w:val="6"/>
          <w:sz w:val="13"/>
        </w:rPr>
        <w:t> </w:t>
      </w:r>
      <w:r>
        <w:rPr>
          <w:rFonts w:ascii="Times New Roman"/>
          <w:b/>
          <w:sz w:val="13"/>
        </w:rPr>
        <w:t>la</w:t>
      </w:r>
      <w:r>
        <w:rPr>
          <w:rFonts w:ascii="Times New Roman"/>
          <w:b/>
          <w:spacing w:val="6"/>
          <w:sz w:val="13"/>
        </w:rPr>
        <w:t> </w:t>
      </w:r>
      <w:r>
        <w:rPr>
          <w:rFonts w:ascii="Times New Roman"/>
          <w:b/>
          <w:sz w:val="13"/>
        </w:rPr>
        <w:t>actividad</w:t>
      </w:r>
      <w:r>
        <w:rPr>
          <w:rFonts w:ascii="Times New Roman"/>
          <w:b/>
          <w:spacing w:val="4"/>
          <w:sz w:val="13"/>
        </w:rPr>
        <w:t> </w:t>
      </w:r>
      <w:r>
        <w:rPr>
          <w:rFonts w:ascii="Times New Roman"/>
          <w:b/>
          <w:sz w:val="13"/>
        </w:rPr>
        <w:t>principal</w:t>
      </w:r>
      <w:r>
        <w:rPr>
          <w:rFonts w:ascii="Times New Roman"/>
          <w:b/>
          <w:spacing w:val="5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4"/>
          <w:sz w:val="13"/>
        </w:rPr>
        <w:t> </w:t>
      </w:r>
      <w:r>
        <w:rPr>
          <w:rFonts w:ascii="Times New Roman"/>
          <w:b/>
          <w:sz w:val="13"/>
        </w:rPr>
        <w:t>la</w:t>
      </w:r>
      <w:r>
        <w:rPr>
          <w:rFonts w:ascii="Times New Roman"/>
          <w:b/>
          <w:spacing w:val="6"/>
          <w:sz w:val="13"/>
        </w:rPr>
        <w:t> </w:t>
      </w:r>
      <w:r>
        <w:rPr>
          <w:rFonts w:ascii="Times New Roman"/>
          <w:b/>
          <w:sz w:val="13"/>
        </w:rPr>
        <w:t>Empresa.</w:t>
      </w:r>
    </w:p>
    <w:p>
      <w:pPr>
        <w:pStyle w:val="BodyText"/>
        <w:spacing w:before="9"/>
        <w:rPr>
          <w:rFonts w:ascii="Times New Roman"/>
          <w:b/>
          <w:sz w:val="15"/>
        </w:rPr>
      </w:pPr>
    </w:p>
    <w:p>
      <w:pPr>
        <w:tabs>
          <w:tab w:pos="4146" w:val="left" w:leader="none"/>
          <w:tab w:pos="5932" w:val="left" w:leader="none"/>
          <w:tab w:pos="7737" w:val="left" w:leader="none"/>
          <w:tab w:pos="9551" w:val="left" w:leader="none"/>
        </w:tabs>
        <w:spacing w:before="0"/>
        <w:ind w:left="2322" w:right="0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  <w:u w:val="single"/>
        </w:rPr>
        <w:t>29.02.24</w:t>
      </w:r>
      <w:r>
        <w:rPr>
          <w:rFonts w:ascii="Times New Roman"/>
          <w:sz w:val="13"/>
        </w:rPr>
        <w:tab/>
      </w:r>
      <w:r>
        <w:rPr>
          <w:rFonts w:ascii="Times New Roman"/>
          <w:sz w:val="13"/>
          <w:u w:val="single"/>
        </w:rPr>
        <w:t>28.02.23</w:t>
      </w:r>
      <w:r>
        <w:rPr>
          <w:rFonts w:ascii="Times New Roman"/>
          <w:sz w:val="13"/>
        </w:rPr>
        <w:tab/>
      </w:r>
      <w:r>
        <w:rPr>
          <w:rFonts w:ascii="Times New Roman"/>
          <w:sz w:val="13"/>
          <w:u w:val="single"/>
        </w:rPr>
        <w:t>28.02.22</w:t>
      </w:r>
      <w:r>
        <w:rPr>
          <w:rFonts w:ascii="Times New Roman"/>
          <w:sz w:val="13"/>
        </w:rPr>
        <w:tab/>
      </w:r>
      <w:r>
        <w:rPr>
          <w:rFonts w:ascii="Times New Roman"/>
          <w:sz w:val="13"/>
          <w:u w:val="single"/>
        </w:rPr>
        <w:t>28.02.21</w:t>
      </w:r>
      <w:r>
        <w:rPr>
          <w:rFonts w:ascii="Times New Roman"/>
          <w:sz w:val="13"/>
        </w:rPr>
        <w:tab/>
      </w:r>
      <w:r>
        <w:rPr>
          <w:rFonts w:ascii="Times New Roman"/>
          <w:sz w:val="13"/>
          <w:u w:val="single"/>
        </w:rPr>
        <w:t>29.02.20</w:t>
      </w:r>
    </w:p>
    <w:p>
      <w:pPr>
        <w:tabs>
          <w:tab w:pos="3276" w:val="left" w:leader="none"/>
          <w:tab w:pos="4097" w:val="left" w:leader="none"/>
          <w:tab w:pos="5071" w:val="left" w:leader="none"/>
          <w:tab w:pos="5902" w:val="left" w:leader="none"/>
          <w:tab w:pos="6876" w:val="left" w:leader="none"/>
          <w:tab w:pos="7692" w:val="left" w:leader="none"/>
          <w:tab w:pos="8695" w:val="left" w:leader="none"/>
          <w:tab w:pos="9507" w:val="left" w:leader="none"/>
          <w:tab w:pos="10515" w:val="left" w:leader="none"/>
        </w:tabs>
        <w:spacing w:before="47"/>
        <w:ind w:left="2244" w:right="0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  <w:u w:val="single"/>
        </w:rPr>
        <w:t>Acumul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Trim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Acumul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Trim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Acumul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Trim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Acumul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Trim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Acumul</w:t>
      </w:r>
      <w:r>
        <w:rPr>
          <w:rFonts w:ascii="Times New Roman"/>
          <w:sz w:val="13"/>
        </w:rPr>
        <w:t>.</w:t>
        <w:tab/>
      </w:r>
      <w:r>
        <w:rPr>
          <w:rFonts w:ascii="Times New Roman"/>
          <w:sz w:val="13"/>
          <w:u w:val="single"/>
        </w:rPr>
        <w:t>Trim</w:t>
      </w:r>
      <w:r>
        <w:rPr>
          <w:rFonts w:ascii="Times New Roman"/>
          <w:sz w:val="13"/>
        </w:rPr>
        <w:t>.</w:t>
      </w:r>
    </w:p>
    <w:p>
      <w:pPr>
        <w:pStyle w:val="BodyText"/>
        <w:spacing w:before="10" w:after="1"/>
        <w:rPr>
          <w:rFonts w:ascii="Times New Roman"/>
          <w:sz w:val="15"/>
        </w:rPr>
      </w:pPr>
    </w:p>
    <w:tbl>
      <w:tblPr>
        <w:tblW w:w="0" w:type="auto"/>
        <w:jc w:val="left"/>
        <w:tblInd w:w="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3"/>
        <w:gridCol w:w="966"/>
        <w:gridCol w:w="941"/>
        <w:gridCol w:w="883"/>
        <w:gridCol w:w="883"/>
        <w:gridCol w:w="938"/>
        <w:gridCol w:w="859"/>
        <w:gridCol w:w="943"/>
        <w:gridCol w:w="876"/>
        <w:gridCol w:w="943"/>
        <w:gridCol w:w="774"/>
      </w:tblGrid>
      <w:tr>
        <w:trPr>
          <w:trHeight w:val="374" w:hRule="atLeast"/>
        </w:trPr>
        <w:tc>
          <w:tcPr>
            <w:tcW w:w="1593" w:type="dxa"/>
          </w:tcPr>
          <w:p>
            <w:pPr>
              <w:pStyle w:val="TableParagraph"/>
              <w:spacing w:line="144" w:lineRule="exact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Venta de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papeles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pulpa</w:t>
            </w:r>
          </w:p>
          <w:p>
            <w:pPr>
              <w:pStyle w:val="TableParagraph"/>
              <w:spacing w:before="52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de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mercado</w:t>
            </w:r>
          </w:p>
        </w:tc>
        <w:tc>
          <w:tcPr>
            <w:tcW w:w="9006" w:type="dxa"/>
            <w:gridSpan w:val="10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593" w:type="dxa"/>
          </w:tcPr>
          <w:p>
            <w:pPr>
              <w:pStyle w:val="TableParagraph"/>
              <w:spacing w:before="23"/>
              <w:ind w:left="133"/>
              <w:rPr>
                <w:b/>
                <w:sz w:val="13"/>
              </w:rPr>
            </w:pPr>
            <w:r>
              <w:rPr>
                <w:b/>
                <w:sz w:val="13"/>
              </w:rPr>
              <w:t>Ventas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locales</w:t>
            </w:r>
          </w:p>
        </w:tc>
        <w:tc>
          <w:tcPr>
            <w:tcW w:w="966" w:type="dxa"/>
          </w:tcPr>
          <w:p>
            <w:pPr>
              <w:pStyle w:val="TableParagraph"/>
              <w:spacing w:before="23"/>
              <w:ind w:right="143"/>
              <w:jc w:val="right"/>
              <w:rPr>
                <w:sz w:val="13"/>
              </w:rPr>
            </w:pPr>
            <w:r>
              <w:rPr>
                <w:sz w:val="13"/>
              </w:rPr>
              <w:t>117.114</w:t>
            </w:r>
          </w:p>
        </w:tc>
        <w:tc>
          <w:tcPr>
            <w:tcW w:w="941" w:type="dxa"/>
          </w:tcPr>
          <w:p>
            <w:pPr>
              <w:pStyle w:val="TableParagraph"/>
              <w:spacing w:before="23"/>
              <w:ind w:right="139"/>
              <w:jc w:val="right"/>
              <w:rPr>
                <w:sz w:val="13"/>
              </w:rPr>
            </w:pPr>
            <w:r>
              <w:rPr>
                <w:sz w:val="13"/>
              </w:rPr>
              <w:t>37.036</w:t>
            </w:r>
          </w:p>
        </w:tc>
        <w:tc>
          <w:tcPr>
            <w:tcW w:w="883" w:type="dxa"/>
          </w:tcPr>
          <w:p>
            <w:pPr>
              <w:pStyle w:val="TableParagraph"/>
              <w:spacing w:before="23"/>
              <w:ind w:right="143"/>
              <w:jc w:val="right"/>
              <w:rPr>
                <w:sz w:val="13"/>
              </w:rPr>
            </w:pPr>
            <w:r>
              <w:rPr>
                <w:sz w:val="13"/>
              </w:rPr>
              <w:t>123.877</w:t>
            </w:r>
          </w:p>
        </w:tc>
        <w:tc>
          <w:tcPr>
            <w:tcW w:w="883" w:type="dxa"/>
          </w:tcPr>
          <w:p>
            <w:pPr>
              <w:pStyle w:val="TableParagraph"/>
              <w:spacing w:before="23"/>
              <w:ind w:right="138"/>
              <w:jc w:val="right"/>
              <w:rPr>
                <w:sz w:val="13"/>
              </w:rPr>
            </w:pPr>
            <w:r>
              <w:rPr>
                <w:sz w:val="13"/>
              </w:rPr>
              <w:t>43.886</w:t>
            </w:r>
          </w:p>
        </w:tc>
        <w:tc>
          <w:tcPr>
            <w:tcW w:w="938" w:type="dxa"/>
          </w:tcPr>
          <w:p>
            <w:pPr>
              <w:pStyle w:val="TableParagraph"/>
              <w:spacing w:before="23"/>
              <w:ind w:right="126"/>
              <w:jc w:val="right"/>
              <w:rPr>
                <w:sz w:val="13"/>
              </w:rPr>
            </w:pPr>
            <w:r>
              <w:rPr>
                <w:sz w:val="13"/>
              </w:rPr>
              <w:t>107.801</w:t>
            </w:r>
          </w:p>
        </w:tc>
        <w:tc>
          <w:tcPr>
            <w:tcW w:w="859" w:type="dxa"/>
          </w:tcPr>
          <w:p>
            <w:pPr>
              <w:pStyle w:val="TableParagraph"/>
              <w:spacing w:before="23"/>
              <w:ind w:right="130"/>
              <w:jc w:val="right"/>
              <w:rPr>
                <w:sz w:val="13"/>
              </w:rPr>
            </w:pPr>
            <w:r>
              <w:rPr>
                <w:sz w:val="13"/>
              </w:rPr>
              <w:t>46.267</w:t>
            </w:r>
          </w:p>
        </w:tc>
        <w:tc>
          <w:tcPr>
            <w:tcW w:w="943" w:type="dxa"/>
          </w:tcPr>
          <w:p>
            <w:pPr>
              <w:pStyle w:val="TableParagraph"/>
              <w:spacing w:before="23"/>
              <w:ind w:right="137"/>
              <w:jc w:val="right"/>
              <w:rPr>
                <w:sz w:val="13"/>
              </w:rPr>
            </w:pPr>
            <w:r>
              <w:rPr>
                <w:sz w:val="13"/>
              </w:rPr>
              <w:t>113.532</w:t>
            </w:r>
          </w:p>
        </w:tc>
        <w:tc>
          <w:tcPr>
            <w:tcW w:w="876" w:type="dxa"/>
          </w:tcPr>
          <w:p>
            <w:pPr>
              <w:pStyle w:val="TableParagraph"/>
              <w:spacing w:before="23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36.205</w:t>
            </w:r>
          </w:p>
        </w:tc>
        <w:tc>
          <w:tcPr>
            <w:tcW w:w="943" w:type="dxa"/>
          </w:tcPr>
          <w:p>
            <w:pPr>
              <w:pStyle w:val="TableParagraph"/>
              <w:spacing w:before="23"/>
              <w:ind w:right="142"/>
              <w:jc w:val="right"/>
              <w:rPr>
                <w:sz w:val="13"/>
              </w:rPr>
            </w:pPr>
            <w:r>
              <w:rPr>
                <w:sz w:val="13"/>
              </w:rPr>
              <w:t>111.342</w:t>
            </w:r>
          </w:p>
        </w:tc>
        <w:tc>
          <w:tcPr>
            <w:tcW w:w="774" w:type="dxa"/>
          </w:tcPr>
          <w:p>
            <w:pPr>
              <w:pStyle w:val="TableParagraph"/>
              <w:spacing w:before="23"/>
              <w:ind w:right="28"/>
              <w:jc w:val="right"/>
              <w:rPr>
                <w:sz w:val="13"/>
              </w:rPr>
            </w:pPr>
            <w:r>
              <w:rPr>
                <w:sz w:val="13"/>
              </w:rPr>
              <w:t>36.598</w:t>
            </w:r>
          </w:p>
        </w:tc>
      </w:tr>
      <w:tr>
        <w:trPr>
          <w:trHeight w:val="201" w:hRule="atLeast"/>
        </w:trPr>
        <w:tc>
          <w:tcPr>
            <w:tcW w:w="1593" w:type="dxa"/>
          </w:tcPr>
          <w:p>
            <w:pPr>
              <w:pStyle w:val="TableParagraph"/>
              <w:spacing w:before="23"/>
              <w:ind w:left="133"/>
              <w:rPr>
                <w:b/>
                <w:sz w:val="13"/>
              </w:rPr>
            </w:pPr>
            <w:r>
              <w:rPr>
                <w:b/>
                <w:sz w:val="13"/>
              </w:rPr>
              <w:t>Exportación</w:t>
            </w:r>
          </w:p>
        </w:tc>
        <w:tc>
          <w:tcPr>
            <w:tcW w:w="966" w:type="dxa"/>
          </w:tcPr>
          <w:p>
            <w:pPr>
              <w:pStyle w:val="TableParagraph"/>
              <w:tabs>
                <w:tab w:pos="283" w:val="left" w:leader="none"/>
              </w:tabs>
              <w:spacing w:before="23"/>
              <w:ind w:right="143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18.864</w:t>
            </w:r>
          </w:p>
        </w:tc>
        <w:tc>
          <w:tcPr>
            <w:tcW w:w="941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39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6.479</w:t>
            </w:r>
          </w:p>
        </w:tc>
        <w:tc>
          <w:tcPr>
            <w:tcW w:w="883" w:type="dxa"/>
          </w:tcPr>
          <w:p>
            <w:pPr>
              <w:pStyle w:val="TableParagraph"/>
              <w:spacing w:before="23"/>
              <w:ind w:right="143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     </w:t>
            </w:r>
            <w:r>
              <w:rPr>
                <w:spacing w:val="-2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23.665</w:t>
            </w:r>
          </w:p>
        </w:tc>
        <w:tc>
          <w:tcPr>
            <w:tcW w:w="883" w:type="dxa"/>
          </w:tcPr>
          <w:p>
            <w:pPr>
              <w:pStyle w:val="TableParagraph"/>
              <w:tabs>
                <w:tab w:pos="292" w:val="left" w:leader="none"/>
              </w:tabs>
              <w:spacing w:before="23"/>
              <w:ind w:right="138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7.169</w:t>
            </w:r>
          </w:p>
        </w:tc>
        <w:tc>
          <w:tcPr>
            <w:tcW w:w="938" w:type="dxa"/>
          </w:tcPr>
          <w:p>
            <w:pPr>
              <w:pStyle w:val="TableParagraph"/>
              <w:tabs>
                <w:tab w:pos="297" w:val="left" w:leader="none"/>
              </w:tabs>
              <w:spacing w:before="23"/>
              <w:ind w:right="126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27.344</w:t>
            </w:r>
          </w:p>
        </w:tc>
        <w:tc>
          <w:tcPr>
            <w:tcW w:w="859" w:type="dxa"/>
          </w:tcPr>
          <w:p>
            <w:pPr>
              <w:pStyle w:val="TableParagraph"/>
              <w:spacing w:before="23"/>
              <w:ind w:right="130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     </w:t>
            </w:r>
            <w:r>
              <w:rPr>
                <w:spacing w:val="-2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11.502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297" w:val="left" w:leader="none"/>
              </w:tabs>
              <w:spacing w:before="23"/>
              <w:ind w:right="13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27.800</w:t>
            </w:r>
          </w:p>
        </w:tc>
        <w:tc>
          <w:tcPr>
            <w:tcW w:w="876" w:type="dxa"/>
          </w:tcPr>
          <w:p>
            <w:pPr>
              <w:pStyle w:val="TableParagraph"/>
              <w:tabs>
                <w:tab w:pos="302" w:val="left" w:leader="none"/>
              </w:tabs>
              <w:spacing w:before="23"/>
              <w:ind w:right="125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9.366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297" w:val="left" w:leader="none"/>
              </w:tabs>
              <w:spacing w:before="23"/>
              <w:ind w:right="14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32.299</w:t>
            </w:r>
          </w:p>
        </w:tc>
        <w:tc>
          <w:tcPr>
            <w:tcW w:w="774" w:type="dxa"/>
          </w:tcPr>
          <w:p>
            <w:pPr>
              <w:pStyle w:val="TableParagraph"/>
              <w:spacing w:before="23"/>
              <w:ind w:right="28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     </w:t>
            </w:r>
            <w:r>
              <w:rPr>
                <w:spacing w:val="-2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>11.408</w:t>
            </w:r>
          </w:p>
        </w:tc>
      </w:tr>
      <w:tr>
        <w:trPr>
          <w:trHeight w:val="172" w:hRule="atLeast"/>
        </w:trPr>
        <w:tc>
          <w:tcPr>
            <w:tcW w:w="1593" w:type="dxa"/>
          </w:tcPr>
          <w:p>
            <w:pPr>
              <w:pStyle w:val="TableParagraph"/>
              <w:spacing w:line="129" w:lineRule="exact" w:before="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  <w:tc>
          <w:tcPr>
            <w:tcW w:w="966" w:type="dxa"/>
          </w:tcPr>
          <w:p>
            <w:pPr>
              <w:pStyle w:val="TableParagraph"/>
              <w:spacing w:line="129" w:lineRule="exact" w:before="23"/>
              <w:ind w:right="143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1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135.978</w:t>
            </w:r>
          </w:p>
        </w:tc>
        <w:tc>
          <w:tcPr>
            <w:tcW w:w="941" w:type="dxa"/>
          </w:tcPr>
          <w:p>
            <w:pPr>
              <w:pStyle w:val="TableParagraph"/>
              <w:tabs>
                <w:tab w:pos="283" w:val="left" w:leader="none"/>
              </w:tabs>
              <w:spacing w:line="129" w:lineRule="exact" w:before="23"/>
              <w:ind w:right="139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43.515</w:t>
            </w:r>
          </w:p>
        </w:tc>
        <w:tc>
          <w:tcPr>
            <w:tcW w:w="883" w:type="dxa"/>
          </w:tcPr>
          <w:p>
            <w:pPr>
              <w:pStyle w:val="TableParagraph"/>
              <w:spacing w:line="129" w:lineRule="exact" w:before="23"/>
              <w:ind w:right="143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</w:t>
            </w:r>
            <w:r>
              <w:rPr>
                <w:b/>
                <w:spacing w:val="-4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147.542</w:t>
            </w:r>
          </w:p>
        </w:tc>
        <w:tc>
          <w:tcPr>
            <w:tcW w:w="883" w:type="dxa"/>
          </w:tcPr>
          <w:p>
            <w:pPr>
              <w:pStyle w:val="TableParagraph"/>
              <w:spacing w:line="129" w:lineRule="exact" w:before="23"/>
              <w:ind w:right="138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51.055</w:t>
            </w:r>
          </w:p>
        </w:tc>
        <w:tc>
          <w:tcPr>
            <w:tcW w:w="938" w:type="dxa"/>
          </w:tcPr>
          <w:p>
            <w:pPr>
              <w:pStyle w:val="TableParagraph"/>
              <w:spacing w:line="129" w:lineRule="exact" w:before="23"/>
              <w:ind w:right="126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3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135.145</w:t>
            </w:r>
          </w:p>
        </w:tc>
        <w:tc>
          <w:tcPr>
            <w:tcW w:w="859" w:type="dxa"/>
          </w:tcPr>
          <w:p>
            <w:pPr>
              <w:pStyle w:val="TableParagraph"/>
              <w:spacing w:line="129" w:lineRule="exact" w:before="23"/>
              <w:ind w:right="130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57.770</w:t>
            </w:r>
          </w:p>
        </w:tc>
        <w:tc>
          <w:tcPr>
            <w:tcW w:w="943" w:type="dxa"/>
          </w:tcPr>
          <w:p>
            <w:pPr>
              <w:pStyle w:val="TableParagraph"/>
              <w:spacing w:line="129" w:lineRule="exact" w:before="23"/>
              <w:ind w:right="137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3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141.332</w:t>
            </w:r>
          </w:p>
        </w:tc>
        <w:tc>
          <w:tcPr>
            <w:tcW w:w="876" w:type="dxa"/>
          </w:tcPr>
          <w:p>
            <w:pPr>
              <w:pStyle w:val="TableParagraph"/>
              <w:tabs>
                <w:tab w:pos="235" w:val="left" w:leader="none"/>
              </w:tabs>
              <w:spacing w:line="129" w:lineRule="exact" w:before="23"/>
              <w:ind w:right="125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45.571</w:t>
            </w:r>
          </w:p>
        </w:tc>
        <w:tc>
          <w:tcPr>
            <w:tcW w:w="943" w:type="dxa"/>
          </w:tcPr>
          <w:p>
            <w:pPr>
              <w:pStyle w:val="TableParagraph"/>
              <w:spacing w:line="129" w:lineRule="exact" w:before="23"/>
              <w:ind w:right="142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3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143.641</w:t>
            </w:r>
          </w:p>
        </w:tc>
        <w:tc>
          <w:tcPr>
            <w:tcW w:w="774" w:type="dxa"/>
          </w:tcPr>
          <w:p>
            <w:pPr>
              <w:pStyle w:val="TableParagraph"/>
              <w:spacing w:line="129" w:lineRule="exact" w:before="23"/>
              <w:ind w:right="28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48.006</w:t>
            </w:r>
          </w:p>
        </w:tc>
      </w:tr>
    </w:tbl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9"/>
        <w:rPr>
          <w:rFonts w:ascii="Times New Roman"/>
          <w:sz w:val="16"/>
        </w:rPr>
      </w:pPr>
    </w:p>
    <w:p>
      <w:pPr>
        <w:spacing w:before="0"/>
        <w:ind w:left="715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Producción</w:t>
      </w:r>
      <w:r>
        <w:rPr>
          <w:rFonts w:ascii="Times New Roman" w:hAnsi="Times New Roman"/>
          <w:b/>
          <w:spacing w:val="3"/>
          <w:sz w:val="13"/>
        </w:rPr>
        <w:t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3"/>
          <w:sz w:val="13"/>
        </w:rPr>
        <w:t> </w:t>
      </w:r>
      <w:r>
        <w:rPr>
          <w:rFonts w:ascii="Times New Roman" w:hAnsi="Times New Roman"/>
          <w:b/>
          <w:sz w:val="13"/>
        </w:rPr>
        <w:t>papeles</w:t>
      </w:r>
    </w:p>
    <w:p>
      <w:pPr>
        <w:tabs>
          <w:tab w:pos="2443" w:val="left" w:leader="none"/>
          <w:tab w:pos="3388" w:val="left" w:leader="none"/>
          <w:tab w:pos="3628" w:val="left" w:leader="none"/>
          <w:tab w:pos="4324" w:val="left" w:leader="none"/>
          <w:tab w:pos="5212" w:val="left" w:leader="none"/>
          <w:tab w:pos="6091" w:val="left" w:leader="none"/>
          <w:tab w:pos="7017" w:val="left" w:leader="none"/>
          <w:tab w:pos="7881" w:val="left" w:leader="none"/>
          <w:tab w:pos="8831" w:val="left" w:leader="none"/>
          <w:tab w:pos="9695" w:val="left" w:leader="none"/>
          <w:tab w:pos="10655" w:val="left" w:leader="none"/>
        </w:tabs>
        <w:spacing w:before="52"/>
        <w:ind w:left="715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y</w:t>
      </w:r>
      <w:r>
        <w:rPr>
          <w:rFonts w:ascii="Times New Roman"/>
          <w:b/>
          <w:spacing w:val="-5"/>
          <w:sz w:val="13"/>
        </w:rPr>
        <w:t> </w:t>
      </w:r>
      <w:r>
        <w:rPr>
          <w:rFonts w:ascii="Times New Roman"/>
          <w:b/>
          <w:sz w:val="13"/>
        </w:rPr>
        <w:t>pulpa</w:t>
      </w:r>
      <w:r>
        <w:rPr>
          <w:rFonts w:ascii="Times New Roman"/>
          <w:b/>
          <w:spacing w:val="1"/>
          <w:sz w:val="13"/>
        </w:rPr>
        <w:t> </w:t>
      </w:r>
      <w:r>
        <w:rPr>
          <w:rFonts w:ascii="Times New Roman"/>
          <w:b/>
          <w:sz w:val="13"/>
        </w:rPr>
        <w:t>de</w:t>
      </w:r>
      <w:r>
        <w:rPr>
          <w:rFonts w:ascii="Times New Roman"/>
          <w:b/>
          <w:spacing w:val="-2"/>
          <w:sz w:val="13"/>
        </w:rPr>
        <w:t> </w:t>
      </w:r>
      <w:r>
        <w:rPr>
          <w:rFonts w:ascii="Times New Roman"/>
          <w:b/>
          <w:sz w:val="13"/>
        </w:rPr>
        <w:t>mercado</w:t>
        <w:tab/>
      </w:r>
      <w:r>
        <w:rPr>
          <w:rFonts w:ascii="Times New Roman"/>
          <w:b/>
          <w:sz w:val="13"/>
          <w:u w:val="double"/>
        </w:rPr>
        <w:t>125.634 </w:t>
      </w:r>
      <w:r>
        <w:rPr>
          <w:rFonts w:ascii="Times New Roman"/>
          <w:b/>
          <w:spacing w:val="9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40.218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116.080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41.599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115.322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53.344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123.653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38.098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129.222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44.220 </w:t>
      </w:r>
      <w:r>
        <w:rPr>
          <w:rFonts w:ascii="Times New Roman"/>
          <w:b/>
          <w:spacing w:val="9"/>
          <w:sz w:val="13"/>
          <w:u w:val="double"/>
        </w:rPr>
        <w:t> </w:t>
      </w: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line="324" w:lineRule="auto" w:before="0" w:after="6"/>
        <w:ind w:left="715" w:right="9691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Venta de maderas</w:t>
      </w:r>
      <w:r>
        <w:rPr>
          <w:rFonts w:ascii="Times New Roman"/>
          <w:b/>
          <w:spacing w:val="-30"/>
          <w:sz w:val="13"/>
        </w:rPr>
        <w:t> </w:t>
      </w:r>
      <w:r>
        <w:rPr>
          <w:rFonts w:ascii="Times New Roman"/>
          <w:b/>
          <w:sz w:val="13"/>
        </w:rPr>
        <w:t>de mercado</w:t>
      </w:r>
    </w:p>
    <w:tbl>
      <w:tblPr>
        <w:tblW w:w="0" w:type="auto"/>
        <w:jc w:val="left"/>
        <w:tblInd w:w="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4"/>
        <w:gridCol w:w="1215"/>
        <w:gridCol w:w="940"/>
        <w:gridCol w:w="897"/>
        <w:gridCol w:w="883"/>
        <w:gridCol w:w="938"/>
        <w:gridCol w:w="859"/>
        <w:gridCol w:w="943"/>
        <w:gridCol w:w="876"/>
        <w:gridCol w:w="943"/>
        <w:gridCol w:w="788"/>
      </w:tblGrid>
      <w:tr>
        <w:trPr>
          <w:trHeight w:val="172" w:hRule="atLeast"/>
        </w:trPr>
        <w:tc>
          <w:tcPr>
            <w:tcW w:w="1344" w:type="dxa"/>
          </w:tcPr>
          <w:p>
            <w:pPr>
              <w:pStyle w:val="TableParagraph"/>
              <w:spacing w:line="144" w:lineRule="exact"/>
              <w:ind w:left="133"/>
              <w:rPr>
                <w:b/>
                <w:sz w:val="13"/>
              </w:rPr>
            </w:pPr>
            <w:r>
              <w:rPr>
                <w:b/>
                <w:sz w:val="13"/>
              </w:rPr>
              <w:t>Ventas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locales</w:t>
            </w:r>
          </w:p>
        </w:tc>
        <w:tc>
          <w:tcPr>
            <w:tcW w:w="1215" w:type="dxa"/>
          </w:tcPr>
          <w:p>
            <w:pPr>
              <w:pStyle w:val="TableParagraph"/>
              <w:spacing w:line="144" w:lineRule="exact"/>
              <w:ind w:right="143"/>
              <w:jc w:val="right"/>
              <w:rPr>
                <w:sz w:val="13"/>
              </w:rPr>
            </w:pPr>
            <w:r>
              <w:rPr>
                <w:sz w:val="13"/>
              </w:rPr>
              <w:t>61.897</w:t>
            </w:r>
          </w:p>
        </w:tc>
        <w:tc>
          <w:tcPr>
            <w:tcW w:w="940" w:type="dxa"/>
          </w:tcPr>
          <w:p>
            <w:pPr>
              <w:pStyle w:val="TableParagraph"/>
              <w:spacing w:line="144" w:lineRule="exact"/>
              <w:ind w:right="138"/>
              <w:jc w:val="right"/>
              <w:rPr>
                <w:sz w:val="13"/>
              </w:rPr>
            </w:pPr>
            <w:r>
              <w:rPr>
                <w:sz w:val="13"/>
              </w:rPr>
              <w:t>15.413</w:t>
            </w:r>
          </w:p>
        </w:tc>
        <w:tc>
          <w:tcPr>
            <w:tcW w:w="897" w:type="dxa"/>
          </w:tcPr>
          <w:p>
            <w:pPr>
              <w:pStyle w:val="TableParagraph"/>
              <w:spacing w:line="144" w:lineRule="exact"/>
              <w:ind w:right="156"/>
              <w:jc w:val="right"/>
              <w:rPr>
                <w:sz w:val="13"/>
              </w:rPr>
            </w:pPr>
            <w:r>
              <w:rPr>
                <w:sz w:val="13"/>
              </w:rPr>
              <w:t>68.681</w:t>
            </w:r>
          </w:p>
        </w:tc>
        <w:tc>
          <w:tcPr>
            <w:tcW w:w="883" w:type="dxa"/>
          </w:tcPr>
          <w:p>
            <w:pPr>
              <w:pStyle w:val="TableParagraph"/>
              <w:spacing w:line="144" w:lineRule="exact"/>
              <w:ind w:right="151"/>
              <w:jc w:val="right"/>
              <w:rPr>
                <w:sz w:val="13"/>
              </w:rPr>
            </w:pPr>
            <w:r>
              <w:rPr>
                <w:sz w:val="13"/>
              </w:rPr>
              <w:t>19.395</w:t>
            </w:r>
          </w:p>
        </w:tc>
        <w:tc>
          <w:tcPr>
            <w:tcW w:w="938" w:type="dxa"/>
          </w:tcPr>
          <w:p>
            <w:pPr>
              <w:pStyle w:val="TableParagraph"/>
              <w:spacing w:line="144" w:lineRule="exact"/>
              <w:ind w:right="139"/>
              <w:jc w:val="right"/>
              <w:rPr>
                <w:sz w:val="13"/>
              </w:rPr>
            </w:pPr>
            <w:r>
              <w:rPr>
                <w:sz w:val="13"/>
              </w:rPr>
              <w:t>68.619</w:t>
            </w:r>
          </w:p>
        </w:tc>
        <w:tc>
          <w:tcPr>
            <w:tcW w:w="859" w:type="dxa"/>
          </w:tcPr>
          <w:p>
            <w:pPr>
              <w:pStyle w:val="TableParagraph"/>
              <w:spacing w:line="144" w:lineRule="exact"/>
              <w:ind w:right="143"/>
              <w:jc w:val="right"/>
              <w:rPr>
                <w:sz w:val="13"/>
              </w:rPr>
            </w:pPr>
            <w:r>
              <w:rPr>
                <w:sz w:val="13"/>
              </w:rPr>
              <w:t>19.179</w:t>
            </w:r>
          </w:p>
        </w:tc>
        <w:tc>
          <w:tcPr>
            <w:tcW w:w="943" w:type="dxa"/>
          </w:tcPr>
          <w:p>
            <w:pPr>
              <w:pStyle w:val="TableParagraph"/>
              <w:spacing w:line="144" w:lineRule="exact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101.679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right="138"/>
              <w:jc w:val="right"/>
              <w:rPr>
                <w:sz w:val="13"/>
              </w:rPr>
            </w:pPr>
            <w:r>
              <w:rPr>
                <w:sz w:val="13"/>
              </w:rPr>
              <w:t>28.338</w:t>
            </w:r>
          </w:p>
        </w:tc>
        <w:tc>
          <w:tcPr>
            <w:tcW w:w="943" w:type="dxa"/>
          </w:tcPr>
          <w:p>
            <w:pPr>
              <w:pStyle w:val="TableParagraph"/>
              <w:spacing w:line="144" w:lineRule="exact"/>
              <w:ind w:right="198"/>
              <w:jc w:val="right"/>
              <w:rPr>
                <w:sz w:val="13"/>
              </w:rPr>
            </w:pPr>
            <w:r>
              <w:rPr>
                <w:sz w:val="13"/>
              </w:rPr>
              <w:t>102.537</w:t>
            </w:r>
          </w:p>
        </w:tc>
        <w:tc>
          <w:tcPr>
            <w:tcW w:w="788" w:type="dxa"/>
          </w:tcPr>
          <w:p>
            <w:pPr>
              <w:pStyle w:val="TableParagraph"/>
              <w:spacing w:line="144" w:lineRule="exact"/>
              <w:ind w:left="217"/>
              <w:jc w:val="center"/>
              <w:rPr>
                <w:sz w:val="13"/>
              </w:rPr>
            </w:pPr>
            <w:r>
              <w:rPr>
                <w:sz w:val="13"/>
              </w:rPr>
              <w:t>30.243</w:t>
            </w:r>
          </w:p>
        </w:tc>
      </w:tr>
      <w:tr>
        <w:trPr>
          <w:trHeight w:val="201" w:hRule="atLeast"/>
        </w:trPr>
        <w:tc>
          <w:tcPr>
            <w:tcW w:w="1344" w:type="dxa"/>
          </w:tcPr>
          <w:p>
            <w:pPr>
              <w:pStyle w:val="TableParagraph"/>
              <w:spacing w:before="23"/>
              <w:ind w:left="133"/>
              <w:rPr>
                <w:b/>
                <w:sz w:val="13"/>
              </w:rPr>
            </w:pPr>
            <w:r>
              <w:rPr>
                <w:b/>
                <w:sz w:val="13"/>
              </w:rPr>
              <w:t>Exportación</w:t>
            </w:r>
          </w:p>
        </w:tc>
        <w:tc>
          <w:tcPr>
            <w:tcW w:w="1215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43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5.659</w:t>
            </w:r>
          </w:p>
        </w:tc>
        <w:tc>
          <w:tcPr>
            <w:tcW w:w="940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38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2.376</w:t>
            </w:r>
          </w:p>
        </w:tc>
        <w:tc>
          <w:tcPr>
            <w:tcW w:w="897" w:type="dxa"/>
          </w:tcPr>
          <w:p>
            <w:pPr>
              <w:pStyle w:val="TableParagraph"/>
              <w:tabs>
                <w:tab w:pos="249" w:val="left" w:leader="none"/>
              </w:tabs>
              <w:spacing w:before="23"/>
              <w:ind w:right="127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3.476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83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2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969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938" w:type="dxa"/>
          </w:tcPr>
          <w:p>
            <w:pPr>
              <w:pStyle w:val="TableParagraph"/>
              <w:tabs>
                <w:tab w:pos="321" w:val="left" w:leader="none"/>
              </w:tabs>
              <w:spacing w:before="23"/>
              <w:ind w:right="110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4.473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59" w:type="dxa"/>
          </w:tcPr>
          <w:p>
            <w:pPr>
              <w:pStyle w:val="TableParagraph"/>
              <w:tabs>
                <w:tab w:pos="350" w:val="left" w:leader="none"/>
              </w:tabs>
              <w:spacing w:before="23"/>
              <w:ind w:right="115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959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422" w:val="left" w:leader="none"/>
              </w:tabs>
              <w:spacing w:before="23"/>
              <w:ind w:right="122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823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876" w:type="dxa"/>
          </w:tcPr>
          <w:p>
            <w:pPr>
              <w:pStyle w:val="TableParagraph"/>
              <w:tabs>
                <w:tab w:pos="359" w:val="left" w:leader="none"/>
              </w:tabs>
              <w:spacing w:before="23"/>
              <w:ind w:right="110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383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943" w:type="dxa"/>
          </w:tcPr>
          <w:p>
            <w:pPr>
              <w:pStyle w:val="TableParagraph"/>
              <w:tabs>
                <w:tab w:pos="321" w:val="left" w:leader="none"/>
              </w:tabs>
              <w:spacing w:before="23"/>
              <w:ind w:right="126"/>
              <w:jc w:val="right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1.227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  <w:tc>
          <w:tcPr>
            <w:tcW w:w="788" w:type="dxa"/>
          </w:tcPr>
          <w:p>
            <w:pPr>
              <w:pStyle w:val="TableParagraph"/>
              <w:tabs>
                <w:tab w:pos="456" w:val="left" w:leader="none"/>
              </w:tabs>
              <w:spacing w:before="23"/>
              <w:ind w:left="106"/>
              <w:jc w:val="center"/>
              <w:rPr>
                <w:sz w:val="13"/>
              </w:rPr>
            </w:pPr>
            <w:r>
              <w:rPr>
                <w:w w:val="99"/>
                <w:sz w:val="13"/>
                <w:u w:val="single"/>
              </w:rPr>
              <w:t> </w:t>
            </w:r>
            <w:r>
              <w:rPr>
                <w:sz w:val="13"/>
                <w:u w:val="single"/>
              </w:rPr>
              <w:tab/>
            </w:r>
            <w:r>
              <w:rPr>
                <w:sz w:val="13"/>
                <w:u w:val="single"/>
              </w:rPr>
              <w:t>206 </w:t>
            </w:r>
            <w:r>
              <w:rPr>
                <w:spacing w:val="9"/>
                <w:sz w:val="13"/>
                <w:u w:val="single"/>
              </w:rPr>
              <w:t> </w:t>
            </w:r>
          </w:p>
        </w:tc>
      </w:tr>
      <w:tr>
        <w:trPr>
          <w:trHeight w:val="172" w:hRule="atLeast"/>
        </w:trPr>
        <w:tc>
          <w:tcPr>
            <w:tcW w:w="1344" w:type="dxa"/>
          </w:tcPr>
          <w:p>
            <w:pPr>
              <w:pStyle w:val="TableParagraph"/>
              <w:spacing w:line="129" w:lineRule="exact" w:before="23"/>
              <w:ind w:left="32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  <w:tc>
          <w:tcPr>
            <w:tcW w:w="1215" w:type="dxa"/>
          </w:tcPr>
          <w:p>
            <w:pPr>
              <w:pStyle w:val="TableParagraph"/>
              <w:tabs>
                <w:tab w:pos="282" w:val="left" w:leader="none"/>
              </w:tabs>
              <w:spacing w:line="129" w:lineRule="exact" w:before="23"/>
              <w:ind w:right="143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67.556</w:t>
            </w:r>
          </w:p>
        </w:tc>
        <w:tc>
          <w:tcPr>
            <w:tcW w:w="940" w:type="dxa"/>
          </w:tcPr>
          <w:p>
            <w:pPr>
              <w:pStyle w:val="TableParagraph"/>
              <w:tabs>
                <w:tab w:pos="282" w:val="left" w:leader="none"/>
              </w:tabs>
              <w:spacing w:line="129" w:lineRule="exact" w:before="23"/>
              <w:ind w:right="138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17.789</w:t>
            </w:r>
          </w:p>
        </w:tc>
        <w:tc>
          <w:tcPr>
            <w:tcW w:w="897" w:type="dxa"/>
          </w:tcPr>
          <w:p>
            <w:pPr>
              <w:pStyle w:val="TableParagraph"/>
              <w:spacing w:line="129" w:lineRule="exact" w:before="23"/>
              <w:ind w:right="156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72.157</w:t>
            </w:r>
          </w:p>
        </w:tc>
        <w:tc>
          <w:tcPr>
            <w:tcW w:w="883" w:type="dxa"/>
          </w:tcPr>
          <w:p>
            <w:pPr>
              <w:pStyle w:val="TableParagraph"/>
              <w:spacing w:line="129" w:lineRule="exact" w:before="23"/>
              <w:ind w:right="151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20.364</w:t>
            </w:r>
          </w:p>
        </w:tc>
        <w:tc>
          <w:tcPr>
            <w:tcW w:w="938" w:type="dxa"/>
          </w:tcPr>
          <w:p>
            <w:pPr>
              <w:pStyle w:val="TableParagraph"/>
              <w:tabs>
                <w:tab w:pos="297" w:val="left" w:leader="none"/>
              </w:tabs>
              <w:spacing w:line="129" w:lineRule="exact" w:before="23"/>
              <w:ind w:right="139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73.092</w:t>
            </w:r>
          </w:p>
        </w:tc>
        <w:tc>
          <w:tcPr>
            <w:tcW w:w="859" w:type="dxa"/>
          </w:tcPr>
          <w:p>
            <w:pPr>
              <w:pStyle w:val="TableParagraph"/>
              <w:spacing w:line="129" w:lineRule="exact" w:before="23"/>
              <w:ind w:right="143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20.138</w:t>
            </w:r>
          </w:p>
        </w:tc>
        <w:tc>
          <w:tcPr>
            <w:tcW w:w="943" w:type="dxa"/>
          </w:tcPr>
          <w:p>
            <w:pPr>
              <w:pStyle w:val="TableParagraph"/>
              <w:spacing w:line="129" w:lineRule="exact" w:before="23"/>
              <w:ind w:right="150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102.503</w:t>
            </w:r>
          </w:p>
        </w:tc>
        <w:tc>
          <w:tcPr>
            <w:tcW w:w="876" w:type="dxa"/>
          </w:tcPr>
          <w:p>
            <w:pPr>
              <w:pStyle w:val="TableParagraph"/>
              <w:tabs>
                <w:tab w:pos="235" w:val="left" w:leader="none"/>
              </w:tabs>
              <w:spacing w:line="129" w:lineRule="exact" w:before="23"/>
              <w:ind w:right="138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ab/>
            </w:r>
            <w:r>
              <w:rPr>
                <w:b/>
                <w:sz w:val="13"/>
                <w:u w:val="double"/>
              </w:rPr>
              <w:t>28.721</w:t>
            </w:r>
          </w:p>
        </w:tc>
        <w:tc>
          <w:tcPr>
            <w:tcW w:w="943" w:type="dxa"/>
          </w:tcPr>
          <w:p>
            <w:pPr>
              <w:pStyle w:val="TableParagraph"/>
              <w:spacing w:line="129" w:lineRule="exact" w:before="23"/>
              <w:ind w:right="155"/>
              <w:jc w:val="right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3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103.765</w:t>
            </w:r>
          </w:p>
        </w:tc>
        <w:tc>
          <w:tcPr>
            <w:tcW w:w="788" w:type="dxa"/>
          </w:tcPr>
          <w:p>
            <w:pPr>
              <w:pStyle w:val="TableParagraph"/>
              <w:spacing w:line="129" w:lineRule="exact" w:before="23"/>
              <w:ind w:left="77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     </w:t>
            </w:r>
            <w:r>
              <w:rPr>
                <w:b/>
                <w:spacing w:val="-2"/>
                <w:sz w:val="13"/>
                <w:u w:val="double"/>
              </w:rPr>
              <w:t> </w:t>
            </w:r>
            <w:r>
              <w:rPr>
                <w:b/>
                <w:sz w:val="13"/>
                <w:u w:val="double"/>
              </w:rPr>
              <w:t>30.449</w:t>
            </w:r>
          </w:p>
        </w:tc>
      </w:tr>
    </w:tbl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rPr>
          <w:rFonts w:ascii="Times New Roman"/>
          <w:b/>
          <w:sz w:val="14"/>
        </w:rPr>
      </w:pPr>
    </w:p>
    <w:p>
      <w:pPr>
        <w:pStyle w:val="BodyText"/>
        <w:spacing w:before="9"/>
        <w:rPr>
          <w:rFonts w:ascii="Times New Roman"/>
          <w:b/>
          <w:sz w:val="16"/>
        </w:rPr>
      </w:pPr>
    </w:p>
    <w:p>
      <w:pPr>
        <w:spacing w:before="0"/>
        <w:ind w:left="715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Producción</w:t>
      </w:r>
      <w:r>
        <w:rPr>
          <w:rFonts w:ascii="Times New Roman" w:hAnsi="Times New Roman"/>
          <w:b/>
          <w:spacing w:val="1"/>
          <w:sz w:val="13"/>
        </w:rPr>
        <w:t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2"/>
          <w:sz w:val="13"/>
        </w:rPr>
        <w:t> </w:t>
      </w:r>
      <w:r>
        <w:rPr>
          <w:rFonts w:ascii="Times New Roman" w:hAnsi="Times New Roman"/>
          <w:b/>
          <w:sz w:val="13"/>
        </w:rPr>
        <w:t>madera</w:t>
      </w:r>
    </w:p>
    <w:p>
      <w:pPr>
        <w:tabs>
          <w:tab w:pos="2443" w:val="left" w:leader="none"/>
          <w:tab w:pos="2683" w:val="left" w:leader="none"/>
          <w:tab w:pos="3388" w:val="left" w:leader="none"/>
          <w:tab w:pos="3628" w:val="left" w:leader="none"/>
          <w:tab w:pos="4324" w:val="left" w:leader="none"/>
          <w:tab w:pos="5212" w:val="left" w:leader="none"/>
          <w:tab w:pos="6091" w:val="left" w:leader="none"/>
          <w:tab w:pos="6345" w:val="left" w:leader="none"/>
          <w:tab w:pos="7017" w:val="left" w:leader="none"/>
          <w:tab w:pos="7881" w:val="left" w:leader="none"/>
          <w:tab w:pos="8831" w:val="left" w:leader="none"/>
          <w:tab w:pos="9695" w:val="left" w:leader="none"/>
          <w:tab w:pos="10655" w:val="left" w:leader="none"/>
        </w:tabs>
        <w:spacing w:before="52"/>
        <w:ind w:left="715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de mercado</w:t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66.347 </w:t>
      </w:r>
      <w:r>
        <w:rPr>
          <w:rFonts w:ascii="Times New Roman"/>
          <w:b/>
          <w:spacing w:val="9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18.628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71.381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18.578 </w:t>
      </w:r>
      <w:r>
        <w:rPr>
          <w:rFonts w:ascii="Times New Roman"/>
          <w:b/>
          <w:spacing w:val="9"/>
          <w:sz w:val="13"/>
          <w:u w:val="double"/>
        </w:rPr>
        <w:t> 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w w:val="99"/>
          <w:sz w:val="13"/>
          <w:u w:val="double"/>
        </w:rPr>
        <w:t> </w:t>
      </w:r>
      <w:r>
        <w:rPr>
          <w:rFonts w:ascii="Times New Roman"/>
          <w:b/>
          <w:sz w:val="13"/>
          <w:u w:val="double"/>
        </w:rPr>
        <w:tab/>
        <w:t>70.153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17.738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155.620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49.826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154.970</w:t>
      </w:r>
      <w:r>
        <w:rPr>
          <w:rFonts w:ascii="Times New Roman"/>
          <w:b/>
          <w:sz w:val="13"/>
        </w:rPr>
        <w:tab/>
      </w:r>
      <w:r>
        <w:rPr>
          <w:rFonts w:ascii="Times New Roman"/>
          <w:b/>
          <w:sz w:val="13"/>
          <w:u w:val="double"/>
        </w:rPr>
        <w:t>41.733 </w:t>
      </w:r>
      <w:r>
        <w:rPr>
          <w:rFonts w:ascii="Times New Roman"/>
          <w:b/>
          <w:spacing w:val="9"/>
          <w:sz w:val="13"/>
          <w:u w:val="double"/>
        </w:rPr>
        <w:t> 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0"/>
        </w:rPr>
      </w:pPr>
    </w:p>
    <w:p>
      <w:pPr>
        <w:spacing w:line="324" w:lineRule="auto" w:before="0"/>
        <w:ind w:left="2428" w:right="6411" w:firstLine="211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Firmado</w:t>
      </w:r>
      <w:r>
        <w:rPr>
          <w:rFonts w:ascii="Times New Roman" w:hAnsi="Times New Roman"/>
          <w:spacing w:val="6"/>
          <w:sz w:val="13"/>
        </w:rPr>
        <w:t> </w:t>
      </w:r>
      <w:r>
        <w:rPr>
          <w:rFonts w:ascii="Times New Roman" w:hAnsi="Times New Roman"/>
          <w:sz w:val="13"/>
        </w:rPr>
        <w:t>a</w:t>
      </w:r>
      <w:r>
        <w:rPr>
          <w:rFonts w:ascii="Times New Roman" w:hAnsi="Times New Roman"/>
          <w:spacing w:val="5"/>
          <w:sz w:val="13"/>
        </w:rPr>
        <w:t> </w:t>
      </w:r>
      <w:r>
        <w:rPr>
          <w:rFonts w:ascii="Times New Roman" w:hAnsi="Times New Roman"/>
          <w:sz w:val="13"/>
        </w:rPr>
        <w:t>los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efectos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5"/>
          <w:sz w:val="13"/>
        </w:rPr>
        <w:t> </w:t>
      </w:r>
      <w:r>
        <w:rPr>
          <w:rFonts w:ascii="Times New Roman" w:hAnsi="Times New Roman"/>
          <w:sz w:val="13"/>
        </w:rPr>
        <w:t>su</w:t>
      </w:r>
      <w:r>
        <w:rPr>
          <w:rFonts w:ascii="Times New Roman" w:hAnsi="Times New Roman"/>
          <w:spacing w:val="7"/>
          <w:sz w:val="13"/>
        </w:rPr>
        <w:t> </w:t>
      </w:r>
      <w:r>
        <w:rPr>
          <w:rFonts w:ascii="Times New Roman" w:hAnsi="Times New Roman"/>
          <w:sz w:val="13"/>
        </w:rPr>
        <w:t>identificación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con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nuestro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informe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fecha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11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abril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2024</w:t>
      </w:r>
    </w:p>
    <w:p>
      <w:pPr>
        <w:pStyle w:val="BodyText"/>
        <w:spacing w:before="8"/>
        <w:rPr>
          <w:rFonts w:ascii="Times New Roman"/>
          <w:sz w:val="9"/>
        </w:rPr>
      </w:pPr>
    </w:p>
    <w:p>
      <w:pPr>
        <w:spacing w:after="0"/>
        <w:rPr>
          <w:rFonts w:ascii="Times New Roman"/>
          <w:sz w:val="9"/>
        </w:rPr>
        <w:sectPr>
          <w:pgSz w:w="11910" w:h="16840"/>
          <w:pgMar w:top="1420" w:bottom="280" w:left="0" w:right="480"/>
        </w:sectPr>
      </w:pPr>
    </w:p>
    <w:p>
      <w:pPr>
        <w:spacing w:before="95"/>
        <w:ind w:left="2918" w:right="0" w:firstLine="0"/>
        <w:jc w:val="lef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DANIEL</w:t>
      </w:r>
      <w:r>
        <w:rPr>
          <w:rFonts w:ascii="Times New Roman" w:hAnsi="Times New Roman"/>
          <w:b/>
          <w:spacing w:val="-4"/>
          <w:sz w:val="13"/>
        </w:rPr>
        <w:t> </w:t>
      </w:r>
      <w:r>
        <w:rPr>
          <w:rFonts w:ascii="Times New Roman" w:hAnsi="Times New Roman"/>
          <w:b/>
          <w:sz w:val="13"/>
        </w:rPr>
        <w:t>NÉSTOR</w:t>
      </w:r>
      <w:r>
        <w:rPr>
          <w:rFonts w:ascii="Times New Roman" w:hAnsi="Times New Roman"/>
          <w:b/>
          <w:spacing w:val="-1"/>
          <w:sz w:val="13"/>
        </w:rPr>
        <w:t> </w:t>
      </w:r>
      <w:r>
        <w:rPr>
          <w:rFonts w:ascii="Times New Roman" w:hAnsi="Times New Roman"/>
          <w:b/>
          <w:sz w:val="13"/>
        </w:rPr>
        <w:t>GALLO</w:t>
      </w:r>
    </w:p>
    <w:p>
      <w:pPr>
        <w:spacing w:line="324" w:lineRule="auto" w:before="47"/>
        <w:ind w:left="2755" w:right="34" w:firstLine="211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Por</w:t>
      </w:r>
      <w:r>
        <w:rPr>
          <w:rFonts w:ascii="Times New Roman" w:hAnsi="Times New Roman"/>
          <w:spacing w:val="-1"/>
          <w:sz w:val="13"/>
        </w:rPr>
        <w:t> </w:t>
      </w:r>
      <w:r>
        <w:rPr>
          <w:rFonts w:ascii="Times New Roman" w:hAnsi="Times New Roman"/>
          <w:sz w:val="13"/>
        </w:rPr>
        <w:t>Comisión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Fiscalizadora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Contador Público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Nacional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(U.N.R.)</w:t>
      </w:r>
    </w:p>
    <w:p>
      <w:pPr>
        <w:spacing w:line="149" w:lineRule="exact" w:before="0"/>
        <w:ind w:left="2927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Matrícula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2.869</w:t>
      </w:r>
      <w:r>
        <w:rPr>
          <w:rFonts w:ascii="Times New Roman" w:hAnsi="Times New Roman"/>
          <w:spacing w:val="5"/>
          <w:sz w:val="13"/>
        </w:rPr>
        <w:t> </w:t>
      </w:r>
      <w:r>
        <w:rPr>
          <w:rFonts w:ascii="Times New Roman" w:hAnsi="Times New Roman"/>
          <w:sz w:val="13"/>
        </w:rPr>
        <w:t>-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Ley</w:t>
      </w:r>
      <w:r>
        <w:rPr>
          <w:rFonts w:ascii="Times New Roman" w:hAnsi="Times New Roman"/>
          <w:spacing w:val="-1"/>
          <w:sz w:val="13"/>
        </w:rPr>
        <w:t> </w:t>
      </w:r>
      <w:r>
        <w:rPr>
          <w:rFonts w:ascii="Times New Roman" w:hAnsi="Times New Roman"/>
          <w:sz w:val="13"/>
        </w:rPr>
        <w:t>8.738</w:t>
      </w:r>
    </w:p>
    <w:p>
      <w:pPr>
        <w:spacing w:before="52"/>
        <w:ind w:left="2971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w:t>C.P.C.E.</w:t>
      </w:r>
      <w:r>
        <w:rPr>
          <w:rFonts w:ascii="Times New Roman"/>
          <w:spacing w:val="1"/>
          <w:sz w:val="13"/>
        </w:rPr>
        <w:t> </w:t>
      </w:r>
      <w:r>
        <w:rPr>
          <w:rFonts w:ascii="Times New Roman"/>
          <w:sz w:val="13"/>
        </w:rPr>
        <w:t>Pcia.</w:t>
      </w:r>
      <w:r>
        <w:rPr>
          <w:rFonts w:ascii="Times New Roman"/>
          <w:spacing w:val="2"/>
          <w:sz w:val="13"/>
        </w:rPr>
        <w:t> </w:t>
      </w:r>
      <w:r>
        <w:rPr>
          <w:rFonts w:ascii="Times New Roman"/>
          <w:sz w:val="13"/>
        </w:rPr>
        <w:t>de Santa</w:t>
      </w:r>
      <w:r>
        <w:rPr>
          <w:rFonts w:ascii="Times New Roman"/>
          <w:spacing w:val="1"/>
          <w:sz w:val="13"/>
        </w:rPr>
        <w:t> </w:t>
      </w:r>
      <w:r>
        <w:rPr>
          <w:rFonts w:ascii="Times New Roman"/>
          <w:sz w:val="13"/>
        </w:rPr>
        <w:t>Fe</w:t>
      </w:r>
    </w:p>
    <w:p>
      <w:pPr>
        <w:spacing w:before="94"/>
        <w:ind w:left="2740" w:right="2151" w:firstLine="0"/>
        <w:jc w:val="center"/>
        <w:rPr>
          <w:rFonts w:ascii="Times New Roman"/>
          <w:b/>
          <w:sz w:val="13"/>
        </w:rPr>
      </w:pPr>
      <w:r>
        <w:rPr/>
        <w:br w:type="column"/>
      </w:r>
      <w:r>
        <w:rPr>
          <w:rFonts w:ascii="Times New Roman"/>
          <w:b/>
          <w:sz w:val="13"/>
        </w:rPr>
        <w:t>DOUGLAS</w:t>
      </w:r>
      <w:r>
        <w:rPr>
          <w:rFonts w:ascii="Times New Roman"/>
          <w:b/>
          <w:spacing w:val="-5"/>
          <w:sz w:val="13"/>
        </w:rPr>
        <w:t> </w:t>
      </w:r>
      <w:r>
        <w:rPr>
          <w:rFonts w:ascii="Times New Roman"/>
          <w:b/>
          <w:sz w:val="13"/>
        </w:rPr>
        <w:t>ALBRECHT</w:t>
      </w:r>
    </w:p>
    <w:p>
      <w:pPr>
        <w:spacing w:before="48"/>
        <w:ind w:left="2740" w:right="2151" w:firstLine="0"/>
        <w:jc w:val="center"/>
        <w:rPr>
          <w:rFonts w:ascii="Times New Roman"/>
          <w:sz w:val="13"/>
        </w:rPr>
      </w:pPr>
      <w:r>
        <w:rPr>
          <w:rFonts w:ascii="Times New Roman"/>
          <w:sz w:val="13"/>
        </w:rPr>
        <w:t>Presidente</w:t>
      </w:r>
    </w:p>
    <w:p>
      <w:pPr>
        <w:spacing w:after="0"/>
        <w:jc w:val="center"/>
        <w:rPr>
          <w:rFonts w:ascii="Times New Roman"/>
          <w:sz w:val="13"/>
        </w:rPr>
        <w:sectPr>
          <w:type w:val="continuous"/>
          <w:pgSz w:w="11910" w:h="16840"/>
          <w:pgMar w:top="1580" w:bottom="280" w:left="0" w:right="480"/>
          <w:cols w:num="2" w:equalWidth="0">
            <w:col w:w="4722" w:space="376"/>
            <w:col w:w="6332"/>
          </w:cols>
        </w:sectPr>
      </w:pPr>
    </w:p>
    <w:p>
      <w:pPr>
        <w:pStyle w:val="BodyText"/>
        <w:spacing w:before="10"/>
        <w:rPr>
          <w:rFonts w:ascii="Times New Roman"/>
          <w:sz w:val="13"/>
        </w:rPr>
      </w:pPr>
    </w:p>
    <w:p>
      <w:pPr>
        <w:spacing w:line="324" w:lineRule="auto" w:before="94"/>
        <w:ind w:left="4819" w:right="4020" w:firstLine="206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Firmado</w:t>
      </w:r>
      <w:r>
        <w:rPr>
          <w:rFonts w:ascii="Times New Roman" w:hAnsi="Times New Roman"/>
          <w:spacing w:val="7"/>
          <w:sz w:val="13"/>
        </w:rPr>
        <w:t> </w:t>
      </w:r>
      <w:r>
        <w:rPr>
          <w:rFonts w:ascii="Times New Roman" w:hAnsi="Times New Roman"/>
          <w:sz w:val="13"/>
        </w:rPr>
        <w:t>a</w:t>
      </w:r>
      <w:r>
        <w:rPr>
          <w:rFonts w:ascii="Times New Roman" w:hAnsi="Times New Roman"/>
          <w:spacing w:val="5"/>
          <w:sz w:val="13"/>
        </w:rPr>
        <w:t> </w:t>
      </w:r>
      <w:r>
        <w:rPr>
          <w:rFonts w:ascii="Times New Roman" w:hAnsi="Times New Roman"/>
          <w:sz w:val="13"/>
        </w:rPr>
        <w:t>los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efectos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5"/>
          <w:sz w:val="13"/>
        </w:rPr>
        <w:t> </w:t>
      </w:r>
      <w:r>
        <w:rPr>
          <w:rFonts w:ascii="Times New Roman" w:hAnsi="Times New Roman"/>
          <w:sz w:val="13"/>
        </w:rPr>
        <w:t>su</w:t>
      </w:r>
      <w:r>
        <w:rPr>
          <w:rFonts w:ascii="Times New Roman" w:hAnsi="Times New Roman"/>
          <w:spacing w:val="8"/>
          <w:sz w:val="13"/>
        </w:rPr>
        <w:t> </w:t>
      </w:r>
      <w:r>
        <w:rPr>
          <w:rFonts w:ascii="Times New Roman" w:hAnsi="Times New Roman"/>
          <w:sz w:val="13"/>
        </w:rPr>
        <w:t>identificación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con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nuestro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informe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fecha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11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abril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de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2024</w:t>
      </w:r>
    </w:p>
    <w:p>
      <w:pPr>
        <w:spacing w:line="149" w:lineRule="exact" w:before="0"/>
        <w:ind w:left="5236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w:t>se</w:t>
      </w:r>
      <w:r>
        <w:rPr>
          <w:rFonts w:ascii="Times New Roman"/>
          <w:spacing w:val="1"/>
          <w:sz w:val="13"/>
        </w:rPr>
        <w:t> </w:t>
      </w:r>
      <w:r>
        <w:rPr>
          <w:rFonts w:ascii="Times New Roman"/>
          <w:sz w:val="13"/>
        </w:rPr>
        <w:t>extiende</w:t>
      </w:r>
      <w:r>
        <w:rPr>
          <w:rFonts w:ascii="Times New Roman"/>
          <w:spacing w:val="1"/>
          <w:sz w:val="13"/>
        </w:rPr>
        <w:t> </w:t>
      </w:r>
      <w:r>
        <w:rPr>
          <w:rFonts w:ascii="Times New Roman"/>
          <w:sz w:val="13"/>
        </w:rPr>
        <w:t>en</w:t>
      </w:r>
      <w:r>
        <w:rPr>
          <w:rFonts w:ascii="Times New Roman"/>
          <w:spacing w:val="3"/>
          <w:sz w:val="13"/>
        </w:rPr>
        <w:t> </w:t>
      </w:r>
      <w:r>
        <w:rPr>
          <w:rFonts w:ascii="Times New Roman"/>
          <w:sz w:val="13"/>
        </w:rPr>
        <w:t>documento</w:t>
      </w:r>
      <w:r>
        <w:rPr>
          <w:rFonts w:ascii="Times New Roman"/>
          <w:spacing w:val="3"/>
          <w:sz w:val="13"/>
        </w:rPr>
        <w:t> </w:t>
      </w:r>
      <w:r>
        <w:rPr>
          <w:rFonts w:ascii="Times New Roman"/>
          <w:sz w:val="13"/>
        </w:rPr>
        <w:t>aparte.</w:t>
      </w:r>
    </w:p>
    <w:p>
      <w:pPr>
        <w:spacing w:before="57"/>
        <w:ind w:left="5174" w:right="0" w:firstLine="0"/>
        <w:jc w:val="left"/>
        <w:rPr>
          <w:rFonts w:ascii="Times New Roman"/>
          <w:b/>
          <w:sz w:val="13"/>
        </w:rPr>
      </w:pPr>
      <w:r>
        <w:rPr>
          <w:rFonts w:ascii="Times New Roman"/>
          <w:b/>
          <w:sz w:val="13"/>
        </w:rPr>
        <w:t>BECHER Y ASOCIADOS</w:t>
      </w:r>
      <w:r>
        <w:rPr>
          <w:rFonts w:ascii="Times New Roman"/>
          <w:b/>
          <w:spacing w:val="-1"/>
          <w:sz w:val="13"/>
        </w:rPr>
        <w:t> </w:t>
      </w:r>
      <w:r>
        <w:rPr>
          <w:rFonts w:ascii="Times New Roman"/>
          <w:b/>
          <w:sz w:val="13"/>
        </w:rPr>
        <w:t>S.R.L.</w:t>
      </w:r>
    </w:p>
    <w:p>
      <w:pPr>
        <w:spacing w:before="47"/>
        <w:ind w:left="4987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C.P.C.E.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Prov.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Santa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Fe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–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Matrícula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7-282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line="149" w:lineRule="exact" w:before="94"/>
        <w:ind w:left="794" w:right="0" w:firstLine="0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Fabián</w:t>
      </w:r>
      <w:r>
        <w:rPr>
          <w:rFonts w:ascii="Times New Roman" w:hAnsi="Times New Roman"/>
          <w:b/>
          <w:spacing w:val="4"/>
          <w:sz w:val="13"/>
        </w:rPr>
        <w:t> </w:t>
      </w:r>
      <w:r>
        <w:rPr>
          <w:rFonts w:ascii="Times New Roman" w:hAnsi="Times New Roman"/>
          <w:b/>
          <w:sz w:val="13"/>
        </w:rPr>
        <w:t>Gustavo</w:t>
      </w:r>
      <w:r>
        <w:rPr>
          <w:rFonts w:ascii="Times New Roman" w:hAnsi="Times New Roman"/>
          <w:b/>
          <w:spacing w:val="6"/>
          <w:sz w:val="13"/>
        </w:rPr>
        <w:t> </w:t>
      </w:r>
      <w:r>
        <w:rPr>
          <w:rFonts w:ascii="Times New Roman" w:hAnsi="Times New Roman"/>
          <w:b/>
          <w:sz w:val="13"/>
        </w:rPr>
        <w:t>Marcote</w:t>
      </w:r>
      <w:r>
        <w:rPr>
          <w:rFonts w:ascii="Times New Roman" w:hAnsi="Times New Roman"/>
          <w:b/>
          <w:spacing w:val="5"/>
          <w:sz w:val="13"/>
        </w:rPr>
        <w:t> </w:t>
      </w:r>
      <w:r>
        <w:rPr>
          <w:rFonts w:ascii="Times New Roman" w:hAnsi="Times New Roman"/>
          <w:b/>
          <w:sz w:val="13"/>
        </w:rPr>
        <w:t>(Socio)</w:t>
      </w:r>
    </w:p>
    <w:p>
      <w:pPr>
        <w:spacing w:line="149" w:lineRule="exact" w:before="0"/>
        <w:ind w:left="791" w:right="0" w:firstLine="0"/>
        <w:jc w:val="center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Contador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Público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(U.B.A)</w:t>
      </w:r>
    </w:p>
    <w:p>
      <w:pPr>
        <w:spacing w:before="4"/>
        <w:ind w:left="5068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t>C.P.C.E.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Prov.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Santa</w:t>
      </w:r>
      <w:r>
        <w:rPr>
          <w:rFonts w:ascii="Times New Roman" w:hAnsi="Times New Roman"/>
          <w:spacing w:val="2"/>
          <w:sz w:val="13"/>
        </w:rPr>
        <w:t> </w:t>
      </w:r>
      <w:r>
        <w:rPr>
          <w:rFonts w:ascii="Times New Roman" w:hAnsi="Times New Roman"/>
          <w:sz w:val="13"/>
        </w:rPr>
        <w:t>Fe</w:t>
      </w:r>
      <w:r>
        <w:rPr>
          <w:rFonts w:ascii="Times New Roman" w:hAnsi="Times New Roman"/>
          <w:spacing w:val="1"/>
          <w:sz w:val="13"/>
        </w:rPr>
        <w:t> </w:t>
      </w:r>
      <w:r>
        <w:rPr>
          <w:rFonts w:ascii="Times New Roman" w:hAnsi="Times New Roman"/>
          <w:sz w:val="13"/>
        </w:rPr>
        <w:t>–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Matr.</w:t>
      </w:r>
      <w:r>
        <w:rPr>
          <w:rFonts w:ascii="Times New Roman" w:hAnsi="Times New Roman"/>
          <w:spacing w:val="3"/>
          <w:sz w:val="13"/>
        </w:rPr>
        <w:t> </w:t>
      </w:r>
      <w:r>
        <w:rPr>
          <w:rFonts w:ascii="Times New Roman" w:hAnsi="Times New Roman"/>
          <w:sz w:val="13"/>
        </w:rPr>
        <w:t>16.845</w:t>
      </w:r>
    </w:p>
    <w:sectPr>
      <w:type w:val="continuous"/>
      <w:pgSz w:w="11910" w:h="16840"/>
      <w:pgMar w:top="1580" w:bottom="280" w:left="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45" w:hanging="242"/>
        <w:jc w:val="left"/>
      </w:pPr>
      <w:rPr>
        <w:rFonts w:hint="default" w:ascii="Verdana" w:hAnsi="Verdana" w:eastAsia="Verdana" w:cs="Verdana"/>
        <w:b/>
        <w:bCs/>
        <w:w w:val="100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28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16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05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93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8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70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59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47" w:hanging="24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545" w:hanging="242"/>
      <w:outlineLvl w:val="1"/>
    </w:pPr>
    <w:rPr>
      <w:rFonts w:ascii="Verdana" w:hAnsi="Verdana" w:eastAsia="Verdana" w:cs="Verdana"/>
      <w:b/>
      <w:bCs/>
      <w:sz w:val="17"/>
      <w:szCs w:val="17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545" w:hanging="242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2024-04-11T19:19:48Z</dcterms:created>
  <dcterms:modified xsi:type="dcterms:W3CDTF">2024-04-11T19:19:48Z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2024-04-11T00:00:00Z</vt:filetime>
  </property>
</Properties>
</file>