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679F8" w14:textId="77777777" w:rsidR="00B3741E" w:rsidRPr="00F6012F" w:rsidRDefault="00B3741E" w:rsidP="00241F17">
      <w:pPr>
        <w:spacing w:after="0" w:line="240" w:lineRule="auto"/>
        <w:ind w:right="69"/>
        <w:jc w:val="center"/>
        <w:rPr>
          <w:rFonts w:ascii="Verdana" w:hAnsi="Verdana"/>
          <w:b/>
          <w:sz w:val="17"/>
          <w:szCs w:val="17"/>
          <w:u w:val="single"/>
          <w:lang w:val="es-ES_tradnl" w:eastAsia="es-ES"/>
        </w:rPr>
      </w:pPr>
      <w:r w:rsidRPr="00F6012F">
        <w:rPr>
          <w:rFonts w:ascii="Verdana" w:hAnsi="Verdana"/>
          <w:b/>
          <w:sz w:val="17"/>
          <w:szCs w:val="17"/>
          <w:u w:val="single"/>
          <w:lang w:val="es-ES_tradnl" w:eastAsia="es-ES"/>
        </w:rPr>
        <w:t>CELULOSA ARGENTINA SOCIEDAD ANÓNIMA</w:t>
      </w:r>
    </w:p>
    <w:p w14:paraId="363679F9" w14:textId="77777777" w:rsidR="00B3741E" w:rsidRPr="00F6012F" w:rsidRDefault="00B3741E" w:rsidP="00241F17">
      <w:pPr>
        <w:spacing w:after="0" w:line="240" w:lineRule="auto"/>
        <w:jc w:val="center"/>
        <w:rPr>
          <w:rFonts w:ascii="Verdana" w:hAnsi="Verdana"/>
          <w:b/>
          <w:sz w:val="17"/>
          <w:szCs w:val="17"/>
          <w:u w:val="single"/>
          <w:lang w:val="es-ES_tradnl" w:eastAsia="es-ES"/>
        </w:rPr>
      </w:pPr>
    </w:p>
    <w:p w14:paraId="363679FA" w14:textId="03A47068" w:rsidR="00B3741E" w:rsidRPr="00F6012F" w:rsidRDefault="00B3741E" w:rsidP="00FB31D1">
      <w:pPr>
        <w:pStyle w:val="Ttulo4"/>
        <w:rPr>
          <w:rFonts w:ascii="Verdana" w:hAnsi="Verdana"/>
          <w:b/>
          <w:bCs/>
          <w:sz w:val="17"/>
          <w:szCs w:val="17"/>
        </w:rPr>
      </w:pPr>
      <w:r w:rsidRPr="00F6012F">
        <w:rPr>
          <w:rFonts w:ascii="Verdana" w:hAnsi="Verdana"/>
          <w:b/>
          <w:bCs/>
          <w:sz w:val="17"/>
          <w:szCs w:val="17"/>
        </w:rPr>
        <w:t>RESEÑA INFORMATIVA SOBRE EL EJERCICIO 20</w:t>
      </w:r>
      <w:r w:rsidR="006E5403">
        <w:rPr>
          <w:rFonts w:ascii="Verdana" w:hAnsi="Verdana"/>
          <w:b/>
          <w:bCs/>
          <w:sz w:val="17"/>
          <w:szCs w:val="17"/>
        </w:rPr>
        <w:t>2</w:t>
      </w:r>
      <w:r w:rsidR="009D4761">
        <w:rPr>
          <w:rFonts w:ascii="Verdana" w:hAnsi="Verdana"/>
          <w:b/>
          <w:bCs/>
          <w:sz w:val="17"/>
          <w:szCs w:val="17"/>
        </w:rPr>
        <w:t>3</w:t>
      </w:r>
      <w:r w:rsidRPr="00F6012F">
        <w:rPr>
          <w:rFonts w:ascii="Verdana" w:hAnsi="Verdana"/>
          <w:b/>
          <w:bCs/>
          <w:sz w:val="17"/>
          <w:szCs w:val="17"/>
        </w:rPr>
        <w:t>/20</w:t>
      </w:r>
      <w:r w:rsidR="00997283">
        <w:rPr>
          <w:rFonts w:ascii="Verdana" w:hAnsi="Verdana"/>
          <w:b/>
          <w:bCs/>
          <w:sz w:val="17"/>
          <w:szCs w:val="17"/>
        </w:rPr>
        <w:t>2</w:t>
      </w:r>
      <w:r w:rsidR="009D4761">
        <w:rPr>
          <w:rFonts w:ascii="Verdana" w:hAnsi="Verdana"/>
          <w:b/>
          <w:bCs/>
          <w:sz w:val="17"/>
          <w:szCs w:val="17"/>
        </w:rPr>
        <w:t>4</w:t>
      </w:r>
    </w:p>
    <w:p w14:paraId="363679FB" w14:textId="77777777" w:rsidR="00B3741E" w:rsidRPr="00F6012F" w:rsidRDefault="00B3741E" w:rsidP="00241F17">
      <w:pPr>
        <w:spacing w:after="0" w:line="240" w:lineRule="auto"/>
        <w:jc w:val="center"/>
        <w:rPr>
          <w:rFonts w:ascii="Verdana" w:hAnsi="Verdana"/>
          <w:sz w:val="17"/>
          <w:szCs w:val="17"/>
          <w:lang w:val="es-ES_tradnl" w:eastAsia="es-ES"/>
        </w:rPr>
      </w:pPr>
    </w:p>
    <w:p w14:paraId="363679FC" w14:textId="77777777" w:rsidR="00B3741E" w:rsidRPr="00F6012F" w:rsidRDefault="00B3741E" w:rsidP="00241F17">
      <w:pPr>
        <w:spacing w:after="0" w:line="240" w:lineRule="auto"/>
        <w:jc w:val="center"/>
        <w:rPr>
          <w:rFonts w:ascii="Verdana" w:hAnsi="Verdana"/>
          <w:sz w:val="17"/>
          <w:szCs w:val="17"/>
          <w:lang w:val="es-ES_tradnl" w:eastAsia="es-ES"/>
        </w:rPr>
      </w:pPr>
    </w:p>
    <w:p w14:paraId="363679FD" w14:textId="77777777" w:rsidR="00B3741E" w:rsidRPr="00F6012F" w:rsidRDefault="00B3741E" w:rsidP="00241F17">
      <w:pPr>
        <w:spacing w:after="0" w:line="240" w:lineRule="auto"/>
        <w:jc w:val="both"/>
        <w:rPr>
          <w:rFonts w:ascii="Verdana" w:hAnsi="Verdana"/>
          <w:b/>
          <w:sz w:val="17"/>
          <w:szCs w:val="17"/>
          <w:lang w:val="es-ES_tradnl" w:eastAsia="es-ES"/>
        </w:rPr>
      </w:pPr>
      <w:r w:rsidRPr="00F6012F">
        <w:rPr>
          <w:rFonts w:ascii="Verdana" w:hAnsi="Verdana"/>
          <w:b/>
          <w:bCs/>
          <w:sz w:val="17"/>
          <w:szCs w:val="17"/>
          <w:lang w:val="es-ES" w:eastAsia="es-ES"/>
        </w:rPr>
        <w:t>1. Breve comentario sobre las actividades</w:t>
      </w:r>
    </w:p>
    <w:p w14:paraId="36367A0B" w14:textId="77777777" w:rsidR="00824142" w:rsidRPr="00824142" w:rsidRDefault="00824142" w:rsidP="00824142">
      <w:pPr>
        <w:widowControl w:val="0"/>
        <w:autoSpaceDE w:val="0"/>
        <w:autoSpaceDN w:val="0"/>
        <w:adjustRightInd w:val="0"/>
        <w:spacing w:after="0" w:line="240" w:lineRule="auto"/>
        <w:jc w:val="both"/>
        <w:rPr>
          <w:rFonts w:ascii="Verdana" w:eastAsia="MS Mincho" w:hAnsi="Verdana"/>
          <w:sz w:val="17"/>
          <w:szCs w:val="17"/>
        </w:rPr>
      </w:pPr>
    </w:p>
    <w:p w14:paraId="69ABC020" w14:textId="77777777" w:rsidR="004D5EC1" w:rsidRDefault="004D5EC1" w:rsidP="00824142">
      <w:pPr>
        <w:widowControl w:val="0"/>
        <w:autoSpaceDE w:val="0"/>
        <w:autoSpaceDN w:val="0"/>
        <w:adjustRightInd w:val="0"/>
        <w:spacing w:after="0" w:line="240" w:lineRule="auto"/>
        <w:jc w:val="both"/>
        <w:rPr>
          <w:rFonts w:ascii="Verdana" w:eastAsia="MS Mincho" w:hAnsi="Verdana"/>
          <w:sz w:val="17"/>
          <w:szCs w:val="17"/>
        </w:rPr>
      </w:pPr>
    </w:p>
    <w:p w14:paraId="308AD0BD" w14:textId="20CC6510"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El resultado bruto del ejercicio finalizado el 31 de mayo de 2024 arrojó una ganancia de $</w:t>
      </w:r>
      <w:bookmarkStart w:id="0" w:name="DA_XR_2484119373200002985"/>
      <w:r w:rsidRPr="009D4761">
        <w:rPr>
          <w:rFonts w:ascii="Verdana" w:hAnsi="Verdana"/>
          <w:sz w:val="17"/>
          <w:szCs w:val="17"/>
          <w:lang w:val="es-MX"/>
        </w:rPr>
        <w:t>79.</w:t>
      </w:r>
      <w:bookmarkEnd w:id="0"/>
      <w:r w:rsidR="001472C7">
        <w:rPr>
          <w:rFonts w:ascii="Verdana" w:hAnsi="Verdana"/>
          <w:sz w:val="17"/>
          <w:szCs w:val="17"/>
          <w:lang w:val="es-MX"/>
        </w:rPr>
        <w:t>661</w:t>
      </w:r>
      <w:r w:rsidRPr="009D4761">
        <w:rPr>
          <w:rFonts w:ascii="Verdana" w:hAnsi="Verdana"/>
          <w:sz w:val="17"/>
          <w:szCs w:val="17"/>
          <w:lang w:val="es-MX"/>
        </w:rPr>
        <w:t>,</w:t>
      </w:r>
      <w:r w:rsidR="001472C7">
        <w:rPr>
          <w:rFonts w:ascii="Verdana" w:hAnsi="Verdana"/>
          <w:sz w:val="17"/>
          <w:szCs w:val="17"/>
          <w:lang w:val="es-MX"/>
        </w:rPr>
        <w:t>3</w:t>
      </w:r>
      <w:r w:rsidRPr="009D4761">
        <w:rPr>
          <w:rFonts w:ascii="Verdana" w:hAnsi="Verdana"/>
          <w:sz w:val="17"/>
          <w:szCs w:val="17"/>
          <w:lang w:val="es-MX"/>
        </w:rPr>
        <w:t xml:space="preserve"> millones; mientras que el ejercicio an</w:t>
      </w:r>
      <w:bookmarkStart w:id="1" w:name="DA_XR_2484119373200002989"/>
      <w:r w:rsidRPr="009D4761">
        <w:rPr>
          <w:rFonts w:ascii="Verdana" w:hAnsi="Verdana"/>
          <w:sz w:val="17"/>
          <w:szCs w:val="17"/>
          <w:lang w:val="es-MX"/>
        </w:rPr>
        <w:t>terior, arrojó una ganancia de $66.</w:t>
      </w:r>
      <w:bookmarkEnd w:id="1"/>
      <w:r w:rsidRPr="009D4761">
        <w:rPr>
          <w:rFonts w:ascii="Verdana" w:hAnsi="Verdana"/>
          <w:sz w:val="17"/>
          <w:szCs w:val="17"/>
          <w:lang w:val="es-MX"/>
        </w:rPr>
        <w:t>095,7 millones, lo que representa un incremento del 21</w:t>
      </w:r>
      <w:r w:rsidRPr="009D4761">
        <w:rPr>
          <w:rFonts w:ascii="Verdana" w:eastAsia="MS Mincho" w:hAnsi="Verdana"/>
          <w:b/>
          <w:bCs/>
          <w:sz w:val="17"/>
          <w:szCs w:val="17"/>
        </w:rPr>
        <w:t>%</w:t>
      </w:r>
      <w:r w:rsidRPr="009D4761">
        <w:rPr>
          <w:rFonts w:ascii="Verdana" w:hAnsi="Verdana"/>
          <w:sz w:val="17"/>
          <w:szCs w:val="17"/>
          <w:lang w:val="es-MX"/>
        </w:rPr>
        <w:t>, originados principalmente en mejores márgenes de la sociedad controlante del grupo, Celulosa Argentina.</w:t>
      </w:r>
    </w:p>
    <w:p w14:paraId="58769FF3" w14:textId="77777777" w:rsidR="009D4761" w:rsidRPr="009D4761" w:rsidRDefault="009D4761" w:rsidP="009D4761">
      <w:pPr>
        <w:spacing w:after="0" w:line="240" w:lineRule="auto"/>
        <w:jc w:val="both"/>
        <w:rPr>
          <w:rFonts w:ascii="Verdana" w:hAnsi="Verdana"/>
          <w:sz w:val="17"/>
          <w:szCs w:val="17"/>
          <w:lang w:val="es-MX"/>
        </w:rPr>
      </w:pPr>
    </w:p>
    <w:p w14:paraId="59E31D72" w14:textId="15274334"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El resultado operativo, sin considerar las pérdidas por desvalorización de otros activos del exterior, otros ingresos y egresos, del ejercicio finalizado el 31 de mayo de 2024, arrojó una ganancia de $45.</w:t>
      </w:r>
      <w:r w:rsidR="001472C7">
        <w:rPr>
          <w:rFonts w:ascii="Verdana" w:hAnsi="Verdana"/>
          <w:sz w:val="17"/>
          <w:szCs w:val="17"/>
          <w:lang w:val="es-MX"/>
        </w:rPr>
        <w:t>058</w:t>
      </w:r>
      <w:r w:rsidRPr="009D4761">
        <w:rPr>
          <w:rFonts w:ascii="Verdana" w:hAnsi="Verdana"/>
          <w:sz w:val="17"/>
          <w:szCs w:val="17"/>
          <w:lang w:val="es-MX"/>
        </w:rPr>
        <w:t>,</w:t>
      </w:r>
      <w:r w:rsidR="001472C7">
        <w:rPr>
          <w:rFonts w:ascii="Verdana" w:hAnsi="Verdana"/>
          <w:sz w:val="17"/>
          <w:szCs w:val="17"/>
          <w:lang w:val="es-MX"/>
        </w:rPr>
        <w:t>7</w:t>
      </w:r>
      <w:r w:rsidRPr="009D4761">
        <w:rPr>
          <w:rFonts w:ascii="Verdana" w:hAnsi="Verdana"/>
          <w:sz w:val="17"/>
          <w:szCs w:val="17"/>
          <w:lang w:val="es-MX"/>
        </w:rPr>
        <w:t xml:space="preserve"> millones; mientras que el ejercicio anterior, arrojó una ganancia de $36.512,3 millones, lo que representa un incremento del 2</w:t>
      </w:r>
      <w:r w:rsidR="001472C7">
        <w:rPr>
          <w:rFonts w:ascii="Verdana" w:hAnsi="Verdana"/>
          <w:sz w:val="17"/>
          <w:szCs w:val="17"/>
          <w:lang w:val="es-MX"/>
        </w:rPr>
        <w:t>3</w:t>
      </w:r>
      <w:r w:rsidRPr="009D4761">
        <w:rPr>
          <w:rFonts w:ascii="Verdana" w:hAnsi="Verdana"/>
          <w:sz w:val="17"/>
          <w:szCs w:val="17"/>
          <w:lang w:val="es-MX"/>
        </w:rPr>
        <w:t>%, en línea con lo informado en el párrafo anterior.</w:t>
      </w:r>
    </w:p>
    <w:p w14:paraId="78ED7507" w14:textId="77777777" w:rsidR="009D4761" w:rsidRPr="009D4761" w:rsidRDefault="009D4761" w:rsidP="009D4761">
      <w:pPr>
        <w:spacing w:after="0" w:line="240" w:lineRule="auto"/>
        <w:jc w:val="both"/>
        <w:rPr>
          <w:rFonts w:ascii="Verdana" w:hAnsi="Verdana"/>
          <w:sz w:val="17"/>
          <w:szCs w:val="17"/>
          <w:lang w:val="es-MX"/>
        </w:rPr>
      </w:pPr>
    </w:p>
    <w:p w14:paraId="48AF8CD9" w14:textId="77777777"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 xml:space="preserve">El resultado del presente ejercicio </w:t>
      </w:r>
      <w:bookmarkStart w:id="2" w:name="DA_XR_2484119373200002993"/>
      <w:r w:rsidRPr="009D4761">
        <w:rPr>
          <w:rFonts w:ascii="Verdana" w:hAnsi="Verdana"/>
          <w:sz w:val="17"/>
          <w:szCs w:val="17"/>
          <w:lang w:val="es-MX"/>
        </w:rPr>
        <w:t>ascendió a una ganancia de $</w:t>
      </w:r>
      <w:bookmarkEnd w:id="2"/>
      <w:r w:rsidRPr="009D4761">
        <w:rPr>
          <w:rFonts w:ascii="Verdana" w:hAnsi="Verdana"/>
          <w:sz w:val="17"/>
          <w:szCs w:val="17"/>
          <w:lang w:val="es-MX"/>
        </w:rPr>
        <w:t>309,9 millones, en comparación con una ganancia en el ejercicio anterior de $33.689,5 millones, como consecuencia, principalmente, de una pérdida por diferencia de cambio neta resultante de la importante devaluación del peso durante diciembre 2023, en contraste a una ganancia por el mismo concepto, en el ejercicio anterior; una menor ganancia por resultado por exposición a los cambios en el poder adquisitivo de la moneda y mayores egresos financieros.</w:t>
      </w:r>
    </w:p>
    <w:p w14:paraId="11BB2BB0" w14:textId="77777777" w:rsidR="009D4761" w:rsidRPr="009D4761" w:rsidRDefault="009D4761" w:rsidP="009D4761">
      <w:pPr>
        <w:tabs>
          <w:tab w:val="left" w:pos="3545"/>
        </w:tabs>
        <w:spacing w:after="0" w:line="240" w:lineRule="auto"/>
        <w:jc w:val="both"/>
        <w:rPr>
          <w:rFonts w:ascii="Verdana" w:hAnsi="Verdana"/>
          <w:sz w:val="17"/>
          <w:szCs w:val="17"/>
          <w:lang w:val="es-MX"/>
        </w:rPr>
      </w:pPr>
    </w:p>
    <w:p w14:paraId="5487C405" w14:textId="77777777"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 xml:space="preserve">El resultado integral del presente ejercicio </w:t>
      </w:r>
      <w:bookmarkStart w:id="3" w:name="DA_XR_2484119373200003001"/>
      <w:r w:rsidRPr="009D4761">
        <w:rPr>
          <w:rFonts w:ascii="Verdana" w:hAnsi="Verdana"/>
          <w:sz w:val="17"/>
          <w:szCs w:val="17"/>
          <w:lang w:val="es-MX"/>
        </w:rPr>
        <w:t>fue una ganancia de $</w:t>
      </w:r>
      <w:bookmarkEnd w:id="3"/>
      <w:r w:rsidRPr="009D4761">
        <w:rPr>
          <w:rFonts w:ascii="Verdana" w:hAnsi="Verdana"/>
          <w:sz w:val="17"/>
          <w:szCs w:val="17"/>
          <w:lang w:val="es-MX"/>
        </w:rPr>
        <w:t>26.367,1 mill</w:t>
      </w:r>
      <w:bookmarkStart w:id="4" w:name="DA_XR_2484119373200003004"/>
      <w:r w:rsidRPr="009D4761">
        <w:rPr>
          <w:rFonts w:ascii="Verdana" w:hAnsi="Verdana"/>
          <w:sz w:val="17"/>
          <w:szCs w:val="17"/>
          <w:lang w:val="es-MX"/>
        </w:rPr>
        <w:t>ones, frente a una ganancia de $</w:t>
      </w:r>
      <w:bookmarkEnd w:id="4"/>
      <w:r w:rsidRPr="009D4761">
        <w:rPr>
          <w:rFonts w:ascii="Verdana" w:hAnsi="Verdana"/>
          <w:sz w:val="17"/>
          <w:szCs w:val="17"/>
          <w:lang w:val="es-MX"/>
        </w:rPr>
        <w:t xml:space="preserve">39.391,1 millones en el ejercicio anterior; a causa principalmente de lo expresado en los párrafos anteriores, más el mayor resultado positivo por revaluación de Propiedades, planta y equipo en este ejercicio, en comparación con el ejercicio anterior. </w:t>
      </w:r>
    </w:p>
    <w:p w14:paraId="7777DFC9" w14:textId="77777777" w:rsidR="009D4761" w:rsidRPr="009D4761" w:rsidRDefault="009D4761" w:rsidP="009D4761">
      <w:pPr>
        <w:spacing w:after="0" w:line="240" w:lineRule="auto"/>
        <w:jc w:val="both"/>
        <w:rPr>
          <w:rFonts w:ascii="Verdana" w:hAnsi="Verdana"/>
          <w:sz w:val="17"/>
          <w:szCs w:val="17"/>
          <w:lang w:val="es-MX"/>
        </w:rPr>
      </w:pPr>
    </w:p>
    <w:p w14:paraId="4CD11868" w14:textId="77777777"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 xml:space="preserve">Los ingresos de actividades ordinarias ascendieron a </w:t>
      </w:r>
      <w:bookmarkStart w:id="5" w:name="DA_XR_2469518217900004626"/>
      <w:r w:rsidRPr="009D4761">
        <w:rPr>
          <w:rFonts w:ascii="Verdana" w:hAnsi="Verdana"/>
          <w:sz w:val="17"/>
          <w:szCs w:val="17"/>
          <w:lang w:val="es-MX"/>
        </w:rPr>
        <w:t xml:space="preserve">$323.896,5 </w:t>
      </w:r>
      <w:bookmarkEnd w:id="5"/>
      <w:r w:rsidRPr="009D4761">
        <w:rPr>
          <w:rFonts w:ascii="Verdana" w:hAnsi="Verdana"/>
          <w:sz w:val="17"/>
          <w:szCs w:val="17"/>
          <w:lang w:val="es-MX"/>
        </w:rPr>
        <w:t xml:space="preserve">millones, que representan una disminución del </w:t>
      </w:r>
      <w:bookmarkStart w:id="6" w:name="DA_XR_2469518217900004631"/>
      <w:r w:rsidRPr="009D4761">
        <w:rPr>
          <w:rFonts w:ascii="Verdana" w:hAnsi="Verdana"/>
          <w:sz w:val="17"/>
          <w:szCs w:val="17"/>
          <w:lang w:val="es-MX"/>
        </w:rPr>
        <w:t>1%</w:t>
      </w:r>
      <w:bookmarkEnd w:id="6"/>
      <w:r w:rsidRPr="009D4761">
        <w:rPr>
          <w:rFonts w:ascii="Verdana" w:hAnsi="Verdana"/>
          <w:sz w:val="17"/>
          <w:szCs w:val="17"/>
          <w:lang w:val="es-MX"/>
        </w:rPr>
        <w:t xml:space="preserve"> sobre el ejercicio precedente, mientras los costos de ventas disminuyeron un 7%.</w:t>
      </w:r>
    </w:p>
    <w:p w14:paraId="0CA22753" w14:textId="77777777" w:rsidR="009D4761" w:rsidRPr="009D4761" w:rsidRDefault="009D4761" w:rsidP="009D4761">
      <w:pPr>
        <w:spacing w:after="0" w:line="240" w:lineRule="auto"/>
        <w:jc w:val="both"/>
        <w:rPr>
          <w:rFonts w:ascii="Verdana" w:hAnsi="Verdana"/>
          <w:sz w:val="17"/>
          <w:szCs w:val="17"/>
          <w:lang w:val="es-MX"/>
        </w:rPr>
      </w:pPr>
    </w:p>
    <w:p w14:paraId="43CB50F3"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r w:rsidRPr="009D4761">
        <w:rPr>
          <w:rFonts w:ascii="Verdana" w:eastAsia="MS Mincho" w:hAnsi="Verdana"/>
          <w:sz w:val="17"/>
          <w:szCs w:val="17"/>
        </w:rPr>
        <w:t xml:space="preserve">En Celulosa Argentina, los ingresos por actividades ordinarias aumentaron un 7%, mientras tanto, los costos de ventas disminuyeron un 2%. </w:t>
      </w:r>
    </w:p>
    <w:p w14:paraId="69ED6426" w14:textId="77777777" w:rsid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p>
    <w:p w14:paraId="35A1BC43" w14:textId="1D5262F9" w:rsidR="009D4761" w:rsidRDefault="009D4761" w:rsidP="009D4761">
      <w:pPr>
        <w:widowControl w:val="0"/>
        <w:autoSpaceDE w:val="0"/>
        <w:autoSpaceDN w:val="0"/>
        <w:adjustRightInd w:val="0"/>
        <w:spacing w:after="0" w:line="240" w:lineRule="auto"/>
        <w:jc w:val="both"/>
        <w:rPr>
          <w:rFonts w:ascii="Verdana" w:hAnsi="Verdana"/>
          <w:sz w:val="17"/>
          <w:szCs w:val="17"/>
          <w:lang w:val="es-MX"/>
        </w:rPr>
      </w:pPr>
      <w:r w:rsidRPr="00244EFE">
        <w:rPr>
          <w:rFonts w:ascii="Verdana" w:hAnsi="Verdana"/>
          <w:sz w:val="17"/>
          <w:szCs w:val="17"/>
          <w:lang w:val="es-MX"/>
        </w:rPr>
        <w:t xml:space="preserve">En Celulosa Argentina, la producción de papeles de impresión y escritura, papeles </w:t>
      </w:r>
      <w:proofErr w:type="spellStart"/>
      <w:r w:rsidRPr="00244EFE">
        <w:rPr>
          <w:rFonts w:ascii="Verdana" w:hAnsi="Verdana"/>
          <w:sz w:val="17"/>
          <w:szCs w:val="17"/>
          <w:lang w:val="es-MX"/>
        </w:rPr>
        <w:t>tissue</w:t>
      </w:r>
      <w:proofErr w:type="spellEnd"/>
      <w:r w:rsidRPr="00244EFE">
        <w:rPr>
          <w:rFonts w:ascii="Verdana" w:hAnsi="Verdana"/>
          <w:sz w:val="17"/>
          <w:szCs w:val="17"/>
          <w:lang w:val="es-MX"/>
        </w:rPr>
        <w:t xml:space="preserve"> y pulpa de mercado de eucaliptus del ejercicio finalizado el 31 de </w:t>
      </w:r>
      <w:r>
        <w:rPr>
          <w:rFonts w:ascii="Verdana" w:hAnsi="Verdana"/>
          <w:sz w:val="17"/>
          <w:szCs w:val="17"/>
          <w:lang w:val="es-MX"/>
        </w:rPr>
        <w:t>m</w:t>
      </w:r>
      <w:r w:rsidRPr="00244EFE">
        <w:rPr>
          <w:rFonts w:ascii="Verdana" w:hAnsi="Verdana"/>
          <w:sz w:val="17"/>
          <w:szCs w:val="17"/>
          <w:lang w:val="es-MX"/>
        </w:rPr>
        <w:t>ayo de 2024 fue de 162.960 toneladas, cifra un 3,2% superior al del ejercicio anterior</w:t>
      </w:r>
      <w:r>
        <w:rPr>
          <w:rFonts w:ascii="Verdana" w:hAnsi="Verdana"/>
          <w:sz w:val="17"/>
          <w:szCs w:val="17"/>
          <w:lang w:val="es-MX"/>
        </w:rPr>
        <w:t>.</w:t>
      </w:r>
    </w:p>
    <w:p w14:paraId="12889896"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p>
    <w:p w14:paraId="5327F8E5" w14:textId="77777777" w:rsidR="009D4761" w:rsidRPr="009D4761" w:rsidRDefault="009D4761" w:rsidP="009D4761">
      <w:pPr>
        <w:widowControl w:val="0"/>
        <w:spacing w:after="0" w:line="240" w:lineRule="auto"/>
        <w:contextualSpacing/>
        <w:jc w:val="both"/>
        <w:outlineLvl w:val="0"/>
        <w:rPr>
          <w:rFonts w:ascii="Verdana" w:eastAsia="MS Mincho" w:hAnsi="Verdana"/>
          <w:sz w:val="17"/>
          <w:szCs w:val="17"/>
        </w:rPr>
      </w:pPr>
      <w:r w:rsidRPr="009D4761">
        <w:rPr>
          <w:rFonts w:ascii="Verdana" w:eastAsia="MS Mincho" w:hAnsi="Verdana"/>
          <w:sz w:val="17"/>
          <w:szCs w:val="17"/>
        </w:rPr>
        <w:t xml:space="preserve">La facturación de papel para impresión y escritura, estucados y no estucados, de </w:t>
      </w:r>
      <w:proofErr w:type="spellStart"/>
      <w:r w:rsidRPr="009D4761">
        <w:rPr>
          <w:rFonts w:ascii="Verdana" w:eastAsia="MS Mincho" w:hAnsi="Verdana"/>
          <w:sz w:val="17"/>
          <w:szCs w:val="17"/>
        </w:rPr>
        <w:t>Fanapel</w:t>
      </w:r>
      <w:proofErr w:type="spellEnd"/>
      <w:r w:rsidRPr="009D4761">
        <w:rPr>
          <w:rFonts w:ascii="Verdana" w:eastAsia="MS Mincho" w:hAnsi="Verdana"/>
          <w:sz w:val="17"/>
          <w:szCs w:val="17"/>
        </w:rPr>
        <w:t xml:space="preserve"> consolidada del ejercicio ascendió a $16.543 millones, mientras que para el ejercicio anterior ascendió a $16.916,5 producto de su actividad como distribuidora, mostrando una reducción del 2%. Los ingresos de la Empresa están nominados en dólares, pero la diferente evolución de la cotización de esta moneda y la inflación en la República Argentina se traduce en una disminución de los montos facturados medidos en la moneda local.</w:t>
      </w:r>
    </w:p>
    <w:p w14:paraId="3F844308"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p>
    <w:p w14:paraId="500C5B94"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r w:rsidRPr="009D4761">
        <w:rPr>
          <w:rFonts w:ascii="Verdana" w:eastAsia="MS Mincho" w:hAnsi="Verdana"/>
          <w:sz w:val="17"/>
          <w:szCs w:val="17"/>
        </w:rPr>
        <w:t xml:space="preserve">En </w:t>
      </w:r>
      <w:proofErr w:type="spellStart"/>
      <w:r w:rsidRPr="009D4761">
        <w:rPr>
          <w:rFonts w:ascii="Verdana" w:eastAsia="MS Mincho" w:hAnsi="Verdana"/>
          <w:sz w:val="17"/>
          <w:szCs w:val="17"/>
        </w:rPr>
        <w:t>Forestadora</w:t>
      </w:r>
      <w:proofErr w:type="spellEnd"/>
      <w:r w:rsidRPr="009D4761">
        <w:rPr>
          <w:rFonts w:ascii="Verdana" w:eastAsia="MS Mincho" w:hAnsi="Verdana"/>
          <w:sz w:val="17"/>
          <w:szCs w:val="17"/>
        </w:rPr>
        <w:t xml:space="preserve"> Tapebicuá, la facturación fue de $26.230,4 millones, lo que representó un descenso del 29%</w:t>
      </w:r>
      <w:r w:rsidRPr="009D4761">
        <w:rPr>
          <w:rFonts w:ascii="Verdana" w:eastAsia="MS Mincho" w:hAnsi="Verdana"/>
          <w:color w:val="FF0000"/>
          <w:sz w:val="17"/>
          <w:szCs w:val="17"/>
        </w:rPr>
        <w:t xml:space="preserve"> </w:t>
      </w:r>
      <w:r w:rsidRPr="009D4761">
        <w:rPr>
          <w:rFonts w:ascii="Verdana" w:eastAsia="MS Mincho" w:hAnsi="Verdana"/>
          <w:sz w:val="17"/>
          <w:szCs w:val="17"/>
        </w:rPr>
        <w:t xml:space="preserve">con respecto al ejercicio anterior, producto de la desaceleración de la actividad de la construcción a partir del tercer trimestre y la disminución en la demanda tanto interna como externa de productos de madera sólida. </w:t>
      </w:r>
    </w:p>
    <w:p w14:paraId="05221629" w14:textId="77777777" w:rsidR="009D4761" w:rsidRPr="009D4761" w:rsidRDefault="009D4761" w:rsidP="009D4761">
      <w:pPr>
        <w:widowControl w:val="0"/>
        <w:tabs>
          <w:tab w:val="left" w:pos="1418"/>
        </w:tabs>
        <w:autoSpaceDE w:val="0"/>
        <w:autoSpaceDN w:val="0"/>
        <w:adjustRightInd w:val="0"/>
        <w:spacing w:after="0" w:line="240" w:lineRule="auto"/>
        <w:jc w:val="both"/>
        <w:rPr>
          <w:rFonts w:ascii="Verdana" w:eastAsia="MS Mincho" w:hAnsi="Verdana"/>
          <w:sz w:val="17"/>
          <w:szCs w:val="17"/>
        </w:rPr>
      </w:pPr>
      <w:r w:rsidRPr="009D4761">
        <w:rPr>
          <w:rFonts w:ascii="Verdana" w:eastAsia="MS Mincho" w:hAnsi="Verdana"/>
          <w:sz w:val="17"/>
          <w:szCs w:val="17"/>
        </w:rPr>
        <w:tab/>
      </w:r>
    </w:p>
    <w:p w14:paraId="07B8CAC3"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r w:rsidRPr="009D4761">
        <w:rPr>
          <w:rFonts w:ascii="Verdana" w:eastAsia="MS Mincho" w:hAnsi="Verdana"/>
          <w:sz w:val="17"/>
          <w:szCs w:val="17"/>
        </w:rPr>
        <w:t xml:space="preserve">Los costos de distribución y los gastos de administración, en su conjunto, aumentaron $5.019 millones respecto del ejercicio anterior. </w:t>
      </w:r>
    </w:p>
    <w:p w14:paraId="5747403A"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p>
    <w:p w14:paraId="6377E369" w14:textId="1C5DD84F"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r w:rsidRPr="009D4761">
        <w:rPr>
          <w:rFonts w:ascii="Verdana" w:eastAsia="MS Mincho" w:hAnsi="Verdana"/>
          <w:sz w:val="17"/>
          <w:szCs w:val="17"/>
        </w:rPr>
        <w:t>Los ingresos financieros arrojaron una ganancia de $12.</w:t>
      </w:r>
      <w:r w:rsidR="00EB42E6">
        <w:rPr>
          <w:rFonts w:ascii="Verdana" w:eastAsia="MS Mincho" w:hAnsi="Verdana"/>
          <w:sz w:val="17"/>
          <w:szCs w:val="17"/>
        </w:rPr>
        <w:t>484,8</w:t>
      </w:r>
      <w:r w:rsidRPr="009D4761">
        <w:rPr>
          <w:rFonts w:ascii="Verdana" w:eastAsia="MS Mincho" w:hAnsi="Verdana"/>
          <w:sz w:val="17"/>
          <w:szCs w:val="17"/>
        </w:rPr>
        <w:t xml:space="preserve"> millones durante este ejercicio finalizado el 31 de mayo de 2024, mientras que en el ejercicio anterior representaron una ganancia de $11.763 millones. </w:t>
      </w:r>
    </w:p>
    <w:p w14:paraId="095C1408"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p>
    <w:p w14:paraId="2C792510"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r w:rsidRPr="009D4761">
        <w:rPr>
          <w:rFonts w:ascii="Verdana" w:eastAsia="MS Mincho" w:hAnsi="Verdana"/>
          <w:sz w:val="17"/>
          <w:szCs w:val="17"/>
        </w:rPr>
        <w:t xml:space="preserve">Los egresos financieros arrojaron una pérdida de $25.693,4 millones durante este ejercicio finalizado el 31 de mayo de 2024, mientras que en el ejercicio anterior representaron una pérdida de $22.831,7 millones. </w:t>
      </w:r>
    </w:p>
    <w:p w14:paraId="3E8FAC75"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p>
    <w:p w14:paraId="28D7CF95"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r w:rsidRPr="009D4761">
        <w:rPr>
          <w:rFonts w:ascii="Verdana" w:eastAsia="MS Mincho" w:hAnsi="Verdana"/>
          <w:sz w:val="17"/>
          <w:szCs w:val="17"/>
        </w:rPr>
        <w:t>La diferencia de cambio neta arrojó una pérdida de $24.363 millones durante el ejercicio finalizado el 31 de mayo de 2024; mientras que, en el ejercicio anterior, representó una ganancia de $1.293,6 millones, producto de la diferencia entre el ritmo de devaluación del peso argentino respecto del dólar estadounidense y el ritmo de la inflación.</w:t>
      </w:r>
    </w:p>
    <w:p w14:paraId="7A43611D"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p>
    <w:p w14:paraId="05F19B83" w14:textId="59582ED5"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r w:rsidRPr="009D4761">
        <w:rPr>
          <w:rFonts w:ascii="Verdana" w:eastAsia="MS Mincho" w:hAnsi="Verdana"/>
          <w:sz w:val="17"/>
          <w:szCs w:val="17"/>
        </w:rPr>
        <w:t>Al 31 de mayo de 2024 se registró una ganancia por exposición a los cambios en el poder adquisitivo de la moneda de $2</w:t>
      </w:r>
      <w:r w:rsidR="0081480E">
        <w:rPr>
          <w:rFonts w:ascii="Verdana" w:eastAsia="MS Mincho" w:hAnsi="Verdana"/>
          <w:sz w:val="17"/>
          <w:szCs w:val="17"/>
        </w:rPr>
        <w:t>3.406,8</w:t>
      </w:r>
      <w:r w:rsidRPr="009D4761">
        <w:rPr>
          <w:rFonts w:ascii="Verdana" w:eastAsia="MS Mincho" w:hAnsi="Verdana"/>
          <w:sz w:val="17"/>
          <w:szCs w:val="17"/>
        </w:rPr>
        <w:t xml:space="preserve"> millones, mientras que en el ejercicio anterior se registró una ganancia de $25.967,3 millones. La variación obedece al impacto de la tasa de inflación sobre la posición monetaria neta de la Sociedad, expuesta a la inflación.</w:t>
      </w:r>
    </w:p>
    <w:p w14:paraId="20E79B60"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p>
    <w:p w14:paraId="704080D9"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r w:rsidRPr="009D4761">
        <w:rPr>
          <w:rFonts w:ascii="Verdana" w:eastAsia="MS Mincho" w:hAnsi="Verdana"/>
          <w:sz w:val="17"/>
          <w:szCs w:val="17"/>
        </w:rPr>
        <w:t>Al 31 de mayo de 2024 se registró una pérdida por impuesto a las ganancias de $24.244,6 millones; mientras que, en el ejercicio anterior, se registró una pérdida de $15.269,5 millones.</w:t>
      </w:r>
    </w:p>
    <w:p w14:paraId="759BEFE7"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p>
    <w:p w14:paraId="7A4F607C"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r w:rsidRPr="009D4761">
        <w:rPr>
          <w:rFonts w:ascii="Verdana" w:eastAsia="MS Mincho" w:hAnsi="Verdana"/>
          <w:sz w:val="17"/>
          <w:szCs w:val="17"/>
        </w:rPr>
        <w:t>Al 31 de mayo de 2024 se registró una pérdida por ajuste por conversión de sociedades controladas del exterior de $39,7 millones, mientras que en el ejercicio anterior se había registrado una pérdida de $19 millones.</w:t>
      </w:r>
    </w:p>
    <w:p w14:paraId="523560B8" w14:textId="77777777" w:rsidR="009D4761" w:rsidRPr="009D4761" w:rsidRDefault="009D4761" w:rsidP="009D4761">
      <w:pPr>
        <w:widowControl w:val="0"/>
        <w:autoSpaceDE w:val="0"/>
        <w:autoSpaceDN w:val="0"/>
        <w:adjustRightInd w:val="0"/>
        <w:spacing w:after="0" w:line="240" w:lineRule="auto"/>
        <w:jc w:val="both"/>
        <w:rPr>
          <w:rFonts w:ascii="Verdana" w:eastAsia="MS Mincho" w:hAnsi="Verdana"/>
          <w:sz w:val="17"/>
          <w:szCs w:val="17"/>
        </w:rPr>
      </w:pPr>
    </w:p>
    <w:p w14:paraId="11E0A66B" w14:textId="5D8C316E" w:rsidR="009D4761" w:rsidRPr="009D4761" w:rsidRDefault="009D4761" w:rsidP="004D5EC1">
      <w:pPr>
        <w:spacing w:after="0" w:line="240" w:lineRule="auto"/>
        <w:jc w:val="both"/>
        <w:rPr>
          <w:rFonts w:ascii="Verdana" w:hAnsi="Verdana"/>
          <w:sz w:val="17"/>
          <w:szCs w:val="17"/>
        </w:rPr>
      </w:pPr>
      <w:r w:rsidRPr="009D4761">
        <w:rPr>
          <w:rFonts w:ascii="Verdana" w:hAnsi="Verdana"/>
          <w:sz w:val="17"/>
          <w:szCs w:val="17"/>
        </w:rPr>
        <w:t>Se registró una ganancia por revaluación de propiedades, planta y equipos de $26.0</w:t>
      </w:r>
      <w:r w:rsidR="0081480E">
        <w:rPr>
          <w:rFonts w:ascii="Verdana" w:hAnsi="Verdana"/>
          <w:sz w:val="17"/>
          <w:szCs w:val="17"/>
        </w:rPr>
        <w:t>57</w:t>
      </w:r>
      <w:r w:rsidRPr="009D4761">
        <w:rPr>
          <w:rFonts w:ascii="Verdana" w:hAnsi="Verdana"/>
          <w:sz w:val="17"/>
          <w:szCs w:val="17"/>
        </w:rPr>
        <w:t>,</w:t>
      </w:r>
      <w:r w:rsidR="0081480E">
        <w:rPr>
          <w:rFonts w:ascii="Verdana" w:hAnsi="Verdana"/>
          <w:sz w:val="17"/>
          <w:szCs w:val="17"/>
        </w:rPr>
        <w:t>2</w:t>
      </w:r>
      <w:r w:rsidRPr="009D4761">
        <w:rPr>
          <w:rFonts w:ascii="Verdana" w:hAnsi="Verdana"/>
          <w:sz w:val="17"/>
          <w:szCs w:val="17"/>
        </w:rPr>
        <w:t xml:space="preserve"> millones al 31 de mayo de 2024 y una ganancia de revaluación de $5.70</w:t>
      </w:r>
      <w:r w:rsidR="0081480E">
        <w:rPr>
          <w:rFonts w:ascii="Verdana" w:hAnsi="Verdana"/>
          <w:sz w:val="17"/>
          <w:szCs w:val="17"/>
        </w:rPr>
        <w:t>1</w:t>
      </w:r>
      <w:r w:rsidRPr="009D4761">
        <w:rPr>
          <w:rFonts w:ascii="Verdana" w:hAnsi="Verdana"/>
          <w:sz w:val="17"/>
          <w:szCs w:val="17"/>
        </w:rPr>
        <w:t>,</w:t>
      </w:r>
      <w:r w:rsidR="0081480E">
        <w:rPr>
          <w:rFonts w:ascii="Verdana" w:hAnsi="Verdana"/>
          <w:sz w:val="17"/>
          <w:szCs w:val="17"/>
        </w:rPr>
        <w:t>7</w:t>
      </w:r>
      <w:r w:rsidRPr="009D4761">
        <w:rPr>
          <w:rFonts w:ascii="Verdana" w:hAnsi="Verdana"/>
          <w:sz w:val="17"/>
          <w:szCs w:val="17"/>
        </w:rPr>
        <w:t xml:space="preserve"> millones, al 31 de mayo de 2023, neta del efecto del impuesto a las ganancias de $12.121,7 y $2.819,9 millones respectivamente, tal como se comenta en el capítulo de variaciones de activo en el acápite siguiente.</w:t>
      </w:r>
      <w:r w:rsidRPr="009D4761">
        <w:rPr>
          <w:rFonts w:ascii="Verdana" w:hAnsi="Verdana"/>
          <w:sz w:val="17"/>
          <w:szCs w:val="17"/>
          <w:lang w:val="es-MX"/>
        </w:rPr>
        <w:t xml:space="preserve"> </w:t>
      </w:r>
    </w:p>
    <w:p w14:paraId="36367A2F" w14:textId="77777777" w:rsidR="00600948" w:rsidRDefault="00600948" w:rsidP="00BC1A6F">
      <w:pPr>
        <w:spacing w:after="0" w:line="240" w:lineRule="auto"/>
        <w:jc w:val="both"/>
        <w:rPr>
          <w:rFonts w:ascii="Verdana" w:hAnsi="Verdana"/>
          <w:sz w:val="17"/>
          <w:szCs w:val="17"/>
          <w:lang w:eastAsia="es-ES"/>
        </w:rPr>
      </w:pPr>
    </w:p>
    <w:p w14:paraId="36367A30" w14:textId="5A008063" w:rsidR="00410F1C" w:rsidRDefault="00410F1C" w:rsidP="00BC1A6F">
      <w:pPr>
        <w:spacing w:after="0" w:line="240" w:lineRule="auto"/>
        <w:jc w:val="both"/>
        <w:rPr>
          <w:rFonts w:ascii="Verdana" w:hAnsi="Verdana"/>
          <w:sz w:val="17"/>
          <w:szCs w:val="17"/>
          <w:lang w:eastAsia="es-ES"/>
        </w:rPr>
      </w:pPr>
      <w:r w:rsidRPr="0087403D">
        <w:rPr>
          <w:rFonts w:ascii="Verdana" w:hAnsi="Verdana"/>
          <w:sz w:val="17"/>
          <w:szCs w:val="17"/>
          <w:lang w:val="es-MX"/>
        </w:rPr>
        <w:t>La dotación total del Grupo alcanzó, al 31 de mayo de 20</w:t>
      </w:r>
      <w:r w:rsidR="0053311B">
        <w:rPr>
          <w:rFonts w:ascii="Verdana" w:hAnsi="Verdana"/>
          <w:sz w:val="17"/>
          <w:szCs w:val="17"/>
          <w:lang w:val="es-MX"/>
        </w:rPr>
        <w:t>2</w:t>
      </w:r>
      <w:r w:rsidR="009D4761">
        <w:rPr>
          <w:rFonts w:ascii="Verdana" w:hAnsi="Verdana"/>
          <w:sz w:val="17"/>
          <w:szCs w:val="17"/>
          <w:lang w:val="es-MX"/>
        </w:rPr>
        <w:t>4</w:t>
      </w:r>
      <w:r w:rsidRPr="0087403D">
        <w:rPr>
          <w:rFonts w:ascii="Verdana" w:hAnsi="Verdana"/>
          <w:sz w:val="17"/>
          <w:szCs w:val="17"/>
          <w:lang w:val="es-MX"/>
        </w:rPr>
        <w:t xml:space="preserve">, la cantidad de </w:t>
      </w:r>
      <w:bookmarkStart w:id="7" w:name="DA_XR_2469518217900004579"/>
      <w:r w:rsidRPr="0087403D">
        <w:rPr>
          <w:rFonts w:ascii="Verdana" w:hAnsi="Verdana"/>
          <w:sz w:val="17"/>
          <w:szCs w:val="17"/>
          <w:lang w:val="es-MX"/>
        </w:rPr>
        <w:t>1.</w:t>
      </w:r>
      <w:bookmarkEnd w:id="7"/>
      <w:r w:rsidR="009D4761">
        <w:rPr>
          <w:rFonts w:ascii="Verdana" w:hAnsi="Verdana"/>
          <w:sz w:val="17"/>
          <w:szCs w:val="17"/>
          <w:lang w:val="es-MX"/>
        </w:rPr>
        <w:t>511</w:t>
      </w:r>
      <w:r w:rsidRPr="0087403D">
        <w:rPr>
          <w:rFonts w:ascii="Verdana" w:hAnsi="Verdana"/>
          <w:sz w:val="17"/>
          <w:szCs w:val="17"/>
          <w:lang w:val="es-MX"/>
        </w:rPr>
        <w:t xml:space="preserve"> personas.</w:t>
      </w:r>
    </w:p>
    <w:p w14:paraId="36367A31" w14:textId="77777777" w:rsidR="00410F1C" w:rsidRPr="00F6012F" w:rsidRDefault="00410F1C" w:rsidP="00BC1A6F">
      <w:pPr>
        <w:spacing w:after="0" w:line="240" w:lineRule="auto"/>
        <w:jc w:val="both"/>
        <w:rPr>
          <w:rFonts w:ascii="Verdana" w:hAnsi="Verdana"/>
          <w:sz w:val="17"/>
          <w:szCs w:val="17"/>
          <w:lang w:eastAsia="es-ES"/>
        </w:rPr>
      </w:pPr>
    </w:p>
    <w:p w14:paraId="36367A32" w14:textId="77777777" w:rsidR="00B3741E" w:rsidRPr="00F6012F" w:rsidRDefault="00B3741E" w:rsidP="00241F17">
      <w:pPr>
        <w:spacing w:after="0" w:line="240" w:lineRule="auto"/>
        <w:jc w:val="both"/>
        <w:rPr>
          <w:rFonts w:ascii="Verdana" w:hAnsi="Verdana"/>
          <w:b/>
          <w:bCs/>
          <w:sz w:val="17"/>
          <w:szCs w:val="17"/>
          <w:lang w:val="es-ES_tradnl" w:eastAsia="es-ES"/>
        </w:rPr>
      </w:pPr>
    </w:p>
    <w:p w14:paraId="36367A33" w14:textId="77777777" w:rsidR="00B3741E" w:rsidRPr="00F6012F" w:rsidRDefault="00B3741E" w:rsidP="00241F17">
      <w:pPr>
        <w:spacing w:after="0" w:line="240" w:lineRule="auto"/>
        <w:jc w:val="both"/>
        <w:rPr>
          <w:rFonts w:ascii="Verdana" w:hAnsi="Verdana"/>
          <w:b/>
          <w:bCs/>
          <w:sz w:val="17"/>
          <w:szCs w:val="17"/>
          <w:lang w:val="es-ES" w:eastAsia="es-ES"/>
        </w:rPr>
      </w:pPr>
      <w:r w:rsidRPr="00F6012F">
        <w:rPr>
          <w:rFonts w:ascii="Verdana" w:hAnsi="Verdana"/>
          <w:b/>
          <w:bCs/>
          <w:sz w:val="17"/>
          <w:szCs w:val="17"/>
          <w:lang w:val="es-ES_tradnl" w:eastAsia="es-ES"/>
        </w:rPr>
        <w:t>2. Información comparativa</w:t>
      </w:r>
    </w:p>
    <w:p w14:paraId="36367A34" w14:textId="77777777" w:rsidR="00B3741E" w:rsidRPr="00F6012F" w:rsidRDefault="00B3741E" w:rsidP="00241F17">
      <w:pPr>
        <w:spacing w:after="0" w:line="240" w:lineRule="auto"/>
        <w:jc w:val="both"/>
        <w:rPr>
          <w:rFonts w:ascii="Verdana" w:hAnsi="Verdana"/>
          <w:sz w:val="17"/>
          <w:szCs w:val="17"/>
          <w:lang w:eastAsia="es-ES"/>
        </w:rPr>
      </w:pPr>
    </w:p>
    <w:p w14:paraId="36367A35" w14:textId="77777777" w:rsidR="00B3741E" w:rsidRPr="00F6012F" w:rsidRDefault="00B3741E" w:rsidP="00246CD4">
      <w:pPr>
        <w:spacing w:after="0" w:line="240" w:lineRule="auto"/>
        <w:jc w:val="both"/>
        <w:rPr>
          <w:rFonts w:ascii="Verdana" w:hAnsi="Verdana"/>
          <w:sz w:val="17"/>
          <w:szCs w:val="17"/>
          <w:lang w:eastAsia="es-ES"/>
        </w:rPr>
      </w:pPr>
      <w:r w:rsidRPr="00F6012F">
        <w:rPr>
          <w:rFonts w:ascii="Verdana" w:hAnsi="Verdana"/>
          <w:sz w:val="17"/>
          <w:szCs w:val="17"/>
          <w:lang w:eastAsia="es-ES"/>
        </w:rPr>
        <w:t>En los anexos 1 y 2 adjuntos, se incluye información comparativa con ejercicios anteriores relacionada con la estructura patrimonial, de resultados y de flujos de efectivo, datos estadísticos e índices.</w:t>
      </w:r>
    </w:p>
    <w:p w14:paraId="36367A36" w14:textId="77777777" w:rsidR="00B3741E" w:rsidRDefault="00B3741E" w:rsidP="00246CD4">
      <w:pPr>
        <w:spacing w:after="0" w:line="240" w:lineRule="auto"/>
        <w:jc w:val="both"/>
        <w:rPr>
          <w:rFonts w:ascii="Verdana" w:hAnsi="Verdana"/>
          <w:sz w:val="17"/>
          <w:szCs w:val="17"/>
          <w:lang w:eastAsia="es-ES"/>
        </w:rPr>
      </w:pPr>
    </w:p>
    <w:p w14:paraId="36367A37" w14:textId="77777777" w:rsidR="0038604A" w:rsidRPr="00F6012F" w:rsidRDefault="0038604A" w:rsidP="00246CD4">
      <w:pPr>
        <w:spacing w:after="0" w:line="240" w:lineRule="auto"/>
        <w:jc w:val="both"/>
        <w:rPr>
          <w:rFonts w:ascii="Verdana" w:hAnsi="Verdana"/>
          <w:sz w:val="17"/>
          <w:szCs w:val="17"/>
          <w:lang w:eastAsia="es-ES"/>
        </w:rPr>
      </w:pPr>
    </w:p>
    <w:p w14:paraId="36367A38" w14:textId="77777777" w:rsidR="00B3741E" w:rsidRPr="00F6012F" w:rsidRDefault="00B3741E" w:rsidP="00241F17">
      <w:pPr>
        <w:spacing w:after="0" w:line="240" w:lineRule="auto"/>
        <w:jc w:val="both"/>
        <w:rPr>
          <w:rFonts w:ascii="Verdana" w:hAnsi="Verdana"/>
          <w:sz w:val="17"/>
          <w:szCs w:val="17"/>
          <w:lang w:val="es-ES_tradnl" w:eastAsia="es-ES"/>
        </w:rPr>
      </w:pPr>
      <w:r w:rsidRPr="00F6012F">
        <w:rPr>
          <w:rFonts w:ascii="Verdana" w:hAnsi="Verdana"/>
          <w:b/>
          <w:bCs/>
          <w:sz w:val="17"/>
          <w:szCs w:val="17"/>
          <w:lang w:val="es-ES_tradnl" w:eastAsia="es-ES"/>
        </w:rPr>
        <w:t>3. Breve comentario sobre perspectivas</w:t>
      </w:r>
    </w:p>
    <w:p w14:paraId="36367A39" w14:textId="77777777" w:rsidR="00B3741E" w:rsidRPr="00F6012F" w:rsidRDefault="00B3741E" w:rsidP="0068461C">
      <w:pPr>
        <w:spacing w:after="0" w:line="240" w:lineRule="auto"/>
        <w:jc w:val="both"/>
        <w:rPr>
          <w:rFonts w:ascii="Verdana" w:hAnsi="Verdana"/>
          <w:sz w:val="17"/>
          <w:szCs w:val="17"/>
          <w:lang w:eastAsia="es-ES"/>
        </w:rPr>
      </w:pPr>
    </w:p>
    <w:p w14:paraId="4DCA2770" w14:textId="7DC55708" w:rsid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La Sociedad cerró el ejercicio finalizado el 31 de mayo de 2024, en un contexto desafiante dentro del marco de los profundos cambios que está instrumentando el Gobierno nacional en materia fiscal, monetaria, de precios relativos y del mercado de cambios.</w:t>
      </w:r>
    </w:p>
    <w:p w14:paraId="62099BBF" w14:textId="77777777" w:rsidR="009D4761" w:rsidRPr="009D4761" w:rsidRDefault="009D4761" w:rsidP="009D4761">
      <w:pPr>
        <w:spacing w:after="0" w:line="240" w:lineRule="auto"/>
        <w:jc w:val="both"/>
        <w:rPr>
          <w:rFonts w:ascii="Verdana" w:hAnsi="Verdana"/>
          <w:sz w:val="17"/>
          <w:szCs w:val="17"/>
          <w:lang w:val="es-MX"/>
        </w:rPr>
      </w:pPr>
    </w:p>
    <w:p w14:paraId="5F57DCA9" w14:textId="4212DB7A"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El resultado operativo consolidado del ejercicio, finalizado el 31 de mayo de 2024, tuvo una ganancia de $45.</w:t>
      </w:r>
      <w:r w:rsidR="001472C7">
        <w:rPr>
          <w:rFonts w:ascii="Verdana" w:hAnsi="Verdana"/>
          <w:sz w:val="17"/>
          <w:szCs w:val="17"/>
          <w:lang w:val="es-MX"/>
        </w:rPr>
        <w:t>058</w:t>
      </w:r>
      <w:r w:rsidRPr="009D4761">
        <w:rPr>
          <w:rFonts w:ascii="Verdana" w:hAnsi="Verdana"/>
          <w:sz w:val="17"/>
          <w:szCs w:val="17"/>
          <w:lang w:val="es-MX"/>
        </w:rPr>
        <w:t>,</w:t>
      </w:r>
      <w:r w:rsidR="001472C7">
        <w:rPr>
          <w:rFonts w:ascii="Verdana" w:hAnsi="Verdana"/>
          <w:sz w:val="17"/>
          <w:szCs w:val="17"/>
          <w:lang w:val="es-MX"/>
        </w:rPr>
        <w:t>7</w:t>
      </w:r>
      <w:r w:rsidRPr="009D4761">
        <w:rPr>
          <w:rFonts w:ascii="Verdana" w:hAnsi="Verdana"/>
          <w:sz w:val="17"/>
          <w:szCs w:val="17"/>
          <w:lang w:val="es-MX"/>
        </w:rPr>
        <w:t xml:space="preserve"> millones, frente a una ganancia de $36.512,3 millones del ejercicio anterior, lo que refleja una importante variación del 2</w:t>
      </w:r>
      <w:r w:rsidR="001472C7">
        <w:rPr>
          <w:rFonts w:ascii="Verdana" w:hAnsi="Verdana"/>
          <w:sz w:val="17"/>
          <w:szCs w:val="17"/>
          <w:lang w:val="es-MX"/>
        </w:rPr>
        <w:t>3</w:t>
      </w:r>
      <w:r w:rsidRPr="009D4761">
        <w:rPr>
          <w:rFonts w:ascii="Verdana" w:hAnsi="Verdana"/>
          <w:sz w:val="17"/>
          <w:szCs w:val="17"/>
          <w:lang w:val="es-MX"/>
        </w:rPr>
        <w:t>%, motivado principalmente por mejores márgenes de la Sociedad controlante del grupo, Celulosa Argentina.</w:t>
      </w:r>
    </w:p>
    <w:p w14:paraId="59523101" w14:textId="77777777" w:rsidR="009D4761" w:rsidRDefault="009D4761" w:rsidP="009D4761">
      <w:pPr>
        <w:spacing w:after="0" w:line="240" w:lineRule="auto"/>
        <w:jc w:val="both"/>
        <w:rPr>
          <w:rFonts w:ascii="Verdana" w:hAnsi="Verdana"/>
          <w:sz w:val="17"/>
          <w:szCs w:val="17"/>
          <w:lang w:val="es-MX"/>
        </w:rPr>
      </w:pPr>
    </w:p>
    <w:p w14:paraId="48B9370E" w14:textId="25A8D723"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En tanto, el resultado después de impuestos fue de una ganancia de $309,9 millones en el ejercicio finalizado el 31 de mayo de 2024, versus una ganancia de $33.689,5 millones del ejercicio anterior, como consecuencia, principalmente, de una pérdida por diferencia de cambio neta resultante de la importante devaluación del peso durante diciembre 2023.</w:t>
      </w:r>
    </w:p>
    <w:p w14:paraId="3F06CD15" w14:textId="77777777" w:rsidR="009D4761" w:rsidRDefault="009D4761" w:rsidP="009D4761">
      <w:pPr>
        <w:spacing w:after="0" w:line="240" w:lineRule="auto"/>
        <w:jc w:val="both"/>
        <w:rPr>
          <w:rFonts w:ascii="Verdana" w:hAnsi="Verdana"/>
          <w:sz w:val="17"/>
          <w:szCs w:val="17"/>
          <w:lang w:val="es-MX"/>
        </w:rPr>
      </w:pPr>
    </w:p>
    <w:p w14:paraId="0481F100" w14:textId="412EE4A8"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Durante el ejercicio se continuó con la política que viene sosteniendo la Sociedad de sus métricas financieras, mejorando la relación deuda/ebitda y el perfil de deuda financiera.</w:t>
      </w:r>
    </w:p>
    <w:p w14:paraId="4691ED15" w14:textId="77777777" w:rsidR="009D4761" w:rsidRDefault="009D4761" w:rsidP="009D4761">
      <w:pPr>
        <w:spacing w:after="0" w:line="240" w:lineRule="auto"/>
        <w:jc w:val="both"/>
        <w:rPr>
          <w:rFonts w:ascii="Verdana" w:hAnsi="Verdana"/>
          <w:sz w:val="17"/>
          <w:szCs w:val="17"/>
          <w:lang w:val="es-MX"/>
        </w:rPr>
      </w:pPr>
    </w:p>
    <w:p w14:paraId="08074979" w14:textId="02F6867C"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El Grupo Tapebicuá continúa con la transformación de los procesos internos en sus cuatro compañías y de la tecnología de información de soporte, buscando mejorar y armonizar procesos, contar con mejor información para la toma de decisiones y desarrollar una estrategia digital que sustente los objetivos del negocio.  </w:t>
      </w:r>
    </w:p>
    <w:p w14:paraId="46C202DD" w14:textId="77777777" w:rsidR="009D4761" w:rsidRDefault="009D4761" w:rsidP="009D4761">
      <w:pPr>
        <w:spacing w:after="0" w:line="240" w:lineRule="auto"/>
        <w:jc w:val="both"/>
        <w:rPr>
          <w:rFonts w:ascii="Verdana" w:hAnsi="Verdana"/>
          <w:sz w:val="17"/>
          <w:szCs w:val="17"/>
          <w:lang w:val="es-MX"/>
        </w:rPr>
      </w:pPr>
    </w:p>
    <w:p w14:paraId="1A9A4A7A" w14:textId="674114A6"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Este proyecto se realiza con el asesoramiento de la empresa Globant, con la cual se está trabajando sobre cuatro pilares: Valor, Procesos, Personas y Organización, y Tecnología y Datos. </w:t>
      </w:r>
    </w:p>
    <w:p w14:paraId="453ECB53" w14:textId="77777777" w:rsidR="001472C7" w:rsidRDefault="001472C7" w:rsidP="009D4761">
      <w:pPr>
        <w:spacing w:after="0" w:line="240" w:lineRule="auto"/>
        <w:jc w:val="both"/>
        <w:rPr>
          <w:rFonts w:ascii="Verdana" w:hAnsi="Verdana"/>
          <w:sz w:val="17"/>
          <w:szCs w:val="17"/>
          <w:lang w:val="es-MX"/>
        </w:rPr>
      </w:pPr>
    </w:p>
    <w:p w14:paraId="2C27E18B" w14:textId="687AACA9"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 xml:space="preserve">En tecnología de la Información se está implementado ORACLE FUSION CLOUD, que es un ERP (Enterprise </w:t>
      </w:r>
      <w:proofErr w:type="spellStart"/>
      <w:r w:rsidRPr="009D4761">
        <w:rPr>
          <w:rFonts w:ascii="Verdana" w:hAnsi="Verdana"/>
          <w:sz w:val="17"/>
          <w:szCs w:val="17"/>
          <w:lang w:val="es-MX"/>
        </w:rPr>
        <w:t>Resource</w:t>
      </w:r>
      <w:proofErr w:type="spellEnd"/>
      <w:r w:rsidRPr="009D4761">
        <w:rPr>
          <w:rFonts w:ascii="Verdana" w:hAnsi="Verdana"/>
          <w:sz w:val="17"/>
          <w:szCs w:val="17"/>
          <w:lang w:val="es-MX"/>
        </w:rPr>
        <w:t xml:space="preserve"> </w:t>
      </w:r>
      <w:proofErr w:type="spellStart"/>
      <w:r w:rsidRPr="009D4761">
        <w:rPr>
          <w:rFonts w:ascii="Verdana" w:hAnsi="Verdana"/>
          <w:sz w:val="17"/>
          <w:szCs w:val="17"/>
          <w:lang w:val="es-MX"/>
        </w:rPr>
        <w:t>Planning</w:t>
      </w:r>
      <w:proofErr w:type="spellEnd"/>
      <w:r w:rsidRPr="009D4761">
        <w:rPr>
          <w:rFonts w:ascii="Verdana" w:hAnsi="Verdana"/>
          <w:sz w:val="17"/>
          <w:szCs w:val="17"/>
          <w:lang w:val="es-MX"/>
        </w:rPr>
        <w:t>) de clase mundial.   </w:t>
      </w:r>
    </w:p>
    <w:p w14:paraId="16B5780A" w14:textId="77777777" w:rsidR="009D4761" w:rsidRDefault="009D4761" w:rsidP="009D4761">
      <w:pPr>
        <w:spacing w:after="0" w:line="240" w:lineRule="auto"/>
        <w:jc w:val="both"/>
        <w:rPr>
          <w:rFonts w:ascii="Verdana" w:hAnsi="Verdana"/>
          <w:sz w:val="17"/>
          <w:szCs w:val="17"/>
          <w:lang w:val="es-MX"/>
        </w:rPr>
      </w:pPr>
    </w:p>
    <w:p w14:paraId="11046651" w14:textId="1BF4BAF8"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 xml:space="preserve">A pesar de la coyuntura económica que está atravesando el país y la desafiante caída de la actividad que atraviesa la economía local al cierre del ejercicio que estamos presentando, el Directorio y las Gerencias de la Sociedad confían en poder mantener la capacidad plena de las operaciones, adecuando el </w:t>
      </w:r>
      <w:proofErr w:type="spellStart"/>
      <w:r w:rsidRPr="009D4761">
        <w:rPr>
          <w:rFonts w:ascii="Verdana" w:hAnsi="Verdana"/>
          <w:sz w:val="17"/>
          <w:szCs w:val="17"/>
          <w:lang w:val="es-MX"/>
        </w:rPr>
        <w:t>mix</w:t>
      </w:r>
      <w:proofErr w:type="spellEnd"/>
      <w:r w:rsidRPr="009D4761">
        <w:rPr>
          <w:rFonts w:ascii="Verdana" w:hAnsi="Verdana"/>
          <w:sz w:val="17"/>
          <w:szCs w:val="17"/>
          <w:lang w:val="es-MX"/>
        </w:rPr>
        <w:t xml:space="preserve"> de productos y mercados en función de la demanda y trabajando fuertemente en nuestro perfil exportador.</w:t>
      </w:r>
    </w:p>
    <w:p w14:paraId="62AAAE26" w14:textId="77777777" w:rsidR="009D4761" w:rsidRDefault="009D4761" w:rsidP="009D4761">
      <w:pPr>
        <w:spacing w:after="0" w:line="240" w:lineRule="auto"/>
        <w:jc w:val="both"/>
        <w:rPr>
          <w:rFonts w:ascii="Verdana" w:hAnsi="Verdana"/>
          <w:sz w:val="17"/>
          <w:szCs w:val="17"/>
          <w:lang w:val="es-MX"/>
        </w:rPr>
      </w:pPr>
    </w:p>
    <w:p w14:paraId="70D5FC94" w14:textId="4ACAD719" w:rsidR="009D4761" w:rsidRPr="009D4761" w:rsidRDefault="009D4761" w:rsidP="009D4761">
      <w:pPr>
        <w:spacing w:after="0" w:line="240" w:lineRule="auto"/>
        <w:jc w:val="both"/>
        <w:rPr>
          <w:rFonts w:ascii="Verdana" w:hAnsi="Verdana"/>
          <w:sz w:val="17"/>
          <w:szCs w:val="17"/>
          <w:lang w:val="es-MX"/>
        </w:rPr>
      </w:pPr>
      <w:r w:rsidRPr="009D4761">
        <w:rPr>
          <w:rFonts w:ascii="Verdana" w:hAnsi="Verdana"/>
          <w:sz w:val="17"/>
          <w:szCs w:val="17"/>
          <w:lang w:val="es-MX"/>
        </w:rPr>
        <w:t>Se espera que, en el mediano plazo, el nuevo Gobierno nacional logre bajar paulatinamente la inflación, normalizar la situación en el mercado cambiario y la macroeconomía de Argentina.</w:t>
      </w:r>
    </w:p>
    <w:p w14:paraId="36367A4F" w14:textId="77777777" w:rsidR="002506FF" w:rsidRDefault="002506FF" w:rsidP="00BF41DD">
      <w:pPr>
        <w:spacing w:after="0" w:line="240" w:lineRule="auto"/>
        <w:jc w:val="both"/>
        <w:rPr>
          <w:rFonts w:ascii="Verdana" w:hAnsi="Verdana"/>
          <w:sz w:val="17"/>
          <w:szCs w:val="17"/>
          <w:lang w:eastAsia="es-ES"/>
        </w:rPr>
      </w:pPr>
    </w:p>
    <w:p w14:paraId="36367A50" w14:textId="77777777" w:rsidR="002506FF" w:rsidRDefault="002506FF" w:rsidP="00BF41DD">
      <w:pPr>
        <w:spacing w:after="0" w:line="240" w:lineRule="auto"/>
        <w:jc w:val="both"/>
        <w:rPr>
          <w:rFonts w:ascii="Verdana" w:hAnsi="Verdana"/>
          <w:sz w:val="17"/>
          <w:szCs w:val="17"/>
          <w:lang w:eastAsia="es-ES"/>
        </w:rPr>
      </w:pPr>
    </w:p>
    <w:p w14:paraId="36367A52" w14:textId="150B19A1" w:rsidR="00B3741E" w:rsidRDefault="00B3741E" w:rsidP="001472C7">
      <w:pPr>
        <w:spacing w:after="0" w:line="360" w:lineRule="auto"/>
        <w:jc w:val="both"/>
        <w:rPr>
          <w:rFonts w:ascii="Verdana" w:hAnsi="Verdana"/>
          <w:sz w:val="17"/>
          <w:szCs w:val="17"/>
          <w:lang w:eastAsia="es-ES"/>
        </w:rPr>
      </w:pPr>
      <w:r w:rsidRPr="00F6012F">
        <w:rPr>
          <w:rFonts w:ascii="Verdana" w:hAnsi="Verdana"/>
          <w:sz w:val="17"/>
          <w:szCs w:val="17"/>
          <w:lang w:eastAsia="es-ES"/>
        </w:rPr>
        <w:t>Capit</w:t>
      </w:r>
      <w:r w:rsidR="00C254DC">
        <w:rPr>
          <w:rFonts w:ascii="Verdana" w:hAnsi="Verdana"/>
          <w:sz w:val="17"/>
          <w:szCs w:val="17"/>
          <w:lang w:eastAsia="es-ES"/>
        </w:rPr>
        <w:t xml:space="preserve">án Bermúdez, </w:t>
      </w:r>
      <w:r w:rsidR="00410F1C">
        <w:rPr>
          <w:rFonts w:ascii="Verdana" w:hAnsi="Verdana"/>
          <w:sz w:val="17"/>
          <w:szCs w:val="17"/>
          <w:lang w:eastAsia="es-ES"/>
        </w:rPr>
        <w:t>09</w:t>
      </w:r>
      <w:r w:rsidR="00C254DC">
        <w:rPr>
          <w:rFonts w:ascii="Verdana" w:hAnsi="Verdana"/>
          <w:sz w:val="17"/>
          <w:szCs w:val="17"/>
          <w:lang w:eastAsia="es-ES"/>
        </w:rPr>
        <w:t xml:space="preserve"> de agosto de 20</w:t>
      </w:r>
      <w:r w:rsidR="002506FF">
        <w:rPr>
          <w:rFonts w:ascii="Verdana" w:hAnsi="Verdana"/>
          <w:sz w:val="17"/>
          <w:szCs w:val="17"/>
          <w:lang w:eastAsia="es-ES"/>
        </w:rPr>
        <w:t>2</w:t>
      </w:r>
      <w:r w:rsidR="009D4761">
        <w:rPr>
          <w:rFonts w:ascii="Verdana" w:hAnsi="Verdana"/>
          <w:sz w:val="17"/>
          <w:szCs w:val="17"/>
          <w:lang w:eastAsia="es-ES"/>
        </w:rPr>
        <w:t>4</w:t>
      </w:r>
    </w:p>
    <w:p w14:paraId="36367A53" w14:textId="77777777" w:rsidR="00F6012F" w:rsidRDefault="00F6012F" w:rsidP="00241F17">
      <w:pPr>
        <w:spacing w:after="0" w:line="240" w:lineRule="auto"/>
        <w:ind w:left="426"/>
        <w:jc w:val="both"/>
        <w:rPr>
          <w:rFonts w:ascii="Verdana" w:hAnsi="Verdana"/>
          <w:sz w:val="17"/>
          <w:szCs w:val="17"/>
          <w:lang w:eastAsia="es-ES"/>
        </w:rPr>
      </w:pPr>
    </w:p>
    <w:tbl>
      <w:tblPr>
        <w:tblW w:w="11226" w:type="dxa"/>
        <w:jc w:val="center"/>
        <w:tblLook w:val="04A0" w:firstRow="1" w:lastRow="0" w:firstColumn="1" w:lastColumn="0" w:noHBand="0" w:noVBand="1"/>
      </w:tblPr>
      <w:tblGrid>
        <w:gridCol w:w="3969"/>
        <w:gridCol w:w="3969"/>
        <w:gridCol w:w="3288"/>
      </w:tblGrid>
      <w:tr w:rsidR="00F6012F" w:rsidRPr="00C039C5" w14:paraId="36367A57" w14:textId="77777777" w:rsidTr="003070FF">
        <w:trPr>
          <w:trHeight w:val="113"/>
          <w:jc w:val="center"/>
        </w:trPr>
        <w:tc>
          <w:tcPr>
            <w:tcW w:w="3969" w:type="dxa"/>
            <w:shd w:val="clear" w:color="auto" w:fill="auto"/>
          </w:tcPr>
          <w:p w14:paraId="36367A54" w14:textId="77777777" w:rsidR="00F6012F" w:rsidRPr="00665684" w:rsidRDefault="00F6012F" w:rsidP="00E81DB5">
            <w:pPr>
              <w:spacing w:after="0" w:line="240" w:lineRule="auto"/>
              <w:jc w:val="center"/>
              <w:rPr>
                <w:rFonts w:ascii="Verdana" w:hAnsi="Verdana"/>
                <w:sz w:val="14"/>
                <w:szCs w:val="14"/>
                <w:lang w:val="es-419" w:eastAsia="es-419"/>
              </w:rPr>
            </w:pPr>
            <w:r w:rsidRPr="00665684">
              <w:rPr>
                <w:rFonts w:ascii="Verdana" w:hAnsi="Verdana"/>
                <w:sz w:val="14"/>
                <w:szCs w:val="14"/>
              </w:rPr>
              <w:t>Firmado a los efectos de su identificación</w:t>
            </w:r>
          </w:p>
        </w:tc>
        <w:tc>
          <w:tcPr>
            <w:tcW w:w="3969" w:type="dxa"/>
            <w:shd w:val="clear" w:color="auto" w:fill="auto"/>
          </w:tcPr>
          <w:p w14:paraId="36367A55" w14:textId="77777777" w:rsidR="00F6012F" w:rsidRPr="00665684" w:rsidRDefault="00F6012F" w:rsidP="00E81DB5">
            <w:pPr>
              <w:spacing w:after="0" w:line="240" w:lineRule="auto"/>
              <w:jc w:val="center"/>
              <w:rPr>
                <w:rFonts w:ascii="Verdana" w:hAnsi="Verdana"/>
                <w:sz w:val="14"/>
                <w:szCs w:val="14"/>
              </w:rPr>
            </w:pPr>
          </w:p>
        </w:tc>
        <w:tc>
          <w:tcPr>
            <w:tcW w:w="3288" w:type="dxa"/>
            <w:shd w:val="clear" w:color="auto" w:fill="auto"/>
          </w:tcPr>
          <w:p w14:paraId="36367A56" w14:textId="77777777" w:rsidR="00F6012F" w:rsidRPr="00C039C5" w:rsidRDefault="00F6012F" w:rsidP="00E81DB5">
            <w:pPr>
              <w:spacing w:after="0" w:line="240" w:lineRule="auto"/>
              <w:jc w:val="center"/>
              <w:rPr>
                <w:rFonts w:ascii="Verdana" w:hAnsi="Verdana"/>
                <w:sz w:val="14"/>
                <w:szCs w:val="14"/>
              </w:rPr>
            </w:pPr>
          </w:p>
        </w:tc>
      </w:tr>
      <w:tr w:rsidR="00F6012F" w:rsidRPr="00C039C5" w14:paraId="36367A5B" w14:textId="77777777" w:rsidTr="003070FF">
        <w:trPr>
          <w:trHeight w:val="113"/>
          <w:jc w:val="center"/>
        </w:trPr>
        <w:tc>
          <w:tcPr>
            <w:tcW w:w="3969" w:type="dxa"/>
            <w:shd w:val="clear" w:color="auto" w:fill="auto"/>
          </w:tcPr>
          <w:p w14:paraId="36367A58" w14:textId="71345EF5" w:rsidR="00F6012F" w:rsidRPr="00665684" w:rsidRDefault="00F6012F" w:rsidP="00E81DB5">
            <w:pPr>
              <w:spacing w:after="0" w:line="240" w:lineRule="auto"/>
              <w:jc w:val="center"/>
              <w:rPr>
                <w:rFonts w:ascii="Verdana" w:hAnsi="Verdana"/>
                <w:sz w:val="14"/>
                <w:szCs w:val="14"/>
              </w:rPr>
            </w:pPr>
            <w:r w:rsidRPr="00665684">
              <w:rPr>
                <w:rFonts w:ascii="Verdana" w:hAnsi="Verdana"/>
                <w:sz w:val="14"/>
                <w:szCs w:val="14"/>
              </w:rPr>
              <w:t xml:space="preserve">con nuestro informe de fecha </w:t>
            </w:r>
            <w:r>
              <w:rPr>
                <w:rFonts w:ascii="Verdana" w:hAnsi="Verdana"/>
                <w:sz w:val="14"/>
                <w:szCs w:val="14"/>
              </w:rPr>
              <w:t>9</w:t>
            </w:r>
            <w:r w:rsidRPr="00665684">
              <w:rPr>
                <w:rFonts w:ascii="Verdana" w:hAnsi="Verdana"/>
                <w:sz w:val="14"/>
                <w:szCs w:val="14"/>
              </w:rPr>
              <w:t xml:space="preserve"> de agosto de 2</w:t>
            </w:r>
            <w:r w:rsidR="00C06D6D">
              <w:rPr>
                <w:rFonts w:ascii="Verdana" w:hAnsi="Verdana"/>
                <w:sz w:val="14"/>
                <w:szCs w:val="14"/>
              </w:rPr>
              <w:t>02</w:t>
            </w:r>
            <w:r w:rsidR="009D4761">
              <w:rPr>
                <w:rFonts w:ascii="Verdana" w:hAnsi="Verdana"/>
                <w:sz w:val="14"/>
                <w:szCs w:val="14"/>
              </w:rPr>
              <w:t>4</w:t>
            </w:r>
          </w:p>
        </w:tc>
        <w:tc>
          <w:tcPr>
            <w:tcW w:w="3969" w:type="dxa"/>
            <w:shd w:val="clear" w:color="auto" w:fill="auto"/>
          </w:tcPr>
          <w:p w14:paraId="36367A59" w14:textId="77777777" w:rsidR="00F6012F" w:rsidRPr="00665684" w:rsidRDefault="00F6012F" w:rsidP="00E81DB5">
            <w:pPr>
              <w:spacing w:after="0" w:line="240" w:lineRule="auto"/>
              <w:jc w:val="center"/>
              <w:rPr>
                <w:rFonts w:ascii="Verdana" w:hAnsi="Verdana"/>
                <w:sz w:val="14"/>
                <w:szCs w:val="14"/>
              </w:rPr>
            </w:pPr>
          </w:p>
        </w:tc>
        <w:tc>
          <w:tcPr>
            <w:tcW w:w="3288" w:type="dxa"/>
            <w:shd w:val="clear" w:color="auto" w:fill="auto"/>
          </w:tcPr>
          <w:p w14:paraId="36367A5A" w14:textId="77777777" w:rsidR="00F6012F" w:rsidRPr="00C039C5" w:rsidRDefault="00F6012F" w:rsidP="00E81DB5">
            <w:pPr>
              <w:spacing w:after="0" w:line="240" w:lineRule="auto"/>
              <w:jc w:val="center"/>
              <w:rPr>
                <w:rFonts w:ascii="Verdana" w:hAnsi="Verdana"/>
                <w:sz w:val="14"/>
                <w:szCs w:val="14"/>
              </w:rPr>
            </w:pPr>
          </w:p>
        </w:tc>
      </w:tr>
      <w:tr w:rsidR="00F6012F" w:rsidRPr="00C039C5" w14:paraId="36367A5F" w14:textId="77777777" w:rsidTr="003070FF">
        <w:trPr>
          <w:trHeight w:val="113"/>
          <w:jc w:val="center"/>
        </w:trPr>
        <w:tc>
          <w:tcPr>
            <w:tcW w:w="3969" w:type="dxa"/>
            <w:shd w:val="clear" w:color="auto" w:fill="auto"/>
          </w:tcPr>
          <w:p w14:paraId="36367A5C" w14:textId="77777777" w:rsidR="00F6012F" w:rsidRPr="00C039C5" w:rsidRDefault="00F6012F" w:rsidP="00E81DB5">
            <w:pPr>
              <w:spacing w:after="0" w:line="240" w:lineRule="auto"/>
              <w:jc w:val="center"/>
              <w:rPr>
                <w:rFonts w:ascii="Verdana" w:hAnsi="Verdana"/>
                <w:sz w:val="14"/>
                <w:szCs w:val="14"/>
              </w:rPr>
            </w:pPr>
          </w:p>
        </w:tc>
        <w:tc>
          <w:tcPr>
            <w:tcW w:w="3969" w:type="dxa"/>
            <w:shd w:val="clear" w:color="auto" w:fill="auto"/>
          </w:tcPr>
          <w:p w14:paraId="36367A5D" w14:textId="77777777" w:rsidR="00F6012F" w:rsidRPr="00C039C5" w:rsidRDefault="00F6012F" w:rsidP="00E81DB5">
            <w:pPr>
              <w:spacing w:after="0" w:line="240" w:lineRule="auto"/>
              <w:jc w:val="center"/>
              <w:rPr>
                <w:rFonts w:ascii="Verdana" w:hAnsi="Verdana"/>
                <w:sz w:val="14"/>
                <w:szCs w:val="14"/>
              </w:rPr>
            </w:pPr>
          </w:p>
        </w:tc>
        <w:tc>
          <w:tcPr>
            <w:tcW w:w="3288" w:type="dxa"/>
            <w:shd w:val="clear" w:color="auto" w:fill="auto"/>
          </w:tcPr>
          <w:p w14:paraId="36367A5E" w14:textId="77777777" w:rsidR="00F6012F" w:rsidRPr="00C039C5" w:rsidRDefault="00F6012F" w:rsidP="00E81DB5">
            <w:pPr>
              <w:spacing w:after="0" w:line="240" w:lineRule="auto"/>
              <w:jc w:val="center"/>
              <w:rPr>
                <w:rFonts w:ascii="Verdana" w:hAnsi="Verdana"/>
                <w:sz w:val="14"/>
                <w:szCs w:val="14"/>
              </w:rPr>
            </w:pPr>
          </w:p>
        </w:tc>
      </w:tr>
      <w:tr w:rsidR="00F6012F" w:rsidRPr="00C039C5" w14:paraId="36367A63" w14:textId="77777777" w:rsidTr="003070FF">
        <w:trPr>
          <w:trHeight w:val="113"/>
          <w:jc w:val="center"/>
        </w:trPr>
        <w:tc>
          <w:tcPr>
            <w:tcW w:w="3969" w:type="dxa"/>
            <w:shd w:val="clear" w:color="auto" w:fill="auto"/>
          </w:tcPr>
          <w:p w14:paraId="36367A60" w14:textId="77777777" w:rsidR="00F6012F" w:rsidRPr="00C039C5" w:rsidRDefault="00F6012F" w:rsidP="00E81DB5">
            <w:pPr>
              <w:spacing w:after="0" w:line="240" w:lineRule="auto"/>
              <w:jc w:val="center"/>
              <w:rPr>
                <w:rFonts w:ascii="Verdana" w:hAnsi="Verdana"/>
                <w:sz w:val="14"/>
                <w:szCs w:val="14"/>
              </w:rPr>
            </w:pPr>
          </w:p>
        </w:tc>
        <w:tc>
          <w:tcPr>
            <w:tcW w:w="3969" w:type="dxa"/>
            <w:shd w:val="clear" w:color="auto" w:fill="auto"/>
          </w:tcPr>
          <w:p w14:paraId="36367A61" w14:textId="77777777" w:rsidR="00F6012F" w:rsidRPr="00C039C5" w:rsidRDefault="00F6012F" w:rsidP="00E81DB5">
            <w:pPr>
              <w:spacing w:after="0" w:line="240" w:lineRule="auto"/>
              <w:jc w:val="center"/>
              <w:rPr>
                <w:rFonts w:ascii="Verdana" w:hAnsi="Verdana"/>
                <w:sz w:val="14"/>
                <w:szCs w:val="14"/>
              </w:rPr>
            </w:pPr>
          </w:p>
        </w:tc>
        <w:tc>
          <w:tcPr>
            <w:tcW w:w="3288" w:type="dxa"/>
            <w:shd w:val="clear" w:color="auto" w:fill="auto"/>
          </w:tcPr>
          <w:p w14:paraId="36367A62" w14:textId="77777777" w:rsidR="00F6012F" w:rsidRPr="00D030D3" w:rsidRDefault="00F6012F" w:rsidP="00E81DB5">
            <w:pPr>
              <w:spacing w:after="0" w:line="240" w:lineRule="auto"/>
              <w:jc w:val="center"/>
              <w:rPr>
                <w:rFonts w:ascii="Verdana" w:hAnsi="Verdana"/>
                <w:b/>
                <w:bCs/>
                <w:sz w:val="14"/>
                <w:szCs w:val="14"/>
              </w:rPr>
            </w:pPr>
          </w:p>
        </w:tc>
      </w:tr>
      <w:tr w:rsidR="00F6012F" w:rsidRPr="00C039C5" w14:paraId="36367A67" w14:textId="77777777" w:rsidTr="003070FF">
        <w:trPr>
          <w:trHeight w:val="113"/>
          <w:jc w:val="center"/>
        </w:trPr>
        <w:tc>
          <w:tcPr>
            <w:tcW w:w="3969" w:type="dxa"/>
            <w:shd w:val="clear" w:color="auto" w:fill="auto"/>
          </w:tcPr>
          <w:p w14:paraId="36367A64" w14:textId="77777777" w:rsidR="00F6012F" w:rsidRPr="00C039C5" w:rsidRDefault="00F6012F" w:rsidP="00E81DB5">
            <w:pPr>
              <w:spacing w:after="0" w:line="240" w:lineRule="auto"/>
              <w:jc w:val="center"/>
              <w:rPr>
                <w:rFonts w:ascii="Verdana" w:hAnsi="Verdana"/>
                <w:sz w:val="14"/>
                <w:szCs w:val="14"/>
              </w:rPr>
            </w:pPr>
            <w:r w:rsidRPr="00C039C5">
              <w:rPr>
                <w:rFonts w:ascii="Verdana" w:hAnsi="Verdana"/>
                <w:b/>
                <w:bCs/>
                <w:sz w:val="14"/>
                <w:szCs w:val="14"/>
              </w:rPr>
              <w:t>DANIEL NÉSTOR GALLO</w:t>
            </w:r>
          </w:p>
        </w:tc>
        <w:tc>
          <w:tcPr>
            <w:tcW w:w="3969" w:type="dxa"/>
            <w:shd w:val="clear" w:color="auto" w:fill="auto"/>
          </w:tcPr>
          <w:p w14:paraId="36367A65" w14:textId="77777777" w:rsidR="00F6012F" w:rsidRPr="00C039C5" w:rsidRDefault="00F6012F" w:rsidP="00E81DB5">
            <w:pPr>
              <w:spacing w:after="0" w:line="240" w:lineRule="auto"/>
              <w:jc w:val="center"/>
              <w:rPr>
                <w:rFonts w:ascii="Verdana" w:hAnsi="Verdana"/>
                <w:sz w:val="14"/>
                <w:szCs w:val="14"/>
              </w:rPr>
            </w:pPr>
          </w:p>
        </w:tc>
        <w:tc>
          <w:tcPr>
            <w:tcW w:w="3288" w:type="dxa"/>
            <w:shd w:val="clear" w:color="auto" w:fill="auto"/>
          </w:tcPr>
          <w:p w14:paraId="36367A66" w14:textId="77777777" w:rsidR="00F6012F" w:rsidRPr="00D030D3" w:rsidRDefault="00F6012F" w:rsidP="00EB45AE">
            <w:pPr>
              <w:spacing w:after="0" w:line="240" w:lineRule="auto"/>
              <w:ind w:left="-243"/>
              <w:jc w:val="center"/>
              <w:rPr>
                <w:rFonts w:ascii="Verdana" w:hAnsi="Verdana"/>
                <w:b/>
                <w:bCs/>
                <w:sz w:val="14"/>
                <w:szCs w:val="14"/>
              </w:rPr>
            </w:pPr>
            <w:r w:rsidRPr="00D030D3">
              <w:rPr>
                <w:rFonts w:ascii="Verdana" w:hAnsi="Verdana"/>
                <w:b/>
                <w:bCs/>
                <w:sz w:val="14"/>
                <w:szCs w:val="14"/>
              </w:rPr>
              <w:t>DOUGLAS ALBRECHT</w:t>
            </w:r>
          </w:p>
        </w:tc>
      </w:tr>
      <w:tr w:rsidR="00F6012F" w:rsidRPr="00C039C5" w14:paraId="36367A6B" w14:textId="77777777" w:rsidTr="003070FF">
        <w:trPr>
          <w:trHeight w:val="113"/>
          <w:jc w:val="center"/>
        </w:trPr>
        <w:tc>
          <w:tcPr>
            <w:tcW w:w="3969" w:type="dxa"/>
            <w:shd w:val="clear" w:color="auto" w:fill="auto"/>
          </w:tcPr>
          <w:p w14:paraId="36367A68" w14:textId="77777777" w:rsidR="00F6012F" w:rsidRPr="00C039C5" w:rsidRDefault="00F6012F" w:rsidP="00E81DB5">
            <w:pPr>
              <w:spacing w:after="0" w:line="240" w:lineRule="auto"/>
              <w:jc w:val="center"/>
              <w:rPr>
                <w:rFonts w:ascii="Verdana" w:hAnsi="Verdana"/>
                <w:sz w:val="14"/>
                <w:szCs w:val="14"/>
              </w:rPr>
            </w:pPr>
            <w:r w:rsidRPr="00C039C5">
              <w:rPr>
                <w:rFonts w:ascii="Verdana" w:hAnsi="Verdana"/>
                <w:sz w:val="14"/>
                <w:szCs w:val="14"/>
              </w:rPr>
              <w:t>Por Comisión Fiscalizadora</w:t>
            </w:r>
          </w:p>
        </w:tc>
        <w:tc>
          <w:tcPr>
            <w:tcW w:w="3969" w:type="dxa"/>
            <w:shd w:val="clear" w:color="auto" w:fill="auto"/>
          </w:tcPr>
          <w:p w14:paraId="36367A69" w14:textId="77777777" w:rsidR="00F6012F" w:rsidRPr="00C039C5" w:rsidRDefault="00F6012F" w:rsidP="00E81DB5">
            <w:pPr>
              <w:spacing w:after="0" w:line="240" w:lineRule="auto"/>
              <w:jc w:val="center"/>
              <w:rPr>
                <w:rFonts w:ascii="Verdana" w:hAnsi="Verdana"/>
                <w:sz w:val="14"/>
                <w:szCs w:val="14"/>
              </w:rPr>
            </w:pPr>
          </w:p>
        </w:tc>
        <w:tc>
          <w:tcPr>
            <w:tcW w:w="3288" w:type="dxa"/>
            <w:shd w:val="clear" w:color="auto" w:fill="auto"/>
          </w:tcPr>
          <w:p w14:paraId="36367A6A" w14:textId="77777777" w:rsidR="00F6012F" w:rsidRPr="00C039C5" w:rsidRDefault="00F6012F" w:rsidP="00EB45AE">
            <w:pPr>
              <w:spacing w:after="0" w:line="240" w:lineRule="auto"/>
              <w:ind w:left="-243"/>
              <w:jc w:val="center"/>
              <w:rPr>
                <w:rFonts w:ascii="Verdana" w:hAnsi="Verdana"/>
                <w:sz w:val="14"/>
                <w:szCs w:val="14"/>
                <w:highlight w:val="cyan"/>
              </w:rPr>
            </w:pPr>
            <w:r>
              <w:rPr>
                <w:rFonts w:ascii="Verdana" w:hAnsi="Verdana"/>
                <w:sz w:val="14"/>
                <w:szCs w:val="14"/>
              </w:rPr>
              <w:t>Presidente</w:t>
            </w:r>
          </w:p>
        </w:tc>
      </w:tr>
      <w:tr w:rsidR="00F6012F" w:rsidRPr="00C039C5" w14:paraId="36367A6F" w14:textId="77777777" w:rsidTr="003070FF">
        <w:trPr>
          <w:trHeight w:val="113"/>
          <w:jc w:val="center"/>
        </w:trPr>
        <w:tc>
          <w:tcPr>
            <w:tcW w:w="3969" w:type="dxa"/>
            <w:shd w:val="clear" w:color="auto" w:fill="auto"/>
          </w:tcPr>
          <w:p w14:paraId="36367A6C" w14:textId="77777777" w:rsidR="00F6012F" w:rsidRPr="00C039C5" w:rsidRDefault="00F6012F" w:rsidP="00E81DB5">
            <w:pPr>
              <w:spacing w:after="0" w:line="240" w:lineRule="auto"/>
              <w:jc w:val="center"/>
              <w:rPr>
                <w:rFonts w:ascii="Verdana" w:hAnsi="Verdana"/>
                <w:sz w:val="14"/>
                <w:szCs w:val="14"/>
              </w:rPr>
            </w:pPr>
            <w:r w:rsidRPr="00C039C5">
              <w:rPr>
                <w:rFonts w:ascii="Verdana" w:hAnsi="Verdana"/>
                <w:sz w:val="14"/>
                <w:szCs w:val="14"/>
              </w:rPr>
              <w:t>Contador Público Nacional (U.N.R.)</w:t>
            </w:r>
          </w:p>
        </w:tc>
        <w:tc>
          <w:tcPr>
            <w:tcW w:w="3969" w:type="dxa"/>
            <w:shd w:val="clear" w:color="auto" w:fill="auto"/>
          </w:tcPr>
          <w:p w14:paraId="36367A6D" w14:textId="77777777" w:rsidR="00F6012F" w:rsidRPr="00C039C5" w:rsidRDefault="00F6012F" w:rsidP="00E81DB5">
            <w:pPr>
              <w:spacing w:after="0" w:line="240" w:lineRule="auto"/>
              <w:jc w:val="center"/>
              <w:rPr>
                <w:rFonts w:ascii="Verdana" w:hAnsi="Verdana"/>
                <w:sz w:val="14"/>
                <w:szCs w:val="14"/>
              </w:rPr>
            </w:pPr>
          </w:p>
        </w:tc>
        <w:tc>
          <w:tcPr>
            <w:tcW w:w="3288" w:type="dxa"/>
            <w:shd w:val="clear" w:color="auto" w:fill="auto"/>
          </w:tcPr>
          <w:p w14:paraId="36367A6E" w14:textId="77777777" w:rsidR="00F6012F" w:rsidRPr="00C039C5" w:rsidRDefault="00F6012F" w:rsidP="00E81DB5">
            <w:pPr>
              <w:spacing w:after="0" w:line="240" w:lineRule="auto"/>
              <w:jc w:val="center"/>
              <w:rPr>
                <w:rFonts w:ascii="Verdana" w:hAnsi="Verdana"/>
                <w:sz w:val="14"/>
                <w:szCs w:val="14"/>
              </w:rPr>
            </w:pPr>
          </w:p>
        </w:tc>
      </w:tr>
      <w:tr w:rsidR="00F6012F" w:rsidRPr="00C039C5" w14:paraId="36367A73" w14:textId="77777777" w:rsidTr="003070FF">
        <w:trPr>
          <w:trHeight w:val="113"/>
          <w:jc w:val="center"/>
        </w:trPr>
        <w:tc>
          <w:tcPr>
            <w:tcW w:w="3969" w:type="dxa"/>
            <w:shd w:val="clear" w:color="auto" w:fill="auto"/>
          </w:tcPr>
          <w:p w14:paraId="36367A70" w14:textId="77777777" w:rsidR="00F6012F" w:rsidRPr="00C039C5" w:rsidRDefault="00F6012F" w:rsidP="00E81DB5">
            <w:pPr>
              <w:spacing w:after="0" w:line="240" w:lineRule="auto"/>
              <w:jc w:val="center"/>
              <w:rPr>
                <w:rFonts w:ascii="Verdana" w:hAnsi="Verdana"/>
                <w:sz w:val="14"/>
                <w:szCs w:val="14"/>
              </w:rPr>
            </w:pPr>
            <w:r w:rsidRPr="00C039C5">
              <w:rPr>
                <w:rFonts w:ascii="Verdana" w:hAnsi="Verdana"/>
                <w:sz w:val="14"/>
                <w:szCs w:val="14"/>
              </w:rPr>
              <w:t>Matrícula 2.869 – Ley 8.738</w:t>
            </w:r>
          </w:p>
        </w:tc>
        <w:tc>
          <w:tcPr>
            <w:tcW w:w="3969" w:type="dxa"/>
            <w:shd w:val="clear" w:color="auto" w:fill="auto"/>
          </w:tcPr>
          <w:p w14:paraId="36367A71" w14:textId="77777777" w:rsidR="00F6012F" w:rsidRPr="00C039C5" w:rsidRDefault="00F6012F" w:rsidP="00E81DB5">
            <w:pPr>
              <w:spacing w:after="0" w:line="240" w:lineRule="auto"/>
              <w:jc w:val="center"/>
              <w:rPr>
                <w:rFonts w:ascii="Verdana" w:hAnsi="Verdana"/>
                <w:sz w:val="14"/>
                <w:szCs w:val="14"/>
              </w:rPr>
            </w:pPr>
          </w:p>
        </w:tc>
        <w:tc>
          <w:tcPr>
            <w:tcW w:w="3288" w:type="dxa"/>
            <w:shd w:val="clear" w:color="auto" w:fill="auto"/>
          </w:tcPr>
          <w:p w14:paraId="36367A72" w14:textId="77777777" w:rsidR="00F6012F" w:rsidRPr="00C039C5" w:rsidRDefault="00F6012F" w:rsidP="00E81DB5">
            <w:pPr>
              <w:spacing w:after="0" w:line="240" w:lineRule="auto"/>
              <w:jc w:val="center"/>
              <w:rPr>
                <w:rFonts w:ascii="Verdana" w:hAnsi="Verdana"/>
                <w:sz w:val="14"/>
                <w:szCs w:val="14"/>
              </w:rPr>
            </w:pPr>
          </w:p>
        </w:tc>
      </w:tr>
      <w:tr w:rsidR="00F6012F" w:rsidRPr="00C039C5" w14:paraId="36367A77" w14:textId="77777777" w:rsidTr="003070FF">
        <w:trPr>
          <w:trHeight w:val="113"/>
          <w:jc w:val="center"/>
        </w:trPr>
        <w:tc>
          <w:tcPr>
            <w:tcW w:w="3969" w:type="dxa"/>
            <w:shd w:val="clear" w:color="auto" w:fill="auto"/>
          </w:tcPr>
          <w:p w14:paraId="36367A74" w14:textId="77777777" w:rsidR="00F6012F" w:rsidRPr="00C039C5" w:rsidRDefault="00F6012F" w:rsidP="00E81DB5">
            <w:pPr>
              <w:spacing w:after="0" w:line="240" w:lineRule="auto"/>
              <w:jc w:val="center"/>
              <w:rPr>
                <w:rFonts w:ascii="Verdana" w:hAnsi="Verdana"/>
                <w:sz w:val="14"/>
                <w:szCs w:val="14"/>
              </w:rPr>
            </w:pPr>
            <w:r w:rsidRPr="00C039C5">
              <w:rPr>
                <w:rFonts w:ascii="Verdana" w:hAnsi="Verdana"/>
                <w:sz w:val="14"/>
                <w:szCs w:val="14"/>
              </w:rPr>
              <w:t xml:space="preserve">C.P.C.E. </w:t>
            </w:r>
            <w:proofErr w:type="spellStart"/>
            <w:r w:rsidRPr="00C039C5">
              <w:rPr>
                <w:rFonts w:ascii="Verdana" w:hAnsi="Verdana"/>
                <w:sz w:val="14"/>
                <w:szCs w:val="14"/>
              </w:rPr>
              <w:t>Pcia</w:t>
            </w:r>
            <w:proofErr w:type="spellEnd"/>
            <w:r w:rsidRPr="00C039C5">
              <w:rPr>
                <w:rFonts w:ascii="Verdana" w:hAnsi="Verdana"/>
                <w:sz w:val="14"/>
                <w:szCs w:val="14"/>
              </w:rPr>
              <w:t>. de Santa Fe</w:t>
            </w:r>
          </w:p>
        </w:tc>
        <w:tc>
          <w:tcPr>
            <w:tcW w:w="3969" w:type="dxa"/>
            <w:shd w:val="clear" w:color="auto" w:fill="auto"/>
          </w:tcPr>
          <w:p w14:paraId="36367A75" w14:textId="77777777" w:rsidR="00F6012F" w:rsidRPr="00C039C5" w:rsidRDefault="00F6012F" w:rsidP="00E81DB5">
            <w:pPr>
              <w:spacing w:after="0" w:line="240" w:lineRule="auto"/>
              <w:jc w:val="center"/>
              <w:rPr>
                <w:rFonts w:ascii="Verdana" w:hAnsi="Verdana"/>
                <w:sz w:val="14"/>
                <w:szCs w:val="14"/>
              </w:rPr>
            </w:pPr>
          </w:p>
        </w:tc>
        <w:tc>
          <w:tcPr>
            <w:tcW w:w="3288" w:type="dxa"/>
            <w:shd w:val="clear" w:color="auto" w:fill="auto"/>
          </w:tcPr>
          <w:p w14:paraId="36367A76" w14:textId="77777777" w:rsidR="00F6012F" w:rsidRPr="00C039C5" w:rsidRDefault="00F6012F" w:rsidP="00E81DB5">
            <w:pPr>
              <w:spacing w:after="0" w:line="240" w:lineRule="auto"/>
              <w:jc w:val="center"/>
              <w:rPr>
                <w:rFonts w:ascii="Verdana" w:hAnsi="Verdana"/>
                <w:sz w:val="14"/>
                <w:szCs w:val="14"/>
              </w:rPr>
            </w:pPr>
          </w:p>
        </w:tc>
      </w:tr>
      <w:tr w:rsidR="00F6012F" w:rsidRPr="00C039C5" w14:paraId="36367A7B" w14:textId="77777777" w:rsidTr="003070FF">
        <w:trPr>
          <w:trHeight w:val="113"/>
          <w:jc w:val="center"/>
        </w:trPr>
        <w:tc>
          <w:tcPr>
            <w:tcW w:w="3969" w:type="dxa"/>
            <w:shd w:val="clear" w:color="auto" w:fill="auto"/>
          </w:tcPr>
          <w:p w14:paraId="36367A78" w14:textId="77777777" w:rsidR="00F6012F" w:rsidRPr="00C039C5" w:rsidRDefault="00F6012F" w:rsidP="00E81DB5">
            <w:pPr>
              <w:spacing w:after="0" w:line="240" w:lineRule="auto"/>
              <w:jc w:val="center"/>
              <w:rPr>
                <w:rFonts w:ascii="Verdana" w:hAnsi="Verdana"/>
                <w:sz w:val="14"/>
                <w:szCs w:val="14"/>
              </w:rPr>
            </w:pPr>
          </w:p>
        </w:tc>
        <w:tc>
          <w:tcPr>
            <w:tcW w:w="3969" w:type="dxa"/>
            <w:shd w:val="clear" w:color="auto" w:fill="auto"/>
          </w:tcPr>
          <w:p w14:paraId="36367A79" w14:textId="77777777" w:rsidR="00F6012F" w:rsidRPr="00665684" w:rsidRDefault="00F6012F" w:rsidP="00E81DB5">
            <w:pPr>
              <w:spacing w:after="0" w:line="240" w:lineRule="auto"/>
              <w:jc w:val="center"/>
              <w:rPr>
                <w:rFonts w:ascii="Verdana" w:hAnsi="Verdana"/>
                <w:sz w:val="14"/>
                <w:szCs w:val="14"/>
              </w:rPr>
            </w:pPr>
          </w:p>
        </w:tc>
        <w:tc>
          <w:tcPr>
            <w:tcW w:w="3288" w:type="dxa"/>
            <w:shd w:val="clear" w:color="auto" w:fill="auto"/>
          </w:tcPr>
          <w:p w14:paraId="36367A7A" w14:textId="77777777" w:rsidR="00F6012F" w:rsidRPr="00C039C5" w:rsidRDefault="00F6012F" w:rsidP="00E81DB5">
            <w:pPr>
              <w:spacing w:after="0" w:line="240" w:lineRule="auto"/>
              <w:jc w:val="center"/>
              <w:rPr>
                <w:rFonts w:ascii="Verdana" w:hAnsi="Verdana"/>
                <w:sz w:val="14"/>
                <w:szCs w:val="14"/>
              </w:rPr>
            </w:pPr>
          </w:p>
        </w:tc>
      </w:tr>
      <w:tr w:rsidR="00132027" w:rsidRPr="00C039C5" w14:paraId="36367A7F" w14:textId="77777777" w:rsidTr="003070FF">
        <w:trPr>
          <w:trHeight w:val="113"/>
          <w:jc w:val="center"/>
        </w:trPr>
        <w:tc>
          <w:tcPr>
            <w:tcW w:w="3969" w:type="dxa"/>
            <w:shd w:val="clear" w:color="auto" w:fill="auto"/>
          </w:tcPr>
          <w:p w14:paraId="36367A7C" w14:textId="77777777" w:rsidR="00132027" w:rsidRPr="00C039C5" w:rsidRDefault="00132027" w:rsidP="00132027">
            <w:pPr>
              <w:spacing w:after="0" w:line="240" w:lineRule="auto"/>
              <w:jc w:val="center"/>
              <w:rPr>
                <w:rFonts w:ascii="Verdana" w:hAnsi="Verdana"/>
                <w:sz w:val="14"/>
                <w:szCs w:val="14"/>
              </w:rPr>
            </w:pPr>
          </w:p>
        </w:tc>
        <w:tc>
          <w:tcPr>
            <w:tcW w:w="3969" w:type="dxa"/>
            <w:shd w:val="clear" w:color="auto" w:fill="auto"/>
            <w:vAlign w:val="bottom"/>
          </w:tcPr>
          <w:p w14:paraId="36367A7D" w14:textId="693EB0DB" w:rsidR="00132027" w:rsidRPr="00665684" w:rsidRDefault="00132027" w:rsidP="00132027">
            <w:pPr>
              <w:spacing w:after="0" w:line="240" w:lineRule="auto"/>
              <w:jc w:val="center"/>
              <w:rPr>
                <w:rFonts w:ascii="Verdana" w:hAnsi="Verdana"/>
                <w:sz w:val="14"/>
                <w:szCs w:val="14"/>
              </w:rPr>
            </w:pPr>
            <w:r>
              <w:rPr>
                <w:rFonts w:ascii="Verdana" w:hAnsi="Verdana"/>
                <w:sz w:val="14"/>
                <w:szCs w:val="14"/>
              </w:rPr>
              <w:t>Firmado a los efectos de su identificación</w:t>
            </w:r>
          </w:p>
        </w:tc>
        <w:tc>
          <w:tcPr>
            <w:tcW w:w="3288" w:type="dxa"/>
            <w:shd w:val="clear" w:color="auto" w:fill="auto"/>
          </w:tcPr>
          <w:p w14:paraId="36367A7E" w14:textId="77777777" w:rsidR="00132027" w:rsidRPr="00C039C5" w:rsidRDefault="00132027" w:rsidP="00132027">
            <w:pPr>
              <w:spacing w:after="0" w:line="240" w:lineRule="auto"/>
              <w:jc w:val="center"/>
              <w:rPr>
                <w:rFonts w:ascii="Verdana" w:hAnsi="Verdana"/>
                <w:sz w:val="14"/>
                <w:szCs w:val="14"/>
              </w:rPr>
            </w:pPr>
          </w:p>
        </w:tc>
      </w:tr>
      <w:tr w:rsidR="003070FF" w:rsidRPr="00C039C5" w14:paraId="36367A83" w14:textId="77777777" w:rsidTr="003070FF">
        <w:trPr>
          <w:trHeight w:val="113"/>
          <w:jc w:val="center"/>
        </w:trPr>
        <w:tc>
          <w:tcPr>
            <w:tcW w:w="3969" w:type="dxa"/>
            <w:shd w:val="clear" w:color="auto" w:fill="auto"/>
          </w:tcPr>
          <w:p w14:paraId="36367A80" w14:textId="77777777" w:rsidR="003070FF" w:rsidRPr="00C039C5" w:rsidRDefault="003070FF" w:rsidP="003070FF">
            <w:pPr>
              <w:spacing w:after="0" w:line="240" w:lineRule="auto"/>
              <w:jc w:val="center"/>
              <w:rPr>
                <w:rFonts w:ascii="Verdana" w:hAnsi="Verdana"/>
                <w:sz w:val="14"/>
                <w:szCs w:val="14"/>
              </w:rPr>
            </w:pPr>
          </w:p>
        </w:tc>
        <w:tc>
          <w:tcPr>
            <w:tcW w:w="3969" w:type="dxa"/>
            <w:shd w:val="clear" w:color="auto" w:fill="auto"/>
            <w:vAlign w:val="bottom"/>
          </w:tcPr>
          <w:p w14:paraId="36367A81" w14:textId="0881E6A5" w:rsidR="003070FF" w:rsidRPr="00665684" w:rsidRDefault="003070FF" w:rsidP="003070FF">
            <w:pPr>
              <w:spacing w:after="0" w:line="240" w:lineRule="auto"/>
              <w:jc w:val="center"/>
              <w:rPr>
                <w:rFonts w:ascii="Verdana" w:hAnsi="Verdana"/>
                <w:sz w:val="14"/>
                <w:szCs w:val="14"/>
              </w:rPr>
            </w:pPr>
            <w:r>
              <w:rPr>
                <w:rFonts w:ascii="Verdana" w:hAnsi="Verdana"/>
                <w:sz w:val="14"/>
                <w:szCs w:val="14"/>
              </w:rPr>
              <w:t>con nuestro info</w:t>
            </w:r>
            <w:r w:rsidR="00C06D6D">
              <w:rPr>
                <w:rFonts w:ascii="Verdana" w:hAnsi="Verdana"/>
                <w:sz w:val="14"/>
                <w:szCs w:val="14"/>
              </w:rPr>
              <w:t>rme de fecha 9 de agosto de 202</w:t>
            </w:r>
            <w:r w:rsidR="009D4761">
              <w:rPr>
                <w:rFonts w:ascii="Verdana" w:hAnsi="Verdana"/>
                <w:sz w:val="14"/>
                <w:szCs w:val="14"/>
              </w:rPr>
              <w:t>4</w:t>
            </w:r>
          </w:p>
        </w:tc>
        <w:tc>
          <w:tcPr>
            <w:tcW w:w="3288" w:type="dxa"/>
            <w:shd w:val="clear" w:color="auto" w:fill="auto"/>
          </w:tcPr>
          <w:p w14:paraId="36367A82" w14:textId="77777777" w:rsidR="003070FF" w:rsidRPr="00C039C5" w:rsidRDefault="003070FF" w:rsidP="003070FF">
            <w:pPr>
              <w:spacing w:after="0" w:line="240" w:lineRule="auto"/>
              <w:jc w:val="center"/>
              <w:rPr>
                <w:rFonts w:ascii="Verdana" w:hAnsi="Verdana"/>
                <w:sz w:val="14"/>
                <w:szCs w:val="14"/>
              </w:rPr>
            </w:pPr>
          </w:p>
        </w:tc>
      </w:tr>
      <w:tr w:rsidR="00F6012F" w:rsidRPr="00C039C5" w14:paraId="36367A87" w14:textId="77777777" w:rsidTr="003070FF">
        <w:trPr>
          <w:trHeight w:val="113"/>
          <w:jc w:val="center"/>
        </w:trPr>
        <w:tc>
          <w:tcPr>
            <w:tcW w:w="3969" w:type="dxa"/>
            <w:shd w:val="clear" w:color="auto" w:fill="auto"/>
          </w:tcPr>
          <w:p w14:paraId="36367A84" w14:textId="77777777" w:rsidR="00F6012F" w:rsidRPr="00C039C5" w:rsidRDefault="00F6012F" w:rsidP="00E81DB5">
            <w:pPr>
              <w:spacing w:after="0" w:line="240" w:lineRule="auto"/>
              <w:jc w:val="center"/>
              <w:rPr>
                <w:rFonts w:ascii="Verdana" w:hAnsi="Verdana"/>
                <w:sz w:val="14"/>
                <w:szCs w:val="14"/>
              </w:rPr>
            </w:pPr>
          </w:p>
        </w:tc>
        <w:tc>
          <w:tcPr>
            <w:tcW w:w="3969" w:type="dxa"/>
            <w:shd w:val="clear" w:color="auto" w:fill="auto"/>
          </w:tcPr>
          <w:p w14:paraId="36367A85" w14:textId="6DED2248" w:rsidR="00F6012F" w:rsidRPr="00665684" w:rsidRDefault="00FC2051" w:rsidP="00E81DB5">
            <w:pPr>
              <w:spacing w:after="0" w:line="240" w:lineRule="auto"/>
              <w:jc w:val="center"/>
              <w:rPr>
                <w:rFonts w:ascii="Verdana" w:hAnsi="Verdana"/>
                <w:sz w:val="14"/>
                <w:szCs w:val="14"/>
              </w:rPr>
            </w:pPr>
            <w:r w:rsidRPr="00FC2051">
              <w:rPr>
                <w:rFonts w:ascii="Verdana" w:hAnsi="Verdana"/>
                <w:b/>
                <w:bCs/>
                <w:sz w:val="14"/>
                <w:szCs w:val="14"/>
              </w:rPr>
              <w:t>BECHER Y ASOCIADOS S.R.L.</w:t>
            </w:r>
          </w:p>
        </w:tc>
        <w:tc>
          <w:tcPr>
            <w:tcW w:w="3288" w:type="dxa"/>
            <w:shd w:val="clear" w:color="auto" w:fill="auto"/>
          </w:tcPr>
          <w:p w14:paraId="36367A86" w14:textId="77777777" w:rsidR="00F6012F" w:rsidRPr="00C039C5" w:rsidRDefault="00F6012F" w:rsidP="00E81DB5">
            <w:pPr>
              <w:spacing w:after="0" w:line="240" w:lineRule="auto"/>
              <w:jc w:val="center"/>
              <w:rPr>
                <w:rFonts w:ascii="Verdana" w:hAnsi="Verdana"/>
                <w:sz w:val="14"/>
                <w:szCs w:val="14"/>
              </w:rPr>
            </w:pPr>
          </w:p>
        </w:tc>
      </w:tr>
      <w:tr w:rsidR="00135026" w:rsidRPr="00C039C5" w14:paraId="538BEB21" w14:textId="77777777" w:rsidTr="003070FF">
        <w:trPr>
          <w:trHeight w:val="113"/>
          <w:jc w:val="center"/>
        </w:trPr>
        <w:tc>
          <w:tcPr>
            <w:tcW w:w="3969" w:type="dxa"/>
            <w:shd w:val="clear" w:color="auto" w:fill="auto"/>
            <w:vAlign w:val="center"/>
          </w:tcPr>
          <w:p w14:paraId="24AC2768" w14:textId="23E763A2" w:rsidR="00135026" w:rsidRPr="00C039C5" w:rsidRDefault="00135026" w:rsidP="00135026">
            <w:pPr>
              <w:spacing w:after="0" w:line="240" w:lineRule="auto"/>
              <w:jc w:val="center"/>
              <w:rPr>
                <w:rFonts w:ascii="Verdana" w:hAnsi="Verdana"/>
                <w:sz w:val="14"/>
                <w:szCs w:val="14"/>
              </w:rPr>
            </w:pPr>
          </w:p>
        </w:tc>
        <w:tc>
          <w:tcPr>
            <w:tcW w:w="3969" w:type="dxa"/>
            <w:shd w:val="clear" w:color="auto" w:fill="auto"/>
            <w:vAlign w:val="center"/>
          </w:tcPr>
          <w:p w14:paraId="7B7076F4" w14:textId="792CF96D" w:rsidR="00135026" w:rsidRPr="00FC2051" w:rsidRDefault="00135026" w:rsidP="00135026">
            <w:pPr>
              <w:spacing w:after="0" w:line="240" w:lineRule="auto"/>
              <w:jc w:val="center"/>
              <w:rPr>
                <w:rFonts w:ascii="Verdana" w:hAnsi="Verdana"/>
                <w:b/>
                <w:bCs/>
                <w:sz w:val="14"/>
                <w:szCs w:val="14"/>
              </w:rPr>
            </w:pPr>
            <w:r>
              <w:rPr>
                <w:rFonts w:ascii="Verdana" w:hAnsi="Verdana"/>
                <w:color w:val="000000"/>
                <w:sz w:val="14"/>
                <w:szCs w:val="14"/>
                <w:lang w:eastAsia="es-AR"/>
              </w:rPr>
              <w:t>C.P.C.E. Prov. Santa Fe – Matrícula 7-282</w:t>
            </w:r>
          </w:p>
        </w:tc>
        <w:tc>
          <w:tcPr>
            <w:tcW w:w="3288" w:type="dxa"/>
            <w:shd w:val="clear" w:color="auto" w:fill="auto"/>
          </w:tcPr>
          <w:p w14:paraId="24906BFF" w14:textId="77777777" w:rsidR="00135026" w:rsidRPr="00C039C5" w:rsidRDefault="00135026" w:rsidP="00135026">
            <w:pPr>
              <w:spacing w:after="0" w:line="240" w:lineRule="auto"/>
              <w:jc w:val="center"/>
              <w:rPr>
                <w:rFonts w:ascii="Verdana" w:hAnsi="Verdana"/>
                <w:sz w:val="14"/>
                <w:szCs w:val="14"/>
              </w:rPr>
            </w:pPr>
          </w:p>
        </w:tc>
      </w:tr>
      <w:tr w:rsidR="00135026" w:rsidRPr="00C039C5" w14:paraId="36367A8B" w14:textId="77777777" w:rsidTr="003070FF">
        <w:trPr>
          <w:trHeight w:val="113"/>
          <w:jc w:val="center"/>
        </w:trPr>
        <w:tc>
          <w:tcPr>
            <w:tcW w:w="3969" w:type="dxa"/>
            <w:shd w:val="clear" w:color="auto" w:fill="auto"/>
          </w:tcPr>
          <w:p w14:paraId="36367A88" w14:textId="77777777" w:rsidR="00135026" w:rsidRPr="00C039C5" w:rsidRDefault="00135026" w:rsidP="00135026">
            <w:pPr>
              <w:spacing w:after="0" w:line="240" w:lineRule="auto"/>
              <w:jc w:val="center"/>
              <w:rPr>
                <w:rFonts w:ascii="Verdana" w:hAnsi="Verdana"/>
                <w:sz w:val="14"/>
                <w:szCs w:val="14"/>
              </w:rPr>
            </w:pPr>
          </w:p>
        </w:tc>
        <w:tc>
          <w:tcPr>
            <w:tcW w:w="3969" w:type="dxa"/>
            <w:shd w:val="clear" w:color="auto" w:fill="auto"/>
          </w:tcPr>
          <w:p w14:paraId="36367A89" w14:textId="77777777" w:rsidR="00135026" w:rsidRPr="00C039C5" w:rsidRDefault="00135026" w:rsidP="00135026">
            <w:pPr>
              <w:spacing w:after="0" w:line="240" w:lineRule="auto"/>
              <w:jc w:val="center"/>
              <w:rPr>
                <w:rFonts w:ascii="Verdana" w:hAnsi="Verdana"/>
                <w:sz w:val="14"/>
                <w:szCs w:val="14"/>
              </w:rPr>
            </w:pPr>
          </w:p>
        </w:tc>
        <w:tc>
          <w:tcPr>
            <w:tcW w:w="3288" w:type="dxa"/>
            <w:shd w:val="clear" w:color="auto" w:fill="auto"/>
          </w:tcPr>
          <w:p w14:paraId="36367A8A" w14:textId="77777777" w:rsidR="00135026" w:rsidRPr="00C039C5" w:rsidRDefault="00135026" w:rsidP="00135026">
            <w:pPr>
              <w:spacing w:after="0" w:line="240" w:lineRule="auto"/>
              <w:jc w:val="center"/>
              <w:rPr>
                <w:rFonts w:ascii="Verdana" w:hAnsi="Verdana"/>
                <w:sz w:val="14"/>
                <w:szCs w:val="14"/>
              </w:rPr>
            </w:pPr>
          </w:p>
        </w:tc>
      </w:tr>
      <w:tr w:rsidR="00135026" w:rsidRPr="00C039C5" w14:paraId="36367A8F" w14:textId="77777777" w:rsidTr="003070FF">
        <w:trPr>
          <w:trHeight w:val="113"/>
          <w:jc w:val="center"/>
        </w:trPr>
        <w:tc>
          <w:tcPr>
            <w:tcW w:w="3969" w:type="dxa"/>
            <w:shd w:val="clear" w:color="auto" w:fill="auto"/>
          </w:tcPr>
          <w:p w14:paraId="36367A8C" w14:textId="77777777" w:rsidR="00135026" w:rsidRPr="00C039C5" w:rsidRDefault="00135026" w:rsidP="00135026">
            <w:pPr>
              <w:spacing w:after="0" w:line="240" w:lineRule="auto"/>
              <w:jc w:val="center"/>
              <w:rPr>
                <w:rFonts w:ascii="Verdana" w:hAnsi="Verdana"/>
                <w:sz w:val="14"/>
                <w:szCs w:val="14"/>
              </w:rPr>
            </w:pPr>
          </w:p>
        </w:tc>
        <w:tc>
          <w:tcPr>
            <w:tcW w:w="3969" w:type="dxa"/>
            <w:shd w:val="clear" w:color="auto" w:fill="auto"/>
          </w:tcPr>
          <w:p w14:paraId="36367A8D" w14:textId="77777777" w:rsidR="00135026" w:rsidRPr="00C039C5" w:rsidRDefault="00135026" w:rsidP="00135026">
            <w:pPr>
              <w:spacing w:after="0" w:line="240" w:lineRule="auto"/>
              <w:jc w:val="center"/>
              <w:rPr>
                <w:rFonts w:ascii="Verdana" w:hAnsi="Verdana"/>
                <w:sz w:val="14"/>
                <w:szCs w:val="14"/>
              </w:rPr>
            </w:pPr>
          </w:p>
        </w:tc>
        <w:tc>
          <w:tcPr>
            <w:tcW w:w="3288" w:type="dxa"/>
            <w:shd w:val="clear" w:color="auto" w:fill="auto"/>
          </w:tcPr>
          <w:p w14:paraId="36367A8E" w14:textId="77777777" w:rsidR="00135026" w:rsidRPr="00C039C5" w:rsidRDefault="00135026" w:rsidP="00135026">
            <w:pPr>
              <w:spacing w:after="0" w:line="240" w:lineRule="auto"/>
              <w:jc w:val="center"/>
              <w:rPr>
                <w:rFonts w:ascii="Verdana" w:hAnsi="Verdana"/>
                <w:sz w:val="14"/>
                <w:szCs w:val="14"/>
              </w:rPr>
            </w:pPr>
          </w:p>
        </w:tc>
      </w:tr>
      <w:tr w:rsidR="007F0D51" w:rsidRPr="00C039C5" w14:paraId="36367A93" w14:textId="77777777" w:rsidTr="003070FF">
        <w:trPr>
          <w:trHeight w:val="113"/>
          <w:jc w:val="center"/>
        </w:trPr>
        <w:tc>
          <w:tcPr>
            <w:tcW w:w="3969" w:type="dxa"/>
            <w:shd w:val="clear" w:color="auto" w:fill="auto"/>
          </w:tcPr>
          <w:p w14:paraId="36367A90" w14:textId="77777777" w:rsidR="007F0D51" w:rsidRPr="00C039C5" w:rsidRDefault="007F0D51" w:rsidP="007F0D51">
            <w:pPr>
              <w:spacing w:after="0" w:line="240" w:lineRule="auto"/>
              <w:jc w:val="center"/>
              <w:rPr>
                <w:rFonts w:ascii="Verdana" w:hAnsi="Verdana"/>
                <w:sz w:val="14"/>
                <w:szCs w:val="14"/>
              </w:rPr>
            </w:pPr>
          </w:p>
        </w:tc>
        <w:tc>
          <w:tcPr>
            <w:tcW w:w="3969" w:type="dxa"/>
            <w:shd w:val="clear" w:color="auto" w:fill="auto"/>
            <w:vAlign w:val="center"/>
          </w:tcPr>
          <w:p w14:paraId="36367A91" w14:textId="5AF97445" w:rsidR="007F0D51" w:rsidRPr="00C039C5" w:rsidRDefault="007F0D51" w:rsidP="007F0D51">
            <w:pPr>
              <w:spacing w:after="0" w:line="240" w:lineRule="auto"/>
              <w:jc w:val="center"/>
              <w:rPr>
                <w:rFonts w:ascii="Verdana" w:hAnsi="Verdana"/>
                <w:sz w:val="14"/>
                <w:szCs w:val="14"/>
              </w:rPr>
            </w:pPr>
            <w:r>
              <w:rPr>
                <w:rFonts w:ascii="Verdana" w:hAnsi="Verdana"/>
                <w:b/>
                <w:bCs/>
                <w:color w:val="000000"/>
                <w:sz w:val="14"/>
                <w:szCs w:val="14"/>
                <w:lang w:eastAsia="es-AR"/>
              </w:rPr>
              <w:t>Fabián Gustavo Marcote (Socio)</w:t>
            </w:r>
          </w:p>
        </w:tc>
        <w:tc>
          <w:tcPr>
            <w:tcW w:w="3288" w:type="dxa"/>
            <w:shd w:val="clear" w:color="auto" w:fill="auto"/>
          </w:tcPr>
          <w:p w14:paraId="36367A92" w14:textId="77777777" w:rsidR="007F0D51" w:rsidRPr="00C039C5" w:rsidRDefault="007F0D51" w:rsidP="007F0D51">
            <w:pPr>
              <w:spacing w:after="0" w:line="240" w:lineRule="auto"/>
              <w:jc w:val="center"/>
              <w:rPr>
                <w:rFonts w:ascii="Verdana" w:hAnsi="Verdana"/>
                <w:sz w:val="14"/>
                <w:szCs w:val="14"/>
              </w:rPr>
            </w:pPr>
          </w:p>
        </w:tc>
      </w:tr>
      <w:tr w:rsidR="00F312FB" w:rsidRPr="00565363" w14:paraId="36367A97" w14:textId="77777777" w:rsidTr="003070FF">
        <w:trPr>
          <w:trHeight w:val="113"/>
          <w:jc w:val="center"/>
        </w:trPr>
        <w:tc>
          <w:tcPr>
            <w:tcW w:w="3969" w:type="dxa"/>
            <w:shd w:val="clear" w:color="auto" w:fill="auto"/>
          </w:tcPr>
          <w:p w14:paraId="36367A94" w14:textId="77777777" w:rsidR="00F312FB" w:rsidRPr="00C039C5" w:rsidRDefault="00F312FB" w:rsidP="00F312FB">
            <w:pPr>
              <w:spacing w:after="0" w:line="240" w:lineRule="auto"/>
              <w:jc w:val="center"/>
              <w:rPr>
                <w:rFonts w:ascii="Verdana" w:hAnsi="Verdana"/>
                <w:sz w:val="14"/>
                <w:szCs w:val="14"/>
              </w:rPr>
            </w:pPr>
          </w:p>
        </w:tc>
        <w:tc>
          <w:tcPr>
            <w:tcW w:w="3969" w:type="dxa"/>
            <w:shd w:val="clear" w:color="auto" w:fill="auto"/>
            <w:vAlign w:val="center"/>
          </w:tcPr>
          <w:p w14:paraId="36367A95" w14:textId="01B5766F" w:rsidR="00F312FB" w:rsidRPr="00565363" w:rsidRDefault="00F312FB" w:rsidP="00F312FB">
            <w:pPr>
              <w:spacing w:after="0" w:line="240" w:lineRule="auto"/>
              <w:jc w:val="center"/>
              <w:rPr>
                <w:rFonts w:ascii="Verdana" w:hAnsi="Verdana"/>
                <w:sz w:val="14"/>
                <w:szCs w:val="14"/>
                <w:lang w:val="pt-BR"/>
              </w:rPr>
            </w:pPr>
            <w:r>
              <w:rPr>
                <w:rFonts w:ascii="Verdana" w:hAnsi="Verdana"/>
                <w:color w:val="000000"/>
                <w:sz w:val="14"/>
                <w:szCs w:val="14"/>
                <w:lang w:eastAsia="es-AR"/>
              </w:rPr>
              <w:t>Contador Público (U.B.A)</w:t>
            </w:r>
          </w:p>
        </w:tc>
        <w:tc>
          <w:tcPr>
            <w:tcW w:w="3288" w:type="dxa"/>
            <w:shd w:val="clear" w:color="auto" w:fill="auto"/>
          </w:tcPr>
          <w:p w14:paraId="36367A96" w14:textId="77777777" w:rsidR="00F312FB" w:rsidRPr="00565363" w:rsidRDefault="00F312FB" w:rsidP="00F312FB">
            <w:pPr>
              <w:spacing w:after="0" w:line="240" w:lineRule="auto"/>
              <w:jc w:val="center"/>
              <w:rPr>
                <w:rFonts w:ascii="Verdana" w:hAnsi="Verdana"/>
                <w:sz w:val="14"/>
                <w:szCs w:val="14"/>
                <w:lang w:val="pt-BR"/>
              </w:rPr>
            </w:pPr>
          </w:p>
        </w:tc>
      </w:tr>
      <w:tr w:rsidR="00135026" w:rsidRPr="00C039C5" w14:paraId="36367A9B" w14:textId="77777777" w:rsidTr="003070FF">
        <w:trPr>
          <w:trHeight w:val="113"/>
          <w:jc w:val="center"/>
        </w:trPr>
        <w:tc>
          <w:tcPr>
            <w:tcW w:w="3969" w:type="dxa"/>
            <w:shd w:val="clear" w:color="auto" w:fill="auto"/>
          </w:tcPr>
          <w:p w14:paraId="36367A98" w14:textId="77777777" w:rsidR="00135026" w:rsidRPr="00565363" w:rsidRDefault="00135026" w:rsidP="00135026">
            <w:pPr>
              <w:spacing w:after="0" w:line="240" w:lineRule="auto"/>
              <w:jc w:val="center"/>
              <w:rPr>
                <w:rFonts w:ascii="Verdana" w:hAnsi="Verdana"/>
                <w:sz w:val="14"/>
                <w:szCs w:val="14"/>
                <w:lang w:val="pt-BR"/>
              </w:rPr>
            </w:pPr>
          </w:p>
        </w:tc>
        <w:tc>
          <w:tcPr>
            <w:tcW w:w="3969" w:type="dxa"/>
            <w:shd w:val="clear" w:color="auto" w:fill="auto"/>
          </w:tcPr>
          <w:p w14:paraId="36367A99" w14:textId="1F2306BA" w:rsidR="00135026" w:rsidRPr="00C039C5" w:rsidRDefault="00A1043B" w:rsidP="00135026">
            <w:pPr>
              <w:spacing w:after="0" w:line="240" w:lineRule="auto"/>
              <w:jc w:val="center"/>
              <w:rPr>
                <w:rFonts w:ascii="Verdana" w:hAnsi="Verdana"/>
                <w:sz w:val="14"/>
                <w:szCs w:val="14"/>
              </w:rPr>
            </w:pPr>
            <w:r w:rsidRPr="00A1043B">
              <w:rPr>
                <w:rFonts w:ascii="Verdana" w:hAnsi="Verdana"/>
                <w:sz w:val="14"/>
                <w:szCs w:val="14"/>
                <w:lang w:val="it-IT"/>
              </w:rPr>
              <w:t>C.P.C.E. Prov. Santa Fe – Matr. 16.845</w:t>
            </w:r>
            <w:r w:rsidRPr="00A1043B">
              <w:rPr>
                <w:rFonts w:ascii="Verdana" w:hAnsi="Verdana"/>
                <w:sz w:val="14"/>
                <w:szCs w:val="14"/>
                <w:lang w:val="it-IT"/>
              </w:rPr>
              <w:tab/>
            </w:r>
          </w:p>
        </w:tc>
        <w:tc>
          <w:tcPr>
            <w:tcW w:w="3288" w:type="dxa"/>
            <w:shd w:val="clear" w:color="auto" w:fill="auto"/>
          </w:tcPr>
          <w:p w14:paraId="36367A9A" w14:textId="77777777" w:rsidR="00135026" w:rsidRPr="00C039C5" w:rsidRDefault="00135026" w:rsidP="00135026">
            <w:pPr>
              <w:spacing w:after="0" w:line="240" w:lineRule="auto"/>
              <w:jc w:val="center"/>
              <w:rPr>
                <w:rFonts w:ascii="Verdana" w:hAnsi="Verdana"/>
                <w:sz w:val="14"/>
                <w:szCs w:val="14"/>
              </w:rPr>
            </w:pPr>
          </w:p>
        </w:tc>
      </w:tr>
      <w:tr w:rsidR="00135026" w:rsidRPr="00C039C5" w14:paraId="36367A9F" w14:textId="77777777" w:rsidTr="003070FF">
        <w:trPr>
          <w:trHeight w:val="113"/>
          <w:jc w:val="center"/>
        </w:trPr>
        <w:tc>
          <w:tcPr>
            <w:tcW w:w="3969" w:type="dxa"/>
            <w:shd w:val="clear" w:color="auto" w:fill="auto"/>
          </w:tcPr>
          <w:p w14:paraId="36367A9C" w14:textId="77777777" w:rsidR="00135026" w:rsidRPr="00C039C5" w:rsidRDefault="00135026" w:rsidP="00135026">
            <w:pPr>
              <w:spacing w:after="0" w:line="240" w:lineRule="auto"/>
              <w:jc w:val="center"/>
              <w:rPr>
                <w:rFonts w:ascii="Verdana" w:hAnsi="Verdana"/>
                <w:sz w:val="14"/>
                <w:szCs w:val="14"/>
              </w:rPr>
            </w:pPr>
          </w:p>
        </w:tc>
        <w:tc>
          <w:tcPr>
            <w:tcW w:w="3969" w:type="dxa"/>
            <w:shd w:val="clear" w:color="auto" w:fill="auto"/>
          </w:tcPr>
          <w:p w14:paraId="36367A9D" w14:textId="1DC5D055" w:rsidR="00135026" w:rsidRPr="00C039C5" w:rsidRDefault="00135026" w:rsidP="00A1043B">
            <w:pPr>
              <w:spacing w:after="0" w:line="240" w:lineRule="auto"/>
              <w:rPr>
                <w:rFonts w:ascii="Verdana" w:hAnsi="Verdana"/>
                <w:sz w:val="14"/>
                <w:szCs w:val="14"/>
              </w:rPr>
            </w:pPr>
          </w:p>
        </w:tc>
        <w:tc>
          <w:tcPr>
            <w:tcW w:w="3288" w:type="dxa"/>
            <w:shd w:val="clear" w:color="auto" w:fill="auto"/>
          </w:tcPr>
          <w:p w14:paraId="36367A9E" w14:textId="77777777" w:rsidR="00135026" w:rsidRPr="00C039C5" w:rsidRDefault="00135026" w:rsidP="00135026">
            <w:pPr>
              <w:spacing w:after="0" w:line="240" w:lineRule="auto"/>
              <w:jc w:val="center"/>
              <w:rPr>
                <w:rFonts w:ascii="Verdana" w:hAnsi="Verdana"/>
                <w:sz w:val="14"/>
                <w:szCs w:val="14"/>
              </w:rPr>
            </w:pPr>
          </w:p>
        </w:tc>
      </w:tr>
    </w:tbl>
    <w:p w14:paraId="36367AA0" w14:textId="77777777" w:rsidR="00F6012F" w:rsidRPr="00F6012F" w:rsidRDefault="00F6012F" w:rsidP="00241F17">
      <w:pPr>
        <w:spacing w:after="0" w:line="240" w:lineRule="auto"/>
        <w:ind w:left="426"/>
        <w:jc w:val="both"/>
        <w:rPr>
          <w:rFonts w:ascii="Verdana" w:hAnsi="Verdana"/>
          <w:sz w:val="17"/>
          <w:szCs w:val="17"/>
          <w:lang w:eastAsia="es-ES"/>
        </w:rPr>
      </w:pPr>
    </w:p>
    <w:sectPr w:rsidR="00F6012F" w:rsidRPr="00F6012F" w:rsidSect="00F6012F">
      <w:pgSz w:w="11907" w:h="16840" w:code="9"/>
      <w:pgMar w:top="1134" w:right="1134" w:bottom="567"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29568" w14:textId="77777777" w:rsidR="00F036AF" w:rsidRDefault="00F036AF" w:rsidP="004A1CAB">
      <w:pPr>
        <w:spacing w:after="0" w:line="240" w:lineRule="auto"/>
      </w:pPr>
      <w:r>
        <w:separator/>
      </w:r>
    </w:p>
  </w:endnote>
  <w:endnote w:type="continuationSeparator" w:id="0">
    <w:p w14:paraId="55AF9B62" w14:textId="77777777" w:rsidR="00F036AF" w:rsidRDefault="00F036AF" w:rsidP="004A1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D4DDB" w14:textId="77777777" w:rsidR="00F036AF" w:rsidRDefault="00F036AF" w:rsidP="004A1CAB">
      <w:pPr>
        <w:spacing w:after="0" w:line="240" w:lineRule="auto"/>
      </w:pPr>
      <w:r>
        <w:separator/>
      </w:r>
    </w:p>
  </w:footnote>
  <w:footnote w:type="continuationSeparator" w:id="0">
    <w:p w14:paraId="265020B4" w14:textId="77777777" w:rsidR="00F036AF" w:rsidRDefault="00F036AF" w:rsidP="004A1C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F17"/>
    <w:rsid w:val="0000148D"/>
    <w:rsid w:val="0003519F"/>
    <w:rsid w:val="00095F05"/>
    <w:rsid w:val="000B58D5"/>
    <w:rsid w:val="000C161B"/>
    <w:rsid w:val="000D0313"/>
    <w:rsid w:val="000D5DD9"/>
    <w:rsid w:val="00104ED1"/>
    <w:rsid w:val="001147A5"/>
    <w:rsid w:val="00115429"/>
    <w:rsid w:val="00132027"/>
    <w:rsid w:val="00135026"/>
    <w:rsid w:val="001472C7"/>
    <w:rsid w:val="00160A5B"/>
    <w:rsid w:val="00181A6C"/>
    <w:rsid w:val="001863B6"/>
    <w:rsid w:val="001904E4"/>
    <w:rsid w:val="001A7B6B"/>
    <w:rsid w:val="001C28DE"/>
    <w:rsid w:val="001E1738"/>
    <w:rsid w:val="001F67AE"/>
    <w:rsid w:val="00217DD0"/>
    <w:rsid w:val="0023147F"/>
    <w:rsid w:val="002321A3"/>
    <w:rsid w:val="00241F17"/>
    <w:rsid w:val="00246CD4"/>
    <w:rsid w:val="002506FF"/>
    <w:rsid w:val="002532B6"/>
    <w:rsid w:val="00254212"/>
    <w:rsid w:val="00284BDF"/>
    <w:rsid w:val="002B44AB"/>
    <w:rsid w:val="002F6D36"/>
    <w:rsid w:val="00302CFB"/>
    <w:rsid w:val="003042C6"/>
    <w:rsid w:val="003070FF"/>
    <w:rsid w:val="0031608B"/>
    <w:rsid w:val="00332AEF"/>
    <w:rsid w:val="0038604A"/>
    <w:rsid w:val="003865E7"/>
    <w:rsid w:val="003C3DEC"/>
    <w:rsid w:val="003C7031"/>
    <w:rsid w:val="00403CC1"/>
    <w:rsid w:val="00410F1C"/>
    <w:rsid w:val="004615A1"/>
    <w:rsid w:val="0046566C"/>
    <w:rsid w:val="004718BF"/>
    <w:rsid w:val="004A1CAB"/>
    <w:rsid w:val="004A43ED"/>
    <w:rsid w:val="004A618B"/>
    <w:rsid w:val="004C3D68"/>
    <w:rsid w:val="004D395B"/>
    <w:rsid w:val="004D5EC1"/>
    <w:rsid w:val="005012A1"/>
    <w:rsid w:val="0050551A"/>
    <w:rsid w:val="00524DA9"/>
    <w:rsid w:val="0053311B"/>
    <w:rsid w:val="0053559E"/>
    <w:rsid w:val="00536D07"/>
    <w:rsid w:val="00585EEE"/>
    <w:rsid w:val="005D022C"/>
    <w:rsid w:val="005E6223"/>
    <w:rsid w:val="005F6D2D"/>
    <w:rsid w:val="00600948"/>
    <w:rsid w:val="00624306"/>
    <w:rsid w:val="006820AC"/>
    <w:rsid w:val="00682FF0"/>
    <w:rsid w:val="0068461C"/>
    <w:rsid w:val="006923CA"/>
    <w:rsid w:val="00694C00"/>
    <w:rsid w:val="00696053"/>
    <w:rsid w:val="006A2331"/>
    <w:rsid w:val="006B475F"/>
    <w:rsid w:val="006E5403"/>
    <w:rsid w:val="006F1272"/>
    <w:rsid w:val="00702881"/>
    <w:rsid w:val="00727C87"/>
    <w:rsid w:val="00733218"/>
    <w:rsid w:val="007554FD"/>
    <w:rsid w:val="00780010"/>
    <w:rsid w:val="007A3FF2"/>
    <w:rsid w:val="007A4359"/>
    <w:rsid w:val="007B6A2A"/>
    <w:rsid w:val="007F0D51"/>
    <w:rsid w:val="007F65FC"/>
    <w:rsid w:val="0081480E"/>
    <w:rsid w:val="00824142"/>
    <w:rsid w:val="00827251"/>
    <w:rsid w:val="008463B6"/>
    <w:rsid w:val="00904CE1"/>
    <w:rsid w:val="00954CC7"/>
    <w:rsid w:val="00977452"/>
    <w:rsid w:val="009810D4"/>
    <w:rsid w:val="00997283"/>
    <w:rsid w:val="009D4761"/>
    <w:rsid w:val="00A05BC7"/>
    <w:rsid w:val="00A1043B"/>
    <w:rsid w:val="00A13B96"/>
    <w:rsid w:val="00A1639C"/>
    <w:rsid w:val="00A763A2"/>
    <w:rsid w:val="00A90B19"/>
    <w:rsid w:val="00AA5627"/>
    <w:rsid w:val="00AB4A35"/>
    <w:rsid w:val="00AC594D"/>
    <w:rsid w:val="00AD3730"/>
    <w:rsid w:val="00AE76A7"/>
    <w:rsid w:val="00AF6893"/>
    <w:rsid w:val="00B2557E"/>
    <w:rsid w:val="00B36CA6"/>
    <w:rsid w:val="00B3741E"/>
    <w:rsid w:val="00B44006"/>
    <w:rsid w:val="00BB024B"/>
    <w:rsid w:val="00BC1A6F"/>
    <w:rsid w:val="00BF41DD"/>
    <w:rsid w:val="00C06D6D"/>
    <w:rsid w:val="00C22201"/>
    <w:rsid w:val="00C24C8D"/>
    <w:rsid w:val="00C254DC"/>
    <w:rsid w:val="00C47AB5"/>
    <w:rsid w:val="00C513C9"/>
    <w:rsid w:val="00C76C9E"/>
    <w:rsid w:val="00C82D96"/>
    <w:rsid w:val="00C82E56"/>
    <w:rsid w:val="00C92C00"/>
    <w:rsid w:val="00CB3C6E"/>
    <w:rsid w:val="00D240DC"/>
    <w:rsid w:val="00D25D19"/>
    <w:rsid w:val="00D37ED2"/>
    <w:rsid w:val="00D607FA"/>
    <w:rsid w:val="00D8763B"/>
    <w:rsid w:val="00D9412D"/>
    <w:rsid w:val="00DC66EF"/>
    <w:rsid w:val="00E0358A"/>
    <w:rsid w:val="00E07ED2"/>
    <w:rsid w:val="00E252CF"/>
    <w:rsid w:val="00E75B53"/>
    <w:rsid w:val="00E8355E"/>
    <w:rsid w:val="00E84D2A"/>
    <w:rsid w:val="00E871F4"/>
    <w:rsid w:val="00E95CC9"/>
    <w:rsid w:val="00E970C9"/>
    <w:rsid w:val="00EB42E6"/>
    <w:rsid w:val="00EB45AE"/>
    <w:rsid w:val="00EC6B04"/>
    <w:rsid w:val="00ED68D6"/>
    <w:rsid w:val="00EE1751"/>
    <w:rsid w:val="00EE6A97"/>
    <w:rsid w:val="00EF5977"/>
    <w:rsid w:val="00EF73E9"/>
    <w:rsid w:val="00F036AF"/>
    <w:rsid w:val="00F257F4"/>
    <w:rsid w:val="00F312FB"/>
    <w:rsid w:val="00F6012F"/>
    <w:rsid w:val="00F631BE"/>
    <w:rsid w:val="00F67CEE"/>
    <w:rsid w:val="00FA6D59"/>
    <w:rsid w:val="00FB31D1"/>
    <w:rsid w:val="00FC0CCB"/>
    <w:rsid w:val="00FC20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3679F8"/>
  <w15:docId w15:val="{9EB22674-A184-4099-B030-E5BADB4C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B96"/>
    <w:pPr>
      <w:spacing w:after="200" w:line="276" w:lineRule="auto"/>
    </w:pPr>
    <w:rPr>
      <w:sz w:val="22"/>
      <w:szCs w:val="22"/>
      <w:lang w:eastAsia="en-US"/>
    </w:rPr>
  </w:style>
  <w:style w:type="paragraph" w:styleId="Ttulo4">
    <w:name w:val="heading 4"/>
    <w:basedOn w:val="Normal"/>
    <w:next w:val="Normal"/>
    <w:link w:val="Ttulo4Car"/>
    <w:uiPriority w:val="99"/>
    <w:qFormat/>
    <w:rsid w:val="00FB31D1"/>
    <w:pPr>
      <w:keepNext/>
      <w:spacing w:after="0" w:line="240" w:lineRule="auto"/>
      <w:jc w:val="center"/>
      <w:outlineLvl w:val="3"/>
    </w:pPr>
    <w:rPr>
      <w:rFonts w:ascii="Times New Roman" w:eastAsia="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uiPriority w:val="99"/>
    <w:locked/>
    <w:rsid w:val="00FB31D1"/>
    <w:rPr>
      <w:rFonts w:ascii="Times New Roman" w:hAnsi="Times New Roman" w:cs="Times New Roman"/>
      <w:sz w:val="20"/>
      <w:szCs w:val="20"/>
      <w:lang w:val="es-ES_tradnl" w:eastAsia="es-ES"/>
    </w:rPr>
  </w:style>
  <w:style w:type="paragraph" w:styleId="Piedepgina">
    <w:name w:val="footer"/>
    <w:basedOn w:val="Normal"/>
    <w:link w:val="PiedepginaCar"/>
    <w:uiPriority w:val="99"/>
    <w:rsid w:val="00241F17"/>
    <w:pPr>
      <w:tabs>
        <w:tab w:val="center" w:pos="4419"/>
        <w:tab w:val="right" w:pos="8838"/>
      </w:tabs>
      <w:spacing w:after="0" w:line="240" w:lineRule="auto"/>
    </w:pPr>
  </w:style>
  <w:style w:type="character" w:customStyle="1" w:styleId="PiedepginaCar">
    <w:name w:val="Pie de página Car"/>
    <w:link w:val="Piedepgina"/>
    <w:uiPriority w:val="99"/>
    <w:locked/>
    <w:rsid w:val="00241F17"/>
    <w:rPr>
      <w:rFonts w:cs="Times New Roman"/>
    </w:rPr>
  </w:style>
  <w:style w:type="character" w:styleId="Refdecomentario">
    <w:name w:val="annotation reference"/>
    <w:uiPriority w:val="99"/>
    <w:semiHidden/>
    <w:rsid w:val="00241F17"/>
    <w:rPr>
      <w:rFonts w:cs="Times New Roman"/>
      <w:sz w:val="16"/>
    </w:rPr>
  </w:style>
  <w:style w:type="paragraph" w:styleId="Textocomentario">
    <w:name w:val="annotation text"/>
    <w:basedOn w:val="Normal"/>
    <w:link w:val="TextocomentarioCar"/>
    <w:uiPriority w:val="99"/>
    <w:semiHidden/>
    <w:rsid w:val="00241F17"/>
    <w:pPr>
      <w:spacing w:after="0" w:line="240" w:lineRule="auto"/>
    </w:pPr>
    <w:rPr>
      <w:rFonts w:ascii="Times New Roman" w:eastAsia="Times New Roman" w:hAnsi="Times New Roman"/>
      <w:sz w:val="20"/>
      <w:szCs w:val="20"/>
      <w:lang w:val="es-ES_tradnl" w:eastAsia="es-ES"/>
    </w:rPr>
  </w:style>
  <w:style w:type="character" w:customStyle="1" w:styleId="TextocomentarioCar">
    <w:name w:val="Texto comentario Car"/>
    <w:link w:val="Textocomentario"/>
    <w:uiPriority w:val="99"/>
    <w:semiHidden/>
    <w:locked/>
    <w:rsid w:val="00241F17"/>
    <w:rPr>
      <w:rFonts w:ascii="Times New Roman" w:hAnsi="Times New Roman" w:cs="Times New Roman"/>
      <w:sz w:val="20"/>
      <w:szCs w:val="20"/>
      <w:lang w:val="es-ES_tradnl" w:eastAsia="es-ES"/>
    </w:rPr>
  </w:style>
  <w:style w:type="paragraph" w:styleId="Textodeglobo">
    <w:name w:val="Balloon Text"/>
    <w:basedOn w:val="Normal"/>
    <w:link w:val="TextodegloboCar"/>
    <w:uiPriority w:val="99"/>
    <w:semiHidden/>
    <w:rsid w:val="00241F1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241F17"/>
    <w:rPr>
      <w:rFonts w:ascii="Tahoma" w:hAnsi="Tahoma" w:cs="Tahoma"/>
      <w:sz w:val="16"/>
      <w:szCs w:val="16"/>
    </w:rPr>
  </w:style>
  <w:style w:type="paragraph" w:styleId="Encabezado">
    <w:name w:val="header"/>
    <w:basedOn w:val="Normal"/>
    <w:link w:val="EncabezadoCar"/>
    <w:uiPriority w:val="99"/>
    <w:rsid w:val="004A1CAB"/>
    <w:pPr>
      <w:tabs>
        <w:tab w:val="center" w:pos="4419"/>
        <w:tab w:val="right" w:pos="8838"/>
      </w:tabs>
      <w:spacing w:after="0" w:line="240" w:lineRule="auto"/>
    </w:pPr>
  </w:style>
  <w:style w:type="character" w:customStyle="1" w:styleId="EncabezadoCar">
    <w:name w:val="Encabezado Car"/>
    <w:link w:val="Encabezado"/>
    <w:uiPriority w:val="99"/>
    <w:locked/>
    <w:rsid w:val="004A1C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1321</Words>
  <Characters>7268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CELULOSA ARGENTINA SOCIEDAD ANÓNIMA</vt:lpstr>
    </vt:vector>
  </TitlesOfParts>
  <Company>Celulosa Argentina S.A.</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CELULOSA ARGENTINA SOCIEDAD ANÓNIMA</dc:title>
  <dc:subject/>
  <dc:creator>Celulosa Argentina</dc:creator>
  <cp:keywords/>
  <dc:description/>
  <cp:lastModifiedBy>Yanina Pavetto</cp:lastModifiedBy>
  <cp:revision>4</cp:revision>
  <cp:lastPrinted>2024-08-09T20:02:00Z</cp:lastPrinted>
  <dcterms:created xsi:type="dcterms:W3CDTF">2024-08-09T20:34:00Z</dcterms:created>
  <dcterms:modified xsi:type="dcterms:W3CDTF">2024-08-09T21:25:00Z</dcterms:modified>
</cp:coreProperties>
</file>