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
        <w:rPr>
          <w:rFonts w:ascii="Times New Roman"/>
          <w:sz w:val="24"/>
        </w:rPr>
      </w:pPr>
    </w:p>
    <w:p>
      <w:pPr>
        <w:pStyle w:val="Heading1"/>
        <w:spacing w:line="360" w:lineRule="auto"/>
        <w:rPr>
          <w:u w:val="none"/>
        </w:rPr>
      </w:pPr>
      <w:r>
        <w:rPr>
          <w:u w:val="single"/>
        </w:rPr>
        <w:t>ACTA NUMERO MIL SETECIENTOS CUARENTA Y SEIS DE LA SESIÓN DEL</w:t>
      </w:r>
      <w:r>
        <w:rPr>
          <w:u w:val="none"/>
        </w:rPr>
        <w:t> </w:t>
      </w:r>
      <w:r>
        <w:rPr>
          <w:u w:val="single"/>
        </w:rPr>
        <w:t>DIRECTORIO</w:t>
      </w:r>
      <w:r>
        <w:rPr>
          <w:spacing w:val="33"/>
          <w:u w:val="single"/>
        </w:rPr>
        <w:t> </w:t>
      </w:r>
      <w:r>
        <w:rPr>
          <w:u w:val="single"/>
        </w:rPr>
        <w:t>DE</w:t>
      </w:r>
      <w:r>
        <w:rPr>
          <w:spacing w:val="32"/>
          <w:u w:val="single"/>
        </w:rPr>
        <w:t> </w:t>
      </w:r>
      <w:r>
        <w:rPr>
          <w:u w:val="single"/>
        </w:rPr>
        <w:t>CELULOSA</w:t>
      </w:r>
      <w:r>
        <w:rPr>
          <w:spacing w:val="30"/>
          <w:u w:val="single"/>
        </w:rPr>
        <w:t> </w:t>
      </w:r>
      <w:r>
        <w:rPr>
          <w:u w:val="single"/>
        </w:rPr>
        <w:t>ARGENTINA</w:t>
      </w:r>
      <w:r>
        <w:rPr>
          <w:spacing w:val="34"/>
          <w:u w:val="single"/>
        </w:rPr>
        <w:t> </w:t>
      </w:r>
      <w:r>
        <w:rPr>
          <w:u w:val="single"/>
        </w:rPr>
        <w:t>SOCIEDAD</w:t>
      </w:r>
      <w:r>
        <w:rPr>
          <w:spacing w:val="39"/>
          <w:u w:val="single"/>
        </w:rPr>
        <w:t> </w:t>
      </w:r>
      <w:r>
        <w:rPr>
          <w:u w:val="single"/>
        </w:rPr>
        <w:t>ANÓNIMA</w:t>
      </w:r>
      <w:r>
        <w:rPr>
          <w:u w:val="none"/>
        </w:rPr>
        <w:t>,</w:t>
      </w:r>
      <w:r>
        <w:rPr>
          <w:spacing w:val="35"/>
          <w:u w:val="none"/>
        </w:rPr>
        <w:t> </w:t>
      </w:r>
      <w:r>
        <w:rPr>
          <w:u w:val="none"/>
        </w:rPr>
        <w:t>de</w:t>
      </w:r>
      <w:r>
        <w:rPr>
          <w:spacing w:val="36"/>
          <w:u w:val="none"/>
        </w:rPr>
        <w:t> </w:t>
      </w:r>
      <w:r>
        <w:rPr>
          <w:spacing w:val="-2"/>
          <w:u w:val="none"/>
        </w:rPr>
        <w:t>fecha</w:t>
      </w:r>
    </w:p>
    <w:p>
      <w:pPr>
        <w:spacing w:before="2"/>
        <w:ind w:left="288" w:right="0" w:firstLine="0"/>
        <w:jc w:val="left"/>
        <w:rPr>
          <w:rFonts w:ascii="Arial"/>
          <w:b/>
          <w:sz w:val="24"/>
        </w:rPr>
      </w:pPr>
      <w:r>
        <w:rPr>
          <w:rFonts w:ascii="Arial"/>
          <w:b/>
          <w:sz w:val="24"/>
        </w:rPr>
        <w:t>13 de</w:t>
      </w:r>
      <w:r>
        <w:rPr>
          <w:rFonts w:ascii="Arial"/>
          <w:b/>
          <w:spacing w:val="-5"/>
          <w:sz w:val="24"/>
        </w:rPr>
        <w:t> </w:t>
      </w:r>
      <w:r>
        <w:rPr>
          <w:rFonts w:ascii="Arial"/>
          <w:b/>
          <w:sz w:val="24"/>
        </w:rPr>
        <w:t>octubre</w:t>
      </w:r>
      <w:r>
        <w:rPr>
          <w:rFonts w:ascii="Arial"/>
          <w:b/>
          <w:spacing w:val="-3"/>
          <w:sz w:val="24"/>
        </w:rPr>
        <w:t> </w:t>
      </w:r>
      <w:r>
        <w:rPr>
          <w:rFonts w:ascii="Arial"/>
          <w:b/>
          <w:sz w:val="24"/>
        </w:rPr>
        <w:t>de</w:t>
      </w:r>
      <w:r>
        <w:rPr>
          <w:rFonts w:ascii="Arial"/>
          <w:b/>
          <w:spacing w:val="-1"/>
          <w:sz w:val="24"/>
        </w:rPr>
        <w:t> </w:t>
      </w:r>
      <w:r>
        <w:rPr>
          <w:rFonts w:ascii="Arial"/>
          <w:b/>
          <w:sz w:val="24"/>
        </w:rPr>
        <w:t>dos</w:t>
      </w:r>
      <w:r>
        <w:rPr>
          <w:rFonts w:ascii="Arial"/>
          <w:b/>
          <w:spacing w:val="-1"/>
          <w:sz w:val="24"/>
        </w:rPr>
        <w:t> </w:t>
      </w:r>
      <w:r>
        <w:rPr>
          <w:rFonts w:ascii="Arial"/>
          <w:b/>
          <w:sz w:val="24"/>
        </w:rPr>
        <w:t>mil</w:t>
      </w:r>
      <w:r>
        <w:rPr>
          <w:rFonts w:ascii="Arial"/>
          <w:b/>
          <w:spacing w:val="3"/>
          <w:sz w:val="24"/>
        </w:rPr>
        <w:t> </w:t>
      </w:r>
      <w:r>
        <w:rPr>
          <w:rFonts w:ascii="Arial"/>
          <w:b/>
          <w:spacing w:val="-2"/>
          <w:sz w:val="24"/>
        </w:rPr>
        <w:t>veinticinco.</w:t>
      </w:r>
    </w:p>
    <w:p>
      <w:pPr>
        <w:pStyle w:val="BodyText"/>
        <w:spacing w:before="149"/>
        <w:rPr>
          <w:rFonts w:ascii="Arial"/>
          <w:b/>
          <w:sz w:val="24"/>
        </w:rPr>
      </w:pPr>
    </w:p>
    <w:p>
      <w:pPr>
        <w:spacing w:line="480" w:lineRule="auto" w:before="0"/>
        <w:ind w:left="288" w:right="129" w:firstLine="705"/>
        <w:jc w:val="both"/>
        <w:rPr>
          <w:rFonts w:ascii="Arial MT" w:hAnsi="Arial MT"/>
          <w:sz w:val="24"/>
        </w:rPr>
      </w:pPr>
      <w:r>
        <w:rPr>
          <w:rFonts w:ascii="Arial MT" w:hAnsi="Arial MT"/>
          <w:sz w:val="24"/>
        </w:rPr>
        <w:t>Se inicia la sesión con la asistencia de los Señores directores Francisco Roberto Santandreu, Jorge Adrián Tomas, Ignacio Marseillan, Javier Armando Lorente, Alberto Adem; todos los cuales participan a través de una videoteleconferencia, realizada conforme al artículo 13 del Estatuto de la Sociedad. Participan también mediante videoteleconferencia los Miembros de la Comisión Fiscalizadora Señores Daniel Gallo, Antonio Lattuca y Daniel Lucca.</w:t>
      </w:r>
    </w:p>
    <w:p>
      <w:pPr>
        <w:pStyle w:val="Heading1"/>
        <w:spacing w:line="362" w:lineRule="auto" w:before="271"/>
        <w:rPr>
          <w:u w:val="none"/>
        </w:rPr>
      </w:pPr>
      <w:r>
        <w:rPr>
          <w:u w:val="single"/>
        </w:rPr>
        <w:t>ESTADOS</w:t>
      </w:r>
      <w:r>
        <w:rPr>
          <w:spacing w:val="40"/>
          <w:u w:val="single"/>
        </w:rPr>
        <w:t> </w:t>
      </w:r>
      <w:r>
        <w:rPr>
          <w:u w:val="single"/>
        </w:rPr>
        <w:t>FINANCIEROS</w:t>
      </w:r>
      <w:r>
        <w:rPr>
          <w:spacing w:val="40"/>
          <w:u w:val="single"/>
        </w:rPr>
        <w:t> </w:t>
      </w:r>
      <w:r>
        <w:rPr>
          <w:u w:val="single"/>
        </w:rPr>
        <w:t>CORRESPONDIENTES</w:t>
      </w:r>
      <w:r>
        <w:rPr>
          <w:spacing w:val="40"/>
          <w:u w:val="single"/>
        </w:rPr>
        <w:t> </w:t>
      </w:r>
      <w:r>
        <w:rPr>
          <w:u w:val="single"/>
        </w:rPr>
        <w:t>AL</w:t>
      </w:r>
      <w:r>
        <w:rPr>
          <w:spacing w:val="40"/>
          <w:u w:val="single"/>
        </w:rPr>
        <w:t> </w:t>
      </w:r>
      <w:r>
        <w:rPr>
          <w:u w:val="single"/>
        </w:rPr>
        <w:t>PRIMER</w:t>
      </w:r>
      <w:r>
        <w:rPr>
          <w:spacing w:val="40"/>
          <w:u w:val="single"/>
        </w:rPr>
        <w:t> </w:t>
      </w:r>
      <w:r>
        <w:rPr>
          <w:u w:val="single"/>
        </w:rPr>
        <w:t>TRIMESTRE</w:t>
      </w:r>
      <w:r>
        <w:rPr>
          <w:u w:val="none"/>
        </w:rPr>
        <w:t> </w:t>
      </w:r>
      <w:r>
        <w:rPr>
          <w:u w:val="single"/>
        </w:rPr>
        <w:t>DEL EJERCICIO 2025/2026.</w:t>
      </w:r>
    </w:p>
    <w:p>
      <w:pPr>
        <w:pStyle w:val="BodyText"/>
        <w:spacing w:before="8"/>
        <w:rPr>
          <w:rFonts w:ascii="Arial"/>
          <w:b/>
          <w:sz w:val="24"/>
        </w:rPr>
      </w:pPr>
    </w:p>
    <w:p>
      <w:pPr>
        <w:spacing w:line="480" w:lineRule="auto" w:before="1"/>
        <w:ind w:left="288" w:right="178" w:firstLine="710"/>
        <w:jc w:val="both"/>
        <w:rPr>
          <w:rFonts w:ascii="Arial MT" w:hAnsi="Arial MT"/>
          <w:sz w:val="24"/>
        </w:rPr>
      </w:pPr>
      <w:r>
        <w:rPr>
          <w:rFonts w:ascii="Arial MT" w:hAnsi="Arial MT"/>
          <w:sz w:val="24"/>
        </w:rPr>
        <w:t>El Señor Presidente manifiesta que, a fin de dar cumplimiento a lo que establecen las normas sobre documentación contable, aprobadas por la</w:t>
      </w:r>
      <w:r>
        <w:rPr>
          <w:rFonts w:ascii="Arial MT" w:hAnsi="Arial MT"/>
          <w:spacing w:val="80"/>
          <w:sz w:val="24"/>
        </w:rPr>
        <w:t> </w:t>
      </w:r>
      <w:r>
        <w:rPr>
          <w:rFonts w:ascii="Arial MT" w:hAnsi="Arial MT"/>
          <w:sz w:val="24"/>
        </w:rPr>
        <w:t>Comisión Nacional de Valores, en lo inherente a la situación económico- financiera</w:t>
      </w:r>
      <w:r>
        <w:rPr>
          <w:rFonts w:ascii="Arial MT" w:hAnsi="Arial MT"/>
          <w:spacing w:val="-3"/>
          <w:sz w:val="24"/>
        </w:rPr>
        <w:t> </w:t>
      </w:r>
      <w:r>
        <w:rPr>
          <w:rFonts w:ascii="Arial MT" w:hAnsi="Arial MT"/>
          <w:sz w:val="24"/>
        </w:rPr>
        <w:t>correspondiente</w:t>
      </w:r>
      <w:r>
        <w:rPr>
          <w:rFonts w:ascii="Arial MT" w:hAnsi="Arial MT"/>
          <w:spacing w:val="-3"/>
          <w:sz w:val="24"/>
        </w:rPr>
        <w:t> </w:t>
      </w:r>
      <w:r>
        <w:rPr>
          <w:rFonts w:ascii="Arial MT" w:hAnsi="Arial MT"/>
          <w:sz w:val="24"/>
        </w:rPr>
        <w:t>al Primer Trimestre</w:t>
      </w:r>
      <w:r>
        <w:rPr>
          <w:rFonts w:ascii="Arial MT" w:hAnsi="Arial MT"/>
          <w:spacing w:val="-3"/>
          <w:sz w:val="24"/>
        </w:rPr>
        <w:t> </w:t>
      </w:r>
      <w:r>
        <w:rPr>
          <w:rFonts w:ascii="Arial MT" w:hAnsi="Arial MT"/>
          <w:sz w:val="24"/>
        </w:rPr>
        <w:t>concluido</w:t>
      </w:r>
      <w:r>
        <w:rPr>
          <w:rFonts w:ascii="Arial MT" w:hAnsi="Arial MT"/>
          <w:spacing w:val="-3"/>
          <w:sz w:val="24"/>
        </w:rPr>
        <w:t> </w:t>
      </w:r>
      <w:r>
        <w:rPr>
          <w:rFonts w:ascii="Arial MT" w:hAnsi="Arial MT"/>
          <w:sz w:val="24"/>
        </w:rPr>
        <w:t>el 31</w:t>
      </w:r>
      <w:r>
        <w:rPr>
          <w:rFonts w:ascii="Arial MT" w:hAnsi="Arial MT"/>
          <w:spacing w:val="-2"/>
          <w:sz w:val="24"/>
        </w:rPr>
        <w:t> </w:t>
      </w:r>
      <w:r>
        <w:rPr>
          <w:rFonts w:ascii="Arial MT" w:hAnsi="Arial MT"/>
          <w:sz w:val="24"/>
        </w:rPr>
        <w:t>de</w:t>
      </w:r>
      <w:r>
        <w:rPr>
          <w:rFonts w:ascii="Arial MT" w:hAnsi="Arial MT"/>
          <w:spacing w:val="-7"/>
          <w:sz w:val="24"/>
        </w:rPr>
        <w:t> </w:t>
      </w:r>
      <w:r>
        <w:rPr>
          <w:rFonts w:ascii="Arial MT" w:hAnsi="Arial MT"/>
          <w:sz w:val="24"/>
        </w:rPr>
        <w:t>agosto de</w:t>
      </w:r>
      <w:r>
        <w:rPr>
          <w:rFonts w:ascii="Arial MT" w:hAnsi="Arial MT"/>
          <w:spacing w:val="-3"/>
          <w:sz w:val="24"/>
        </w:rPr>
        <w:t> </w:t>
      </w:r>
      <w:r>
        <w:rPr>
          <w:rFonts w:ascii="Arial MT" w:hAnsi="Arial MT"/>
          <w:sz w:val="24"/>
        </w:rPr>
        <w:t>2025, hace constar que, con la debida anticipación, los señores Directores y la</w:t>
      </w:r>
      <w:r>
        <w:rPr>
          <w:rFonts w:ascii="Arial MT" w:hAnsi="Arial MT"/>
          <w:spacing w:val="40"/>
          <w:sz w:val="24"/>
        </w:rPr>
        <w:t> </w:t>
      </w:r>
      <w:r>
        <w:rPr>
          <w:rFonts w:ascii="Arial MT" w:hAnsi="Arial MT"/>
          <w:sz w:val="24"/>
        </w:rPr>
        <w:t>Comisión Fiscalizadora tomaron conocimiento de la documentación a considerar.</w:t>
      </w:r>
    </w:p>
    <w:p>
      <w:pPr>
        <w:pStyle w:val="BodyText"/>
        <w:spacing w:before="3"/>
        <w:rPr>
          <w:rFonts w:ascii="Arial MT"/>
          <w:sz w:val="24"/>
        </w:rPr>
      </w:pPr>
    </w:p>
    <w:p>
      <w:pPr>
        <w:spacing w:line="480" w:lineRule="auto" w:before="0"/>
        <w:ind w:left="288" w:right="180" w:firstLine="710"/>
        <w:jc w:val="both"/>
        <w:rPr>
          <w:rFonts w:ascii="Arial MT" w:hAnsi="Arial MT"/>
          <w:sz w:val="24"/>
        </w:rPr>
      </w:pPr>
      <w:r>
        <w:rPr>
          <w:rFonts w:ascii="Arial MT" w:hAnsi="Arial MT"/>
          <w:sz w:val="24"/>
        </w:rPr>
        <w:t>Acto seguido y teniendo en cuenta que dicha documentación se ajusta a las</w:t>
      </w:r>
      <w:r>
        <w:rPr>
          <w:rFonts w:ascii="Arial MT" w:hAnsi="Arial MT"/>
          <w:spacing w:val="-2"/>
          <w:sz w:val="24"/>
        </w:rPr>
        <w:t> </w:t>
      </w:r>
      <w:r>
        <w:rPr>
          <w:rFonts w:ascii="Arial MT" w:hAnsi="Arial MT"/>
          <w:sz w:val="24"/>
        </w:rPr>
        <w:t>disposiciones</w:t>
      </w:r>
      <w:r>
        <w:rPr>
          <w:rFonts w:ascii="Arial MT" w:hAnsi="Arial MT"/>
          <w:spacing w:val="-2"/>
          <w:sz w:val="24"/>
        </w:rPr>
        <w:t> </w:t>
      </w:r>
      <w:r>
        <w:rPr>
          <w:rFonts w:ascii="Arial MT" w:hAnsi="Arial MT"/>
          <w:sz w:val="24"/>
        </w:rPr>
        <w:t>pertinentes,</w:t>
      </w:r>
      <w:r>
        <w:rPr>
          <w:rFonts w:ascii="Arial MT" w:hAnsi="Arial MT"/>
          <w:spacing w:val="-6"/>
          <w:sz w:val="24"/>
        </w:rPr>
        <w:t> </w:t>
      </w:r>
      <w:r>
        <w:rPr>
          <w:rFonts w:ascii="Arial MT" w:hAnsi="Arial MT"/>
          <w:sz w:val="24"/>
        </w:rPr>
        <w:t>ante</w:t>
      </w:r>
      <w:r>
        <w:rPr>
          <w:rFonts w:ascii="Arial MT" w:hAnsi="Arial MT"/>
          <w:spacing w:val="-1"/>
          <w:sz w:val="24"/>
        </w:rPr>
        <w:t> </w:t>
      </w:r>
      <w:r>
        <w:rPr>
          <w:rFonts w:ascii="Arial MT" w:hAnsi="Arial MT"/>
          <w:sz w:val="24"/>
        </w:rPr>
        <w:t>una</w:t>
      </w:r>
      <w:r>
        <w:rPr>
          <w:rFonts w:ascii="Arial MT" w:hAnsi="Arial MT"/>
          <w:spacing w:val="-2"/>
          <w:sz w:val="24"/>
        </w:rPr>
        <w:t> </w:t>
      </w:r>
      <w:r>
        <w:rPr>
          <w:rFonts w:ascii="Arial MT" w:hAnsi="Arial MT"/>
          <w:sz w:val="24"/>
        </w:rPr>
        <w:t>moción</w:t>
      </w:r>
      <w:r>
        <w:rPr>
          <w:rFonts w:ascii="Arial MT" w:hAnsi="Arial MT"/>
          <w:spacing w:val="-2"/>
          <w:sz w:val="24"/>
        </w:rPr>
        <w:t> </w:t>
      </w:r>
      <w:r>
        <w:rPr>
          <w:rFonts w:ascii="Arial MT" w:hAnsi="Arial MT"/>
          <w:sz w:val="24"/>
        </w:rPr>
        <w:t>formulada</w:t>
      </w:r>
      <w:r>
        <w:rPr>
          <w:rFonts w:ascii="Arial MT" w:hAnsi="Arial MT"/>
          <w:spacing w:val="-2"/>
          <w:sz w:val="24"/>
        </w:rPr>
        <w:t> </w:t>
      </w:r>
      <w:r>
        <w:rPr>
          <w:rFonts w:ascii="Arial MT" w:hAnsi="Arial MT"/>
          <w:sz w:val="24"/>
        </w:rPr>
        <w:t>por</w:t>
      </w:r>
      <w:r>
        <w:rPr>
          <w:rFonts w:ascii="Arial MT" w:hAnsi="Arial MT"/>
          <w:spacing w:val="-1"/>
          <w:sz w:val="24"/>
        </w:rPr>
        <w:t> </w:t>
      </w:r>
      <w:r>
        <w:rPr>
          <w:rFonts w:ascii="Arial MT" w:hAnsi="Arial MT"/>
          <w:sz w:val="24"/>
        </w:rPr>
        <w:t>el señor</w:t>
      </w:r>
      <w:r>
        <w:rPr>
          <w:rFonts w:ascii="Arial MT" w:hAnsi="Arial MT"/>
          <w:spacing w:val="-1"/>
          <w:sz w:val="24"/>
        </w:rPr>
        <w:t> </w:t>
      </w:r>
      <w:r>
        <w:rPr>
          <w:rFonts w:ascii="Arial MT" w:hAnsi="Arial MT"/>
          <w:sz w:val="24"/>
        </w:rPr>
        <w:t>Presidente, el Directorio, por unanimidad, resuelve:</w:t>
      </w:r>
    </w:p>
    <w:p>
      <w:pPr>
        <w:pStyle w:val="ListParagraph"/>
        <w:numPr>
          <w:ilvl w:val="0"/>
          <w:numId w:val="1"/>
        </w:numPr>
        <w:tabs>
          <w:tab w:pos="1501" w:val="left" w:leader="none"/>
        </w:tabs>
        <w:spacing w:line="484" w:lineRule="auto" w:before="275" w:after="0"/>
        <w:ind w:left="288" w:right="179" w:firstLine="710"/>
        <w:jc w:val="both"/>
        <w:rPr>
          <w:rFonts w:ascii="Arial MT" w:hAnsi="Arial MT"/>
          <w:sz w:val="24"/>
        </w:rPr>
      </w:pPr>
      <w:r>
        <w:rPr>
          <w:rFonts w:ascii="Arial MT" w:hAnsi="Arial MT"/>
          <w:sz w:val="24"/>
        </w:rPr>
        <w:t>Aprobar la documentación que se detalla a continuación correspondiente al Primer Trimestre del ejercicio económico N° 97:</w:t>
      </w:r>
    </w:p>
    <w:p>
      <w:pPr>
        <w:pStyle w:val="ListParagraph"/>
        <w:spacing w:after="0" w:line="484" w:lineRule="auto"/>
        <w:jc w:val="both"/>
        <w:rPr>
          <w:rFonts w:ascii="Arial MT" w:hAnsi="Arial MT"/>
          <w:sz w:val="24"/>
        </w:rPr>
        <w:sectPr>
          <w:headerReference w:type="default" r:id="rId5"/>
          <w:type w:val="continuous"/>
          <w:pgSz w:w="11910" w:h="16840"/>
          <w:pgMar w:header="509" w:footer="0" w:top="2000" w:bottom="280" w:left="1700" w:right="992"/>
          <w:pgNumType w:start="1"/>
        </w:sectPr>
      </w:pPr>
    </w:p>
    <w:p>
      <w:pPr>
        <w:pStyle w:val="BodyText"/>
        <w:spacing w:before="23"/>
        <w:rPr>
          <w:rFonts w:ascii="Arial MT"/>
          <w:sz w:val="24"/>
        </w:rPr>
      </w:pPr>
    </w:p>
    <w:p>
      <w:pPr>
        <w:spacing w:before="0"/>
        <w:ind w:left="288" w:right="0" w:firstLine="0"/>
        <w:jc w:val="left"/>
        <w:rPr>
          <w:rFonts w:ascii="Arial MT"/>
          <w:sz w:val="24"/>
        </w:rPr>
      </w:pPr>
      <w:r>
        <w:rPr>
          <w:rFonts w:ascii="Arial MT"/>
          <w:sz w:val="24"/>
        </w:rPr>
        <w:t>Estados</w:t>
      </w:r>
      <w:r>
        <w:rPr>
          <w:rFonts w:ascii="Arial MT"/>
          <w:spacing w:val="-7"/>
          <w:sz w:val="24"/>
        </w:rPr>
        <w:t> </w:t>
      </w:r>
      <w:r>
        <w:rPr>
          <w:rFonts w:ascii="Arial MT"/>
          <w:sz w:val="24"/>
        </w:rPr>
        <w:t>financieros</w:t>
      </w:r>
      <w:r>
        <w:rPr>
          <w:rFonts w:ascii="Arial MT"/>
          <w:spacing w:val="-10"/>
          <w:sz w:val="24"/>
        </w:rPr>
        <w:t> </w:t>
      </w:r>
      <w:r>
        <w:rPr>
          <w:rFonts w:ascii="Arial MT"/>
          <w:sz w:val="24"/>
        </w:rPr>
        <w:t>intermedios</w:t>
      </w:r>
      <w:r>
        <w:rPr>
          <w:rFonts w:ascii="Arial MT"/>
          <w:spacing w:val="-5"/>
          <w:sz w:val="24"/>
        </w:rPr>
        <w:t> </w:t>
      </w:r>
      <w:r>
        <w:rPr>
          <w:rFonts w:ascii="Arial MT"/>
          <w:sz w:val="24"/>
        </w:rPr>
        <w:t>consolidados</w:t>
      </w:r>
      <w:r>
        <w:rPr>
          <w:rFonts w:ascii="Arial MT"/>
          <w:spacing w:val="-9"/>
          <w:sz w:val="24"/>
        </w:rPr>
        <w:t> </w:t>
      </w:r>
      <w:r>
        <w:rPr>
          <w:rFonts w:ascii="Arial MT"/>
          <w:sz w:val="24"/>
        </w:rPr>
        <w:t>condensados,</w:t>
      </w:r>
      <w:r>
        <w:rPr>
          <w:rFonts w:ascii="Arial MT"/>
          <w:spacing w:val="-5"/>
          <w:sz w:val="24"/>
        </w:rPr>
        <w:t> </w:t>
      </w:r>
      <w:r>
        <w:rPr>
          <w:rFonts w:ascii="Arial MT"/>
          <w:sz w:val="24"/>
        </w:rPr>
        <w:t>que</w:t>
      </w:r>
      <w:r>
        <w:rPr>
          <w:rFonts w:ascii="Arial MT"/>
          <w:spacing w:val="-8"/>
          <w:sz w:val="24"/>
        </w:rPr>
        <w:t> </w:t>
      </w:r>
      <w:r>
        <w:rPr>
          <w:rFonts w:ascii="Arial MT"/>
          <w:spacing w:val="-2"/>
          <w:sz w:val="24"/>
        </w:rPr>
        <w:t>incluyen:</w:t>
      </w:r>
    </w:p>
    <w:p>
      <w:pPr>
        <w:pStyle w:val="BodyText"/>
        <w:rPr>
          <w:rFonts w:ascii="Arial MT"/>
          <w:sz w:val="24"/>
        </w:rPr>
      </w:pP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Estado</w:t>
      </w:r>
      <w:r>
        <w:rPr>
          <w:rFonts w:ascii="Arial MT" w:hAnsi="Arial MT"/>
          <w:spacing w:val="-17"/>
          <w:sz w:val="24"/>
        </w:rPr>
        <w:t> </w:t>
      </w:r>
      <w:r>
        <w:rPr>
          <w:rFonts w:ascii="Arial MT" w:hAnsi="Arial MT"/>
          <w:sz w:val="24"/>
        </w:rPr>
        <w:t>intermedio</w:t>
      </w:r>
      <w:r>
        <w:rPr>
          <w:rFonts w:ascii="Arial MT" w:hAnsi="Arial MT"/>
          <w:spacing w:val="-17"/>
          <w:sz w:val="24"/>
        </w:rPr>
        <w:t> </w:t>
      </w:r>
      <w:r>
        <w:rPr>
          <w:rFonts w:ascii="Arial MT" w:hAnsi="Arial MT"/>
          <w:sz w:val="24"/>
        </w:rPr>
        <w:t>consolidado</w:t>
      </w:r>
      <w:r>
        <w:rPr>
          <w:rFonts w:ascii="Arial MT" w:hAnsi="Arial MT"/>
          <w:spacing w:val="-16"/>
          <w:sz w:val="24"/>
        </w:rPr>
        <w:t> </w:t>
      </w:r>
      <w:r>
        <w:rPr>
          <w:rFonts w:ascii="Arial MT" w:hAnsi="Arial MT"/>
          <w:sz w:val="24"/>
        </w:rPr>
        <w:t>condensado</w:t>
      </w:r>
      <w:r>
        <w:rPr>
          <w:rFonts w:ascii="Arial MT" w:hAnsi="Arial MT"/>
          <w:spacing w:val="-16"/>
          <w:sz w:val="24"/>
        </w:rPr>
        <w:t> </w:t>
      </w:r>
      <w:r>
        <w:rPr>
          <w:rFonts w:ascii="Arial MT" w:hAnsi="Arial MT"/>
          <w:sz w:val="24"/>
        </w:rPr>
        <w:t>de</w:t>
      </w:r>
      <w:r>
        <w:rPr>
          <w:rFonts w:ascii="Arial MT" w:hAnsi="Arial MT"/>
          <w:spacing w:val="-14"/>
          <w:sz w:val="24"/>
        </w:rPr>
        <w:t> </w:t>
      </w:r>
      <w:r>
        <w:rPr>
          <w:rFonts w:ascii="Arial MT" w:hAnsi="Arial MT"/>
          <w:sz w:val="24"/>
        </w:rPr>
        <w:t>situación</w:t>
      </w:r>
      <w:r>
        <w:rPr>
          <w:rFonts w:ascii="Arial MT" w:hAnsi="Arial MT"/>
          <w:spacing w:val="-14"/>
          <w:sz w:val="24"/>
        </w:rPr>
        <w:t> </w:t>
      </w:r>
      <w:r>
        <w:rPr>
          <w:rFonts w:ascii="Arial MT" w:hAnsi="Arial MT"/>
          <w:spacing w:val="-2"/>
          <w:sz w:val="24"/>
        </w:rPr>
        <w:t>financiera.</w:t>
      </w:r>
    </w:p>
    <w:p>
      <w:pPr>
        <w:pStyle w:val="BodyText"/>
        <w:rPr>
          <w:rFonts w:ascii="Arial MT"/>
          <w:sz w:val="24"/>
        </w:rPr>
      </w:pPr>
    </w:p>
    <w:p>
      <w:pPr>
        <w:pStyle w:val="ListParagraph"/>
        <w:numPr>
          <w:ilvl w:val="0"/>
          <w:numId w:val="2"/>
        </w:numPr>
        <w:tabs>
          <w:tab w:pos="484" w:val="left" w:leader="none"/>
        </w:tabs>
        <w:spacing w:line="480" w:lineRule="auto" w:before="0" w:after="0"/>
        <w:ind w:left="288" w:right="195" w:firstLine="0"/>
        <w:jc w:val="left"/>
        <w:rPr>
          <w:rFonts w:ascii="Arial MT" w:hAnsi="Arial MT"/>
          <w:sz w:val="24"/>
        </w:rPr>
      </w:pPr>
      <w:r>
        <w:rPr>
          <w:rFonts w:ascii="Arial MT" w:hAnsi="Arial MT"/>
          <w:sz w:val="24"/>
        </w:rPr>
        <w:t>Estado</w:t>
      </w:r>
      <w:r>
        <w:rPr>
          <w:rFonts w:ascii="Arial MT" w:hAnsi="Arial MT"/>
          <w:spacing w:val="39"/>
          <w:sz w:val="24"/>
        </w:rPr>
        <w:t> </w:t>
      </w:r>
      <w:r>
        <w:rPr>
          <w:rFonts w:ascii="Arial MT" w:hAnsi="Arial MT"/>
          <w:sz w:val="24"/>
        </w:rPr>
        <w:t>intermedio</w:t>
      </w:r>
      <w:r>
        <w:rPr>
          <w:rFonts w:ascii="Arial MT" w:hAnsi="Arial MT"/>
          <w:spacing w:val="39"/>
          <w:sz w:val="24"/>
        </w:rPr>
        <w:t> </w:t>
      </w:r>
      <w:r>
        <w:rPr>
          <w:rFonts w:ascii="Arial MT" w:hAnsi="Arial MT"/>
          <w:sz w:val="24"/>
        </w:rPr>
        <w:t>consolidado</w:t>
      </w:r>
      <w:r>
        <w:rPr>
          <w:rFonts w:ascii="Arial MT" w:hAnsi="Arial MT"/>
          <w:spacing w:val="40"/>
          <w:sz w:val="24"/>
        </w:rPr>
        <w:t> </w:t>
      </w:r>
      <w:r>
        <w:rPr>
          <w:rFonts w:ascii="Arial MT" w:hAnsi="Arial MT"/>
          <w:sz w:val="24"/>
        </w:rPr>
        <w:t>condensado</w:t>
      </w:r>
      <w:r>
        <w:rPr>
          <w:rFonts w:ascii="Arial MT" w:hAnsi="Arial MT"/>
          <w:spacing w:val="40"/>
          <w:sz w:val="24"/>
        </w:rPr>
        <w:t> </w:t>
      </w:r>
      <w:r>
        <w:rPr>
          <w:rFonts w:ascii="Arial MT" w:hAnsi="Arial MT"/>
          <w:sz w:val="24"/>
        </w:rPr>
        <w:t>de</w:t>
      </w:r>
      <w:r>
        <w:rPr>
          <w:rFonts w:ascii="Arial MT" w:hAnsi="Arial MT"/>
          <w:spacing w:val="39"/>
          <w:sz w:val="24"/>
        </w:rPr>
        <w:t> </w:t>
      </w:r>
      <w:r>
        <w:rPr>
          <w:rFonts w:ascii="Arial MT" w:hAnsi="Arial MT"/>
          <w:sz w:val="24"/>
        </w:rPr>
        <w:t>ganancias</w:t>
      </w:r>
      <w:r>
        <w:rPr>
          <w:rFonts w:ascii="Arial MT" w:hAnsi="Arial MT"/>
          <w:spacing w:val="40"/>
          <w:sz w:val="24"/>
        </w:rPr>
        <w:t> </w:t>
      </w:r>
      <w:r>
        <w:rPr>
          <w:rFonts w:ascii="Arial MT" w:hAnsi="Arial MT"/>
          <w:sz w:val="24"/>
        </w:rPr>
        <w:t>o</w:t>
      </w:r>
      <w:r>
        <w:rPr>
          <w:rFonts w:ascii="Arial MT" w:hAnsi="Arial MT"/>
          <w:spacing w:val="39"/>
          <w:sz w:val="24"/>
        </w:rPr>
        <w:t> </w:t>
      </w:r>
      <w:r>
        <w:rPr>
          <w:rFonts w:ascii="Arial MT" w:hAnsi="Arial MT"/>
          <w:sz w:val="24"/>
        </w:rPr>
        <w:t>pérdidas</w:t>
      </w:r>
      <w:r>
        <w:rPr>
          <w:rFonts w:ascii="Arial MT" w:hAnsi="Arial MT"/>
          <w:spacing w:val="40"/>
          <w:sz w:val="24"/>
        </w:rPr>
        <w:t> </w:t>
      </w:r>
      <w:r>
        <w:rPr>
          <w:rFonts w:ascii="Arial MT" w:hAnsi="Arial MT"/>
          <w:sz w:val="24"/>
        </w:rPr>
        <w:t>y</w:t>
      </w:r>
      <w:r>
        <w:rPr>
          <w:rFonts w:ascii="Arial MT" w:hAnsi="Arial MT"/>
          <w:spacing w:val="38"/>
          <w:sz w:val="24"/>
        </w:rPr>
        <w:t> </w:t>
      </w:r>
      <w:r>
        <w:rPr>
          <w:rFonts w:ascii="Arial MT" w:hAnsi="Arial MT"/>
          <w:sz w:val="24"/>
        </w:rPr>
        <w:t>otros resultados integrales.</w:t>
      </w:r>
    </w:p>
    <w:p>
      <w:pPr>
        <w:pStyle w:val="ListParagraph"/>
        <w:numPr>
          <w:ilvl w:val="0"/>
          <w:numId w:val="2"/>
        </w:numPr>
        <w:tabs>
          <w:tab w:pos="436" w:val="left" w:leader="none"/>
        </w:tabs>
        <w:spacing w:line="240" w:lineRule="auto" w:before="1" w:after="0"/>
        <w:ind w:left="436" w:right="0" w:hanging="148"/>
        <w:jc w:val="left"/>
        <w:rPr>
          <w:rFonts w:ascii="Arial MT" w:hAnsi="Arial MT"/>
          <w:sz w:val="24"/>
        </w:rPr>
      </w:pPr>
      <w:r>
        <w:rPr>
          <w:rFonts w:ascii="Arial MT" w:hAnsi="Arial MT"/>
          <w:sz w:val="24"/>
        </w:rPr>
        <w:t>Estado</w:t>
      </w:r>
      <w:r>
        <w:rPr>
          <w:rFonts w:ascii="Arial MT" w:hAnsi="Arial MT"/>
          <w:spacing w:val="-17"/>
          <w:sz w:val="24"/>
        </w:rPr>
        <w:t> </w:t>
      </w:r>
      <w:r>
        <w:rPr>
          <w:rFonts w:ascii="Arial MT" w:hAnsi="Arial MT"/>
          <w:sz w:val="24"/>
        </w:rPr>
        <w:t>intermedio</w:t>
      </w:r>
      <w:r>
        <w:rPr>
          <w:rFonts w:ascii="Arial MT" w:hAnsi="Arial MT"/>
          <w:spacing w:val="-13"/>
          <w:sz w:val="24"/>
        </w:rPr>
        <w:t> </w:t>
      </w:r>
      <w:r>
        <w:rPr>
          <w:rFonts w:ascii="Arial MT" w:hAnsi="Arial MT"/>
          <w:sz w:val="24"/>
        </w:rPr>
        <w:t>consolidado</w:t>
      </w:r>
      <w:r>
        <w:rPr>
          <w:rFonts w:ascii="Arial MT" w:hAnsi="Arial MT"/>
          <w:spacing w:val="-11"/>
          <w:sz w:val="24"/>
        </w:rPr>
        <w:t> </w:t>
      </w:r>
      <w:r>
        <w:rPr>
          <w:rFonts w:ascii="Arial MT" w:hAnsi="Arial MT"/>
          <w:sz w:val="24"/>
        </w:rPr>
        <w:t>condensado</w:t>
      </w:r>
      <w:r>
        <w:rPr>
          <w:rFonts w:ascii="Arial MT" w:hAnsi="Arial MT"/>
          <w:spacing w:val="-17"/>
          <w:sz w:val="24"/>
        </w:rPr>
        <w:t> </w:t>
      </w:r>
      <w:r>
        <w:rPr>
          <w:rFonts w:ascii="Arial MT" w:hAnsi="Arial MT"/>
          <w:sz w:val="24"/>
        </w:rPr>
        <w:t>de</w:t>
      </w:r>
      <w:r>
        <w:rPr>
          <w:rFonts w:ascii="Arial MT" w:hAnsi="Arial MT"/>
          <w:spacing w:val="-12"/>
          <w:sz w:val="24"/>
        </w:rPr>
        <w:t> </w:t>
      </w:r>
      <w:r>
        <w:rPr>
          <w:rFonts w:ascii="Arial MT" w:hAnsi="Arial MT"/>
          <w:sz w:val="24"/>
        </w:rPr>
        <w:t>cambios</w:t>
      </w:r>
      <w:r>
        <w:rPr>
          <w:rFonts w:ascii="Arial MT" w:hAnsi="Arial MT"/>
          <w:spacing w:val="-11"/>
          <w:sz w:val="24"/>
        </w:rPr>
        <w:t> </w:t>
      </w:r>
      <w:r>
        <w:rPr>
          <w:rFonts w:ascii="Arial MT" w:hAnsi="Arial MT"/>
          <w:sz w:val="24"/>
        </w:rPr>
        <w:t>en</w:t>
      </w:r>
      <w:r>
        <w:rPr>
          <w:rFonts w:ascii="Arial MT" w:hAnsi="Arial MT"/>
          <w:spacing w:val="-12"/>
          <w:sz w:val="24"/>
        </w:rPr>
        <w:t> </w:t>
      </w:r>
      <w:r>
        <w:rPr>
          <w:rFonts w:ascii="Arial MT" w:hAnsi="Arial MT"/>
          <w:sz w:val="24"/>
        </w:rPr>
        <w:t>el</w:t>
      </w:r>
      <w:r>
        <w:rPr>
          <w:rFonts w:ascii="Arial MT" w:hAnsi="Arial MT"/>
          <w:spacing w:val="-9"/>
          <w:sz w:val="24"/>
        </w:rPr>
        <w:t> </w:t>
      </w:r>
      <w:r>
        <w:rPr>
          <w:rFonts w:ascii="Arial MT" w:hAnsi="Arial MT"/>
          <w:spacing w:val="-2"/>
          <w:sz w:val="24"/>
        </w:rPr>
        <w:t>patrimonio.</w:t>
      </w:r>
    </w:p>
    <w:p>
      <w:pPr>
        <w:pStyle w:val="BodyText"/>
        <w:rPr>
          <w:rFonts w:ascii="Arial MT"/>
          <w:sz w:val="24"/>
        </w:rPr>
      </w:pP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Estado</w:t>
      </w:r>
      <w:r>
        <w:rPr>
          <w:rFonts w:ascii="Arial MT" w:hAnsi="Arial MT"/>
          <w:spacing w:val="-17"/>
          <w:sz w:val="24"/>
        </w:rPr>
        <w:t> </w:t>
      </w:r>
      <w:r>
        <w:rPr>
          <w:rFonts w:ascii="Arial MT" w:hAnsi="Arial MT"/>
          <w:sz w:val="24"/>
        </w:rPr>
        <w:t>intermedio</w:t>
      </w:r>
      <w:r>
        <w:rPr>
          <w:rFonts w:ascii="Arial MT" w:hAnsi="Arial MT"/>
          <w:spacing w:val="-15"/>
          <w:sz w:val="24"/>
        </w:rPr>
        <w:t> </w:t>
      </w:r>
      <w:r>
        <w:rPr>
          <w:rFonts w:ascii="Arial MT" w:hAnsi="Arial MT"/>
          <w:sz w:val="24"/>
        </w:rPr>
        <w:t>consolidado</w:t>
      </w:r>
      <w:r>
        <w:rPr>
          <w:rFonts w:ascii="Arial MT" w:hAnsi="Arial MT"/>
          <w:spacing w:val="-7"/>
          <w:sz w:val="24"/>
        </w:rPr>
        <w:t> </w:t>
      </w:r>
      <w:r>
        <w:rPr>
          <w:rFonts w:ascii="Arial MT" w:hAnsi="Arial MT"/>
          <w:sz w:val="24"/>
        </w:rPr>
        <w:t>condensado</w:t>
      </w:r>
      <w:r>
        <w:rPr>
          <w:rFonts w:ascii="Arial MT" w:hAnsi="Arial MT"/>
          <w:spacing w:val="-17"/>
          <w:sz w:val="24"/>
        </w:rPr>
        <w:t> </w:t>
      </w:r>
      <w:r>
        <w:rPr>
          <w:rFonts w:ascii="Arial MT" w:hAnsi="Arial MT"/>
          <w:sz w:val="24"/>
        </w:rPr>
        <w:t>de</w:t>
      </w:r>
      <w:r>
        <w:rPr>
          <w:rFonts w:ascii="Arial MT" w:hAnsi="Arial MT"/>
          <w:spacing w:val="-12"/>
          <w:sz w:val="24"/>
        </w:rPr>
        <w:t> </w:t>
      </w:r>
      <w:r>
        <w:rPr>
          <w:rFonts w:ascii="Arial MT" w:hAnsi="Arial MT"/>
          <w:sz w:val="24"/>
        </w:rPr>
        <w:t>flujos</w:t>
      </w:r>
      <w:r>
        <w:rPr>
          <w:rFonts w:ascii="Arial MT" w:hAnsi="Arial MT"/>
          <w:spacing w:val="-12"/>
          <w:sz w:val="24"/>
        </w:rPr>
        <w:t> </w:t>
      </w:r>
      <w:r>
        <w:rPr>
          <w:rFonts w:ascii="Arial MT" w:hAnsi="Arial MT"/>
          <w:sz w:val="24"/>
        </w:rPr>
        <w:t>de</w:t>
      </w:r>
      <w:r>
        <w:rPr>
          <w:rFonts w:ascii="Arial MT" w:hAnsi="Arial MT"/>
          <w:spacing w:val="-13"/>
          <w:sz w:val="24"/>
        </w:rPr>
        <w:t> </w:t>
      </w:r>
      <w:r>
        <w:rPr>
          <w:rFonts w:ascii="Arial MT" w:hAnsi="Arial MT"/>
          <w:spacing w:val="-2"/>
          <w:sz w:val="24"/>
        </w:rPr>
        <w:t>efectivo.</w:t>
      </w:r>
    </w:p>
    <w:p>
      <w:pPr>
        <w:pStyle w:val="BodyText"/>
        <w:rPr>
          <w:rFonts w:ascii="Arial MT"/>
          <w:sz w:val="24"/>
        </w:rPr>
      </w:pPr>
    </w:p>
    <w:p>
      <w:pPr>
        <w:pStyle w:val="ListParagraph"/>
        <w:numPr>
          <w:ilvl w:val="0"/>
          <w:numId w:val="2"/>
        </w:numPr>
        <w:tabs>
          <w:tab w:pos="436" w:val="left" w:leader="none"/>
        </w:tabs>
        <w:spacing w:line="480" w:lineRule="auto" w:before="1" w:after="0"/>
        <w:ind w:left="288" w:right="1111" w:firstLine="0"/>
        <w:jc w:val="left"/>
        <w:rPr>
          <w:rFonts w:ascii="Arial MT" w:hAnsi="Arial MT"/>
          <w:sz w:val="24"/>
        </w:rPr>
      </w:pPr>
      <w:r>
        <w:rPr>
          <w:rFonts w:ascii="Arial MT" w:hAnsi="Arial MT"/>
          <w:sz w:val="24"/>
        </w:rPr>
        <w:t>Notas</w:t>
      </w:r>
      <w:r>
        <w:rPr>
          <w:rFonts w:ascii="Arial MT" w:hAnsi="Arial MT"/>
          <w:spacing w:val="-3"/>
          <w:sz w:val="24"/>
        </w:rPr>
        <w:t> </w:t>
      </w:r>
      <w:r>
        <w:rPr>
          <w:rFonts w:ascii="Arial MT" w:hAnsi="Arial MT"/>
          <w:sz w:val="24"/>
        </w:rPr>
        <w:t>a</w:t>
      </w:r>
      <w:r>
        <w:rPr>
          <w:rFonts w:ascii="Arial MT" w:hAnsi="Arial MT"/>
          <w:spacing w:val="-7"/>
          <w:sz w:val="24"/>
        </w:rPr>
        <w:t> </w:t>
      </w:r>
      <w:r>
        <w:rPr>
          <w:rFonts w:ascii="Arial MT" w:hAnsi="Arial MT"/>
          <w:sz w:val="24"/>
        </w:rPr>
        <w:t>los</w:t>
      </w:r>
      <w:r>
        <w:rPr>
          <w:rFonts w:ascii="Arial MT" w:hAnsi="Arial MT"/>
          <w:spacing w:val="-8"/>
          <w:sz w:val="24"/>
        </w:rPr>
        <w:t> </w:t>
      </w:r>
      <w:r>
        <w:rPr>
          <w:rFonts w:ascii="Arial MT" w:hAnsi="Arial MT"/>
          <w:sz w:val="24"/>
        </w:rPr>
        <w:t>estados</w:t>
      </w:r>
      <w:r>
        <w:rPr>
          <w:rFonts w:ascii="Arial MT" w:hAnsi="Arial MT"/>
          <w:spacing w:val="-8"/>
          <w:sz w:val="24"/>
        </w:rPr>
        <w:t> </w:t>
      </w:r>
      <w:r>
        <w:rPr>
          <w:rFonts w:ascii="Arial MT" w:hAnsi="Arial MT"/>
          <w:sz w:val="24"/>
        </w:rPr>
        <w:t>financieros</w:t>
      </w:r>
      <w:r>
        <w:rPr>
          <w:rFonts w:ascii="Arial MT" w:hAnsi="Arial MT"/>
          <w:spacing w:val="-8"/>
          <w:sz w:val="24"/>
        </w:rPr>
        <w:t> </w:t>
      </w:r>
      <w:r>
        <w:rPr>
          <w:rFonts w:ascii="Arial MT" w:hAnsi="Arial MT"/>
          <w:sz w:val="24"/>
        </w:rPr>
        <w:t>intermedios</w:t>
      </w:r>
      <w:r>
        <w:rPr>
          <w:rFonts w:ascii="Arial MT" w:hAnsi="Arial MT"/>
          <w:spacing w:val="-8"/>
          <w:sz w:val="24"/>
        </w:rPr>
        <w:t> </w:t>
      </w:r>
      <w:r>
        <w:rPr>
          <w:rFonts w:ascii="Arial MT" w:hAnsi="Arial MT"/>
          <w:sz w:val="24"/>
        </w:rPr>
        <w:t>consolidados</w:t>
      </w:r>
      <w:r>
        <w:rPr>
          <w:rFonts w:ascii="Arial MT" w:hAnsi="Arial MT"/>
          <w:spacing w:val="-3"/>
          <w:sz w:val="24"/>
        </w:rPr>
        <w:t> </w:t>
      </w:r>
      <w:r>
        <w:rPr>
          <w:rFonts w:ascii="Arial MT" w:hAnsi="Arial MT"/>
          <w:sz w:val="24"/>
        </w:rPr>
        <w:t>condensados. Reseña informativa.</w:t>
      </w:r>
    </w:p>
    <w:p>
      <w:pPr>
        <w:spacing w:before="0"/>
        <w:ind w:left="288" w:right="0" w:firstLine="0"/>
        <w:jc w:val="left"/>
        <w:rPr>
          <w:rFonts w:ascii="Arial MT"/>
          <w:sz w:val="24"/>
        </w:rPr>
      </w:pPr>
      <w:r>
        <w:rPr>
          <w:rFonts w:ascii="Arial MT"/>
          <w:sz w:val="24"/>
        </w:rPr>
        <w:t>Estados</w:t>
      </w:r>
      <w:r>
        <w:rPr>
          <w:rFonts w:ascii="Arial MT"/>
          <w:spacing w:val="-6"/>
          <w:sz w:val="24"/>
        </w:rPr>
        <w:t> </w:t>
      </w:r>
      <w:r>
        <w:rPr>
          <w:rFonts w:ascii="Arial MT"/>
          <w:sz w:val="24"/>
        </w:rPr>
        <w:t>financieros</w:t>
      </w:r>
      <w:r>
        <w:rPr>
          <w:rFonts w:ascii="Arial MT"/>
          <w:spacing w:val="-8"/>
          <w:sz w:val="24"/>
        </w:rPr>
        <w:t> </w:t>
      </w:r>
      <w:r>
        <w:rPr>
          <w:rFonts w:ascii="Arial MT"/>
          <w:sz w:val="24"/>
        </w:rPr>
        <w:t>intermedios</w:t>
      </w:r>
      <w:r>
        <w:rPr>
          <w:rFonts w:ascii="Arial MT"/>
          <w:spacing w:val="-4"/>
          <w:sz w:val="24"/>
        </w:rPr>
        <w:t> </w:t>
      </w:r>
      <w:r>
        <w:rPr>
          <w:rFonts w:ascii="Arial MT"/>
          <w:sz w:val="24"/>
        </w:rPr>
        <w:t>separados</w:t>
      </w:r>
      <w:r>
        <w:rPr>
          <w:rFonts w:ascii="Arial MT"/>
          <w:spacing w:val="3"/>
          <w:sz w:val="24"/>
        </w:rPr>
        <w:t> </w:t>
      </w:r>
      <w:r>
        <w:rPr>
          <w:rFonts w:ascii="Arial MT"/>
          <w:sz w:val="24"/>
        </w:rPr>
        <w:t>condensados,</w:t>
      </w:r>
      <w:r>
        <w:rPr>
          <w:rFonts w:ascii="Arial MT"/>
          <w:spacing w:val="-8"/>
          <w:sz w:val="24"/>
        </w:rPr>
        <w:t> </w:t>
      </w:r>
      <w:r>
        <w:rPr>
          <w:rFonts w:ascii="Arial MT"/>
          <w:sz w:val="24"/>
        </w:rPr>
        <w:t>que</w:t>
      </w:r>
      <w:r>
        <w:rPr>
          <w:rFonts w:ascii="Arial MT"/>
          <w:spacing w:val="-3"/>
          <w:sz w:val="24"/>
        </w:rPr>
        <w:t> </w:t>
      </w:r>
      <w:r>
        <w:rPr>
          <w:rFonts w:ascii="Arial MT"/>
          <w:spacing w:val="-2"/>
          <w:sz w:val="24"/>
        </w:rPr>
        <w:t>contienen:</w:t>
      </w:r>
    </w:p>
    <w:p>
      <w:pPr>
        <w:pStyle w:val="BodyText"/>
        <w:rPr>
          <w:rFonts w:ascii="Arial MT"/>
          <w:sz w:val="24"/>
        </w:rPr>
      </w:pP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Estado</w:t>
      </w:r>
      <w:r>
        <w:rPr>
          <w:rFonts w:ascii="Arial MT" w:hAnsi="Arial MT"/>
          <w:spacing w:val="-17"/>
          <w:sz w:val="24"/>
        </w:rPr>
        <w:t> </w:t>
      </w:r>
      <w:r>
        <w:rPr>
          <w:rFonts w:ascii="Arial MT" w:hAnsi="Arial MT"/>
          <w:sz w:val="24"/>
        </w:rPr>
        <w:t>intermedio</w:t>
      </w:r>
      <w:r>
        <w:rPr>
          <w:rFonts w:ascii="Arial MT" w:hAnsi="Arial MT"/>
          <w:spacing w:val="-15"/>
          <w:sz w:val="24"/>
        </w:rPr>
        <w:t> </w:t>
      </w:r>
      <w:r>
        <w:rPr>
          <w:rFonts w:ascii="Arial MT" w:hAnsi="Arial MT"/>
          <w:sz w:val="24"/>
        </w:rPr>
        <w:t>separado</w:t>
      </w:r>
      <w:r>
        <w:rPr>
          <w:rFonts w:ascii="Arial MT" w:hAnsi="Arial MT"/>
          <w:spacing w:val="-14"/>
          <w:sz w:val="24"/>
        </w:rPr>
        <w:t> </w:t>
      </w:r>
      <w:r>
        <w:rPr>
          <w:rFonts w:ascii="Arial MT" w:hAnsi="Arial MT"/>
          <w:sz w:val="24"/>
        </w:rPr>
        <w:t>condensado</w:t>
      </w:r>
      <w:r>
        <w:rPr>
          <w:rFonts w:ascii="Arial MT" w:hAnsi="Arial MT"/>
          <w:spacing w:val="-14"/>
          <w:sz w:val="24"/>
        </w:rPr>
        <w:t> </w:t>
      </w:r>
      <w:r>
        <w:rPr>
          <w:rFonts w:ascii="Arial MT" w:hAnsi="Arial MT"/>
          <w:sz w:val="24"/>
        </w:rPr>
        <w:t>de</w:t>
      </w:r>
      <w:r>
        <w:rPr>
          <w:rFonts w:ascii="Arial MT" w:hAnsi="Arial MT"/>
          <w:spacing w:val="-16"/>
          <w:sz w:val="24"/>
        </w:rPr>
        <w:t> </w:t>
      </w:r>
      <w:r>
        <w:rPr>
          <w:rFonts w:ascii="Arial MT" w:hAnsi="Arial MT"/>
          <w:sz w:val="24"/>
        </w:rPr>
        <w:t>situación</w:t>
      </w:r>
      <w:r>
        <w:rPr>
          <w:rFonts w:ascii="Arial MT" w:hAnsi="Arial MT"/>
          <w:spacing w:val="-13"/>
          <w:sz w:val="24"/>
        </w:rPr>
        <w:t> </w:t>
      </w:r>
      <w:r>
        <w:rPr>
          <w:rFonts w:ascii="Arial MT" w:hAnsi="Arial MT"/>
          <w:spacing w:val="-2"/>
          <w:sz w:val="24"/>
        </w:rPr>
        <w:t>financiera.</w:t>
      </w:r>
    </w:p>
    <w:p>
      <w:pPr>
        <w:pStyle w:val="BodyText"/>
        <w:rPr>
          <w:rFonts w:ascii="Arial MT"/>
          <w:sz w:val="24"/>
        </w:rPr>
      </w:pPr>
    </w:p>
    <w:p>
      <w:pPr>
        <w:pStyle w:val="ListParagraph"/>
        <w:numPr>
          <w:ilvl w:val="0"/>
          <w:numId w:val="2"/>
        </w:numPr>
        <w:tabs>
          <w:tab w:pos="513" w:val="left" w:leader="none"/>
        </w:tabs>
        <w:spacing w:line="480" w:lineRule="auto" w:before="0" w:after="0"/>
        <w:ind w:left="288" w:right="191" w:firstLine="0"/>
        <w:jc w:val="left"/>
        <w:rPr>
          <w:rFonts w:ascii="Arial MT" w:hAnsi="Arial MT"/>
          <w:sz w:val="24"/>
        </w:rPr>
      </w:pPr>
      <w:r>
        <w:rPr>
          <w:rFonts w:ascii="Arial MT" w:hAnsi="Arial MT"/>
          <w:sz w:val="24"/>
        </w:rPr>
        <w:t>Estado</w:t>
      </w:r>
      <w:r>
        <w:rPr>
          <w:rFonts w:ascii="Arial MT" w:hAnsi="Arial MT"/>
          <w:spacing w:val="40"/>
          <w:sz w:val="24"/>
        </w:rPr>
        <w:t> </w:t>
      </w:r>
      <w:r>
        <w:rPr>
          <w:rFonts w:ascii="Arial MT" w:hAnsi="Arial MT"/>
          <w:sz w:val="24"/>
        </w:rPr>
        <w:t>intermedio</w:t>
      </w:r>
      <w:r>
        <w:rPr>
          <w:rFonts w:ascii="Arial MT" w:hAnsi="Arial MT"/>
          <w:spacing w:val="40"/>
          <w:sz w:val="24"/>
        </w:rPr>
        <w:t> </w:t>
      </w:r>
      <w:r>
        <w:rPr>
          <w:rFonts w:ascii="Arial MT" w:hAnsi="Arial MT"/>
          <w:sz w:val="24"/>
        </w:rPr>
        <w:t>separado</w:t>
      </w:r>
      <w:r>
        <w:rPr>
          <w:rFonts w:ascii="Arial MT" w:hAnsi="Arial MT"/>
          <w:spacing w:val="40"/>
          <w:sz w:val="24"/>
        </w:rPr>
        <w:t> </w:t>
      </w:r>
      <w:r>
        <w:rPr>
          <w:rFonts w:ascii="Arial MT" w:hAnsi="Arial MT"/>
          <w:sz w:val="24"/>
        </w:rPr>
        <w:t>condensado</w:t>
      </w:r>
      <w:r>
        <w:rPr>
          <w:rFonts w:ascii="Arial MT" w:hAnsi="Arial MT"/>
          <w:spacing w:val="40"/>
          <w:sz w:val="24"/>
        </w:rPr>
        <w:t> </w:t>
      </w:r>
      <w:r>
        <w:rPr>
          <w:rFonts w:ascii="Arial MT" w:hAnsi="Arial MT"/>
          <w:sz w:val="24"/>
        </w:rPr>
        <w:t>de</w:t>
      </w:r>
      <w:r>
        <w:rPr>
          <w:rFonts w:ascii="Arial MT" w:hAnsi="Arial MT"/>
          <w:spacing w:val="40"/>
          <w:sz w:val="24"/>
        </w:rPr>
        <w:t> </w:t>
      </w:r>
      <w:r>
        <w:rPr>
          <w:rFonts w:ascii="Arial MT" w:hAnsi="Arial MT"/>
          <w:sz w:val="24"/>
        </w:rPr>
        <w:t>ganancias</w:t>
      </w:r>
      <w:r>
        <w:rPr>
          <w:rFonts w:ascii="Arial MT" w:hAnsi="Arial MT"/>
          <w:spacing w:val="40"/>
          <w:sz w:val="24"/>
        </w:rPr>
        <w:t> </w:t>
      </w:r>
      <w:r>
        <w:rPr>
          <w:rFonts w:ascii="Arial MT" w:hAnsi="Arial MT"/>
          <w:sz w:val="24"/>
        </w:rPr>
        <w:t>o</w:t>
      </w:r>
      <w:r>
        <w:rPr>
          <w:rFonts w:ascii="Arial MT" w:hAnsi="Arial MT"/>
          <w:spacing w:val="40"/>
          <w:sz w:val="24"/>
        </w:rPr>
        <w:t> </w:t>
      </w:r>
      <w:r>
        <w:rPr>
          <w:rFonts w:ascii="Arial MT" w:hAnsi="Arial MT"/>
          <w:sz w:val="24"/>
        </w:rPr>
        <w:t>pérdidas</w:t>
      </w:r>
      <w:r>
        <w:rPr>
          <w:rFonts w:ascii="Arial MT" w:hAnsi="Arial MT"/>
          <w:spacing w:val="40"/>
          <w:sz w:val="24"/>
        </w:rPr>
        <w:t> </w:t>
      </w:r>
      <w:r>
        <w:rPr>
          <w:rFonts w:ascii="Arial MT" w:hAnsi="Arial MT"/>
          <w:sz w:val="24"/>
        </w:rPr>
        <w:t>y</w:t>
      </w:r>
      <w:r>
        <w:rPr>
          <w:rFonts w:ascii="Arial MT" w:hAnsi="Arial MT"/>
          <w:spacing w:val="40"/>
          <w:sz w:val="24"/>
        </w:rPr>
        <w:t> </w:t>
      </w:r>
      <w:r>
        <w:rPr>
          <w:rFonts w:ascii="Arial MT" w:hAnsi="Arial MT"/>
          <w:sz w:val="24"/>
        </w:rPr>
        <w:t>otros</w:t>
      </w:r>
      <w:r>
        <w:rPr>
          <w:rFonts w:ascii="Arial MT" w:hAnsi="Arial MT"/>
          <w:spacing w:val="80"/>
          <w:sz w:val="24"/>
        </w:rPr>
        <w:t> </w:t>
      </w:r>
      <w:r>
        <w:rPr>
          <w:rFonts w:ascii="Arial MT" w:hAnsi="Arial MT"/>
          <w:sz w:val="24"/>
        </w:rPr>
        <w:t>resultados integrales.</w:t>
      </w: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Estado</w:t>
      </w:r>
      <w:r>
        <w:rPr>
          <w:rFonts w:ascii="Arial MT" w:hAnsi="Arial MT"/>
          <w:spacing w:val="-15"/>
          <w:sz w:val="24"/>
        </w:rPr>
        <w:t> </w:t>
      </w:r>
      <w:r>
        <w:rPr>
          <w:rFonts w:ascii="Arial MT" w:hAnsi="Arial MT"/>
          <w:sz w:val="24"/>
        </w:rPr>
        <w:t>intermedio</w:t>
      </w:r>
      <w:r>
        <w:rPr>
          <w:rFonts w:ascii="Arial MT" w:hAnsi="Arial MT"/>
          <w:spacing w:val="-11"/>
          <w:sz w:val="24"/>
        </w:rPr>
        <w:t> </w:t>
      </w:r>
      <w:r>
        <w:rPr>
          <w:rFonts w:ascii="Arial MT" w:hAnsi="Arial MT"/>
          <w:sz w:val="24"/>
        </w:rPr>
        <w:t>separado</w:t>
      </w:r>
      <w:r>
        <w:rPr>
          <w:rFonts w:ascii="Arial MT" w:hAnsi="Arial MT"/>
          <w:spacing w:val="-12"/>
          <w:sz w:val="24"/>
        </w:rPr>
        <w:t> </w:t>
      </w:r>
      <w:r>
        <w:rPr>
          <w:rFonts w:ascii="Arial MT" w:hAnsi="Arial MT"/>
          <w:sz w:val="24"/>
        </w:rPr>
        <w:t>condensado</w:t>
      </w:r>
      <w:r>
        <w:rPr>
          <w:rFonts w:ascii="Arial MT" w:hAnsi="Arial MT"/>
          <w:spacing w:val="-11"/>
          <w:sz w:val="24"/>
        </w:rPr>
        <w:t> </w:t>
      </w:r>
      <w:r>
        <w:rPr>
          <w:rFonts w:ascii="Arial MT" w:hAnsi="Arial MT"/>
          <w:sz w:val="24"/>
        </w:rPr>
        <w:t>de</w:t>
      </w:r>
      <w:r>
        <w:rPr>
          <w:rFonts w:ascii="Arial MT" w:hAnsi="Arial MT"/>
          <w:spacing w:val="-14"/>
          <w:sz w:val="24"/>
        </w:rPr>
        <w:t> </w:t>
      </w:r>
      <w:r>
        <w:rPr>
          <w:rFonts w:ascii="Arial MT" w:hAnsi="Arial MT"/>
          <w:sz w:val="24"/>
        </w:rPr>
        <w:t>cambios</w:t>
      </w:r>
      <w:r>
        <w:rPr>
          <w:rFonts w:ascii="Arial MT" w:hAnsi="Arial MT"/>
          <w:spacing w:val="-12"/>
          <w:sz w:val="24"/>
        </w:rPr>
        <w:t> </w:t>
      </w:r>
      <w:r>
        <w:rPr>
          <w:rFonts w:ascii="Arial MT" w:hAnsi="Arial MT"/>
          <w:sz w:val="24"/>
        </w:rPr>
        <w:t>en</w:t>
      </w:r>
      <w:r>
        <w:rPr>
          <w:rFonts w:ascii="Arial MT" w:hAnsi="Arial MT"/>
          <w:spacing w:val="-11"/>
          <w:sz w:val="24"/>
        </w:rPr>
        <w:t> </w:t>
      </w:r>
      <w:r>
        <w:rPr>
          <w:rFonts w:ascii="Arial MT" w:hAnsi="Arial MT"/>
          <w:sz w:val="24"/>
        </w:rPr>
        <w:t>el</w:t>
      </w:r>
      <w:r>
        <w:rPr>
          <w:rFonts w:ascii="Arial MT" w:hAnsi="Arial MT"/>
          <w:spacing w:val="-8"/>
          <w:sz w:val="24"/>
        </w:rPr>
        <w:t> </w:t>
      </w:r>
      <w:r>
        <w:rPr>
          <w:rFonts w:ascii="Arial MT" w:hAnsi="Arial MT"/>
          <w:spacing w:val="-2"/>
          <w:sz w:val="24"/>
        </w:rPr>
        <w:t>patrimonio.</w:t>
      </w:r>
    </w:p>
    <w:p>
      <w:pPr>
        <w:pStyle w:val="BodyText"/>
        <w:spacing w:before="1"/>
        <w:rPr>
          <w:rFonts w:ascii="Arial MT"/>
          <w:sz w:val="24"/>
        </w:rPr>
      </w:pP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Estado</w:t>
      </w:r>
      <w:r>
        <w:rPr>
          <w:rFonts w:ascii="Arial MT" w:hAnsi="Arial MT"/>
          <w:spacing w:val="-15"/>
          <w:sz w:val="24"/>
        </w:rPr>
        <w:t> </w:t>
      </w:r>
      <w:r>
        <w:rPr>
          <w:rFonts w:ascii="Arial MT" w:hAnsi="Arial MT"/>
          <w:sz w:val="24"/>
        </w:rPr>
        <w:t>intermedio</w:t>
      </w:r>
      <w:r>
        <w:rPr>
          <w:rFonts w:ascii="Arial MT" w:hAnsi="Arial MT"/>
          <w:spacing w:val="-11"/>
          <w:sz w:val="24"/>
        </w:rPr>
        <w:t> </w:t>
      </w:r>
      <w:r>
        <w:rPr>
          <w:rFonts w:ascii="Arial MT" w:hAnsi="Arial MT"/>
          <w:sz w:val="24"/>
        </w:rPr>
        <w:t>separado</w:t>
      </w:r>
      <w:r>
        <w:rPr>
          <w:rFonts w:ascii="Arial MT" w:hAnsi="Arial MT"/>
          <w:spacing w:val="-12"/>
          <w:sz w:val="24"/>
        </w:rPr>
        <w:t> </w:t>
      </w:r>
      <w:r>
        <w:rPr>
          <w:rFonts w:ascii="Arial MT" w:hAnsi="Arial MT"/>
          <w:sz w:val="24"/>
        </w:rPr>
        <w:t>condensado</w:t>
      </w:r>
      <w:r>
        <w:rPr>
          <w:rFonts w:ascii="Arial MT" w:hAnsi="Arial MT"/>
          <w:spacing w:val="-11"/>
          <w:sz w:val="24"/>
        </w:rPr>
        <w:t> </w:t>
      </w:r>
      <w:r>
        <w:rPr>
          <w:rFonts w:ascii="Arial MT" w:hAnsi="Arial MT"/>
          <w:sz w:val="24"/>
        </w:rPr>
        <w:t>de</w:t>
      </w:r>
      <w:r>
        <w:rPr>
          <w:rFonts w:ascii="Arial MT" w:hAnsi="Arial MT"/>
          <w:spacing w:val="-14"/>
          <w:sz w:val="24"/>
        </w:rPr>
        <w:t> </w:t>
      </w:r>
      <w:r>
        <w:rPr>
          <w:rFonts w:ascii="Arial MT" w:hAnsi="Arial MT"/>
          <w:sz w:val="24"/>
        </w:rPr>
        <w:t>flujos</w:t>
      </w:r>
      <w:r>
        <w:rPr>
          <w:rFonts w:ascii="Arial MT" w:hAnsi="Arial MT"/>
          <w:spacing w:val="-12"/>
          <w:sz w:val="24"/>
        </w:rPr>
        <w:t> </w:t>
      </w:r>
      <w:r>
        <w:rPr>
          <w:rFonts w:ascii="Arial MT" w:hAnsi="Arial MT"/>
          <w:sz w:val="24"/>
        </w:rPr>
        <w:t>de</w:t>
      </w:r>
      <w:r>
        <w:rPr>
          <w:rFonts w:ascii="Arial MT" w:hAnsi="Arial MT"/>
          <w:spacing w:val="-11"/>
          <w:sz w:val="24"/>
        </w:rPr>
        <w:t> </w:t>
      </w:r>
      <w:r>
        <w:rPr>
          <w:rFonts w:ascii="Arial MT" w:hAnsi="Arial MT"/>
          <w:spacing w:val="-2"/>
          <w:sz w:val="24"/>
        </w:rPr>
        <w:t>efectivo.</w:t>
      </w:r>
    </w:p>
    <w:p>
      <w:pPr>
        <w:pStyle w:val="BodyText"/>
        <w:rPr>
          <w:rFonts w:ascii="Arial MT"/>
          <w:sz w:val="24"/>
        </w:rPr>
      </w:pPr>
    </w:p>
    <w:p>
      <w:pPr>
        <w:pStyle w:val="ListParagraph"/>
        <w:numPr>
          <w:ilvl w:val="0"/>
          <w:numId w:val="2"/>
        </w:numPr>
        <w:tabs>
          <w:tab w:pos="436" w:val="left" w:leader="none"/>
        </w:tabs>
        <w:spacing w:line="240" w:lineRule="auto" w:before="0" w:after="0"/>
        <w:ind w:left="436" w:right="0" w:hanging="148"/>
        <w:jc w:val="left"/>
        <w:rPr>
          <w:rFonts w:ascii="Arial MT" w:hAnsi="Arial MT"/>
          <w:sz w:val="24"/>
        </w:rPr>
      </w:pPr>
      <w:r>
        <w:rPr>
          <w:rFonts w:ascii="Arial MT" w:hAnsi="Arial MT"/>
          <w:sz w:val="24"/>
        </w:rPr>
        <w:t>Notas</w:t>
      </w:r>
      <w:r>
        <w:rPr>
          <w:rFonts w:ascii="Arial MT" w:hAnsi="Arial MT"/>
          <w:spacing w:val="-12"/>
          <w:sz w:val="24"/>
        </w:rPr>
        <w:t> </w:t>
      </w:r>
      <w:r>
        <w:rPr>
          <w:rFonts w:ascii="Arial MT" w:hAnsi="Arial MT"/>
          <w:sz w:val="24"/>
        </w:rPr>
        <w:t>a</w:t>
      </w:r>
      <w:r>
        <w:rPr>
          <w:rFonts w:ascii="Arial MT" w:hAnsi="Arial MT"/>
          <w:spacing w:val="-13"/>
          <w:sz w:val="24"/>
        </w:rPr>
        <w:t> </w:t>
      </w:r>
      <w:r>
        <w:rPr>
          <w:rFonts w:ascii="Arial MT" w:hAnsi="Arial MT"/>
          <w:sz w:val="24"/>
        </w:rPr>
        <w:t>los</w:t>
      </w:r>
      <w:r>
        <w:rPr>
          <w:rFonts w:ascii="Arial MT" w:hAnsi="Arial MT"/>
          <w:spacing w:val="-14"/>
          <w:sz w:val="24"/>
        </w:rPr>
        <w:t> </w:t>
      </w:r>
      <w:r>
        <w:rPr>
          <w:rFonts w:ascii="Arial MT" w:hAnsi="Arial MT"/>
          <w:sz w:val="24"/>
        </w:rPr>
        <w:t>estados</w:t>
      </w:r>
      <w:r>
        <w:rPr>
          <w:rFonts w:ascii="Arial MT" w:hAnsi="Arial MT"/>
          <w:spacing w:val="-14"/>
          <w:sz w:val="24"/>
        </w:rPr>
        <w:t> </w:t>
      </w:r>
      <w:r>
        <w:rPr>
          <w:rFonts w:ascii="Arial MT" w:hAnsi="Arial MT"/>
          <w:sz w:val="24"/>
        </w:rPr>
        <w:t>intermedios</w:t>
      </w:r>
      <w:r>
        <w:rPr>
          <w:rFonts w:ascii="Arial MT" w:hAnsi="Arial MT"/>
          <w:spacing w:val="-9"/>
          <w:sz w:val="24"/>
        </w:rPr>
        <w:t> </w:t>
      </w:r>
      <w:r>
        <w:rPr>
          <w:rFonts w:ascii="Arial MT" w:hAnsi="Arial MT"/>
          <w:sz w:val="24"/>
        </w:rPr>
        <w:t>financieros</w:t>
      </w:r>
      <w:r>
        <w:rPr>
          <w:rFonts w:ascii="Arial MT" w:hAnsi="Arial MT"/>
          <w:spacing w:val="-17"/>
          <w:sz w:val="24"/>
        </w:rPr>
        <w:t> </w:t>
      </w:r>
      <w:r>
        <w:rPr>
          <w:rFonts w:ascii="Arial MT" w:hAnsi="Arial MT"/>
          <w:sz w:val="24"/>
        </w:rPr>
        <w:t>separados</w:t>
      </w:r>
      <w:r>
        <w:rPr>
          <w:rFonts w:ascii="Arial MT" w:hAnsi="Arial MT"/>
          <w:spacing w:val="-9"/>
          <w:sz w:val="24"/>
        </w:rPr>
        <w:t> </w:t>
      </w:r>
      <w:r>
        <w:rPr>
          <w:rFonts w:ascii="Arial MT" w:hAnsi="Arial MT"/>
          <w:spacing w:val="-2"/>
          <w:sz w:val="24"/>
        </w:rPr>
        <w:t>condensados.</w:t>
      </w:r>
    </w:p>
    <w:p>
      <w:pPr>
        <w:pStyle w:val="BodyText"/>
        <w:rPr>
          <w:rFonts w:ascii="Arial MT"/>
          <w:sz w:val="24"/>
        </w:rPr>
      </w:pPr>
    </w:p>
    <w:p>
      <w:pPr>
        <w:pStyle w:val="BodyText"/>
        <w:spacing w:before="272"/>
        <w:rPr>
          <w:rFonts w:ascii="Arial MT"/>
          <w:sz w:val="24"/>
        </w:rPr>
      </w:pPr>
    </w:p>
    <w:p>
      <w:pPr>
        <w:pStyle w:val="ListParagraph"/>
        <w:numPr>
          <w:ilvl w:val="0"/>
          <w:numId w:val="1"/>
        </w:numPr>
        <w:tabs>
          <w:tab w:pos="1337" w:val="left" w:leader="none"/>
        </w:tabs>
        <w:spacing w:line="480" w:lineRule="auto" w:before="0" w:after="0"/>
        <w:ind w:left="288" w:right="132" w:firstLine="705"/>
        <w:jc w:val="both"/>
        <w:rPr>
          <w:rFonts w:ascii="Arial MT" w:hAnsi="Arial MT"/>
          <w:sz w:val="24"/>
        </w:rPr>
      </w:pPr>
      <w:r>
        <w:rPr>
          <w:rFonts w:ascii="Arial MT" w:hAnsi="Arial MT"/>
          <w:sz w:val="24"/>
        </w:rPr>
        <w:t>dar intervención a los integrantes de la Comisión Fiscalizadora a los fines pertinentes. El doctor Daniel Gallo hace presente que, conforme a lo expresado, ya</w:t>
      </w:r>
      <w:r>
        <w:rPr>
          <w:rFonts w:ascii="Arial MT" w:hAnsi="Arial MT"/>
          <w:spacing w:val="-1"/>
          <w:sz w:val="24"/>
        </w:rPr>
        <w:t> </w:t>
      </w:r>
      <w:r>
        <w:rPr>
          <w:rFonts w:ascii="Arial MT" w:hAnsi="Arial MT"/>
          <w:sz w:val="24"/>
        </w:rPr>
        <w:t>eran de</w:t>
      </w:r>
      <w:r>
        <w:rPr>
          <w:rFonts w:ascii="Arial MT" w:hAnsi="Arial MT"/>
          <w:spacing w:val="-1"/>
          <w:sz w:val="24"/>
        </w:rPr>
        <w:t> </w:t>
      </w:r>
      <w:r>
        <w:rPr>
          <w:rFonts w:ascii="Arial MT" w:hAnsi="Arial MT"/>
          <w:sz w:val="24"/>
        </w:rPr>
        <w:t>conocimiento</w:t>
      </w:r>
      <w:r>
        <w:rPr>
          <w:rFonts w:ascii="Arial MT" w:hAnsi="Arial MT"/>
          <w:spacing w:val="-1"/>
          <w:sz w:val="24"/>
        </w:rPr>
        <w:t> </w:t>
      </w:r>
      <w:r>
        <w:rPr>
          <w:rFonts w:ascii="Arial MT" w:hAnsi="Arial MT"/>
          <w:sz w:val="24"/>
        </w:rPr>
        <w:t>de</w:t>
      </w:r>
      <w:r>
        <w:rPr>
          <w:rFonts w:ascii="Arial MT" w:hAnsi="Arial MT"/>
          <w:spacing w:val="-2"/>
          <w:sz w:val="24"/>
        </w:rPr>
        <w:t> </w:t>
      </w:r>
      <w:r>
        <w:rPr>
          <w:rFonts w:ascii="Arial MT" w:hAnsi="Arial MT"/>
          <w:sz w:val="24"/>
        </w:rPr>
        <w:t>la</w:t>
      </w:r>
      <w:r>
        <w:rPr>
          <w:rFonts w:ascii="Arial MT" w:hAnsi="Arial MT"/>
          <w:spacing w:val="-1"/>
          <w:sz w:val="24"/>
        </w:rPr>
        <w:t> </w:t>
      </w:r>
      <w:r>
        <w:rPr>
          <w:rFonts w:ascii="Arial MT" w:hAnsi="Arial MT"/>
          <w:sz w:val="24"/>
        </w:rPr>
        <w:t>Comisión Fiscalizadora</w:t>
      </w:r>
      <w:r>
        <w:rPr>
          <w:rFonts w:ascii="Arial MT" w:hAnsi="Arial MT"/>
          <w:spacing w:val="-6"/>
          <w:sz w:val="24"/>
        </w:rPr>
        <w:t> </w:t>
      </w:r>
      <w:r>
        <w:rPr>
          <w:rFonts w:ascii="Arial MT" w:hAnsi="Arial MT"/>
          <w:sz w:val="24"/>
        </w:rPr>
        <w:t>los documentos aprobados y que estando completamente de acuerdo con los mismos,</w:t>
      </w:r>
      <w:r>
        <w:rPr>
          <w:rFonts w:ascii="Arial MT" w:hAnsi="Arial MT"/>
          <w:spacing w:val="80"/>
          <w:sz w:val="24"/>
        </w:rPr>
        <w:t> </w:t>
      </w:r>
      <w:r>
        <w:rPr>
          <w:rFonts w:ascii="Arial MT" w:hAnsi="Arial MT"/>
          <w:sz w:val="24"/>
        </w:rPr>
        <w:t>extendieron el informe respectivo, cuya transcripción solicita sea efectuada en el Acta de la presente reunión.</w:t>
      </w:r>
    </w:p>
    <w:p>
      <w:pPr>
        <w:pStyle w:val="ListParagraph"/>
        <w:spacing w:after="0" w:line="480" w:lineRule="auto"/>
        <w:jc w:val="both"/>
        <w:rPr>
          <w:rFonts w:ascii="Arial MT" w:hAnsi="Arial MT"/>
          <w:sz w:val="24"/>
        </w:rPr>
        <w:sectPr>
          <w:pgSz w:w="11910" w:h="16840"/>
          <w:pgMar w:header="509" w:footer="0" w:top="2000" w:bottom="280" w:left="1700" w:right="992"/>
        </w:sectPr>
      </w:pPr>
    </w:p>
    <w:p>
      <w:pPr>
        <w:pStyle w:val="BodyText"/>
        <w:spacing w:before="105"/>
        <w:rPr>
          <w:rFonts w:ascii="Arial MT"/>
        </w:rPr>
      </w:pPr>
    </w:p>
    <w:p>
      <w:pPr>
        <w:pStyle w:val="Heading4"/>
        <w:ind w:left="144"/>
        <w:jc w:val="center"/>
        <w:rPr>
          <w:i/>
        </w:rPr>
      </w:pPr>
      <w:r>
        <w:rPr>
          <w:i/>
        </w:rPr>
        <w:t>“</w:t>
      </w:r>
      <w:r>
        <w:rPr/>
        <w:t>INFORME</w:t>
      </w:r>
      <w:r>
        <w:rPr>
          <w:spacing w:val="-11"/>
        </w:rPr>
        <w:t> </w:t>
      </w:r>
      <w:r>
        <w:rPr/>
        <w:t>DE</w:t>
      </w:r>
      <w:r>
        <w:rPr>
          <w:spacing w:val="-6"/>
        </w:rPr>
        <w:t> </w:t>
      </w:r>
      <w:r>
        <w:rPr/>
        <w:t>LA</w:t>
      </w:r>
      <w:r>
        <w:rPr>
          <w:spacing w:val="-11"/>
        </w:rPr>
        <w:t> </w:t>
      </w:r>
      <w:r>
        <w:rPr/>
        <w:t>COMISIÓN</w:t>
      </w:r>
      <w:r>
        <w:rPr>
          <w:spacing w:val="-10"/>
        </w:rPr>
        <w:t> </w:t>
      </w:r>
      <w:r>
        <w:rPr>
          <w:spacing w:val="-2"/>
        </w:rPr>
        <w:t>FISCALIZADORA</w:t>
      </w:r>
      <w:r>
        <w:rPr>
          <w:i/>
          <w:spacing w:val="-2"/>
        </w:rPr>
        <w:t>”</w:t>
      </w:r>
    </w:p>
    <w:p>
      <w:pPr>
        <w:pStyle w:val="BodyText"/>
        <w:rPr>
          <w:b/>
          <w:i/>
        </w:rPr>
      </w:pPr>
    </w:p>
    <w:p>
      <w:pPr>
        <w:pStyle w:val="BodyText"/>
        <w:spacing w:line="207" w:lineRule="exact"/>
        <w:ind w:left="288"/>
        <w:jc w:val="both"/>
      </w:pPr>
      <w:r>
        <w:rPr/>
        <w:t>“A</w:t>
      </w:r>
      <w:r>
        <w:rPr>
          <w:spacing w:val="-7"/>
        </w:rPr>
        <w:t> </w:t>
      </w:r>
      <w:r>
        <w:rPr/>
        <w:t>los</w:t>
      </w:r>
      <w:r>
        <w:rPr>
          <w:spacing w:val="-12"/>
        </w:rPr>
        <w:t> </w:t>
      </w:r>
      <w:r>
        <w:rPr/>
        <w:t>Señores</w:t>
      </w:r>
      <w:r>
        <w:rPr>
          <w:spacing w:val="-7"/>
        </w:rPr>
        <w:t> </w:t>
      </w:r>
      <w:r>
        <w:rPr/>
        <w:t>Accionistas</w:t>
      </w:r>
      <w:r>
        <w:rPr>
          <w:spacing w:val="-12"/>
        </w:rPr>
        <w:t> </w:t>
      </w:r>
      <w:r>
        <w:rPr>
          <w:spacing w:val="-5"/>
        </w:rPr>
        <w:t>de</w:t>
      </w:r>
    </w:p>
    <w:p>
      <w:pPr>
        <w:pStyle w:val="Heading4"/>
        <w:ind w:left="288"/>
        <w:jc w:val="both"/>
        <w:rPr>
          <w:i/>
        </w:rPr>
      </w:pPr>
      <w:r>
        <w:rPr>
          <w:spacing w:val="-2"/>
        </w:rPr>
        <w:t>CELULOSA</w:t>
      </w:r>
      <w:r>
        <w:rPr>
          <w:spacing w:val="1"/>
        </w:rPr>
        <w:t> </w:t>
      </w:r>
      <w:r>
        <w:rPr>
          <w:spacing w:val="-2"/>
        </w:rPr>
        <w:t>ARGENTINA</w:t>
      </w:r>
      <w:r>
        <w:rPr>
          <w:spacing w:val="-1"/>
        </w:rPr>
        <w:t> </w:t>
      </w:r>
      <w:r>
        <w:rPr>
          <w:spacing w:val="-2"/>
        </w:rPr>
        <w:t>SOCIEDAD</w:t>
      </w:r>
      <w:r>
        <w:rPr>
          <w:spacing w:val="4"/>
        </w:rPr>
        <w:t> </w:t>
      </w:r>
      <w:r>
        <w:rPr>
          <w:spacing w:val="-2"/>
        </w:rPr>
        <w:t>ANÓNIMA</w:t>
      </w:r>
      <w:r>
        <w:rPr>
          <w:i/>
          <w:spacing w:val="-2"/>
        </w:rPr>
        <w:t>”</w:t>
      </w:r>
    </w:p>
    <w:p>
      <w:pPr>
        <w:pStyle w:val="BodyText"/>
        <w:spacing w:before="182"/>
        <w:rPr>
          <w:b/>
          <w:i/>
        </w:rPr>
      </w:pPr>
    </w:p>
    <w:p>
      <w:pPr>
        <w:pStyle w:val="BodyText"/>
        <w:ind w:left="288" w:right="146"/>
        <w:jc w:val="both"/>
      </w:pPr>
      <w:r>
        <w:rPr/>
        <w:t>“En nuestro carácter de miembros de la Comisión Fiscalizadora de Celulosa Argentina Sociedad Anónima, de acuerdo con lo dispuesto por el inciso 5 del artículo 294 de la Ley General de</w:t>
      </w:r>
      <w:r>
        <w:rPr>
          <w:spacing w:val="40"/>
        </w:rPr>
        <w:t> </w:t>
      </w:r>
      <w:r>
        <w:rPr/>
        <w:t>Sociedades, hemos efectuado una revisión de los documentos detallados en el apartado I siguiente.”</w:t>
      </w:r>
    </w:p>
    <w:p>
      <w:pPr>
        <w:pStyle w:val="Heading4"/>
        <w:numPr>
          <w:ilvl w:val="0"/>
          <w:numId w:val="3"/>
        </w:numPr>
        <w:tabs>
          <w:tab w:pos="715" w:val="left" w:leader="none"/>
        </w:tabs>
        <w:spacing w:line="240" w:lineRule="auto" w:before="206" w:after="0"/>
        <w:ind w:left="715" w:right="0" w:hanging="427"/>
        <w:jc w:val="left"/>
        <w:rPr>
          <w:i/>
        </w:rPr>
      </w:pPr>
      <w:r>
        <w:rPr>
          <w:i/>
        </w:rPr>
        <w:t>“</w:t>
      </w:r>
      <w:r>
        <w:rPr/>
        <w:t>DOCUMENTOS</w:t>
      </w:r>
      <w:r>
        <w:rPr>
          <w:spacing w:val="-11"/>
        </w:rPr>
        <w:t> </w:t>
      </w:r>
      <w:r>
        <w:rPr/>
        <w:t>OBJETO</w:t>
      </w:r>
      <w:r>
        <w:rPr>
          <w:spacing w:val="-6"/>
        </w:rPr>
        <w:t> </w:t>
      </w:r>
      <w:r>
        <w:rPr/>
        <w:t>DE</w:t>
      </w:r>
      <w:r>
        <w:rPr>
          <w:spacing w:val="-11"/>
        </w:rPr>
        <w:t> </w:t>
      </w:r>
      <w:r>
        <w:rPr/>
        <w:t>LA</w:t>
      </w:r>
      <w:r>
        <w:rPr>
          <w:spacing w:val="-7"/>
        </w:rPr>
        <w:t> </w:t>
      </w:r>
      <w:r>
        <w:rPr>
          <w:spacing w:val="-2"/>
        </w:rPr>
        <w:t>REVISIÓN</w:t>
      </w:r>
      <w:r>
        <w:rPr>
          <w:i/>
          <w:spacing w:val="-2"/>
        </w:rPr>
        <w:t>”</w:t>
      </w:r>
    </w:p>
    <w:p>
      <w:pPr>
        <w:pStyle w:val="ListParagraph"/>
        <w:numPr>
          <w:ilvl w:val="1"/>
          <w:numId w:val="3"/>
        </w:numPr>
        <w:tabs>
          <w:tab w:pos="645" w:val="left" w:leader="none"/>
          <w:tab w:pos="648" w:val="left" w:leader="none"/>
        </w:tabs>
        <w:spacing w:line="240" w:lineRule="auto" w:before="206" w:after="0"/>
        <w:ind w:left="648" w:right="134" w:hanging="361"/>
        <w:jc w:val="both"/>
        <w:rPr>
          <w:sz w:val="17"/>
        </w:rPr>
      </w:pPr>
      <w:r>
        <w:rPr>
          <w:sz w:val="17"/>
        </w:rPr>
        <w:t>“Estados financieros intermedios consolidados condensados adjuntos de Celulosa Argentina Sociedad Anónima (en adelante, mencionada indistintamente como “Celulosa Argentina Sociedad Anónima” o la “Sociedad”) con sus sociedades controladas (las que se detallan en la nota 2.6 a dichos estados financieros intermedios consolidados condensados) que incluyen el estado intermedio consolidado condensado de situación financiera al 31 de agosto de 2025, los correspondientes estados intermedios consolidados condensados de ganancias o pérdidas y otros resultados integrales, de cambios en el patrimonio y de flujos de efectivo por el período de tres meses finalizado en dicha fecha, así como un resumen de las políticas contables significativas y otra información explicativa incluidas en las notas 1 a 31.”</w:t>
      </w:r>
    </w:p>
    <w:p>
      <w:pPr>
        <w:pStyle w:val="ListParagraph"/>
        <w:numPr>
          <w:ilvl w:val="1"/>
          <w:numId w:val="3"/>
        </w:numPr>
        <w:tabs>
          <w:tab w:pos="641" w:val="left" w:leader="none"/>
          <w:tab w:pos="643" w:val="left" w:leader="none"/>
        </w:tabs>
        <w:spacing w:line="240" w:lineRule="auto" w:before="4" w:after="0"/>
        <w:ind w:left="643" w:right="136" w:hanging="356"/>
        <w:jc w:val="both"/>
        <w:rPr>
          <w:sz w:val="17"/>
        </w:rPr>
      </w:pPr>
      <w:r>
        <w:rPr>
          <w:sz w:val="17"/>
        </w:rPr>
        <w:t>“Estados financieros intermedios separados condensados adjuntos de Celulosa Argentina</w:t>
      </w:r>
      <w:r>
        <w:rPr>
          <w:spacing w:val="80"/>
          <w:sz w:val="17"/>
        </w:rPr>
        <w:t> </w:t>
      </w:r>
      <w:r>
        <w:rPr>
          <w:sz w:val="17"/>
        </w:rPr>
        <w:t>Sociedad</w:t>
      </w:r>
      <w:r>
        <w:rPr>
          <w:spacing w:val="-1"/>
          <w:sz w:val="17"/>
        </w:rPr>
        <w:t> </w:t>
      </w:r>
      <w:r>
        <w:rPr>
          <w:sz w:val="17"/>
        </w:rPr>
        <w:t>Anónima</w:t>
      </w:r>
      <w:r>
        <w:rPr>
          <w:spacing w:val="-4"/>
          <w:sz w:val="17"/>
        </w:rPr>
        <w:t> </w:t>
      </w:r>
      <w:r>
        <w:rPr>
          <w:sz w:val="17"/>
        </w:rPr>
        <w:t>que</w:t>
      </w:r>
      <w:r>
        <w:rPr>
          <w:spacing w:val="-2"/>
          <w:sz w:val="17"/>
        </w:rPr>
        <w:t> </w:t>
      </w:r>
      <w:r>
        <w:rPr>
          <w:sz w:val="17"/>
        </w:rPr>
        <w:t>incluyen</w:t>
      </w:r>
      <w:r>
        <w:rPr>
          <w:spacing w:val="-6"/>
          <w:sz w:val="17"/>
        </w:rPr>
        <w:t> </w:t>
      </w:r>
      <w:r>
        <w:rPr>
          <w:sz w:val="17"/>
        </w:rPr>
        <w:t>el</w:t>
      </w:r>
      <w:r>
        <w:rPr>
          <w:spacing w:val="-4"/>
          <w:sz w:val="17"/>
        </w:rPr>
        <w:t> </w:t>
      </w:r>
      <w:r>
        <w:rPr>
          <w:sz w:val="17"/>
        </w:rPr>
        <w:t>estado</w:t>
      </w:r>
      <w:r>
        <w:rPr>
          <w:spacing w:val="-3"/>
          <w:sz w:val="17"/>
        </w:rPr>
        <w:t> </w:t>
      </w:r>
      <w:r>
        <w:rPr>
          <w:sz w:val="17"/>
        </w:rPr>
        <w:t>intermedio</w:t>
      </w:r>
      <w:r>
        <w:rPr>
          <w:spacing w:val="-3"/>
          <w:sz w:val="17"/>
        </w:rPr>
        <w:t> </w:t>
      </w:r>
      <w:r>
        <w:rPr>
          <w:sz w:val="17"/>
        </w:rPr>
        <w:t>separado</w:t>
      </w:r>
      <w:r>
        <w:rPr>
          <w:spacing w:val="-3"/>
          <w:sz w:val="17"/>
        </w:rPr>
        <w:t> </w:t>
      </w:r>
      <w:r>
        <w:rPr>
          <w:sz w:val="17"/>
        </w:rPr>
        <w:t>condensado</w:t>
      </w:r>
      <w:r>
        <w:rPr>
          <w:spacing w:val="-3"/>
          <w:sz w:val="17"/>
        </w:rPr>
        <w:t> </w:t>
      </w:r>
      <w:r>
        <w:rPr>
          <w:sz w:val="17"/>
        </w:rPr>
        <w:t>de</w:t>
      </w:r>
      <w:r>
        <w:rPr>
          <w:spacing w:val="-2"/>
          <w:sz w:val="17"/>
        </w:rPr>
        <w:t> </w:t>
      </w:r>
      <w:r>
        <w:rPr>
          <w:sz w:val="17"/>
        </w:rPr>
        <w:t>situación</w:t>
      </w:r>
      <w:r>
        <w:rPr>
          <w:spacing w:val="-3"/>
          <w:sz w:val="17"/>
        </w:rPr>
        <w:t> </w:t>
      </w:r>
      <w:r>
        <w:rPr>
          <w:sz w:val="17"/>
        </w:rPr>
        <w:t>financiera al 31 de agosto de 2025, los correspondientes estados intermedios separados condensados de ganancias o pérdidas y otros resultados integrales, de cambios en el patrimonio y de flujos de efectivo por el período de tres meses finalizado en dicha fecha, así como un resumen de las políticas contables significativas y otra información explicativa incluidas en las notas 1 a 31.”</w:t>
      </w:r>
    </w:p>
    <w:p>
      <w:pPr>
        <w:pStyle w:val="BodyText"/>
        <w:spacing w:before="205"/>
        <w:ind w:left="288" w:right="135"/>
        <w:jc w:val="both"/>
      </w:pPr>
      <w:r>
        <w:rPr/>
        <w:t>“Las cifras y otra información correspondientes al ejercicio económico finalizado el 31 de mayo de 2025 y al período de tres meses finalizado el 31 de agosto de 2024, son parte integrante de los estados financieros mencionados precedentemente y se presentan con el propósito de que se interpreten exclusivamente en relación con las cifras y otra información del período intermedio</w:t>
      </w:r>
      <w:r>
        <w:rPr>
          <w:spacing w:val="40"/>
        </w:rPr>
        <w:t> </w:t>
      </w:r>
      <w:r>
        <w:rPr>
          <w:spacing w:val="-2"/>
        </w:rPr>
        <w:t>actual.”</w:t>
      </w:r>
    </w:p>
    <w:p>
      <w:pPr>
        <w:pStyle w:val="BodyText"/>
        <w:spacing w:before="182"/>
      </w:pPr>
    </w:p>
    <w:p>
      <w:pPr>
        <w:pStyle w:val="Heading4"/>
        <w:numPr>
          <w:ilvl w:val="0"/>
          <w:numId w:val="3"/>
        </w:numPr>
        <w:tabs>
          <w:tab w:pos="712" w:val="left" w:leader="none"/>
          <w:tab w:pos="715" w:val="left" w:leader="none"/>
        </w:tabs>
        <w:spacing w:line="240" w:lineRule="auto" w:before="0" w:after="0"/>
        <w:ind w:left="715" w:right="144" w:hanging="428"/>
        <w:jc w:val="both"/>
        <w:rPr>
          <w:i/>
        </w:rPr>
      </w:pPr>
      <w:r>
        <w:rPr>
          <w:i/>
        </w:rPr>
        <w:t>“</w:t>
      </w:r>
      <w:r>
        <w:rPr/>
        <w:t>RESPONSABILIDAD DEL DIRECTORIO DE LA SOCIEDAD EN RELACIÓN CON LOS ESTADOS FINANCIEROS INTERMEDIOS</w:t>
      </w:r>
      <w:r>
        <w:rPr>
          <w:i/>
        </w:rPr>
        <w:t>”</w:t>
      </w:r>
    </w:p>
    <w:p>
      <w:pPr>
        <w:pStyle w:val="BodyText"/>
        <w:spacing w:before="206"/>
        <w:ind w:left="288" w:right="135"/>
        <w:jc w:val="both"/>
      </w:pPr>
      <w:r>
        <w:rPr/>
        <w:t>“El Directorio de</w:t>
      </w:r>
      <w:r>
        <w:rPr>
          <w:spacing w:val="40"/>
        </w:rPr>
        <w:t> </w:t>
      </w:r>
      <w:r>
        <w:rPr/>
        <w:t>la Sociedad es responsable</w:t>
      </w:r>
      <w:r>
        <w:rPr>
          <w:spacing w:val="40"/>
        </w:rPr>
        <w:t> </w:t>
      </w:r>
      <w:r>
        <w:rPr/>
        <w:t>de la preparación y presentación razonable de</w:t>
      </w:r>
      <w:r>
        <w:rPr>
          <w:spacing w:val="40"/>
        </w:rPr>
        <w:t> </w:t>
      </w:r>
      <w:r>
        <w:rPr/>
        <w:t>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w:t>
      </w:r>
      <w:r>
        <w:rPr>
          <w:spacing w:val="-2"/>
        </w:rPr>
        <w:t> </w:t>
      </w:r>
      <w:r>
        <w:rPr/>
        <w:t>de los estados financieros intermedios adjuntos, de acuerdo con la Norma Internacional de Contabilidad 34 (NIC 34). Asimismo, el Directorio es responsable del control interno que considere indispensable para permitir la preparación de estados financieros intermedios condensados libres de incorrecciones significativas.”</w:t>
      </w:r>
    </w:p>
    <w:p>
      <w:pPr>
        <w:pStyle w:val="BodyText"/>
        <w:spacing w:before="186"/>
      </w:pPr>
    </w:p>
    <w:p>
      <w:pPr>
        <w:pStyle w:val="Heading4"/>
        <w:numPr>
          <w:ilvl w:val="0"/>
          <w:numId w:val="3"/>
        </w:numPr>
        <w:tabs>
          <w:tab w:pos="713" w:val="left" w:leader="none"/>
        </w:tabs>
        <w:spacing w:line="240" w:lineRule="auto" w:before="0" w:after="0"/>
        <w:ind w:left="713" w:right="0" w:hanging="425"/>
        <w:jc w:val="left"/>
        <w:rPr>
          <w:i/>
        </w:rPr>
      </w:pPr>
      <w:r>
        <w:rPr>
          <w:i/>
        </w:rPr>
        <w:t>“</w:t>
      </w:r>
      <w:r>
        <w:rPr/>
        <w:t>RESPONSABILIDAD</w:t>
      </w:r>
      <w:r>
        <w:rPr>
          <w:spacing w:val="-12"/>
        </w:rPr>
        <w:t> </w:t>
      </w:r>
      <w:r>
        <w:rPr/>
        <w:t>DE</w:t>
      </w:r>
      <w:r>
        <w:rPr>
          <w:spacing w:val="-14"/>
        </w:rPr>
        <w:t> </w:t>
      </w:r>
      <w:r>
        <w:rPr/>
        <w:t>LA</w:t>
      </w:r>
      <w:r>
        <w:rPr>
          <w:spacing w:val="-12"/>
        </w:rPr>
        <w:t> </w:t>
      </w:r>
      <w:r>
        <w:rPr/>
        <w:t>COMISIÓN</w:t>
      </w:r>
      <w:r>
        <w:rPr>
          <w:spacing w:val="-13"/>
        </w:rPr>
        <w:t> </w:t>
      </w:r>
      <w:r>
        <w:rPr>
          <w:spacing w:val="-2"/>
        </w:rPr>
        <w:t>FISCALIZADORA</w:t>
      </w:r>
      <w:r>
        <w:rPr>
          <w:i/>
          <w:spacing w:val="-2"/>
        </w:rPr>
        <w:t>”</w:t>
      </w:r>
    </w:p>
    <w:p>
      <w:pPr>
        <w:pStyle w:val="BodyText"/>
        <w:spacing w:before="206"/>
        <w:ind w:left="288" w:right="140"/>
        <w:jc w:val="both"/>
      </w:pPr>
      <w:r>
        <w:rPr/>
        <w:t>“Nuestra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 y que incluya la verificación de la congruencia de los documentos revisados con la información sobre las decisiones societarias expuestas en actas y la adecuación de dichas decisiones a la ley y los estatutos en lo relativo a sus aspectos formales y documentales. Dichas normas exigen que cumplamos los requerimientos de ética.”</w:t>
      </w:r>
    </w:p>
    <w:p>
      <w:pPr>
        <w:pStyle w:val="BodyText"/>
        <w:spacing w:before="205"/>
        <w:ind w:left="288" w:right="138"/>
        <w:jc w:val="both"/>
      </w:pPr>
      <w:r>
        <w:rPr/>
        <w:t>“Para la realización de dicho trabajo sobre los documentos detallados precedentemente, hemos examinado la revisión efectuada por los auditores externos Becher y Asociados S.R.L., quienes emitieron</w:t>
      </w:r>
      <w:r>
        <w:rPr>
          <w:spacing w:val="26"/>
        </w:rPr>
        <w:t> </w:t>
      </w:r>
      <w:r>
        <w:rPr/>
        <w:t>su</w:t>
      </w:r>
      <w:r>
        <w:rPr>
          <w:spacing w:val="31"/>
        </w:rPr>
        <w:t> </w:t>
      </w:r>
      <w:r>
        <w:rPr/>
        <w:t>informe</w:t>
      </w:r>
      <w:r>
        <w:rPr>
          <w:spacing w:val="23"/>
        </w:rPr>
        <w:t> </w:t>
      </w:r>
      <w:r>
        <w:rPr/>
        <w:t>de</w:t>
      </w:r>
      <w:r>
        <w:rPr>
          <w:spacing w:val="28"/>
        </w:rPr>
        <w:t> </w:t>
      </w:r>
      <w:r>
        <w:rPr/>
        <w:t>revisión</w:t>
      </w:r>
      <w:r>
        <w:rPr>
          <w:spacing w:val="26"/>
        </w:rPr>
        <w:t> </w:t>
      </w:r>
      <w:r>
        <w:rPr/>
        <w:t>de</w:t>
      </w:r>
      <w:r>
        <w:rPr>
          <w:spacing w:val="28"/>
        </w:rPr>
        <w:t> </w:t>
      </w:r>
      <w:r>
        <w:rPr/>
        <w:t>fecha</w:t>
      </w:r>
      <w:r>
        <w:rPr>
          <w:spacing w:val="27"/>
        </w:rPr>
        <w:t> </w:t>
      </w:r>
      <w:r>
        <w:rPr/>
        <w:t>13</w:t>
      </w:r>
      <w:r>
        <w:rPr>
          <w:spacing w:val="26"/>
        </w:rPr>
        <w:t> </w:t>
      </w:r>
      <w:r>
        <w:rPr/>
        <w:t>de</w:t>
      </w:r>
      <w:r>
        <w:rPr>
          <w:spacing w:val="28"/>
        </w:rPr>
        <w:t> </w:t>
      </w:r>
      <w:r>
        <w:rPr/>
        <w:t>agosto</w:t>
      </w:r>
      <w:r>
        <w:rPr>
          <w:spacing w:val="23"/>
        </w:rPr>
        <w:t> </w:t>
      </w:r>
      <w:r>
        <w:rPr/>
        <w:t>de</w:t>
      </w:r>
      <w:r>
        <w:rPr>
          <w:spacing w:val="28"/>
        </w:rPr>
        <w:t> </w:t>
      </w:r>
      <w:r>
        <w:rPr/>
        <w:t>2025,</w:t>
      </w:r>
      <w:r>
        <w:rPr>
          <w:spacing w:val="24"/>
        </w:rPr>
        <w:t> </w:t>
      </w:r>
      <w:r>
        <w:rPr/>
        <w:t>de</w:t>
      </w:r>
      <w:r>
        <w:rPr>
          <w:spacing w:val="28"/>
        </w:rPr>
        <w:t> </w:t>
      </w:r>
      <w:r>
        <w:rPr/>
        <w:t>conformidad</w:t>
      </w:r>
      <w:r>
        <w:rPr>
          <w:spacing w:val="28"/>
        </w:rPr>
        <w:t> </w:t>
      </w:r>
      <w:r>
        <w:rPr/>
        <w:t>con</w:t>
      </w:r>
      <w:r>
        <w:rPr>
          <w:spacing w:val="26"/>
        </w:rPr>
        <w:t> </w:t>
      </w:r>
      <w:r>
        <w:rPr/>
        <w:t>las</w:t>
      </w:r>
      <w:r>
        <w:rPr>
          <w:spacing w:val="26"/>
        </w:rPr>
        <w:t> </w:t>
      </w:r>
      <w:r>
        <w:rPr/>
        <w:t>Normas</w:t>
      </w:r>
    </w:p>
    <w:p>
      <w:pPr>
        <w:pStyle w:val="BodyText"/>
        <w:spacing w:after="0"/>
        <w:jc w:val="both"/>
        <w:sectPr>
          <w:pgSz w:w="11910" w:h="16840"/>
          <w:pgMar w:header="509" w:footer="0" w:top="2000" w:bottom="280" w:left="1700" w:right="992"/>
        </w:sectPr>
      </w:pPr>
    </w:p>
    <w:p>
      <w:pPr>
        <w:pStyle w:val="BodyText"/>
        <w:spacing w:before="94"/>
      </w:pPr>
    </w:p>
    <w:p>
      <w:pPr>
        <w:pStyle w:val="BodyText"/>
        <w:ind w:left="288" w:right="138"/>
        <w:jc w:val="both"/>
      </w:pPr>
      <w:r>
        <w:rPr/>
        <w:t>Internacionales de Encargos de Revisión (NIER) adoptadas por la FACPCE a través de la Resolución Técnica N° 33, tal como fueron aprobadas por el Consejo de Normas Internacionales de Auditoría y Aseguramiento (IAASB, por su sigla en inglés) de la Federación Internacional de Contadores (IFAC, por su sigla en inglés). Dichas normas requieren que los auditores cumplan las normas de ética vigentes. Asimismo, expresan que las normas de revisión aludidas tienen un alcance menor al de las normas de auditoría y que, por lo tanto, no expresan una opinión de auditoría.”</w:t>
      </w:r>
    </w:p>
    <w:p>
      <w:pPr>
        <w:pStyle w:val="BodyText"/>
        <w:spacing w:before="205"/>
        <w:ind w:left="288" w:right="142"/>
        <w:jc w:val="both"/>
      </w:pPr>
      <w:r>
        <w:rPr/>
        <w:t>“Dado que no es responsabilidad de esta Comisión Fiscalizadora efectuar un control de gestión, nuestro examen no se extendió a los criterios y decisiones empresarias de las diversas áreas de la Sociedad, cuestiones que son de responsabilidad exclusiva del Directorio.”</w:t>
      </w:r>
    </w:p>
    <w:p>
      <w:pPr>
        <w:pStyle w:val="Heading4"/>
        <w:numPr>
          <w:ilvl w:val="0"/>
          <w:numId w:val="3"/>
        </w:numPr>
        <w:tabs>
          <w:tab w:pos="714" w:val="left" w:leader="none"/>
        </w:tabs>
        <w:spacing w:line="240" w:lineRule="auto" w:before="197" w:after="0"/>
        <w:ind w:left="714" w:right="0" w:hanging="426"/>
        <w:jc w:val="left"/>
        <w:rPr>
          <w:i/>
        </w:rPr>
      </w:pPr>
      <w:r>
        <w:rPr>
          <w:i/>
          <w:spacing w:val="-2"/>
        </w:rPr>
        <w:t>“</w:t>
      </w:r>
      <w:r>
        <w:rPr>
          <w:spacing w:val="-2"/>
        </w:rPr>
        <w:t>CONCLUSIÓN</w:t>
      </w:r>
      <w:r>
        <w:rPr>
          <w:i/>
          <w:spacing w:val="-2"/>
        </w:rPr>
        <w:t>”</w:t>
      </w:r>
    </w:p>
    <w:p>
      <w:pPr>
        <w:pStyle w:val="BodyText"/>
        <w:spacing w:before="206"/>
        <w:ind w:left="288" w:right="139"/>
        <w:jc w:val="both"/>
      </w:pPr>
      <w:r>
        <w:rPr/>
        <w:t>“Sobre la base de nuestra revisión, estamos en condiciones de manifestar que no se nos han presentado circunstancias que nos hicieran pensar que los estados financieros intermedios condensados de Celulosa Argentina Sociedad Anónima correspondientes al período de tres meses finalizado el 31 de agosto de 2025, mencionados en el capítulo I de este informe, no están presentados en forma razonable, en todos sus aspectos significativos, de acuerdo con la NIC 34.”</w:t>
      </w:r>
    </w:p>
    <w:p>
      <w:pPr>
        <w:pStyle w:val="BodyText"/>
        <w:spacing w:before="206"/>
      </w:pPr>
    </w:p>
    <w:p>
      <w:pPr>
        <w:pStyle w:val="Heading4"/>
        <w:numPr>
          <w:ilvl w:val="0"/>
          <w:numId w:val="3"/>
        </w:numPr>
        <w:tabs>
          <w:tab w:pos="715" w:val="left" w:leader="none"/>
        </w:tabs>
        <w:spacing w:line="240" w:lineRule="auto" w:before="0" w:after="0"/>
        <w:ind w:left="715" w:right="0" w:hanging="427"/>
        <w:jc w:val="left"/>
        <w:rPr>
          <w:i/>
        </w:rPr>
      </w:pPr>
      <w:r>
        <w:rPr>
          <w:i/>
        </w:rPr>
        <w:t>“</w:t>
      </w:r>
      <w:r>
        <w:rPr/>
        <w:t>ÉNFASIS</w:t>
      </w:r>
      <w:r>
        <w:rPr>
          <w:spacing w:val="-16"/>
        </w:rPr>
        <w:t> </w:t>
      </w:r>
      <w:r>
        <w:rPr/>
        <w:t>SOBRE</w:t>
      </w:r>
      <w:r>
        <w:rPr>
          <w:spacing w:val="-10"/>
        </w:rPr>
        <w:t> </w:t>
      </w:r>
      <w:r>
        <w:rPr/>
        <w:t>CIERTAS</w:t>
      </w:r>
      <w:r>
        <w:rPr>
          <w:spacing w:val="-9"/>
        </w:rPr>
        <w:t> </w:t>
      </w:r>
      <w:r>
        <w:rPr/>
        <w:t>CUESTIONES</w:t>
      </w:r>
      <w:r>
        <w:rPr>
          <w:spacing w:val="-10"/>
        </w:rPr>
        <w:t> </w:t>
      </w:r>
      <w:r>
        <w:rPr/>
        <w:t>REVELADAS</w:t>
      </w:r>
      <w:r>
        <w:rPr>
          <w:spacing w:val="-14"/>
        </w:rPr>
        <w:t> </w:t>
      </w:r>
      <w:r>
        <w:rPr/>
        <w:t>EN</w:t>
      </w:r>
      <w:r>
        <w:rPr>
          <w:spacing w:val="-12"/>
        </w:rPr>
        <w:t> </w:t>
      </w:r>
      <w:r>
        <w:rPr/>
        <w:t>LOS</w:t>
      </w:r>
      <w:r>
        <w:rPr>
          <w:spacing w:val="-10"/>
        </w:rPr>
        <w:t> </w:t>
      </w:r>
      <w:r>
        <w:rPr/>
        <w:t>ESTADOS</w:t>
      </w:r>
      <w:r>
        <w:rPr>
          <w:spacing w:val="-13"/>
        </w:rPr>
        <w:t> </w:t>
      </w:r>
      <w:r>
        <w:rPr>
          <w:spacing w:val="-2"/>
        </w:rPr>
        <w:t>FINANCIEROS</w:t>
      </w:r>
      <w:r>
        <w:rPr>
          <w:i/>
          <w:spacing w:val="-2"/>
        </w:rPr>
        <w:t>”</w:t>
      </w:r>
    </w:p>
    <w:p>
      <w:pPr>
        <w:pStyle w:val="BodyText"/>
        <w:spacing w:before="206"/>
        <w:ind w:left="288"/>
        <w:jc w:val="both"/>
      </w:pPr>
      <w:r>
        <w:rPr/>
        <w:t>“Sin</w:t>
      </w:r>
      <w:r>
        <w:rPr>
          <w:spacing w:val="-13"/>
        </w:rPr>
        <w:t> </w:t>
      </w:r>
      <w:r>
        <w:rPr/>
        <w:t>modificar</w:t>
      </w:r>
      <w:r>
        <w:rPr>
          <w:spacing w:val="-9"/>
        </w:rPr>
        <w:t> </w:t>
      </w:r>
      <w:r>
        <w:rPr/>
        <w:t>nuestra</w:t>
      </w:r>
      <w:r>
        <w:rPr>
          <w:spacing w:val="-9"/>
        </w:rPr>
        <w:t> </w:t>
      </w:r>
      <w:r>
        <w:rPr/>
        <w:t>opinión,</w:t>
      </w:r>
      <w:r>
        <w:rPr>
          <w:spacing w:val="-12"/>
        </w:rPr>
        <w:t> </w:t>
      </w:r>
      <w:r>
        <w:rPr/>
        <w:t>queremos</w:t>
      </w:r>
      <w:r>
        <w:rPr>
          <w:spacing w:val="-10"/>
        </w:rPr>
        <w:t> </w:t>
      </w:r>
      <w:r>
        <w:rPr>
          <w:spacing w:val="-2"/>
        </w:rPr>
        <w:t>enfatizar”:</w:t>
      </w:r>
    </w:p>
    <w:p>
      <w:pPr>
        <w:pStyle w:val="BodyText"/>
        <w:spacing w:before="71"/>
      </w:pPr>
    </w:p>
    <w:p>
      <w:pPr>
        <w:pStyle w:val="ListParagraph"/>
        <w:numPr>
          <w:ilvl w:val="1"/>
          <w:numId w:val="3"/>
        </w:numPr>
        <w:tabs>
          <w:tab w:pos="991" w:val="left" w:leader="none"/>
          <w:tab w:pos="998" w:val="left" w:leader="none"/>
        </w:tabs>
        <w:spacing w:line="240" w:lineRule="auto" w:before="1" w:after="0"/>
        <w:ind w:left="998" w:right="136" w:hanging="360"/>
        <w:jc w:val="both"/>
        <w:rPr>
          <w:sz w:val="17"/>
        </w:rPr>
      </w:pPr>
      <w:r>
        <w:rPr>
          <w:sz w:val="17"/>
        </w:rPr>
        <w:t>“Tal cómo se detalla en la nota 1.b) a los estados financieros consolidados y separados adjuntos, el contexto económico-financiero adverso ha tenido un impacto extremadamente negativo en el negocio del Grupo, reflejándose en los resultados económicos y en la generación</w:t>
      </w:r>
      <w:r>
        <w:rPr>
          <w:spacing w:val="-4"/>
          <w:sz w:val="17"/>
        </w:rPr>
        <w:t> </w:t>
      </w:r>
      <w:r>
        <w:rPr>
          <w:sz w:val="17"/>
        </w:rPr>
        <w:t>de caja.</w:t>
      </w:r>
      <w:r>
        <w:rPr>
          <w:spacing w:val="-2"/>
          <w:sz w:val="17"/>
        </w:rPr>
        <w:t> </w:t>
      </w:r>
      <w:r>
        <w:rPr>
          <w:sz w:val="17"/>
        </w:rPr>
        <w:t>Dicho contexto</w:t>
      </w:r>
      <w:r>
        <w:rPr>
          <w:spacing w:val="-4"/>
          <w:sz w:val="17"/>
        </w:rPr>
        <w:t> </w:t>
      </w:r>
      <w:r>
        <w:rPr>
          <w:sz w:val="17"/>
        </w:rPr>
        <w:t>y</w:t>
      </w:r>
      <w:r>
        <w:rPr>
          <w:spacing w:val="-2"/>
          <w:sz w:val="17"/>
        </w:rPr>
        <w:t> </w:t>
      </w:r>
      <w:r>
        <w:rPr>
          <w:sz w:val="17"/>
        </w:rPr>
        <w:t>desafíos,</w:t>
      </w:r>
      <w:r>
        <w:rPr>
          <w:spacing w:val="-2"/>
          <w:sz w:val="17"/>
        </w:rPr>
        <w:t> </w:t>
      </w:r>
      <w:r>
        <w:rPr>
          <w:sz w:val="17"/>
        </w:rPr>
        <w:t>llevaron a la</w:t>
      </w:r>
      <w:r>
        <w:rPr>
          <w:spacing w:val="-3"/>
          <w:sz w:val="17"/>
        </w:rPr>
        <w:t> </w:t>
      </w:r>
      <w:r>
        <w:rPr>
          <w:sz w:val="17"/>
        </w:rPr>
        <w:t>Sociedad controlante a</w:t>
      </w:r>
      <w:r>
        <w:rPr>
          <w:spacing w:val="-3"/>
          <w:sz w:val="17"/>
        </w:rPr>
        <w:t> </w:t>
      </w:r>
      <w:r>
        <w:rPr>
          <w:sz w:val="17"/>
        </w:rPr>
        <w:t>solicitar</w:t>
      </w:r>
      <w:r>
        <w:rPr>
          <w:spacing w:val="-3"/>
          <w:sz w:val="17"/>
        </w:rPr>
        <w:t> </w:t>
      </w:r>
      <w:r>
        <w:rPr>
          <w:sz w:val="17"/>
        </w:rPr>
        <w:t>el concurso preventivo de acreedores con fecha 5 de septiembre ante el Juzgado de Primera Instancia en lo Civil y Comercial de la Primera Nominación de San Lorenzo y que fuera informado mediante Hecho Relevante de fecha 1° de septiembre de 2025. Ese Juzgado declaró abierto el concurso preventivo de acreedores de la Sociedad con fecha 25 de septiembre de 2025.”</w:t>
      </w:r>
    </w:p>
    <w:p>
      <w:pPr>
        <w:pStyle w:val="BodyText"/>
        <w:spacing w:before="3"/>
      </w:pPr>
    </w:p>
    <w:p>
      <w:pPr>
        <w:pStyle w:val="BodyText"/>
        <w:ind w:left="998" w:right="134"/>
        <w:jc w:val="both"/>
      </w:pPr>
      <w:r>
        <w:rPr/>
        <w:t>“En ese sentido, los resultados de la Sociedad Controlante del primer trimestre del ejercicio</w:t>
      </w:r>
      <w:r>
        <w:rPr>
          <w:spacing w:val="40"/>
        </w:rPr>
        <w:t> </w:t>
      </w:r>
      <w:r>
        <w:rPr/>
        <w:t>en curso se han visto severamente afectados no solo por la continuidad de este contexto económico adverso, sino también por la dificultados financieras y falta de capital de trabajo que imposibilitaron</w:t>
      </w:r>
      <w:r>
        <w:rPr>
          <w:spacing w:val="-2"/>
        </w:rPr>
        <w:t> </w:t>
      </w:r>
      <w:r>
        <w:rPr/>
        <w:t>que las</w:t>
      </w:r>
      <w:r>
        <w:rPr>
          <w:spacing w:val="-2"/>
        </w:rPr>
        <w:t> </w:t>
      </w:r>
      <w:r>
        <w:rPr/>
        <w:t>plantas</w:t>
      </w:r>
      <w:r>
        <w:rPr>
          <w:spacing w:val="-2"/>
        </w:rPr>
        <w:t> </w:t>
      </w:r>
      <w:r>
        <w:rPr/>
        <w:t>industriales operaran</w:t>
      </w:r>
      <w:r>
        <w:rPr>
          <w:spacing w:val="-2"/>
        </w:rPr>
        <w:t> </w:t>
      </w:r>
      <w:r>
        <w:rPr/>
        <w:t>de manera</w:t>
      </w:r>
      <w:r>
        <w:rPr>
          <w:spacing w:val="-1"/>
        </w:rPr>
        <w:t> </w:t>
      </w:r>
      <w:r>
        <w:rPr/>
        <w:t>continua</w:t>
      </w:r>
      <w:r>
        <w:rPr>
          <w:spacing w:val="-1"/>
        </w:rPr>
        <w:t> </w:t>
      </w:r>
      <w:r>
        <w:rPr/>
        <w:t>hasta</w:t>
      </w:r>
      <w:r>
        <w:rPr>
          <w:spacing w:val="-1"/>
        </w:rPr>
        <w:t> </w:t>
      </w:r>
      <w:r>
        <w:rPr/>
        <w:t>su</w:t>
      </w:r>
      <w:r>
        <w:rPr>
          <w:spacing w:val="-2"/>
        </w:rPr>
        <w:t> </w:t>
      </w:r>
      <w:r>
        <w:rPr/>
        <w:t>parada total en el mes de julio de 2025, tal como fuera informado mediante Hecho Relevante de fecha 30 de julio de 2025.</w:t>
      </w:r>
      <w:r>
        <w:rPr>
          <w:spacing w:val="15"/>
        </w:rPr>
        <w:t> </w:t>
      </w:r>
      <w:r>
        <w:rPr/>
        <w:t>Esta realidad ha tenido un</w:t>
      </w:r>
      <w:r>
        <w:rPr>
          <w:spacing w:val="16"/>
        </w:rPr>
        <w:t> </w:t>
      </w:r>
      <w:r>
        <w:rPr/>
        <w:t>impacto extremadamente negativo en</w:t>
      </w:r>
      <w:r>
        <w:rPr>
          <w:spacing w:val="40"/>
        </w:rPr>
        <w:t> </w:t>
      </w:r>
      <w:r>
        <w:rPr/>
        <w:t>el negocio de la Sociedad Controlante, reflejándose en los resultados económicos y en la generación de caja. En ese sentido, la Sociedad Controlante ha sufrido una significativa caída en sus ventas llegando al orden del 80% si es comparado con lo logrado en el mismo trimestre del ejercicio anterior. Ello ha provocado una importante reducción de los niveles de rentabilidad bruta y operativa que alcanzaron el -99% y -124% en el Grupo, y -144% y - 163%, en la Sociedad, respectivamente, en el periodo finalizado el 31 de agosto de 2025, cuando en el mismo período</w:t>
      </w:r>
      <w:r>
        <w:rPr>
          <w:spacing w:val="-1"/>
        </w:rPr>
        <w:t> </w:t>
      </w:r>
      <w:r>
        <w:rPr/>
        <w:t>del</w:t>
      </w:r>
      <w:r>
        <w:rPr>
          <w:spacing w:val="-3"/>
        </w:rPr>
        <w:t> </w:t>
      </w:r>
      <w:r>
        <w:rPr/>
        <w:t>ejercicio</w:t>
      </w:r>
      <w:r>
        <w:rPr>
          <w:spacing w:val="-1"/>
        </w:rPr>
        <w:t> </w:t>
      </w:r>
      <w:r>
        <w:rPr/>
        <w:t>anterior fueron del 9% y -4% en</w:t>
      </w:r>
      <w:r>
        <w:rPr>
          <w:spacing w:val="-1"/>
        </w:rPr>
        <w:t> </w:t>
      </w:r>
      <w:r>
        <w:rPr/>
        <w:t>el Grupo, y 10% y 0% en la Sociedad, respectivamente.”</w:t>
      </w:r>
    </w:p>
    <w:p>
      <w:pPr>
        <w:pStyle w:val="BodyText"/>
        <w:spacing w:before="205"/>
        <w:ind w:left="998" w:right="136"/>
        <w:jc w:val="both"/>
      </w:pPr>
      <w:r>
        <w:rPr/>
        <w:t>“Como consecuencia de los resultados negativos comentados anteriormente, el ratio de liquidez corriente se</w:t>
      </w:r>
      <w:r>
        <w:rPr>
          <w:spacing w:val="-1"/>
        </w:rPr>
        <w:t> </w:t>
      </w:r>
      <w:r>
        <w:rPr/>
        <w:t>redujo drásticamente, llegando</w:t>
      </w:r>
      <w:r>
        <w:rPr>
          <w:spacing w:val="-2"/>
        </w:rPr>
        <w:t> </w:t>
      </w:r>
      <w:r>
        <w:rPr/>
        <w:t>a 0,18</w:t>
      </w:r>
      <w:r>
        <w:rPr>
          <w:spacing w:val="-2"/>
        </w:rPr>
        <w:t> </w:t>
      </w:r>
      <w:r>
        <w:rPr/>
        <w:t>en</w:t>
      </w:r>
      <w:r>
        <w:rPr>
          <w:spacing w:val="-2"/>
        </w:rPr>
        <w:t> </w:t>
      </w:r>
      <w:r>
        <w:rPr/>
        <w:t>el Grupo</w:t>
      </w:r>
      <w:r>
        <w:rPr>
          <w:spacing w:val="-2"/>
        </w:rPr>
        <w:t> </w:t>
      </w:r>
      <w:r>
        <w:rPr/>
        <w:t>y 0,15 en la Sociedad al 31 de agosto de 2025, debiendo aclarar que ya contempla la clasificación como pasivos corrientes de todos los vencimientos de las obligaciones negociables como de los restantes pasivos financieros resultantes del incumplimiento de pago informado mediante Hecho Relevante de fecha 7 de mayo de 2025. En consecuencia, al 31 de agosto de 2025 el capital de trabajo expone un saldo negativo de miles de pesos 266.682.423 en el Grupo y 260.722.474 en la Sociedad, mientras que el patrimonio neto un saldo negativo de miles de pesos 107.019.547. Cabe informar que está última situación implica que la Sociedad se encuentra comprendida dentro de las causales de disolución previstas en el art. 94, inciso 5, de la Ley General de Sociedades Nº 19.550.”</w:t>
      </w:r>
    </w:p>
    <w:p>
      <w:pPr>
        <w:pStyle w:val="BodyText"/>
        <w:spacing w:before="2"/>
      </w:pPr>
    </w:p>
    <w:p>
      <w:pPr>
        <w:pStyle w:val="BodyText"/>
        <w:spacing w:before="1"/>
        <w:ind w:left="998" w:right="147"/>
        <w:jc w:val="both"/>
      </w:pPr>
      <w:r>
        <w:rPr/>
        <w:t>“Los resultados del trimestre bajo análisis exponen el final de un proceso de deterioro que comenzó</w:t>
      </w:r>
      <w:r>
        <w:rPr>
          <w:spacing w:val="-1"/>
        </w:rPr>
        <w:t> </w:t>
      </w:r>
      <w:r>
        <w:rPr/>
        <w:t>en los últimos meses del</w:t>
      </w:r>
      <w:r>
        <w:rPr>
          <w:spacing w:val="-3"/>
        </w:rPr>
        <w:t> </w:t>
      </w:r>
      <w:r>
        <w:rPr/>
        <w:t>año 2024</w:t>
      </w:r>
      <w:r>
        <w:rPr>
          <w:spacing w:val="-1"/>
        </w:rPr>
        <w:t> </w:t>
      </w:r>
      <w:r>
        <w:rPr/>
        <w:t>con un</w:t>
      </w:r>
      <w:r>
        <w:rPr>
          <w:spacing w:val="-1"/>
        </w:rPr>
        <w:t> </w:t>
      </w:r>
      <w:r>
        <w:rPr/>
        <w:t>proceso</w:t>
      </w:r>
      <w:r>
        <w:rPr>
          <w:spacing w:val="-1"/>
        </w:rPr>
        <w:t> </w:t>
      </w:r>
      <w:r>
        <w:rPr/>
        <w:t>de retracción</w:t>
      </w:r>
      <w:r>
        <w:rPr>
          <w:spacing w:val="-1"/>
        </w:rPr>
        <w:t> </w:t>
      </w:r>
      <w:r>
        <w:rPr/>
        <w:t>de demanda, caída</w:t>
      </w:r>
    </w:p>
    <w:p>
      <w:pPr>
        <w:pStyle w:val="BodyText"/>
        <w:spacing w:after="0"/>
        <w:jc w:val="both"/>
        <w:sectPr>
          <w:pgSz w:w="11910" w:h="16840"/>
          <w:pgMar w:header="509" w:footer="0" w:top="2000" w:bottom="280" w:left="1700" w:right="992"/>
        </w:sectPr>
      </w:pPr>
    </w:p>
    <w:p>
      <w:pPr>
        <w:pStyle w:val="BodyText"/>
        <w:spacing w:before="94"/>
      </w:pPr>
    </w:p>
    <w:p>
      <w:pPr>
        <w:pStyle w:val="BodyText"/>
        <w:ind w:left="998" w:right="135"/>
        <w:jc w:val="both"/>
      </w:pPr>
      <w:r>
        <w:rPr/>
        <w:t>de ventas y márgenes, seguido de una significativa necesidad de capital de trabajo adicional debido a extensión de plazos de cobranza e incremento de los inventarios por una drástica reducción de las ventas. La disminución del capital de trabajo y la merma de generación de flujos de caja operativos, así como los vencimientos financieros, incrementaron significativamente la necesidad</w:t>
      </w:r>
      <w:r>
        <w:rPr>
          <w:spacing w:val="-1"/>
        </w:rPr>
        <w:t> </w:t>
      </w:r>
      <w:r>
        <w:rPr/>
        <w:t>de financiamiento de la Sociedad hacia finales</w:t>
      </w:r>
      <w:r>
        <w:rPr>
          <w:spacing w:val="-2"/>
        </w:rPr>
        <w:t> </w:t>
      </w:r>
      <w:r>
        <w:rPr/>
        <w:t>del año 2024 y durante los primeros meses del año actual. Las fuentes de financiación utilizadas para cubrir dichas necesidades</w:t>
      </w:r>
      <w:r>
        <w:rPr>
          <w:spacing w:val="-2"/>
        </w:rPr>
        <w:t> </w:t>
      </w:r>
      <w:r>
        <w:rPr/>
        <w:t>fueron</w:t>
      </w:r>
      <w:r>
        <w:rPr>
          <w:spacing w:val="-2"/>
        </w:rPr>
        <w:t> </w:t>
      </w:r>
      <w:r>
        <w:rPr/>
        <w:t>las</w:t>
      </w:r>
      <w:r>
        <w:rPr>
          <w:spacing w:val="-2"/>
        </w:rPr>
        <w:t> </w:t>
      </w:r>
      <w:r>
        <w:rPr/>
        <w:t>disponibles en</w:t>
      </w:r>
      <w:r>
        <w:rPr>
          <w:spacing w:val="-2"/>
        </w:rPr>
        <w:t> </w:t>
      </w:r>
      <w:r>
        <w:rPr/>
        <w:t>el</w:t>
      </w:r>
      <w:r>
        <w:rPr>
          <w:spacing w:val="-4"/>
        </w:rPr>
        <w:t> </w:t>
      </w:r>
      <w:r>
        <w:rPr/>
        <w:t>mercado, en</w:t>
      </w:r>
      <w:r>
        <w:rPr>
          <w:spacing w:val="-2"/>
        </w:rPr>
        <w:t> </w:t>
      </w:r>
      <w:r>
        <w:rPr/>
        <w:t>su mayoría</w:t>
      </w:r>
      <w:r>
        <w:rPr>
          <w:spacing w:val="-1"/>
        </w:rPr>
        <w:t> </w:t>
      </w:r>
      <w:r>
        <w:rPr/>
        <w:t>de corto</w:t>
      </w:r>
      <w:r>
        <w:rPr>
          <w:spacing w:val="-2"/>
        </w:rPr>
        <w:t> </w:t>
      </w:r>
      <w:r>
        <w:rPr/>
        <w:t>plazo</w:t>
      </w:r>
      <w:r>
        <w:rPr>
          <w:spacing w:val="-2"/>
        </w:rPr>
        <w:t> </w:t>
      </w:r>
      <w:r>
        <w:rPr/>
        <w:t>y a un costo elevado.”</w:t>
      </w:r>
    </w:p>
    <w:p>
      <w:pPr>
        <w:pStyle w:val="BodyText"/>
        <w:spacing w:before="205"/>
        <w:ind w:left="998" w:right="135"/>
        <w:jc w:val="both"/>
      </w:pPr>
      <w:r>
        <w:rPr/>
        <w:t>“En el mes de marzo de 2025 se produjo un marcado incremento de la percepción de riesgo sistémico en el mercado financiero por eventos varios que indujeron a muchos acreedores financieros a acelerar la cancelación de sus posiciones, generando una presión creciente</w:t>
      </w:r>
      <w:r>
        <w:rPr>
          <w:spacing w:val="40"/>
        </w:rPr>
        <w:t> </w:t>
      </w:r>
      <w:r>
        <w:rPr/>
        <w:t>sobre la caja y la estructura financiera de la Sociedad Controlante. Estas circunstancias tuvieron como consecuencia principal la retracción absoluta del crédito a la Socied</w:t>
      </w:r>
      <w:r>
        <w:rPr>
          <w:spacing w:val="-15"/>
        </w:rPr>
        <w:t> </w:t>
      </w:r>
      <w:r>
        <w:rPr/>
        <w:t>ad Controlante, tanto financiero como comercial, debiendo pasar a operar bajo una modalidad</w:t>
      </w:r>
      <w:r>
        <w:rPr>
          <w:spacing w:val="80"/>
        </w:rPr>
        <w:t> </w:t>
      </w:r>
      <w:r>
        <w:rPr/>
        <w:t>de pago contra entrega, al contado o mediante cesión de cheques de terceros. Esta</w:t>
      </w:r>
      <w:r>
        <w:rPr>
          <w:spacing w:val="40"/>
        </w:rPr>
        <w:t> </w:t>
      </w:r>
      <w:r>
        <w:rPr/>
        <w:t>operatoria</w:t>
      </w:r>
      <w:r>
        <w:rPr>
          <w:spacing w:val="-1"/>
        </w:rPr>
        <w:t> </w:t>
      </w:r>
      <w:r>
        <w:rPr/>
        <w:t>se</w:t>
      </w:r>
      <w:r>
        <w:rPr>
          <w:spacing w:val="-1"/>
        </w:rPr>
        <w:t> </w:t>
      </w:r>
      <w:r>
        <w:rPr/>
        <w:t>pudo mantener</w:t>
      </w:r>
      <w:r>
        <w:rPr>
          <w:spacing w:val="-1"/>
        </w:rPr>
        <w:t> </w:t>
      </w:r>
      <w:r>
        <w:rPr/>
        <w:t>durante</w:t>
      </w:r>
      <w:r>
        <w:rPr>
          <w:spacing w:val="-1"/>
        </w:rPr>
        <w:t> </w:t>
      </w:r>
      <w:r>
        <w:rPr/>
        <w:t>varias semanas, hasta</w:t>
      </w:r>
      <w:r>
        <w:rPr>
          <w:spacing w:val="-1"/>
        </w:rPr>
        <w:t> </w:t>
      </w:r>
      <w:r>
        <w:rPr/>
        <w:t>que</w:t>
      </w:r>
      <w:r>
        <w:rPr>
          <w:spacing w:val="-1"/>
        </w:rPr>
        <w:t> </w:t>
      </w:r>
      <w:r>
        <w:rPr/>
        <w:t>la</w:t>
      </w:r>
      <w:r>
        <w:rPr>
          <w:spacing w:val="-1"/>
        </w:rPr>
        <w:t> </w:t>
      </w:r>
      <w:r>
        <w:rPr/>
        <w:t>falta</w:t>
      </w:r>
      <w:r>
        <w:rPr>
          <w:spacing w:val="-1"/>
        </w:rPr>
        <w:t> </w:t>
      </w:r>
      <w:r>
        <w:rPr/>
        <w:t>de</w:t>
      </w:r>
      <w:r>
        <w:rPr>
          <w:spacing w:val="-1"/>
        </w:rPr>
        <w:t> </w:t>
      </w:r>
      <w:r>
        <w:rPr/>
        <w:t>capital de</w:t>
      </w:r>
      <w:r>
        <w:rPr>
          <w:spacing w:val="-1"/>
        </w:rPr>
        <w:t> </w:t>
      </w:r>
      <w:r>
        <w:rPr/>
        <w:t>trabajo volvió inviable el financiamiento de la operación, debiéndose parar la producción en las plantas industriales de Capitán Bermúdez y Zárate, tal como se expusiera anteriormente.”</w:t>
      </w:r>
    </w:p>
    <w:p>
      <w:pPr>
        <w:pStyle w:val="BodyText"/>
        <w:spacing w:before="3"/>
      </w:pPr>
    </w:p>
    <w:p>
      <w:pPr>
        <w:pStyle w:val="BodyText"/>
        <w:ind w:left="998" w:right="142"/>
        <w:jc w:val="both"/>
      </w:pPr>
      <w:r>
        <w:rPr/>
        <w:t>“Con fecha 19 de septiembre de</w:t>
      </w:r>
      <w:r>
        <w:rPr>
          <w:spacing w:val="27"/>
        </w:rPr>
        <w:t> </w:t>
      </w:r>
      <w:r>
        <w:rPr/>
        <w:t>2025 y tal fuera</w:t>
      </w:r>
      <w:r>
        <w:rPr>
          <w:spacing w:val="26"/>
        </w:rPr>
        <w:t> </w:t>
      </w:r>
      <w:r>
        <w:rPr/>
        <w:t>informado mediante</w:t>
      </w:r>
      <w:r>
        <w:rPr>
          <w:spacing w:val="30"/>
        </w:rPr>
        <w:t> </w:t>
      </w:r>
      <w:r>
        <w:rPr/>
        <w:t>Hecho Relevante de esa misma fecha, el Sr. Esteban Nofal adquirió, directa e indirectamente, el 45,5% de las acciones de la Sociedad transformándose en el nuevo controlante.”</w:t>
      </w:r>
    </w:p>
    <w:p>
      <w:pPr>
        <w:pStyle w:val="BodyText"/>
        <w:spacing w:before="206"/>
        <w:ind w:left="998" w:right="137"/>
        <w:jc w:val="both"/>
      </w:pPr>
      <w:r>
        <w:rPr/>
        <w:t>“El compromiso central del Sr. Nofal es impulsar la recuperación de</w:t>
      </w:r>
      <w:r>
        <w:rPr>
          <w:spacing w:val="13"/>
        </w:rPr>
        <w:t> </w:t>
      </w:r>
      <w:r>
        <w:rPr/>
        <w:t>la Sociedad</w:t>
      </w:r>
      <w:r>
        <w:rPr>
          <w:spacing w:val="24"/>
        </w:rPr>
        <w:t> </w:t>
      </w:r>
      <w:r>
        <w:rPr/>
        <w:t>Controlante, y sostener, preservar y generar el empleo, asegurando así la sostenibilidad de una organización que es parte esencial del patrimonio productivo argentino.”</w:t>
      </w:r>
    </w:p>
    <w:p>
      <w:pPr>
        <w:pStyle w:val="BodyText"/>
      </w:pPr>
    </w:p>
    <w:p>
      <w:pPr>
        <w:pStyle w:val="BodyText"/>
        <w:ind w:left="998" w:right="135"/>
        <w:jc w:val="both"/>
      </w:pPr>
      <w:r>
        <w:rPr/>
        <w:t>“A tal fin, y como también se informó al mercado mediante Hecho Relevante, el Sr. Nofal ha suscripto una línea de crédito por un monto máximo de U$S 18 millones. La línea de crédito tiene plazo de 24</w:t>
      </w:r>
      <w:r>
        <w:rPr>
          <w:spacing w:val="-1"/>
        </w:rPr>
        <w:t> </w:t>
      </w:r>
      <w:r>
        <w:rPr/>
        <w:t>meses, devengará una tasa del</w:t>
      </w:r>
      <w:r>
        <w:rPr>
          <w:spacing w:val="-3"/>
        </w:rPr>
        <w:t> </w:t>
      </w:r>
      <w:r>
        <w:rPr/>
        <w:t>10% anual, y será garantizada mediante un fideicomiso al cual la Sociedad cederá cuentas a cobrar.”</w:t>
      </w:r>
    </w:p>
    <w:p>
      <w:pPr>
        <w:pStyle w:val="BodyText"/>
        <w:spacing w:before="206"/>
        <w:ind w:left="998" w:right="137"/>
        <w:jc w:val="both"/>
      </w:pPr>
      <w:r>
        <w:rPr/>
        <w:t>“A la fecha de emisión de los presentes estados financieros consolidados y separados, se efectuaron</w:t>
      </w:r>
      <w:r>
        <w:rPr>
          <w:spacing w:val="-2"/>
        </w:rPr>
        <w:t> </w:t>
      </w:r>
      <w:r>
        <w:rPr/>
        <w:t>los</w:t>
      </w:r>
      <w:r>
        <w:rPr>
          <w:spacing w:val="-7"/>
        </w:rPr>
        <w:t> </w:t>
      </w:r>
      <w:r>
        <w:rPr/>
        <w:t>primeros</w:t>
      </w:r>
      <w:r>
        <w:rPr>
          <w:spacing w:val="-7"/>
        </w:rPr>
        <w:t> </w:t>
      </w:r>
      <w:r>
        <w:rPr/>
        <w:t>desembolsos</w:t>
      </w:r>
      <w:r>
        <w:rPr>
          <w:spacing w:val="-2"/>
        </w:rPr>
        <w:t> </w:t>
      </w:r>
      <w:r>
        <w:rPr/>
        <w:t>bajo</w:t>
      </w:r>
      <w:r>
        <w:rPr>
          <w:spacing w:val="-2"/>
        </w:rPr>
        <w:t> </w:t>
      </w:r>
      <w:r>
        <w:rPr/>
        <w:t>la</w:t>
      </w:r>
      <w:r>
        <w:rPr>
          <w:spacing w:val="-1"/>
        </w:rPr>
        <w:t> </w:t>
      </w:r>
      <w:r>
        <w:rPr/>
        <w:t>mencionada</w:t>
      </w:r>
      <w:r>
        <w:rPr>
          <w:spacing w:val="-1"/>
        </w:rPr>
        <w:t> </w:t>
      </w:r>
      <w:r>
        <w:rPr/>
        <w:t>línea.</w:t>
      </w:r>
      <w:r>
        <w:rPr>
          <w:spacing w:val="-5"/>
        </w:rPr>
        <w:t> </w:t>
      </w:r>
      <w:r>
        <w:rPr/>
        <w:t>Dichos</w:t>
      </w:r>
      <w:r>
        <w:rPr>
          <w:spacing w:val="-2"/>
        </w:rPr>
        <w:t> </w:t>
      </w:r>
      <w:r>
        <w:rPr/>
        <w:t>fondos</w:t>
      </w:r>
      <w:r>
        <w:rPr>
          <w:spacing w:val="-2"/>
        </w:rPr>
        <w:t> </w:t>
      </w:r>
      <w:r>
        <w:rPr/>
        <w:t>se</w:t>
      </w:r>
      <w:r>
        <w:rPr>
          <w:spacing w:val="-5"/>
        </w:rPr>
        <w:t> </w:t>
      </w:r>
      <w:r>
        <w:rPr/>
        <w:t>han</w:t>
      </w:r>
      <w:r>
        <w:rPr>
          <w:spacing w:val="-2"/>
        </w:rPr>
        <w:t> </w:t>
      </w:r>
      <w:r>
        <w:rPr/>
        <w:t>aplicado en primera instancia al pago de los salarios del personal correspondientes al mes de septiembre de 2025</w:t>
      </w:r>
      <w:r>
        <w:rPr>
          <w:spacing w:val="-2"/>
        </w:rPr>
        <w:t> </w:t>
      </w:r>
      <w:r>
        <w:rPr/>
        <w:t>y luego</w:t>
      </w:r>
      <w:r>
        <w:rPr>
          <w:spacing w:val="-2"/>
        </w:rPr>
        <w:t> </w:t>
      </w:r>
      <w:r>
        <w:rPr/>
        <w:t>a la</w:t>
      </w:r>
      <w:r>
        <w:rPr>
          <w:spacing w:val="-1"/>
        </w:rPr>
        <w:t> </w:t>
      </w:r>
      <w:r>
        <w:rPr/>
        <w:t>realización</w:t>
      </w:r>
      <w:r>
        <w:rPr>
          <w:spacing w:val="-2"/>
        </w:rPr>
        <w:t> </w:t>
      </w:r>
      <w:r>
        <w:rPr/>
        <w:t>de pagos a ciertos a</w:t>
      </w:r>
      <w:r>
        <w:rPr>
          <w:spacing w:val="-1"/>
        </w:rPr>
        <w:t> </w:t>
      </w:r>
      <w:r>
        <w:rPr/>
        <w:t>proveedores esenciales para comenzar</w:t>
      </w:r>
      <w:r>
        <w:rPr>
          <w:spacing w:val="-1"/>
        </w:rPr>
        <w:t> </w:t>
      </w:r>
      <w:r>
        <w:rPr/>
        <w:t>con</w:t>
      </w:r>
      <w:r>
        <w:rPr>
          <w:spacing w:val="-2"/>
        </w:rPr>
        <w:t> </w:t>
      </w:r>
      <w:r>
        <w:rPr/>
        <w:t>el</w:t>
      </w:r>
      <w:r>
        <w:rPr>
          <w:spacing w:val="-4"/>
        </w:rPr>
        <w:t> </w:t>
      </w:r>
      <w:r>
        <w:rPr/>
        <w:t>proceso</w:t>
      </w:r>
      <w:r>
        <w:rPr>
          <w:spacing w:val="-2"/>
        </w:rPr>
        <w:t> </w:t>
      </w:r>
      <w:r>
        <w:rPr/>
        <w:t>de</w:t>
      </w:r>
      <w:r>
        <w:rPr>
          <w:spacing w:val="-1"/>
        </w:rPr>
        <w:t> </w:t>
      </w:r>
      <w:r>
        <w:rPr/>
        <w:t>arranque de</w:t>
      </w:r>
      <w:r>
        <w:rPr>
          <w:spacing w:val="-1"/>
        </w:rPr>
        <w:t> </w:t>
      </w:r>
      <w:r>
        <w:rPr/>
        <w:t>la</w:t>
      </w:r>
      <w:r>
        <w:rPr>
          <w:spacing w:val="-1"/>
        </w:rPr>
        <w:t> </w:t>
      </w:r>
      <w:r>
        <w:rPr/>
        <w:t>planta</w:t>
      </w:r>
      <w:r>
        <w:rPr>
          <w:spacing w:val="-1"/>
        </w:rPr>
        <w:t> </w:t>
      </w:r>
      <w:r>
        <w:rPr/>
        <w:t>industrial</w:t>
      </w:r>
      <w:r>
        <w:rPr>
          <w:spacing w:val="-9"/>
        </w:rPr>
        <w:t> </w:t>
      </w:r>
      <w:r>
        <w:rPr/>
        <w:t>de</w:t>
      </w:r>
      <w:r>
        <w:rPr>
          <w:spacing w:val="-1"/>
        </w:rPr>
        <w:t> </w:t>
      </w:r>
      <w:r>
        <w:rPr/>
        <w:t>Capitán</w:t>
      </w:r>
      <w:r>
        <w:rPr>
          <w:spacing w:val="-6"/>
        </w:rPr>
        <w:t> </w:t>
      </w:r>
      <w:r>
        <w:rPr/>
        <w:t>Bermúdez. Los</w:t>
      </w:r>
      <w:r>
        <w:rPr>
          <w:spacing w:val="-2"/>
        </w:rPr>
        <w:t> </w:t>
      </w:r>
      <w:r>
        <w:rPr/>
        <w:t>fondos remanentes bajo la línea de crédito se utilizarán para recomponer el capital de trabajo se la Sociedad y con el único objetivo de garantizar la operación de ambas plantas industriales.”</w:t>
      </w:r>
    </w:p>
    <w:p>
      <w:pPr>
        <w:pStyle w:val="BodyText"/>
        <w:spacing w:line="242" w:lineRule="auto" w:before="205"/>
        <w:ind w:left="998" w:right="139"/>
        <w:jc w:val="both"/>
      </w:pPr>
      <w:r>
        <w:rPr/>
        <w:t>“Asimismo, el nuevo controlante ha manifestado su compromiso de enfocar todos los</w:t>
      </w:r>
      <w:r>
        <w:rPr>
          <w:spacing w:val="40"/>
        </w:rPr>
        <w:t> </w:t>
      </w:r>
      <w:r>
        <w:rPr/>
        <w:t>recursos de la Sociedad hacia un proceso de optimización de costos, de manera de asegurar su competitividad en cualquier contexto económico, reduciendo a su vez todo tipo de erogaciones que atenten contra su sustentabilidad.”</w:t>
      </w:r>
    </w:p>
    <w:p>
      <w:pPr>
        <w:pStyle w:val="ListParagraph"/>
        <w:numPr>
          <w:ilvl w:val="1"/>
          <w:numId w:val="3"/>
        </w:numPr>
        <w:tabs>
          <w:tab w:pos="992" w:val="left" w:leader="none"/>
          <w:tab w:pos="998" w:val="left" w:leader="none"/>
        </w:tabs>
        <w:spacing w:line="240" w:lineRule="auto" w:before="202" w:after="0"/>
        <w:ind w:left="998" w:right="137" w:hanging="360"/>
        <w:jc w:val="both"/>
        <w:rPr>
          <w:sz w:val="17"/>
        </w:rPr>
      </w:pPr>
      <w:r>
        <w:rPr>
          <w:sz w:val="17"/>
        </w:rPr>
        <w:t>“Tal cómo se detalla en la nota 9. a los estados financieros consolidados y separados adjuntos,</w:t>
      </w:r>
      <w:r>
        <w:rPr>
          <w:spacing w:val="-1"/>
          <w:sz w:val="17"/>
        </w:rPr>
        <w:t> </w:t>
      </w:r>
      <w:r>
        <w:rPr>
          <w:sz w:val="17"/>
        </w:rPr>
        <w:t>la</w:t>
      </w:r>
      <w:r>
        <w:rPr>
          <w:spacing w:val="-2"/>
          <w:sz w:val="17"/>
        </w:rPr>
        <w:t> </w:t>
      </w:r>
      <w:r>
        <w:rPr>
          <w:sz w:val="17"/>
        </w:rPr>
        <w:t>subsidiaria</w:t>
      </w:r>
      <w:r>
        <w:rPr>
          <w:spacing w:val="-2"/>
          <w:sz w:val="17"/>
        </w:rPr>
        <w:t> </w:t>
      </w:r>
      <w:r>
        <w:rPr>
          <w:sz w:val="17"/>
        </w:rPr>
        <w:t>argentina</w:t>
      </w:r>
      <w:r>
        <w:rPr>
          <w:spacing w:val="-2"/>
          <w:sz w:val="17"/>
        </w:rPr>
        <w:t> </w:t>
      </w:r>
      <w:r>
        <w:rPr>
          <w:sz w:val="17"/>
        </w:rPr>
        <w:t>Forestadora</w:t>
      </w:r>
      <w:r>
        <w:rPr>
          <w:spacing w:val="-7"/>
          <w:sz w:val="17"/>
        </w:rPr>
        <w:t> </w:t>
      </w:r>
      <w:r>
        <w:rPr>
          <w:sz w:val="17"/>
        </w:rPr>
        <w:t>Tapibecuá</w:t>
      </w:r>
      <w:r>
        <w:rPr>
          <w:spacing w:val="-2"/>
          <w:sz w:val="17"/>
        </w:rPr>
        <w:t> </w:t>
      </w:r>
      <w:r>
        <w:rPr>
          <w:sz w:val="17"/>
        </w:rPr>
        <w:t>S.A.U.</w:t>
      </w:r>
      <w:r>
        <w:rPr>
          <w:spacing w:val="-6"/>
          <w:sz w:val="17"/>
        </w:rPr>
        <w:t> </w:t>
      </w:r>
      <w:r>
        <w:rPr>
          <w:sz w:val="17"/>
        </w:rPr>
        <w:t>es</w:t>
      </w:r>
      <w:r>
        <w:rPr>
          <w:spacing w:val="-3"/>
          <w:sz w:val="17"/>
        </w:rPr>
        <w:t> </w:t>
      </w:r>
      <w:r>
        <w:rPr>
          <w:sz w:val="17"/>
        </w:rPr>
        <w:t>una</w:t>
      </w:r>
      <w:r>
        <w:rPr>
          <w:spacing w:val="-2"/>
          <w:sz w:val="17"/>
        </w:rPr>
        <w:t> </w:t>
      </w:r>
      <w:r>
        <w:rPr>
          <w:sz w:val="17"/>
        </w:rPr>
        <w:t>empresa</w:t>
      </w:r>
      <w:r>
        <w:rPr>
          <w:spacing w:val="-2"/>
          <w:sz w:val="17"/>
        </w:rPr>
        <w:t> </w:t>
      </w:r>
      <w:r>
        <w:rPr>
          <w:sz w:val="17"/>
        </w:rPr>
        <w:t>dedicada</w:t>
      </w:r>
      <w:r>
        <w:rPr>
          <w:spacing w:val="-2"/>
          <w:sz w:val="17"/>
        </w:rPr>
        <w:t> </w:t>
      </w:r>
      <w:r>
        <w:rPr>
          <w:sz w:val="17"/>
        </w:rPr>
        <w:t>a</w:t>
      </w:r>
      <w:r>
        <w:rPr>
          <w:spacing w:val="-2"/>
          <w:sz w:val="17"/>
        </w:rPr>
        <w:t> </w:t>
      </w:r>
      <w:r>
        <w:rPr>
          <w:sz w:val="17"/>
        </w:rPr>
        <w:t>la elaboración y comercialización</w:t>
      </w:r>
      <w:r>
        <w:rPr>
          <w:spacing w:val="-2"/>
          <w:sz w:val="17"/>
        </w:rPr>
        <w:t> </w:t>
      </w:r>
      <w:r>
        <w:rPr>
          <w:sz w:val="17"/>
        </w:rPr>
        <w:t>de paneles</w:t>
      </w:r>
      <w:r>
        <w:rPr>
          <w:spacing w:val="-2"/>
          <w:sz w:val="17"/>
        </w:rPr>
        <w:t> </w:t>
      </w:r>
      <w:r>
        <w:rPr>
          <w:sz w:val="17"/>
        </w:rPr>
        <w:t>de compensado</w:t>
      </w:r>
      <w:r>
        <w:rPr>
          <w:spacing w:val="-2"/>
          <w:sz w:val="17"/>
        </w:rPr>
        <w:t> </w:t>
      </w:r>
      <w:r>
        <w:rPr>
          <w:sz w:val="17"/>
        </w:rPr>
        <w:t>fenólico</w:t>
      </w:r>
      <w:r>
        <w:rPr>
          <w:spacing w:val="-2"/>
          <w:sz w:val="17"/>
        </w:rPr>
        <w:t> </w:t>
      </w:r>
      <w:r>
        <w:rPr>
          <w:sz w:val="17"/>
        </w:rPr>
        <w:t>y madera aserrada de alta calidad. La Sociedad desarrolla sus actividades en la localidad de Gobernador Virasoro, provincia de Corrientes y es una subsidiaria de Celulosa Argentina S.A., su único accionista.”</w:t>
      </w:r>
    </w:p>
    <w:p>
      <w:pPr>
        <w:pStyle w:val="BodyText"/>
        <w:spacing w:before="206"/>
        <w:ind w:left="998" w:right="138"/>
        <w:jc w:val="both"/>
      </w:pPr>
      <w:r>
        <w:rPr/>
        <w:t>“El ejercicio económico anterior finalizado el 31 de mayo de 2025 se desarrolló en un</w:t>
      </w:r>
      <w:r>
        <w:rPr>
          <w:spacing w:val="40"/>
        </w:rPr>
        <w:t> </w:t>
      </w:r>
      <w:r>
        <w:rPr/>
        <w:t>contexto económico extremadamente adverso para la industria en general y en particular para el sector en el cual la Sociedad desarrolla sus negocios. Asimismo, la Sociedad se vio profundamente afectada por condiciones climáticas adversas que impactaron de manera directa y significativa en su actividad forestal. Estos eventos incluyeron sequías prolongadas, altas</w:t>
      </w:r>
      <w:r>
        <w:rPr>
          <w:spacing w:val="-3"/>
        </w:rPr>
        <w:t> </w:t>
      </w:r>
      <w:r>
        <w:rPr/>
        <w:t>temperaturas</w:t>
      </w:r>
      <w:r>
        <w:rPr>
          <w:spacing w:val="-3"/>
        </w:rPr>
        <w:t> </w:t>
      </w:r>
      <w:r>
        <w:rPr/>
        <w:t>y eventos meteorológicos extremos que impactaron de manera</w:t>
      </w:r>
      <w:r>
        <w:rPr>
          <w:spacing w:val="-2"/>
        </w:rPr>
        <w:t> </w:t>
      </w:r>
      <w:r>
        <w:rPr/>
        <w:t>directa en la producción forestal, el transporte de materia prima y el funcionamiento de la planta </w:t>
      </w:r>
      <w:r>
        <w:rPr>
          <w:spacing w:val="-2"/>
        </w:rPr>
        <w:t>industrial.”</w:t>
      </w:r>
    </w:p>
    <w:p>
      <w:pPr>
        <w:pStyle w:val="BodyText"/>
        <w:spacing w:before="205"/>
        <w:ind w:left="998" w:right="144"/>
        <w:jc w:val="both"/>
      </w:pPr>
      <w:r>
        <w:rPr/>
        <w:t>“Durante el trimestre finalizado el 31 de agosto de 2025 se profundizó el deterioro de su situación</w:t>
      </w:r>
      <w:r>
        <w:rPr>
          <w:spacing w:val="-6"/>
        </w:rPr>
        <w:t> </w:t>
      </w:r>
      <w:r>
        <w:rPr/>
        <w:t>económica</w:t>
      </w:r>
      <w:r>
        <w:rPr>
          <w:spacing w:val="-1"/>
        </w:rPr>
        <w:t> </w:t>
      </w:r>
      <w:r>
        <w:rPr/>
        <w:t>y</w:t>
      </w:r>
      <w:r>
        <w:rPr>
          <w:spacing w:val="-4"/>
        </w:rPr>
        <w:t> </w:t>
      </w:r>
      <w:r>
        <w:rPr/>
        <w:t>financiera</w:t>
      </w:r>
      <w:r>
        <w:rPr>
          <w:spacing w:val="-6"/>
        </w:rPr>
        <w:t> </w:t>
      </w:r>
      <w:r>
        <w:rPr/>
        <w:t>debido</w:t>
      </w:r>
      <w:r>
        <w:rPr>
          <w:spacing w:val="-2"/>
        </w:rPr>
        <w:t> </w:t>
      </w:r>
      <w:r>
        <w:rPr/>
        <w:t>a</w:t>
      </w:r>
      <w:r>
        <w:rPr>
          <w:spacing w:val="-1"/>
        </w:rPr>
        <w:t> </w:t>
      </w:r>
      <w:r>
        <w:rPr/>
        <w:t>la</w:t>
      </w:r>
      <w:r>
        <w:rPr>
          <w:spacing w:val="-1"/>
        </w:rPr>
        <w:t> </w:t>
      </w:r>
      <w:r>
        <w:rPr/>
        <w:t>falta</w:t>
      </w:r>
      <w:r>
        <w:rPr>
          <w:spacing w:val="-1"/>
        </w:rPr>
        <w:t> </w:t>
      </w:r>
      <w:r>
        <w:rPr/>
        <w:t>de</w:t>
      </w:r>
      <w:r>
        <w:rPr>
          <w:spacing w:val="-1"/>
        </w:rPr>
        <w:t> </w:t>
      </w:r>
      <w:r>
        <w:rPr/>
        <w:t>capital</w:t>
      </w:r>
      <w:r>
        <w:rPr>
          <w:spacing w:val="-9"/>
        </w:rPr>
        <w:t> </w:t>
      </w:r>
      <w:r>
        <w:rPr/>
        <w:t>de</w:t>
      </w:r>
      <w:r>
        <w:rPr>
          <w:spacing w:val="-5"/>
        </w:rPr>
        <w:t> </w:t>
      </w:r>
      <w:r>
        <w:rPr/>
        <w:t>trabajo</w:t>
      </w:r>
      <w:r>
        <w:rPr>
          <w:spacing w:val="-3"/>
        </w:rPr>
        <w:t> </w:t>
      </w:r>
      <w:r>
        <w:rPr/>
        <w:t>para</w:t>
      </w:r>
      <w:r>
        <w:rPr>
          <w:spacing w:val="-1"/>
        </w:rPr>
        <w:t> </w:t>
      </w:r>
      <w:r>
        <w:rPr/>
        <w:t>operar</w:t>
      </w:r>
      <w:r>
        <w:rPr>
          <w:spacing w:val="-1"/>
        </w:rPr>
        <w:t> </w:t>
      </w:r>
      <w:r>
        <w:rPr/>
        <w:t>de</w:t>
      </w:r>
      <w:r>
        <w:rPr>
          <w:spacing w:val="-1"/>
        </w:rPr>
        <w:t> </w:t>
      </w:r>
      <w:r>
        <w:rPr/>
        <w:t>manera</w:t>
      </w:r>
    </w:p>
    <w:p>
      <w:pPr>
        <w:pStyle w:val="BodyText"/>
        <w:spacing w:after="0"/>
        <w:jc w:val="both"/>
        <w:sectPr>
          <w:pgSz w:w="11910" w:h="16840"/>
          <w:pgMar w:header="509" w:footer="0" w:top="2000" w:bottom="280" w:left="1700" w:right="992"/>
        </w:sectPr>
      </w:pPr>
    </w:p>
    <w:p>
      <w:pPr>
        <w:pStyle w:val="BodyText"/>
        <w:spacing w:before="94"/>
      </w:pPr>
    </w:p>
    <w:p>
      <w:pPr>
        <w:pStyle w:val="BodyText"/>
        <w:ind w:left="998" w:right="138"/>
        <w:jc w:val="both"/>
      </w:pPr>
      <w:r>
        <w:rPr/>
        <w:t>continua. Dicho contexto derivó en la paralización de la producción desde el 11 de agosto de 2025, generándose una situación de conflicto con el sindicato del sector, la cual se ha mantenido</w:t>
      </w:r>
      <w:r>
        <w:rPr>
          <w:spacing w:val="-2"/>
        </w:rPr>
        <w:t> </w:t>
      </w:r>
      <w:r>
        <w:rPr/>
        <w:t>hasta</w:t>
      </w:r>
      <w:r>
        <w:rPr>
          <w:spacing w:val="-1"/>
        </w:rPr>
        <w:t> </w:t>
      </w:r>
      <w:r>
        <w:rPr/>
        <w:t>el</w:t>
      </w:r>
      <w:r>
        <w:rPr>
          <w:spacing w:val="-4"/>
        </w:rPr>
        <w:t> </w:t>
      </w:r>
      <w:r>
        <w:rPr/>
        <w:t>9 de</w:t>
      </w:r>
      <w:r>
        <w:rPr>
          <w:spacing w:val="-1"/>
        </w:rPr>
        <w:t> </w:t>
      </w:r>
      <w:r>
        <w:rPr/>
        <w:t>octubre de 2025. A</w:t>
      </w:r>
      <w:r>
        <w:rPr>
          <w:spacing w:val="-1"/>
        </w:rPr>
        <w:t> </w:t>
      </w:r>
      <w:r>
        <w:rPr/>
        <w:t>partir</w:t>
      </w:r>
      <w:r>
        <w:rPr>
          <w:spacing w:val="-1"/>
        </w:rPr>
        <w:t> </w:t>
      </w:r>
      <w:r>
        <w:rPr/>
        <w:t>de</w:t>
      </w:r>
      <w:r>
        <w:rPr>
          <w:spacing w:val="-1"/>
        </w:rPr>
        <w:t> </w:t>
      </w:r>
      <w:r>
        <w:rPr/>
        <w:t>dicha</w:t>
      </w:r>
      <w:r>
        <w:rPr>
          <w:spacing w:val="-1"/>
        </w:rPr>
        <w:t> </w:t>
      </w:r>
      <w:r>
        <w:rPr/>
        <w:t>fecha, se</w:t>
      </w:r>
      <w:r>
        <w:rPr>
          <w:spacing w:val="-1"/>
        </w:rPr>
        <w:t> </w:t>
      </w:r>
      <w:r>
        <w:rPr/>
        <w:t>ha llegado</w:t>
      </w:r>
      <w:r>
        <w:rPr>
          <w:spacing w:val="-2"/>
        </w:rPr>
        <w:t> </w:t>
      </w:r>
      <w:r>
        <w:rPr/>
        <w:t>a</w:t>
      </w:r>
      <w:r>
        <w:rPr>
          <w:spacing w:val="-1"/>
        </w:rPr>
        <w:t> </w:t>
      </w:r>
      <w:r>
        <w:rPr/>
        <w:t>un</w:t>
      </w:r>
      <w:r>
        <w:rPr>
          <w:spacing w:val="-2"/>
        </w:rPr>
        <w:t> </w:t>
      </w:r>
      <w:r>
        <w:rPr/>
        <w:t>acuerdo con el sector sindical, con</w:t>
      </w:r>
      <w:r>
        <w:rPr>
          <w:spacing w:val="-3"/>
        </w:rPr>
        <w:t> </w:t>
      </w:r>
      <w:r>
        <w:rPr/>
        <w:t>el</w:t>
      </w:r>
      <w:r>
        <w:rPr>
          <w:spacing w:val="-5"/>
        </w:rPr>
        <w:t> </w:t>
      </w:r>
      <w:r>
        <w:rPr/>
        <w:t>objetivo</w:t>
      </w:r>
      <w:r>
        <w:rPr>
          <w:spacing w:val="-3"/>
        </w:rPr>
        <w:t> </w:t>
      </w:r>
      <w:r>
        <w:rPr/>
        <w:t>de</w:t>
      </w:r>
      <w:r>
        <w:rPr>
          <w:spacing w:val="-2"/>
        </w:rPr>
        <w:t> </w:t>
      </w:r>
      <w:r>
        <w:rPr/>
        <w:t>buscar una paulatina</w:t>
      </w:r>
      <w:r>
        <w:rPr>
          <w:spacing w:val="-2"/>
        </w:rPr>
        <w:t> </w:t>
      </w:r>
      <w:r>
        <w:rPr/>
        <w:t>restauración</w:t>
      </w:r>
      <w:r>
        <w:rPr>
          <w:spacing w:val="-3"/>
        </w:rPr>
        <w:t> </w:t>
      </w:r>
      <w:r>
        <w:rPr/>
        <w:t>de la operación de la Sociedad. Para los próximos meses se espera una reactivación gradual de la operación, sujeta a la evolución del mercado, que permita retomar el desempeño normal de los </w:t>
      </w:r>
      <w:r>
        <w:rPr>
          <w:spacing w:val="-2"/>
        </w:rPr>
        <w:t>negocios.”</w:t>
      </w:r>
    </w:p>
    <w:p>
      <w:pPr>
        <w:pStyle w:val="BodyText"/>
        <w:spacing w:before="205"/>
        <w:ind w:left="998" w:right="138"/>
        <w:jc w:val="both"/>
      </w:pPr>
      <w:r>
        <w:rPr/>
        <w:t>“La situación previamente descripta ha tenido un impacto sumamente negativo en el negocio de la Sociedad, reflejándose en los resultados económicos y en la generación de caja. En ese sentido, la Sociedad ha sufrido una significativa caída en sus ventas, que en el último trimestre llegó al orden del 63% comparado con lo logrado en el mismo periodo del ejercicio anterior. Por otra parte, los costos de la operación han aumentado en forma significativa, en especial si son medidos en dólares, que no han podido ser trasladados a precios, lo cual ha provocado una importante reducción de los niveles de rentabilidad que alcanzaron el</w:t>
      </w:r>
      <w:r>
        <w:rPr>
          <w:spacing w:val="17"/>
        </w:rPr>
        <w:t> </w:t>
      </w:r>
      <w:r>
        <w:rPr/>
        <w:t>-155% al 31 de agosto de 2025 cuando en el mismo periodo de tres meses del ejercicio anterior fueron del -42%.”</w:t>
      </w:r>
    </w:p>
    <w:p>
      <w:pPr>
        <w:pStyle w:val="BodyText"/>
        <w:spacing w:line="242" w:lineRule="auto" w:before="206"/>
        <w:ind w:left="998" w:right="136"/>
        <w:jc w:val="both"/>
      </w:pPr>
      <w:r>
        <w:rPr/>
        <w:t>“Como consecuencia de los resultados negativos comentados anteriormente, el ratio de liquidez corriente se redujo moderadamente, pasando de</w:t>
      </w:r>
      <w:r>
        <w:rPr>
          <w:spacing w:val="-1"/>
        </w:rPr>
        <w:t> </w:t>
      </w:r>
      <w:r>
        <w:rPr/>
        <w:t>0,57 al 31</w:t>
      </w:r>
      <w:r>
        <w:rPr>
          <w:spacing w:val="-2"/>
        </w:rPr>
        <w:t> </w:t>
      </w:r>
      <w:r>
        <w:rPr/>
        <w:t>de mayo de 2025 a 0,33 al cierre del primer trimestre del ejercicio actual. El capital de trabajo expone un saldo negativo de pesos 7.730.269 al 31 de agosto de 2025.”</w:t>
      </w:r>
    </w:p>
    <w:p>
      <w:pPr>
        <w:pStyle w:val="BodyText"/>
        <w:spacing w:before="202"/>
        <w:ind w:left="998" w:right="142"/>
        <w:jc w:val="both"/>
      </w:pPr>
      <w:r>
        <w:rPr/>
        <w:t>“Adicionalmente, su único accionista atraviesa también una compleja situación financiera, tal como fue descripto en el punto anterior.”</w:t>
      </w:r>
    </w:p>
    <w:p>
      <w:pPr>
        <w:pStyle w:val="BodyText"/>
        <w:spacing w:before="206"/>
        <w:ind w:left="998" w:right="148"/>
        <w:jc w:val="both"/>
      </w:pPr>
      <w:r>
        <w:rPr/>
        <w:t>“En el marco de este proceso, todas las opciones para reactivar la operación industrial de Forestadora Tapebicuá S.A.U. están siendo evaluadas.”</w:t>
      </w:r>
    </w:p>
    <w:p>
      <w:pPr>
        <w:pStyle w:val="ListParagraph"/>
        <w:numPr>
          <w:ilvl w:val="1"/>
          <w:numId w:val="3"/>
        </w:numPr>
        <w:tabs>
          <w:tab w:pos="992" w:val="left" w:leader="none"/>
          <w:tab w:pos="998" w:val="left" w:leader="none"/>
        </w:tabs>
        <w:spacing w:line="240" w:lineRule="auto" w:before="206" w:after="0"/>
        <w:ind w:left="998" w:right="137" w:hanging="360"/>
        <w:jc w:val="both"/>
        <w:rPr>
          <w:sz w:val="17"/>
        </w:rPr>
      </w:pPr>
      <w:r>
        <w:rPr>
          <w:sz w:val="17"/>
        </w:rPr>
        <w:t>“Tal cómo se detalla en la nota 9. a los estados financieros intermedios consolidados condensados,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w:t>
      </w:r>
    </w:p>
    <w:p>
      <w:pPr>
        <w:pStyle w:val="BodyText"/>
        <w:spacing w:before="70"/>
      </w:pPr>
    </w:p>
    <w:p>
      <w:pPr>
        <w:pStyle w:val="BodyText"/>
        <w:spacing w:line="242" w:lineRule="auto"/>
        <w:ind w:left="288" w:right="52"/>
      </w:pPr>
      <w:r>
        <w:rPr/>
        <w:t>“Las</w:t>
      </w:r>
      <w:r>
        <w:rPr>
          <w:spacing w:val="-4"/>
        </w:rPr>
        <w:t> </w:t>
      </w:r>
      <w:r>
        <w:rPr/>
        <w:t>situaciones</w:t>
      </w:r>
      <w:r>
        <w:rPr>
          <w:spacing w:val="-9"/>
        </w:rPr>
        <w:t> </w:t>
      </w:r>
      <w:r>
        <w:rPr/>
        <w:t>descriptas</w:t>
      </w:r>
      <w:r>
        <w:rPr>
          <w:spacing w:val="-7"/>
        </w:rPr>
        <w:t> </w:t>
      </w:r>
      <w:r>
        <w:rPr/>
        <w:t>precedentemente indican</w:t>
      </w:r>
      <w:r>
        <w:rPr>
          <w:spacing w:val="-4"/>
        </w:rPr>
        <w:t> </w:t>
      </w:r>
      <w:r>
        <w:rPr/>
        <w:t>la</w:t>
      </w:r>
      <w:r>
        <w:rPr>
          <w:spacing w:val="-3"/>
        </w:rPr>
        <w:t> </w:t>
      </w:r>
      <w:r>
        <w:rPr/>
        <w:t>existencia</w:t>
      </w:r>
      <w:r>
        <w:rPr>
          <w:spacing w:val="-3"/>
        </w:rPr>
        <w:t> </w:t>
      </w:r>
      <w:r>
        <w:rPr/>
        <w:t>de</w:t>
      </w:r>
      <w:r>
        <w:rPr>
          <w:spacing w:val="-7"/>
        </w:rPr>
        <w:t> </w:t>
      </w:r>
      <w:r>
        <w:rPr/>
        <w:t>una</w:t>
      </w:r>
      <w:r>
        <w:rPr>
          <w:spacing w:val="-3"/>
        </w:rPr>
        <w:t> </w:t>
      </w:r>
      <w:r>
        <w:rPr/>
        <w:t>incertidumbre</w:t>
      </w:r>
      <w:r>
        <w:rPr>
          <w:spacing w:val="-2"/>
        </w:rPr>
        <w:t> </w:t>
      </w:r>
      <w:r>
        <w:rPr/>
        <w:t>material</w:t>
      </w:r>
      <w:r>
        <w:rPr>
          <w:spacing w:val="-6"/>
        </w:rPr>
        <w:t> </w:t>
      </w:r>
      <w:r>
        <w:rPr/>
        <w:t>que puede generar dudas significativas sobre la capacidad de la Sociedad, como así también del Grupo, para continuar como empresa en funcionamiento y que pueda realizar sus activos y cancelar sus pasivos en el curso normal de los negocios.”</w:t>
      </w:r>
    </w:p>
    <w:p>
      <w:pPr>
        <w:pStyle w:val="BodyText"/>
        <w:spacing w:before="203"/>
      </w:pPr>
    </w:p>
    <w:p>
      <w:pPr>
        <w:pStyle w:val="Heading4"/>
        <w:numPr>
          <w:ilvl w:val="0"/>
          <w:numId w:val="3"/>
        </w:numPr>
        <w:tabs>
          <w:tab w:pos="714" w:val="left" w:leader="none"/>
        </w:tabs>
        <w:spacing w:line="240" w:lineRule="auto" w:before="0" w:after="0"/>
        <w:ind w:left="714" w:right="0" w:hanging="426"/>
        <w:jc w:val="left"/>
        <w:rPr>
          <w:i/>
        </w:rPr>
      </w:pPr>
      <w:r>
        <w:rPr>
          <w:i/>
        </w:rPr>
        <w:t>“</w:t>
      </w:r>
      <w:r>
        <w:rPr/>
        <w:t>INFORME</w:t>
      </w:r>
      <w:r>
        <w:rPr>
          <w:spacing w:val="-12"/>
        </w:rPr>
        <w:t> </w:t>
      </w:r>
      <w:r>
        <w:rPr/>
        <w:t>SOBRE</w:t>
      </w:r>
      <w:r>
        <w:rPr>
          <w:spacing w:val="-12"/>
        </w:rPr>
        <w:t> </w:t>
      </w:r>
      <w:r>
        <w:rPr/>
        <w:t>OTROS</w:t>
      </w:r>
      <w:r>
        <w:rPr>
          <w:spacing w:val="-8"/>
        </w:rPr>
        <w:t> </w:t>
      </w:r>
      <w:r>
        <w:rPr/>
        <w:t>REQUERIMIENTOS</w:t>
      </w:r>
      <w:r>
        <w:rPr>
          <w:spacing w:val="-12"/>
        </w:rPr>
        <w:t> </w:t>
      </w:r>
      <w:r>
        <w:rPr/>
        <w:t>LEGALES</w:t>
      </w:r>
      <w:r>
        <w:rPr>
          <w:spacing w:val="-11"/>
        </w:rPr>
        <w:t> </w:t>
      </w:r>
      <w:r>
        <w:rPr/>
        <w:t>Y</w:t>
      </w:r>
      <w:r>
        <w:rPr>
          <w:spacing w:val="-11"/>
        </w:rPr>
        <w:t> </w:t>
      </w:r>
      <w:r>
        <w:rPr>
          <w:spacing w:val="-2"/>
        </w:rPr>
        <w:t>REGLAMENTARIOS</w:t>
      </w:r>
      <w:r>
        <w:rPr>
          <w:i/>
          <w:spacing w:val="-2"/>
        </w:rPr>
        <w:t>”</w:t>
      </w:r>
    </w:p>
    <w:p>
      <w:pPr>
        <w:pStyle w:val="ListParagraph"/>
        <w:numPr>
          <w:ilvl w:val="1"/>
          <w:numId w:val="3"/>
        </w:numPr>
        <w:tabs>
          <w:tab w:pos="775" w:val="left" w:leader="none"/>
          <w:tab w:pos="777" w:val="left" w:leader="none"/>
        </w:tabs>
        <w:spacing w:line="240" w:lineRule="auto" w:before="206" w:after="0"/>
        <w:ind w:left="777" w:right="141" w:hanging="490"/>
        <w:jc w:val="both"/>
        <w:rPr>
          <w:sz w:val="17"/>
        </w:rPr>
      </w:pPr>
      <w:r>
        <w:rPr>
          <w:sz w:val="17"/>
        </w:rPr>
        <w:t>“Los estados financieros intermedios condensados adjuntos, tanto los separados como los consolidados, han sido preparados, en todos sus aspectos significativos, de acuerdo con las normas aplicables de la Ley General de Sociedades N° 19.550 y de la Comisión Nacional de </w:t>
      </w:r>
      <w:r>
        <w:rPr>
          <w:spacing w:val="-2"/>
          <w:sz w:val="17"/>
        </w:rPr>
        <w:t>Valores.”</w:t>
      </w:r>
    </w:p>
    <w:p>
      <w:pPr>
        <w:pStyle w:val="ListParagraph"/>
        <w:numPr>
          <w:ilvl w:val="1"/>
          <w:numId w:val="3"/>
        </w:numPr>
        <w:tabs>
          <w:tab w:pos="774" w:val="left" w:leader="none"/>
          <w:tab w:pos="777" w:val="left" w:leader="none"/>
        </w:tabs>
        <w:spacing w:line="240" w:lineRule="auto" w:before="206" w:after="0"/>
        <w:ind w:left="777" w:right="140" w:hanging="490"/>
        <w:jc w:val="both"/>
        <w:rPr>
          <w:sz w:val="17"/>
        </w:rPr>
      </w:pPr>
      <w:r>
        <w:rPr>
          <w:sz w:val="17"/>
        </w:rPr>
        <w:t>“Las cifras</w:t>
      </w:r>
      <w:r>
        <w:rPr>
          <w:spacing w:val="-1"/>
          <w:sz w:val="17"/>
        </w:rPr>
        <w:t> </w:t>
      </w:r>
      <w:r>
        <w:rPr>
          <w:sz w:val="17"/>
        </w:rPr>
        <w:t>de los</w:t>
      </w:r>
      <w:r>
        <w:rPr>
          <w:spacing w:val="-1"/>
          <w:sz w:val="17"/>
        </w:rPr>
        <w:t> </w:t>
      </w:r>
      <w:r>
        <w:rPr>
          <w:sz w:val="17"/>
        </w:rPr>
        <w:t>estados financieros intermedios consolidados condensados</w:t>
      </w:r>
      <w:r>
        <w:rPr>
          <w:spacing w:val="-1"/>
          <w:sz w:val="17"/>
        </w:rPr>
        <w:t> </w:t>
      </w:r>
      <w:r>
        <w:rPr>
          <w:sz w:val="17"/>
        </w:rPr>
        <w:t>adjuntos surgen</w:t>
      </w:r>
      <w:r>
        <w:rPr>
          <w:spacing w:val="-1"/>
          <w:sz w:val="17"/>
        </w:rPr>
        <w:t> </w:t>
      </w:r>
      <w:r>
        <w:rPr>
          <w:sz w:val="17"/>
        </w:rPr>
        <w:t>de aplicar los procedimientos de consolidación establecidos por las NIIF a partir de los estados financieros de</w:t>
      </w:r>
      <w:r>
        <w:rPr>
          <w:spacing w:val="23"/>
          <w:sz w:val="17"/>
        </w:rPr>
        <w:t> </w:t>
      </w:r>
      <w:r>
        <w:rPr>
          <w:sz w:val="17"/>
        </w:rPr>
        <w:t>las</w:t>
      </w:r>
      <w:r>
        <w:rPr>
          <w:spacing w:val="21"/>
          <w:sz w:val="17"/>
        </w:rPr>
        <w:t> </w:t>
      </w:r>
      <w:r>
        <w:rPr>
          <w:sz w:val="17"/>
        </w:rPr>
        <w:t>sociedades</w:t>
      </w:r>
      <w:r>
        <w:rPr>
          <w:spacing w:val="16"/>
          <w:sz w:val="17"/>
        </w:rPr>
        <w:t> </w:t>
      </w:r>
      <w:r>
        <w:rPr>
          <w:sz w:val="17"/>
        </w:rPr>
        <w:t>que</w:t>
      </w:r>
      <w:r>
        <w:rPr>
          <w:spacing w:val="23"/>
          <w:sz w:val="17"/>
        </w:rPr>
        <w:t> </w:t>
      </w:r>
      <w:r>
        <w:rPr>
          <w:sz w:val="17"/>
        </w:rPr>
        <w:t>integran</w:t>
      </w:r>
      <w:r>
        <w:rPr>
          <w:spacing w:val="16"/>
          <w:sz w:val="17"/>
        </w:rPr>
        <w:t> </w:t>
      </w:r>
      <w:r>
        <w:rPr>
          <w:sz w:val="17"/>
        </w:rPr>
        <w:t>el grupo</w:t>
      </w:r>
      <w:r>
        <w:rPr>
          <w:spacing w:val="16"/>
          <w:sz w:val="17"/>
        </w:rPr>
        <w:t> </w:t>
      </w:r>
      <w:r>
        <w:rPr>
          <w:sz w:val="17"/>
        </w:rPr>
        <w:t>económico,</w:t>
      </w:r>
      <w:r>
        <w:rPr>
          <w:spacing w:val="18"/>
          <w:sz w:val="17"/>
        </w:rPr>
        <w:t> </w:t>
      </w:r>
      <w:r>
        <w:rPr>
          <w:sz w:val="17"/>
        </w:rPr>
        <w:t>las</w:t>
      </w:r>
      <w:r>
        <w:rPr>
          <w:spacing w:val="16"/>
          <w:sz w:val="17"/>
        </w:rPr>
        <w:t> </w:t>
      </w:r>
      <w:r>
        <w:rPr>
          <w:sz w:val="17"/>
        </w:rPr>
        <w:t>que</w:t>
      </w:r>
      <w:r>
        <w:rPr>
          <w:spacing w:val="18"/>
          <w:sz w:val="17"/>
        </w:rPr>
        <w:t> </w:t>
      </w:r>
      <w:r>
        <w:rPr>
          <w:sz w:val="17"/>
        </w:rPr>
        <w:t>se</w:t>
      </w:r>
      <w:r>
        <w:rPr>
          <w:spacing w:val="18"/>
          <w:sz w:val="17"/>
        </w:rPr>
        <w:t> </w:t>
      </w:r>
      <w:r>
        <w:rPr>
          <w:sz w:val="17"/>
        </w:rPr>
        <w:t>detallan</w:t>
      </w:r>
      <w:r>
        <w:rPr>
          <w:spacing w:val="16"/>
          <w:sz w:val="17"/>
        </w:rPr>
        <w:t> </w:t>
      </w:r>
      <w:r>
        <w:rPr>
          <w:sz w:val="17"/>
        </w:rPr>
        <w:t>en</w:t>
      </w:r>
      <w:r>
        <w:rPr>
          <w:spacing w:val="17"/>
          <w:sz w:val="17"/>
        </w:rPr>
        <w:t> </w:t>
      </w:r>
      <w:r>
        <w:rPr>
          <w:sz w:val="17"/>
        </w:rPr>
        <w:t>la</w:t>
      </w:r>
      <w:r>
        <w:rPr>
          <w:spacing w:val="17"/>
          <w:sz w:val="17"/>
        </w:rPr>
        <w:t> </w:t>
      </w:r>
      <w:r>
        <w:rPr>
          <w:sz w:val="17"/>
        </w:rPr>
        <w:t>nota</w:t>
      </w:r>
    </w:p>
    <w:p>
      <w:pPr>
        <w:pStyle w:val="BodyText"/>
        <w:ind w:left="777" w:right="145"/>
        <w:jc w:val="both"/>
      </w:pPr>
      <w:r>
        <w:rPr/>
        <w:t>2.5. Los estados financieros intermedios separados condensados de la Sociedad controladora surgen de sus registros contables que, en sus aspectos formales, han sido llevados de conformidad con las disposiciones legales vigentes, excepto por lo indicado en el siguiente acápite c).”</w:t>
      </w:r>
    </w:p>
    <w:p>
      <w:pPr>
        <w:pStyle w:val="ListParagraph"/>
        <w:numPr>
          <w:ilvl w:val="1"/>
          <w:numId w:val="3"/>
        </w:numPr>
        <w:tabs>
          <w:tab w:pos="775" w:val="left" w:leader="none"/>
          <w:tab w:pos="777" w:val="left" w:leader="none"/>
        </w:tabs>
        <w:spacing w:line="240" w:lineRule="auto" w:before="205" w:after="0"/>
        <w:ind w:left="777" w:right="139" w:hanging="490"/>
        <w:jc w:val="both"/>
        <w:rPr>
          <w:sz w:val="17"/>
        </w:rPr>
      </w:pPr>
      <w:r>
        <w:rPr>
          <w:sz w:val="17"/>
        </w:rPr>
        <w:t>“Los estados financieros intermedios condensados adjuntos, tanto los separados como los consolidados, se encuentran pendientes de transcripción en el libro Inventarios y balances de la</w:t>
      </w:r>
    </w:p>
    <w:p>
      <w:pPr>
        <w:pStyle w:val="ListParagraph"/>
        <w:spacing w:after="0" w:line="240" w:lineRule="auto"/>
        <w:jc w:val="both"/>
        <w:rPr>
          <w:sz w:val="17"/>
        </w:rPr>
        <w:sectPr>
          <w:pgSz w:w="11910" w:h="16840"/>
          <w:pgMar w:header="509" w:footer="0" w:top="2000" w:bottom="280" w:left="1700" w:right="992"/>
        </w:sectPr>
      </w:pPr>
    </w:p>
    <w:p>
      <w:pPr>
        <w:pStyle w:val="BodyText"/>
        <w:spacing w:before="94"/>
      </w:pPr>
    </w:p>
    <w:p>
      <w:pPr>
        <w:pStyle w:val="BodyText"/>
        <w:ind w:left="777"/>
      </w:pPr>
      <w:r>
        <w:rPr/>
        <w:t>Sociedad. Del mismo modo, el resumen del contenido de los discos ópticos (CDs) en los que se registran las operaciones se encuentran en proceso de transcripción en el citado libro.”</w:t>
      </w:r>
    </w:p>
    <w:p>
      <w:pPr>
        <w:pStyle w:val="ListParagraph"/>
        <w:numPr>
          <w:ilvl w:val="1"/>
          <w:numId w:val="3"/>
        </w:numPr>
        <w:tabs>
          <w:tab w:pos="774" w:val="left" w:leader="none"/>
          <w:tab w:pos="777" w:val="left" w:leader="none"/>
        </w:tabs>
        <w:spacing w:line="240" w:lineRule="auto" w:before="206" w:after="0"/>
        <w:ind w:left="777" w:right="137" w:hanging="490"/>
        <w:jc w:val="both"/>
        <w:rPr>
          <w:sz w:val="17"/>
        </w:rPr>
      </w:pPr>
      <w:r>
        <w:rPr>
          <w:sz w:val="17"/>
        </w:rPr>
        <w:t>“Como parte de nuestro trabajo, hemos revisado la Reseña informativa establecida por la CNV preparada por el Directorio y sobre la cual, en lo que es materia de nuestra competencia, no tenemos observaciones que formular.”</w:t>
      </w:r>
    </w:p>
    <w:p>
      <w:pPr>
        <w:pStyle w:val="ListParagraph"/>
        <w:numPr>
          <w:ilvl w:val="1"/>
          <w:numId w:val="3"/>
        </w:numPr>
        <w:tabs>
          <w:tab w:pos="775" w:val="left" w:leader="none"/>
          <w:tab w:pos="777" w:val="left" w:leader="none"/>
        </w:tabs>
        <w:spacing w:line="240" w:lineRule="auto" w:before="206" w:after="0"/>
        <w:ind w:left="777" w:right="146" w:hanging="490"/>
        <w:jc w:val="both"/>
        <w:rPr>
          <w:sz w:val="17"/>
        </w:rPr>
      </w:pPr>
      <w:r>
        <w:rPr>
          <w:sz w:val="17"/>
        </w:rPr>
        <w:t>“En cumplimiento de disposiciones legales vigentes informamos que en ejercicio del control de legalidad que nos compete, hemos aplicado durante el período los restantes procedimientos descriptos en el artículo N°294 de la Ley N° 19.550 que consideramos necesarios de acuerdo con las circunstancias. No tenemos observaciones que formular al respecto””</w:t>
      </w:r>
    </w:p>
    <w:p>
      <w:pPr>
        <w:pStyle w:val="BodyText"/>
        <w:spacing w:before="206"/>
      </w:pPr>
    </w:p>
    <w:p>
      <w:pPr>
        <w:pStyle w:val="BodyText"/>
        <w:ind w:left="288"/>
      </w:pPr>
      <w:r>
        <w:rPr/>
        <w:t>“Rosario,</w:t>
      </w:r>
      <w:r>
        <w:rPr>
          <w:spacing w:val="-6"/>
        </w:rPr>
        <w:t> </w:t>
      </w:r>
      <w:r>
        <w:rPr/>
        <w:t>13</w:t>
      </w:r>
      <w:r>
        <w:rPr>
          <w:spacing w:val="-11"/>
        </w:rPr>
        <w:t> </w:t>
      </w:r>
      <w:r>
        <w:rPr/>
        <w:t>de</w:t>
      </w:r>
      <w:r>
        <w:rPr>
          <w:spacing w:val="-5"/>
        </w:rPr>
        <w:t> </w:t>
      </w:r>
      <w:r>
        <w:rPr/>
        <w:t>octubre</w:t>
      </w:r>
      <w:r>
        <w:rPr>
          <w:spacing w:val="-5"/>
        </w:rPr>
        <w:t> </w:t>
      </w:r>
      <w:r>
        <w:rPr/>
        <w:t>de</w:t>
      </w:r>
      <w:r>
        <w:rPr>
          <w:spacing w:val="-7"/>
        </w:rPr>
        <w:t> </w:t>
      </w:r>
      <w:r>
        <w:rPr>
          <w:spacing w:val="-4"/>
        </w:rPr>
        <w:t>2025”</w:t>
      </w:r>
    </w:p>
    <w:p>
      <w:pPr>
        <w:pStyle w:val="Heading4"/>
        <w:spacing w:before="206"/>
        <w:ind w:left="288"/>
      </w:pPr>
      <w:r>
        <w:rPr>
          <w:i/>
        </w:rPr>
        <w:t>“</w:t>
      </w:r>
      <w:r>
        <w:rPr/>
        <w:t>DANIEL</w:t>
      </w:r>
      <w:r>
        <w:rPr>
          <w:spacing w:val="-15"/>
        </w:rPr>
        <w:t> </w:t>
      </w:r>
      <w:r>
        <w:rPr/>
        <w:t>NÉSTOR</w:t>
      </w:r>
      <w:r>
        <w:rPr>
          <w:spacing w:val="-10"/>
        </w:rPr>
        <w:t> </w:t>
      </w:r>
      <w:r>
        <w:rPr>
          <w:spacing w:val="-4"/>
        </w:rPr>
        <w:t>GALLO</w:t>
      </w:r>
    </w:p>
    <w:p>
      <w:pPr>
        <w:pStyle w:val="BodyText"/>
        <w:rPr>
          <w:b/>
        </w:rPr>
      </w:pPr>
    </w:p>
    <w:p>
      <w:pPr>
        <w:pStyle w:val="BodyText"/>
        <w:spacing w:line="242" w:lineRule="auto"/>
        <w:ind w:left="288" w:right="5900"/>
      </w:pPr>
      <w:r>
        <w:rPr/>
        <w:t>Por Comisión Fiscalizadora Contador</w:t>
      </w:r>
      <w:r>
        <w:rPr>
          <w:spacing w:val="-14"/>
        </w:rPr>
        <w:t> </w:t>
      </w:r>
      <w:r>
        <w:rPr/>
        <w:t>Público</w:t>
      </w:r>
      <w:r>
        <w:rPr>
          <w:spacing w:val="-12"/>
        </w:rPr>
        <w:t> </w:t>
      </w:r>
      <w:r>
        <w:rPr/>
        <w:t>Nacional</w:t>
      </w:r>
      <w:r>
        <w:rPr>
          <w:spacing w:val="-14"/>
        </w:rPr>
        <w:t> </w:t>
      </w:r>
      <w:r>
        <w:rPr/>
        <w:t>(U.N.R.) Matrícula 2.869 – Ley 8.738</w:t>
      </w:r>
    </w:p>
    <w:p>
      <w:pPr>
        <w:pStyle w:val="BodyText"/>
        <w:spacing w:line="205" w:lineRule="exact"/>
        <w:ind w:left="288"/>
      </w:pPr>
      <w:r>
        <w:rPr/>
        <w:t>C.P.C.E.</w:t>
      </w:r>
      <w:r>
        <w:rPr>
          <w:spacing w:val="-6"/>
        </w:rPr>
        <w:t> </w:t>
      </w:r>
      <w:r>
        <w:rPr/>
        <w:t>Pcia.</w:t>
      </w:r>
      <w:r>
        <w:rPr>
          <w:spacing w:val="-10"/>
        </w:rPr>
        <w:t> </w:t>
      </w:r>
      <w:r>
        <w:rPr/>
        <w:t>de</w:t>
      </w:r>
      <w:r>
        <w:rPr>
          <w:spacing w:val="-5"/>
        </w:rPr>
        <w:t> </w:t>
      </w:r>
      <w:r>
        <w:rPr/>
        <w:t>Santa</w:t>
      </w:r>
      <w:r>
        <w:rPr>
          <w:spacing w:val="-6"/>
        </w:rPr>
        <w:t> </w:t>
      </w:r>
      <w:r>
        <w:rPr>
          <w:spacing w:val="-5"/>
        </w:rPr>
        <w:t>Fe”</w:t>
      </w:r>
    </w:p>
    <w:p>
      <w:pPr>
        <w:pStyle w:val="BodyText"/>
      </w:pPr>
    </w:p>
    <w:p>
      <w:pPr>
        <w:pStyle w:val="BodyText"/>
        <w:spacing w:before="94"/>
      </w:pPr>
    </w:p>
    <w:p>
      <w:pPr>
        <w:pStyle w:val="ListParagraph"/>
        <w:numPr>
          <w:ilvl w:val="0"/>
          <w:numId w:val="1"/>
        </w:numPr>
        <w:tabs>
          <w:tab w:pos="571" w:val="left" w:leader="none"/>
          <w:tab w:pos="602" w:val="left" w:leader="none"/>
        </w:tabs>
        <w:spacing w:line="484" w:lineRule="auto" w:before="0" w:after="0"/>
        <w:ind w:left="571" w:right="141" w:hanging="284"/>
        <w:jc w:val="left"/>
        <w:rPr>
          <w:rFonts w:ascii="Arial MT" w:hAnsi="Arial MT"/>
          <w:sz w:val="24"/>
        </w:rPr>
      </w:pPr>
      <w:r>
        <w:rPr>
          <w:rFonts w:ascii="Arial MT" w:hAnsi="Arial MT"/>
          <w:sz w:val="24"/>
        </w:rPr>
        <w:t>Se</w:t>
      </w:r>
      <w:r>
        <w:rPr>
          <w:rFonts w:ascii="Arial MT" w:hAnsi="Arial MT"/>
          <w:spacing w:val="40"/>
          <w:sz w:val="24"/>
        </w:rPr>
        <w:t> </w:t>
      </w:r>
      <w:r>
        <w:rPr>
          <w:rFonts w:ascii="Arial MT" w:hAnsi="Arial MT"/>
          <w:sz w:val="24"/>
        </w:rPr>
        <w:t>toma conocimiento</w:t>
      </w:r>
      <w:r>
        <w:rPr>
          <w:rFonts w:ascii="Arial MT" w:hAnsi="Arial MT"/>
          <w:spacing w:val="32"/>
          <w:sz w:val="24"/>
        </w:rPr>
        <w:t> </w:t>
      </w:r>
      <w:r>
        <w:rPr>
          <w:rFonts w:ascii="Arial MT" w:hAnsi="Arial MT"/>
          <w:sz w:val="24"/>
        </w:rPr>
        <w:t>del</w:t>
      </w:r>
      <w:r>
        <w:rPr>
          <w:rFonts w:ascii="Arial MT" w:hAnsi="Arial MT"/>
          <w:spacing w:val="35"/>
          <w:sz w:val="24"/>
        </w:rPr>
        <w:t> </w:t>
      </w:r>
      <w:r>
        <w:rPr>
          <w:rFonts w:ascii="Arial MT" w:hAnsi="Arial MT"/>
          <w:sz w:val="24"/>
        </w:rPr>
        <w:t>dictamen emitido por</w:t>
      </w:r>
      <w:r>
        <w:rPr>
          <w:rFonts w:ascii="Arial MT" w:hAnsi="Arial MT"/>
          <w:spacing w:val="32"/>
          <w:sz w:val="24"/>
        </w:rPr>
        <w:t> </w:t>
      </w:r>
      <w:r>
        <w:rPr>
          <w:rFonts w:ascii="Arial MT" w:hAnsi="Arial MT"/>
          <w:sz w:val="24"/>
        </w:rPr>
        <w:t>el</w:t>
      </w:r>
      <w:r>
        <w:rPr>
          <w:rFonts w:ascii="Arial MT" w:hAnsi="Arial MT"/>
          <w:spacing w:val="35"/>
          <w:sz w:val="24"/>
        </w:rPr>
        <w:t> </w:t>
      </w:r>
      <w:r>
        <w:rPr>
          <w:rFonts w:ascii="Arial MT" w:hAnsi="Arial MT"/>
          <w:sz w:val="24"/>
        </w:rPr>
        <w:t>Contador</w:t>
      </w:r>
      <w:r>
        <w:rPr>
          <w:rFonts w:ascii="Arial MT" w:hAnsi="Arial MT"/>
          <w:spacing w:val="32"/>
          <w:sz w:val="24"/>
        </w:rPr>
        <w:t> </w:t>
      </w:r>
      <w:r>
        <w:rPr>
          <w:rFonts w:ascii="Arial MT" w:hAnsi="Arial MT"/>
          <w:sz w:val="24"/>
        </w:rPr>
        <w:t>Certificante</w:t>
      </w:r>
      <w:r>
        <w:rPr>
          <w:rFonts w:ascii="Arial MT" w:hAnsi="Arial MT"/>
          <w:spacing w:val="32"/>
          <w:sz w:val="24"/>
        </w:rPr>
        <w:t> </w:t>
      </w:r>
      <w:r>
        <w:rPr>
          <w:rFonts w:ascii="Arial MT" w:hAnsi="Arial MT"/>
          <w:sz w:val="24"/>
        </w:rPr>
        <w:t>que reza así</w:t>
      </w:r>
    </w:p>
    <w:p>
      <w:pPr>
        <w:pStyle w:val="BodyText"/>
        <w:spacing w:before="260"/>
        <w:rPr>
          <w:rFonts w:ascii="Arial MT"/>
          <w:sz w:val="24"/>
        </w:rPr>
      </w:pPr>
    </w:p>
    <w:p>
      <w:pPr>
        <w:pStyle w:val="Heading1"/>
        <w:spacing w:before="1"/>
        <w:ind w:left="1704" w:hanging="1033"/>
        <w:rPr>
          <w:rFonts w:ascii="Trebuchet MS" w:hAnsi="Trebuchet MS"/>
          <w:u w:val="none"/>
        </w:rPr>
      </w:pPr>
      <w:bookmarkStart w:name="“INFORME DE REVISIÓN DE LOS AUDITORES IN" w:id="1"/>
      <w:bookmarkEnd w:id="1"/>
      <w:r>
        <w:rPr>
          <w:b w:val="0"/>
          <w:u w:val="none"/>
        </w:rPr>
      </w:r>
      <w:r>
        <w:rPr>
          <w:rFonts w:ascii="Trebuchet MS" w:hAnsi="Trebuchet MS"/>
          <w:u w:val="single"/>
        </w:rPr>
        <w:t>“INFORME</w:t>
      </w:r>
      <w:r>
        <w:rPr>
          <w:rFonts w:ascii="Trebuchet MS" w:hAnsi="Trebuchet MS"/>
          <w:spacing w:val="-6"/>
          <w:u w:val="single"/>
        </w:rPr>
        <w:t> </w:t>
      </w:r>
      <w:r>
        <w:rPr>
          <w:rFonts w:ascii="Trebuchet MS" w:hAnsi="Trebuchet MS"/>
          <w:u w:val="single"/>
        </w:rPr>
        <w:t>DE</w:t>
      </w:r>
      <w:r>
        <w:rPr>
          <w:rFonts w:ascii="Trebuchet MS" w:hAnsi="Trebuchet MS"/>
          <w:spacing w:val="-5"/>
          <w:u w:val="single"/>
        </w:rPr>
        <w:t> </w:t>
      </w:r>
      <w:r>
        <w:rPr>
          <w:rFonts w:ascii="Trebuchet MS" w:hAnsi="Trebuchet MS"/>
          <w:u w:val="single"/>
        </w:rPr>
        <w:t>REVISIÓN</w:t>
      </w:r>
      <w:r>
        <w:rPr>
          <w:rFonts w:ascii="Trebuchet MS" w:hAnsi="Trebuchet MS"/>
          <w:spacing w:val="-4"/>
          <w:u w:val="single"/>
        </w:rPr>
        <w:t> </w:t>
      </w:r>
      <w:r>
        <w:rPr>
          <w:rFonts w:ascii="Trebuchet MS" w:hAnsi="Trebuchet MS"/>
          <w:u w:val="single"/>
        </w:rPr>
        <w:t>DE</w:t>
      </w:r>
      <w:r>
        <w:rPr>
          <w:rFonts w:ascii="Trebuchet MS" w:hAnsi="Trebuchet MS"/>
          <w:spacing w:val="-6"/>
          <w:u w:val="single"/>
        </w:rPr>
        <w:t> </w:t>
      </w:r>
      <w:r>
        <w:rPr>
          <w:rFonts w:ascii="Trebuchet MS" w:hAnsi="Trebuchet MS"/>
          <w:u w:val="single"/>
        </w:rPr>
        <w:t>LOS</w:t>
      </w:r>
      <w:r>
        <w:rPr>
          <w:rFonts w:ascii="Trebuchet MS" w:hAnsi="Trebuchet MS"/>
          <w:spacing w:val="-2"/>
          <w:u w:val="single"/>
        </w:rPr>
        <w:t> </w:t>
      </w:r>
      <w:r>
        <w:rPr>
          <w:rFonts w:ascii="Trebuchet MS" w:hAnsi="Trebuchet MS"/>
          <w:u w:val="single"/>
        </w:rPr>
        <w:t>AUDITORES</w:t>
      </w:r>
      <w:r>
        <w:rPr>
          <w:rFonts w:ascii="Trebuchet MS" w:hAnsi="Trebuchet MS"/>
          <w:spacing w:val="-2"/>
          <w:u w:val="single"/>
        </w:rPr>
        <w:t> </w:t>
      </w:r>
      <w:r>
        <w:rPr>
          <w:rFonts w:ascii="Trebuchet MS" w:hAnsi="Trebuchet MS"/>
          <w:u w:val="single"/>
        </w:rPr>
        <w:t>INDEPENDIENTES SOBRE</w:t>
      </w:r>
      <w:r>
        <w:rPr>
          <w:rFonts w:ascii="Trebuchet MS" w:hAnsi="Trebuchet MS"/>
          <w:spacing w:val="-6"/>
          <w:u w:val="single"/>
        </w:rPr>
        <w:t> </w:t>
      </w:r>
      <w:r>
        <w:rPr>
          <w:rFonts w:ascii="Trebuchet MS" w:hAnsi="Trebuchet MS"/>
          <w:u w:val="single"/>
        </w:rPr>
        <w:t>LOS</w:t>
      </w:r>
      <w:r>
        <w:rPr>
          <w:rFonts w:ascii="Trebuchet MS" w:hAnsi="Trebuchet MS"/>
          <w:u w:val="none"/>
        </w:rPr>
        <w:t> </w:t>
      </w:r>
      <w:r>
        <w:rPr>
          <w:rFonts w:ascii="Trebuchet MS" w:hAnsi="Trebuchet MS"/>
          <w:u w:val="single"/>
        </w:rPr>
        <w:t>ESTADOS FINANCIEROS INTERMEDIOS CONDENSADOS”</w:t>
      </w:r>
    </w:p>
    <w:p>
      <w:pPr>
        <w:pStyle w:val="BodyText"/>
        <w:spacing w:before="1"/>
        <w:rPr>
          <w:rFonts w:ascii="Trebuchet MS"/>
          <w:b/>
          <w:sz w:val="20"/>
        </w:rPr>
      </w:pPr>
    </w:p>
    <w:p>
      <w:pPr>
        <w:spacing w:line="231" w:lineRule="exact" w:before="0"/>
        <w:ind w:left="288" w:right="0" w:firstLine="0"/>
        <w:jc w:val="left"/>
        <w:rPr>
          <w:rFonts w:ascii="Trebuchet MS" w:hAnsi="Trebuchet MS"/>
          <w:sz w:val="20"/>
        </w:rPr>
      </w:pPr>
      <w:r>
        <w:rPr>
          <w:rFonts w:ascii="Trebuchet MS" w:hAnsi="Trebuchet MS"/>
          <w:sz w:val="20"/>
        </w:rPr>
        <w:t>“A</w:t>
      </w:r>
      <w:r>
        <w:rPr>
          <w:rFonts w:ascii="Trebuchet MS" w:hAnsi="Trebuchet MS"/>
          <w:spacing w:val="-2"/>
          <w:sz w:val="20"/>
        </w:rPr>
        <w:t> </w:t>
      </w:r>
      <w:r>
        <w:rPr>
          <w:rFonts w:ascii="Trebuchet MS" w:hAnsi="Trebuchet MS"/>
          <w:sz w:val="20"/>
        </w:rPr>
        <w:t>los</w:t>
      </w:r>
      <w:r>
        <w:rPr>
          <w:rFonts w:ascii="Trebuchet MS" w:hAnsi="Trebuchet MS"/>
          <w:spacing w:val="-1"/>
          <w:sz w:val="20"/>
        </w:rPr>
        <w:t> </w:t>
      </w:r>
      <w:r>
        <w:rPr>
          <w:rFonts w:ascii="Trebuchet MS" w:hAnsi="Trebuchet MS"/>
          <w:spacing w:val="-2"/>
          <w:sz w:val="20"/>
        </w:rPr>
        <w:t>Señores</w:t>
      </w:r>
    </w:p>
    <w:p>
      <w:pPr>
        <w:spacing w:line="231" w:lineRule="exact" w:before="0"/>
        <w:ind w:left="288" w:right="0" w:firstLine="0"/>
        <w:jc w:val="left"/>
        <w:rPr>
          <w:rFonts w:ascii="Trebuchet MS"/>
          <w:sz w:val="20"/>
        </w:rPr>
      </w:pPr>
      <w:r>
        <w:rPr>
          <w:rFonts w:ascii="Trebuchet MS"/>
          <w:sz w:val="20"/>
        </w:rPr>
        <w:t>Presidente</w:t>
      </w:r>
      <w:r>
        <w:rPr>
          <w:rFonts w:ascii="Trebuchet MS"/>
          <w:spacing w:val="-10"/>
          <w:sz w:val="20"/>
        </w:rPr>
        <w:t> </w:t>
      </w:r>
      <w:r>
        <w:rPr>
          <w:rFonts w:ascii="Trebuchet MS"/>
          <w:sz w:val="20"/>
        </w:rPr>
        <w:t>y</w:t>
      </w:r>
      <w:r>
        <w:rPr>
          <w:rFonts w:ascii="Trebuchet MS"/>
          <w:spacing w:val="-8"/>
          <w:sz w:val="20"/>
        </w:rPr>
        <w:t> </w:t>
      </w:r>
      <w:r>
        <w:rPr>
          <w:rFonts w:ascii="Trebuchet MS"/>
          <w:sz w:val="20"/>
        </w:rPr>
        <w:t>Directores</w:t>
      </w:r>
      <w:r>
        <w:rPr>
          <w:rFonts w:ascii="Trebuchet MS"/>
          <w:spacing w:val="-4"/>
          <w:sz w:val="20"/>
        </w:rPr>
        <w:t> </w:t>
      </w:r>
      <w:r>
        <w:rPr>
          <w:rFonts w:ascii="Trebuchet MS"/>
          <w:spacing w:val="-5"/>
          <w:sz w:val="20"/>
        </w:rPr>
        <w:t>de</w:t>
      </w:r>
    </w:p>
    <w:p>
      <w:pPr>
        <w:pStyle w:val="Heading2"/>
        <w:spacing w:line="231" w:lineRule="exact" w:before="3"/>
        <w:rPr>
          <w:u w:val="none"/>
        </w:rPr>
      </w:pPr>
      <w:r>
        <w:rPr>
          <w:u w:val="none"/>
        </w:rPr>
        <w:t>CELULOSA</w:t>
      </w:r>
      <w:r>
        <w:rPr>
          <w:spacing w:val="-13"/>
          <w:u w:val="none"/>
        </w:rPr>
        <w:t> </w:t>
      </w:r>
      <w:r>
        <w:rPr>
          <w:u w:val="none"/>
        </w:rPr>
        <w:t>ARGENTINA</w:t>
      </w:r>
      <w:r>
        <w:rPr>
          <w:spacing w:val="-11"/>
          <w:u w:val="none"/>
        </w:rPr>
        <w:t> </w:t>
      </w:r>
      <w:r>
        <w:rPr>
          <w:u w:val="none"/>
        </w:rPr>
        <w:t>SOCIEDAD</w:t>
      </w:r>
      <w:r>
        <w:rPr>
          <w:spacing w:val="-12"/>
          <w:u w:val="none"/>
        </w:rPr>
        <w:t> </w:t>
      </w:r>
      <w:r>
        <w:rPr>
          <w:spacing w:val="-2"/>
          <w:u w:val="none"/>
        </w:rPr>
        <w:t>ANONIMA</w:t>
      </w:r>
    </w:p>
    <w:p>
      <w:pPr>
        <w:spacing w:line="230" w:lineRule="exact" w:before="0"/>
        <w:ind w:left="288" w:right="0" w:firstLine="0"/>
        <w:jc w:val="left"/>
        <w:rPr>
          <w:rFonts w:ascii="Trebuchet MS"/>
          <w:sz w:val="20"/>
        </w:rPr>
      </w:pPr>
      <w:r>
        <w:rPr>
          <w:rFonts w:ascii="Trebuchet MS"/>
          <w:spacing w:val="-2"/>
          <w:sz w:val="20"/>
        </w:rPr>
        <w:t>C.U.I.T.</w:t>
      </w:r>
      <w:r>
        <w:rPr>
          <w:rFonts w:ascii="Trebuchet MS"/>
          <w:spacing w:val="12"/>
          <w:sz w:val="20"/>
        </w:rPr>
        <w:t> </w:t>
      </w:r>
      <w:r>
        <w:rPr>
          <w:rFonts w:ascii="Trebuchet MS"/>
          <w:spacing w:val="-2"/>
          <w:sz w:val="20"/>
        </w:rPr>
        <w:t>30-50106215-</w:t>
      </w:r>
      <w:r>
        <w:rPr>
          <w:rFonts w:ascii="Trebuchet MS"/>
          <w:spacing w:val="-10"/>
          <w:sz w:val="20"/>
        </w:rPr>
        <w:t>0</w:t>
      </w:r>
    </w:p>
    <w:p>
      <w:pPr>
        <w:spacing w:line="244" w:lineRule="auto" w:before="0"/>
        <w:ind w:left="288" w:right="3497" w:firstLine="0"/>
        <w:jc w:val="left"/>
        <w:rPr>
          <w:rFonts w:ascii="Trebuchet MS" w:hAnsi="Trebuchet MS"/>
          <w:sz w:val="20"/>
        </w:rPr>
      </w:pPr>
      <w:r>
        <w:rPr>
          <w:rFonts w:ascii="Trebuchet MS" w:hAnsi="Trebuchet MS"/>
          <w:sz w:val="20"/>
        </w:rPr>
        <w:t>Domicilio</w:t>
      </w:r>
      <w:r>
        <w:rPr>
          <w:rFonts w:ascii="Trebuchet MS" w:hAnsi="Trebuchet MS"/>
          <w:spacing w:val="-1"/>
          <w:sz w:val="20"/>
        </w:rPr>
        <w:t> </w:t>
      </w:r>
      <w:r>
        <w:rPr>
          <w:rFonts w:ascii="Trebuchet MS" w:hAnsi="Trebuchet MS"/>
          <w:sz w:val="20"/>
        </w:rPr>
        <w:t>legal:</w:t>
      </w:r>
      <w:r>
        <w:rPr>
          <w:rFonts w:ascii="Trebuchet MS" w:hAnsi="Trebuchet MS"/>
          <w:spacing w:val="-8"/>
          <w:sz w:val="20"/>
        </w:rPr>
        <w:t> </w:t>
      </w:r>
      <w:r>
        <w:rPr>
          <w:rFonts w:ascii="Trebuchet MS" w:hAnsi="Trebuchet MS"/>
          <w:sz w:val="20"/>
        </w:rPr>
        <w:t>Av.</w:t>
      </w:r>
      <w:r>
        <w:rPr>
          <w:rFonts w:ascii="Trebuchet MS" w:hAnsi="Trebuchet MS"/>
          <w:spacing w:val="-6"/>
          <w:sz w:val="20"/>
        </w:rPr>
        <w:t> </w:t>
      </w:r>
      <w:r>
        <w:rPr>
          <w:rFonts w:ascii="Trebuchet MS" w:hAnsi="Trebuchet MS"/>
          <w:sz w:val="20"/>
        </w:rPr>
        <w:t>Pomilio s/n</w:t>
      </w:r>
      <w:r>
        <w:rPr>
          <w:rFonts w:ascii="Trebuchet MS" w:hAnsi="Trebuchet MS"/>
          <w:spacing w:val="-3"/>
          <w:sz w:val="20"/>
        </w:rPr>
        <w:t> </w:t>
      </w:r>
      <w:r>
        <w:rPr>
          <w:rFonts w:ascii="Trebuchet MS" w:hAnsi="Trebuchet MS"/>
          <w:sz w:val="20"/>
        </w:rPr>
        <w:t>–</w:t>
      </w:r>
      <w:r>
        <w:rPr>
          <w:rFonts w:ascii="Trebuchet MS" w:hAnsi="Trebuchet MS"/>
          <w:spacing w:val="-5"/>
          <w:sz w:val="20"/>
        </w:rPr>
        <w:t> </w:t>
      </w:r>
      <w:r>
        <w:rPr>
          <w:rFonts w:ascii="Trebuchet MS" w:hAnsi="Trebuchet MS"/>
          <w:sz w:val="20"/>
        </w:rPr>
        <w:t>Capitán</w:t>
      </w:r>
      <w:r>
        <w:rPr>
          <w:rFonts w:ascii="Trebuchet MS" w:hAnsi="Trebuchet MS"/>
          <w:spacing w:val="-7"/>
          <w:sz w:val="20"/>
        </w:rPr>
        <w:t> </w:t>
      </w:r>
      <w:r>
        <w:rPr>
          <w:rFonts w:ascii="Trebuchet MS" w:hAnsi="Trebuchet MS"/>
          <w:sz w:val="20"/>
        </w:rPr>
        <w:t>Bermúdez </w:t>
      </w:r>
      <w:r>
        <w:rPr>
          <w:rFonts w:ascii="Trebuchet MS" w:hAnsi="Trebuchet MS"/>
          <w:sz w:val="20"/>
          <w:u w:val="single"/>
        </w:rPr>
        <w:t>Provincia de Santa Fe”</w:t>
      </w:r>
    </w:p>
    <w:p>
      <w:pPr>
        <w:pStyle w:val="Heading2"/>
        <w:spacing w:before="222"/>
        <w:rPr>
          <w:u w:val="none"/>
        </w:rPr>
      </w:pPr>
      <w:r>
        <w:rPr>
          <w:u w:val="single"/>
        </w:rPr>
        <w:t>“INFORME</w:t>
      </w:r>
      <w:r>
        <w:rPr>
          <w:spacing w:val="-12"/>
          <w:u w:val="single"/>
        </w:rPr>
        <w:t> </w:t>
      </w:r>
      <w:r>
        <w:rPr>
          <w:u w:val="single"/>
        </w:rPr>
        <w:t>SOBRE</w:t>
      </w:r>
      <w:r>
        <w:rPr>
          <w:spacing w:val="-9"/>
          <w:u w:val="single"/>
        </w:rPr>
        <w:t> </w:t>
      </w:r>
      <w:r>
        <w:rPr>
          <w:u w:val="single"/>
        </w:rPr>
        <w:t>LOS</w:t>
      </w:r>
      <w:r>
        <w:rPr>
          <w:spacing w:val="-12"/>
          <w:u w:val="single"/>
        </w:rPr>
        <w:t> </w:t>
      </w:r>
      <w:r>
        <w:rPr>
          <w:u w:val="single"/>
        </w:rPr>
        <w:t>ESTADOS</w:t>
      </w:r>
      <w:r>
        <w:rPr>
          <w:spacing w:val="-11"/>
          <w:u w:val="single"/>
        </w:rPr>
        <w:t> </w:t>
      </w:r>
      <w:r>
        <w:rPr>
          <w:u w:val="single"/>
        </w:rPr>
        <w:t>FINANCIEROS</w:t>
      </w:r>
      <w:r>
        <w:rPr>
          <w:spacing w:val="-12"/>
          <w:u w:val="single"/>
        </w:rPr>
        <w:t> </w:t>
      </w:r>
      <w:r>
        <w:rPr>
          <w:u w:val="single"/>
        </w:rPr>
        <w:t>INTERMEDIOS</w:t>
      </w:r>
      <w:r>
        <w:rPr>
          <w:spacing w:val="-7"/>
          <w:u w:val="single"/>
        </w:rPr>
        <w:t> </w:t>
      </w:r>
      <w:r>
        <w:rPr>
          <w:spacing w:val="-2"/>
          <w:u w:val="single"/>
        </w:rPr>
        <w:t>CONDENSADOS”</w:t>
      </w:r>
    </w:p>
    <w:p>
      <w:pPr>
        <w:pStyle w:val="BodyText"/>
        <w:spacing w:before="1"/>
        <w:rPr>
          <w:rFonts w:ascii="Trebuchet MS"/>
          <w:b/>
          <w:sz w:val="20"/>
        </w:rPr>
      </w:pPr>
    </w:p>
    <w:p>
      <w:pPr>
        <w:pStyle w:val="Heading3"/>
        <w:numPr>
          <w:ilvl w:val="0"/>
          <w:numId w:val="4"/>
        </w:numPr>
        <w:tabs>
          <w:tab w:pos="570" w:val="left" w:leader="none"/>
        </w:tabs>
        <w:spacing w:line="240" w:lineRule="auto" w:before="1" w:after="0"/>
        <w:ind w:left="570" w:right="0" w:hanging="282"/>
        <w:jc w:val="left"/>
        <w:rPr>
          <w:u w:val="none"/>
        </w:rPr>
      </w:pPr>
      <w:r>
        <w:rPr>
          <w:u w:val="single"/>
        </w:rPr>
        <w:t>“Identificación</w:t>
      </w:r>
      <w:r>
        <w:rPr>
          <w:spacing w:val="-12"/>
          <w:u w:val="single"/>
        </w:rPr>
        <w:t> </w:t>
      </w:r>
      <w:r>
        <w:rPr>
          <w:u w:val="single"/>
        </w:rPr>
        <w:t>de</w:t>
      </w:r>
      <w:r>
        <w:rPr>
          <w:spacing w:val="-6"/>
          <w:u w:val="single"/>
        </w:rPr>
        <w:t> </w:t>
      </w:r>
      <w:r>
        <w:rPr>
          <w:u w:val="single"/>
        </w:rPr>
        <w:t>los</w:t>
      </w:r>
      <w:r>
        <w:rPr>
          <w:spacing w:val="-11"/>
          <w:u w:val="single"/>
        </w:rPr>
        <w:t> </w:t>
      </w:r>
      <w:r>
        <w:rPr>
          <w:u w:val="single"/>
        </w:rPr>
        <w:t>estados</w:t>
      </w:r>
      <w:r>
        <w:rPr>
          <w:spacing w:val="-11"/>
          <w:u w:val="single"/>
        </w:rPr>
        <w:t> </w:t>
      </w:r>
      <w:r>
        <w:rPr>
          <w:u w:val="single"/>
        </w:rPr>
        <w:t>financieros</w:t>
      </w:r>
      <w:r>
        <w:rPr>
          <w:spacing w:val="-11"/>
          <w:u w:val="single"/>
        </w:rPr>
        <w:t> </w:t>
      </w:r>
      <w:r>
        <w:rPr>
          <w:u w:val="single"/>
        </w:rPr>
        <w:t>intermedios</w:t>
      </w:r>
      <w:r>
        <w:rPr>
          <w:spacing w:val="-11"/>
          <w:u w:val="single"/>
        </w:rPr>
        <w:t> </w:t>
      </w:r>
      <w:r>
        <w:rPr>
          <w:u w:val="single"/>
        </w:rPr>
        <w:t>condensados</w:t>
      </w:r>
      <w:r>
        <w:rPr>
          <w:spacing w:val="-11"/>
          <w:u w:val="single"/>
        </w:rPr>
        <w:t> </w:t>
      </w:r>
      <w:r>
        <w:rPr>
          <w:u w:val="single"/>
        </w:rPr>
        <w:t>objeto</w:t>
      </w:r>
      <w:r>
        <w:rPr>
          <w:spacing w:val="-9"/>
          <w:u w:val="single"/>
        </w:rPr>
        <w:t> </w:t>
      </w:r>
      <w:r>
        <w:rPr>
          <w:u w:val="single"/>
        </w:rPr>
        <w:t>de</w:t>
      </w:r>
      <w:r>
        <w:rPr>
          <w:spacing w:val="-6"/>
          <w:u w:val="single"/>
        </w:rPr>
        <w:t> </w:t>
      </w:r>
      <w:r>
        <w:rPr>
          <w:spacing w:val="-2"/>
          <w:u w:val="single"/>
        </w:rPr>
        <w:t>revisión”</w:t>
      </w:r>
    </w:p>
    <w:p>
      <w:pPr>
        <w:pStyle w:val="BodyText"/>
        <w:spacing w:before="1"/>
        <w:rPr>
          <w:rFonts w:ascii="Trebuchet MS"/>
          <w:b/>
          <w:sz w:val="20"/>
        </w:rPr>
      </w:pPr>
    </w:p>
    <w:p>
      <w:pPr>
        <w:spacing w:line="240" w:lineRule="auto" w:before="0"/>
        <w:ind w:left="571" w:right="130" w:firstLine="0"/>
        <w:jc w:val="both"/>
        <w:rPr>
          <w:rFonts w:ascii="Trebuchet MS" w:hAnsi="Trebuchet MS"/>
          <w:sz w:val="20"/>
        </w:rPr>
      </w:pPr>
      <w:r>
        <w:rPr>
          <w:rFonts w:ascii="Trebuchet MS" w:hAnsi="Trebuchet MS"/>
          <w:sz w:val="20"/>
        </w:rPr>
        <w:t>“Hemos revisado los estados financieros intermedios consolidados condensados adjuntos de </w:t>
      </w:r>
      <w:r>
        <w:rPr>
          <w:rFonts w:ascii="Trebuchet MS" w:hAnsi="Trebuchet MS"/>
          <w:b/>
          <w:sz w:val="20"/>
        </w:rPr>
        <w:t>CELULOSA ARGENTINA SOCIEDAD ANONIMA </w:t>
      </w:r>
      <w:r>
        <w:rPr>
          <w:rFonts w:ascii="Trebuchet MS" w:hAnsi="Trebuchet MS"/>
          <w:sz w:val="20"/>
        </w:rPr>
        <w:t>(“la Sociedad”) con sus sociedades controladas detalladas en la Nota 2.6. de dichos estados, que comprenden el estado intermedio consolidado condensado de situación financiera al 31 de agosto de 2025 y los</w:t>
      </w:r>
      <w:r>
        <w:rPr>
          <w:rFonts w:ascii="Trebuchet MS" w:hAnsi="Trebuchet MS"/>
          <w:spacing w:val="80"/>
          <w:sz w:val="20"/>
        </w:rPr>
        <w:t> </w:t>
      </w:r>
      <w:r>
        <w:rPr>
          <w:rFonts w:ascii="Trebuchet MS" w:hAnsi="Trebuchet MS"/>
          <w:sz w:val="20"/>
        </w:rPr>
        <w:t>correspondientes estados intermedio consolidado condensado de ganancias o pérdidas y otros resultados integrales, de cambios en el patrimonio y de flujos de efectivo por el período de tres meses finalizado el 31 de agosto de 2025, así como la información explicativa seleccionada contenida en notas 1 a 31. Adicionalmente, hemos revisado los estados financieros intermedios separados condensados adjuntos que comprenden el estado intermedio separado condensado de situación financiera al 31 de agosto de 2025 y los correspondientes estados intermedios separados condensados de ganancias o pérdidas y otros resultados integrales, de cambios en el patrimonio y de flujos de efectivo por el período de tres meses finalizado el 31 de agosto de 2025, así como la información explicativa seleccionada contenida en notas 1 a 31.”</w:t>
      </w:r>
    </w:p>
    <w:p>
      <w:pPr>
        <w:spacing w:after="0" w:line="240" w:lineRule="auto"/>
        <w:jc w:val="both"/>
        <w:rPr>
          <w:rFonts w:ascii="Trebuchet MS" w:hAnsi="Trebuchet MS"/>
          <w:sz w:val="20"/>
        </w:rPr>
        <w:sectPr>
          <w:pgSz w:w="11910" w:h="16840"/>
          <w:pgMar w:header="509" w:footer="0" w:top="2000" w:bottom="280" w:left="1700" w:right="992"/>
        </w:sectPr>
      </w:pPr>
    </w:p>
    <w:p>
      <w:pPr>
        <w:pStyle w:val="BodyText"/>
        <w:rPr>
          <w:rFonts w:ascii="Trebuchet MS"/>
          <w:sz w:val="20"/>
        </w:rPr>
      </w:pPr>
    </w:p>
    <w:p>
      <w:pPr>
        <w:pStyle w:val="BodyText"/>
        <w:spacing w:before="54"/>
        <w:rPr>
          <w:rFonts w:ascii="Trebuchet MS"/>
          <w:sz w:val="20"/>
        </w:rPr>
      </w:pPr>
    </w:p>
    <w:p>
      <w:pPr>
        <w:pStyle w:val="ListParagraph"/>
        <w:numPr>
          <w:ilvl w:val="1"/>
          <w:numId w:val="4"/>
        </w:numPr>
        <w:tabs>
          <w:tab w:pos="852" w:val="left" w:leader="none"/>
          <w:tab w:pos="854" w:val="left" w:leader="none"/>
        </w:tabs>
        <w:spacing w:line="240" w:lineRule="auto" w:before="1" w:after="0"/>
        <w:ind w:left="854" w:right="133" w:hanging="284"/>
        <w:jc w:val="left"/>
        <w:rPr>
          <w:rFonts w:ascii="Trebuchet MS" w:hAnsi="Trebuchet MS"/>
          <w:sz w:val="20"/>
        </w:rPr>
      </w:pPr>
      <w:r>
        <w:rPr>
          <w:rFonts w:ascii="Trebuchet MS" w:hAnsi="Trebuchet MS"/>
          <w:sz w:val="20"/>
        </w:rPr>
        <w:t>“Las</w:t>
      </w:r>
      <w:r>
        <w:rPr>
          <w:rFonts w:ascii="Trebuchet MS" w:hAnsi="Trebuchet MS"/>
          <w:spacing w:val="37"/>
          <w:sz w:val="20"/>
        </w:rPr>
        <w:t> </w:t>
      </w:r>
      <w:r>
        <w:rPr>
          <w:rFonts w:ascii="Trebuchet MS" w:hAnsi="Trebuchet MS"/>
          <w:sz w:val="20"/>
        </w:rPr>
        <w:t>cifras</w:t>
      </w:r>
      <w:r>
        <w:rPr>
          <w:rFonts w:ascii="Trebuchet MS" w:hAnsi="Trebuchet MS"/>
          <w:spacing w:val="38"/>
          <w:sz w:val="20"/>
        </w:rPr>
        <w:t> </w:t>
      </w:r>
      <w:r>
        <w:rPr>
          <w:rFonts w:ascii="Trebuchet MS" w:hAnsi="Trebuchet MS"/>
          <w:sz w:val="20"/>
        </w:rPr>
        <w:t>de</w:t>
      </w:r>
      <w:r>
        <w:rPr>
          <w:rFonts w:ascii="Trebuchet MS" w:hAnsi="Trebuchet MS"/>
          <w:spacing w:val="38"/>
          <w:sz w:val="20"/>
        </w:rPr>
        <w:t> </w:t>
      </w:r>
      <w:r>
        <w:rPr>
          <w:rFonts w:ascii="Trebuchet MS" w:hAnsi="Trebuchet MS"/>
          <w:sz w:val="20"/>
        </w:rPr>
        <w:t>los</w:t>
      </w:r>
      <w:r>
        <w:rPr>
          <w:rFonts w:ascii="Trebuchet MS" w:hAnsi="Trebuchet MS"/>
          <w:spacing w:val="33"/>
          <w:sz w:val="20"/>
        </w:rPr>
        <w:t> </w:t>
      </w:r>
      <w:r>
        <w:rPr>
          <w:rFonts w:ascii="Trebuchet MS" w:hAnsi="Trebuchet MS"/>
          <w:sz w:val="20"/>
        </w:rPr>
        <w:t>estados</w:t>
      </w:r>
      <w:r>
        <w:rPr>
          <w:rFonts w:ascii="Trebuchet MS" w:hAnsi="Trebuchet MS"/>
          <w:spacing w:val="33"/>
          <w:sz w:val="20"/>
        </w:rPr>
        <w:t> </w:t>
      </w:r>
      <w:r>
        <w:rPr>
          <w:rFonts w:ascii="Trebuchet MS" w:hAnsi="Trebuchet MS"/>
          <w:sz w:val="20"/>
        </w:rPr>
        <w:t>financieros</w:t>
      </w:r>
      <w:r>
        <w:rPr>
          <w:rFonts w:ascii="Trebuchet MS" w:hAnsi="Trebuchet MS"/>
          <w:spacing w:val="40"/>
          <w:sz w:val="20"/>
        </w:rPr>
        <w:t> </w:t>
      </w:r>
      <w:r>
        <w:rPr>
          <w:rFonts w:ascii="Trebuchet MS" w:hAnsi="Trebuchet MS"/>
          <w:sz w:val="20"/>
        </w:rPr>
        <w:t>intermedios</w:t>
      </w:r>
      <w:r>
        <w:rPr>
          <w:rFonts w:ascii="Trebuchet MS" w:hAnsi="Trebuchet MS"/>
          <w:spacing w:val="34"/>
          <w:sz w:val="20"/>
        </w:rPr>
        <w:t> </w:t>
      </w:r>
      <w:r>
        <w:rPr>
          <w:rFonts w:ascii="Trebuchet MS" w:hAnsi="Trebuchet MS"/>
          <w:sz w:val="20"/>
        </w:rPr>
        <w:t>consolidados</w:t>
      </w:r>
      <w:r>
        <w:rPr>
          <w:rFonts w:ascii="Trebuchet MS" w:hAnsi="Trebuchet MS"/>
          <w:spacing w:val="39"/>
          <w:sz w:val="20"/>
        </w:rPr>
        <w:t> </w:t>
      </w:r>
      <w:r>
        <w:rPr>
          <w:rFonts w:ascii="Trebuchet MS" w:hAnsi="Trebuchet MS"/>
          <w:sz w:val="20"/>
        </w:rPr>
        <w:t>condensados</w:t>
      </w:r>
      <w:r>
        <w:rPr>
          <w:rFonts w:ascii="Trebuchet MS" w:hAnsi="Trebuchet MS"/>
          <w:spacing w:val="34"/>
          <w:sz w:val="20"/>
        </w:rPr>
        <w:t> </w:t>
      </w:r>
      <w:r>
        <w:rPr>
          <w:rFonts w:ascii="Trebuchet MS" w:hAnsi="Trebuchet MS"/>
          <w:sz w:val="20"/>
        </w:rPr>
        <w:t>resumidas, expresadas en miles de pesos, son las siguientes:”</w:t>
      </w:r>
    </w:p>
    <w:p>
      <w:pPr>
        <w:pStyle w:val="BodyText"/>
        <w:spacing w:before="9"/>
        <w:rPr>
          <w:rFonts w:ascii="Trebuchet MS"/>
          <w:sz w:val="19"/>
        </w:rPr>
      </w:pPr>
    </w:p>
    <w:tbl>
      <w:tblPr>
        <w:tblW w:w="0" w:type="auto"/>
        <w:jc w:val="left"/>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72"/>
        <w:gridCol w:w="1399"/>
      </w:tblGrid>
      <w:tr>
        <w:trPr>
          <w:trHeight w:val="234" w:hRule="atLeast"/>
        </w:trPr>
        <w:tc>
          <w:tcPr>
            <w:tcW w:w="6572" w:type="dxa"/>
          </w:tcPr>
          <w:p>
            <w:pPr>
              <w:pStyle w:val="TableParagraph"/>
              <w:spacing w:before="1"/>
              <w:ind w:left="50"/>
              <w:rPr>
                <w:sz w:val="20"/>
              </w:rPr>
            </w:pPr>
            <w:r>
              <w:rPr>
                <w:spacing w:val="-2"/>
                <w:sz w:val="20"/>
              </w:rPr>
              <w:t>“Activo</w:t>
            </w:r>
          </w:p>
        </w:tc>
        <w:tc>
          <w:tcPr>
            <w:tcW w:w="1399" w:type="dxa"/>
          </w:tcPr>
          <w:p>
            <w:pPr>
              <w:pStyle w:val="TableParagraph"/>
              <w:spacing w:before="1"/>
              <w:ind w:right="48"/>
              <w:jc w:val="right"/>
              <w:rPr>
                <w:sz w:val="20"/>
              </w:rPr>
            </w:pPr>
            <w:r>
              <w:rPr>
                <w:spacing w:val="-2"/>
                <w:sz w:val="20"/>
              </w:rPr>
              <w:t>293.885.786</w:t>
            </w:r>
          </w:p>
        </w:tc>
      </w:tr>
      <w:tr>
        <w:trPr>
          <w:trHeight w:val="232" w:hRule="atLeast"/>
        </w:trPr>
        <w:tc>
          <w:tcPr>
            <w:tcW w:w="6572" w:type="dxa"/>
          </w:tcPr>
          <w:p>
            <w:pPr>
              <w:pStyle w:val="TableParagraph"/>
              <w:spacing w:line="211" w:lineRule="exact" w:before="2"/>
              <w:ind w:left="50"/>
              <w:rPr>
                <w:sz w:val="20"/>
              </w:rPr>
            </w:pPr>
            <w:r>
              <w:rPr>
                <w:spacing w:val="-2"/>
                <w:sz w:val="20"/>
              </w:rPr>
              <w:t>Pasivo</w:t>
            </w:r>
          </w:p>
        </w:tc>
        <w:tc>
          <w:tcPr>
            <w:tcW w:w="1399" w:type="dxa"/>
          </w:tcPr>
          <w:p>
            <w:pPr>
              <w:pStyle w:val="TableParagraph"/>
              <w:spacing w:line="211" w:lineRule="exact" w:before="2"/>
              <w:ind w:right="48"/>
              <w:jc w:val="right"/>
              <w:rPr>
                <w:sz w:val="20"/>
              </w:rPr>
            </w:pPr>
            <w:r>
              <w:rPr>
                <w:spacing w:val="-2"/>
                <w:sz w:val="20"/>
              </w:rPr>
              <w:t>400.905.333</w:t>
            </w:r>
          </w:p>
        </w:tc>
      </w:tr>
      <w:tr>
        <w:trPr>
          <w:trHeight w:val="230" w:hRule="atLeast"/>
        </w:trPr>
        <w:tc>
          <w:tcPr>
            <w:tcW w:w="6572" w:type="dxa"/>
          </w:tcPr>
          <w:p>
            <w:pPr>
              <w:pStyle w:val="TableParagraph"/>
              <w:spacing w:line="210" w:lineRule="exact"/>
              <w:ind w:left="50"/>
              <w:rPr>
                <w:sz w:val="20"/>
              </w:rPr>
            </w:pPr>
            <w:r>
              <w:rPr>
                <w:sz w:val="20"/>
              </w:rPr>
              <w:t>Patrimonio</w:t>
            </w:r>
            <w:r>
              <w:rPr>
                <w:spacing w:val="-7"/>
                <w:sz w:val="20"/>
              </w:rPr>
              <w:t> </w:t>
            </w:r>
            <w:r>
              <w:rPr>
                <w:sz w:val="20"/>
              </w:rPr>
              <w:t>atribuible</w:t>
            </w:r>
            <w:r>
              <w:rPr>
                <w:spacing w:val="-9"/>
                <w:sz w:val="20"/>
              </w:rPr>
              <w:t> </w:t>
            </w:r>
            <w:r>
              <w:rPr>
                <w:sz w:val="20"/>
              </w:rPr>
              <w:t>a</w:t>
            </w:r>
            <w:r>
              <w:rPr>
                <w:spacing w:val="-5"/>
                <w:sz w:val="20"/>
              </w:rPr>
              <w:t> </w:t>
            </w:r>
            <w:r>
              <w:rPr>
                <w:sz w:val="20"/>
              </w:rPr>
              <w:t>los</w:t>
            </w:r>
            <w:r>
              <w:rPr>
                <w:spacing w:val="-5"/>
                <w:sz w:val="20"/>
              </w:rPr>
              <w:t> </w:t>
            </w:r>
            <w:r>
              <w:rPr>
                <w:sz w:val="20"/>
              </w:rPr>
              <w:t>propietarios</w:t>
            </w:r>
            <w:r>
              <w:rPr>
                <w:spacing w:val="-5"/>
                <w:sz w:val="20"/>
              </w:rPr>
              <w:t> </w:t>
            </w:r>
            <w:r>
              <w:rPr>
                <w:sz w:val="20"/>
              </w:rPr>
              <w:t>de</w:t>
            </w:r>
            <w:r>
              <w:rPr>
                <w:spacing w:val="-8"/>
                <w:sz w:val="20"/>
              </w:rPr>
              <w:t> </w:t>
            </w:r>
            <w:r>
              <w:rPr>
                <w:sz w:val="20"/>
              </w:rPr>
              <w:t>la</w:t>
            </w:r>
            <w:r>
              <w:rPr>
                <w:spacing w:val="-5"/>
                <w:sz w:val="20"/>
              </w:rPr>
              <w:t> </w:t>
            </w:r>
            <w:r>
              <w:rPr>
                <w:spacing w:val="-2"/>
                <w:sz w:val="20"/>
              </w:rPr>
              <w:t>Sociedad</w:t>
            </w:r>
          </w:p>
        </w:tc>
        <w:tc>
          <w:tcPr>
            <w:tcW w:w="1399" w:type="dxa"/>
          </w:tcPr>
          <w:p>
            <w:pPr>
              <w:pStyle w:val="TableParagraph"/>
              <w:spacing w:line="210" w:lineRule="exact"/>
              <w:ind w:right="51"/>
              <w:jc w:val="right"/>
              <w:rPr>
                <w:sz w:val="20"/>
              </w:rPr>
            </w:pPr>
            <w:r>
              <w:rPr>
                <w:spacing w:val="-2"/>
                <w:sz w:val="20"/>
              </w:rPr>
              <w:t>(107.874.535)</w:t>
            </w:r>
          </w:p>
        </w:tc>
      </w:tr>
      <w:tr>
        <w:trPr>
          <w:trHeight w:val="232" w:hRule="atLeast"/>
        </w:trPr>
        <w:tc>
          <w:tcPr>
            <w:tcW w:w="6572" w:type="dxa"/>
          </w:tcPr>
          <w:p>
            <w:pPr>
              <w:pStyle w:val="TableParagraph"/>
              <w:ind w:left="50"/>
              <w:rPr>
                <w:sz w:val="20"/>
              </w:rPr>
            </w:pPr>
            <w:r>
              <w:rPr>
                <w:sz w:val="20"/>
              </w:rPr>
              <w:t>Participaciones</w:t>
            </w:r>
            <w:r>
              <w:rPr>
                <w:spacing w:val="-12"/>
                <w:sz w:val="20"/>
              </w:rPr>
              <w:t> </w:t>
            </w:r>
            <w:r>
              <w:rPr>
                <w:sz w:val="20"/>
              </w:rPr>
              <w:t>no</w:t>
            </w:r>
            <w:r>
              <w:rPr>
                <w:spacing w:val="-9"/>
                <w:sz w:val="20"/>
              </w:rPr>
              <w:t> </w:t>
            </w:r>
            <w:r>
              <w:rPr>
                <w:spacing w:val="-2"/>
                <w:sz w:val="20"/>
              </w:rPr>
              <w:t>controladoras</w:t>
            </w:r>
          </w:p>
        </w:tc>
        <w:tc>
          <w:tcPr>
            <w:tcW w:w="1399" w:type="dxa"/>
          </w:tcPr>
          <w:p>
            <w:pPr>
              <w:pStyle w:val="TableParagraph"/>
              <w:ind w:right="48"/>
              <w:jc w:val="right"/>
              <w:rPr>
                <w:sz w:val="20"/>
              </w:rPr>
            </w:pPr>
            <w:r>
              <w:rPr>
                <w:spacing w:val="-2"/>
                <w:sz w:val="20"/>
              </w:rPr>
              <w:t>854.988</w:t>
            </w:r>
          </w:p>
        </w:tc>
      </w:tr>
      <w:tr>
        <w:trPr>
          <w:trHeight w:val="233" w:hRule="atLeast"/>
        </w:trPr>
        <w:tc>
          <w:tcPr>
            <w:tcW w:w="6572" w:type="dxa"/>
          </w:tcPr>
          <w:p>
            <w:pPr>
              <w:pStyle w:val="TableParagraph"/>
              <w:spacing w:line="211" w:lineRule="exact" w:before="2"/>
              <w:ind w:left="50"/>
              <w:rPr>
                <w:sz w:val="20"/>
              </w:rPr>
            </w:pPr>
            <w:r>
              <w:rPr>
                <w:sz w:val="20"/>
              </w:rPr>
              <w:t>Pérdida</w:t>
            </w:r>
            <w:r>
              <w:rPr>
                <w:spacing w:val="-6"/>
                <w:sz w:val="20"/>
              </w:rPr>
              <w:t> </w:t>
            </w:r>
            <w:r>
              <w:rPr>
                <w:sz w:val="20"/>
              </w:rPr>
              <w:t>del</w:t>
            </w:r>
            <w:r>
              <w:rPr>
                <w:spacing w:val="-6"/>
                <w:sz w:val="20"/>
              </w:rPr>
              <w:t> </w:t>
            </w:r>
            <w:r>
              <w:rPr>
                <w:sz w:val="20"/>
              </w:rPr>
              <w:t>período</w:t>
            </w:r>
            <w:r>
              <w:rPr>
                <w:spacing w:val="-7"/>
                <w:sz w:val="20"/>
              </w:rPr>
              <w:t> </w:t>
            </w:r>
            <w:r>
              <w:rPr>
                <w:sz w:val="20"/>
              </w:rPr>
              <w:t>atribuible</w:t>
            </w:r>
            <w:r>
              <w:rPr>
                <w:spacing w:val="-4"/>
                <w:sz w:val="20"/>
              </w:rPr>
              <w:t> </w:t>
            </w:r>
            <w:r>
              <w:rPr>
                <w:sz w:val="20"/>
              </w:rPr>
              <w:t>a</w:t>
            </w:r>
            <w:r>
              <w:rPr>
                <w:spacing w:val="-6"/>
                <w:sz w:val="20"/>
              </w:rPr>
              <w:t> </w:t>
            </w:r>
            <w:r>
              <w:rPr>
                <w:sz w:val="20"/>
              </w:rPr>
              <w:t>los</w:t>
            </w:r>
            <w:r>
              <w:rPr>
                <w:spacing w:val="-5"/>
                <w:sz w:val="20"/>
              </w:rPr>
              <w:t> </w:t>
            </w:r>
            <w:r>
              <w:rPr>
                <w:sz w:val="20"/>
              </w:rPr>
              <w:t>propietarios</w:t>
            </w:r>
            <w:r>
              <w:rPr>
                <w:spacing w:val="-5"/>
                <w:sz w:val="20"/>
              </w:rPr>
              <w:t> </w:t>
            </w:r>
            <w:r>
              <w:rPr>
                <w:sz w:val="20"/>
              </w:rPr>
              <w:t>de</w:t>
            </w:r>
            <w:r>
              <w:rPr>
                <w:spacing w:val="-5"/>
                <w:sz w:val="20"/>
              </w:rPr>
              <w:t> </w:t>
            </w:r>
            <w:r>
              <w:rPr>
                <w:sz w:val="20"/>
              </w:rPr>
              <w:t>la</w:t>
            </w:r>
            <w:r>
              <w:rPr>
                <w:spacing w:val="-8"/>
                <w:sz w:val="20"/>
              </w:rPr>
              <w:t> </w:t>
            </w:r>
            <w:r>
              <w:rPr>
                <w:spacing w:val="-2"/>
                <w:sz w:val="20"/>
              </w:rPr>
              <w:t>Sociedad</w:t>
            </w:r>
          </w:p>
        </w:tc>
        <w:tc>
          <w:tcPr>
            <w:tcW w:w="1399" w:type="dxa"/>
          </w:tcPr>
          <w:p>
            <w:pPr>
              <w:pStyle w:val="TableParagraph"/>
              <w:spacing w:line="211" w:lineRule="exact" w:before="2"/>
              <w:ind w:right="51"/>
              <w:jc w:val="right"/>
              <w:rPr>
                <w:sz w:val="20"/>
              </w:rPr>
            </w:pPr>
            <w:r>
              <w:rPr>
                <w:spacing w:val="-2"/>
                <w:sz w:val="20"/>
              </w:rPr>
              <w:t>(74.635.231)</w:t>
            </w:r>
          </w:p>
        </w:tc>
      </w:tr>
      <w:tr>
        <w:trPr>
          <w:trHeight w:val="467" w:hRule="atLeast"/>
        </w:trPr>
        <w:tc>
          <w:tcPr>
            <w:tcW w:w="6572" w:type="dxa"/>
          </w:tcPr>
          <w:p>
            <w:pPr>
              <w:pStyle w:val="TableParagraph"/>
              <w:spacing w:line="232" w:lineRule="exact"/>
              <w:ind w:left="50"/>
              <w:rPr>
                <w:sz w:val="20"/>
              </w:rPr>
            </w:pPr>
            <w:r>
              <w:rPr>
                <w:sz w:val="20"/>
              </w:rPr>
              <w:t>Resultado</w:t>
            </w:r>
            <w:r>
              <w:rPr>
                <w:spacing w:val="71"/>
                <w:sz w:val="20"/>
              </w:rPr>
              <w:t> </w:t>
            </w:r>
            <w:r>
              <w:rPr>
                <w:sz w:val="20"/>
              </w:rPr>
              <w:t>integral</w:t>
            </w:r>
            <w:r>
              <w:rPr>
                <w:spacing w:val="73"/>
                <w:sz w:val="20"/>
              </w:rPr>
              <w:t> </w:t>
            </w:r>
            <w:r>
              <w:rPr>
                <w:sz w:val="20"/>
              </w:rPr>
              <w:t>atribuible</w:t>
            </w:r>
            <w:r>
              <w:rPr>
                <w:spacing w:val="75"/>
                <w:sz w:val="20"/>
              </w:rPr>
              <w:t> </w:t>
            </w:r>
            <w:r>
              <w:rPr>
                <w:sz w:val="20"/>
              </w:rPr>
              <w:t>a</w:t>
            </w:r>
            <w:r>
              <w:rPr>
                <w:spacing w:val="70"/>
                <w:sz w:val="20"/>
              </w:rPr>
              <w:t> </w:t>
            </w:r>
            <w:r>
              <w:rPr>
                <w:sz w:val="20"/>
              </w:rPr>
              <w:t>los</w:t>
            </w:r>
            <w:r>
              <w:rPr>
                <w:spacing w:val="75"/>
                <w:sz w:val="20"/>
              </w:rPr>
              <w:t> </w:t>
            </w:r>
            <w:r>
              <w:rPr>
                <w:sz w:val="20"/>
              </w:rPr>
              <w:t>propietarios</w:t>
            </w:r>
            <w:r>
              <w:rPr>
                <w:spacing w:val="74"/>
                <w:sz w:val="20"/>
              </w:rPr>
              <w:t> </w:t>
            </w:r>
            <w:r>
              <w:rPr>
                <w:sz w:val="20"/>
              </w:rPr>
              <w:t>de</w:t>
            </w:r>
            <w:r>
              <w:rPr>
                <w:spacing w:val="75"/>
                <w:sz w:val="20"/>
              </w:rPr>
              <w:t> </w:t>
            </w:r>
            <w:r>
              <w:rPr>
                <w:sz w:val="20"/>
              </w:rPr>
              <w:t>la</w:t>
            </w:r>
            <w:r>
              <w:rPr>
                <w:spacing w:val="74"/>
                <w:sz w:val="20"/>
              </w:rPr>
              <w:t> </w:t>
            </w:r>
            <w:r>
              <w:rPr>
                <w:sz w:val="20"/>
              </w:rPr>
              <w:t>Sociedad</w:t>
            </w:r>
            <w:r>
              <w:rPr>
                <w:spacing w:val="78"/>
                <w:sz w:val="20"/>
              </w:rPr>
              <w:t> </w:t>
            </w:r>
            <w:r>
              <w:rPr>
                <w:spacing w:val="-10"/>
                <w:sz w:val="20"/>
              </w:rPr>
              <w:t>–</w:t>
            </w:r>
          </w:p>
          <w:p>
            <w:pPr>
              <w:pStyle w:val="TableParagraph"/>
              <w:spacing w:before="3"/>
              <w:ind w:left="50"/>
              <w:rPr>
                <w:sz w:val="20"/>
              </w:rPr>
            </w:pPr>
            <w:r>
              <w:rPr>
                <w:spacing w:val="-2"/>
                <w:sz w:val="20"/>
              </w:rPr>
              <w:t>Pérdida”</w:t>
            </w:r>
          </w:p>
        </w:tc>
        <w:tc>
          <w:tcPr>
            <w:tcW w:w="1399" w:type="dxa"/>
          </w:tcPr>
          <w:p>
            <w:pPr>
              <w:pStyle w:val="TableParagraph"/>
              <w:spacing w:line="232" w:lineRule="exact"/>
              <w:ind w:right="51"/>
              <w:jc w:val="right"/>
              <w:rPr>
                <w:sz w:val="20"/>
              </w:rPr>
            </w:pPr>
            <w:r>
              <w:rPr>
                <w:spacing w:val="-2"/>
                <w:sz w:val="20"/>
              </w:rPr>
              <w:t>(80.434.503)</w:t>
            </w:r>
          </w:p>
        </w:tc>
      </w:tr>
    </w:tbl>
    <w:p>
      <w:pPr>
        <w:pStyle w:val="ListParagraph"/>
        <w:numPr>
          <w:ilvl w:val="1"/>
          <w:numId w:val="4"/>
        </w:numPr>
        <w:tabs>
          <w:tab w:pos="852" w:val="left" w:leader="none"/>
          <w:tab w:pos="854" w:val="left" w:leader="none"/>
        </w:tabs>
        <w:spacing w:line="242" w:lineRule="auto" w:before="231" w:after="0"/>
        <w:ind w:left="854" w:right="127" w:hanging="284"/>
        <w:jc w:val="left"/>
        <w:rPr>
          <w:rFonts w:ascii="Trebuchet MS" w:hAnsi="Trebuchet MS"/>
          <w:sz w:val="20"/>
        </w:rPr>
      </w:pPr>
      <w:r>
        <w:rPr>
          <w:rFonts w:ascii="Trebuchet MS" w:hAnsi="Trebuchet MS"/>
          <w:sz w:val="20"/>
        </w:rPr>
        <w:t>“Las</w:t>
      </w:r>
      <w:r>
        <w:rPr>
          <w:rFonts w:ascii="Trebuchet MS" w:hAnsi="Trebuchet MS"/>
          <w:spacing w:val="40"/>
          <w:sz w:val="20"/>
        </w:rPr>
        <w:t> </w:t>
      </w:r>
      <w:r>
        <w:rPr>
          <w:rFonts w:ascii="Trebuchet MS" w:hAnsi="Trebuchet MS"/>
          <w:sz w:val="20"/>
        </w:rPr>
        <w:t>cifras</w:t>
      </w:r>
      <w:r>
        <w:rPr>
          <w:rFonts w:ascii="Trebuchet MS" w:hAnsi="Trebuchet MS"/>
          <w:spacing w:val="40"/>
          <w:sz w:val="20"/>
        </w:rPr>
        <w:t> </w:t>
      </w:r>
      <w:r>
        <w:rPr>
          <w:rFonts w:ascii="Trebuchet MS" w:hAnsi="Trebuchet MS"/>
          <w:sz w:val="20"/>
        </w:rPr>
        <w:t>de</w:t>
      </w:r>
      <w:r>
        <w:rPr>
          <w:rFonts w:ascii="Trebuchet MS" w:hAnsi="Trebuchet MS"/>
          <w:spacing w:val="40"/>
          <w:sz w:val="20"/>
        </w:rPr>
        <w:t> </w:t>
      </w:r>
      <w:r>
        <w:rPr>
          <w:rFonts w:ascii="Trebuchet MS" w:hAnsi="Trebuchet MS"/>
          <w:sz w:val="20"/>
        </w:rPr>
        <w:t>los</w:t>
      </w:r>
      <w:r>
        <w:rPr>
          <w:rFonts w:ascii="Trebuchet MS" w:hAnsi="Trebuchet MS"/>
          <w:spacing w:val="40"/>
          <w:sz w:val="20"/>
        </w:rPr>
        <w:t> </w:t>
      </w:r>
      <w:r>
        <w:rPr>
          <w:rFonts w:ascii="Trebuchet MS" w:hAnsi="Trebuchet MS"/>
          <w:sz w:val="20"/>
        </w:rPr>
        <w:t>estados</w:t>
      </w:r>
      <w:r>
        <w:rPr>
          <w:rFonts w:ascii="Trebuchet MS" w:hAnsi="Trebuchet MS"/>
          <w:spacing w:val="40"/>
          <w:sz w:val="20"/>
        </w:rPr>
        <w:t> </w:t>
      </w:r>
      <w:r>
        <w:rPr>
          <w:rFonts w:ascii="Trebuchet MS" w:hAnsi="Trebuchet MS"/>
          <w:sz w:val="20"/>
        </w:rPr>
        <w:t>financieros</w:t>
      </w:r>
      <w:r>
        <w:rPr>
          <w:rFonts w:ascii="Trebuchet MS" w:hAnsi="Trebuchet MS"/>
          <w:spacing w:val="40"/>
          <w:sz w:val="20"/>
        </w:rPr>
        <w:t> </w:t>
      </w:r>
      <w:r>
        <w:rPr>
          <w:rFonts w:ascii="Trebuchet MS" w:hAnsi="Trebuchet MS"/>
          <w:sz w:val="20"/>
        </w:rPr>
        <w:t>intermedios</w:t>
      </w:r>
      <w:r>
        <w:rPr>
          <w:rFonts w:ascii="Trebuchet MS" w:hAnsi="Trebuchet MS"/>
          <w:spacing w:val="40"/>
          <w:sz w:val="20"/>
        </w:rPr>
        <w:t> </w:t>
      </w:r>
      <w:r>
        <w:rPr>
          <w:rFonts w:ascii="Trebuchet MS" w:hAnsi="Trebuchet MS"/>
          <w:sz w:val="20"/>
        </w:rPr>
        <w:t>separados</w:t>
      </w:r>
      <w:r>
        <w:rPr>
          <w:rFonts w:ascii="Trebuchet MS" w:hAnsi="Trebuchet MS"/>
          <w:spacing w:val="40"/>
          <w:sz w:val="20"/>
        </w:rPr>
        <w:t> </w:t>
      </w:r>
      <w:r>
        <w:rPr>
          <w:rFonts w:ascii="Trebuchet MS" w:hAnsi="Trebuchet MS"/>
          <w:sz w:val="20"/>
        </w:rPr>
        <w:t>condensados</w:t>
      </w:r>
      <w:r>
        <w:rPr>
          <w:rFonts w:ascii="Trebuchet MS" w:hAnsi="Trebuchet MS"/>
          <w:spacing w:val="40"/>
          <w:sz w:val="20"/>
        </w:rPr>
        <w:t> </w:t>
      </w:r>
      <w:r>
        <w:rPr>
          <w:rFonts w:ascii="Trebuchet MS" w:hAnsi="Trebuchet MS"/>
          <w:sz w:val="20"/>
        </w:rPr>
        <w:t>resumidas, expresadas en miles de pesos, son las siguientes:”</w:t>
      </w:r>
    </w:p>
    <w:p>
      <w:pPr>
        <w:pStyle w:val="BodyText"/>
        <w:spacing w:before="5" w:after="1"/>
        <w:rPr>
          <w:rFonts w:ascii="Trebuchet MS"/>
          <w:sz w:val="19"/>
        </w:rPr>
      </w:pPr>
    </w:p>
    <w:tbl>
      <w:tblPr>
        <w:tblW w:w="0" w:type="auto"/>
        <w:jc w:val="left"/>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62"/>
        <w:gridCol w:w="2809"/>
      </w:tblGrid>
      <w:tr>
        <w:trPr>
          <w:trHeight w:val="234" w:hRule="atLeast"/>
        </w:trPr>
        <w:tc>
          <w:tcPr>
            <w:tcW w:w="5162" w:type="dxa"/>
          </w:tcPr>
          <w:p>
            <w:pPr>
              <w:pStyle w:val="TableParagraph"/>
              <w:spacing w:before="1"/>
              <w:ind w:left="50"/>
              <w:rPr>
                <w:sz w:val="20"/>
              </w:rPr>
            </w:pPr>
            <w:r>
              <w:rPr>
                <w:spacing w:val="-2"/>
                <w:sz w:val="20"/>
              </w:rPr>
              <w:t>“Activo</w:t>
            </w:r>
          </w:p>
        </w:tc>
        <w:tc>
          <w:tcPr>
            <w:tcW w:w="2809" w:type="dxa"/>
          </w:tcPr>
          <w:p>
            <w:pPr>
              <w:pStyle w:val="TableParagraph"/>
              <w:spacing w:before="1"/>
              <w:ind w:right="48"/>
              <w:jc w:val="right"/>
              <w:rPr>
                <w:sz w:val="20"/>
              </w:rPr>
            </w:pPr>
            <w:r>
              <w:rPr>
                <w:spacing w:val="-2"/>
                <w:sz w:val="20"/>
              </w:rPr>
              <w:t>266.481.289</w:t>
            </w:r>
          </w:p>
        </w:tc>
      </w:tr>
      <w:tr>
        <w:trPr>
          <w:trHeight w:val="232" w:hRule="atLeast"/>
        </w:trPr>
        <w:tc>
          <w:tcPr>
            <w:tcW w:w="5162" w:type="dxa"/>
          </w:tcPr>
          <w:p>
            <w:pPr>
              <w:pStyle w:val="TableParagraph"/>
              <w:spacing w:line="211" w:lineRule="exact" w:before="2"/>
              <w:ind w:left="50"/>
              <w:rPr>
                <w:sz w:val="20"/>
              </w:rPr>
            </w:pPr>
            <w:r>
              <w:rPr>
                <w:spacing w:val="-2"/>
                <w:sz w:val="20"/>
              </w:rPr>
              <w:t>Pasivo</w:t>
            </w:r>
          </w:p>
        </w:tc>
        <w:tc>
          <w:tcPr>
            <w:tcW w:w="2809" w:type="dxa"/>
          </w:tcPr>
          <w:p>
            <w:pPr>
              <w:pStyle w:val="TableParagraph"/>
              <w:spacing w:line="211" w:lineRule="exact" w:before="2"/>
              <w:ind w:right="48"/>
              <w:jc w:val="right"/>
              <w:rPr>
                <w:sz w:val="20"/>
              </w:rPr>
            </w:pPr>
            <w:r>
              <w:rPr>
                <w:spacing w:val="-2"/>
                <w:sz w:val="20"/>
              </w:rPr>
              <w:t>374.355.824</w:t>
            </w:r>
          </w:p>
        </w:tc>
      </w:tr>
      <w:tr>
        <w:trPr>
          <w:trHeight w:val="232" w:hRule="atLeast"/>
        </w:trPr>
        <w:tc>
          <w:tcPr>
            <w:tcW w:w="5162" w:type="dxa"/>
          </w:tcPr>
          <w:p>
            <w:pPr>
              <w:pStyle w:val="TableParagraph"/>
              <w:ind w:left="50"/>
              <w:rPr>
                <w:sz w:val="20"/>
              </w:rPr>
            </w:pPr>
            <w:r>
              <w:rPr>
                <w:spacing w:val="-2"/>
                <w:sz w:val="20"/>
              </w:rPr>
              <w:t>Patrimonio</w:t>
            </w:r>
          </w:p>
        </w:tc>
        <w:tc>
          <w:tcPr>
            <w:tcW w:w="2809" w:type="dxa"/>
          </w:tcPr>
          <w:p>
            <w:pPr>
              <w:pStyle w:val="TableParagraph"/>
              <w:ind w:right="51"/>
              <w:jc w:val="right"/>
              <w:rPr>
                <w:sz w:val="20"/>
              </w:rPr>
            </w:pPr>
            <w:r>
              <w:rPr>
                <w:spacing w:val="-2"/>
                <w:sz w:val="20"/>
              </w:rPr>
              <w:t>(107.874.535)</w:t>
            </w:r>
          </w:p>
        </w:tc>
      </w:tr>
      <w:tr>
        <w:trPr>
          <w:trHeight w:val="232" w:hRule="atLeast"/>
        </w:trPr>
        <w:tc>
          <w:tcPr>
            <w:tcW w:w="5162" w:type="dxa"/>
          </w:tcPr>
          <w:p>
            <w:pPr>
              <w:pStyle w:val="TableParagraph"/>
              <w:spacing w:line="211" w:lineRule="exact" w:before="2"/>
              <w:ind w:left="50"/>
              <w:rPr>
                <w:sz w:val="20"/>
              </w:rPr>
            </w:pPr>
            <w:r>
              <w:rPr>
                <w:sz w:val="20"/>
              </w:rPr>
              <w:t>Pérdida</w:t>
            </w:r>
            <w:r>
              <w:rPr>
                <w:spacing w:val="-5"/>
                <w:sz w:val="20"/>
              </w:rPr>
              <w:t> </w:t>
            </w:r>
            <w:r>
              <w:rPr>
                <w:sz w:val="20"/>
              </w:rPr>
              <w:t>del</w:t>
            </w:r>
            <w:r>
              <w:rPr>
                <w:spacing w:val="-4"/>
                <w:sz w:val="20"/>
              </w:rPr>
              <w:t> </w:t>
            </w:r>
            <w:r>
              <w:rPr>
                <w:spacing w:val="-2"/>
                <w:sz w:val="20"/>
              </w:rPr>
              <w:t>período</w:t>
            </w:r>
          </w:p>
        </w:tc>
        <w:tc>
          <w:tcPr>
            <w:tcW w:w="2809" w:type="dxa"/>
          </w:tcPr>
          <w:p>
            <w:pPr>
              <w:pStyle w:val="TableParagraph"/>
              <w:spacing w:line="211" w:lineRule="exact" w:before="2"/>
              <w:ind w:right="51"/>
              <w:jc w:val="right"/>
              <w:rPr>
                <w:sz w:val="20"/>
              </w:rPr>
            </w:pPr>
            <w:r>
              <w:rPr>
                <w:spacing w:val="-2"/>
                <w:sz w:val="20"/>
              </w:rPr>
              <w:t>(74.635.231)</w:t>
            </w:r>
          </w:p>
        </w:tc>
      </w:tr>
      <w:tr>
        <w:trPr>
          <w:trHeight w:val="232" w:hRule="atLeast"/>
        </w:trPr>
        <w:tc>
          <w:tcPr>
            <w:tcW w:w="5162" w:type="dxa"/>
          </w:tcPr>
          <w:p>
            <w:pPr>
              <w:pStyle w:val="TableParagraph"/>
              <w:spacing w:line="212" w:lineRule="exact"/>
              <w:ind w:left="50"/>
              <w:rPr>
                <w:sz w:val="20"/>
              </w:rPr>
            </w:pPr>
            <w:r>
              <w:rPr>
                <w:sz w:val="20"/>
              </w:rPr>
              <w:t>Resultado</w:t>
            </w:r>
            <w:r>
              <w:rPr>
                <w:spacing w:val="-7"/>
                <w:sz w:val="20"/>
              </w:rPr>
              <w:t> </w:t>
            </w:r>
            <w:r>
              <w:rPr>
                <w:sz w:val="20"/>
              </w:rPr>
              <w:t>integral</w:t>
            </w:r>
            <w:r>
              <w:rPr>
                <w:spacing w:val="-5"/>
                <w:sz w:val="20"/>
              </w:rPr>
              <w:t> </w:t>
            </w:r>
            <w:r>
              <w:rPr>
                <w:sz w:val="20"/>
              </w:rPr>
              <w:t>del</w:t>
            </w:r>
            <w:r>
              <w:rPr>
                <w:spacing w:val="-5"/>
                <w:sz w:val="20"/>
              </w:rPr>
              <w:t> </w:t>
            </w:r>
            <w:r>
              <w:rPr>
                <w:sz w:val="20"/>
              </w:rPr>
              <w:t>período</w:t>
            </w:r>
            <w:r>
              <w:rPr>
                <w:spacing w:val="-5"/>
                <w:sz w:val="20"/>
              </w:rPr>
              <w:t> </w:t>
            </w:r>
            <w:r>
              <w:rPr>
                <w:sz w:val="20"/>
              </w:rPr>
              <w:t>–</w:t>
            </w:r>
            <w:r>
              <w:rPr>
                <w:spacing w:val="-5"/>
                <w:sz w:val="20"/>
              </w:rPr>
              <w:t> </w:t>
            </w:r>
            <w:r>
              <w:rPr>
                <w:spacing w:val="-2"/>
                <w:sz w:val="20"/>
              </w:rPr>
              <w:t>Pérdida</w:t>
            </w:r>
          </w:p>
        </w:tc>
        <w:tc>
          <w:tcPr>
            <w:tcW w:w="2809" w:type="dxa"/>
          </w:tcPr>
          <w:p>
            <w:pPr>
              <w:pStyle w:val="TableParagraph"/>
              <w:spacing w:line="212" w:lineRule="exact"/>
              <w:ind w:right="53"/>
              <w:jc w:val="right"/>
              <w:rPr>
                <w:sz w:val="20"/>
              </w:rPr>
            </w:pPr>
            <w:r>
              <w:rPr>
                <w:spacing w:val="-2"/>
                <w:sz w:val="20"/>
              </w:rPr>
              <w:t>(80.434.503)”</w:t>
            </w:r>
          </w:p>
        </w:tc>
      </w:tr>
    </w:tbl>
    <w:p>
      <w:pPr>
        <w:pStyle w:val="BodyText"/>
        <w:spacing w:before="4"/>
        <w:rPr>
          <w:rFonts w:ascii="Trebuchet MS"/>
          <w:sz w:val="20"/>
        </w:rPr>
      </w:pPr>
    </w:p>
    <w:p>
      <w:pPr>
        <w:spacing w:line="240" w:lineRule="auto" w:before="0"/>
        <w:ind w:left="571" w:right="130" w:firstLine="0"/>
        <w:jc w:val="both"/>
        <w:rPr>
          <w:rFonts w:ascii="Trebuchet MS" w:hAnsi="Trebuchet MS"/>
          <w:sz w:val="20"/>
        </w:rPr>
      </w:pPr>
      <w:r>
        <w:rPr>
          <w:rFonts w:ascii="Trebuchet MS" w:hAnsi="Trebuchet MS"/>
          <w:sz w:val="20"/>
        </w:rPr>
        <w:t>“Las cifras y otra información correspondiente al ejercicio económico finalizado el 31 de</w:t>
      </w:r>
      <w:r>
        <w:rPr>
          <w:rFonts w:ascii="Trebuchet MS" w:hAnsi="Trebuchet MS"/>
          <w:spacing w:val="40"/>
          <w:sz w:val="20"/>
        </w:rPr>
        <w:t> </w:t>
      </w:r>
      <w:r>
        <w:rPr>
          <w:rFonts w:ascii="Trebuchet MS" w:hAnsi="Trebuchet MS"/>
          <w:sz w:val="20"/>
        </w:rPr>
        <w:t>mayo de 2025 y al período de tres meses finalizado el 31 de agosto de 2024, son parte integrante de los estados financieros mencionados precedentemente y se las presenta con el propósito de que se interpreten exclusivamente en relación con las cifras y otra información del período intermedio actual.”</w:t>
      </w:r>
    </w:p>
    <w:p>
      <w:pPr>
        <w:pStyle w:val="Heading3"/>
        <w:numPr>
          <w:ilvl w:val="0"/>
          <w:numId w:val="4"/>
        </w:numPr>
        <w:tabs>
          <w:tab w:pos="570" w:val="left" w:leader="none"/>
        </w:tabs>
        <w:spacing w:line="240" w:lineRule="auto" w:before="231" w:after="0"/>
        <w:ind w:left="570" w:right="0" w:hanging="282"/>
        <w:jc w:val="left"/>
        <w:rPr>
          <w:u w:val="none"/>
        </w:rPr>
      </w:pPr>
      <w:r>
        <w:rPr>
          <w:u w:val="single"/>
        </w:rPr>
        <w:t>“Responsabilidad</w:t>
      </w:r>
      <w:r>
        <w:rPr>
          <w:spacing w:val="-7"/>
          <w:u w:val="single"/>
        </w:rPr>
        <w:t> </w:t>
      </w:r>
      <w:r>
        <w:rPr>
          <w:u w:val="single"/>
        </w:rPr>
        <w:t>de</w:t>
      </w:r>
      <w:r>
        <w:rPr>
          <w:spacing w:val="-9"/>
          <w:u w:val="single"/>
        </w:rPr>
        <w:t> </w:t>
      </w:r>
      <w:r>
        <w:rPr>
          <w:u w:val="single"/>
        </w:rPr>
        <w:t>la</w:t>
      </w:r>
      <w:r>
        <w:rPr>
          <w:spacing w:val="-6"/>
          <w:u w:val="single"/>
        </w:rPr>
        <w:t> </w:t>
      </w:r>
      <w:r>
        <w:rPr>
          <w:spacing w:val="-2"/>
          <w:u w:val="single"/>
        </w:rPr>
        <w:t>Dirección”</w:t>
      </w:r>
    </w:p>
    <w:p>
      <w:pPr>
        <w:pStyle w:val="BodyText"/>
        <w:spacing w:before="1"/>
        <w:rPr>
          <w:rFonts w:ascii="Trebuchet MS"/>
          <w:b/>
          <w:sz w:val="20"/>
        </w:rPr>
      </w:pPr>
    </w:p>
    <w:p>
      <w:pPr>
        <w:spacing w:line="240" w:lineRule="auto" w:before="1"/>
        <w:ind w:left="571" w:right="130" w:firstLine="0"/>
        <w:jc w:val="both"/>
        <w:rPr>
          <w:rFonts w:ascii="Trebuchet MS" w:hAnsi="Trebuchet MS"/>
          <w:sz w:val="20"/>
        </w:rPr>
      </w:pPr>
      <w:r>
        <w:rPr>
          <w:rFonts w:ascii="Trebuchet MS" w:hAnsi="Trebuchet MS"/>
          <w:sz w:val="20"/>
        </w:rPr>
        <w:t>“El Directorio de la Sociedad es responsable de la preparación y presentación de los estados financieros intermedios condensados de la Sociedad de acuerdo con las Normas Internacionales de Información Financiera adoptadas por la Federación Argentina de Consejos Profesionales</w:t>
      </w:r>
      <w:r>
        <w:rPr>
          <w:rFonts w:ascii="Trebuchet MS" w:hAnsi="Trebuchet MS"/>
          <w:spacing w:val="-5"/>
          <w:sz w:val="20"/>
        </w:rPr>
        <w:t> </w:t>
      </w:r>
      <w:r>
        <w:rPr>
          <w:rFonts w:ascii="Trebuchet MS" w:hAnsi="Trebuchet MS"/>
          <w:sz w:val="20"/>
        </w:rPr>
        <w:t>de Ciencias</w:t>
      </w:r>
      <w:r>
        <w:rPr>
          <w:rFonts w:ascii="Trebuchet MS" w:hAnsi="Trebuchet MS"/>
          <w:spacing w:val="-5"/>
          <w:sz w:val="20"/>
        </w:rPr>
        <w:t> </w:t>
      </w:r>
      <w:r>
        <w:rPr>
          <w:rFonts w:ascii="Trebuchet MS" w:hAnsi="Trebuchet MS"/>
          <w:sz w:val="20"/>
        </w:rPr>
        <w:t>Económicas (F.A.C.P.C.E.)</w:t>
      </w:r>
      <w:r>
        <w:rPr>
          <w:rFonts w:ascii="Trebuchet MS" w:hAnsi="Trebuchet MS"/>
          <w:spacing w:val="-1"/>
          <w:sz w:val="20"/>
        </w:rPr>
        <w:t> </w:t>
      </w:r>
      <w:r>
        <w:rPr>
          <w:rFonts w:ascii="Trebuchet MS" w:hAnsi="Trebuchet MS"/>
          <w:sz w:val="20"/>
        </w:rPr>
        <w:t>como normas</w:t>
      </w:r>
      <w:r>
        <w:rPr>
          <w:rFonts w:ascii="Trebuchet MS" w:hAnsi="Trebuchet MS"/>
          <w:spacing w:val="-5"/>
          <w:sz w:val="20"/>
        </w:rPr>
        <w:t> </w:t>
      </w:r>
      <w:r>
        <w:rPr>
          <w:rFonts w:ascii="Trebuchet MS" w:hAnsi="Trebuchet MS"/>
          <w:sz w:val="20"/>
        </w:rPr>
        <w:t>contables profesionales,</w:t>
      </w:r>
      <w:r>
        <w:rPr>
          <w:rFonts w:ascii="Trebuchet MS" w:hAnsi="Trebuchet MS"/>
          <w:spacing w:val="-3"/>
          <w:sz w:val="20"/>
        </w:rPr>
        <w:t> </w:t>
      </w:r>
      <w:r>
        <w:rPr>
          <w:rFonts w:ascii="Trebuchet MS" w:hAnsi="Trebuchet MS"/>
          <w:sz w:val="20"/>
        </w:rPr>
        <w:t>tal como fueron aprobadas por el Consejo de Normas Internacionales de Contabilidad (“IASB”,</w:t>
      </w:r>
      <w:r>
        <w:rPr>
          <w:rFonts w:ascii="Trebuchet MS" w:hAnsi="Trebuchet MS"/>
          <w:spacing w:val="40"/>
          <w:sz w:val="20"/>
        </w:rPr>
        <w:t> </w:t>
      </w:r>
      <w:r>
        <w:rPr>
          <w:rFonts w:ascii="Trebuchet MS" w:hAnsi="Trebuchet MS"/>
          <w:sz w:val="20"/>
        </w:rPr>
        <w:t>por su sigla en inglés), e incorporadas por la Comisión Nacional de Valores a su normativa, y por lo tanto es responsable de la preparación y presentación de los estados financieros intermedios condensados adjuntos, de acuerdo con la Norma Internacional de Contabilidad</w:t>
      </w:r>
      <w:r>
        <w:rPr>
          <w:rFonts w:ascii="Trebuchet MS" w:hAnsi="Trebuchet MS"/>
          <w:spacing w:val="40"/>
          <w:sz w:val="20"/>
        </w:rPr>
        <w:t> </w:t>
      </w:r>
      <w:r>
        <w:rPr>
          <w:rFonts w:ascii="Trebuchet MS" w:hAnsi="Trebuchet MS"/>
          <w:sz w:val="20"/>
        </w:rPr>
        <w:t>34, “Información financiera intermedia”. Asimismo, el Directorio de la Sociedad es responsable del control interno que considere necesario para permitir la preparación de estados financieros intermedios condensados libres de incorrecciones significativas.”</w:t>
      </w:r>
    </w:p>
    <w:p>
      <w:pPr>
        <w:pStyle w:val="BodyText"/>
        <w:spacing w:before="136"/>
        <w:rPr>
          <w:rFonts w:ascii="Trebuchet MS"/>
          <w:sz w:val="20"/>
        </w:rPr>
      </w:pPr>
    </w:p>
    <w:p>
      <w:pPr>
        <w:pStyle w:val="Heading3"/>
        <w:numPr>
          <w:ilvl w:val="0"/>
          <w:numId w:val="4"/>
        </w:numPr>
        <w:tabs>
          <w:tab w:pos="570" w:val="left" w:leader="none"/>
        </w:tabs>
        <w:spacing w:line="240" w:lineRule="auto" w:before="1" w:after="0"/>
        <w:ind w:left="570" w:right="0" w:hanging="282"/>
        <w:jc w:val="left"/>
        <w:rPr>
          <w:u w:val="none"/>
        </w:rPr>
      </w:pPr>
      <w:r>
        <w:rPr>
          <w:u w:val="single"/>
        </w:rPr>
        <w:t>“Responsabilidad</w:t>
      </w:r>
      <w:r>
        <w:rPr>
          <w:spacing w:val="-7"/>
          <w:u w:val="single"/>
        </w:rPr>
        <w:t> </w:t>
      </w:r>
      <w:r>
        <w:rPr>
          <w:u w:val="single"/>
        </w:rPr>
        <w:t>de</w:t>
      </w:r>
      <w:r>
        <w:rPr>
          <w:spacing w:val="-9"/>
          <w:u w:val="single"/>
        </w:rPr>
        <w:t> </w:t>
      </w:r>
      <w:r>
        <w:rPr>
          <w:u w:val="single"/>
        </w:rPr>
        <w:t>los</w:t>
      </w:r>
      <w:r>
        <w:rPr>
          <w:spacing w:val="-5"/>
          <w:u w:val="single"/>
        </w:rPr>
        <w:t> </w:t>
      </w:r>
      <w:r>
        <w:rPr>
          <w:spacing w:val="-2"/>
          <w:u w:val="single"/>
        </w:rPr>
        <w:t>auditores”</w:t>
      </w:r>
    </w:p>
    <w:p>
      <w:pPr>
        <w:spacing w:line="240" w:lineRule="auto" w:before="185"/>
        <w:ind w:left="571" w:right="125" w:firstLine="0"/>
        <w:jc w:val="both"/>
        <w:rPr>
          <w:rFonts w:ascii="Trebuchet MS" w:hAnsi="Trebuchet MS"/>
          <w:sz w:val="20"/>
        </w:rPr>
      </w:pPr>
      <w:r>
        <w:rPr>
          <w:rFonts w:ascii="Trebuchet MS" w:hAnsi="Trebuchet MS"/>
          <w:sz w:val="20"/>
        </w:rPr>
        <w:t>“Nuestra responsabilidad consiste en emitir una conclusión sobre los estados financieros intermedios condensados adjuntos basada en nuestra revisión. Hemos llevado a cabo nuestra revisión de conformidad con las Normas Internacionales de Encargos de Revisión, adoptadas por la F.A.C.P.C.E. a través de la Resolución Técnica Nº 33, tal como fueron aprobadas por</w:t>
      </w:r>
      <w:r>
        <w:rPr>
          <w:rFonts w:ascii="Trebuchet MS" w:hAnsi="Trebuchet MS"/>
          <w:spacing w:val="-1"/>
          <w:sz w:val="20"/>
        </w:rPr>
        <w:t> </w:t>
      </w:r>
      <w:r>
        <w:rPr>
          <w:rFonts w:ascii="Trebuchet MS" w:hAnsi="Trebuchet MS"/>
          <w:sz w:val="20"/>
        </w:rPr>
        <w:t>el Consejo de Normas Internacionales de Auditoria y Aseguramiento (“IAASB” por su sigla en inglés) de la Federación Internacional de Contadores (“IFAC”, por su sigla en inglés). Dichas normas exigen que cumplamos los requerimientos de ética.”</w:t>
      </w:r>
    </w:p>
    <w:p>
      <w:pPr>
        <w:spacing w:line="240" w:lineRule="auto" w:before="190"/>
        <w:ind w:left="571" w:right="131" w:firstLine="0"/>
        <w:jc w:val="both"/>
        <w:rPr>
          <w:rFonts w:ascii="Trebuchet MS" w:hAnsi="Trebuchet MS"/>
          <w:sz w:val="20"/>
        </w:rPr>
      </w:pPr>
      <w:r>
        <w:rPr>
          <w:rFonts w:ascii="Trebuchet MS" w:hAnsi="Trebuchet MS"/>
          <w:sz w:val="20"/>
        </w:rPr>
        <w:t>“Una revisión de los estados financieros de períodos intermedios consiste en realizar indagaciones, principalmente a las personas responsables de los temas financieros y</w:t>
      </w:r>
      <w:r>
        <w:rPr>
          <w:rFonts w:ascii="Trebuchet MS" w:hAnsi="Trebuchet MS"/>
          <w:spacing w:val="40"/>
          <w:sz w:val="20"/>
        </w:rPr>
        <w:t> </w:t>
      </w:r>
      <w:r>
        <w:rPr>
          <w:rFonts w:ascii="Trebuchet MS" w:hAnsi="Trebuchet MS"/>
          <w:sz w:val="20"/>
        </w:rPr>
        <w:t>contables, y aplicar procedimientos analíticos y otros procedimientos de revisión. Una</w:t>
      </w:r>
      <w:r>
        <w:rPr>
          <w:rFonts w:ascii="Trebuchet MS" w:hAnsi="Trebuchet MS"/>
          <w:spacing w:val="80"/>
          <w:sz w:val="20"/>
        </w:rPr>
        <w:t> </w:t>
      </w:r>
      <w:r>
        <w:rPr>
          <w:rFonts w:ascii="Trebuchet MS" w:hAnsi="Trebuchet MS"/>
          <w:sz w:val="20"/>
        </w:rPr>
        <w:t>revisión tiene un alcance significativamente menor que el de una auditoria y, por consiguiente,</w:t>
      </w:r>
      <w:r>
        <w:rPr>
          <w:rFonts w:ascii="Trebuchet MS" w:hAnsi="Trebuchet MS"/>
          <w:spacing w:val="17"/>
          <w:sz w:val="20"/>
        </w:rPr>
        <w:t> </w:t>
      </w:r>
      <w:r>
        <w:rPr>
          <w:rFonts w:ascii="Trebuchet MS" w:hAnsi="Trebuchet MS"/>
          <w:sz w:val="20"/>
        </w:rPr>
        <w:t>no</w:t>
      </w:r>
      <w:r>
        <w:rPr>
          <w:rFonts w:ascii="Trebuchet MS" w:hAnsi="Trebuchet MS"/>
          <w:spacing w:val="21"/>
          <w:sz w:val="20"/>
        </w:rPr>
        <w:t> </w:t>
      </w:r>
      <w:r>
        <w:rPr>
          <w:rFonts w:ascii="Trebuchet MS" w:hAnsi="Trebuchet MS"/>
          <w:sz w:val="20"/>
        </w:rPr>
        <w:t>nos</w:t>
      </w:r>
      <w:r>
        <w:rPr>
          <w:rFonts w:ascii="Trebuchet MS" w:hAnsi="Trebuchet MS"/>
          <w:spacing w:val="19"/>
          <w:sz w:val="20"/>
        </w:rPr>
        <w:t> </w:t>
      </w:r>
      <w:r>
        <w:rPr>
          <w:rFonts w:ascii="Trebuchet MS" w:hAnsi="Trebuchet MS"/>
          <w:sz w:val="20"/>
        </w:rPr>
        <w:t>permite</w:t>
      </w:r>
      <w:r>
        <w:rPr>
          <w:rFonts w:ascii="Trebuchet MS" w:hAnsi="Trebuchet MS"/>
          <w:spacing w:val="19"/>
          <w:sz w:val="20"/>
        </w:rPr>
        <w:t> </w:t>
      </w:r>
      <w:r>
        <w:rPr>
          <w:rFonts w:ascii="Trebuchet MS" w:hAnsi="Trebuchet MS"/>
          <w:sz w:val="20"/>
        </w:rPr>
        <w:t>obtener</w:t>
      </w:r>
      <w:r>
        <w:rPr>
          <w:rFonts w:ascii="Trebuchet MS" w:hAnsi="Trebuchet MS"/>
          <w:spacing w:val="18"/>
          <w:sz w:val="20"/>
        </w:rPr>
        <w:t> </w:t>
      </w:r>
      <w:r>
        <w:rPr>
          <w:rFonts w:ascii="Trebuchet MS" w:hAnsi="Trebuchet MS"/>
          <w:sz w:val="20"/>
        </w:rPr>
        <w:t>seguridad</w:t>
      </w:r>
      <w:r>
        <w:rPr>
          <w:rFonts w:ascii="Trebuchet MS" w:hAnsi="Trebuchet MS"/>
          <w:spacing w:val="21"/>
          <w:sz w:val="20"/>
        </w:rPr>
        <w:t> </w:t>
      </w:r>
      <w:r>
        <w:rPr>
          <w:rFonts w:ascii="Trebuchet MS" w:hAnsi="Trebuchet MS"/>
          <w:sz w:val="20"/>
        </w:rPr>
        <w:t>de</w:t>
      </w:r>
      <w:r>
        <w:rPr>
          <w:rFonts w:ascii="Trebuchet MS" w:hAnsi="Trebuchet MS"/>
          <w:spacing w:val="19"/>
          <w:sz w:val="20"/>
        </w:rPr>
        <w:t> </w:t>
      </w:r>
      <w:r>
        <w:rPr>
          <w:rFonts w:ascii="Trebuchet MS" w:hAnsi="Trebuchet MS"/>
          <w:sz w:val="20"/>
        </w:rPr>
        <w:t>que</w:t>
      </w:r>
      <w:r>
        <w:rPr>
          <w:rFonts w:ascii="Trebuchet MS" w:hAnsi="Trebuchet MS"/>
          <w:spacing w:val="19"/>
          <w:sz w:val="20"/>
        </w:rPr>
        <w:t> </w:t>
      </w:r>
      <w:r>
        <w:rPr>
          <w:rFonts w:ascii="Trebuchet MS" w:hAnsi="Trebuchet MS"/>
          <w:sz w:val="20"/>
        </w:rPr>
        <w:t>tomemos conocimiento</w:t>
      </w:r>
      <w:r>
        <w:rPr>
          <w:rFonts w:ascii="Trebuchet MS" w:hAnsi="Trebuchet MS"/>
          <w:spacing w:val="21"/>
          <w:sz w:val="20"/>
        </w:rPr>
        <w:t> </w:t>
      </w:r>
      <w:r>
        <w:rPr>
          <w:rFonts w:ascii="Trebuchet MS" w:hAnsi="Trebuchet MS"/>
          <w:sz w:val="20"/>
        </w:rPr>
        <w:t>de</w:t>
      </w:r>
      <w:r>
        <w:rPr>
          <w:rFonts w:ascii="Trebuchet MS" w:hAnsi="Trebuchet MS"/>
          <w:spacing w:val="19"/>
          <w:sz w:val="20"/>
        </w:rPr>
        <w:t> </w:t>
      </w:r>
      <w:r>
        <w:rPr>
          <w:rFonts w:ascii="Trebuchet MS" w:hAnsi="Trebuchet MS"/>
          <w:sz w:val="20"/>
        </w:rPr>
        <w:t>todos</w:t>
      </w:r>
      <w:r>
        <w:rPr>
          <w:rFonts w:ascii="Trebuchet MS" w:hAnsi="Trebuchet MS"/>
          <w:spacing w:val="19"/>
          <w:sz w:val="20"/>
        </w:rPr>
        <w:t> </w:t>
      </w:r>
      <w:r>
        <w:rPr>
          <w:rFonts w:ascii="Trebuchet MS" w:hAnsi="Trebuchet MS"/>
          <w:sz w:val="20"/>
        </w:rPr>
        <w:t>los</w:t>
      </w:r>
    </w:p>
    <w:p>
      <w:pPr>
        <w:spacing w:after="0" w:line="240" w:lineRule="auto"/>
        <w:jc w:val="both"/>
        <w:rPr>
          <w:rFonts w:ascii="Trebuchet MS" w:hAnsi="Trebuchet MS"/>
          <w:sz w:val="20"/>
        </w:rPr>
        <w:sectPr>
          <w:pgSz w:w="11910" w:h="16840"/>
          <w:pgMar w:header="509" w:footer="0" w:top="2000" w:bottom="280" w:left="1700" w:right="992"/>
        </w:sectPr>
      </w:pPr>
    </w:p>
    <w:p>
      <w:pPr>
        <w:pStyle w:val="BodyText"/>
        <w:spacing w:before="56"/>
        <w:rPr>
          <w:rFonts w:ascii="Trebuchet MS"/>
          <w:sz w:val="20"/>
        </w:rPr>
      </w:pPr>
    </w:p>
    <w:p>
      <w:pPr>
        <w:spacing w:before="0"/>
        <w:ind w:left="571" w:right="0" w:firstLine="0"/>
        <w:jc w:val="left"/>
        <w:rPr>
          <w:rFonts w:ascii="Trebuchet MS" w:hAnsi="Trebuchet MS"/>
          <w:sz w:val="20"/>
        </w:rPr>
      </w:pPr>
      <w:r>
        <w:rPr>
          <w:rFonts w:ascii="Trebuchet MS" w:hAnsi="Trebuchet MS"/>
          <w:sz w:val="20"/>
        </w:rPr>
        <w:t>temas</w:t>
      </w:r>
      <w:r>
        <w:rPr>
          <w:rFonts w:ascii="Trebuchet MS" w:hAnsi="Trebuchet MS"/>
          <w:spacing w:val="80"/>
          <w:sz w:val="20"/>
        </w:rPr>
        <w:t> </w:t>
      </w:r>
      <w:r>
        <w:rPr>
          <w:rFonts w:ascii="Trebuchet MS" w:hAnsi="Trebuchet MS"/>
          <w:sz w:val="20"/>
        </w:rPr>
        <w:t>significativos</w:t>
      </w:r>
      <w:r>
        <w:rPr>
          <w:rFonts w:ascii="Trebuchet MS" w:hAnsi="Trebuchet MS"/>
          <w:spacing w:val="80"/>
          <w:sz w:val="20"/>
        </w:rPr>
        <w:t> </w:t>
      </w:r>
      <w:r>
        <w:rPr>
          <w:rFonts w:ascii="Trebuchet MS" w:hAnsi="Trebuchet MS"/>
          <w:sz w:val="20"/>
        </w:rPr>
        <w:t>que</w:t>
      </w:r>
      <w:r>
        <w:rPr>
          <w:rFonts w:ascii="Trebuchet MS" w:hAnsi="Trebuchet MS"/>
          <w:spacing w:val="80"/>
          <w:sz w:val="20"/>
        </w:rPr>
        <w:t> </w:t>
      </w:r>
      <w:r>
        <w:rPr>
          <w:rFonts w:ascii="Trebuchet MS" w:hAnsi="Trebuchet MS"/>
          <w:sz w:val="20"/>
        </w:rPr>
        <w:t>podrían</w:t>
      </w:r>
      <w:r>
        <w:rPr>
          <w:rFonts w:ascii="Trebuchet MS" w:hAnsi="Trebuchet MS"/>
          <w:spacing w:val="80"/>
          <w:sz w:val="20"/>
        </w:rPr>
        <w:t> </w:t>
      </w:r>
      <w:r>
        <w:rPr>
          <w:rFonts w:ascii="Trebuchet MS" w:hAnsi="Trebuchet MS"/>
          <w:sz w:val="20"/>
        </w:rPr>
        <w:t>identificarse</w:t>
      </w:r>
      <w:r>
        <w:rPr>
          <w:rFonts w:ascii="Trebuchet MS" w:hAnsi="Trebuchet MS"/>
          <w:spacing w:val="80"/>
          <w:sz w:val="20"/>
        </w:rPr>
        <w:t> </w:t>
      </w:r>
      <w:r>
        <w:rPr>
          <w:rFonts w:ascii="Trebuchet MS" w:hAnsi="Trebuchet MS"/>
          <w:sz w:val="20"/>
        </w:rPr>
        <w:t>en</w:t>
      </w:r>
      <w:r>
        <w:rPr>
          <w:rFonts w:ascii="Trebuchet MS" w:hAnsi="Trebuchet MS"/>
          <w:spacing w:val="80"/>
          <w:sz w:val="20"/>
        </w:rPr>
        <w:t> </w:t>
      </w:r>
      <w:r>
        <w:rPr>
          <w:rFonts w:ascii="Trebuchet MS" w:hAnsi="Trebuchet MS"/>
          <w:sz w:val="20"/>
        </w:rPr>
        <w:t>una</w:t>
      </w:r>
      <w:r>
        <w:rPr>
          <w:rFonts w:ascii="Trebuchet MS" w:hAnsi="Trebuchet MS"/>
          <w:spacing w:val="80"/>
          <w:sz w:val="20"/>
        </w:rPr>
        <w:t> </w:t>
      </w:r>
      <w:r>
        <w:rPr>
          <w:rFonts w:ascii="Trebuchet MS" w:hAnsi="Trebuchet MS"/>
          <w:sz w:val="20"/>
        </w:rPr>
        <w:t>auditoria.</w:t>
      </w:r>
      <w:r>
        <w:rPr>
          <w:rFonts w:ascii="Trebuchet MS" w:hAnsi="Trebuchet MS"/>
          <w:spacing w:val="80"/>
          <w:sz w:val="20"/>
        </w:rPr>
        <w:t> </w:t>
      </w:r>
      <w:r>
        <w:rPr>
          <w:rFonts w:ascii="Trebuchet MS" w:hAnsi="Trebuchet MS"/>
          <w:sz w:val="20"/>
        </w:rPr>
        <w:t>En</w:t>
      </w:r>
      <w:r>
        <w:rPr>
          <w:rFonts w:ascii="Trebuchet MS" w:hAnsi="Trebuchet MS"/>
          <w:spacing w:val="80"/>
          <w:sz w:val="20"/>
        </w:rPr>
        <w:t> </w:t>
      </w:r>
      <w:r>
        <w:rPr>
          <w:rFonts w:ascii="Trebuchet MS" w:hAnsi="Trebuchet MS"/>
          <w:sz w:val="20"/>
        </w:rPr>
        <w:t>consecuencia,</w:t>
      </w:r>
      <w:r>
        <w:rPr>
          <w:rFonts w:ascii="Trebuchet MS" w:hAnsi="Trebuchet MS"/>
          <w:spacing w:val="80"/>
          <w:sz w:val="20"/>
        </w:rPr>
        <w:t> </w:t>
      </w:r>
      <w:r>
        <w:rPr>
          <w:rFonts w:ascii="Trebuchet MS" w:hAnsi="Trebuchet MS"/>
          <w:sz w:val="20"/>
        </w:rPr>
        <w:t>no expresamos una opinión de auditoría.”</w:t>
      </w:r>
    </w:p>
    <w:p>
      <w:pPr>
        <w:pStyle w:val="BodyText"/>
        <w:spacing w:before="139"/>
        <w:rPr>
          <w:rFonts w:ascii="Trebuchet MS"/>
          <w:sz w:val="20"/>
        </w:rPr>
      </w:pPr>
    </w:p>
    <w:p>
      <w:pPr>
        <w:pStyle w:val="Heading3"/>
        <w:numPr>
          <w:ilvl w:val="0"/>
          <w:numId w:val="4"/>
        </w:numPr>
        <w:tabs>
          <w:tab w:pos="570" w:val="left" w:leader="none"/>
        </w:tabs>
        <w:spacing w:line="240" w:lineRule="auto" w:before="0" w:after="0"/>
        <w:ind w:left="570" w:right="0" w:hanging="282"/>
        <w:jc w:val="left"/>
        <w:rPr>
          <w:u w:val="none"/>
        </w:rPr>
      </w:pPr>
      <w:r>
        <w:rPr>
          <w:spacing w:val="-2"/>
          <w:u w:val="single"/>
        </w:rPr>
        <w:t>“Conclusión”</w:t>
      </w:r>
    </w:p>
    <w:p>
      <w:pPr>
        <w:spacing w:before="185"/>
        <w:ind w:left="571" w:right="0" w:firstLine="0"/>
        <w:jc w:val="left"/>
        <w:rPr>
          <w:rFonts w:ascii="Trebuchet MS" w:hAnsi="Trebuchet MS"/>
          <w:sz w:val="20"/>
        </w:rPr>
      </w:pPr>
      <w:r>
        <w:rPr>
          <w:rFonts w:ascii="Trebuchet MS" w:hAnsi="Trebuchet MS"/>
          <w:sz w:val="20"/>
        </w:rPr>
        <w:t>“Sobre</w:t>
      </w:r>
      <w:r>
        <w:rPr>
          <w:rFonts w:ascii="Trebuchet MS" w:hAnsi="Trebuchet MS"/>
          <w:spacing w:val="-8"/>
          <w:sz w:val="20"/>
        </w:rPr>
        <w:t> </w:t>
      </w:r>
      <w:r>
        <w:rPr>
          <w:rFonts w:ascii="Trebuchet MS" w:hAnsi="Trebuchet MS"/>
          <w:sz w:val="20"/>
        </w:rPr>
        <w:t>la</w:t>
      </w:r>
      <w:r>
        <w:rPr>
          <w:rFonts w:ascii="Trebuchet MS" w:hAnsi="Trebuchet MS"/>
          <w:spacing w:val="-6"/>
          <w:sz w:val="20"/>
        </w:rPr>
        <w:t> </w:t>
      </w:r>
      <w:r>
        <w:rPr>
          <w:rFonts w:ascii="Trebuchet MS" w:hAnsi="Trebuchet MS"/>
          <w:sz w:val="20"/>
        </w:rPr>
        <w:t>base</w:t>
      </w:r>
      <w:r>
        <w:rPr>
          <w:rFonts w:ascii="Trebuchet MS" w:hAnsi="Trebuchet MS"/>
          <w:spacing w:val="-5"/>
          <w:sz w:val="20"/>
        </w:rPr>
        <w:t> </w:t>
      </w:r>
      <w:r>
        <w:rPr>
          <w:rFonts w:ascii="Trebuchet MS" w:hAnsi="Trebuchet MS"/>
          <w:sz w:val="20"/>
        </w:rPr>
        <w:t>de</w:t>
      </w:r>
      <w:r>
        <w:rPr>
          <w:rFonts w:ascii="Trebuchet MS" w:hAnsi="Trebuchet MS"/>
          <w:spacing w:val="-9"/>
          <w:sz w:val="20"/>
        </w:rPr>
        <w:t> </w:t>
      </w:r>
      <w:r>
        <w:rPr>
          <w:rFonts w:ascii="Trebuchet MS" w:hAnsi="Trebuchet MS"/>
          <w:sz w:val="20"/>
        </w:rPr>
        <w:t>nuestra</w:t>
      </w:r>
      <w:r>
        <w:rPr>
          <w:rFonts w:ascii="Trebuchet MS" w:hAnsi="Trebuchet MS"/>
          <w:spacing w:val="-6"/>
          <w:sz w:val="20"/>
        </w:rPr>
        <w:t> </w:t>
      </w:r>
      <w:r>
        <w:rPr>
          <w:rFonts w:ascii="Trebuchet MS" w:hAnsi="Trebuchet MS"/>
          <w:sz w:val="20"/>
        </w:rPr>
        <w:t>revisión,</w:t>
      </w:r>
      <w:r>
        <w:rPr>
          <w:rFonts w:ascii="Trebuchet MS" w:hAnsi="Trebuchet MS"/>
          <w:spacing w:val="-11"/>
          <w:sz w:val="20"/>
        </w:rPr>
        <w:t> </w:t>
      </w:r>
      <w:r>
        <w:rPr>
          <w:rFonts w:ascii="Trebuchet MS" w:hAnsi="Trebuchet MS"/>
          <w:sz w:val="20"/>
        </w:rPr>
        <w:t>estamos</w:t>
      </w:r>
      <w:r>
        <w:rPr>
          <w:rFonts w:ascii="Trebuchet MS" w:hAnsi="Trebuchet MS"/>
          <w:spacing w:val="-6"/>
          <w:sz w:val="20"/>
        </w:rPr>
        <w:t> </w:t>
      </w:r>
      <w:r>
        <w:rPr>
          <w:rFonts w:ascii="Trebuchet MS" w:hAnsi="Trebuchet MS"/>
          <w:sz w:val="20"/>
        </w:rPr>
        <w:t>en</w:t>
      </w:r>
      <w:r>
        <w:rPr>
          <w:rFonts w:ascii="Trebuchet MS" w:hAnsi="Trebuchet MS"/>
          <w:spacing w:val="-6"/>
          <w:sz w:val="20"/>
        </w:rPr>
        <w:t> </w:t>
      </w:r>
      <w:r>
        <w:rPr>
          <w:rFonts w:ascii="Trebuchet MS" w:hAnsi="Trebuchet MS"/>
          <w:sz w:val="20"/>
        </w:rPr>
        <w:t>condiciones</w:t>
      </w:r>
      <w:r>
        <w:rPr>
          <w:rFonts w:ascii="Trebuchet MS" w:hAnsi="Trebuchet MS"/>
          <w:spacing w:val="-9"/>
          <w:sz w:val="20"/>
        </w:rPr>
        <w:t> </w:t>
      </w:r>
      <w:r>
        <w:rPr>
          <w:rFonts w:ascii="Trebuchet MS" w:hAnsi="Trebuchet MS"/>
          <w:sz w:val="20"/>
        </w:rPr>
        <w:t>de</w:t>
      </w:r>
      <w:r>
        <w:rPr>
          <w:rFonts w:ascii="Trebuchet MS" w:hAnsi="Trebuchet MS"/>
          <w:spacing w:val="-10"/>
          <w:sz w:val="20"/>
        </w:rPr>
        <w:t> </w:t>
      </w:r>
      <w:r>
        <w:rPr>
          <w:rFonts w:ascii="Trebuchet MS" w:hAnsi="Trebuchet MS"/>
          <w:sz w:val="20"/>
        </w:rPr>
        <w:t>manifestar</w:t>
      </w:r>
      <w:r>
        <w:rPr>
          <w:rFonts w:ascii="Trebuchet MS" w:hAnsi="Trebuchet MS"/>
          <w:spacing w:val="-6"/>
          <w:sz w:val="20"/>
        </w:rPr>
        <w:t> </w:t>
      </w:r>
      <w:r>
        <w:rPr>
          <w:rFonts w:ascii="Trebuchet MS" w:hAnsi="Trebuchet MS"/>
          <w:spacing w:val="-2"/>
          <w:sz w:val="20"/>
        </w:rPr>
        <w:t>que:”</w:t>
      </w:r>
    </w:p>
    <w:p>
      <w:pPr>
        <w:pStyle w:val="ListParagraph"/>
        <w:numPr>
          <w:ilvl w:val="1"/>
          <w:numId w:val="4"/>
        </w:numPr>
        <w:tabs>
          <w:tab w:pos="852" w:val="left" w:leader="none"/>
          <w:tab w:pos="854" w:val="left" w:leader="none"/>
        </w:tabs>
        <w:spacing w:line="240" w:lineRule="auto" w:before="186" w:after="0"/>
        <w:ind w:left="854" w:right="125" w:hanging="284"/>
        <w:jc w:val="both"/>
        <w:rPr>
          <w:rFonts w:ascii="Trebuchet MS" w:hAnsi="Trebuchet MS"/>
          <w:sz w:val="20"/>
        </w:rPr>
      </w:pPr>
      <w:r>
        <w:rPr>
          <w:rFonts w:ascii="Trebuchet MS" w:hAnsi="Trebuchet MS"/>
          <w:sz w:val="20"/>
        </w:rPr>
        <w:t>“no se nos han presentado circunstancias que nos hicieran pensar que los estados financieros intermedios consolidados condensados adjuntos de </w:t>
      </w:r>
      <w:r>
        <w:rPr>
          <w:rFonts w:ascii="Trebuchet MS" w:hAnsi="Trebuchet MS"/>
          <w:b/>
          <w:sz w:val="20"/>
        </w:rPr>
        <w:t>CELULOSA ARGENTINA SOCIEDAD ANONIMA </w:t>
      </w:r>
      <w:r>
        <w:rPr>
          <w:rFonts w:ascii="Trebuchet MS" w:hAnsi="Trebuchet MS"/>
          <w:sz w:val="20"/>
        </w:rPr>
        <w:t>correspondientes al período de tres meses finalizado el 31 de agosto de 2025 no están preparados, en todos sus aspectos significativos, de acuerdo con la</w:t>
      </w:r>
      <w:r>
        <w:rPr>
          <w:rFonts w:ascii="Trebuchet MS" w:hAnsi="Trebuchet MS"/>
          <w:spacing w:val="40"/>
          <w:sz w:val="20"/>
        </w:rPr>
        <w:t> </w:t>
      </w:r>
      <w:r>
        <w:rPr>
          <w:rFonts w:ascii="Trebuchet MS" w:hAnsi="Trebuchet MS"/>
          <w:sz w:val="20"/>
        </w:rPr>
        <w:t>Norma Internacional de Contabilidad 34.”</w:t>
      </w:r>
    </w:p>
    <w:p>
      <w:pPr>
        <w:pStyle w:val="ListParagraph"/>
        <w:numPr>
          <w:ilvl w:val="1"/>
          <w:numId w:val="4"/>
        </w:numPr>
        <w:tabs>
          <w:tab w:pos="852" w:val="left" w:leader="none"/>
          <w:tab w:pos="854" w:val="left" w:leader="none"/>
        </w:tabs>
        <w:spacing w:line="240" w:lineRule="auto" w:before="231" w:after="0"/>
        <w:ind w:left="854" w:right="125" w:hanging="284"/>
        <w:jc w:val="both"/>
        <w:rPr>
          <w:rFonts w:ascii="Trebuchet MS" w:hAnsi="Trebuchet MS"/>
          <w:sz w:val="20"/>
        </w:rPr>
      </w:pPr>
      <w:r>
        <w:rPr>
          <w:rFonts w:ascii="Trebuchet MS" w:hAnsi="Trebuchet MS"/>
          <w:sz w:val="20"/>
        </w:rPr>
        <w:t>“no se nos han presentado circunstancias que nos hicieran pensar que los estados financieros intermedios separados condensados adjuntos de </w:t>
      </w:r>
      <w:r>
        <w:rPr>
          <w:rFonts w:ascii="Trebuchet MS" w:hAnsi="Trebuchet MS"/>
          <w:b/>
          <w:sz w:val="20"/>
        </w:rPr>
        <w:t>CELULOSA ARGENTINA SOCIEDAD ANONIMA </w:t>
      </w:r>
      <w:r>
        <w:rPr>
          <w:rFonts w:ascii="Trebuchet MS" w:hAnsi="Trebuchet MS"/>
          <w:sz w:val="20"/>
        </w:rPr>
        <w:t>correspondientes al período de tres meses finalizado el 31 de agosto de 2025 no están preparados, en todos sus aspectos significativos, de acuerdo con</w:t>
      </w:r>
      <w:r>
        <w:rPr>
          <w:rFonts w:ascii="Trebuchet MS" w:hAnsi="Trebuchet MS"/>
          <w:spacing w:val="40"/>
          <w:sz w:val="20"/>
        </w:rPr>
        <w:t> </w:t>
      </w:r>
      <w:r>
        <w:rPr>
          <w:rFonts w:ascii="Trebuchet MS" w:hAnsi="Trebuchet MS"/>
          <w:sz w:val="20"/>
        </w:rPr>
        <w:t>la Norma Internacional de Contabilidad 34.”</w:t>
      </w:r>
    </w:p>
    <w:p>
      <w:pPr>
        <w:pStyle w:val="Heading3"/>
        <w:numPr>
          <w:ilvl w:val="0"/>
          <w:numId w:val="4"/>
        </w:numPr>
        <w:tabs>
          <w:tab w:pos="570" w:val="left" w:leader="none"/>
        </w:tabs>
        <w:spacing w:line="240" w:lineRule="auto" w:before="188" w:after="0"/>
        <w:ind w:left="570" w:right="0" w:hanging="282"/>
        <w:jc w:val="left"/>
        <w:rPr>
          <w:u w:val="none"/>
        </w:rPr>
      </w:pPr>
      <w:r>
        <w:rPr>
          <w:u w:val="single"/>
        </w:rPr>
        <w:t>“Párrafo</w:t>
      </w:r>
      <w:r>
        <w:rPr>
          <w:spacing w:val="-6"/>
          <w:u w:val="single"/>
        </w:rPr>
        <w:t> </w:t>
      </w:r>
      <w:r>
        <w:rPr>
          <w:u w:val="single"/>
        </w:rPr>
        <w:t>en</w:t>
      </w:r>
      <w:r>
        <w:rPr>
          <w:spacing w:val="-4"/>
          <w:u w:val="single"/>
        </w:rPr>
        <w:t> </w:t>
      </w:r>
      <w:r>
        <w:rPr>
          <w:spacing w:val="-2"/>
          <w:u w:val="single"/>
        </w:rPr>
        <w:t>énfasis”</w:t>
      </w:r>
    </w:p>
    <w:p>
      <w:pPr>
        <w:pStyle w:val="BodyText"/>
        <w:spacing w:before="1"/>
        <w:rPr>
          <w:rFonts w:ascii="Trebuchet MS"/>
          <w:b/>
          <w:sz w:val="20"/>
        </w:rPr>
      </w:pPr>
    </w:p>
    <w:p>
      <w:pPr>
        <w:spacing w:before="0"/>
        <w:ind w:left="571" w:right="0" w:firstLine="0"/>
        <w:jc w:val="left"/>
        <w:rPr>
          <w:rFonts w:ascii="Trebuchet MS" w:hAnsi="Trebuchet MS"/>
          <w:sz w:val="20"/>
        </w:rPr>
      </w:pPr>
      <w:r>
        <w:rPr>
          <w:rFonts w:ascii="Trebuchet MS" w:hAnsi="Trebuchet MS"/>
          <w:sz w:val="20"/>
        </w:rPr>
        <w:t>“Sin</w:t>
      </w:r>
      <w:r>
        <w:rPr>
          <w:rFonts w:ascii="Trebuchet MS" w:hAnsi="Trebuchet MS"/>
          <w:spacing w:val="-8"/>
          <w:sz w:val="20"/>
        </w:rPr>
        <w:t> </w:t>
      </w:r>
      <w:r>
        <w:rPr>
          <w:rFonts w:ascii="Trebuchet MS" w:hAnsi="Trebuchet MS"/>
          <w:sz w:val="20"/>
        </w:rPr>
        <w:t>modificar</w:t>
      </w:r>
      <w:r>
        <w:rPr>
          <w:rFonts w:ascii="Trebuchet MS" w:hAnsi="Trebuchet MS"/>
          <w:spacing w:val="-13"/>
          <w:sz w:val="20"/>
        </w:rPr>
        <w:t> </w:t>
      </w:r>
      <w:r>
        <w:rPr>
          <w:rFonts w:ascii="Trebuchet MS" w:hAnsi="Trebuchet MS"/>
          <w:sz w:val="20"/>
        </w:rPr>
        <w:t>nuestra</w:t>
      </w:r>
      <w:r>
        <w:rPr>
          <w:rFonts w:ascii="Trebuchet MS" w:hAnsi="Trebuchet MS"/>
          <w:spacing w:val="-7"/>
          <w:sz w:val="20"/>
        </w:rPr>
        <w:t> </w:t>
      </w:r>
      <w:r>
        <w:rPr>
          <w:rFonts w:ascii="Trebuchet MS" w:hAnsi="Trebuchet MS"/>
          <w:sz w:val="20"/>
        </w:rPr>
        <w:t>conclusión,</w:t>
      </w:r>
      <w:r>
        <w:rPr>
          <w:rFonts w:ascii="Trebuchet MS" w:hAnsi="Trebuchet MS"/>
          <w:spacing w:val="-10"/>
          <w:sz w:val="20"/>
        </w:rPr>
        <w:t> </w:t>
      </w:r>
      <w:r>
        <w:rPr>
          <w:rFonts w:ascii="Trebuchet MS" w:hAnsi="Trebuchet MS"/>
          <w:sz w:val="20"/>
        </w:rPr>
        <w:t>queremos</w:t>
      </w:r>
      <w:r>
        <w:rPr>
          <w:rFonts w:ascii="Trebuchet MS" w:hAnsi="Trebuchet MS"/>
          <w:spacing w:val="-8"/>
          <w:sz w:val="20"/>
        </w:rPr>
        <w:t> </w:t>
      </w:r>
      <w:r>
        <w:rPr>
          <w:rFonts w:ascii="Trebuchet MS" w:hAnsi="Trebuchet MS"/>
          <w:spacing w:val="-2"/>
          <w:sz w:val="20"/>
        </w:rPr>
        <w:t>enfatizar:”</w:t>
      </w:r>
    </w:p>
    <w:p>
      <w:pPr>
        <w:pStyle w:val="ListParagraph"/>
        <w:numPr>
          <w:ilvl w:val="1"/>
          <w:numId w:val="4"/>
        </w:numPr>
        <w:tabs>
          <w:tab w:pos="991" w:val="left" w:leader="none"/>
          <w:tab w:pos="998" w:val="left" w:leader="none"/>
        </w:tabs>
        <w:spacing w:line="240" w:lineRule="auto" w:before="229" w:after="0"/>
        <w:ind w:left="998" w:right="128" w:hanging="284"/>
        <w:jc w:val="both"/>
        <w:rPr>
          <w:rFonts w:ascii="Trebuchet MS" w:hAnsi="Trebuchet MS"/>
          <w:sz w:val="20"/>
        </w:rPr>
      </w:pPr>
      <w:r>
        <w:rPr>
          <w:rFonts w:ascii="Trebuchet MS" w:hAnsi="Trebuchet MS"/>
          <w:sz w:val="20"/>
        </w:rPr>
        <w:t>“Tal cómo se detalla en la nota 1.b) a los estados financieros consolidados y separados adjuntos, el contexto económico-financiero adverso ha tenido un impacto extremadamente negativo en el negocio del Grupo, reflejándose en los resultados económicos</w:t>
      </w:r>
      <w:r>
        <w:rPr>
          <w:rFonts w:ascii="Trebuchet MS" w:hAnsi="Trebuchet MS"/>
          <w:spacing w:val="-1"/>
          <w:sz w:val="20"/>
        </w:rPr>
        <w:t> </w:t>
      </w:r>
      <w:r>
        <w:rPr>
          <w:rFonts w:ascii="Trebuchet MS" w:hAnsi="Trebuchet MS"/>
          <w:sz w:val="20"/>
        </w:rPr>
        <w:t>y en la generación de caja. Dicho contexto y desafíos, llevaron a la Sociedad controlante a solicitar el concurso preventivo de acreedores con fecha 5 de septiembre ante el</w:t>
      </w:r>
      <w:r>
        <w:rPr>
          <w:rFonts w:ascii="Trebuchet MS" w:hAnsi="Trebuchet MS"/>
          <w:spacing w:val="-1"/>
          <w:sz w:val="20"/>
        </w:rPr>
        <w:t> </w:t>
      </w:r>
      <w:r>
        <w:rPr>
          <w:rFonts w:ascii="Trebuchet MS" w:hAnsi="Trebuchet MS"/>
          <w:sz w:val="20"/>
        </w:rPr>
        <w:t>Juzgado de Primera</w:t>
      </w:r>
      <w:r>
        <w:rPr>
          <w:rFonts w:ascii="Trebuchet MS" w:hAnsi="Trebuchet MS"/>
          <w:spacing w:val="-4"/>
          <w:sz w:val="20"/>
        </w:rPr>
        <w:t> </w:t>
      </w:r>
      <w:r>
        <w:rPr>
          <w:rFonts w:ascii="Trebuchet MS" w:hAnsi="Trebuchet MS"/>
          <w:sz w:val="20"/>
        </w:rPr>
        <w:t>Instancia</w:t>
      </w:r>
      <w:r>
        <w:rPr>
          <w:rFonts w:ascii="Trebuchet MS" w:hAnsi="Trebuchet MS"/>
          <w:spacing w:val="-4"/>
          <w:sz w:val="20"/>
        </w:rPr>
        <w:t> </w:t>
      </w:r>
      <w:r>
        <w:rPr>
          <w:rFonts w:ascii="Trebuchet MS" w:hAnsi="Trebuchet MS"/>
          <w:sz w:val="20"/>
        </w:rPr>
        <w:t>en lo</w:t>
      </w:r>
      <w:r>
        <w:rPr>
          <w:rFonts w:ascii="Trebuchet MS" w:hAnsi="Trebuchet MS"/>
          <w:spacing w:val="-2"/>
          <w:sz w:val="20"/>
        </w:rPr>
        <w:t> </w:t>
      </w:r>
      <w:r>
        <w:rPr>
          <w:rFonts w:ascii="Trebuchet MS" w:hAnsi="Trebuchet MS"/>
          <w:sz w:val="20"/>
        </w:rPr>
        <w:t>Civil</w:t>
      </w:r>
      <w:r>
        <w:rPr>
          <w:rFonts w:ascii="Trebuchet MS" w:hAnsi="Trebuchet MS"/>
          <w:spacing w:val="-6"/>
          <w:sz w:val="20"/>
        </w:rPr>
        <w:t> </w:t>
      </w:r>
      <w:r>
        <w:rPr>
          <w:rFonts w:ascii="Trebuchet MS" w:hAnsi="Trebuchet MS"/>
          <w:sz w:val="20"/>
        </w:rPr>
        <w:t>y Comercial</w:t>
      </w:r>
      <w:r>
        <w:rPr>
          <w:rFonts w:ascii="Trebuchet MS" w:hAnsi="Trebuchet MS"/>
          <w:spacing w:val="-1"/>
          <w:sz w:val="20"/>
        </w:rPr>
        <w:t> </w:t>
      </w:r>
      <w:r>
        <w:rPr>
          <w:rFonts w:ascii="Trebuchet MS" w:hAnsi="Trebuchet MS"/>
          <w:sz w:val="20"/>
        </w:rPr>
        <w:t>de la Primera Nominación de San</w:t>
      </w:r>
      <w:r>
        <w:rPr>
          <w:rFonts w:ascii="Trebuchet MS" w:hAnsi="Trebuchet MS"/>
          <w:spacing w:val="-1"/>
          <w:sz w:val="20"/>
        </w:rPr>
        <w:t> </w:t>
      </w:r>
      <w:r>
        <w:rPr>
          <w:rFonts w:ascii="Trebuchet MS" w:hAnsi="Trebuchet MS"/>
          <w:sz w:val="20"/>
        </w:rPr>
        <w:t>Lorenzo</w:t>
      </w:r>
      <w:r>
        <w:rPr>
          <w:rFonts w:ascii="Trebuchet MS" w:hAnsi="Trebuchet MS"/>
          <w:spacing w:val="-2"/>
          <w:sz w:val="20"/>
        </w:rPr>
        <w:t> </w:t>
      </w:r>
      <w:r>
        <w:rPr>
          <w:rFonts w:ascii="Trebuchet MS" w:hAnsi="Trebuchet MS"/>
          <w:sz w:val="20"/>
        </w:rPr>
        <w:t>y</w:t>
      </w:r>
      <w:r>
        <w:rPr>
          <w:rFonts w:ascii="Trebuchet MS" w:hAnsi="Trebuchet MS"/>
          <w:spacing w:val="-3"/>
          <w:sz w:val="20"/>
        </w:rPr>
        <w:t> </w:t>
      </w:r>
      <w:r>
        <w:rPr>
          <w:rFonts w:ascii="Trebuchet MS" w:hAnsi="Trebuchet MS"/>
          <w:sz w:val="20"/>
        </w:rPr>
        <w:t>que</w:t>
      </w:r>
      <w:r>
        <w:rPr>
          <w:rFonts w:ascii="Trebuchet MS" w:hAnsi="Trebuchet MS"/>
          <w:spacing w:val="-4"/>
          <w:sz w:val="20"/>
        </w:rPr>
        <w:t> </w:t>
      </w:r>
      <w:r>
        <w:rPr>
          <w:rFonts w:ascii="Trebuchet MS" w:hAnsi="Trebuchet MS"/>
          <w:sz w:val="20"/>
        </w:rPr>
        <w:t>fuera</w:t>
      </w:r>
      <w:r>
        <w:rPr>
          <w:rFonts w:ascii="Trebuchet MS" w:hAnsi="Trebuchet MS"/>
          <w:spacing w:val="-5"/>
          <w:sz w:val="20"/>
        </w:rPr>
        <w:t> </w:t>
      </w:r>
      <w:r>
        <w:rPr>
          <w:rFonts w:ascii="Trebuchet MS" w:hAnsi="Trebuchet MS"/>
          <w:sz w:val="20"/>
        </w:rPr>
        <w:t>informado</w:t>
      </w:r>
      <w:r>
        <w:rPr>
          <w:rFonts w:ascii="Trebuchet MS" w:hAnsi="Trebuchet MS"/>
          <w:spacing w:val="-2"/>
          <w:sz w:val="20"/>
        </w:rPr>
        <w:t> </w:t>
      </w:r>
      <w:r>
        <w:rPr>
          <w:rFonts w:ascii="Trebuchet MS" w:hAnsi="Trebuchet MS"/>
          <w:sz w:val="20"/>
        </w:rPr>
        <w:t>mediante</w:t>
      </w:r>
      <w:r>
        <w:rPr>
          <w:rFonts w:ascii="Trebuchet MS" w:hAnsi="Trebuchet MS"/>
          <w:spacing w:val="-4"/>
          <w:sz w:val="20"/>
        </w:rPr>
        <w:t> </w:t>
      </w:r>
      <w:r>
        <w:rPr>
          <w:rFonts w:ascii="Trebuchet MS" w:hAnsi="Trebuchet MS"/>
          <w:sz w:val="20"/>
        </w:rPr>
        <w:t>Hecho Relevante de</w:t>
      </w:r>
      <w:r>
        <w:rPr>
          <w:rFonts w:ascii="Trebuchet MS" w:hAnsi="Trebuchet MS"/>
          <w:spacing w:val="-4"/>
          <w:sz w:val="20"/>
        </w:rPr>
        <w:t> </w:t>
      </w:r>
      <w:r>
        <w:rPr>
          <w:rFonts w:ascii="Trebuchet MS" w:hAnsi="Trebuchet MS"/>
          <w:sz w:val="20"/>
        </w:rPr>
        <w:t>fecha</w:t>
      </w:r>
      <w:r>
        <w:rPr>
          <w:rFonts w:ascii="Trebuchet MS" w:hAnsi="Trebuchet MS"/>
          <w:spacing w:val="-4"/>
          <w:sz w:val="20"/>
        </w:rPr>
        <w:t> </w:t>
      </w:r>
      <w:r>
        <w:rPr>
          <w:rFonts w:ascii="Trebuchet MS" w:hAnsi="Trebuchet MS"/>
          <w:sz w:val="20"/>
        </w:rPr>
        <w:t>1°</w:t>
      </w:r>
      <w:r>
        <w:rPr>
          <w:rFonts w:ascii="Trebuchet MS" w:hAnsi="Trebuchet MS"/>
          <w:spacing w:val="-1"/>
          <w:sz w:val="20"/>
        </w:rPr>
        <w:t> </w:t>
      </w:r>
      <w:r>
        <w:rPr>
          <w:rFonts w:ascii="Trebuchet MS" w:hAnsi="Trebuchet MS"/>
          <w:sz w:val="20"/>
        </w:rPr>
        <w:t>de septiembre de 2025. Ese Juzgado declaró abierto el concurso preventivo de acreedores de la Sociedad con fecha 25 de septiembre de 2025.”</w:t>
      </w:r>
    </w:p>
    <w:p>
      <w:pPr>
        <w:pStyle w:val="BodyText"/>
        <w:spacing w:before="2"/>
        <w:rPr>
          <w:rFonts w:ascii="Trebuchet MS"/>
          <w:sz w:val="20"/>
        </w:rPr>
      </w:pPr>
    </w:p>
    <w:p>
      <w:pPr>
        <w:spacing w:line="240" w:lineRule="auto" w:before="0"/>
        <w:ind w:left="998" w:right="126" w:firstLine="0"/>
        <w:jc w:val="both"/>
        <w:rPr>
          <w:rFonts w:ascii="Trebuchet MS" w:hAnsi="Trebuchet MS"/>
          <w:sz w:val="20"/>
        </w:rPr>
      </w:pPr>
      <w:r>
        <w:rPr>
          <w:rFonts w:ascii="Trebuchet MS" w:hAnsi="Trebuchet MS"/>
          <w:sz w:val="20"/>
        </w:rPr>
        <w:t>“En ese sentido, los resultados de la Sociedad Controlante del primer trimestre del ejercicio en curso se han visto severamente afectados no solo por la continuidad de este contexto económico adverso, sino también por la dificultados financieras y falta de capital de trabajo que imposibilitaron que las plantas industriales operaran de manera continua hasta su parada total en el mes de julio de 2025, tal como fuera informado mediante Hecho Relevante de fecha 30 de julio de 2025. Esta realidad ha tenido un impacto extremadamente negativo en el negocio de la Sociedad Controlante, reflejándose en los resultados económicos y en la generación de caja. En ese sentido, la Sociedad Controlante ha sufrido una significativa caída en sus ventas llegando al orden del 80% si es comparado con lo logrado en el mismo trimestre del</w:t>
      </w:r>
      <w:r>
        <w:rPr>
          <w:rFonts w:ascii="Trebuchet MS" w:hAnsi="Trebuchet MS"/>
          <w:spacing w:val="-1"/>
          <w:sz w:val="20"/>
        </w:rPr>
        <w:t> </w:t>
      </w:r>
      <w:r>
        <w:rPr>
          <w:rFonts w:ascii="Trebuchet MS" w:hAnsi="Trebuchet MS"/>
          <w:sz w:val="20"/>
        </w:rPr>
        <w:t>ejercicio anterior. Ello ha provocado una importante reducción de los niveles de rentabilidad bruta y operativa que alcanzaron el -99% y -124% en el Grupo, y -144% y -163%, en la Sociedad, respectivamente, en el periodo finalizado el 31 de agosto de 2025, cuando en el mismo período del</w:t>
      </w:r>
      <w:r>
        <w:rPr>
          <w:rFonts w:ascii="Trebuchet MS" w:hAnsi="Trebuchet MS"/>
          <w:spacing w:val="-1"/>
          <w:sz w:val="20"/>
        </w:rPr>
        <w:t> </w:t>
      </w:r>
      <w:r>
        <w:rPr>
          <w:rFonts w:ascii="Trebuchet MS" w:hAnsi="Trebuchet MS"/>
          <w:sz w:val="20"/>
        </w:rPr>
        <w:t>ejercicio anterior</w:t>
      </w:r>
      <w:r>
        <w:rPr>
          <w:rFonts w:ascii="Trebuchet MS" w:hAnsi="Trebuchet MS"/>
          <w:spacing w:val="-1"/>
          <w:sz w:val="20"/>
        </w:rPr>
        <w:t> </w:t>
      </w:r>
      <w:r>
        <w:rPr>
          <w:rFonts w:ascii="Trebuchet MS" w:hAnsi="Trebuchet MS"/>
          <w:sz w:val="20"/>
        </w:rPr>
        <w:t>fueron del 9% y -4%</w:t>
      </w:r>
      <w:r>
        <w:rPr>
          <w:rFonts w:ascii="Trebuchet MS" w:hAnsi="Trebuchet MS"/>
          <w:spacing w:val="-5"/>
          <w:sz w:val="20"/>
        </w:rPr>
        <w:t> </w:t>
      </w:r>
      <w:r>
        <w:rPr>
          <w:rFonts w:ascii="Trebuchet MS" w:hAnsi="Trebuchet MS"/>
          <w:sz w:val="20"/>
        </w:rPr>
        <w:t>en el</w:t>
      </w:r>
      <w:r>
        <w:rPr>
          <w:rFonts w:ascii="Trebuchet MS" w:hAnsi="Trebuchet MS"/>
          <w:spacing w:val="-1"/>
          <w:sz w:val="20"/>
        </w:rPr>
        <w:t> </w:t>
      </w:r>
      <w:r>
        <w:rPr>
          <w:rFonts w:ascii="Trebuchet MS" w:hAnsi="Trebuchet MS"/>
          <w:sz w:val="20"/>
        </w:rPr>
        <w:t>Grupo,</w:t>
      </w:r>
      <w:r>
        <w:rPr>
          <w:rFonts w:ascii="Trebuchet MS" w:hAnsi="Trebuchet MS"/>
          <w:spacing w:val="-2"/>
          <w:sz w:val="20"/>
        </w:rPr>
        <w:t> </w:t>
      </w:r>
      <w:r>
        <w:rPr>
          <w:rFonts w:ascii="Trebuchet MS" w:hAnsi="Trebuchet MS"/>
          <w:sz w:val="20"/>
        </w:rPr>
        <w:t>y 10% y</w:t>
      </w:r>
      <w:r>
        <w:rPr>
          <w:rFonts w:ascii="Trebuchet MS" w:hAnsi="Trebuchet MS"/>
          <w:spacing w:val="-3"/>
          <w:sz w:val="20"/>
        </w:rPr>
        <w:t> </w:t>
      </w:r>
      <w:r>
        <w:rPr>
          <w:rFonts w:ascii="Trebuchet MS" w:hAnsi="Trebuchet MS"/>
          <w:sz w:val="20"/>
        </w:rPr>
        <w:t>0% en la Sociedad, </w:t>
      </w:r>
      <w:r>
        <w:rPr>
          <w:rFonts w:ascii="Trebuchet MS" w:hAnsi="Trebuchet MS"/>
          <w:spacing w:val="-2"/>
          <w:sz w:val="20"/>
        </w:rPr>
        <w:t>respectivamente.”</w:t>
      </w:r>
    </w:p>
    <w:p>
      <w:pPr>
        <w:pStyle w:val="BodyText"/>
        <w:rPr>
          <w:rFonts w:ascii="Trebuchet MS"/>
          <w:sz w:val="20"/>
        </w:rPr>
      </w:pPr>
    </w:p>
    <w:p>
      <w:pPr>
        <w:spacing w:line="240" w:lineRule="auto" w:before="0"/>
        <w:ind w:left="998" w:right="126" w:firstLine="0"/>
        <w:jc w:val="both"/>
        <w:rPr>
          <w:rFonts w:ascii="Trebuchet MS" w:hAnsi="Trebuchet MS"/>
          <w:sz w:val="20"/>
        </w:rPr>
      </w:pPr>
      <w:r>
        <w:rPr>
          <w:rFonts w:ascii="Trebuchet MS" w:hAnsi="Trebuchet MS"/>
          <w:sz w:val="20"/>
        </w:rPr>
        <w:t>“Como consecuencia de los resultados negativos comentados anteriormente, el ratio de liquidez corriente se redujo drásticamente, llegando a 0,18 en el Grupo y 0,15 en la Sociedad al 31 de agosto de 2025, debiendo aclarar que ya contempla la clasificación como pasivos corrientes de todos los vencimientos de las obligaciones negociables como de los restantes pasivos financieros resultantes del incumplimiento de pago informado mediante Hecho Relevante de fecha 7 de mayo de 2025. En consecuencia, al 31 de</w:t>
      </w:r>
      <w:r>
        <w:rPr>
          <w:rFonts w:ascii="Trebuchet MS" w:hAnsi="Trebuchet MS"/>
          <w:spacing w:val="80"/>
          <w:sz w:val="20"/>
        </w:rPr>
        <w:t> </w:t>
      </w:r>
      <w:r>
        <w:rPr>
          <w:rFonts w:ascii="Trebuchet MS" w:hAnsi="Trebuchet MS"/>
          <w:sz w:val="20"/>
        </w:rPr>
        <w:t>agosto</w:t>
      </w:r>
      <w:r>
        <w:rPr>
          <w:rFonts w:ascii="Trebuchet MS" w:hAnsi="Trebuchet MS"/>
          <w:spacing w:val="60"/>
          <w:sz w:val="20"/>
        </w:rPr>
        <w:t> </w:t>
      </w:r>
      <w:r>
        <w:rPr>
          <w:rFonts w:ascii="Trebuchet MS" w:hAnsi="Trebuchet MS"/>
          <w:sz w:val="20"/>
        </w:rPr>
        <w:t>de</w:t>
      </w:r>
      <w:r>
        <w:rPr>
          <w:rFonts w:ascii="Trebuchet MS" w:hAnsi="Trebuchet MS"/>
          <w:spacing w:val="58"/>
          <w:sz w:val="20"/>
        </w:rPr>
        <w:t> </w:t>
      </w:r>
      <w:r>
        <w:rPr>
          <w:rFonts w:ascii="Trebuchet MS" w:hAnsi="Trebuchet MS"/>
          <w:sz w:val="20"/>
        </w:rPr>
        <w:t>2025</w:t>
      </w:r>
      <w:r>
        <w:rPr>
          <w:rFonts w:ascii="Trebuchet MS" w:hAnsi="Trebuchet MS"/>
          <w:spacing w:val="57"/>
          <w:sz w:val="20"/>
        </w:rPr>
        <w:t> </w:t>
      </w:r>
      <w:r>
        <w:rPr>
          <w:rFonts w:ascii="Trebuchet MS" w:hAnsi="Trebuchet MS"/>
          <w:sz w:val="20"/>
        </w:rPr>
        <w:t>el</w:t>
      </w:r>
      <w:r>
        <w:rPr>
          <w:rFonts w:ascii="Trebuchet MS" w:hAnsi="Trebuchet MS"/>
          <w:spacing w:val="57"/>
          <w:sz w:val="20"/>
        </w:rPr>
        <w:t> </w:t>
      </w:r>
      <w:r>
        <w:rPr>
          <w:rFonts w:ascii="Trebuchet MS" w:hAnsi="Trebuchet MS"/>
          <w:sz w:val="20"/>
        </w:rPr>
        <w:t>capital</w:t>
      </w:r>
      <w:r>
        <w:rPr>
          <w:rFonts w:ascii="Trebuchet MS" w:hAnsi="Trebuchet MS"/>
          <w:spacing w:val="61"/>
          <w:sz w:val="20"/>
        </w:rPr>
        <w:t> </w:t>
      </w:r>
      <w:r>
        <w:rPr>
          <w:rFonts w:ascii="Trebuchet MS" w:hAnsi="Trebuchet MS"/>
          <w:sz w:val="20"/>
        </w:rPr>
        <w:t>de</w:t>
      </w:r>
      <w:r>
        <w:rPr>
          <w:rFonts w:ascii="Trebuchet MS" w:hAnsi="Trebuchet MS"/>
          <w:spacing w:val="40"/>
          <w:sz w:val="20"/>
        </w:rPr>
        <w:t> </w:t>
      </w:r>
      <w:r>
        <w:rPr>
          <w:rFonts w:ascii="Trebuchet MS" w:hAnsi="Trebuchet MS"/>
          <w:sz w:val="20"/>
        </w:rPr>
        <w:t>trabajo</w:t>
      </w:r>
      <w:r>
        <w:rPr>
          <w:rFonts w:ascii="Trebuchet MS" w:hAnsi="Trebuchet MS"/>
          <w:spacing w:val="60"/>
          <w:sz w:val="20"/>
        </w:rPr>
        <w:t> </w:t>
      </w:r>
      <w:r>
        <w:rPr>
          <w:rFonts w:ascii="Trebuchet MS" w:hAnsi="Trebuchet MS"/>
          <w:sz w:val="20"/>
        </w:rPr>
        <w:t>expone</w:t>
      </w:r>
      <w:r>
        <w:rPr>
          <w:rFonts w:ascii="Trebuchet MS" w:hAnsi="Trebuchet MS"/>
          <w:spacing w:val="58"/>
          <w:sz w:val="20"/>
        </w:rPr>
        <w:t> </w:t>
      </w:r>
      <w:r>
        <w:rPr>
          <w:rFonts w:ascii="Trebuchet MS" w:hAnsi="Trebuchet MS"/>
          <w:sz w:val="20"/>
        </w:rPr>
        <w:t>un</w:t>
      </w:r>
      <w:r>
        <w:rPr>
          <w:rFonts w:ascii="Trebuchet MS" w:hAnsi="Trebuchet MS"/>
          <w:spacing w:val="40"/>
          <w:sz w:val="20"/>
        </w:rPr>
        <w:t> </w:t>
      </w:r>
      <w:r>
        <w:rPr>
          <w:rFonts w:ascii="Trebuchet MS" w:hAnsi="Trebuchet MS"/>
          <w:sz w:val="20"/>
        </w:rPr>
        <w:t>saldo</w:t>
      </w:r>
      <w:r>
        <w:rPr>
          <w:rFonts w:ascii="Trebuchet MS" w:hAnsi="Trebuchet MS"/>
          <w:spacing w:val="65"/>
          <w:sz w:val="20"/>
        </w:rPr>
        <w:t> </w:t>
      </w:r>
      <w:r>
        <w:rPr>
          <w:rFonts w:ascii="Trebuchet MS" w:hAnsi="Trebuchet MS"/>
          <w:sz w:val="20"/>
        </w:rPr>
        <w:t>negativo</w:t>
      </w:r>
      <w:r>
        <w:rPr>
          <w:rFonts w:ascii="Trebuchet MS" w:hAnsi="Trebuchet MS"/>
          <w:spacing w:val="65"/>
          <w:sz w:val="20"/>
        </w:rPr>
        <w:t> </w:t>
      </w:r>
      <w:r>
        <w:rPr>
          <w:rFonts w:ascii="Trebuchet MS" w:hAnsi="Trebuchet MS"/>
          <w:sz w:val="20"/>
        </w:rPr>
        <w:t>de</w:t>
      </w:r>
      <w:r>
        <w:rPr>
          <w:rFonts w:ascii="Trebuchet MS" w:hAnsi="Trebuchet MS"/>
          <w:spacing w:val="58"/>
          <w:sz w:val="20"/>
        </w:rPr>
        <w:t> </w:t>
      </w:r>
      <w:r>
        <w:rPr>
          <w:rFonts w:ascii="Trebuchet MS" w:hAnsi="Trebuchet MS"/>
          <w:sz w:val="20"/>
        </w:rPr>
        <w:t>miles</w:t>
      </w:r>
      <w:r>
        <w:rPr>
          <w:rFonts w:ascii="Trebuchet MS" w:hAnsi="Trebuchet MS"/>
          <w:spacing w:val="58"/>
          <w:sz w:val="20"/>
        </w:rPr>
        <w:t> </w:t>
      </w:r>
      <w:r>
        <w:rPr>
          <w:rFonts w:ascii="Trebuchet MS" w:hAnsi="Trebuchet MS"/>
          <w:sz w:val="20"/>
        </w:rPr>
        <w:t>de</w:t>
      </w:r>
      <w:r>
        <w:rPr>
          <w:rFonts w:ascii="Trebuchet MS" w:hAnsi="Trebuchet MS"/>
          <w:spacing w:val="58"/>
          <w:sz w:val="20"/>
        </w:rPr>
        <w:t> </w:t>
      </w:r>
      <w:r>
        <w:rPr>
          <w:rFonts w:ascii="Trebuchet MS" w:hAnsi="Trebuchet MS"/>
          <w:sz w:val="20"/>
        </w:rPr>
        <w:t>pesos</w:t>
      </w:r>
    </w:p>
    <w:p>
      <w:pPr>
        <w:spacing w:after="0" w:line="240" w:lineRule="auto"/>
        <w:jc w:val="both"/>
        <w:rPr>
          <w:rFonts w:ascii="Trebuchet MS" w:hAnsi="Trebuchet MS"/>
          <w:sz w:val="20"/>
        </w:rPr>
        <w:sectPr>
          <w:pgSz w:w="11910" w:h="16840"/>
          <w:pgMar w:header="509" w:footer="0" w:top="2000" w:bottom="280" w:left="1700" w:right="992"/>
        </w:sectPr>
      </w:pPr>
    </w:p>
    <w:p>
      <w:pPr>
        <w:pStyle w:val="BodyText"/>
        <w:spacing w:before="56"/>
        <w:rPr>
          <w:rFonts w:ascii="Trebuchet MS"/>
          <w:sz w:val="20"/>
        </w:rPr>
      </w:pPr>
    </w:p>
    <w:p>
      <w:pPr>
        <w:spacing w:line="240" w:lineRule="auto" w:before="0"/>
        <w:ind w:left="998" w:right="128" w:firstLine="0"/>
        <w:jc w:val="both"/>
        <w:rPr>
          <w:rFonts w:ascii="Trebuchet MS" w:hAnsi="Trebuchet MS"/>
          <w:sz w:val="20"/>
        </w:rPr>
      </w:pPr>
      <w:r>
        <w:rPr>
          <w:rFonts w:ascii="Trebuchet MS" w:hAnsi="Trebuchet MS"/>
          <w:sz w:val="20"/>
        </w:rPr>
        <w:t>266.682.423 en el Grupo y 260.722.474 en la Sociedad, mientras que el patrimonio neto un saldo negativo de miles de pesos 107.019.547. Cabe informar que está última</w:t>
      </w:r>
      <w:r>
        <w:rPr>
          <w:rFonts w:ascii="Trebuchet MS" w:hAnsi="Trebuchet MS"/>
          <w:spacing w:val="40"/>
          <w:sz w:val="20"/>
        </w:rPr>
        <w:t> </w:t>
      </w:r>
      <w:r>
        <w:rPr>
          <w:rFonts w:ascii="Trebuchet MS" w:hAnsi="Trebuchet MS"/>
          <w:sz w:val="20"/>
        </w:rPr>
        <w:t>situación implica que la Sociedad se encuentra comprendida dentro de las causales de disolución previstas en el art. 94, inciso 5, de la Ley General de Sociedades Nº 19.550.”</w:t>
      </w:r>
    </w:p>
    <w:p>
      <w:pPr>
        <w:pStyle w:val="BodyText"/>
        <w:spacing w:before="1"/>
        <w:rPr>
          <w:rFonts w:ascii="Trebuchet MS"/>
          <w:sz w:val="20"/>
        </w:rPr>
      </w:pPr>
    </w:p>
    <w:p>
      <w:pPr>
        <w:spacing w:line="240" w:lineRule="auto" w:before="0"/>
        <w:ind w:left="998" w:right="124" w:firstLine="0"/>
        <w:jc w:val="both"/>
        <w:rPr>
          <w:rFonts w:ascii="Trebuchet MS" w:hAnsi="Trebuchet MS"/>
          <w:sz w:val="20"/>
        </w:rPr>
      </w:pPr>
      <w:r>
        <w:rPr>
          <w:rFonts w:ascii="Trebuchet MS" w:hAnsi="Trebuchet MS"/>
          <w:sz w:val="20"/>
        </w:rPr>
        <w:t>“Los resultados del trimestre bajo análisis exponen el final de un proceso de deterioro que comenzó en los últimos meses del año 2024 con un proceso de retracción de demanda, caída de ventas y márgenes, seguido de una significativa necesidad de capital de trabajo adicional debido a extensión de plazos de cobranza e incremento de los inventarios por una drástica reducción de las ventas. La disminución del capital de trabajo y la merma de generación de flujos de caja operativos, así como</w:t>
      </w:r>
      <w:r>
        <w:rPr>
          <w:rFonts w:ascii="Trebuchet MS" w:hAnsi="Trebuchet MS"/>
          <w:spacing w:val="40"/>
          <w:sz w:val="20"/>
        </w:rPr>
        <w:t> </w:t>
      </w:r>
      <w:r>
        <w:rPr>
          <w:rFonts w:ascii="Trebuchet MS" w:hAnsi="Trebuchet MS"/>
          <w:sz w:val="20"/>
        </w:rPr>
        <w:t>los</w:t>
      </w:r>
      <w:r>
        <w:rPr>
          <w:rFonts w:ascii="Trebuchet MS" w:hAnsi="Trebuchet MS"/>
          <w:spacing w:val="40"/>
          <w:sz w:val="20"/>
        </w:rPr>
        <w:t> </w:t>
      </w:r>
      <w:r>
        <w:rPr>
          <w:rFonts w:ascii="Trebuchet MS" w:hAnsi="Trebuchet MS"/>
          <w:sz w:val="20"/>
        </w:rPr>
        <w:t>vencimientos financieros, incrementaron significativamente la necesidad de financiamiento de la Sociedad hacia finales del año 2024 y durante los primeros meses</w:t>
      </w:r>
      <w:r>
        <w:rPr>
          <w:rFonts w:ascii="Trebuchet MS" w:hAnsi="Trebuchet MS"/>
          <w:spacing w:val="40"/>
          <w:sz w:val="20"/>
        </w:rPr>
        <w:t> </w:t>
      </w:r>
      <w:r>
        <w:rPr>
          <w:rFonts w:ascii="Trebuchet MS" w:hAnsi="Trebuchet MS"/>
          <w:sz w:val="20"/>
        </w:rPr>
        <w:t>del año actual. Las fuentes de financiación utilizadas para cubrir dichas necesidades fueron</w:t>
      </w:r>
      <w:r>
        <w:rPr>
          <w:rFonts w:ascii="Trebuchet MS" w:hAnsi="Trebuchet MS"/>
          <w:spacing w:val="40"/>
          <w:sz w:val="20"/>
        </w:rPr>
        <w:t> </w:t>
      </w:r>
      <w:r>
        <w:rPr>
          <w:rFonts w:ascii="Trebuchet MS" w:hAnsi="Trebuchet MS"/>
          <w:sz w:val="20"/>
        </w:rPr>
        <w:t>las disponibles en el mercado, en</w:t>
      </w:r>
      <w:r>
        <w:rPr>
          <w:rFonts w:ascii="Trebuchet MS" w:hAnsi="Trebuchet MS"/>
          <w:spacing w:val="40"/>
          <w:sz w:val="20"/>
        </w:rPr>
        <w:t> </w:t>
      </w:r>
      <w:r>
        <w:rPr>
          <w:rFonts w:ascii="Trebuchet MS" w:hAnsi="Trebuchet MS"/>
          <w:sz w:val="20"/>
        </w:rPr>
        <w:t>su mayoría</w:t>
      </w:r>
      <w:r>
        <w:rPr>
          <w:rFonts w:ascii="Trebuchet MS" w:hAnsi="Trebuchet MS"/>
          <w:spacing w:val="40"/>
          <w:sz w:val="20"/>
        </w:rPr>
        <w:t> </w:t>
      </w:r>
      <w:r>
        <w:rPr>
          <w:rFonts w:ascii="Trebuchet MS" w:hAnsi="Trebuchet MS"/>
          <w:sz w:val="20"/>
        </w:rPr>
        <w:t>de corto plazo y a un costo </w:t>
      </w:r>
      <w:r>
        <w:rPr>
          <w:rFonts w:ascii="Trebuchet MS" w:hAnsi="Trebuchet MS"/>
          <w:spacing w:val="-2"/>
          <w:sz w:val="20"/>
        </w:rPr>
        <w:t>elevado.”</w:t>
      </w:r>
    </w:p>
    <w:p>
      <w:pPr>
        <w:spacing w:line="240" w:lineRule="auto" w:before="230"/>
        <w:ind w:left="998" w:right="127" w:firstLine="0"/>
        <w:jc w:val="both"/>
        <w:rPr>
          <w:rFonts w:ascii="Trebuchet MS" w:hAnsi="Trebuchet MS"/>
          <w:sz w:val="20"/>
        </w:rPr>
      </w:pPr>
      <w:r>
        <w:rPr>
          <w:rFonts w:ascii="Trebuchet MS" w:hAnsi="Trebuchet MS"/>
          <w:sz w:val="20"/>
        </w:rPr>
        <w:t>“En el mes de marzo de 2025 se produjo un marcado incremento de la percepción de riesgo sistémico en el mercado financiero por eventos varios que indujeron a muchos acreedores financieros a acelerar la cancelación de sus posiciones, generando una</w:t>
      </w:r>
      <w:r>
        <w:rPr>
          <w:rFonts w:ascii="Trebuchet MS" w:hAnsi="Trebuchet MS"/>
          <w:spacing w:val="40"/>
          <w:sz w:val="20"/>
        </w:rPr>
        <w:t> </w:t>
      </w:r>
      <w:r>
        <w:rPr>
          <w:rFonts w:ascii="Trebuchet MS" w:hAnsi="Trebuchet MS"/>
          <w:sz w:val="20"/>
        </w:rPr>
        <w:t>presión creciente sobre la caja y la estructura financiera de la Sociedad Controlante. Estas circunstancias tuvieron como consecuencia principal la retracción absoluta del crédito a la Sociedad Controlante, tanto financiero como comercial, debiendo pasar a operar bajo una modalidad de pago contra entrega, al contado o mediante cesión de cheques de terceros. Esta operatoria se pudo mantener durante varias semanas, hasta que la falta de capital de trabajo volvió inviable el financiamiento de la operación, debiéndose</w:t>
      </w:r>
      <w:r>
        <w:rPr>
          <w:rFonts w:ascii="Trebuchet MS" w:hAnsi="Trebuchet MS"/>
          <w:spacing w:val="-5"/>
          <w:sz w:val="20"/>
        </w:rPr>
        <w:t> </w:t>
      </w:r>
      <w:r>
        <w:rPr>
          <w:rFonts w:ascii="Trebuchet MS" w:hAnsi="Trebuchet MS"/>
          <w:sz w:val="20"/>
        </w:rPr>
        <w:t>parar</w:t>
      </w:r>
      <w:r>
        <w:rPr>
          <w:rFonts w:ascii="Trebuchet MS" w:hAnsi="Trebuchet MS"/>
          <w:spacing w:val="-2"/>
          <w:sz w:val="20"/>
        </w:rPr>
        <w:t> </w:t>
      </w:r>
      <w:r>
        <w:rPr>
          <w:rFonts w:ascii="Trebuchet MS" w:hAnsi="Trebuchet MS"/>
          <w:sz w:val="20"/>
        </w:rPr>
        <w:t>la</w:t>
      </w:r>
      <w:r>
        <w:rPr>
          <w:rFonts w:ascii="Trebuchet MS" w:hAnsi="Trebuchet MS"/>
          <w:spacing w:val="-1"/>
          <w:sz w:val="20"/>
        </w:rPr>
        <w:t> </w:t>
      </w:r>
      <w:r>
        <w:rPr>
          <w:rFonts w:ascii="Trebuchet MS" w:hAnsi="Trebuchet MS"/>
          <w:sz w:val="20"/>
        </w:rPr>
        <w:t>producción</w:t>
      </w:r>
      <w:r>
        <w:rPr>
          <w:rFonts w:ascii="Trebuchet MS" w:hAnsi="Trebuchet MS"/>
          <w:spacing w:val="-5"/>
          <w:sz w:val="20"/>
        </w:rPr>
        <w:t> </w:t>
      </w:r>
      <w:r>
        <w:rPr>
          <w:rFonts w:ascii="Trebuchet MS" w:hAnsi="Trebuchet MS"/>
          <w:sz w:val="20"/>
        </w:rPr>
        <w:t>en las</w:t>
      </w:r>
      <w:r>
        <w:rPr>
          <w:rFonts w:ascii="Trebuchet MS" w:hAnsi="Trebuchet MS"/>
          <w:spacing w:val="-5"/>
          <w:sz w:val="20"/>
        </w:rPr>
        <w:t> </w:t>
      </w:r>
      <w:r>
        <w:rPr>
          <w:rFonts w:ascii="Trebuchet MS" w:hAnsi="Trebuchet MS"/>
          <w:sz w:val="20"/>
        </w:rPr>
        <w:t>plantas</w:t>
      </w:r>
      <w:r>
        <w:rPr>
          <w:rFonts w:ascii="Trebuchet MS" w:hAnsi="Trebuchet MS"/>
          <w:spacing w:val="-5"/>
          <w:sz w:val="20"/>
        </w:rPr>
        <w:t> </w:t>
      </w:r>
      <w:r>
        <w:rPr>
          <w:rFonts w:ascii="Trebuchet MS" w:hAnsi="Trebuchet MS"/>
          <w:sz w:val="20"/>
        </w:rPr>
        <w:t>industriales de Capitán</w:t>
      </w:r>
      <w:r>
        <w:rPr>
          <w:rFonts w:ascii="Trebuchet MS" w:hAnsi="Trebuchet MS"/>
          <w:spacing w:val="-5"/>
          <w:sz w:val="20"/>
        </w:rPr>
        <w:t> </w:t>
      </w:r>
      <w:r>
        <w:rPr>
          <w:rFonts w:ascii="Trebuchet MS" w:hAnsi="Trebuchet MS"/>
          <w:sz w:val="20"/>
        </w:rPr>
        <w:t>Bermúdez</w:t>
      </w:r>
      <w:r>
        <w:rPr>
          <w:rFonts w:ascii="Trebuchet MS" w:hAnsi="Trebuchet MS"/>
          <w:spacing w:val="-4"/>
          <w:sz w:val="20"/>
        </w:rPr>
        <w:t> </w:t>
      </w:r>
      <w:r>
        <w:rPr>
          <w:rFonts w:ascii="Trebuchet MS" w:hAnsi="Trebuchet MS"/>
          <w:sz w:val="20"/>
        </w:rPr>
        <w:t>y Zárate, tal como se expusiera anteriormente.”</w:t>
      </w:r>
    </w:p>
    <w:p>
      <w:pPr>
        <w:pStyle w:val="BodyText"/>
        <w:spacing w:before="3"/>
        <w:rPr>
          <w:rFonts w:ascii="Trebuchet MS"/>
          <w:sz w:val="20"/>
        </w:rPr>
      </w:pPr>
    </w:p>
    <w:p>
      <w:pPr>
        <w:spacing w:line="240" w:lineRule="auto" w:before="0"/>
        <w:ind w:left="998" w:right="128" w:firstLine="0"/>
        <w:jc w:val="both"/>
        <w:rPr>
          <w:rFonts w:ascii="Trebuchet MS" w:hAnsi="Trebuchet MS"/>
          <w:sz w:val="20"/>
        </w:rPr>
      </w:pPr>
      <w:r>
        <w:rPr>
          <w:rFonts w:ascii="Trebuchet MS" w:hAnsi="Trebuchet MS"/>
          <w:sz w:val="20"/>
        </w:rPr>
        <w:t>“Con fecha 19 de septiembre de 2025 y tal fuera informado mediante Hecho Relevante</w:t>
      </w:r>
      <w:r>
        <w:rPr>
          <w:rFonts w:ascii="Trebuchet MS" w:hAnsi="Trebuchet MS"/>
          <w:spacing w:val="40"/>
          <w:sz w:val="20"/>
        </w:rPr>
        <w:t> </w:t>
      </w:r>
      <w:r>
        <w:rPr>
          <w:rFonts w:ascii="Trebuchet MS" w:hAnsi="Trebuchet MS"/>
          <w:sz w:val="20"/>
        </w:rPr>
        <w:t>de esa misma fecha, el Sr. Esteban Nofal adquirió, directa e indirectamente, el 45,5% de las acciones de la Sociedad transformándose en el nuevo controlante.”</w:t>
      </w:r>
    </w:p>
    <w:p>
      <w:pPr>
        <w:spacing w:line="240" w:lineRule="auto" w:before="230"/>
        <w:ind w:left="998" w:right="128" w:firstLine="0"/>
        <w:jc w:val="both"/>
        <w:rPr>
          <w:rFonts w:ascii="Trebuchet MS" w:hAnsi="Trebuchet MS"/>
          <w:sz w:val="20"/>
        </w:rPr>
      </w:pPr>
      <w:r>
        <w:rPr>
          <w:rFonts w:ascii="Trebuchet MS" w:hAnsi="Trebuchet MS"/>
          <w:sz w:val="20"/>
        </w:rPr>
        <w:t>“El compromiso central del Sr. Nofal es impulsar la recuperación de la Sociedad Controlante, y sostener, preservar y generar el empleo, asegurando así la sostenibilidad de una organización que es parte esencial del patrimonio productivo argentino.”</w:t>
      </w:r>
    </w:p>
    <w:p>
      <w:pPr>
        <w:pStyle w:val="BodyText"/>
        <w:spacing w:before="3"/>
        <w:rPr>
          <w:rFonts w:ascii="Trebuchet MS"/>
          <w:sz w:val="20"/>
        </w:rPr>
      </w:pPr>
    </w:p>
    <w:p>
      <w:pPr>
        <w:spacing w:line="240" w:lineRule="auto" w:before="0"/>
        <w:ind w:left="998" w:right="128" w:firstLine="0"/>
        <w:jc w:val="both"/>
        <w:rPr>
          <w:rFonts w:ascii="Trebuchet MS" w:hAnsi="Trebuchet MS"/>
          <w:sz w:val="20"/>
        </w:rPr>
      </w:pPr>
      <w:r>
        <w:rPr>
          <w:rFonts w:ascii="Trebuchet MS" w:hAnsi="Trebuchet MS"/>
          <w:sz w:val="20"/>
        </w:rPr>
        <w:t>“A tal fin, y como también se informó al mercado mediante</w:t>
      </w:r>
      <w:r>
        <w:rPr>
          <w:rFonts w:ascii="Trebuchet MS" w:hAnsi="Trebuchet MS"/>
          <w:spacing w:val="40"/>
          <w:sz w:val="20"/>
        </w:rPr>
        <w:t> </w:t>
      </w:r>
      <w:r>
        <w:rPr>
          <w:rFonts w:ascii="Trebuchet MS" w:hAnsi="Trebuchet MS"/>
          <w:sz w:val="20"/>
        </w:rPr>
        <w:t>Hecho</w:t>
      </w:r>
      <w:r>
        <w:rPr>
          <w:rFonts w:ascii="Trebuchet MS" w:hAnsi="Trebuchet MS"/>
          <w:spacing w:val="40"/>
          <w:sz w:val="20"/>
        </w:rPr>
        <w:t> </w:t>
      </w:r>
      <w:r>
        <w:rPr>
          <w:rFonts w:ascii="Trebuchet MS" w:hAnsi="Trebuchet MS"/>
          <w:sz w:val="20"/>
        </w:rPr>
        <w:t>Relevante, el Sr. Nofal ha suscripto una línea de crédito por un monto máximo</w:t>
      </w:r>
      <w:r>
        <w:rPr>
          <w:rFonts w:ascii="Trebuchet MS" w:hAnsi="Trebuchet MS"/>
          <w:spacing w:val="36"/>
          <w:sz w:val="20"/>
        </w:rPr>
        <w:t> </w:t>
      </w:r>
      <w:r>
        <w:rPr>
          <w:rFonts w:ascii="Trebuchet MS" w:hAnsi="Trebuchet MS"/>
          <w:sz w:val="20"/>
        </w:rPr>
        <w:t>de U$S 18 millones. La</w:t>
      </w:r>
      <w:r>
        <w:rPr>
          <w:rFonts w:ascii="Trebuchet MS" w:hAnsi="Trebuchet MS"/>
          <w:spacing w:val="40"/>
          <w:sz w:val="20"/>
        </w:rPr>
        <w:t> </w:t>
      </w:r>
      <w:r>
        <w:rPr>
          <w:rFonts w:ascii="Trebuchet MS" w:hAnsi="Trebuchet MS"/>
          <w:sz w:val="20"/>
        </w:rPr>
        <w:t>línea de crédito tiene plazo de 24 meses, devengará una tasa del 10% anual, y será garantizada mediante un fideicomiso al cual la Sociedad cederá cuentas a cobrar.”</w:t>
      </w:r>
    </w:p>
    <w:p>
      <w:pPr>
        <w:pStyle w:val="BodyText"/>
        <w:rPr>
          <w:rFonts w:ascii="Trebuchet MS"/>
          <w:sz w:val="20"/>
        </w:rPr>
      </w:pPr>
    </w:p>
    <w:p>
      <w:pPr>
        <w:spacing w:line="240" w:lineRule="auto" w:before="0"/>
        <w:ind w:left="998" w:right="123" w:firstLine="0"/>
        <w:jc w:val="both"/>
        <w:rPr>
          <w:rFonts w:ascii="Trebuchet MS" w:hAnsi="Trebuchet MS"/>
          <w:sz w:val="20"/>
        </w:rPr>
      </w:pPr>
      <w:r>
        <w:rPr>
          <w:rFonts w:ascii="Trebuchet MS" w:hAnsi="Trebuchet MS"/>
          <w:sz w:val="20"/>
        </w:rPr>
        <w:t>“A la fecha de emisión de los presentes estados financieros consolidados y separados, se efectuaron los primeros desembolsos bajo la mencionada línea. Dichos fondos se han aplicado en primera instancia al pago de los salarios del personal correspondientes al</w:t>
      </w:r>
      <w:r>
        <w:rPr>
          <w:rFonts w:ascii="Trebuchet MS" w:hAnsi="Trebuchet MS"/>
          <w:spacing w:val="80"/>
          <w:sz w:val="20"/>
        </w:rPr>
        <w:t> </w:t>
      </w:r>
      <w:r>
        <w:rPr>
          <w:rFonts w:ascii="Trebuchet MS" w:hAnsi="Trebuchet MS"/>
          <w:sz w:val="20"/>
        </w:rPr>
        <w:t>mes de septiembre de 2025 y luego a la realización de pagos a ciertos a proveedores esenciales para comenzar con el proceso de arranque de la planta industrial de Capitán Bermúdez. Los fondos remanentes bajo la línea de crédito se utilizarán para recomponer el capital de trabajo se la Sociedad y con el único objetivo de garantizar la operación de ambas plantas industriales.”</w:t>
      </w:r>
    </w:p>
    <w:p>
      <w:pPr>
        <w:spacing w:line="240" w:lineRule="auto" w:before="232"/>
        <w:ind w:left="998" w:right="129" w:firstLine="0"/>
        <w:jc w:val="both"/>
        <w:rPr>
          <w:rFonts w:ascii="Trebuchet MS" w:hAnsi="Trebuchet MS"/>
          <w:sz w:val="20"/>
        </w:rPr>
      </w:pPr>
      <w:r>
        <w:rPr>
          <w:rFonts w:ascii="Trebuchet MS" w:hAnsi="Trebuchet MS"/>
          <w:sz w:val="20"/>
        </w:rPr>
        <w:t>“Asimismo, el nuevo controlante ha manifestado su compromiso de enfocar todos los recursos de la Sociedad hacia un proceso de optimización de costos, de manera de asegurar su competitividad en cualquier contexto económico, reduciendo a su vez todo tipo de erogaciones que atenten contra su sustentabilidad.”</w:t>
      </w:r>
    </w:p>
    <w:p>
      <w:pPr>
        <w:spacing w:after="0" w:line="240" w:lineRule="auto"/>
        <w:jc w:val="both"/>
        <w:rPr>
          <w:rFonts w:ascii="Trebuchet MS" w:hAnsi="Trebuchet MS"/>
          <w:sz w:val="20"/>
        </w:rPr>
        <w:sectPr>
          <w:pgSz w:w="11910" w:h="16840"/>
          <w:pgMar w:header="509" w:footer="0" w:top="2000" w:bottom="280" w:left="1700" w:right="992"/>
        </w:sectPr>
      </w:pPr>
    </w:p>
    <w:p>
      <w:pPr>
        <w:pStyle w:val="BodyText"/>
        <w:spacing w:before="56"/>
        <w:rPr>
          <w:rFonts w:ascii="Trebuchet MS"/>
          <w:sz w:val="20"/>
        </w:rPr>
      </w:pPr>
    </w:p>
    <w:p>
      <w:pPr>
        <w:pStyle w:val="ListParagraph"/>
        <w:numPr>
          <w:ilvl w:val="1"/>
          <w:numId w:val="4"/>
        </w:numPr>
        <w:tabs>
          <w:tab w:pos="993" w:val="left" w:leader="none"/>
          <w:tab w:pos="998" w:val="left" w:leader="none"/>
        </w:tabs>
        <w:spacing w:line="240" w:lineRule="auto" w:before="0" w:after="0"/>
        <w:ind w:left="998" w:right="125" w:hanging="360"/>
        <w:jc w:val="both"/>
        <w:rPr>
          <w:rFonts w:ascii="Trebuchet MS" w:hAnsi="Trebuchet MS"/>
          <w:sz w:val="20"/>
        </w:rPr>
      </w:pPr>
      <w:r>
        <w:rPr>
          <w:rFonts w:ascii="Trebuchet MS" w:hAnsi="Trebuchet MS"/>
          <w:sz w:val="20"/>
        </w:rPr>
        <w:t>“Tal cómo se detalla en la nota 9. a los estados financieros consolidados y separados adjuntos,</w:t>
      </w:r>
      <w:r>
        <w:rPr>
          <w:rFonts w:ascii="Trebuchet MS" w:hAnsi="Trebuchet MS"/>
          <w:spacing w:val="-3"/>
          <w:sz w:val="20"/>
        </w:rPr>
        <w:t> </w:t>
      </w:r>
      <w:r>
        <w:rPr>
          <w:rFonts w:ascii="Trebuchet MS" w:hAnsi="Trebuchet MS"/>
          <w:sz w:val="20"/>
        </w:rPr>
        <w:t>la</w:t>
      </w:r>
      <w:r>
        <w:rPr>
          <w:rFonts w:ascii="Trebuchet MS" w:hAnsi="Trebuchet MS"/>
          <w:spacing w:val="-1"/>
          <w:sz w:val="20"/>
        </w:rPr>
        <w:t> </w:t>
      </w:r>
      <w:r>
        <w:rPr>
          <w:rFonts w:ascii="Trebuchet MS" w:hAnsi="Trebuchet MS"/>
          <w:sz w:val="20"/>
        </w:rPr>
        <w:t>subsidiaria</w:t>
      </w:r>
      <w:r>
        <w:rPr>
          <w:rFonts w:ascii="Trebuchet MS" w:hAnsi="Trebuchet MS"/>
          <w:spacing w:val="-5"/>
          <w:sz w:val="20"/>
        </w:rPr>
        <w:t> </w:t>
      </w:r>
      <w:r>
        <w:rPr>
          <w:rFonts w:ascii="Trebuchet MS" w:hAnsi="Trebuchet MS"/>
          <w:sz w:val="20"/>
        </w:rPr>
        <w:t>argentina Forestadora</w:t>
      </w:r>
      <w:r>
        <w:rPr>
          <w:rFonts w:ascii="Trebuchet MS" w:hAnsi="Trebuchet MS"/>
          <w:spacing w:val="-1"/>
          <w:sz w:val="20"/>
        </w:rPr>
        <w:t> </w:t>
      </w:r>
      <w:r>
        <w:rPr>
          <w:rFonts w:ascii="Trebuchet MS" w:hAnsi="Trebuchet MS"/>
          <w:sz w:val="20"/>
        </w:rPr>
        <w:t>Tapibecuá</w:t>
      </w:r>
      <w:r>
        <w:rPr>
          <w:rFonts w:ascii="Trebuchet MS" w:hAnsi="Trebuchet MS"/>
          <w:spacing w:val="-1"/>
          <w:sz w:val="20"/>
        </w:rPr>
        <w:t> </w:t>
      </w:r>
      <w:r>
        <w:rPr>
          <w:rFonts w:ascii="Trebuchet MS" w:hAnsi="Trebuchet MS"/>
          <w:sz w:val="20"/>
        </w:rPr>
        <w:t>S.A.U. es una</w:t>
      </w:r>
      <w:r>
        <w:rPr>
          <w:rFonts w:ascii="Trebuchet MS" w:hAnsi="Trebuchet MS"/>
          <w:spacing w:val="-1"/>
          <w:sz w:val="20"/>
        </w:rPr>
        <w:t> </w:t>
      </w:r>
      <w:r>
        <w:rPr>
          <w:rFonts w:ascii="Trebuchet MS" w:hAnsi="Trebuchet MS"/>
          <w:sz w:val="20"/>
        </w:rPr>
        <w:t>empresa dedicada a la elaboración y comercialización de paneles de compensado fenólico y madera aserrada de alta calidad. La Sociedad desarrolla sus actividades en la localidad de Gobernador Virasoro, provincia de Corrientes y es una subsidiaria de Celulosa Argentina S.A., su único accionista.”</w:t>
      </w:r>
    </w:p>
    <w:p>
      <w:pPr>
        <w:spacing w:line="240" w:lineRule="auto" w:before="230"/>
        <w:ind w:left="998" w:right="125" w:firstLine="0"/>
        <w:jc w:val="both"/>
        <w:rPr>
          <w:rFonts w:ascii="Trebuchet MS" w:hAnsi="Trebuchet MS"/>
          <w:sz w:val="20"/>
        </w:rPr>
      </w:pPr>
      <w:r>
        <w:rPr>
          <w:rFonts w:ascii="Trebuchet MS" w:hAnsi="Trebuchet MS"/>
          <w:sz w:val="20"/>
        </w:rPr>
        <w:t>“El ejercicio económico anterior finalizado el 31 de mayo de 2025 se desarrolló en un contexto</w:t>
      </w:r>
      <w:r>
        <w:rPr>
          <w:rFonts w:ascii="Trebuchet MS" w:hAnsi="Trebuchet MS"/>
          <w:spacing w:val="-3"/>
          <w:sz w:val="20"/>
        </w:rPr>
        <w:t> </w:t>
      </w:r>
      <w:r>
        <w:rPr>
          <w:rFonts w:ascii="Trebuchet MS" w:hAnsi="Trebuchet MS"/>
          <w:sz w:val="20"/>
        </w:rPr>
        <w:t>económico</w:t>
      </w:r>
      <w:r>
        <w:rPr>
          <w:rFonts w:ascii="Trebuchet MS" w:hAnsi="Trebuchet MS"/>
          <w:spacing w:val="-3"/>
          <w:sz w:val="20"/>
        </w:rPr>
        <w:t> </w:t>
      </w:r>
      <w:r>
        <w:rPr>
          <w:rFonts w:ascii="Trebuchet MS" w:hAnsi="Trebuchet MS"/>
          <w:sz w:val="20"/>
        </w:rPr>
        <w:t>extremadamente</w:t>
      </w:r>
      <w:r>
        <w:rPr>
          <w:rFonts w:ascii="Trebuchet MS" w:hAnsi="Trebuchet MS"/>
          <w:spacing w:val="-1"/>
          <w:sz w:val="20"/>
        </w:rPr>
        <w:t> </w:t>
      </w:r>
      <w:r>
        <w:rPr>
          <w:rFonts w:ascii="Trebuchet MS" w:hAnsi="Trebuchet MS"/>
          <w:sz w:val="20"/>
        </w:rPr>
        <w:t>adverso para</w:t>
      </w:r>
      <w:r>
        <w:rPr>
          <w:rFonts w:ascii="Trebuchet MS" w:hAnsi="Trebuchet MS"/>
          <w:spacing w:val="-1"/>
          <w:sz w:val="20"/>
        </w:rPr>
        <w:t> </w:t>
      </w:r>
      <w:r>
        <w:rPr>
          <w:rFonts w:ascii="Trebuchet MS" w:hAnsi="Trebuchet MS"/>
          <w:sz w:val="20"/>
        </w:rPr>
        <w:t>la</w:t>
      </w:r>
      <w:r>
        <w:rPr>
          <w:rFonts w:ascii="Trebuchet MS" w:hAnsi="Trebuchet MS"/>
          <w:spacing w:val="-6"/>
          <w:sz w:val="20"/>
        </w:rPr>
        <w:t> </w:t>
      </w:r>
      <w:r>
        <w:rPr>
          <w:rFonts w:ascii="Trebuchet MS" w:hAnsi="Trebuchet MS"/>
          <w:sz w:val="20"/>
        </w:rPr>
        <w:t>industria</w:t>
      </w:r>
      <w:r>
        <w:rPr>
          <w:rFonts w:ascii="Trebuchet MS" w:hAnsi="Trebuchet MS"/>
          <w:spacing w:val="-5"/>
          <w:sz w:val="20"/>
        </w:rPr>
        <w:t> </w:t>
      </w:r>
      <w:r>
        <w:rPr>
          <w:rFonts w:ascii="Trebuchet MS" w:hAnsi="Trebuchet MS"/>
          <w:sz w:val="20"/>
        </w:rPr>
        <w:t>en</w:t>
      </w:r>
      <w:r>
        <w:rPr>
          <w:rFonts w:ascii="Trebuchet MS" w:hAnsi="Trebuchet MS"/>
          <w:spacing w:val="-1"/>
          <w:sz w:val="20"/>
        </w:rPr>
        <w:t> </w:t>
      </w:r>
      <w:r>
        <w:rPr>
          <w:rFonts w:ascii="Trebuchet MS" w:hAnsi="Trebuchet MS"/>
          <w:sz w:val="20"/>
        </w:rPr>
        <w:t>general</w:t>
      </w:r>
      <w:r>
        <w:rPr>
          <w:rFonts w:ascii="Trebuchet MS" w:hAnsi="Trebuchet MS"/>
          <w:spacing w:val="-7"/>
          <w:sz w:val="20"/>
        </w:rPr>
        <w:t> </w:t>
      </w:r>
      <w:r>
        <w:rPr>
          <w:rFonts w:ascii="Trebuchet MS" w:hAnsi="Trebuchet MS"/>
          <w:sz w:val="20"/>
        </w:rPr>
        <w:t>y en</w:t>
      </w:r>
      <w:r>
        <w:rPr>
          <w:rFonts w:ascii="Trebuchet MS" w:hAnsi="Trebuchet MS"/>
          <w:spacing w:val="-1"/>
          <w:sz w:val="20"/>
        </w:rPr>
        <w:t> </w:t>
      </w:r>
      <w:r>
        <w:rPr>
          <w:rFonts w:ascii="Trebuchet MS" w:hAnsi="Trebuchet MS"/>
          <w:sz w:val="20"/>
        </w:rPr>
        <w:t>particular para el sector</w:t>
      </w:r>
      <w:r>
        <w:rPr>
          <w:rFonts w:ascii="Trebuchet MS" w:hAnsi="Trebuchet MS"/>
          <w:spacing w:val="-5"/>
          <w:sz w:val="20"/>
        </w:rPr>
        <w:t> </w:t>
      </w:r>
      <w:r>
        <w:rPr>
          <w:rFonts w:ascii="Trebuchet MS" w:hAnsi="Trebuchet MS"/>
          <w:sz w:val="20"/>
        </w:rPr>
        <w:t>en</w:t>
      </w:r>
      <w:r>
        <w:rPr>
          <w:rFonts w:ascii="Trebuchet MS" w:hAnsi="Trebuchet MS"/>
          <w:spacing w:val="-3"/>
          <w:sz w:val="20"/>
        </w:rPr>
        <w:t> </w:t>
      </w:r>
      <w:r>
        <w:rPr>
          <w:rFonts w:ascii="Trebuchet MS" w:hAnsi="Trebuchet MS"/>
          <w:sz w:val="20"/>
        </w:rPr>
        <w:t>el cual la Sociedad</w:t>
      </w:r>
      <w:r>
        <w:rPr>
          <w:rFonts w:ascii="Trebuchet MS" w:hAnsi="Trebuchet MS"/>
          <w:spacing w:val="-1"/>
          <w:sz w:val="20"/>
        </w:rPr>
        <w:t> </w:t>
      </w:r>
      <w:r>
        <w:rPr>
          <w:rFonts w:ascii="Trebuchet MS" w:hAnsi="Trebuchet MS"/>
          <w:sz w:val="20"/>
        </w:rPr>
        <w:t>desarrolla sus</w:t>
      </w:r>
      <w:r>
        <w:rPr>
          <w:rFonts w:ascii="Trebuchet MS" w:hAnsi="Trebuchet MS"/>
          <w:spacing w:val="-3"/>
          <w:sz w:val="20"/>
        </w:rPr>
        <w:t> </w:t>
      </w:r>
      <w:r>
        <w:rPr>
          <w:rFonts w:ascii="Trebuchet MS" w:hAnsi="Trebuchet MS"/>
          <w:sz w:val="20"/>
        </w:rPr>
        <w:t>negocios.</w:t>
      </w:r>
      <w:r>
        <w:rPr>
          <w:rFonts w:ascii="Trebuchet MS" w:hAnsi="Trebuchet MS"/>
          <w:spacing w:val="-1"/>
          <w:sz w:val="20"/>
        </w:rPr>
        <w:t> </w:t>
      </w:r>
      <w:r>
        <w:rPr>
          <w:rFonts w:ascii="Trebuchet MS" w:hAnsi="Trebuchet MS"/>
          <w:sz w:val="20"/>
        </w:rPr>
        <w:t>Asimismo,</w:t>
      </w:r>
      <w:r>
        <w:rPr>
          <w:rFonts w:ascii="Trebuchet MS" w:hAnsi="Trebuchet MS"/>
          <w:spacing w:val="-5"/>
          <w:sz w:val="20"/>
        </w:rPr>
        <w:t> </w:t>
      </w:r>
      <w:r>
        <w:rPr>
          <w:rFonts w:ascii="Trebuchet MS" w:hAnsi="Trebuchet MS"/>
          <w:sz w:val="20"/>
        </w:rPr>
        <w:t>la Sociedad</w:t>
      </w:r>
      <w:r>
        <w:rPr>
          <w:rFonts w:ascii="Trebuchet MS" w:hAnsi="Trebuchet MS"/>
          <w:spacing w:val="-1"/>
          <w:sz w:val="20"/>
        </w:rPr>
        <w:t> </w:t>
      </w:r>
      <w:r>
        <w:rPr>
          <w:rFonts w:ascii="Trebuchet MS" w:hAnsi="Trebuchet MS"/>
          <w:sz w:val="20"/>
        </w:rPr>
        <w:t>se</w:t>
      </w:r>
      <w:r>
        <w:rPr>
          <w:rFonts w:ascii="Trebuchet MS" w:hAnsi="Trebuchet MS"/>
          <w:spacing w:val="-3"/>
          <w:sz w:val="20"/>
        </w:rPr>
        <w:t> </w:t>
      </w:r>
      <w:r>
        <w:rPr>
          <w:rFonts w:ascii="Trebuchet MS" w:hAnsi="Trebuchet MS"/>
          <w:sz w:val="20"/>
        </w:rPr>
        <w:t>vio profundamente afectada por condiciones climáticas adversas que impactaron de manera directa y significativa en su actividad forestal. Estos eventos incluyeron sequías prolongadas, altas temperaturas y eventos meteorológicos extremos que impactaron de manera directa en la producción forestal, el transporte de materia prima y el funcionamiento de la planta industrial.”</w:t>
      </w:r>
    </w:p>
    <w:p>
      <w:pPr>
        <w:pStyle w:val="BodyText"/>
        <w:spacing w:before="3"/>
        <w:rPr>
          <w:rFonts w:ascii="Trebuchet MS"/>
          <w:sz w:val="20"/>
        </w:rPr>
      </w:pPr>
    </w:p>
    <w:p>
      <w:pPr>
        <w:spacing w:line="240" w:lineRule="auto" w:before="0"/>
        <w:ind w:left="998" w:right="125" w:firstLine="0"/>
        <w:jc w:val="both"/>
        <w:rPr>
          <w:rFonts w:ascii="Trebuchet MS" w:hAnsi="Trebuchet MS"/>
          <w:sz w:val="20"/>
        </w:rPr>
      </w:pPr>
      <w:r>
        <w:rPr>
          <w:rFonts w:ascii="Trebuchet MS" w:hAnsi="Trebuchet MS"/>
          <w:sz w:val="20"/>
        </w:rPr>
        <w:t>“Durante el</w:t>
      </w:r>
      <w:r>
        <w:rPr>
          <w:rFonts w:ascii="Trebuchet MS" w:hAnsi="Trebuchet MS"/>
          <w:spacing w:val="-1"/>
          <w:sz w:val="20"/>
        </w:rPr>
        <w:t> </w:t>
      </w:r>
      <w:r>
        <w:rPr>
          <w:rFonts w:ascii="Trebuchet MS" w:hAnsi="Trebuchet MS"/>
          <w:sz w:val="20"/>
        </w:rPr>
        <w:t>trimestre finalizado el 31 de agosto de 2025 se profundizó el deterioro de su situación económica y financiera debido a la falta de capital de trabajo para operar de manera continua. Dicho contexto derivó en la paralización de la producción desde el 11 de agosto de 2025, generándose una situación de conflicto con el sindicato del sector, la cual se ha mantenido hasta el 9 de octubre de 2025. A partir de dicha fecha, se ha llegado a un acuerdo con el sector sindical, con el objetivo de buscar una paulatina restauración de la operación de la Sociedad. Para los próximos meses se espera una reactivación gradual de la operación, sujeta a la evolución del mercado, que permita retomar el desempeño normal de los negocios.”</w:t>
      </w:r>
    </w:p>
    <w:p>
      <w:pPr>
        <w:pStyle w:val="BodyText"/>
        <w:spacing w:before="1"/>
        <w:rPr>
          <w:rFonts w:ascii="Trebuchet MS"/>
          <w:sz w:val="20"/>
        </w:rPr>
      </w:pPr>
    </w:p>
    <w:p>
      <w:pPr>
        <w:spacing w:line="240" w:lineRule="auto" w:before="1"/>
        <w:ind w:left="998" w:right="125" w:firstLine="0"/>
        <w:jc w:val="both"/>
        <w:rPr>
          <w:rFonts w:ascii="Trebuchet MS" w:hAnsi="Trebuchet MS"/>
          <w:sz w:val="20"/>
        </w:rPr>
      </w:pPr>
      <w:r>
        <w:rPr>
          <w:rFonts w:ascii="Trebuchet MS" w:hAnsi="Trebuchet MS"/>
          <w:sz w:val="20"/>
        </w:rPr>
        <w:t>“La situación previamente descripta ha tenido un impacto sumamente negativo en el negocio de la Sociedad, reflejándose en los resultados económicos y en la generación de caja. En ese sentido, la Sociedad ha sufrido una significativa caída en sus ventas, que en el último trimestre llegó al</w:t>
      </w:r>
      <w:r>
        <w:rPr>
          <w:rFonts w:ascii="Trebuchet MS" w:hAnsi="Trebuchet MS"/>
          <w:spacing w:val="-1"/>
          <w:sz w:val="20"/>
        </w:rPr>
        <w:t> </w:t>
      </w:r>
      <w:r>
        <w:rPr>
          <w:rFonts w:ascii="Trebuchet MS" w:hAnsi="Trebuchet MS"/>
          <w:sz w:val="20"/>
        </w:rPr>
        <w:t>orden del 63% comparado con lo logrado en el</w:t>
      </w:r>
      <w:r>
        <w:rPr>
          <w:rFonts w:ascii="Trebuchet MS" w:hAnsi="Trebuchet MS"/>
          <w:spacing w:val="-1"/>
          <w:sz w:val="20"/>
        </w:rPr>
        <w:t> </w:t>
      </w:r>
      <w:r>
        <w:rPr>
          <w:rFonts w:ascii="Trebuchet MS" w:hAnsi="Trebuchet MS"/>
          <w:sz w:val="20"/>
        </w:rPr>
        <w:t>mismo periodo del</w:t>
      </w:r>
      <w:r>
        <w:rPr>
          <w:rFonts w:ascii="Trebuchet MS" w:hAnsi="Trebuchet MS"/>
          <w:spacing w:val="-1"/>
          <w:sz w:val="20"/>
        </w:rPr>
        <w:t> </w:t>
      </w:r>
      <w:r>
        <w:rPr>
          <w:rFonts w:ascii="Trebuchet MS" w:hAnsi="Trebuchet MS"/>
          <w:sz w:val="20"/>
        </w:rPr>
        <w:t>ejercicio anterior.</w:t>
      </w:r>
      <w:r>
        <w:rPr>
          <w:rFonts w:ascii="Trebuchet MS" w:hAnsi="Trebuchet MS"/>
          <w:spacing w:val="-2"/>
          <w:sz w:val="20"/>
        </w:rPr>
        <w:t> </w:t>
      </w:r>
      <w:r>
        <w:rPr>
          <w:rFonts w:ascii="Trebuchet MS" w:hAnsi="Trebuchet MS"/>
          <w:sz w:val="20"/>
        </w:rPr>
        <w:t>Por</w:t>
      </w:r>
      <w:r>
        <w:rPr>
          <w:rFonts w:ascii="Trebuchet MS" w:hAnsi="Trebuchet MS"/>
          <w:spacing w:val="-6"/>
          <w:sz w:val="20"/>
        </w:rPr>
        <w:t> </w:t>
      </w:r>
      <w:r>
        <w:rPr>
          <w:rFonts w:ascii="Trebuchet MS" w:hAnsi="Trebuchet MS"/>
          <w:sz w:val="20"/>
        </w:rPr>
        <w:t>otra parte,</w:t>
      </w:r>
      <w:r>
        <w:rPr>
          <w:rFonts w:ascii="Trebuchet MS" w:hAnsi="Trebuchet MS"/>
          <w:spacing w:val="-1"/>
          <w:sz w:val="20"/>
        </w:rPr>
        <w:t> </w:t>
      </w:r>
      <w:r>
        <w:rPr>
          <w:rFonts w:ascii="Trebuchet MS" w:hAnsi="Trebuchet MS"/>
          <w:sz w:val="20"/>
        </w:rPr>
        <w:t>los</w:t>
      </w:r>
      <w:r>
        <w:rPr>
          <w:rFonts w:ascii="Trebuchet MS" w:hAnsi="Trebuchet MS"/>
          <w:spacing w:val="-4"/>
          <w:sz w:val="20"/>
        </w:rPr>
        <w:t> </w:t>
      </w:r>
      <w:r>
        <w:rPr>
          <w:rFonts w:ascii="Trebuchet MS" w:hAnsi="Trebuchet MS"/>
          <w:sz w:val="20"/>
        </w:rPr>
        <w:t>costos de</w:t>
      </w:r>
      <w:r>
        <w:rPr>
          <w:rFonts w:ascii="Trebuchet MS" w:hAnsi="Trebuchet MS"/>
          <w:spacing w:val="-4"/>
          <w:sz w:val="20"/>
        </w:rPr>
        <w:t> </w:t>
      </w:r>
      <w:r>
        <w:rPr>
          <w:rFonts w:ascii="Trebuchet MS" w:hAnsi="Trebuchet MS"/>
          <w:sz w:val="20"/>
        </w:rPr>
        <w:t>la</w:t>
      </w:r>
      <w:r>
        <w:rPr>
          <w:rFonts w:ascii="Trebuchet MS" w:hAnsi="Trebuchet MS"/>
          <w:spacing w:val="-4"/>
          <w:sz w:val="20"/>
        </w:rPr>
        <w:t> </w:t>
      </w:r>
      <w:r>
        <w:rPr>
          <w:rFonts w:ascii="Trebuchet MS" w:hAnsi="Trebuchet MS"/>
          <w:sz w:val="20"/>
        </w:rPr>
        <w:t>operación</w:t>
      </w:r>
      <w:r>
        <w:rPr>
          <w:rFonts w:ascii="Trebuchet MS" w:hAnsi="Trebuchet MS"/>
          <w:spacing w:val="-4"/>
          <w:sz w:val="20"/>
        </w:rPr>
        <w:t> </w:t>
      </w:r>
      <w:r>
        <w:rPr>
          <w:rFonts w:ascii="Trebuchet MS" w:hAnsi="Trebuchet MS"/>
          <w:sz w:val="20"/>
        </w:rPr>
        <w:t>han aumentado en</w:t>
      </w:r>
      <w:r>
        <w:rPr>
          <w:rFonts w:ascii="Trebuchet MS" w:hAnsi="Trebuchet MS"/>
          <w:spacing w:val="-4"/>
          <w:sz w:val="20"/>
        </w:rPr>
        <w:t> </w:t>
      </w:r>
      <w:r>
        <w:rPr>
          <w:rFonts w:ascii="Trebuchet MS" w:hAnsi="Trebuchet MS"/>
          <w:sz w:val="20"/>
        </w:rPr>
        <w:t>forma significativa, en especial si son medidos en dólares, que no han podido ser trasladados a precios, lo cual ha provocado una importante reducción de los niveles de rentabilidad</w:t>
      </w:r>
      <w:r>
        <w:rPr>
          <w:rFonts w:ascii="Trebuchet MS" w:hAnsi="Trebuchet MS"/>
          <w:spacing w:val="40"/>
          <w:sz w:val="20"/>
        </w:rPr>
        <w:t> </w:t>
      </w:r>
      <w:r>
        <w:rPr>
          <w:rFonts w:ascii="Trebuchet MS" w:hAnsi="Trebuchet MS"/>
          <w:sz w:val="20"/>
        </w:rPr>
        <w:t>que alcanzaron el -155% al 31 de agosto de 2025 cuando en el mismo periodo de tres meses del ejercicio anterior fueron del -42%.”</w:t>
      </w:r>
    </w:p>
    <w:p>
      <w:pPr>
        <w:spacing w:line="242" w:lineRule="auto" w:before="228"/>
        <w:ind w:left="998" w:right="127" w:firstLine="0"/>
        <w:jc w:val="both"/>
        <w:rPr>
          <w:rFonts w:ascii="Trebuchet MS" w:hAnsi="Trebuchet MS"/>
          <w:sz w:val="20"/>
        </w:rPr>
      </w:pPr>
      <w:r>
        <w:rPr>
          <w:rFonts w:ascii="Trebuchet MS" w:hAnsi="Trebuchet MS"/>
          <w:sz w:val="20"/>
        </w:rPr>
        <w:t>“Como consecuencia de los resultados negativos comentados anteriormente, el ratio de liquidez corriente se redujo moderadamente, pasando de 0,57 al 31 de mayo de 2025 a 0,33 al cierre del primer trimestre del ejercicio actual. El capital de trabajo expone un saldo negativo de pesos 7.730.269 al 31 de agosto de 2025.”</w:t>
      </w:r>
    </w:p>
    <w:p>
      <w:pPr>
        <w:spacing w:line="242" w:lineRule="auto" w:before="224"/>
        <w:ind w:left="998" w:right="135" w:firstLine="0"/>
        <w:jc w:val="both"/>
        <w:rPr>
          <w:rFonts w:ascii="Trebuchet MS" w:hAnsi="Trebuchet MS"/>
          <w:sz w:val="20"/>
        </w:rPr>
      </w:pPr>
      <w:r>
        <w:rPr>
          <w:rFonts w:ascii="Trebuchet MS" w:hAnsi="Trebuchet MS"/>
          <w:sz w:val="20"/>
        </w:rPr>
        <w:t>“Adicionalmente, su único accionista atraviesa también una compleja situación financiera, tal como fue descripto en el punto anterior.”</w:t>
      </w:r>
    </w:p>
    <w:p>
      <w:pPr>
        <w:spacing w:line="242" w:lineRule="auto" w:before="228"/>
        <w:ind w:left="998" w:right="133" w:firstLine="0"/>
        <w:jc w:val="both"/>
        <w:rPr>
          <w:rFonts w:ascii="Trebuchet MS" w:hAnsi="Trebuchet MS"/>
          <w:sz w:val="20"/>
        </w:rPr>
      </w:pPr>
      <w:r>
        <w:rPr>
          <w:rFonts w:ascii="Trebuchet MS" w:hAnsi="Trebuchet MS"/>
          <w:sz w:val="20"/>
        </w:rPr>
        <w:t>“En el marco de este proceso, todas las opciones para reactivar la operación industrial</w:t>
      </w:r>
      <w:r>
        <w:rPr>
          <w:rFonts w:ascii="Trebuchet MS" w:hAnsi="Trebuchet MS"/>
          <w:spacing w:val="80"/>
          <w:sz w:val="20"/>
        </w:rPr>
        <w:t> </w:t>
      </w:r>
      <w:r>
        <w:rPr>
          <w:rFonts w:ascii="Trebuchet MS" w:hAnsi="Trebuchet MS"/>
          <w:sz w:val="20"/>
        </w:rPr>
        <w:t>de Forestadora Tapebicuá S.A.U. están siendo evaluadas.”</w:t>
      </w:r>
    </w:p>
    <w:p>
      <w:pPr>
        <w:pStyle w:val="ListParagraph"/>
        <w:numPr>
          <w:ilvl w:val="1"/>
          <w:numId w:val="4"/>
        </w:numPr>
        <w:tabs>
          <w:tab w:pos="991" w:val="left" w:leader="none"/>
          <w:tab w:pos="998" w:val="left" w:leader="none"/>
        </w:tabs>
        <w:spacing w:line="240" w:lineRule="auto" w:before="231" w:after="0"/>
        <w:ind w:left="998" w:right="126" w:hanging="360"/>
        <w:jc w:val="both"/>
        <w:rPr>
          <w:rFonts w:ascii="Trebuchet MS" w:hAnsi="Trebuchet MS"/>
          <w:sz w:val="20"/>
        </w:rPr>
      </w:pPr>
      <w:r>
        <w:rPr>
          <w:rFonts w:ascii="Trebuchet MS" w:hAnsi="Trebuchet MS"/>
          <w:sz w:val="20"/>
        </w:rPr>
        <w:t>“Tal cómo se detalla en la nota 9. a los estados financieros intermedios consolidados condensados, la subsidiaria uruguaya Fábrica Nacional de Papel S.A. presenta capital de trabajo negativo y sería necesaria la realización de sus activos industriales con el</w:t>
      </w:r>
      <w:r>
        <w:rPr>
          <w:rFonts w:ascii="Trebuchet MS" w:hAnsi="Trebuchet MS"/>
          <w:spacing w:val="40"/>
          <w:sz w:val="20"/>
        </w:rPr>
        <w:t> </w:t>
      </w:r>
      <w:r>
        <w:rPr>
          <w:rFonts w:ascii="Trebuchet MS" w:hAnsi="Trebuchet MS"/>
          <w:sz w:val="20"/>
        </w:rPr>
        <w:t>objetivo de obtener fondos para cancelar los pasivos financieros y otros provenientes de la operación industrial, hecho que pudiera verse diferido dada la situación actual. El Directorio de Fábrica Nacional de Papel S.A. monitorea la evolución de estos eventos a</w:t>
      </w:r>
      <w:r>
        <w:rPr>
          <w:rFonts w:ascii="Trebuchet MS" w:hAnsi="Trebuchet MS"/>
          <w:spacing w:val="40"/>
          <w:sz w:val="20"/>
        </w:rPr>
        <w:t> </w:t>
      </w:r>
      <w:r>
        <w:rPr>
          <w:rFonts w:ascii="Trebuchet MS" w:hAnsi="Trebuchet MS"/>
          <w:sz w:val="20"/>
        </w:rPr>
        <w:t>los efectos de tomar las medidas mitigantes disponibles para preservar el valor de los activos</w:t>
      </w:r>
      <w:r>
        <w:rPr>
          <w:rFonts w:ascii="Trebuchet MS" w:hAnsi="Trebuchet MS"/>
          <w:spacing w:val="34"/>
          <w:sz w:val="20"/>
        </w:rPr>
        <w:t> </w:t>
      </w:r>
      <w:r>
        <w:rPr>
          <w:rFonts w:ascii="Trebuchet MS" w:hAnsi="Trebuchet MS"/>
          <w:sz w:val="20"/>
        </w:rPr>
        <w:t>y</w:t>
      </w:r>
      <w:r>
        <w:rPr>
          <w:rFonts w:ascii="Trebuchet MS" w:hAnsi="Trebuchet MS"/>
          <w:spacing w:val="40"/>
          <w:sz w:val="20"/>
        </w:rPr>
        <w:t> </w:t>
      </w:r>
      <w:r>
        <w:rPr>
          <w:rFonts w:ascii="Trebuchet MS" w:hAnsi="Trebuchet MS"/>
          <w:sz w:val="20"/>
        </w:rPr>
        <w:t>la</w:t>
      </w:r>
      <w:r>
        <w:rPr>
          <w:rFonts w:ascii="Trebuchet MS" w:hAnsi="Trebuchet MS"/>
          <w:spacing w:val="33"/>
          <w:sz w:val="20"/>
        </w:rPr>
        <w:t> </w:t>
      </w:r>
      <w:r>
        <w:rPr>
          <w:rFonts w:ascii="Trebuchet MS" w:hAnsi="Trebuchet MS"/>
          <w:sz w:val="20"/>
        </w:rPr>
        <w:t>operación</w:t>
      </w:r>
      <w:r>
        <w:rPr>
          <w:rFonts w:ascii="Trebuchet MS" w:hAnsi="Trebuchet MS"/>
          <w:spacing w:val="39"/>
          <w:sz w:val="20"/>
        </w:rPr>
        <w:t> </w:t>
      </w:r>
      <w:r>
        <w:rPr>
          <w:rFonts w:ascii="Trebuchet MS" w:hAnsi="Trebuchet MS"/>
          <w:sz w:val="20"/>
        </w:rPr>
        <w:t>en</w:t>
      </w:r>
      <w:r>
        <w:rPr>
          <w:rFonts w:ascii="Trebuchet MS" w:hAnsi="Trebuchet MS"/>
          <w:spacing w:val="39"/>
          <w:sz w:val="20"/>
        </w:rPr>
        <w:t> </w:t>
      </w:r>
      <w:r>
        <w:rPr>
          <w:rFonts w:ascii="Trebuchet MS" w:hAnsi="Trebuchet MS"/>
          <w:sz w:val="20"/>
        </w:rPr>
        <w:t>general.</w:t>
      </w:r>
      <w:r>
        <w:rPr>
          <w:rFonts w:ascii="Trebuchet MS" w:hAnsi="Trebuchet MS"/>
          <w:spacing w:val="37"/>
          <w:sz w:val="20"/>
        </w:rPr>
        <w:t> </w:t>
      </w:r>
      <w:r>
        <w:rPr>
          <w:rFonts w:ascii="Trebuchet MS" w:hAnsi="Trebuchet MS"/>
          <w:sz w:val="20"/>
        </w:rPr>
        <w:t>Asimismo,</w:t>
      </w:r>
      <w:r>
        <w:rPr>
          <w:rFonts w:ascii="Trebuchet MS" w:hAnsi="Trebuchet MS"/>
          <w:spacing w:val="40"/>
          <w:sz w:val="20"/>
        </w:rPr>
        <w:t> </w:t>
      </w:r>
      <w:r>
        <w:rPr>
          <w:rFonts w:ascii="Trebuchet MS" w:hAnsi="Trebuchet MS"/>
          <w:sz w:val="20"/>
        </w:rPr>
        <w:t>considera</w:t>
      </w:r>
      <w:r>
        <w:rPr>
          <w:rFonts w:ascii="Trebuchet MS" w:hAnsi="Trebuchet MS"/>
          <w:spacing w:val="40"/>
          <w:sz w:val="20"/>
        </w:rPr>
        <w:t> </w:t>
      </w:r>
      <w:r>
        <w:rPr>
          <w:rFonts w:ascii="Trebuchet MS" w:hAnsi="Trebuchet MS"/>
          <w:sz w:val="20"/>
        </w:rPr>
        <w:t>que</w:t>
      </w:r>
      <w:r>
        <w:rPr>
          <w:rFonts w:ascii="Trebuchet MS" w:hAnsi="Trebuchet MS"/>
          <w:spacing w:val="39"/>
          <w:sz w:val="20"/>
        </w:rPr>
        <w:t> </w:t>
      </w:r>
      <w:r>
        <w:rPr>
          <w:rFonts w:ascii="Trebuchet MS" w:hAnsi="Trebuchet MS"/>
          <w:sz w:val="20"/>
        </w:rPr>
        <w:t>la</w:t>
      </w:r>
      <w:r>
        <w:rPr>
          <w:rFonts w:ascii="Trebuchet MS" w:hAnsi="Trebuchet MS"/>
          <w:spacing w:val="38"/>
          <w:sz w:val="20"/>
        </w:rPr>
        <w:t> </w:t>
      </w:r>
      <w:r>
        <w:rPr>
          <w:rFonts w:ascii="Trebuchet MS" w:hAnsi="Trebuchet MS"/>
          <w:sz w:val="20"/>
        </w:rPr>
        <w:t>ocurrencia</w:t>
      </w:r>
      <w:r>
        <w:rPr>
          <w:rFonts w:ascii="Trebuchet MS" w:hAnsi="Trebuchet MS"/>
          <w:spacing w:val="39"/>
          <w:sz w:val="20"/>
        </w:rPr>
        <w:t> </w:t>
      </w:r>
      <w:r>
        <w:rPr>
          <w:rFonts w:ascii="Trebuchet MS" w:hAnsi="Trebuchet MS"/>
          <w:sz w:val="20"/>
        </w:rPr>
        <w:t>de</w:t>
      </w:r>
      <w:r>
        <w:rPr>
          <w:rFonts w:ascii="Trebuchet MS" w:hAnsi="Trebuchet MS"/>
          <w:spacing w:val="39"/>
          <w:sz w:val="20"/>
        </w:rPr>
        <w:t> </w:t>
      </w:r>
      <w:r>
        <w:rPr>
          <w:rFonts w:ascii="Trebuchet MS" w:hAnsi="Trebuchet MS"/>
          <w:sz w:val="20"/>
        </w:rPr>
        <w:t>eventos</w:t>
      </w:r>
    </w:p>
    <w:p>
      <w:pPr>
        <w:pStyle w:val="ListParagraph"/>
        <w:spacing w:after="0" w:line="240" w:lineRule="auto"/>
        <w:jc w:val="both"/>
        <w:rPr>
          <w:rFonts w:ascii="Trebuchet MS" w:hAnsi="Trebuchet MS"/>
          <w:sz w:val="20"/>
        </w:rPr>
        <w:sectPr>
          <w:pgSz w:w="11910" w:h="16840"/>
          <w:pgMar w:header="509" w:footer="0" w:top="2000" w:bottom="280" w:left="1700" w:right="992"/>
        </w:sectPr>
      </w:pPr>
    </w:p>
    <w:p>
      <w:pPr>
        <w:pStyle w:val="BodyText"/>
        <w:spacing w:before="56"/>
        <w:rPr>
          <w:rFonts w:ascii="Trebuchet MS"/>
          <w:sz w:val="20"/>
        </w:rPr>
      </w:pPr>
    </w:p>
    <w:p>
      <w:pPr>
        <w:spacing w:before="0"/>
        <w:ind w:left="998" w:right="126" w:firstLine="0"/>
        <w:jc w:val="both"/>
        <w:rPr>
          <w:rFonts w:ascii="Trebuchet MS" w:hAnsi="Trebuchet MS"/>
          <w:sz w:val="20"/>
        </w:rPr>
      </w:pPr>
      <w:r>
        <w:rPr>
          <w:rFonts w:ascii="Trebuchet MS" w:hAnsi="Trebuchet MS"/>
          <w:sz w:val="20"/>
        </w:rPr>
        <w:t>diferentes a los asumidos en sus estimaciones puede generar impactos significativos, teniendo la determinación de los impactos un alto grado de incertidumbre. “</w:t>
      </w:r>
    </w:p>
    <w:p>
      <w:pPr>
        <w:pStyle w:val="BodyText"/>
        <w:rPr>
          <w:rFonts w:ascii="Trebuchet MS"/>
          <w:sz w:val="20"/>
        </w:rPr>
      </w:pPr>
    </w:p>
    <w:p>
      <w:pPr>
        <w:spacing w:line="240" w:lineRule="auto" w:before="0"/>
        <w:ind w:left="998" w:right="125" w:firstLine="0"/>
        <w:jc w:val="both"/>
        <w:rPr>
          <w:rFonts w:ascii="Trebuchet MS" w:hAnsi="Trebuchet MS"/>
          <w:sz w:val="20"/>
        </w:rPr>
      </w:pPr>
      <w:r>
        <w:rPr>
          <w:rFonts w:ascii="Trebuchet MS" w:hAnsi="Trebuchet MS"/>
          <w:sz w:val="20"/>
        </w:rPr>
        <w:t>“Dichas situaciones indican la existencia de una incertidumbre material que pueden generar dudas significativas sobre la capacidad de la Sociedad cómo así también del Grupo</w:t>
      </w:r>
      <w:r>
        <w:rPr>
          <w:rFonts w:ascii="Trebuchet MS" w:hAnsi="Trebuchet MS"/>
          <w:spacing w:val="17"/>
          <w:sz w:val="20"/>
        </w:rPr>
        <w:t> </w:t>
      </w:r>
      <w:r>
        <w:rPr>
          <w:rFonts w:ascii="Trebuchet MS" w:hAnsi="Trebuchet MS"/>
          <w:sz w:val="20"/>
        </w:rPr>
        <w:t>para continuar cómo empresa en funcionamiento y que pueda realizar sus activos</w:t>
      </w:r>
      <w:r>
        <w:rPr>
          <w:rFonts w:ascii="Trebuchet MS" w:hAnsi="Trebuchet MS"/>
          <w:spacing w:val="40"/>
          <w:sz w:val="20"/>
        </w:rPr>
        <w:t> </w:t>
      </w:r>
      <w:r>
        <w:rPr>
          <w:rFonts w:ascii="Trebuchet MS" w:hAnsi="Trebuchet MS"/>
          <w:sz w:val="20"/>
        </w:rPr>
        <w:t>y cancelar sus pasivos en el curso normal de los negocios.”</w:t>
      </w:r>
    </w:p>
    <w:p>
      <w:pPr>
        <w:pStyle w:val="BodyText"/>
        <w:rPr>
          <w:rFonts w:ascii="Trebuchet MS"/>
          <w:sz w:val="20"/>
        </w:rPr>
      </w:pPr>
    </w:p>
    <w:p>
      <w:pPr>
        <w:pStyle w:val="Heading2"/>
        <w:rPr>
          <w:u w:val="none"/>
        </w:rPr>
      </w:pPr>
      <w:r>
        <w:rPr>
          <w:u w:val="single"/>
        </w:rPr>
        <w:t>“INFORME</w:t>
      </w:r>
      <w:r>
        <w:rPr>
          <w:spacing w:val="-12"/>
          <w:u w:val="single"/>
        </w:rPr>
        <w:t> </w:t>
      </w:r>
      <w:r>
        <w:rPr>
          <w:u w:val="single"/>
        </w:rPr>
        <w:t>SOBRE</w:t>
      </w:r>
      <w:r>
        <w:rPr>
          <w:spacing w:val="-9"/>
          <w:u w:val="single"/>
        </w:rPr>
        <w:t> </w:t>
      </w:r>
      <w:r>
        <w:rPr>
          <w:u w:val="single"/>
        </w:rPr>
        <w:t>OTROS</w:t>
      </w:r>
      <w:r>
        <w:rPr>
          <w:spacing w:val="-11"/>
          <w:u w:val="single"/>
        </w:rPr>
        <w:t> </w:t>
      </w:r>
      <w:r>
        <w:rPr>
          <w:u w:val="single"/>
        </w:rPr>
        <w:t>REQUERIMIENTOS</w:t>
      </w:r>
      <w:r>
        <w:rPr>
          <w:spacing w:val="-7"/>
          <w:u w:val="single"/>
        </w:rPr>
        <w:t> </w:t>
      </w:r>
      <w:r>
        <w:rPr>
          <w:u w:val="single"/>
        </w:rPr>
        <w:t>LEGALES</w:t>
      </w:r>
      <w:r>
        <w:rPr>
          <w:spacing w:val="-11"/>
          <w:u w:val="single"/>
        </w:rPr>
        <w:t> </w:t>
      </w:r>
      <w:r>
        <w:rPr>
          <w:u w:val="single"/>
        </w:rPr>
        <w:t>Y</w:t>
      </w:r>
      <w:r>
        <w:rPr>
          <w:spacing w:val="-3"/>
          <w:u w:val="single"/>
        </w:rPr>
        <w:t> </w:t>
      </w:r>
      <w:r>
        <w:rPr>
          <w:spacing w:val="-2"/>
          <w:u w:val="single"/>
        </w:rPr>
        <w:t>REGLAMENTARIOS”</w:t>
      </w:r>
    </w:p>
    <w:p>
      <w:pPr>
        <w:pStyle w:val="BodyText"/>
        <w:spacing w:before="1"/>
        <w:rPr>
          <w:rFonts w:ascii="Trebuchet MS"/>
          <w:b/>
          <w:sz w:val="20"/>
        </w:rPr>
      </w:pPr>
    </w:p>
    <w:p>
      <w:pPr>
        <w:spacing w:before="0"/>
        <w:ind w:left="288" w:right="0" w:firstLine="0"/>
        <w:jc w:val="left"/>
        <w:rPr>
          <w:rFonts w:ascii="Trebuchet MS" w:hAnsi="Trebuchet MS"/>
          <w:sz w:val="20"/>
        </w:rPr>
      </w:pPr>
      <w:r>
        <w:rPr>
          <w:rFonts w:ascii="Trebuchet MS" w:hAnsi="Trebuchet MS"/>
          <w:sz w:val="20"/>
        </w:rPr>
        <w:t>“A</w:t>
      </w:r>
      <w:r>
        <w:rPr>
          <w:rFonts w:ascii="Trebuchet MS" w:hAnsi="Trebuchet MS"/>
          <w:spacing w:val="-7"/>
          <w:sz w:val="20"/>
        </w:rPr>
        <w:t> </w:t>
      </w:r>
      <w:r>
        <w:rPr>
          <w:rFonts w:ascii="Trebuchet MS" w:hAnsi="Trebuchet MS"/>
          <w:sz w:val="20"/>
        </w:rPr>
        <w:t>efectos</w:t>
      </w:r>
      <w:r>
        <w:rPr>
          <w:rFonts w:ascii="Trebuchet MS" w:hAnsi="Trebuchet MS"/>
          <w:spacing w:val="-7"/>
          <w:sz w:val="20"/>
        </w:rPr>
        <w:t> </w:t>
      </w:r>
      <w:r>
        <w:rPr>
          <w:rFonts w:ascii="Trebuchet MS" w:hAnsi="Trebuchet MS"/>
          <w:sz w:val="20"/>
        </w:rPr>
        <w:t>de</w:t>
      </w:r>
      <w:r>
        <w:rPr>
          <w:rFonts w:ascii="Trebuchet MS" w:hAnsi="Trebuchet MS"/>
          <w:spacing w:val="-10"/>
          <w:sz w:val="20"/>
        </w:rPr>
        <w:t> </w:t>
      </w:r>
      <w:r>
        <w:rPr>
          <w:rFonts w:ascii="Trebuchet MS" w:hAnsi="Trebuchet MS"/>
          <w:sz w:val="20"/>
        </w:rPr>
        <w:t>dar</w:t>
      </w:r>
      <w:r>
        <w:rPr>
          <w:rFonts w:ascii="Trebuchet MS" w:hAnsi="Trebuchet MS"/>
          <w:spacing w:val="-8"/>
          <w:sz w:val="20"/>
        </w:rPr>
        <w:t> </w:t>
      </w:r>
      <w:r>
        <w:rPr>
          <w:rFonts w:ascii="Trebuchet MS" w:hAnsi="Trebuchet MS"/>
          <w:sz w:val="20"/>
        </w:rPr>
        <w:t>cumplimiento</w:t>
      </w:r>
      <w:r>
        <w:rPr>
          <w:rFonts w:ascii="Trebuchet MS" w:hAnsi="Trebuchet MS"/>
          <w:spacing w:val="-4"/>
          <w:sz w:val="20"/>
        </w:rPr>
        <w:t> </w:t>
      </w:r>
      <w:r>
        <w:rPr>
          <w:rFonts w:ascii="Trebuchet MS" w:hAnsi="Trebuchet MS"/>
          <w:sz w:val="20"/>
        </w:rPr>
        <w:t>a</w:t>
      </w:r>
      <w:r>
        <w:rPr>
          <w:rFonts w:ascii="Trebuchet MS" w:hAnsi="Trebuchet MS"/>
          <w:spacing w:val="-12"/>
          <w:sz w:val="20"/>
        </w:rPr>
        <w:t> </w:t>
      </w:r>
      <w:r>
        <w:rPr>
          <w:rFonts w:ascii="Trebuchet MS" w:hAnsi="Trebuchet MS"/>
          <w:sz w:val="20"/>
        </w:rPr>
        <w:t>disposiciones</w:t>
      </w:r>
      <w:r>
        <w:rPr>
          <w:rFonts w:ascii="Trebuchet MS" w:hAnsi="Trebuchet MS"/>
          <w:spacing w:val="-10"/>
          <w:sz w:val="20"/>
        </w:rPr>
        <w:t> </w:t>
      </w:r>
      <w:r>
        <w:rPr>
          <w:rFonts w:ascii="Trebuchet MS" w:hAnsi="Trebuchet MS"/>
          <w:sz w:val="20"/>
        </w:rPr>
        <w:t>legales</w:t>
      </w:r>
      <w:r>
        <w:rPr>
          <w:rFonts w:ascii="Trebuchet MS" w:hAnsi="Trebuchet MS"/>
          <w:spacing w:val="-7"/>
          <w:sz w:val="20"/>
        </w:rPr>
        <w:t> </w:t>
      </w:r>
      <w:r>
        <w:rPr>
          <w:rFonts w:ascii="Trebuchet MS" w:hAnsi="Trebuchet MS"/>
          <w:sz w:val="20"/>
        </w:rPr>
        <w:t>vigentes</w:t>
      </w:r>
      <w:r>
        <w:rPr>
          <w:rFonts w:ascii="Trebuchet MS" w:hAnsi="Trebuchet MS"/>
          <w:spacing w:val="-6"/>
          <w:sz w:val="20"/>
        </w:rPr>
        <w:t> </w:t>
      </w:r>
      <w:r>
        <w:rPr>
          <w:rFonts w:ascii="Trebuchet MS" w:hAnsi="Trebuchet MS"/>
          <w:sz w:val="20"/>
        </w:rPr>
        <w:t>informamos</w:t>
      </w:r>
      <w:r>
        <w:rPr>
          <w:rFonts w:ascii="Trebuchet MS" w:hAnsi="Trebuchet MS"/>
          <w:spacing w:val="-10"/>
          <w:sz w:val="20"/>
        </w:rPr>
        <w:t> </w:t>
      </w:r>
      <w:r>
        <w:rPr>
          <w:rFonts w:ascii="Trebuchet MS" w:hAnsi="Trebuchet MS"/>
          <w:spacing w:val="-2"/>
          <w:sz w:val="20"/>
        </w:rPr>
        <w:t>que:”</w:t>
      </w:r>
    </w:p>
    <w:p>
      <w:pPr>
        <w:pStyle w:val="ListParagraph"/>
        <w:numPr>
          <w:ilvl w:val="0"/>
          <w:numId w:val="5"/>
        </w:numPr>
        <w:tabs>
          <w:tab w:pos="569" w:val="left" w:leader="none"/>
          <w:tab w:pos="571" w:val="left" w:leader="none"/>
        </w:tabs>
        <w:spacing w:line="240" w:lineRule="auto" w:before="228" w:after="0"/>
        <w:ind w:left="571" w:right="129" w:hanging="284"/>
        <w:jc w:val="both"/>
        <w:rPr>
          <w:rFonts w:ascii="Trebuchet MS" w:hAnsi="Trebuchet MS"/>
          <w:sz w:val="20"/>
        </w:rPr>
      </w:pPr>
      <w:r>
        <w:rPr>
          <w:rFonts w:ascii="Trebuchet MS" w:hAnsi="Trebuchet MS"/>
          <w:sz w:val="20"/>
        </w:rPr>
        <w:t>“Los estados financieros mencionados en el apartado 1. de este informe han sido preparados, en todos sus aspectos significativos, de conformidad con las normas pertinentes de la Ley General de Sociedades N°19.550 y de la Comisión Nacional de Valores, excepto en lo relativo</w:t>
      </w:r>
      <w:r>
        <w:rPr>
          <w:rFonts w:ascii="Trebuchet MS" w:hAnsi="Trebuchet MS"/>
          <w:spacing w:val="40"/>
          <w:sz w:val="20"/>
        </w:rPr>
        <w:t> </w:t>
      </w:r>
      <w:r>
        <w:rPr>
          <w:rFonts w:ascii="Trebuchet MS" w:hAnsi="Trebuchet MS"/>
          <w:sz w:val="20"/>
        </w:rPr>
        <w:t>a la transcripción al libro Diario e Inventarios y Balances dado que a la fecha aún no han sido </w:t>
      </w:r>
      <w:r>
        <w:rPr>
          <w:rFonts w:ascii="Trebuchet MS" w:hAnsi="Trebuchet MS"/>
          <w:spacing w:val="-2"/>
          <w:sz w:val="20"/>
        </w:rPr>
        <w:t>transcriptos.”</w:t>
      </w:r>
    </w:p>
    <w:p>
      <w:pPr>
        <w:pStyle w:val="BodyText"/>
        <w:spacing w:before="4"/>
        <w:rPr>
          <w:rFonts w:ascii="Trebuchet MS"/>
          <w:sz w:val="20"/>
        </w:rPr>
      </w:pPr>
    </w:p>
    <w:p>
      <w:pPr>
        <w:pStyle w:val="ListParagraph"/>
        <w:numPr>
          <w:ilvl w:val="0"/>
          <w:numId w:val="5"/>
        </w:numPr>
        <w:tabs>
          <w:tab w:pos="569" w:val="left" w:leader="none"/>
          <w:tab w:pos="571" w:val="left" w:leader="none"/>
        </w:tabs>
        <w:spacing w:line="240" w:lineRule="auto" w:before="0" w:after="0"/>
        <w:ind w:left="571" w:right="131" w:hanging="284"/>
        <w:jc w:val="both"/>
        <w:rPr>
          <w:rFonts w:ascii="Trebuchet MS" w:hAnsi="Trebuchet MS"/>
          <w:sz w:val="20"/>
        </w:rPr>
      </w:pPr>
      <w:r>
        <w:rPr>
          <w:rFonts w:ascii="Trebuchet MS" w:hAnsi="Trebuchet MS"/>
          <w:sz w:val="20"/>
        </w:rPr>
        <w:t>“Las cifras de los estados financieros mencionados en el apartado 1. de este informe surgen</w:t>
      </w:r>
      <w:r>
        <w:rPr>
          <w:rFonts w:ascii="Trebuchet MS" w:hAnsi="Trebuchet MS"/>
          <w:spacing w:val="40"/>
          <w:sz w:val="20"/>
        </w:rPr>
        <w:t> </w:t>
      </w:r>
      <w:r>
        <w:rPr>
          <w:rFonts w:ascii="Trebuchet MS" w:hAnsi="Trebuchet MS"/>
          <w:sz w:val="20"/>
        </w:rPr>
        <w:t>de los registros contables de la Sociedad, que se encuentran en proceso de transcripción a discos ópticos. En cumplimiento de las normas aplicables de la Comisión Nacional de Valores, informamos que, según nuestro criterio, los sistemas de registros contables mantienen las condiciones de seguridad e integridad en base a las cuales fueron oportunamente </w:t>
      </w:r>
      <w:r>
        <w:rPr>
          <w:rFonts w:ascii="Trebuchet MS" w:hAnsi="Trebuchet MS"/>
          <w:spacing w:val="-2"/>
          <w:sz w:val="20"/>
        </w:rPr>
        <w:t>autorizadas.”</w:t>
      </w:r>
    </w:p>
    <w:p>
      <w:pPr>
        <w:pStyle w:val="ListParagraph"/>
        <w:numPr>
          <w:ilvl w:val="0"/>
          <w:numId w:val="5"/>
        </w:numPr>
        <w:tabs>
          <w:tab w:pos="568" w:val="left" w:leader="none"/>
          <w:tab w:pos="571" w:val="left" w:leader="none"/>
        </w:tabs>
        <w:spacing w:line="240" w:lineRule="auto" w:before="230" w:after="0"/>
        <w:ind w:left="571" w:right="129" w:hanging="284"/>
        <w:jc w:val="both"/>
        <w:rPr>
          <w:rFonts w:ascii="Trebuchet MS" w:hAnsi="Trebuchet MS"/>
          <w:sz w:val="20"/>
        </w:rPr>
      </w:pPr>
      <w:r>
        <w:rPr>
          <w:rFonts w:ascii="Trebuchet MS" w:hAnsi="Trebuchet MS"/>
          <w:sz w:val="20"/>
        </w:rPr>
        <w:t>“Al 31 de agosto de 2025, las deudas devengadas en conceptos de aportes y contribuciones previsionales a favor del Sistema Integrado Previsional Argentino, que surgen de los registros contables de la Sociedad, ascienden a $8.782.125.180, de las cuales $222.743 se encuentran regularizadas con planes de pago, $7.975.324.028 constituye deuda vencida no regularizada y</w:t>
      </w:r>
    </w:p>
    <w:p>
      <w:pPr>
        <w:spacing w:before="3"/>
        <w:ind w:left="571" w:right="0" w:firstLine="0"/>
        <w:jc w:val="both"/>
        <w:rPr>
          <w:rFonts w:ascii="Trebuchet MS" w:hAnsi="Trebuchet MS"/>
          <w:sz w:val="20"/>
        </w:rPr>
      </w:pPr>
      <w:r>
        <w:rPr>
          <w:rFonts w:ascii="Trebuchet MS" w:hAnsi="Trebuchet MS"/>
          <w:sz w:val="20"/>
        </w:rPr>
        <w:t>$806.578.409</w:t>
      </w:r>
      <w:r>
        <w:rPr>
          <w:rFonts w:ascii="Trebuchet MS" w:hAnsi="Trebuchet MS"/>
          <w:spacing w:val="-8"/>
          <w:sz w:val="20"/>
        </w:rPr>
        <w:t> </w:t>
      </w:r>
      <w:r>
        <w:rPr>
          <w:rFonts w:ascii="Trebuchet MS" w:hAnsi="Trebuchet MS"/>
          <w:sz w:val="20"/>
        </w:rPr>
        <w:t>no</w:t>
      </w:r>
      <w:r>
        <w:rPr>
          <w:rFonts w:ascii="Trebuchet MS" w:hAnsi="Trebuchet MS"/>
          <w:spacing w:val="-5"/>
          <w:sz w:val="20"/>
        </w:rPr>
        <w:t> </w:t>
      </w:r>
      <w:r>
        <w:rPr>
          <w:rFonts w:ascii="Trebuchet MS" w:hAnsi="Trebuchet MS"/>
          <w:sz w:val="20"/>
        </w:rPr>
        <w:t>era</w:t>
      </w:r>
      <w:r>
        <w:rPr>
          <w:rFonts w:ascii="Trebuchet MS" w:hAnsi="Trebuchet MS"/>
          <w:spacing w:val="-8"/>
          <w:sz w:val="20"/>
        </w:rPr>
        <w:t> </w:t>
      </w:r>
      <w:r>
        <w:rPr>
          <w:rFonts w:ascii="Trebuchet MS" w:hAnsi="Trebuchet MS"/>
          <w:sz w:val="20"/>
        </w:rPr>
        <w:t>exigible</w:t>
      </w:r>
      <w:r>
        <w:rPr>
          <w:rFonts w:ascii="Trebuchet MS" w:hAnsi="Trebuchet MS"/>
          <w:spacing w:val="-3"/>
          <w:sz w:val="20"/>
        </w:rPr>
        <w:t> </w:t>
      </w:r>
      <w:r>
        <w:rPr>
          <w:rFonts w:ascii="Trebuchet MS" w:hAnsi="Trebuchet MS"/>
          <w:sz w:val="20"/>
        </w:rPr>
        <w:t>a</w:t>
      </w:r>
      <w:r>
        <w:rPr>
          <w:rFonts w:ascii="Trebuchet MS" w:hAnsi="Trebuchet MS"/>
          <w:spacing w:val="-8"/>
          <w:sz w:val="20"/>
        </w:rPr>
        <w:t> </w:t>
      </w:r>
      <w:r>
        <w:rPr>
          <w:rFonts w:ascii="Trebuchet MS" w:hAnsi="Trebuchet MS"/>
          <w:sz w:val="20"/>
        </w:rPr>
        <w:t>esa</w:t>
      </w:r>
      <w:r>
        <w:rPr>
          <w:rFonts w:ascii="Trebuchet MS" w:hAnsi="Trebuchet MS"/>
          <w:spacing w:val="-7"/>
          <w:sz w:val="20"/>
        </w:rPr>
        <w:t> </w:t>
      </w:r>
      <w:r>
        <w:rPr>
          <w:rFonts w:ascii="Trebuchet MS" w:hAnsi="Trebuchet MS"/>
          <w:spacing w:val="-2"/>
          <w:sz w:val="20"/>
        </w:rPr>
        <w:t>fecha.”</w:t>
      </w:r>
    </w:p>
    <w:p>
      <w:pPr>
        <w:pStyle w:val="BodyText"/>
        <w:spacing w:before="1"/>
        <w:rPr>
          <w:rFonts w:ascii="Trebuchet MS"/>
          <w:sz w:val="20"/>
        </w:rPr>
      </w:pPr>
    </w:p>
    <w:p>
      <w:pPr>
        <w:pStyle w:val="ListParagraph"/>
        <w:numPr>
          <w:ilvl w:val="0"/>
          <w:numId w:val="5"/>
        </w:numPr>
        <w:tabs>
          <w:tab w:pos="569" w:val="left" w:leader="none"/>
          <w:tab w:pos="571" w:val="left" w:leader="none"/>
        </w:tabs>
        <w:spacing w:line="240" w:lineRule="auto" w:before="0" w:after="0"/>
        <w:ind w:left="571" w:right="133" w:hanging="284"/>
        <w:jc w:val="both"/>
        <w:rPr>
          <w:rFonts w:ascii="Trebuchet MS" w:hAnsi="Trebuchet MS"/>
          <w:sz w:val="20"/>
        </w:rPr>
      </w:pPr>
      <w:r>
        <w:rPr>
          <w:rFonts w:ascii="Trebuchet MS" w:hAnsi="Trebuchet MS"/>
          <w:sz w:val="20"/>
        </w:rPr>
        <w:t>“Al 31 de agosto de</w:t>
      </w:r>
      <w:r>
        <w:rPr>
          <w:rFonts w:ascii="Trebuchet MS" w:hAnsi="Trebuchet MS"/>
          <w:spacing w:val="-3"/>
          <w:sz w:val="20"/>
        </w:rPr>
        <w:t> </w:t>
      </w:r>
      <w:r>
        <w:rPr>
          <w:rFonts w:ascii="Trebuchet MS" w:hAnsi="Trebuchet MS"/>
          <w:sz w:val="20"/>
        </w:rPr>
        <w:t>2025, la Sociedad</w:t>
      </w:r>
      <w:r>
        <w:rPr>
          <w:rFonts w:ascii="Trebuchet MS" w:hAnsi="Trebuchet MS"/>
          <w:spacing w:val="-1"/>
          <w:sz w:val="20"/>
        </w:rPr>
        <w:t> </w:t>
      </w:r>
      <w:r>
        <w:rPr>
          <w:rFonts w:ascii="Trebuchet MS" w:hAnsi="Trebuchet MS"/>
          <w:sz w:val="20"/>
        </w:rPr>
        <w:t>posee</w:t>
      </w:r>
      <w:r>
        <w:rPr>
          <w:rFonts w:ascii="Trebuchet MS" w:hAnsi="Trebuchet MS"/>
          <w:spacing w:val="-2"/>
          <w:sz w:val="20"/>
        </w:rPr>
        <w:t> </w:t>
      </w:r>
      <w:r>
        <w:rPr>
          <w:rFonts w:ascii="Trebuchet MS" w:hAnsi="Trebuchet MS"/>
          <w:sz w:val="20"/>
        </w:rPr>
        <w:t>un saldo</w:t>
      </w:r>
      <w:r>
        <w:rPr>
          <w:rFonts w:ascii="Trebuchet MS" w:hAnsi="Trebuchet MS"/>
          <w:spacing w:val="-6"/>
          <w:sz w:val="20"/>
        </w:rPr>
        <w:t> </w:t>
      </w:r>
      <w:r>
        <w:rPr>
          <w:rFonts w:ascii="Trebuchet MS" w:hAnsi="Trebuchet MS"/>
          <w:sz w:val="20"/>
        </w:rPr>
        <w:t>a favor ante la</w:t>
      </w:r>
      <w:r>
        <w:rPr>
          <w:rFonts w:ascii="Trebuchet MS" w:hAnsi="Trebuchet MS"/>
          <w:spacing w:val="-3"/>
          <w:sz w:val="20"/>
        </w:rPr>
        <w:t> </w:t>
      </w:r>
      <w:r>
        <w:rPr>
          <w:rFonts w:ascii="Trebuchet MS" w:hAnsi="Trebuchet MS"/>
          <w:sz w:val="20"/>
        </w:rPr>
        <w:t>Administración</w:t>
      </w:r>
      <w:r>
        <w:rPr>
          <w:rFonts w:ascii="Trebuchet MS" w:hAnsi="Trebuchet MS"/>
          <w:spacing w:val="-3"/>
          <w:sz w:val="20"/>
        </w:rPr>
        <w:t> </w:t>
      </w:r>
      <w:r>
        <w:rPr>
          <w:rFonts w:ascii="Trebuchet MS" w:hAnsi="Trebuchet MS"/>
          <w:sz w:val="20"/>
        </w:rPr>
        <w:t>Provincial de Impuestos de la Provincia de Santa Fe en conceptos de impuestos sobre los ingresos </w:t>
      </w:r>
      <w:r>
        <w:rPr>
          <w:rFonts w:ascii="Trebuchet MS" w:hAnsi="Trebuchet MS"/>
          <w:spacing w:val="-2"/>
          <w:sz w:val="20"/>
        </w:rPr>
        <w:t>brutos.”</w:t>
      </w:r>
    </w:p>
    <w:p>
      <w:pPr>
        <w:spacing w:before="229"/>
        <w:ind w:left="288" w:right="0" w:firstLine="0"/>
        <w:jc w:val="left"/>
        <w:rPr>
          <w:rFonts w:ascii="Trebuchet MS" w:hAnsi="Trebuchet MS"/>
          <w:sz w:val="20"/>
        </w:rPr>
      </w:pPr>
      <w:r>
        <w:rPr>
          <w:rFonts w:ascii="Trebuchet MS" w:hAnsi="Trebuchet MS"/>
          <w:sz w:val="20"/>
        </w:rPr>
        <w:t>“Rosario,</w:t>
      </w:r>
      <w:r>
        <w:rPr>
          <w:rFonts w:ascii="Trebuchet MS" w:hAnsi="Trebuchet MS"/>
          <w:spacing w:val="-8"/>
          <w:sz w:val="20"/>
        </w:rPr>
        <w:t> </w:t>
      </w:r>
      <w:r>
        <w:rPr>
          <w:rFonts w:ascii="Trebuchet MS" w:hAnsi="Trebuchet MS"/>
          <w:sz w:val="20"/>
        </w:rPr>
        <w:t>Provincia</w:t>
      </w:r>
      <w:r>
        <w:rPr>
          <w:rFonts w:ascii="Trebuchet MS" w:hAnsi="Trebuchet MS"/>
          <w:spacing w:val="-6"/>
          <w:sz w:val="20"/>
        </w:rPr>
        <w:t> </w:t>
      </w:r>
      <w:r>
        <w:rPr>
          <w:rFonts w:ascii="Trebuchet MS" w:hAnsi="Trebuchet MS"/>
          <w:sz w:val="20"/>
        </w:rPr>
        <w:t>de</w:t>
      </w:r>
      <w:r>
        <w:rPr>
          <w:rFonts w:ascii="Trebuchet MS" w:hAnsi="Trebuchet MS"/>
          <w:spacing w:val="-1"/>
          <w:sz w:val="20"/>
        </w:rPr>
        <w:t> </w:t>
      </w:r>
      <w:r>
        <w:rPr>
          <w:rFonts w:ascii="Trebuchet MS" w:hAnsi="Trebuchet MS"/>
          <w:sz w:val="20"/>
        </w:rPr>
        <w:t>Santa</w:t>
      </w:r>
      <w:r>
        <w:rPr>
          <w:rFonts w:ascii="Trebuchet MS" w:hAnsi="Trebuchet MS"/>
          <w:spacing w:val="-7"/>
          <w:sz w:val="20"/>
        </w:rPr>
        <w:t> </w:t>
      </w:r>
      <w:r>
        <w:rPr>
          <w:rFonts w:ascii="Trebuchet MS" w:hAnsi="Trebuchet MS"/>
          <w:sz w:val="20"/>
        </w:rPr>
        <w:t>Fe,</w:t>
      </w:r>
      <w:r>
        <w:rPr>
          <w:rFonts w:ascii="Trebuchet MS" w:hAnsi="Trebuchet MS"/>
          <w:spacing w:val="-3"/>
          <w:sz w:val="20"/>
        </w:rPr>
        <w:t> </w:t>
      </w:r>
      <w:r>
        <w:rPr>
          <w:rFonts w:ascii="Trebuchet MS" w:hAnsi="Trebuchet MS"/>
          <w:sz w:val="20"/>
        </w:rPr>
        <w:t>13</w:t>
      </w:r>
      <w:r>
        <w:rPr>
          <w:rFonts w:ascii="Trebuchet MS" w:hAnsi="Trebuchet MS"/>
          <w:spacing w:val="-6"/>
          <w:sz w:val="20"/>
        </w:rPr>
        <w:t> </w:t>
      </w:r>
      <w:r>
        <w:rPr>
          <w:rFonts w:ascii="Trebuchet MS" w:hAnsi="Trebuchet MS"/>
          <w:sz w:val="20"/>
        </w:rPr>
        <w:t>de</w:t>
      </w:r>
      <w:r>
        <w:rPr>
          <w:rFonts w:ascii="Trebuchet MS" w:hAnsi="Trebuchet MS"/>
          <w:spacing w:val="-6"/>
          <w:sz w:val="20"/>
        </w:rPr>
        <w:t> </w:t>
      </w:r>
      <w:r>
        <w:rPr>
          <w:rFonts w:ascii="Trebuchet MS" w:hAnsi="Trebuchet MS"/>
          <w:sz w:val="20"/>
        </w:rPr>
        <w:t>octubre</w:t>
      </w:r>
      <w:r>
        <w:rPr>
          <w:rFonts w:ascii="Trebuchet MS" w:hAnsi="Trebuchet MS"/>
          <w:spacing w:val="-5"/>
          <w:sz w:val="20"/>
        </w:rPr>
        <w:t> </w:t>
      </w:r>
      <w:r>
        <w:rPr>
          <w:rFonts w:ascii="Trebuchet MS" w:hAnsi="Trebuchet MS"/>
          <w:sz w:val="20"/>
        </w:rPr>
        <w:t>de</w:t>
      </w:r>
      <w:r>
        <w:rPr>
          <w:rFonts w:ascii="Trebuchet MS" w:hAnsi="Trebuchet MS"/>
          <w:spacing w:val="-1"/>
          <w:sz w:val="20"/>
        </w:rPr>
        <w:t> </w:t>
      </w:r>
      <w:r>
        <w:rPr>
          <w:rFonts w:ascii="Trebuchet MS" w:hAnsi="Trebuchet MS"/>
          <w:spacing w:val="-2"/>
          <w:sz w:val="20"/>
        </w:rPr>
        <w:t>2025.”</w:t>
      </w:r>
    </w:p>
    <w:p>
      <w:pPr>
        <w:pStyle w:val="BodyText"/>
        <w:spacing w:before="5"/>
        <w:rPr>
          <w:rFonts w:ascii="Trebuchet MS"/>
          <w:sz w:val="20"/>
        </w:rPr>
      </w:pPr>
    </w:p>
    <w:tbl>
      <w:tblPr>
        <w:tblW w:w="0" w:type="auto"/>
        <w:jc w:val="left"/>
        <w:tblInd w:w="5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8"/>
      </w:tblGrid>
      <w:tr>
        <w:trPr>
          <w:trHeight w:val="237" w:hRule="atLeast"/>
        </w:trPr>
        <w:tc>
          <w:tcPr>
            <w:tcW w:w="3898" w:type="dxa"/>
          </w:tcPr>
          <w:p>
            <w:pPr>
              <w:pStyle w:val="TableParagraph"/>
              <w:spacing w:line="216" w:lineRule="exact" w:before="1"/>
              <w:ind w:left="1" w:right="2"/>
              <w:jc w:val="center"/>
              <w:rPr>
                <w:b/>
                <w:sz w:val="20"/>
              </w:rPr>
            </w:pPr>
            <w:r>
              <w:rPr>
                <w:b/>
                <w:sz w:val="20"/>
              </w:rPr>
              <w:t>“BECHER</w:t>
            </w:r>
            <w:r>
              <w:rPr>
                <w:b/>
                <w:spacing w:val="-10"/>
                <w:sz w:val="20"/>
              </w:rPr>
              <w:t> </w:t>
            </w:r>
            <w:r>
              <w:rPr>
                <w:b/>
                <w:sz w:val="20"/>
              </w:rPr>
              <w:t>Y</w:t>
            </w:r>
            <w:r>
              <w:rPr>
                <w:b/>
                <w:spacing w:val="-8"/>
                <w:sz w:val="20"/>
              </w:rPr>
              <w:t> </w:t>
            </w:r>
            <w:r>
              <w:rPr>
                <w:b/>
                <w:sz w:val="20"/>
              </w:rPr>
              <w:t>ASOCIADOS</w:t>
            </w:r>
            <w:r>
              <w:rPr>
                <w:b/>
                <w:spacing w:val="-6"/>
                <w:sz w:val="20"/>
              </w:rPr>
              <w:t> </w:t>
            </w:r>
            <w:r>
              <w:rPr>
                <w:b/>
                <w:spacing w:val="-2"/>
                <w:sz w:val="20"/>
              </w:rPr>
              <w:t>S.R.L.</w:t>
            </w:r>
          </w:p>
        </w:tc>
      </w:tr>
      <w:tr>
        <w:trPr>
          <w:trHeight w:val="587" w:hRule="atLeast"/>
        </w:trPr>
        <w:tc>
          <w:tcPr>
            <w:tcW w:w="3898" w:type="dxa"/>
          </w:tcPr>
          <w:p>
            <w:pPr>
              <w:pStyle w:val="TableParagraph"/>
              <w:spacing w:line="240" w:lineRule="auto" w:before="4"/>
              <w:ind w:left="50"/>
              <w:rPr>
                <w:sz w:val="20"/>
              </w:rPr>
            </w:pPr>
            <w:r>
              <w:rPr>
                <w:sz w:val="20"/>
              </w:rPr>
              <w:t>C.P.C.E.</w:t>
            </w:r>
            <w:r>
              <w:rPr>
                <w:spacing w:val="-7"/>
                <w:sz w:val="20"/>
              </w:rPr>
              <w:t> </w:t>
            </w:r>
            <w:r>
              <w:rPr>
                <w:sz w:val="20"/>
              </w:rPr>
              <w:t>Prov.</w:t>
            </w:r>
            <w:r>
              <w:rPr>
                <w:spacing w:val="-7"/>
                <w:sz w:val="20"/>
              </w:rPr>
              <w:t> </w:t>
            </w:r>
            <w:r>
              <w:rPr>
                <w:sz w:val="20"/>
              </w:rPr>
              <w:t>Santa</w:t>
            </w:r>
            <w:r>
              <w:rPr>
                <w:spacing w:val="-5"/>
                <w:sz w:val="20"/>
              </w:rPr>
              <w:t> </w:t>
            </w:r>
            <w:r>
              <w:rPr>
                <w:sz w:val="20"/>
              </w:rPr>
              <w:t>Fe</w:t>
            </w:r>
            <w:r>
              <w:rPr>
                <w:spacing w:val="-2"/>
                <w:sz w:val="20"/>
              </w:rPr>
              <w:t> </w:t>
            </w:r>
            <w:r>
              <w:rPr>
                <w:sz w:val="20"/>
              </w:rPr>
              <w:t>–</w:t>
            </w:r>
            <w:r>
              <w:rPr>
                <w:spacing w:val="-11"/>
                <w:sz w:val="20"/>
              </w:rPr>
              <w:t> </w:t>
            </w:r>
            <w:r>
              <w:rPr>
                <w:sz w:val="20"/>
              </w:rPr>
              <w:t>Matrícula</w:t>
            </w:r>
            <w:r>
              <w:rPr>
                <w:spacing w:val="-4"/>
                <w:sz w:val="20"/>
              </w:rPr>
              <w:t> </w:t>
            </w:r>
            <w:r>
              <w:rPr>
                <w:sz w:val="20"/>
              </w:rPr>
              <w:t>7-</w:t>
            </w:r>
            <w:r>
              <w:rPr>
                <w:spacing w:val="-4"/>
                <w:sz w:val="20"/>
              </w:rPr>
              <w:t>282”</w:t>
            </w:r>
          </w:p>
        </w:tc>
      </w:tr>
      <w:tr>
        <w:trPr>
          <w:trHeight w:val="587" w:hRule="atLeast"/>
        </w:trPr>
        <w:tc>
          <w:tcPr>
            <w:tcW w:w="3898" w:type="dxa"/>
          </w:tcPr>
          <w:p>
            <w:pPr>
              <w:pStyle w:val="TableParagraph"/>
              <w:spacing w:line="240" w:lineRule="auto" w:before="120"/>
              <w:rPr>
                <w:sz w:val="20"/>
              </w:rPr>
            </w:pPr>
          </w:p>
          <w:p>
            <w:pPr>
              <w:pStyle w:val="TableParagraph"/>
              <w:spacing w:line="216" w:lineRule="exact"/>
              <w:ind w:right="2"/>
              <w:jc w:val="center"/>
              <w:rPr>
                <w:sz w:val="20"/>
              </w:rPr>
            </w:pPr>
            <w:r>
              <w:rPr>
                <w:sz w:val="20"/>
              </w:rPr>
              <w:t>“Fabián</w:t>
            </w:r>
            <w:r>
              <w:rPr>
                <w:spacing w:val="-7"/>
                <w:sz w:val="20"/>
              </w:rPr>
              <w:t> </w:t>
            </w:r>
            <w:r>
              <w:rPr>
                <w:sz w:val="20"/>
              </w:rPr>
              <w:t>Gustavo</w:t>
            </w:r>
            <w:r>
              <w:rPr>
                <w:spacing w:val="-9"/>
                <w:sz w:val="20"/>
              </w:rPr>
              <w:t> </w:t>
            </w:r>
            <w:r>
              <w:rPr>
                <w:sz w:val="20"/>
              </w:rPr>
              <w:t>Marcote</w:t>
            </w:r>
            <w:r>
              <w:rPr>
                <w:spacing w:val="-6"/>
                <w:sz w:val="20"/>
              </w:rPr>
              <w:t> </w:t>
            </w:r>
            <w:r>
              <w:rPr>
                <w:spacing w:val="-2"/>
                <w:sz w:val="20"/>
              </w:rPr>
              <w:t>(Socio)</w:t>
            </w:r>
          </w:p>
        </w:tc>
      </w:tr>
      <w:tr>
        <w:trPr>
          <w:trHeight w:val="240" w:hRule="atLeast"/>
        </w:trPr>
        <w:tc>
          <w:tcPr>
            <w:tcW w:w="3898" w:type="dxa"/>
          </w:tcPr>
          <w:p>
            <w:pPr>
              <w:pStyle w:val="TableParagraph"/>
              <w:spacing w:line="216" w:lineRule="exact" w:before="4"/>
              <w:ind w:left="2" w:right="2"/>
              <w:jc w:val="center"/>
              <w:rPr>
                <w:sz w:val="20"/>
              </w:rPr>
            </w:pPr>
            <w:r>
              <w:rPr>
                <w:sz w:val="20"/>
              </w:rPr>
              <w:t>Contador</w:t>
            </w:r>
            <w:r>
              <w:rPr>
                <w:spacing w:val="-9"/>
                <w:sz w:val="20"/>
              </w:rPr>
              <w:t> </w:t>
            </w:r>
            <w:r>
              <w:rPr>
                <w:sz w:val="20"/>
              </w:rPr>
              <w:t>Público</w:t>
            </w:r>
            <w:r>
              <w:rPr>
                <w:spacing w:val="-4"/>
                <w:sz w:val="20"/>
              </w:rPr>
              <w:t> </w:t>
            </w:r>
            <w:r>
              <w:rPr>
                <w:spacing w:val="-2"/>
                <w:sz w:val="20"/>
              </w:rPr>
              <w:t>(U.B.A)</w:t>
            </w:r>
          </w:p>
        </w:tc>
      </w:tr>
      <w:tr>
        <w:trPr>
          <w:trHeight w:val="237" w:hRule="atLeast"/>
        </w:trPr>
        <w:tc>
          <w:tcPr>
            <w:tcW w:w="3898" w:type="dxa"/>
          </w:tcPr>
          <w:p>
            <w:pPr>
              <w:pStyle w:val="TableParagraph"/>
              <w:spacing w:before="4"/>
              <w:ind w:left="174"/>
              <w:rPr>
                <w:sz w:val="20"/>
              </w:rPr>
            </w:pPr>
            <w:r>
              <w:rPr>
                <w:sz w:val="20"/>
              </w:rPr>
              <w:t>C.P.C.E.</w:t>
            </w:r>
            <w:r>
              <w:rPr>
                <w:spacing w:val="-6"/>
                <w:sz w:val="20"/>
              </w:rPr>
              <w:t> </w:t>
            </w:r>
            <w:r>
              <w:rPr>
                <w:sz w:val="20"/>
              </w:rPr>
              <w:t>Prov.</w:t>
            </w:r>
            <w:r>
              <w:rPr>
                <w:spacing w:val="-5"/>
                <w:sz w:val="20"/>
              </w:rPr>
              <w:t> </w:t>
            </w:r>
            <w:r>
              <w:rPr>
                <w:sz w:val="20"/>
              </w:rPr>
              <w:t>Santa</w:t>
            </w:r>
            <w:r>
              <w:rPr>
                <w:spacing w:val="-4"/>
                <w:sz w:val="20"/>
              </w:rPr>
              <w:t> </w:t>
            </w:r>
            <w:r>
              <w:rPr>
                <w:sz w:val="20"/>
              </w:rPr>
              <w:t>Fe –</w:t>
            </w:r>
            <w:r>
              <w:rPr>
                <w:spacing w:val="-9"/>
                <w:sz w:val="20"/>
              </w:rPr>
              <w:t> </w:t>
            </w:r>
            <w:r>
              <w:rPr>
                <w:sz w:val="20"/>
              </w:rPr>
              <w:t>Matr.</w:t>
            </w:r>
            <w:r>
              <w:rPr>
                <w:spacing w:val="-5"/>
                <w:sz w:val="20"/>
              </w:rPr>
              <w:t> </w:t>
            </w:r>
            <w:r>
              <w:rPr>
                <w:spacing w:val="-2"/>
                <w:sz w:val="20"/>
              </w:rPr>
              <w:t>16.845”</w:t>
            </w:r>
          </w:p>
        </w:tc>
      </w:tr>
    </w:tbl>
    <w:p>
      <w:pPr>
        <w:pStyle w:val="BodyText"/>
        <w:rPr>
          <w:rFonts w:ascii="Trebuchet MS"/>
          <w:sz w:val="20"/>
        </w:rPr>
      </w:pPr>
    </w:p>
    <w:p>
      <w:pPr>
        <w:pStyle w:val="BodyText"/>
        <w:rPr>
          <w:rFonts w:ascii="Trebuchet MS"/>
          <w:sz w:val="20"/>
        </w:rPr>
      </w:pPr>
    </w:p>
    <w:p>
      <w:pPr>
        <w:pStyle w:val="BodyText"/>
        <w:spacing w:before="39"/>
        <w:rPr>
          <w:rFonts w:ascii="Trebuchet MS"/>
          <w:sz w:val="20"/>
        </w:rPr>
      </w:pPr>
    </w:p>
    <w:p>
      <w:pPr>
        <w:spacing w:line="480" w:lineRule="auto" w:before="0"/>
        <w:ind w:left="288" w:right="136" w:firstLine="705"/>
        <w:jc w:val="both"/>
        <w:rPr>
          <w:rFonts w:ascii="Arial MT" w:hAnsi="Arial MT"/>
          <w:sz w:val="24"/>
        </w:rPr>
      </w:pPr>
      <w:r>
        <w:rPr>
          <w:rFonts w:ascii="Arial MT" w:hAnsi="Arial MT"/>
          <w:sz w:val="24"/>
        </w:rPr>
        <w:t>Finalmente, conforme lo establece el artículo 13 del Estatuto de la Sociedad, toma la palabra el Dr. Daniel Gallo, en representación de la Comisión Fiscalizadora,</w:t>
      </w:r>
      <w:r>
        <w:rPr>
          <w:rFonts w:ascii="Arial MT" w:hAnsi="Arial MT"/>
          <w:spacing w:val="40"/>
          <w:sz w:val="24"/>
        </w:rPr>
        <w:t> </w:t>
      </w:r>
      <w:r>
        <w:rPr>
          <w:rFonts w:ascii="Arial MT" w:hAnsi="Arial MT"/>
          <w:sz w:val="24"/>
        </w:rPr>
        <w:t>y</w:t>
      </w:r>
      <w:r>
        <w:rPr>
          <w:rFonts w:ascii="Arial MT" w:hAnsi="Arial MT"/>
          <w:spacing w:val="40"/>
          <w:sz w:val="24"/>
        </w:rPr>
        <w:t> </w:t>
      </w:r>
      <w:r>
        <w:rPr>
          <w:rFonts w:ascii="Arial MT" w:hAnsi="Arial MT"/>
          <w:sz w:val="24"/>
        </w:rPr>
        <w:t>manifiesta</w:t>
      </w:r>
      <w:r>
        <w:rPr>
          <w:rFonts w:ascii="Arial MT" w:hAnsi="Arial MT"/>
          <w:spacing w:val="40"/>
          <w:sz w:val="24"/>
        </w:rPr>
        <w:t> </w:t>
      </w:r>
      <w:r>
        <w:rPr>
          <w:rFonts w:ascii="Arial MT" w:hAnsi="Arial MT"/>
          <w:sz w:val="24"/>
        </w:rPr>
        <w:t>que,</w:t>
      </w:r>
      <w:r>
        <w:rPr>
          <w:rFonts w:ascii="Arial MT" w:hAnsi="Arial MT"/>
          <w:spacing w:val="40"/>
          <w:sz w:val="24"/>
        </w:rPr>
        <w:t> </w:t>
      </w:r>
      <w:r>
        <w:rPr>
          <w:rFonts w:ascii="Arial MT" w:hAnsi="Arial MT"/>
          <w:sz w:val="24"/>
        </w:rPr>
        <w:t>tal</w:t>
      </w:r>
      <w:r>
        <w:rPr>
          <w:rFonts w:ascii="Arial MT" w:hAnsi="Arial MT"/>
          <w:spacing w:val="40"/>
          <w:sz w:val="24"/>
        </w:rPr>
        <w:t> </w:t>
      </w:r>
      <w:r>
        <w:rPr>
          <w:rFonts w:ascii="Arial MT" w:hAnsi="Arial MT"/>
          <w:sz w:val="24"/>
        </w:rPr>
        <w:t>cual</w:t>
      </w:r>
      <w:r>
        <w:rPr>
          <w:rFonts w:ascii="Arial MT" w:hAnsi="Arial MT"/>
          <w:spacing w:val="40"/>
          <w:sz w:val="24"/>
        </w:rPr>
        <w:t> </w:t>
      </w:r>
      <w:r>
        <w:rPr>
          <w:rFonts w:ascii="Arial MT" w:hAnsi="Arial MT"/>
          <w:sz w:val="24"/>
        </w:rPr>
        <w:t>se</w:t>
      </w:r>
      <w:r>
        <w:rPr>
          <w:rFonts w:ascii="Arial MT" w:hAnsi="Arial MT"/>
          <w:spacing w:val="40"/>
          <w:sz w:val="24"/>
        </w:rPr>
        <w:t> </w:t>
      </w:r>
      <w:r>
        <w:rPr>
          <w:rFonts w:ascii="Arial MT" w:hAnsi="Arial MT"/>
          <w:sz w:val="24"/>
        </w:rPr>
        <w:t>indicó</w:t>
      </w:r>
      <w:r>
        <w:rPr>
          <w:rFonts w:ascii="Arial MT" w:hAnsi="Arial MT"/>
          <w:spacing w:val="40"/>
          <w:sz w:val="24"/>
        </w:rPr>
        <w:t> </w:t>
      </w:r>
      <w:r>
        <w:rPr>
          <w:rFonts w:ascii="Arial MT" w:hAnsi="Arial MT"/>
          <w:sz w:val="24"/>
        </w:rPr>
        <w:t>precedentemente,</w:t>
      </w:r>
      <w:r>
        <w:rPr>
          <w:rFonts w:ascii="Arial MT" w:hAnsi="Arial MT"/>
          <w:spacing w:val="40"/>
          <w:sz w:val="24"/>
        </w:rPr>
        <w:t> </w:t>
      </w:r>
      <w:r>
        <w:rPr>
          <w:rFonts w:ascii="Arial MT" w:hAnsi="Arial MT"/>
          <w:sz w:val="24"/>
        </w:rPr>
        <w:t>todos</w:t>
      </w:r>
      <w:r>
        <w:rPr>
          <w:rFonts w:ascii="Arial MT" w:hAnsi="Arial MT"/>
          <w:spacing w:val="40"/>
          <w:sz w:val="24"/>
        </w:rPr>
        <w:t> </w:t>
      </w:r>
      <w:r>
        <w:rPr>
          <w:rFonts w:ascii="Arial MT" w:hAnsi="Arial MT"/>
          <w:sz w:val="24"/>
        </w:rPr>
        <w:t>los</w:t>
      </w:r>
    </w:p>
    <w:p>
      <w:pPr>
        <w:spacing w:after="0" w:line="480" w:lineRule="auto"/>
        <w:jc w:val="both"/>
        <w:rPr>
          <w:rFonts w:ascii="Arial MT" w:hAnsi="Arial MT"/>
          <w:sz w:val="24"/>
        </w:rPr>
        <w:sectPr>
          <w:pgSz w:w="11910" w:h="16840"/>
          <w:pgMar w:header="509" w:footer="0" w:top="2000" w:bottom="280" w:left="1700" w:right="992"/>
        </w:sectPr>
      </w:pPr>
    </w:p>
    <w:p>
      <w:pPr>
        <w:pStyle w:val="BodyText"/>
        <w:spacing w:before="23"/>
        <w:rPr>
          <w:rFonts w:ascii="Arial MT"/>
          <w:sz w:val="24"/>
        </w:rPr>
      </w:pPr>
    </w:p>
    <w:p>
      <w:pPr>
        <w:spacing w:line="480" w:lineRule="auto" w:before="0"/>
        <w:ind w:left="288" w:right="127" w:firstLine="0"/>
        <w:jc w:val="both"/>
        <w:rPr>
          <w:rFonts w:ascii="Arial MT" w:hAnsi="Arial MT"/>
          <w:sz w:val="24"/>
        </w:rPr>
      </w:pPr>
      <w:r>
        <w:rPr>
          <w:rFonts w:ascii="Arial MT" w:hAnsi="Arial MT"/>
          <w:sz w:val="24"/>
        </w:rPr>
        <w:t>Directores participaron a distancia comunicados mediante videoteleconferencia y que las decisiones adoptadas por este Directorio en la presente reunión son regulares, legales y eficaces.</w:t>
      </w:r>
    </w:p>
    <w:p>
      <w:pPr>
        <w:spacing w:line="362" w:lineRule="auto" w:before="275"/>
        <w:ind w:left="288" w:right="141" w:firstLine="720"/>
        <w:jc w:val="both"/>
        <w:rPr>
          <w:rFonts w:ascii="Arial MT" w:hAnsi="Arial MT"/>
          <w:sz w:val="24"/>
        </w:rPr>
      </w:pPr>
      <w:r>
        <w:rPr>
          <w:rFonts w:ascii="Arial MT" w:hAnsi="Arial MT"/>
          <w:sz w:val="24"/>
        </w:rPr>
        <w:t>No habiendo otros temas para tratar se da por finalizada la presente </w:t>
      </w:r>
      <w:r>
        <w:rPr>
          <w:rFonts w:ascii="Arial MT" w:hAnsi="Arial MT"/>
          <w:spacing w:val="-2"/>
          <w:sz w:val="24"/>
        </w:rPr>
        <w:t>reunión.-</w:t>
      </w:r>
    </w:p>
    <w:p>
      <w:pPr>
        <w:spacing w:line="360" w:lineRule="auto" w:before="275"/>
        <w:ind w:left="288" w:right="125" w:firstLine="0"/>
        <w:jc w:val="both"/>
        <w:rPr>
          <w:rFonts w:ascii="Arial MT" w:hAnsi="Arial MT"/>
          <w:sz w:val="24"/>
        </w:rPr>
      </w:pPr>
      <w:r>
        <w:rPr>
          <w:rFonts w:ascii="Arial MT" w:hAnsi="Arial MT"/>
          <w:sz w:val="24"/>
        </w:rPr>
        <w:t>Firmado: Francisco Roberto Santandreu, Jorge Adrián Tomas, Ignacio Marseillan, Javier Armando Lorente y Alberto Adem – Directores Titulares; Daniel Gallo, Antonio Lattuca y Daniel Lucca – Miembros de la Comisión Fiscalizadora.</w:t>
      </w:r>
    </w:p>
    <w:p>
      <w:pPr>
        <w:pStyle w:val="BodyText"/>
        <w:spacing w:before="273"/>
        <w:rPr>
          <w:rFonts w:ascii="Arial MT"/>
          <w:sz w:val="24"/>
        </w:rPr>
      </w:pPr>
    </w:p>
    <w:p>
      <w:pPr>
        <w:spacing w:before="0"/>
        <w:ind w:left="288" w:right="126" w:firstLine="0"/>
        <w:jc w:val="both"/>
        <w:rPr>
          <w:rFonts w:ascii="Arial" w:hAnsi="Arial"/>
          <w:b/>
          <w:sz w:val="24"/>
        </w:rPr>
      </w:pPr>
      <w:r>
        <w:rPr>
          <w:rFonts w:ascii="Arial" w:hAnsi="Arial"/>
          <w:b/>
          <w:sz w:val="24"/>
        </w:rPr>
        <w:t>La presente es copia fiel del Acta de Directorio N° 1746 de fecha 13 de octubre de 2025.</w:t>
      </w:r>
    </w:p>
    <w:sectPr>
      <w:pgSz w:w="11910" w:h="16840"/>
      <w:pgMar w:header="509" w:footer="0" w:top="2000" w:bottom="280" w:left="170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3008">
          <wp:simplePos x="0" y="0"/>
          <wp:positionH relativeFrom="page">
            <wp:posOffset>3569589</wp:posOffset>
          </wp:positionH>
          <wp:positionV relativeFrom="page">
            <wp:posOffset>322977</wp:posOffset>
          </wp:positionV>
          <wp:extent cx="978069" cy="79805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978069" cy="79805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288" w:hanging="505"/>
        <w:jc w:val="righ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3" w:hanging="505"/>
      </w:pPr>
      <w:rPr>
        <w:rFonts w:hint="default"/>
        <w:lang w:val="es-ES" w:eastAsia="en-US" w:bidi="ar-SA"/>
      </w:rPr>
    </w:lvl>
    <w:lvl w:ilvl="2">
      <w:start w:val="0"/>
      <w:numFmt w:val="bullet"/>
      <w:lvlText w:val="•"/>
      <w:lvlJc w:val="left"/>
      <w:pPr>
        <w:ind w:left="2066" w:hanging="505"/>
      </w:pPr>
      <w:rPr>
        <w:rFonts w:hint="default"/>
        <w:lang w:val="es-ES" w:eastAsia="en-US" w:bidi="ar-SA"/>
      </w:rPr>
    </w:lvl>
    <w:lvl w:ilvl="3">
      <w:start w:val="0"/>
      <w:numFmt w:val="bullet"/>
      <w:lvlText w:val="•"/>
      <w:lvlJc w:val="left"/>
      <w:pPr>
        <w:ind w:left="2959" w:hanging="505"/>
      </w:pPr>
      <w:rPr>
        <w:rFonts w:hint="default"/>
        <w:lang w:val="es-ES" w:eastAsia="en-US" w:bidi="ar-SA"/>
      </w:rPr>
    </w:lvl>
    <w:lvl w:ilvl="4">
      <w:start w:val="0"/>
      <w:numFmt w:val="bullet"/>
      <w:lvlText w:val="•"/>
      <w:lvlJc w:val="left"/>
      <w:pPr>
        <w:ind w:left="3852" w:hanging="505"/>
      </w:pPr>
      <w:rPr>
        <w:rFonts w:hint="default"/>
        <w:lang w:val="es-ES" w:eastAsia="en-US" w:bidi="ar-SA"/>
      </w:rPr>
    </w:lvl>
    <w:lvl w:ilvl="5">
      <w:start w:val="0"/>
      <w:numFmt w:val="bullet"/>
      <w:lvlText w:val="•"/>
      <w:lvlJc w:val="left"/>
      <w:pPr>
        <w:ind w:left="4746" w:hanging="505"/>
      </w:pPr>
      <w:rPr>
        <w:rFonts w:hint="default"/>
        <w:lang w:val="es-ES" w:eastAsia="en-US" w:bidi="ar-SA"/>
      </w:rPr>
    </w:lvl>
    <w:lvl w:ilvl="6">
      <w:start w:val="0"/>
      <w:numFmt w:val="bullet"/>
      <w:lvlText w:val="•"/>
      <w:lvlJc w:val="left"/>
      <w:pPr>
        <w:ind w:left="5639" w:hanging="505"/>
      </w:pPr>
      <w:rPr>
        <w:rFonts w:hint="default"/>
        <w:lang w:val="es-ES" w:eastAsia="en-US" w:bidi="ar-SA"/>
      </w:rPr>
    </w:lvl>
    <w:lvl w:ilvl="7">
      <w:start w:val="0"/>
      <w:numFmt w:val="bullet"/>
      <w:lvlText w:val="•"/>
      <w:lvlJc w:val="left"/>
      <w:pPr>
        <w:ind w:left="6532" w:hanging="505"/>
      </w:pPr>
      <w:rPr>
        <w:rFonts w:hint="default"/>
        <w:lang w:val="es-ES" w:eastAsia="en-US" w:bidi="ar-SA"/>
      </w:rPr>
    </w:lvl>
    <w:lvl w:ilvl="8">
      <w:start w:val="0"/>
      <w:numFmt w:val="bullet"/>
      <w:lvlText w:val="•"/>
      <w:lvlJc w:val="left"/>
      <w:pPr>
        <w:ind w:left="7425" w:hanging="505"/>
      </w:pPr>
      <w:rPr>
        <w:rFonts w:hint="default"/>
        <w:lang w:val="es-ES" w:eastAsia="en-US" w:bidi="ar-SA"/>
      </w:rPr>
    </w:lvl>
  </w:abstractNum>
  <w:abstractNum w:abstractNumId="4">
    <w:multiLevelType w:val="hybridMultilevel"/>
    <w:lvl w:ilvl="0">
      <w:start w:val="1"/>
      <w:numFmt w:val="lowerLetter"/>
      <w:lvlText w:val="%1)"/>
      <w:lvlJc w:val="left"/>
      <w:pPr>
        <w:ind w:left="571" w:hanging="284"/>
        <w:jc w:val="left"/>
      </w:pPr>
      <w:rPr>
        <w:rFonts w:hint="default" w:ascii="Trebuchet MS" w:hAnsi="Trebuchet MS" w:eastAsia="Trebuchet MS" w:cs="Trebuchet MS"/>
        <w:b w:val="0"/>
        <w:bCs w:val="0"/>
        <w:i w:val="0"/>
        <w:iCs w:val="0"/>
        <w:spacing w:val="-1"/>
        <w:w w:val="100"/>
        <w:sz w:val="20"/>
        <w:szCs w:val="20"/>
        <w:lang w:val="es-ES" w:eastAsia="en-US" w:bidi="ar-SA"/>
      </w:rPr>
    </w:lvl>
    <w:lvl w:ilvl="1">
      <w:start w:val="0"/>
      <w:numFmt w:val="bullet"/>
      <w:lvlText w:val="•"/>
      <w:lvlJc w:val="left"/>
      <w:pPr>
        <w:ind w:left="1443" w:hanging="284"/>
      </w:pPr>
      <w:rPr>
        <w:rFonts w:hint="default"/>
        <w:lang w:val="es-ES" w:eastAsia="en-US" w:bidi="ar-SA"/>
      </w:rPr>
    </w:lvl>
    <w:lvl w:ilvl="2">
      <w:start w:val="0"/>
      <w:numFmt w:val="bullet"/>
      <w:lvlText w:val="•"/>
      <w:lvlJc w:val="left"/>
      <w:pPr>
        <w:ind w:left="2306" w:hanging="284"/>
      </w:pPr>
      <w:rPr>
        <w:rFonts w:hint="default"/>
        <w:lang w:val="es-ES" w:eastAsia="en-US" w:bidi="ar-SA"/>
      </w:rPr>
    </w:lvl>
    <w:lvl w:ilvl="3">
      <w:start w:val="0"/>
      <w:numFmt w:val="bullet"/>
      <w:lvlText w:val="•"/>
      <w:lvlJc w:val="left"/>
      <w:pPr>
        <w:ind w:left="3169" w:hanging="284"/>
      </w:pPr>
      <w:rPr>
        <w:rFonts w:hint="default"/>
        <w:lang w:val="es-ES" w:eastAsia="en-US" w:bidi="ar-SA"/>
      </w:rPr>
    </w:lvl>
    <w:lvl w:ilvl="4">
      <w:start w:val="0"/>
      <w:numFmt w:val="bullet"/>
      <w:lvlText w:val="•"/>
      <w:lvlJc w:val="left"/>
      <w:pPr>
        <w:ind w:left="4032" w:hanging="284"/>
      </w:pPr>
      <w:rPr>
        <w:rFonts w:hint="default"/>
        <w:lang w:val="es-ES" w:eastAsia="en-US" w:bidi="ar-SA"/>
      </w:rPr>
    </w:lvl>
    <w:lvl w:ilvl="5">
      <w:start w:val="0"/>
      <w:numFmt w:val="bullet"/>
      <w:lvlText w:val="•"/>
      <w:lvlJc w:val="left"/>
      <w:pPr>
        <w:ind w:left="4896" w:hanging="284"/>
      </w:pPr>
      <w:rPr>
        <w:rFonts w:hint="default"/>
        <w:lang w:val="es-ES" w:eastAsia="en-US" w:bidi="ar-SA"/>
      </w:rPr>
    </w:lvl>
    <w:lvl w:ilvl="6">
      <w:start w:val="0"/>
      <w:numFmt w:val="bullet"/>
      <w:lvlText w:val="•"/>
      <w:lvlJc w:val="left"/>
      <w:pPr>
        <w:ind w:left="5759" w:hanging="284"/>
      </w:pPr>
      <w:rPr>
        <w:rFonts w:hint="default"/>
        <w:lang w:val="es-ES" w:eastAsia="en-US" w:bidi="ar-SA"/>
      </w:rPr>
    </w:lvl>
    <w:lvl w:ilvl="7">
      <w:start w:val="0"/>
      <w:numFmt w:val="bullet"/>
      <w:lvlText w:val="•"/>
      <w:lvlJc w:val="left"/>
      <w:pPr>
        <w:ind w:left="6622" w:hanging="284"/>
      </w:pPr>
      <w:rPr>
        <w:rFonts w:hint="default"/>
        <w:lang w:val="es-ES" w:eastAsia="en-US" w:bidi="ar-SA"/>
      </w:rPr>
    </w:lvl>
    <w:lvl w:ilvl="8">
      <w:start w:val="0"/>
      <w:numFmt w:val="bullet"/>
      <w:lvlText w:val="•"/>
      <w:lvlJc w:val="left"/>
      <w:pPr>
        <w:ind w:left="7485" w:hanging="284"/>
      </w:pPr>
      <w:rPr>
        <w:rFonts w:hint="default"/>
        <w:lang w:val="es-ES" w:eastAsia="en-US" w:bidi="ar-SA"/>
      </w:rPr>
    </w:lvl>
  </w:abstractNum>
  <w:abstractNum w:abstractNumId="3">
    <w:multiLevelType w:val="hybridMultilevel"/>
    <w:lvl w:ilvl="0">
      <w:start w:val="1"/>
      <w:numFmt w:val="decimal"/>
      <w:lvlText w:val="%1."/>
      <w:lvlJc w:val="left"/>
      <w:pPr>
        <w:ind w:left="571" w:hanging="284"/>
        <w:jc w:val="left"/>
      </w:pPr>
      <w:rPr>
        <w:rFonts w:hint="default" w:ascii="Trebuchet MS" w:hAnsi="Trebuchet MS" w:eastAsia="Trebuchet MS" w:cs="Trebuchet MS"/>
        <w:b/>
        <w:bCs/>
        <w:i w:val="0"/>
        <w:iCs w:val="0"/>
        <w:spacing w:val="0"/>
        <w:w w:val="100"/>
        <w:sz w:val="20"/>
        <w:szCs w:val="20"/>
        <w:lang w:val="es-ES" w:eastAsia="en-US" w:bidi="ar-SA"/>
      </w:rPr>
    </w:lvl>
    <w:lvl w:ilvl="1">
      <w:start w:val="1"/>
      <w:numFmt w:val="lowerLetter"/>
      <w:lvlText w:val="%2)"/>
      <w:lvlJc w:val="left"/>
      <w:pPr>
        <w:ind w:left="854" w:hanging="284"/>
        <w:jc w:val="left"/>
      </w:pPr>
      <w:rPr>
        <w:rFonts w:hint="default" w:ascii="Trebuchet MS" w:hAnsi="Trebuchet MS" w:eastAsia="Trebuchet MS" w:cs="Trebuchet MS"/>
        <w:b w:val="0"/>
        <w:bCs w:val="0"/>
        <w:i w:val="0"/>
        <w:iCs w:val="0"/>
        <w:spacing w:val="-1"/>
        <w:w w:val="100"/>
        <w:sz w:val="20"/>
        <w:szCs w:val="20"/>
        <w:lang w:val="es-ES" w:eastAsia="en-US" w:bidi="ar-SA"/>
      </w:rPr>
    </w:lvl>
    <w:lvl w:ilvl="2">
      <w:start w:val="0"/>
      <w:numFmt w:val="bullet"/>
      <w:lvlText w:val="•"/>
      <w:lvlJc w:val="left"/>
      <w:pPr>
        <w:ind w:left="1000" w:hanging="284"/>
      </w:pPr>
      <w:rPr>
        <w:rFonts w:hint="default"/>
        <w:lang w:val="es-ES" w:eastAsia="en-US" w:bidi="ar-SA"/>
      </w:rPr>
    </w:lvl>
    <w:lvl w:ilvl="3">
      <w:start w:val="0"/>
      <w:numFmt w:val="bullet"/>
      <w:lvlText w:val="•"/>
      <w:lvlJc w:val="left"/>
      <w:pPr>
        <w:ind w:left="2026" w:hanging="284"/>
      </w:pPr>
      <w:rPr>
        <w:rFonts w:hint="default"/>
        <w:lang w:val="es-ES" w:eastAsia="en-US" w:bidi="ar-SA"/>
      </w:rPr>
    </w:lvl>
    <w:lvl w:ilvl="4">
      <w:start w:val="0"/>
      <w:numFmt w:val="bullet"/>
      <w:lvlText w:val="•"/>
      <w:lvlJc w:val="left"/>
      <w:pPr>
        <w:ind w:left="3053" w:hanging="284"/>
      </w:pPr>
      <w:rPr>
        <w:rFonts w:hint="default"/>
        <w:lang w:val="es-ES" w:eastAsia="en-US" w:bidi="ar-SA"/>
      </w:rPr>
    </w:lvl>
    <w:lvl w:ilvl="5">
      <w:start w:val="0"/>
      <w:numFmt w:val="bullet"/>
      <w:lvlText w:val="•"/>
      <w:lvlJc w:val="left"/>
      <w:pPr>
        <w:ind w:left="4079" w:hanging="284"/>
      </w:pPr>
      <w:rPr>
        <w:rFonts w:hint="default"/>
        <w:lang w:val="es-ES" w:eastAsia="en-US" w:bidi="ar-SA"/>
      </w:rPr>
    </w:lvl>
    <w:lvl w:ilvl="6">
      <w:start w:val="0"/>
      <w:numFmt w:val="bullet"/>
      <w:lvlText w:val="•"/>
      <w:lvlJc w:val="left"/>
      <w:pPr>
        <w:ind w:left="5106" w:hanging="284"/>
      </w:pPr>
      <w:rPr>
        <w:rFonts w:hint="default"/>
        <w:lang w:val="es-ES" w:eastAsia="en-US" w:bidi="ar-SA"/>
      </w:rPr>
    </w:lvl>
    <w:lvl w:ilvl="7">
      <w:start w:val="0"/>
      <w:numFmt w:val="bullet"/>
      <w:lvlText w:val="•"/>
      <w:lvlJc w:val="left"/>
      <w:pPr>
        <w:ind w:left="6132" w:hanging="284"/>
      </w:pPr>
      <w:rPr>
        <w:rFonts w:hint="default"/>
        <w:lang w:val="es-ES" w:eastAsia="en-US" w:bidi="ar-SA"/>
      </w:rPr>
    </w:lvl>
    <w:lvl w:ilvl="8">
      <w:start w:val="0"/>
      <w:numFmt w:val="bullet"/>
      <w:lvlText w:val="•"/>
      <w:lvlJc w:val="left"/>
      <w:pPr>
        <w:ind w:left="7159" w:hanging="284"/>
      </w:pPr>
      <w:rPr>
        <w:rFonts w:hint="default"/>
        <w:lang w:val="es-ES" w:eastAsia="en-US" w:bidi="ar-SA"/>
      </w:rPr>
    </w:lvl>
  </w:abstractNum>
  <w:abstractNum w:abstractNumId="2">
    <w:multiLevelType w:val="hybridMultilevel"/>
    <w:lvl w:ilvl="0">
      <w:start w:val="1"/>
      <w:numFmt w:val="upperRoman"/>
      <w:lvlText w:val="%1."/>
      <w:lvlJc w:val="left"/>
      <w:pPr>
        <w:ind w:left="715" w:hanging="428"/>
        <w:jc w:val="left"/>
      </w:pPr>
      <w:rPr>
        <w:rFonts w:hint="default" w:ascii="Verdana" w:hAnsi="Verdana" w:eastAsia="Verdana" w:cs="Verdana"/>
        <w:b/>
        <w:bCs/>
        <w:i w:val="0"/>
        <w:iCs w:val="0"/>
        <w:spacing w:val="-1"/>
        <w:w w:val="98"/>
        <w:sz w:val="17"/>
        <w:szCs w:val="17"/>
        <w:lang w:val="es-ES" w:eastAsia="en-US" w:bidi="ar-SA"/>
      </w:rPr>
    </w:lvl>
    <w:lvl w:ilvl="1">
      <w:start w:val="1"/>
      <w:numFmt w:val="lowerLetter"/>
      <w:lvlText w:val="%2)"/>
      <w:lvlJc w:val="left"/>
      <w:pPr>
        <w:ind w:left="648" w:hanging="361"/>
        <w:jc w:val="left"/>
      </w:pPr>
      <w:rPr>
        <w:rFonts w:hint="default" w:ascii="Verdana" w:hAnsi="Verdana" w:eastAsia="Verdana" w:cs="Verdana"/>
        <w:b w:val="0"/>
        <w:bCs w:val="0"/>
        <w:i w:val="0"/>
        <w:iCs w:val="0"/>
        <w:spacing w:val="-1"/>
        <w:w w:val="98"/>
        <w:sz w:val="17"/>
        <w:szCs w:val="17"/>
        <w:lang w:val="es-ES" w:eastAsia="en-US" w:bidi="ar-SA"/>
      </w:rPr>
    </w:lvl>
    <w:lvl w:ilvl="2">
      <w:start w:val="0"/>
      <w:numFmt w:val="bullet"/>
      <w:lvlText w:val="•"/>
      <w:lvlJc w:val="left"/>
      <w:pPr>
        <w:ind w:left="780" w:hanging="361"/>
      </w:pPr>
      <w:rPr>
        <w:rFonts w:hint="default"/>
        <w:lang w:val="es-ES" w:eastAsia="en-US" w:bidi="ar-SA"/>
      </w:rPr>
    </w:lvl>
    <w:lvl w:ilvl="3">
      <w:start w:val="0"/>
      <w:numFmt w:val="bullet"/>
      <w:lvlText w:val="•"/>
      <w:lvlJc w:val="left"/>
      <w:pPr>
        <w:ind w:left="1000" w:hanging="361"/>
      </w:pPr>
      <w:rPr>
        <w:rFonts w:hint="default"/>
        <w:lang w:val="es-ES" w:eastAsia="en-US" w:bidi="ar-SA"/>
      </w:rPr>
    </w:lvl>
    <w:lvl w:ilvl="4">
      <w:start w:val="0"/>
      <w:numFmt w:val="bullet"/>
      <w:lvlText w:val="•"/>
      <w:lvlJc w:val="left"/>
      <w:pPr>
        <w:ind w:left="2173" w:hanging="361"/>
      </w:pPr>
      <w:rPr>
        <w:rFonts w:hint="default"/>
        <w:lang w:val="es-ES" w:eastAsia="en-US" w:bidi="ar-SA"/>
      </w:rPr>
    </w:lvl>
    <w:lvl w:ilvl="5">
      <w:start w:val="0"/>
      <w:numFmt w:val="bullet"/>
      <w:lvlText w:val="•"/>
      <w:lvlJc w:val="left"/>
      <w:pPr>
        <w:ind w:left="3346" w:hanging="361"/>
      </w:pPr>
      <w:rPr>
        <w:rFonts w:hint="default"/>
        <w:lang w:val="es-ES" w:eastAsia="en-US" w:bidi="ar-SA"/>
      </w:rPr>
    </w:lvl>
    <w:lvl w:ilvl="6">
      <w:start w:val="0"/>
      <w:numFmt w:val="bullet"/>
      <w:lvlText w:val="•"/>
      <w:lvlJc w:val="left"/>
      <w:pPr>
        <w:ind w:left="4519" w:hanging="361"/>
      </w:pPr>
      <w:rPr>
        <w:rFonts w:hint="default"/>
        <w:lang w:val="es-ES" w:eastAsia="en-US" w:bidi="ar-SA"/>
      </w:rPr>
    </w:lvl>
    <w:lvl w:ilvl="7">
      <w:start w:val="0"/>
      <w:numFmt w:val="bullet"/>
      <w:lvlText w:val="•"/>
      <w:lvlJc w:val="left"/>
      <w:pPr>
        <w:ind w:left="5692" w:hanging="361"/>
      </w:pPr>
      <w:rPr>
        <w:rFonts w:hint="default"/>
        <w:lang w:val="es-ES" w:eastAsia="en-US" w:bidi="ar-SA"/>
      </w:rPr>
    </w:lvl>
    <w:lvl w:ilvl="8">
      <w:start w:val="0"/>
      <w:numFmt w:val="bullet"/>
      <w:lvlText w:val="•"/>
      <w:lvlJc w:val="left"/>
      <w:pPr>
        <w:ind w:left="6865" w:hanging="361"/>
      </w:pPr>
      <w:rPr>
        <w:rFonts w:hint="default"/>
        <w:lang w:val="es-ES" w:eastAsia="en-US" w:bidi="ar-SA"/>
      </w:rPr>
    </w:lvl>
  </w:abstractNum>
  <w:abstractNum w:abstractNumId="1">
    <w:multiLevelType w:val="hybridMultilevel"/>
    <w:lvl w:ilvl="0">
      <w:start w:val="0"/>
      <w:numFmt w:val="bullet"/>
      <w:lvlText w:val="-"/>
      <w:lvlJc w:val="left"/>
      <w:pPr>
        <w:ind w:left="288" w:hanging="149"/>
      </w:pPr>
      <w:rPr>
        <w:rFonts w:hint="default" w:ascii="Arial MT" w:hAnsi="Arial MT" w:eastAsia="Arial MT" w:cs="Arial MT"/>
        <w:b w:val="0"/>
        <w:bCs w:val="0"/>
        <w:i w:val="0"/>
        <w:iCs w:val="0"/>
        <w:spacing w:val="0"/>
        <w:w w:val="99"/>
        <w:sz w:val="24"/>
        <w:szCs w:val="24"/>
        <w:lang w:val="es-ES" w:eastAsia="en-US" w:bidi="ar-SA"/>
      </w:rPr>
    </w:lvl>
    <w:lvl w:ilvl="1">
      <w:start w:val="0"/>
      <w:numFmt w:val="bullet"/>
      <w:lvlText w:val="•"/>
      <w:lvlJc w:val="left"/>
      <w:pPr>
        <w:ind w:left="1173" w:hanging="149"/>
      </w:pPr>
      <w:rPr>
        <w:rFonts w:hint="default"/>
        <w:lang w:val="es-ES" w:eastAsia="en-US" w:bidi="ar-SA"/>
      </w:rPr>
    </w:lvl>
    <w:lvl w:ilvl="2">
      <w:start w:val="0"/>
      <w:numFmt w:val="bullet"/>
      <w:lvlText w:val="•"/>
      <w:lvlJc w:val="left"/>
      <w:pPr>
        <w:ind w:left="2066" w:hanging="149"/>
      </w:pPr>
      <w:rPr>
        <w:rFonts w:hint="default"/>
        <w:lang w:val="es-ES" w:eastAsia="en-US" w:bidi="ar-SA"/>
      </w:rPr>
    </w:lvl>
    <w:lvl w:ilvl="3">
      <w:start w:val="0"/>
      <w:numFmt w:val="bullet"/>
      <w:lvlText w:val="•"/>
      <w:lvlJc w:val="left"/>
      <w:pPr>
        <w:ind w:left="2959" w:hanging="149"/>
      </w:pPr>
      <w:rPr>
        <w:rFonts w:hint="default"/>
        <w:lang w:val="es-ES" w:eastAsia="en-US" w:bidi="ar-SA"/>
      </w:rPr>
    </w:lvl>
    <w:lvl w:ilvl="4">
      <w:start w:val="0"/>
      <w:numFmt w:val="bullet"/>
      <w:lvlText w:val="•"/>
      <w:lvlJc w:val="left"/>
      <w:pPr>
        <w:ind w:left="3852" w:hanging="149"/>
      </w:pPr>
      <w:rPr>
        <w:rFonts w:hint="default"/>
        <w:lang w:val="es-ES" w:eastAsia="en-US" w:bidi="ar-SA"/>
      </w:rPr>
    </w:lvl>
    <w:lvl w:ilvl="5">
      <w:start w:val="0"/>
      <w:numFmt w:val="bullet"/>
      <w:lvlText w:val="•"/>
      <w:lvlJc w:val="left"/>
      <w:pPr>
        <w:ind w:left="4746" w:hanging="149"/>
      </w:pPr>
      <w:rPr>
        <w:rFonts w:hint="default"/>
        <w:lang w:val="es-ES" w:eastAsia="en-US" w:bidi="ar-SA"/>
      </w:rPr>
    </w:lvl>
    <w:lvl w:ilvl="6">
      <w:start w:val="0"/>
      <w:numFmt w:val="bullet"/>
      <w:lvlText w:val="•"/>
      <w:lvlJc w:val="left"/>
      <w:pPr>
        <w:ind w:left="5639" w:hanging="149"/>
      </w:pPr>
      <w:rPr>
        <w:rFonts w:hint="default"/>
        <w:lang w:val="es-ES" w:eastAsia="en-US" w:bidi="ar-SA"/>
      </w:rPr>
    </w:lvl>
    <w:lvl w:ilvl="7">
      <w:start w:val="0"/>
      <w:numFmt w:val="bullet"/>
      <w:lvlText w:val="•"/>
      <w:lvlJc w:val="left"/>
      <w:pPr>
        <w:ind w:left="6532" w:hanging="149"/>
      </w:pPr>
      <w:rPr>
        <w:rFonts w:hint="default"/>
        <w:lang w:val="es-ES" w:eastAsia="en-US" w:bidi="ar-SA"/>
      </w:rPr>
    </w:lvl>
    <w:lvl w:ilvl="8">
      <w:start w:val="0"/>
      <w:numFmt w:val="bullet"/>
      <w:lvlText w:val="•"/>
      <w:lvlJc w:val="left"/>
      <w:pPr>
        <w:ind w:left="7425" w:hanging="149"/>
      </w:pPr>
      <w:rPr>
        <w:rFonts w:hint="default"/>
        <w:lang w:val="es-E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s-ES" w:eastAsia="en-US" w:bidi="ar-SA"/>
    </w:rPr>
  </w:style>
  <w:style w:styleId="BodyText" w:type="paragraph">
    <w:name w:val="Body Text"/>
    <w:basedOn w:val="Normal"/>
    <w:uiPriority w:val="1"/>
    <w:qFormat/>
    <w:pPr/>
    <w:rPr>
      <w:rFonts w:ascii="Verdana" w:hAnsi="Verdana" w:eastAsia="Verdana" w:cs="Verdana"/>
      <w:sz w:val="17"/>
      <w:szCs w:val="17"/>
      <w:lang w:val="es-ES" w:eastAsia="en-US" w:bidi="ar-SA"/>
    </w:rPr>
  </w:style>
  <w:style w:styleId="Heading1" w:type="paragraph">
    <w:name w:val="Heading 1"/>
    <w:basedOn w:val="Normal"/>
    <w:uiPriority w:val="1"/>
    <w:qFormat/>
    <w:pPr>
      <w:ind w:left="288"/>
      <w:outlineLvl w:val="1"/>
    </w:pPr>
    <w:rPr>
      <w:rFonts w:ascii="Arial" w:hAnsi="Arial" w:eastAsia="Arial" w:cs="Arial"/>
      <w:b/>
      <w:bCs/>
      <w:sz w:val="24"/>
      <w:szCs w:val="24"/>
      <w:u w:val="single" w:color="000000"/>
      <w:lang w:val="es-ES" w:eastAsia="en-US" w:bidi="ar-SA"/>
    </w:rPr>
  </w:style>
  <w:style w:styleId="Heading2" w:type="paragraph">
    <w:name w:val="Heading 2"/>
    <w:basedOn w:val="Normal"/>
    <w:uiPriority w:val="1"/>
    <w:qFormat/>
    <w:pPr>
      <w:spacing w:before="1"/>
      <w:ind w:left="288"/>
      <w:outlineLvl w:val="2"/>
    </w:pPr>
    <w:rPr>
      <w:rFonts w:ascii="Trebuchet MS" w:hAnsi="Trebuchet MS" w:eastAsia="Trebuchet MS" w:cs="Trebuchet MS"/>
      <w:b/>
      <w:bCs/>
      <w:sz w:val="20"/>
      <w:szCs w:val="20"/>
      <w:u w:val="single" w:color="000000"/>
      <w:lang w:val="es-ES" w:eastAsia="en-US" w:bidi="ar-SA"/>
    </w:rPr>
  </w:style>
  <w:style w:styleId="Heading3" w:type="paragraph">
    <w:name w:val="Heading 3"/>
    <w:basedOn w:val="Normal"/>
    <w:uiPriority w:val="1"/>
    <w:qFormat/>
    <w:pPr>
      <w:spacing w:before="1"/>
      <w:ind w:left="570" w:hanging="282"/>
      <w:outlineLvl w:val="3"/>
    </w:pPr>
    <w:rPr>
      <w:rFonts w:ascii="Trebuchet MS" w:hAnsi="Trebuchet MS" w:eastAsia="Trebuchet MS" w:cs="Trebuchet MS"/>
      <w:b/>
      <w:bCs/>
      <w:sz w:val="20"/>
      <w:szCs w:val="20"/>
      <w:u w:val="single" w:color="000000"/>
      <w:lang w:val="es-ES" w:eastAsia="en-US" w:bidi="ar-SA"/>
    </w:rPr>
  </w:style>
  <w:style w:styleId="Heading4" w:type="paragraph">
    <w:name w:val="Heading 4"/>
    <w:basedOn w:val="Normal"/>
    <w:uiPriority w:val="1"/>
    <w:qFormat/>
    <w:pPr>
      <w:ind w:left="715"/>
      <w:outlineLvl w:val="4"/>
    </w:pPr>
    <w:rPr>
      <w:rFonts w:ascii="Verdana" w:hAnsi="Verdana" w:eastAsia="Verdana" w:cs="Verdana"/>
      <w:b/>
      <w:bCs/>
      <w:sz w:val="17"/>
      <w:szCs w:val="17"/>
      <w:lang w:val="es-ES" w:eastAsia="en-US" w:bidi="ar-SA"/>
    </w:rPr>
  </w:style>
  <w:style w:styleId="ListParagraph" w:type="paragraph">
    <w:name w:val="List Paragraph"/>
    <w:basedOn w:val="Normal"/>
    <w:uiPriority w:val="1"/>
    <w:qFormat/>
    <w:pPr>
      <w:ind w:left="436" w:hanging="284"/>
    </w:pPr>
    <w:rPr>
      <w:rFonts w:ascii="Verdana" w:hAnsi="Verdana" w:eastAsia="Verdana" w:cs="Verdana"/>
      <w:lang w:val="es-ES" w:eastAsia="en-US" w:bidi="ar-SA"/>
    </w:rPr>
  </w:style>
  <w:style w:styleId="TableParagraph" w:type="paragraph">
    <w:name w:val="Table Paragraph"/>
    <w:basedOn w:val="Normal"/>
    <w:uiPriority w:val="1"/>
    <w:qFormat/>
    <w:pPr>
      <w:spacing w:line="213" w:lineRule="exact"/>
    </w:pPr>
    <w:rPr>
      <w:rFonts w:ascii="Trebuchet MS" w:hAnsi="Trebuchet MS" w:eastAsia="Trebuchet MS" w:cs="Trebuchet MS"/>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Celulosa Argentina</dc:creator>
  <dc:title>Acta Dir Celulosa</dc:title>
  <dcterms:created xsi:type="dcterms:W3CDTF">2025-10-14T19:05:30Z</dcterms:created>
  <dcterms:modified xsi:type="dcterms:W3CDTF">2025-10-14T19:05:30Z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2016</vt:lpwstr>
  </property>
  <property fmtid="{D5CDD505-2E9C-101B-9397-08002B2CF9AE}" pid="4" name="LastSaved">
    <vt:filetime>2025-10-14T00:00:00Z</vt:filetime>
  </property>
  <property fmtid="{D5CDD505-2E9C-101B-9397-08002B2CF9AE}" pid="5" name="Producer">
    <vt:lpwstr>www.ilovepdf.com</vt:lpwstr>
  </property>
</Properties>
</file>