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3BD1A" w14:textId="4B233390" w:rsidR="00E06C39" w:rsidRPr="0076332D" w:rsidRDefault="00E06C39" w:rsidP="00E06C39">
      <w:pPr>
        <w:spacing w:line="360" w:lineRule="auto"/>
        <w:jc w:val="both"/>
        <w:rPr>
          <w:rFonts w:ascii="Arial" w:hAnsi="Arial" w:cs="Arial"/>
          <w:b/>
          <w:sz w:val="22"/>
          <w:szCs w:val="22"/>
          <w:lang w:val="es-MX"/>
        </w:rPr>
      </w:pPr>
      <w:r w:rsidRPr="0076332D">
        <w:rPr>
          <w:rFonts w:ascii="Arial" w:hAnsi="Arial" w:cs="Arial"/>
          <w:b/>
          <w:sz w:val="22"/>
          <w:szCs w:val="22"/>
          <w:lang w:val="es-MX"/>
        </w:rPr>
        <w:t xml:space="preserve">ACTA DE DIRECTORIO NÚMERO </w:t>
      </w:r>
      <w:r w:rsidR="00C138D2">
        <w:rPr>
          <w:rFonts w:ascii="Arial" w:hAnsi="Arial" w:cs="Arial"/>
          <w:b/>
          <w:sz w:val="22"/>
          <w:szCs w:val="22"/>
          <w:lang w:val="es-MX"/>
        </w:rPr>
        <w:t>1501</w:t>
      </w:r>
    </w:p>
    <w:p w14:paraId="251A8CA0" w14:textId="77777777" w:rsidR="00E06C39" w:rsidRPr="0076332D" w:rsidRDefault="00E06C39" w:rsidP="00E06C39">
      <w:pPr>
        <w:tabs>
          <w:tab w:val="left" w:pos="-720"/>
          <w:tab w:val="left" w:pos="0"/>
          <w:tab w:val="left" w:pos="487"/>
        </w:tabs>
        <w:spacing w:line="360" w:lineRule="auto"/>
        <w:jc w:val="both"/>
        <w:rPr>
          <w:rFonts w:ascii="Arial" w:hAnsi="Arial" w:cs="Arial"/>
          <w:sz w:val="22"/>
          <w:szCs w:val="22"/>
          <w:lang w:val="es-MX"/>
        </w:rPr>
      </w:pPr>
    </w:p>
    <w:p w14:paraId="58EC0D21" w14:textId="09E53D5A" w:rsidR="00A94B1B" w:rsidRDefault="00E06C39" w:rsidP="00A94B1B">
      <w:pPr>
        <w:spacing w:line="360" w:lineRule="auto"/>
        <w:jc w:val="both"/>
        <w:rPr>
          <w:rFonts w:ascii="Arial" w:hAnsi="Arial" w:cs="Arial"/>
          <w:sz w:val="22"/>
          <w:szCs w:val="22"/>
          <w:lang w:val="es-MX"/>
        </w:rPr>
      </w:pPr>
      <w:bookmarkStart w:id="0" w:name="OLE_LINK1"/>
      <w:bookmarkStart w:id="1" w:name="OLE_LINK2"/>
      <w:r w:rsidRPr="0076332D">
        <w:rPr>
          <w:rFonts w:ascii="Arial" w:hAnsi="Arial" w:cs="Arial"/>
          <w:sz w:val="22"/>
          <w:szCs w:val="22"/>
          <w:lang w:val="es-MX"/>
        </w:rPr>
        <w:t xml:space="preserve">El </w:t>
      </w:r>
      <w:r>
        <w:rPr>
          <w:rFonts w:ascii="Arial" w:hAnsi="Arial" w:cs="Arial"/>
          <w:sz w:val="22"/>
          <w:szCs w:val="22"/>
          <w:lang w:val="es-MX"/>
        </w:rPr>
        <w:t>24</w:t>
      </w:r>
      <w:r w:rsidRPr="0076332D">
        <w:rPr>
          <w:rFonts w:ascii="Arial" w:hAnsi="Arial" w:cs="Arial"/>
          <w:sz w:val="22"/>
          <w:szCs w:val="22"/>
          <w:lang w:val="es-MX"/>
        </w:rPr>
        <w:t xml:space="preserve"> </w:t>
      </w:r>
      <w:r w:rsidRPr="0076332D">
        <w:rPr>
          <w:rFonts w:ascii="Arial" w:hAnsi="Arial" w:cs="Arial"/>
          <w:sz w:val="22"/>
          <w:szCs w:val="22"/>
        </w:rPr>
        <w:t xml:space="preserve">de </w:t>
      </w:r>
      <w:r>
        <w:rPr>
          <w:rFonts w:ascii="Arial" w:hAnsi="Arial" w:cs="Arial"/>
          <w:sz w:val="22"/>
          <w:szCs w:val="22"/>
        </w:rPr>
        <w:t>junio de 2019</w:t>
      </w:r>
      <w:r w:rsidRPr="0076332D">
        <w:rPr>
          <w:rFonts w:ascii="Arial" w:hAnsi="Arial" w:cs="Arial"/>
          <w:sz w:val="22"/>
          <w:szCs w:val="22"/>
        </w:rPr>
        <w:t>, a las</w:t>
      </w:r>
      <w:r>
        <w:rPr>
          <w:rFonts w:ascii="Arial" w:hAnsi="Arial" w:cs="Arial"/>
          <w:sz w:val="22"/>
          <w:szCs w:val="22"/>
        </w:rPr>
        <w:t xml:space="preserve"> </w:t>
      </w:r>
      <w:r w:rsidR="00CB0623">
        <w:rPr>
          <w:rFonts w:ascii="Arial" w:hAnsi="Arial" w:cs="Arial"/>
          <w:sz w:val="22"/>
          <w:szCs w:val="22"/>
        </w:rPr>
        <w:t>15:05</w:t>
      </w:r>
      <w:r w:rsidRPr="0076332D">
        <w:rPr>
          <w:rFonts w:ascii="Arial" w:hAnsi="Arial" w:cs="Arial"/>
          <w:sz w:val="22"/>
          <w:szCs w:val="22"/>
        </w:rPr>
        <w:t xml:space="preserve"> horas, se reúnen </w:t>
      </w:r>
      <w:r w:rsidR="00C138D2">
        <w:rPr>
          <w:rFonts w:ascii="Arial" w:hAnsi="Arial" w:cs="Arial"/>
          <w:sz w:val="22"/>
          <w:szCs w:val="22"/>
        </w:rPr>
        <w:t>en forma presencial</w:t>
      </w:r>
      <w:r>
        <w:rPr>
          <w:rFonts w:ascii="Arial" w:hAnsi="Arial" w:cs="Arial"/>
          <w:sz w:val="22"/>
          <w:szCs w:val="22"/>
        </w:rPr>
        <w:t xml:space="preserve"> </w:t>
      </w:r>
      <w:r w:rsidR="00C138D2">
        <w:rPr>
          <w:rFonts w:ascii="Arial" w:hAnsi="Arial" w:cs="Arial"/>
          <w:sz w:val="22"/>
          <w:szCs w:val="22"/>
        </w:rPr>
        <w:t xml:space="preserve">en la calle Juan </w:t>
      </w:r>
      <w:proofErr w:type="spellStart"/>
      <w:r w:rsidR="00C138D2">
        <w:rPr>
          <w:rFonts w:ascii="Arial" w:hAnsi="Arial" w:cs="Arial"/>
          <w:sz w:val="22"/>
          <w:szCs w:val="22"/>
        </w:rPr>
        <w:t>Nepper</w:t>
      </w:r>
      <w:proofErr w:type="spellEnd"/>
      <w:r w:rsidR="00C138D2">
        <w:rPr>
          <w:rFonts w:ascii="Arial" w:hAnsi="Arial" w:cs="Arial"/>
          <w:sz w:val="22"/>
          <w:szCs w:val="22"/>
        </w:rPr>
        <w:t xml:space="preserve"> 5689, Villa Belgrano, ciudad de Córdoba, código postal X5021FBK, provincia de Córdoba (domicilio distinto al de la sede social), </w:t>
      </w:r>
      <w:r w:rsidRPr="0076332D">
        <w:rPr>
          <w:rFonts w:ascii="Arial" w:hAnsi="Arial" w:cs="Arial"/>
          <w:sz w:val="22"/>
          <w:szCs w:val="22"/>
        </w:rPr>
        <w:t xml:space="preserve">los </w:t>
      </w:r>
      <w:r w:rsidR="009673F2">
        <w:rPr>
          <w:rFonts w:ascii="Arial" w:hAnsi="Arial" w:cs="Arial"/>
          <w:sz w:val="22"/>
          <w:szCs w:val="22"/>
        </w:rPr>
        <w:t>Sres.</w:t>
      </w:r>
      <w:r w:rsidRPr="0076332D">
        <w:rPr>
          <w:rFonts w:ascii="Arial" w:hAnsi="Arial" w:cs="Arial"/>
          <w:sz w:val="22"/>
          <w:szCs w:val="22"/>
        </w:rPr>
        <w:t xml:space="preserve"> </w:t>
      </w:r>
      <w:r w:rsidR="009673F2">
        <w:rPr>
          <w:rFonts w:ascii="Arial" w:hAnsi="Arial" w:cs="Arial"/>
          <w:sz w:val="22"/>
          <w:szCs w:val="22"/>
        </w:rPr>
        <w:t>D</w:t>
      </w:r>
      <w:r w:rsidRPr="0076332D">
        <w:rPr>
          <w:rFonts w:ascii="Arial" w:hAnsi="Arial" w:cs="Arial"/>
          <w:sz w:val="22"/>
          <w:szCs w:val="22"/>
        </w:rPr>
        <w:t>irectores de Holcim (Argentina) S.A. (la “</w:t>
      </w:r>
      <w:r w:rsidRPr="008D4C41">
        <w:rPr>
          <w:rFonts w:ascii="Arial" w:hAnsi="Arial" w:cs="Arial"/>
          <w:sz w:val="22"/>
          <w:szCs w:val="22"/>
          <w:u w:val="single"/>
        </w:rPr>
        <w:t>Sociedad</w:t>
      </w:r>
      <w:r w:rsidRPr="0076332D">
        <w:rPr>
          <w:rFonts w:ascii="Arial" w:hAnsi="Arial" w:cs="Arial"/>
          <w:sz w:val="22"/>
          <w:szCs w:val="22"/>
        </w:rPr>
        <w:t>”) que se mencionan al final del acta</w:t>
      </w:r>
      <w:r>
        <w:rPr>
          <w:rFonts w:ascii="Arial" w:hAnsi="Arial" w:cs="Arial"/>
          <w:sz w:val="22"/>
          <w:szCs w:val="22"/>
        </w:rPr>
        <w:t xml:space="preserve">, encontrándose también presentes los </w:t>
      </w:r>
      <w:proofErr w:type="spellStart"/>
      <w:r>
        <w:rPr>
          <w:rFonts w:ascii="Arial" w:hAnsi="Arial" w:cs="Arial"/>
          <w:sz w:val="22"/>
          <w:szCs w:val="22"/>
        </w:rPr>
        <w:t>Cdores</w:t>
      </w:r>
      <w:proofErr w:type="spellEnd"/>
      <w:r>
        <w:rPr>
          <w:rFonts w:ascii="Arial" w:hAnsi="Arial" w:cs="Arial"/>
          <w:sz w:val="22"/>
          <w:szCs w:val="22"/>
        </w:rPr>
        <w:t xml:space="preserve"> José </w:t>
      </w:r>
      <w:proofErr w:type="spellStart"/>
      <w:r>
        <w:rPr>
          <w:rFonts w:ascii="Arial" w:hAnsi="Arial" w:cs="Arial"/>
          <w:sz w:val="22"/>
          <w:szCs w:val="22"/>
        </w:rPr>
        <w:t>Piccinna</w:t>
      </w:r>
      <w:proofErr w:type="spellEnd"/>
      <w:r>
        <w:rPr>
          <w:rFonts w:ascii="Arial" w:hAnsi="Arial" w:cs="Arial"/>
          <w:sz w:val="22"/>
          <w:szCs w:val="22"/>
        </w:rPr>
        <w:t xml:space="preserve">, Raúl Chaparro y Osvaldo Weiss, miembros de la Comisión Fiscalizadora, </w:t>
      </w:r>
      <w:r w:rsidR="00C138D2">
        <w:rPr>
          <w:rFonts w:ascii="Arial" w:hAnsi="Arial" w:cs="Arial"/>
          <w:sz w:val="22"/>
          <w:szCs w:val="22"/>
        </w:rPr>
        <w:t xml:space="preserve">la Contadora María Gabriela Mosquera, Gerente Corporativo de Administración y Finanzas, </w:t>
      </w:r>
      <w:r>
        <w:rPr>
          <w:rFonts w:ascii="Arial" w:hAnsi="Arial" w:cs="Arial"/>
          <w:sz w:val="22"/>
          <w:szCs w:val="22"/>
        </w:rPr>
        <w:t>y el Dr. Santiago Ojea Quintana, Secretario del Directorio</w:t>
      </w:r>
      <w:r w:rsidRPr="0076332D">
        <w:rPr>
          <w:rFonts w:ascii="Arial" w:hAnsi="Arial" w:cs="Arial"/>
          <w:sz w:val="22"/>
          <w:szCs w:val="22"/>
        </w:rPr>
        <w:t xml:space="preserve">. Tras haber constatado la existencia de quórum suficiente para sesionar, el </w:t>
      </w:r>
      <w:r>
        <w:rPr>
          <w:rFonts w:ascii="Arial" w:hAnsi="Arial" w:cs="Arial"/>
          <w:sz w:val="22"/>
          <w:szCs w:val="22"/>
        </w:rPr>
        <w:t>Sr.</w:t>
      </w:r>
      <w:r w:rsidRPr="0076332D">
        <w:rPr>
          <w:rFonts w:ascii="Arial" w:hAnsi="Arial" w:cs="Arial"/>
          <w:sz w:val="22"/>
          <w:szCs w:val="22"/>
        </w:rPr>
        <w:t xml:space="preserve"> Presidente, </w:t>
      </w:r>
      <w:r>
        <w:rPr>
          <w:rFonts w:ascii="Arial" w:hAnsi="Arial" w:cs="Arial"/>
          <w:sz w:val="22"/>
          <w:szCs w:val="22"/>
        </w:rPr>
        <w:t>Marcelo Arrieta</w:t>
      </w:r>
      <w:r w:rsidRPr="0076332D">
        <w:rPr>
          <w:rFonts w:ascii="Arial" w:hAnsi="Arial" w:cs="Arial"/>
          <w:sz w:val="22"/>
          <w:szCs w:val="22"/>
        </w:rPr>
        <w:t xml:space="preserve">, manifiesta que la presente reunión se realiza a los efectos de considerar los siguientes asuntos: </w:t>
      </w:r>
      <w:r w:rsidR="00D85CC2" w:rsidRPr="00D85CC2">
        <w:rPr>
          <w:rFonts w:ascii="Arial" w:hAnsi="Arial" w:cs="Arial"/>
          <w:b/>
          <w:bCs/>
          <w:sz w:val="22"/>
          <w:szCs w:val="22"/>
        </w:rPr>
        <w:t>(i)</w:t>
      </w:r>
      <w:r w:rsidR="00D85CC2">
        <w:rPr>
          <w:rFonts w:ascii="Arial" w:hAnsi="Arial" w:cs="Arial"/>
          <w:sz w:val="22"/>
          <w:szCs w:val="22"/>
        </w:rPr>
        <w:t xml:space="preserve"> </w:t>
      </w:r>
      <w:r w:rsidR="00C138D2" w:rsidRPr="00ED15E2">
        <w:rPr>
          <w:rFonts w:ascii="Arial" w:hAnsi="Arial" w:cs="Arial"/>
          <w:b/>
          <w:sz w:val="22"/>
          <w:szCs w:val="22"/>
          <w:u w:val="single"/>
        </w:rPr>
        <w:t>AUTORIZACIÓN A LA GERENCIA PARA LA FORMAL</w:t>
      </w:r>
      <w:r w:rsidR="00C138D2">
        <w:rPr>
          <w:rFonts w:ascii="Arial" w:hAnsi="Arial" w:cs="Arial"/>
          <w:b/>
          <w:sz w:val="22"/>
          <w:szCs w:val="22"/>
          <w:u w:val="single"/>
        </w:rPr>
        <w:t>IZACIÓN DE UNA OPERACIÓN DE IMPORTACIÓN DE ESCORIA A TRAVÉS DE UNA PARTE RELACIONADA.</w:t>
      </w:r>
      <w:r w:rsidR="00C138D2" w:rsidRPr="00E64F1B">
        <w:rPr>
          <w:rFonts w:ascii="Arial" w:hAnsi="Arial" w:cs="Arial"/>
          <w:b/>
          <w:sz w:val="22"/>
          <w:szCs w:val="22"/>
        </w:rPr>
        <w:t xml:space="preserve"> </w:t>
      </w:r>
      <w:r w:rsidR="00C138D2" w:rsidRPr="00B373F6">
        <w:rPr>
          <w:rFonts w:ascii="Arial" w:hAnsi="Arial" w:cs="Arial"/>
          <w:sz w:val="22"/>
          <w:szCs w:val="22"/>
        </w:rPr>
        <w:t xml:space="preserve">Toma la palabra </w:t>
      </w:r>
      <w:r w:rsidR="00C138D2">
        <w:rPr>
          <w:rFonts w:ascii="Arial" w:hAnsi="Arial" w:cs="Arial"/>
          <w:sz w:val="22"/>
          <w:szCs w:val="22"/>
        </w:rPr>
        <w:t>el Dr. Ojea Quintana</w:t>
      </w:r>
      <w:r w:rsidR="00C138D2" w:rsidRPr="00B373F6">
        <w:rPr>
          <w:rFonts w:ascii="Arial" w:hAnsi="Arial" w:cs="Arial"/>
          <w:sz w:val="22"/>
          <w:szCs w:val="22"/>
        </w:rPr>
        <w:t xml:space="preserve"> quien comenta que </w:t>
      </w:r>
      <w:r w:rsidR="00C138D2">
        <w:rPr>
          <w:rFonts w:ascii="Arial" w:hAnsi="Arial" w:cs="Arial"/>
          <w:sz w:val="22"/>
          <w:szCs w:val="22"/>
        </w:rPr>
        <w:t>la Gerencia ha propuesto llevar adelante una operación de importación</w:t>
      </w:r>
      <w:r w:rsidR="00C138D2" w:rsidRPr="00B373F6">
        <w:rPr>
          <w:rFonts w:ascii="Arial" w:hAnsi="Arial" w:cs="Arial"/>
          <w:sz w:val="22"/>
          <w:szCs w:val="22"/>
        </w:rPr>
        <w:t xml:space="preserve"> de </w:t>
      </w:r>
      <w:r w:rsidR="00C138D2">
        <w:rPr>
          <w:rFonts w:ascii="Arial" w:hAnsi="Arial" w:cs="Arial"/>
          <w:sz w:val="22"/>
          <w:szCs w:val="22"/>
        </w:rPr>
        <w:t>escoria a través de</w:t>
      </w:r>
      <w:r w:rsidR="00C138D2" w:rsidRPr="00F92823">
        <w:rPr>
          <w:rFonts w:ascii="Arial" w:hAnsi="Arial" w:cs="Arial"/>
          <w:sz w:val="22"/>
          <w:szCs w:val="22"/>
        </w:rPr>
        <w:t xml:space="preserve"> </w:t>
      </w:r>
      <w:r w:rsidR="00C138D2">
        <w:rPr>
          <w:rFonts w:ascii="Arial" w:hAnsi="Arial" w:cs="Arial"/>
          <w:sz w:val="22"/>
          <w:szCs w:val="22"/>
        </w:rPr>
        <w:t>LH Trading Inc.</w:t>
      </w:r>
      <w:r w:rsidR="00C138D2" w:rsidRPr="00F92823">
        <w:rPr>
          <w:rFonts w:ascii="Arial" w:hAnsi="Arial" w:cs="Arial"/>
          <w:sz w:val="22"/>
          <w:szCs w:val="22"/>
        </w:rPr>
        <w:t xml:space="preserve">, una sociedad que forma parte del Grupo </w:t>
      </w:r>
      <w:proofErr w:type="spellStart"/>
      <w:r w:rsidR="00C138D2" w:rsidRPr="00F92823">
        <w:rPr>
          <w:rFonts w:ascii="Arial" w:hAnsi="Arial" w:cs="Arial"/>
          <w:sz w:val="22"/>
          <w:szCs w:val="22"/>
        </w:rPr>
        <w:t>LafargeHolcim</w:t>
      </w:r>
      <w:proofErr w:type="spellEnd"/>
      <w:r w:rsidR="00C138D2" w:rsidRPr="00F92823">
        <w:rPr>
          <w:rFonts w:ascii="Arial" w:hAnsi="Arial" w:cs="Arial"/>
          <w:sz w:val="22"/>
          <w:szCs w:val="22"/>
        </w:rPr>
        <w:t xml:space="preserve"> al cual pertenece la sociedad controlante d</w:t>
      </w:r>
      <w:r w:rsidR="00C138D2">
        <w:rPr>
          <w:rFonts w:ascii="Arial" w:hAnsi="Arial" w:cs="Arial"/>
          <w:sz w:val="22"/>
          <w:szCs w:val="22"/>
        </w:rPr>
        <w:t>e la Sociedad</w:t>
      </w:r>
      <w:r w:rsidR="00C138D2" w:rsidRPr="00B876D8">
        <w:rPr>
          <w:rFonts w:ascii="Arial" w:hAnsi="Arial" w:cs="Arial"/>
          <w:sz w:val="22"/>
          <w:szCs w:val="22"/>
        </w:rPr>
        <w:t xml:space="preserve">. </w:t>
      </w:r>
      <w:r w:rsidR="00C138D2" w:rsidRPr="007B345A">
        <w:rPr>
          <w:rFonts w:ascii="Arial" w:hAnsi="Arial" w:cs="Arial"/>
          <w:sz w:val="22"/>
          <w:szCs w:val="22"/>
        </w:rPr>
        <w:t>Manifiesta que la Gerencia ha cumplido con la rendición de cuentas del programa anterior</w:t>
      </w:r>
      <w:r w:rsidR="00C138D2">
        <w:rPr>
          <w:rFonts w:ascii="Arial" w:hAnsi="Arial" w:cs="Arial"/>
          <w:sz w:val="22"/>
          <w:szCs w:val="22"/>
        </w:rPr>
        <w:t xml:space="preserve">, la cual es puesta a disposición de los Directores presentes, y que </w:t>
      </w:r>
      <w:r w:rsidR="005B6A6D">
        <w:rPr>
          <w:rFonts w:ascii="Arial" w:hAnsi="Arial" w:cs="Arial"/>
          <w:sz w:val="22"/>
          <w:szCs w:val="22"/>
        </w:rPr>
        <w:t xml:space="preserve">la operación sometida a consideración </w:t>
      </w:r>
      <w:r w:rsidR="00C138D2" w:rsidRPr="002C499E">
        <w:rPr>
          <w:rFonts w:ascii="Arial" w:hAnsi="Arial" w:cs="Arial"/>
          <w:sz w:val="22"/>
          <w:szCs w:val="22"/>
        </w:rPr>
        <w:t>tiene por objeto abastece</w:t>
      </w:r>
      <w:r w:rsidR="00C138D2">
        <w:rPr>
          <w:rFonts w:ascii="Arial" w:hAnsi="Arial" w:cs="Arial"/>
          <w:sz w:val="22"/>
          <w:szCs w:val="22"/>
        </w:rPr>
        <w:t xml:space="preserve">r </w:t>
      </w:r>
      <w:r w:rsidR="00C138D2" w:rsidRPr="002C499E">
        <w:rPr>
          <w:rFonts w:ascii="Arial" w:hAnsi="Arial" w:cs="Arial"/>
          <w:sz w:val="22"/>
          <w:szCs w:val="22"/>
        </w:rPr>
        <w:t xml:space="preserve">aquella parte de la demanda de la Sociedad cuyo abastecimiento </w:t>
      </w:r>
      <w:r w:rsidR="00C138D2">
        <w:rPr>
          <w:rFonts w:ascii="Arial" w:hAnsi="Arial" w:cs="Arial"/>
          <w:sz w:val="22"/>
          <w:szCs w:val="22"/>
        </w:rPr>
        <w:t>no puede ser cubierto en el mercado local</w:t>
      </w:r>
      <w:r w:rsidR="00C138D2" w:rsidRPr="002C499E">
        <w:rPr>
          <w:rFonts w:ascii="Arial" w:hAnsi="Arial" w:cs="Arial"/>
          <w:sz w:val="22"/>
          <w:szCs w:val="22"/>
        </w:rPr>
        <w:t xml:space="preserve">. </w:t>
      </w:r>
      <w:r w:rsidR="00C138D2" w:rsidRPr="00842775">
        <w:rPr>
          <w:rFonts w:ascii="Arial" w:hAnsi="Arial" w:cs="Arial"/>
          <w:sz w:val="22"/>
          <w:szCs w:val="22"/>
        </w:rPr>
        <w:t>Co</w:t>
      </w:r>
      <w:r w:rsidR="00C138D2" w:rsidRPr="006F7296">
        <w:rPr>
          <w:rFonts w:ascii="Arial" w:hAnsi="Arial" w:cs="Arial"/>
          <w:sz w:val="22"/>
          <w:szCs w:val="22"/>
        </w:rPr>
        <w:t xml:space="preserve">ntinuando en el uso de la palabra, </w:t>
      </w:r>
      <w:r w:rsidR="00C138D2">
        <w:rPr>
          <w:rFonts w:ascii="Arial" w:hAnsi="Arial" w:cs="Arial"/>
          <w:sz w:val="22"/>
          <w:szCs w:val="22"/>
        </w:rPr>
        <w:t xml:space="preserve">el Dr. Ojea Quintana </w:t>
      </w:r>
      <w:r w:rsidR="00C138D2" w:rsidRPr="006F7296">
        <w:rPr>
          <w:rFonts w:ascii="Arial" w:hAnsi="Arial" w:cs="Arial"/>
          <w:sz w:val="22"/>
          <w:szCs w:val="22"/>
        </w:rPr>
        <w:t xml:space="preserve">detalla que </w:t>
      </w:r>
      <w:r w:rsidR="00C138D2">
        <w:rPr>
          <w:rFonts w:ascii="Arial" w:hAnsi="Arial" w:cs="Arial"/>
          <w:sz w:val="22"/>
          <w:szCs w:val="22"/>
        </w:rPr>
        <w:t>la Gerencia propone importar un buque (1) con hasta cuarenta y un mil ochocientas (</w:t>
      </w:r>
      <w:r w:rsidR="00C138D2" w:rsidRPr="00F24157">
        <w:rPr>
          <w:rFonts w:ascii="Arial" w:hAnsi="Arial" w:cs="Arial"/>
          <w:sz w:val="22"/>
          <w:szCs w:val="22"/>
        </w:rPr>
        <w:t>41.800</w:t>
      </w:r>
      <w:r w:rsidR="00C138D2">
        <w:rPr>
          <w:rFonts w:ascii="Arial" w:hAnsi="Arial" w:cs="Arial"/>
          <w:sz w:val="22"/>
          <w:szCs w:val="22"/>
        </w:rPr>
        <w:t>)</w:t>
      </w:r>
      <w:r w:rsidR="00C138D2" w:rsidRPr="00F24157">
        <w:rPr>
          <w:rFonts w:ascii="Arial" w:hAnsi="Arial" w:cs="Arial"/>
          <w:sz w:val="22"/>
          <w:szCs w:val="22"/>
        </w:rPr>
        <w:t xml:space="preserve"> </w:t>
      </w:r>
      <w:r w:rsidR="00C138D2" w:rsidRPr="00562D88">
        <w:rPr>
          <w:rFonts w:ascii="Arial" w:hAnsi="Arial" w:cs="Arial"/>
          <w:sz w:val="22"/>
          <w:szCs w:val="22"/>
        </w:rPr>
        <w:t xml:space="preserve">toneladas de </w:t>
      </w:r>
      <w:r w:rsidR="00C138D2">
        <w:rPr>
          <w:rFonts w:ascii="Arial" w:hAnsi="Arial" w:cs="Arial"/>
          <w:sz w:val="22"/>
          <w:szCs w:val="22"/>
        </w:rPr>
        <w:t>escoria</w:t>
      </w:r>
      <w:r w:rsidR="00C138D2" w:rsidRPr="00562D88">
        <w:rPr>
          <w:rFonts w:ascii="Arial" w:hAnsi="Arial" w:cs="Arial"/>
          <w:sz w:val="22"/>
          <w:szCs w:val="22"/>
        </w:rPr>
        <w:t xml:space="preserve">, </w:t>
      </w:r>
      <w:r w:rsidR="00C138D2">
        <w:rPr>
          <w:rFonts w:ascii="Arial" w:hAnsi="Arial" w:cs="Arial"/>
          <w:sz w:val="22"/>
          <w:szCs w:val="22"/>
        </w:rPr>
        <w:t xml:space="preserve">a partir del mes de Julio de 2019; </w:t>
      </w:r>
      <w:r w:rsidR="00C138D2" w:rsidRPr="00562D88">
        <w:rPr>
          <w:rFonts w:ascii="Arial" w:hAnsi="Arial" w:cs="Arial"/>
          <w:sz w:val="22"/>
          <w:szCs w:val="22"/>
        </w:rPr>
        <w:t xml:space="preserve">que el precio </w:t>
      </w:r>
      <w:r w:rsidR="00C138D2">
        <w:rPr>
          <w:rFonts w:ascii="Arial" w:hAnsi="Arial" w:cs="Arial"/>
          <w:sz w:val="22"/>
          <w:szCs w:val="22"/>
        </w:rPr>
        <w:t xml:space="preserve">CFR </w:t>
      </w:r>
      <w:r w:rsidR="00C138D2" w:rsidRPr="00562D88">
        <w:rPr>
          <w:rFonts w:ascii="Arial" w:hAnsi="Arial" w:cs="Arial"/>
          <w:sz w:val="22"/>
          <w:szCs w:val="22"/>
        </w:rPr>
        <w:t xml:space="preserve">por tonelada </w:t>
      </w:r>
      <w:r w:rsidR="005B6A6D">
        <w:rPr>
          <w:rFonts w:ascii="Arial" w:hAnsi="Arial" w:cs="Arial"/>
          <w:sz w:val="22"/>
          <w:szCs w:val="22"/>
        </w:rPr>
        <w:t>será igual a</w:t>
      </w:r>
      <w:r w:rsidR="00C138D2">
        <w:rPr>
          <w:rFonts w:ascii="Arial" w:hAnsi="Arial" w:cs="Arial"/>
          <w:sz w:val="22"/>
          <w:szCs w:val="22"/>
        </w:rPr>
        <w:t xml:space="preserve"> la suma de treinta y cinco dólares estadounidenses </w:t>
      </w:r>
      <w:r w:rsidR="005B6A6D">
        <w:rPr>
          <w:rFonts w:ascii="Arial" w:hAnsi="Arial" w:cs="Arial"/>
          <w:sz w:val="22"/>
          <w:szCs w:val="22"/>
        </w:rPr>
        <w:t xml:space="preserve">con 40/100 </w:t>
      </w:r>
      <w:r w:rsidR="00C138D2">
        <w:rPr>
          <w:rFonts w:ascii="Arial" w:hAnsi="Arial" w:cs="Arial"/>
          <w:sz w:val="22"/>
          <w:szCs w:val="22"/>
        </w:rPr>
        <w:t>(USD 35,4);</w:t>
      </w:r>
      <w:r w:rsidR="00C138D2" w:rsidRPr="00B373F6">
        <w:rPr>
          <w:rFonts w:ascii="Arial" w:hAnsi="Arial" w:cs="Arial"/>
          <w:sz w:val="22"/>
          <w:szCs w:val="22"/>
        </w:rPr>
        <w:t xml:space="preserve"> </w:t>
      </w:r>
      <w:r w:rsidR="00C138D2" w:rsidRPr="008845ED">
        <w:rPr>
          <w:rFonts w:ascii="Arial" w:hAnsi="Arial" w:cs="Arial"/>
          <w:sz w:val="22"/>
          <w:szCs w:val="22"/>
        </w:rPr>
        <w:t>que la retribución a la parte relacionada</w:t>
      </w:r>
      <w:r w:rsidR="00C138D2">
        <w:rPr>
          <w:rFonts w:ascii="Arial" w:hAnsi="Arial" w:cs="Arial"/>
          <w:sz w:val="22"/>
          <w:szCs w:val="22"/>
        </w:rPr>
        <w:t xml:space="preserve"> (incluida en el precio antes indicado)</w:t>
      </w:r>
      <w:r w:rsidR="00C138D2" w:rsidRPr="008845ED">
        <w:rPr>
          <w:rFonts w:ascii="Arial" w:hAnsi="Arial" w:cs="Arial"/>
          <w:sz w:val="22"/>
          <w:szCs w:val="22"/>
        </w:rPr>
        <w:t xml:space="preserve"> será de </w:t>
      </w:r>
      <w:r w:rsidR="00C138D2">
        <w:rPr>
          <w:rFonts w:ascii="Arial" w:hAnsi="Arial" w:cs="Arial"/>
          <w:sz w:val="22"/>
          <w:szCs w:val="22"/>
        </w:rPr>
        <w:t>dos</w:t>
      </w:r>
      <w:r w:rsidR="00C138D2" w:rsidRPr="008845ED">
        <w:rPr>
          <w:rFonts w:ascii="Arial" w:hAnsi="Arial" w:cs="Arial"/>
          <w:sz w:val="22"/>
          <w:szCs w:val="22"/>
        </w:rPr>
        <w:t xml:space="preserve"> dólar</w:t>
      </w:r>
      <w:r w:rsidR="00C138D2">
        <w:rPr>
          <w:rFonts w:ascii="Arial" w:hAnsi="Arial" w:cs="Arial"/>
          <w:sz w:val="22"/>
          <w:szCs w:val="22"/>
        </w:rPr>
        <w:t xml:space="preserve">es estadounidense con </w:t>
      </w:r>
      <w:r w:rsidR="00C138D2" w:rsidRPr="008845ED">
        <w:rPr>
          <w:rFonts w:ascii="Arial" w:hAnsi="Arial" w:cs="Arial"/>
          <w:sz w:val="22"/>
          <w:szCs w:val="22"/>
        </w:rPr>
        <w:t>5</w:t>
      </w:r>
      <w:r w:rsidR="00C138D2">
        <w:rPr>
          <w:rFonts w:ascii="Arial" w:hAnsi="Arial" w:cs="Arial"/>
          <w:sz w:val="22"/>
          <w:szCs w:val="22"/>
        </w:rPr>
        <w:t>0</w:t>
      </w:r>
      <w:r w:rsidR="00C138D2" w:rsidRPr="008845ED">
        <w:rPr>
          <w:rFonts w:ascii="Arial" w:hAnsi="Arial" w:cs="Arial"/>
          <w:sz w:val="22"/>
          <w:szCs w:val="22"/>
        </w:rPr>
        <w:t>/1</w:t>
      </w:r>
      <w:r w:rsidR="00C138D2">
        <w:rPr>
          <w:rFonts w:ascii="Arial" w:hAnsi="Arial" w:cs="Arial"/>
          <w:sz w:val="22"/>
          <w:szCs w:val="22"/>
        </w:rPr>
        <w:t xml:space="preserve">00 por tonelada de </w:t>
      </w:r>
      <w:r w:rsidR="00D27B11">
        <w:rPr>
          <w:rFonts w:ascii="Arial" w:hAnsi="Arial" w:cs="Arial"/>
          <w:sz w:val="22"/>
          <w:szCs w:val="22"/>
        </w:rPr>
        <w:t>escoria</w:t>
      </w:r>
      <w:r w:rsidR="00C138D2">
        <w:rPr>
          <w:rFonts w:ascii="Arial" w:hAnsi="Arial" w:cs="Arial"/>
          <w:sz w:val="22"/>
          <w:szCs w:val="22"/>
        </w:rPr>
        <w:t xml:space="preserve"> (2,5</w:t>
      </w:r>
      <w:r w:rsidR="00C138D2" w:rsidRPr="008845ED">
        <w:rPr>
          <w:rFonts w:ascii="Arial" w:hAnsi="Arial" w:cs="Arial"/>
          <w:sz w:val="22"/>
          <w:szCs w:val="22"/>
        </w:rPr>
        <w:t xml:space="preserve"> USD/T)</w:t>
      </w:r>
      <w:r w:rsidR="00C138D2">
        <w:rPr>
          <w:rFonts w:ascii="Arial" w:hAnsi="Arial" w:cs="Arial"/>
          <w:sz w:val="22"/>
          <w:szCs w:val="22"/>
        </w:rPr>
        <w:t xml:space="preserve">; y </w:t>
      </w:r>
      <w:r w:rsidR="00C138D2" w:rsidRPr="00B373F6">
        <w:rPr>
          <w:rFonts w:ascii="Arial" w:hAnsi="Arial" w:cs="Arial"/>
          <w:sz w:val="22"/>
          <w:szCs w:val="22"/>
        </w:rPr>
        <w:t xml:space="preserve">que, de acuerdo al análisis efectuado por la Gerencia, el precio por tonelada de </w:t>
      </w:r>
      <w:r w:rsidR="00D27B11">
        <w:rPr>
          <w:rFonts w:ascii="Arial" w:hAnsi="Arial" w:cs="Arial"/>
          <w:sz w:val="22"/>
          <w:szCs w:val="22"/>
        </w:rPr>
        <w:t xml:space="preserve">escoria </w:t>
      </w:r>
      <w:r w:rsidR="00C138D2">
        <w:rPr>
          <w:rFonts w:ascii="Arial" w:hAnsi="Arial" w:cs="Arial"/>
          <w:sz w:val="22"/>
          <w:szCs w:val="22"/>
        </w:rPr>
        <w:t>se encontraría ali</w:t>
      </w:r>
      <w:r w:rsidR="00C138D2" w:rsidRPr="00B373F6">
        <w:rPr>
          <w:rFonts w:ascii="Arial" w:hAnsi="Arial" w:cs="Arial"/>
          <w:sz w:val="22"/>
          <w:szCs w:val="22"/>
        </w:rPr>
        <w:t>n</w:t>
      </w:r>
      <w:r w:rsidR="00C138D2">
        <w:rPr>
          <w:rFonts w:ascii="Arial" w:hAnsi="Arial" w:cs="Arial"/>
          <w:sz w:val="22"/>
          <w:szCs w:val="22"/>
        </w:rPr>
        <w:t>e</w:t>
      </w:r>
      <w:r w:rsidR="00C138D2" w:rsidRPr="00B373F6">
        <w:rPr>
          <w:rFonts w:ascii="Arial" w:hAnsi="Arial" w:cs="Arial"/>
          <w:sz w:val="22"/>
          <w:szCs w:val="22"/>
        </w:rPr>
        <w:t>ado a las condiciones vigentes de mercado.</w:t>
      </w:r>
      <w:r w:rsidR="00C138D2">
        <w:rPr>
          <w:rFonts w:ascii="Arial" w:hAnsi="Arial" w:cs="Arial"/>
          <w:sz w:val="22"/>
          <w:szCs w:val="22"/>
        </w:rPr>
        <w:t xml:space="preserve"> </w:t>
      </w:r>
      <w:r w:rsidR="00E83D10">
        <w:rPr>
          <w:rFonts w:ascii="Arial" w:hAnsi="Arial" w:cs="Arial"/>
          <w:sz w:val="22"/>
          <w:szCs w:val="22"/>
        </w:rPr>
        <w:t xml:space="preserve">Por lo demás, agrega que </w:t>
      </w:r>
      <w:r w:rsidR="00A94B1B">
        <w:rPr>
          <w:rFonts w:ascii="Arial" w:hAnsi="Arial" w:cs="Arial"/>
          <w:sz w:val="22"/>
          <w:szCs w:val="22"/>
        </w:rPr>
        <w:t xml:space="preserve">dado que </w:t>
      </w:r>
      <w:r w:rsidR="00E83D10">
        <w:rPr>
          <w:rFonts w:ascii="Arial" w:hAnsi="Arial" w:cs="Arial"/>
          <w:sz w:val="22"/>
          <w:szCs w:val="22"/>
        </w:rPr>
        <w:t>el monto d</w:t>
      </w:r>
      <w:proofErr w:type="spellStart"/>
      <w:r w:rsidR="00E83D10" w:rsidRPr="00BB7821">
        <w:rPr>
          <w:rFonts w:ascii="Arial" w:hAnsi="Arial" w:cs="Arial"/>
          <w:sz w:val="22"/>
          <w:szCs w:val="22"/>
          <w:lang w:val="es-MX"/>
        </w:rPr>
        <w:t>e</w:t>
      </w:r>
      <w:proofErr w:type="spellEnd"/>
      <w:r w:rsidR="005B6A6D">
        <w:rPr>
          <w:rFonts w:ascii="Arial" w:hAnsi="Arial" w:cs="Arial"/>
          <w:sz w:val="22"/>
          <w:szCs w:val="22"/>
          <w:lang w:val="es-MX"/>
        </w:rPr>
        <w:t xml:space="preserve"> </w:t>
      </w:r>
      <w:r w:rsidR="00E83D10" w:rsidRPr="00BB7821">
        <w:rPr>
          <w:rFonts w:ascii="Arial" w:hAnsi="Arial" w:cs="Arial"/>
          <w:sz w:val="22"/>
          <w:szCs w:val="22"/>
          <w:lang w:val="es-MX"/>
        </w:rPr>
        <w:t>l</w:t>
      </w:r>
      <w:r w:rsidR="005B6A6D">
        <w:rPr>
          <w:rFonts w:ascii="Arial" w:hAnsi="Arial" w:cs="Arial"/>
          <w:sz w:val="22"/>
          <w:szCs w:val="22"/>
          <w:lang w:val="es-MX"/>
        </w:rPr>
        <w:t>a</w:t>
      </w:r>
      <w:r w:rsidR="00E83D10" w:rsidRPr="00BB7821">
        <w:rPr>
          <w:rFonts w:ascii="Arial" w:hAnsi="Arial" w:cs="Arial"/>
          <w:sz w:val="22"/>
          <w:szCs w:val="22"/>
          <w:lang w:val="es-MX"/>
        </w:rPr>
        <w:t xml:space="preserve"> </w:t>
      </w:r>
      <w:r w:rsidR="005B6A6D">
        <w:rPr>
          <w:rFonts w:ascii="Arial" w:hAnsi="Arial" w:cs="Arial"/>
          <w:sz w:val="22"/>
          <w:szCs w:val="22"/>
          <w:lang w:val="es-MX"/>
        </w:rPr>
        <w:t>operación sometida</w:t>
      </w:r>
      <w:r w:rsidR="00E83D10" w:rsidRPr="00BB7821">
        <w:rPr>
          <w:rFonts w:ascii="Arial" w:hAnsi="Arial" w:cs="Arial"/>
          <w:sz w:val="22"/>
          <w:szCs w:val="22"/>
          <w:lang w:val="es-MX"/>
        </w:rPr>
        <w:t xml:space="preserve"> a consideración </w:t>
      </w:r>
      <w:r w:rsidR="00A94B1B" w:rsidRPr="00A94B1B">
        <w:rPr>
          <w:rFonts w:ascii="Arial" w:hAnsi="Arial" w:cs="Arial"/>
          <w:sz w:val="22"/>
          <w:szCs w:val="22"/>
          <w:lang w:val="es-MX"/>
        </w:rPr>
        <w:t>puede ascender hasta la suma de USD 1.479.720, equivalente a AR$ 6</w:t>
      </w:r>
      <w:r w:rsidR="00D773D3">
        <w:rPr>
          <w:rFonts w:ascii="Arial" w:hAnsi="Arial" w:cs="Arial"/>
          <w:sz w:val="22"/>
          <w:szCs w:val="22"/>
          <w:lang w:val="es-MX"/>
        </w:rPr>
        <w:t>4</w:t>
      </w:r>
      <w:r w:rsidR="00D27B11">
        <w:rPr>
          <w:rFonts w:ascii="Arial" w:hAnsi="Arial" w:cs="Arial"/>
          <w:sz w:val="22"/>
          <w:szCs w:val="22"/>
          <w:lang w:val="es-MX"/>
        </w:rPr>
        <w:t>.811.736 (al tipo de cambio correspondiente al 21 de junio de 2019)</w:t>
      </w:r>
      <w:r w:rsidR="00A94B1B" w:rsidRPr="00A94B1B">
        <w:rPr>
          <w:rFonts w:ascii="Arial" w:hAnsi="Arial" w:cs="Arial"/>
          <w:sz w:val="22"/>
          <w:szCs w:val="22"/>
          <w:lang w:val="es-MX"/>
        </w:rPr>
        <w:t>, y por ende</w:t>
      </w:r>
      <w:r w:rsidR="00A94B1B">
        <w:rPr>
          <w:rFonts w:ascii="Arial" w:hAnsi="Arial" w:cs="Arial"/>
          <w:sz w:val="22"/>
          <w:szCs w:val="22"/>
          <w:lang w:val="es-MX"/>
        </w:rPr>
        <w:t xml:space="preserve"> </w:t>
      </w:r>
      <w:r w:rsidR="00E83D10" w:rsidRPr="00BB7821">
        <w:rPr>
          <w:rFonts w:ascii="Arial" w:hAnsi="Arial" w:cs="Arial"/>
          <w:sz w:val="22"/>
          <w:szCs w:val="22"/>
          <w:lang w:val="es-MX"/>
        </w:rPr>
        <w:t xml:space="preserve">no alcanzaría </w:t>
      </w:r>
      <w:r w:rsidR="00A94B1B">
        <w:rPr>
          <w:rFonts w:ascii="Arial" w:hAnsi="Arial" w:cs="Arial"/>
          <w:sz w:val="22"/>
          <w:szCs w:val="22"/>
          <w:lang w:val="es-MX"/>
        </w:rPr>
        <w:t xml:space="preserve">el umbral previsto en </w:t>
      </w:r>
      <w:r w:rsidR="00E83D10" w:rsidRPr="00BB7821">
        <w:rPr>
          <w:rFonts w:ascii="Arial" w:hAnsi="Arial" w:cs="Arial"/>
          <w:sz w:val="22"/>
          <w:szCs w:val="22"/>
          <w:lang w:val="es-MX"/>
        </w:rPr>
        <w:t>el artículo 72 de la Ley N° 26.831</w:t>
      </w:r>
      <w:r w:rsidR="00A94B1B" w:rsidRPr="00A94B1B">
        <w:t xml:space="preserve"> </w:t>
      </w:r>
      <w:r w:rsidR="00A94B1B" w:rsidRPr="00A94B1B">
        <w:rPr>
          <w:rFonts w:ascii="Arial" w:hAnsi="Arial" w:cs="Arial"/>
          <w:sz w:val="22"/>
          <w:szCs w:val="22"/>
          <w:lang w:val="es-MX"/>
        </w:rPr>
        <w:t>para ser considerado un “monto relevante” igual al 1% del patrimonio neto (el cual, en el caso de la Sociedad, al 31 de marzo de 2019 asciende a AR$ 93.582.850), dicha operación</w:t>
      </w:r>
      <w:r w:rsidR="00A94B1B">
        <w:rPr>
          <w:rFonts w:ascii="Arial" w:hAnsi="Arial" w:cs="Arial"/>
          <w:sz w:val="22"/>
          <w:szCs w:val="22"/>
          <w:lang w:val="es-MX"/>
        </w:rPr>
        <w:t xml:space="preserve"> </w:t>
      </w:r>
      <w:r w:rsidR="005B6A6D">
        <w:rPr>
          <w:rFonts w:ascii="Arial" w:hAnsi="Arial" w:cs="Arial"/>
          <w:sz w:val="22"/>
          <w:szCs w:val="22"/>
          <w:lang w:val="es-MX"/>
        </w:rPr>
        <w:t>no será comunicada al mercado como un hecho relevante</w:t>
      </w:r>
      <w:r w:rsidR="00E83D10" w:rsidRPr="00BB7821">
        <w:rPr>
          <w:rFonts w:ascii="Arial" w:hAnsi="Arial" w:cs="Arial"/>
          <w:sz w:val="22"/>
          <w:szCs w:val="22"/>
          <w:lang w:val="es-MX"/>
        </w:rPr>
        <w:t xml:space="preserve">, </w:t>
      </w:r>
      <w:r w:rsidR="00A94B1B">
        <w:rPr>
          <w:rFonts w:ascii="Arial" w:hAnsi="Arial" w:cs="Arial"/>
          <w:sz w:val="22"/>
          <w:szCs w:val="22"/>
          <w:lang w:val="es-MX"/>
        </w:rPr>
        <w:t xml:space="preserve">si bien </w:t>
      </w:r>
      <w:r w:rsidR="005B6A6D">
        <w:rPr>
          <w:rFonts w:ascii="Arial" w:hAnsi="Arial" w:cs="Arial"/>
          <w:sz w:val="22"/>
          <w:szCs w:val="22"/>
          <w:lang w:val="es-MX"/>
        </w:rPr>
        <w:t xml:space="preserve">para mayor transparencia </w:t>
      </w:r>
      <w:r w:rsidR="00E83D10" w:rsidRPr="00BB7821">
        <w:rPr>
          <w:rFonts w:ascii="Arial" w:hAnsi="Arial" w:cs="Arial"/>
          <w:sz w:val="22"/>
          <w:szCs w:val="22"/>
          <w:lang w:val="es-MX"/>
        </w:rPr>
        <w:t xml:space="preserve">ha sido </w:t>
      </w:r>
      <w:r w:rsidR="005B6A6D">
        <w:rPr>
          <w:rFonts w:ascii="Arial" w:hAnsi="Arial" w:cs="Arial"/>
          <w:sz w:val="22"/>
          <w:szCs w:val="22"/>
          <w:lang w:val="es-MX"/>
        </w:rPr>
        <w:t>informada a</w:t>
      </w:r>
      <w:r w:rsidR="00E83D10" w:rsidRPr="00BB7821">
        <w:rPr>
          <w:rFonts w:ascii="Arial" w:hAnsi="Arial" w:cs="Arial"/>
          <w:sz w:val="22"/>
          <w:szCs w:val="22"/>
          <w:lang w:val="es-MX"/>
        </w:rPr>
        <w:t>l Comité de Auditoría en su reunión ocurrida en el día de la fecha,</w:t>
      </w:r>
      <w:r w:rsidR="005B6A6D">
        <w:rPr>
          <w:rFonts w:ascii="Arial" w:hAnsi="Arial" w:cs="Arial"/>
          <w:sz w:val="22"/>
          <w:szCs w:val="22"/>
          <w:lang w:val="es-MX"/>
        </w:rPr>
        <w:t xml:space="preserve"> no teniendo el mismo objeciones que formular. </w:t>
      </w:r>
      <w:r w:rsidR="00C138D2">
        <w:rPr>
          <w:rFonts w:ascii="Arial" w:hAnsi="Arial" w:cs="Arial"/>
          <w:sz w:val="22"/>
          <w:szCs w:val="22"/>
        </w:rPr>
        <w:t xml:space="preserve">Luego de un intercambio de opiniones, </w:t>
      </w:r>
      <w:r w:rsidR="00C138D2" w:rsidRPr="00B373F6">
        <w:rPr>
          <w:rFonts w:ascii="Arial" w:hAnsi="Arial" w:cs="Arial"/>
          <w:sz w:val="22"/>
          <w:szCs w:val="22"/>
          <w:lang w:val="es-AR"/>
        </w:rPr>
        <w:t xml:space="preserve">los </w:t>
      </w:r>
      <w:r w:rsidR="00E83D10">
        <w:rPr>
          <w:rFonts w:ascii="Arial" w:hAnsi="Arial" w:cs="Arial"/>
          <w:sz w:val="22"/>
          <w:szCs w:val="22"/>
          <w:lang w:val="es-AR"/>
        </w:rPr>
        <w:t xml:space="preserve">Sres. </w:t>
      </w:r>
      <w:r w:rsidR="00C138D2">
        <w:rPr>
          <w:rFonts w:ascii="Arial" w:hAnsi="Arial" w:cs="Arial"/>
          <w:sz w:val="22"/>
          <w:szCs w:val="22"/>
          <w:lang w:val="es-AR"/>
        </w:rPr>
        <w:t>Directores</w:t>
      </w:r>
      <w:r w:rsidR="00C138D2" w:rsidRPr="00B373F6">
        <w:rPr>
          <w:rFonts w:ascii="Arial" w:hAnsi="Arial" w:cs="Arial"/>
          <w:sz w:val="22"/>
          <w:szCs w:val="22"/>
        </w:rPr>
        <w:t xml:space="preserve"> aprueban por </w:t>
      </w:r>
      <w:r w:rsidR="00C138D2" w:rsidRPr="00B373F6">
        <w:rPr>
          <w:rFonts w:ascii="Arial" w:hAnsi="Arial" w:cs="Arial"/>
          <w:sz w:val="22"/>
          <w:szCs w:val="22"/>
        </w:rPr>
        <w:lastRenderedPageBreak/>
        <w:t xml:space="preserve">unanimidad </w:t>
      </w:r>
      <w:r w:rsidR="00C138D2">
        <w:rPr>
          <w:rFonts w:ascii="Arial" w:hAnsi="Arial" w:cs="Arial"/>
          <w:sz w:val="22"/>
          <w:szCs w:val="22"/>
        </w:rPr>
        <w:t>autorizar a la</w:t>
      </w:r>
      <w:r w:rsidR="00C138D2" w:rsidRPr="00B373F6">
        <w:rPr>
          <w:rFonts w:ascii="Arial" w:hAnsi="Arial" w:cs="Arial"/>
          <w:sz w:val="22"/>
          <w:szCs w:val="22"/>
        </w:rPr>
        <w:t xml:space="preserve"> Gerencia</w:t>
      </w:r>
      <w:r w:rsidR="00C138D2" w:rsidRPr="006954A3">
        <w:rPr>
          <w:rFonts w:ascii="Arial" w:hAnsi="Arial" w:cs="Arial"/>
          <w:sz w:val="22"/>
          <w:szCs w:val="22"/>
        </w:rPr>
        <w:t xml:space="preserve"> </w:t>
      </w:r>
      <w:r w:rsidR="00C138D2">
        <w:rPr>
          <w:rFonts w:ascii="Arial" w:hAnsi="Arial" w:cs="Arial"/>
          <w:sz w:val="22"/>
          <w:szCs w:val="22"/>
        </w:rPr>
        <w:t xml:space="preserve">a celebrar </w:t>
      </w:r>
      <w:r w:rsidR="00E83D10">
        <w:rPr>
          <w:rFonts w:ascii="Arial" w:hAnsi="Arial" w:cs="Arial"/>
          <w:sz w:val="22"/>
          <w:szCs w:val="22"/>
        </w:rPr>
        <w:t xml:space="preserve">el </w:t>
      </w:r>
      <w:r w:rsidR="00C138D2" w:rsidRPr="006954A3">
        <w:rPr>
          <w:rFonts w:ascii="Arial" w:hAnsi="Arial" w:cs="Arial"/>
          <w:sz w:val="22"/>
          <w:szCs w:val="22"/>
        </w:rPr>
        <w:t>contrato de compra</w:t>
      </w:r>
      <w:r w:rsidR="00C138D2">
        <w:rPr>
          <w:rFonts w:ascii="Arial" w:hAnsi="Arial" w:cs="Arial"/>
          <w:sz w:val="22"/>
          <w:szCs w:val="22"/>
        </w:rPr>
        <w:t>venta</w:t>
      </w:r>
      <w:r w:rsidR="00E83D10">
        <w:rPr>
          <w:rFonts w:ascii="Arial" w:hAnsi="Arial" w:cs="Arial"/>
          <w:sz w:val="22"/>
          <w:szCs w:val="22"/>
        </w:rPr>
        <w:t xml:space="preserve"> de escoria </w:t>
      </w:r>
      <w:r w:rsidR="00C138D2">
        <w:rPr>
          <w:rFonts w:ascii="Arial" w:hAnsi="Arial" w:cs="Arial"/>
          <w:sz w:val="22"/>
          <w:szCs w:val="22"/>
        </w:rPr>
        <w:t>aquí referido</w:t>
      </w:r>
      <w:r w:rsidR="00C138D2" w:rsidRPr="006954A3">
        <w:rPr>
          <w:rFonts w:ascii="Arial" w:hAnsi="Arial" w:cs="Arial"/>
          <w:sz w:val="22"/>
          <w:szCs w:val="22"/>
        </w:rPr>
        <w:t xml:space="preserve">, </w:t>
      </w:r>
      <w:r w:rsidR="00C138D2">
        <w:rPr>
          <w:rFonts w:ascii="Arial" w:hAnsi="Arial" w:cs="Arial"/>
          <w:sz w:val="22"/>
          <w:szCs w:val="22"/>
        </w:rPr>
        <w:t xml:space="preserve">bajo la condición de que la Gerencia realice </w:t>
      </w:r>
      <w:r w:rsidR="00C138D2" w:rsidRPr="006954A3">
        <w:rPr>
          <w:rFonts w:ascii="Arial" w:hAnsi="Arial" w:cs="Arial"/>
          <w:sz w:val="22"/>
          <w:szCs w:val="22"/>
        </w:rPr>
        <w:t xml:space="preserve">una minuciosa rendición de cuentas </w:t>
      </w:r>
      <w:r w:rsidR="005B6A6D">
        <w:rPr>
          <w:rFonts w:ascii="Arial" w:hAnsi="Arial" w:cs="Arial"/>
          <w:sz w:val="22"/>
          <w:szCs w:val="22"/>
        </w:rPr>
        <w:t>luego de finalizado el mismo</w:t>
      </w:r>
      <w:r w:rsidR="00C138D2" w:rsidRPr="00B876D8">
        <w:rPr>
          <w:rFonts w:ascii="Arial" w:hAnsi="Arial" w:cs="Arial"/>
          <w:sz w:val="22"/>
          <w:szCs w:val="22"/>
        </w:rPr>
        <w:t>.</w:t>
      </w:r>
      <w:r w:rsidR="00E83D10">
        <w:rPr>
          <w:rFonts w:ascii="Arial" w:hAnsi="Arial" w:cs="Arial"/>
          <w:sz w:val="22"/>
          <w:szCs w:val="22"/>
        </w:rPr>
        <w:t xml:space="preserve"> </w:t>
      </w:r>
      <w:r w:rsidR="00E83D10" w:rsidRPr="00E83D10">
        <w:rPr>
          <w:rFonts w:ascii="Arial" w:hAnsi="Arial" w:cs="Arial"/>
          <w:b/>
          <w:sz w:val="22"/>
          <w:szCs w:val="22"/>
        </w:rPr>
        <w:t>(ii)</w:t>
      </w:r>
      <w:r w:rsidR="00E83D10">
        <w:rPr>
          <w:rFonts w:ascii="Arial" w:hAnsi="Arial" w:cs="Arial"/>
          <w:sz w:val="22"/>
          <w:szCs w:val="22"/>
        </w:rPr>
        <w:t xml:space="preserve"> </w:t>
      </w:r>
      <w:r w:rsidR="00D85CC2" w:rsidRPr="00D85CC2">
        <w:rPr>
          <w:rFonts w:ascii="Arial" w:hAnsi="Arial" w:cs="Arial"/>
          <w:b/>
          <w:bCs/>
          <w:caps/>
          <w:sz w:val="22"/>
          <w:szCs w:val="22"/>
          <w:u w:val="single"/>
        </w:rPr>
        <w:t xml:space="preserve">Emisión de nuevas </w:t>
      </w:r>
      <w:r w:rsidR="00D85CC2" w:rsidRPr="003B681F">
        <w:rPr>
          <w:rFonts w:ascii="Arial" w:hAnsi="Arial" w:cs="Arial"/>
          <w:b/>
          <w:bCs/>
          <w:caps/>
          <w:sz w:val="22"/>
          <w:szCs w:val="22"/>
          <w:u w:val="single"/>
        </w:rPr>
        <w:t>acciones</w:t>
      </w:r>
      <w:r w:rsidR="00274FF9" w:rsidRPr="003B681F">
        <w:rPr>
          <w:u w:val="single"/>
        </w:rPr>
        <w:t xml:space="preserve"> </w:t>
      </w:r>
      <w:r w:rsidR="00274FF9" w:rsidRPr="003B681F">
        <w:rPr>
          <w:rFonts w:ascii="Arial" w:hAnsi="Arial" w:cs="Arial"/>
          <w:b/>
          <w:bCs/>
          <w:caps/>
          <w:sz w:val="22"/>
          <w:szCs w:val="22"/>
          <w:u w:val="single"/>
        </w:rPr>
        <w:t>Y</w:t>
      </w:r>
      <w:r w:rsidR="00274FF9" w:rsidRPr="00274FF9">
        <w:rPr>
          <w:rFonts w:ascii="Arial" w:hAnsi="Arial" w:cs="Arial"/>
          <w:b/>
          <w:bCs/>
          <w:caps/>
          <w:sz w:val="22"/>
          <w:szCs w:val="22"/>
          <w:u w:val="single"/>
        </w:rPr>
        <w:t xml:space="preserve"> Subdelegación de facultades</w:t>
      </w:r>
      <w:r w:rsidR="00D85CC2" w:rsidRPr="003B681F">
        <w:rPr>
          <w:rFonts w:ascii="Arial" w:hAnsi="Arial" w:cs="Arial"/>
          <w:b/>
          <w:bCs/>
          <w:sz w:val="22"/>
          <w:szCs w:val="22"/>
        </w:rPr>
        <w:t>:</w:t>
      </w:r>
      <w:r w:rsidR="00571647">
        <w:rPr>
          <w:rFonts w:ascii="Arial" w:hAnsi="Arial" w:cs="Arial"/>
          <w:sz w:val="22"/>
          <w:szCs w:val="22"/>
        </w:rPr>
        <w:t xml:space="preserve"> </w:t>
      </w:r>
      <w:r w:rsidR="00D85CC2" w:rsidRPr="00D85CC2">
        <w:rPr>
          <w:rFonts w:ascii="Arial" w:hAnsi="Arial" w:cs="Arial"/>
          <w:bCs/>
          <w:sz w:val="22"/>
          <w:szCs w:val="22"/>
          <w:lang w:val="es-MX"/>
        </w:rPr>
        <w:t xml:space="preserve">El Sr. </w:t>
      </w:r>
      <w:r w:rsidR="00D85CC2">
        <w:rPr>
          <w:rFonts w:ascii="Arial" w:hAnsi="Arial" w:cs="Arial"/>
          <w:bCs/>
          <w:sz w:val="22"/>
          <w:szCs w:val="22"/>
          <w:lang w:val="es-MX"/>
        </w:rPr>
        <w:t>P</w:t>
      </w:r>
      <w:r w:rsidR="00D85CC2" w:rsidRPr="00D85CC2">
        <w:rPr>
          <w:rFonts w:ascii="Arial" w:hAnsi="Arial" w:cs="Arial"/>
          <w:bCs/>
          <w:sz w:val="22"/>
          <w:szCs w:val="22"/>
          <w:lang w:val="es-MX"/>
        </w:rPr>
        <w:t xml:space="preserve">residente manifiesta que, </w:t>
      </w:r>
      <w:r w:rsidR="00D970B5">
        <w:rPr>
          <w:rFonts w:ascii="Arial" w:hAnsi="Arial" w:cs="Arial"/>
          <w:bCs/>
          <w:sz w:val="22"/>
          <w:szCs w:val="22"/>
          <w:lang w:val="es-MX"/>
        </w:rPr>
        <w:t>en el día de la fecha</w:t>
      </w:r>
      <w:r w:rsidR="00D970B5" w:rsidRPr="00D85CC2">
        <w:rPr>
          <w:rFonts w:ascii="Arial" w:hAnsi="Arial" w:cs="Arial"/>
          <w:bCs/>
          <w:sz w:val="22"/>
          <w:szCs w:val="22"/>
          <w:lang w:val="es-MX"/>
        </w:rPr>
        <w:t xml:space="preserve"> </w:t>
      </w:r>
      <w:r w:rsidR="00D85CC2" w:rsidRPr="00D85CC2">
        <w:rPr>
          <w:rFonts w:ascii="Arial" w:hAnsi="Arial" w:cs="Arial"/>
          <w:bCs/>
          <w:sz w:val="22"/>
          <w:szCs w:val="22"/>
          <w:lang w:val="es-MX"/>
        </w:rPr>
        <w:t xml:space="preserve">la Asamblea General Ordinaria y Extraordinaria de </w:t>
      </w:r>
      <w:r w:rsidR="00D970B5">
        <w:rPr>
          <w:rFonts w:ascii="Arial" w:hAnsi="Arial" w:cs="Arial"/>
          <w:bCs/>
          <w:sz w:val="22"/>
          <w:szCs w:val="22"/>
          <w:lang w:val="es-MX"/>
        </w:rPr>
        <w:t>A</w:t>
      </w:r>
      <w:r w:rsidR="00D85CC2" w:rsidRPr="00D85CC2">
        <w:rPr>
          <w:rFonts w:ascii="Arial" w:hAnsi="Arial" w:cs="Arial"/>
          <w:bCs/>
          <w:sz w:val="22"/>
          <w:szCs w:val="22"/>
          <w:lang w:val="es-MX"/>
        </w:rPr>
        <w:t xml:space="preserve">ccionistas </w:t>
      </w:r>
      <w:r w:rsidR="00D970B5">
        <w:rPr>
          <w:rFonts w:ascii="Arial" w:hAnsi="Arial" w:cs="Arial"/>
          <w:bCs/>
          <w:sz w:val="22"/>
          <w:szCs w:val="22"/>
          <w:lang w:val="es-MX"/>
        </w:rPr>
        <w:t xml:space="preserve">de la Sociedad resolvió </w:t>
      </w:r>
      <w:r w:rsidR="00D67A6A">
        <w:rPr>
          <w:rFonts w:ascii="Arial" w:hAnsi="Arial" w:cs="Arial"/>
          <w:bCs/>
          <w:sz w:val="22"/>
          <w:szCs w:val="22"/>
          <w:lang w:val="es-MX"/>
        </w:rPr>
        <w:t xml:space="preserve">(i) </w:t>
      </w:r>
      <w:r w:rsidR="00D970B5">
        <w:rPr>
          <w:rFonts w:ascii="Arial" w:hAnsi="Arial" w:cs="Arial"/>
          <w:bCs/>
          <w:sz w:val="22"/>
          <w:szCs w:val="22"/>
          <w:lang w:val="es-MX"/>
        </w:rPr>
        <w:t>a</w:t>
      </w:r>
      <w:r w:rsidR="00D970B5" w:rsidRPr="00D970B5">
        <w:rPr>
          <w:rFonts w:ascii="Arial" w:hAnsi="Arial" w:cs="Arial"/>
          <w:bCs/>
          <w:sz w:val="22"/>
          <w:szCs w:val="22"/>
          <w:lang w:val="es-MX"/>
        </w:rPr>
        <w:t>ument</w:t>
      </w:r>
      <w:r w:rsidR="00D970B5">
        <w:rPr>
          <w:rFonts w:ascii="Arial" w:hAnsi="Arial" w:cs="Arial"/>
          <w:bCs/>
          <w:sz w:val="22"/>
          <w:szCs w:val="22"/>
          <w:lang w:val="es-MX"/>
        </w:rPr>
        <w:t>ar el</w:t>
      </w:r>
      <w:r w:rsidR="00D970B5" w:rsidRPr="00D970B5">
        <w:rPr>
          <w:rFonts w:ascii="Arial" w:hAnsi="Arial" w:cs="Arial"/>
          <w:bCs/>
          <w:sz w:val="22"/>
          <w:szCs w:val="22"/>
          <w:lang w:val="es-MX"/>
        </w:rPr>
        <w:t xml:space="preserve"> capital </w:t>
      </w:r>
      <w:r w:rsidR="00D970B5">
        <w:rPr>
          <w:rFonts w:ascii="Arial" w:hAnsi="Arial" w:cs="Arial"/>
          <w:bCs/>
          <w:sz w:val="22"/>
          <w:szCs w:val="22"/>
          <w:lang w:val="es-MX"/>
        </w:rPr>
        <w:t xml:space="preserve">social </w:t>
      </w:r>
      <w:r w:rsidR="00D970B5" w:rsidRPr="00D970B5">
        <w:rPr>
          <w:rFonts w:ascii="Arial" w:hAnsi="Arial" w:cs="Arial"/>
          <w:bCs/>
          <w:sz w:val="22"/>
          <w:szCs w:val="22"/>
          <w:lang w:val="es-MX"/>
        </w:rPr>
        <w:t>por la suma de hasta $1.685.000.000</w:t>
      </w:r>
      <w:r w:rsidR="00E83D10">
        <w:rPr>
          <w:rFonts w:ascii="Arial" w:hAnsi="Arial" w:cs="Arial"/>
          <w:bCs/>
          <w:sz w:val="22"/>
          <w:szCs w:val="22"/>
          <w:lang w:val="es-MX"/>
        </w:rPr>
        <w:t>,</w:t>
      </w:r>
      <w:r w:rsidR="00D970B5" w:rsidRPr="00D970B5">
        <w:rPr>
          <w:rFonts w:ascii="Arial" w:hAnsi="Arial" w:cs="Arial"/>
          <w:bCs/>
          <w:sz w:val="22"/>
          <w:szCs w:val="22"/>
          <w:lang w:val="es-MX"/>
        </w:rPr>
        <w:t xml:space="preserve"> </w:t>
      </w:r>
      <w:r w:rsidR="007A306E" w:rsidRPr="007A306E">
        <w:rPr>
          <w:rFonts w:ascii="Arial" w:hAnsi="Arial" w:cs="Arial"/>
          <w:bCs/>
          <w:sz w:val="22"/>
          <w:szCs w:val="22"/>
          <w:lang w:val="es-MX"/>
        </w:rPr>
        <w:t xml:space="preserve">que sería integrada mediante la </w:t>
      </w:r>
      <w:r w:rsidR="00D970B5" w:rsidRPr="00D970B5">
        <w:rPr>
          <w:rFonts w:ascii="Arial" w:hAnsi="Arial" w:cs="Arial"/>
          <w:bCs/>
          <w:sz w:val="22"/>
          <w:szCs w:val="22"/>
          <w:lang w:val="es-MX"/>
        </w:rPr>
        <w:t>capitalización de</w:t>
      </w:r>
      <w:r w:rsidR="007A306E">
        <w:rPr>
          <w:rFonts w:ascii="Arial" w:hAnsi="Arial" w:cs="Arial"/>
          <w:bCs/>
          <w:sz w:val="22"/>
          <w:szCs w:val="22"/>
          <w:lang w:val="es-MX"/>
        </w:rPr>
        <w:t xml:space="preserve"> los</w:t>
      </w:r>
      <w:r w:rsidR="00D970B5" w:rsidRPr="00D970B5">
        <w:rPr>
          <w:rFonts w:ascii="Arial" w:hAnsi="Arial" w:cs="Arial"/>
          <w:bCs/>
          <w:sz w:val="22"/>
          <w:szCs w:val="22"/>
          <w:lang w:val="es-MX"/>
        </w:rPr>
        <w:t xml:space="preserve"> aportes irrevocables </w:t>
      </w:r>
      <w:r w:rsidR="007A306E">
        <w:rPr>
          <w:rFonts w:ascii="Arial" w:hAnsi="Arial" w:cs="Arial"/>
          <w:bCs/>
          <w:sz w:val="22"/>
          <w:szCs w:val="22"/>
          <w:lang w:val="es-MX"/>
        </w:rPr>
        <w:t xml:space="preserve">realizados por </w:t>
      </w:r>
      <w:r w:rsidR="00D970B5" w:rsidRPr="00D970B5">
        <w:rPr>
          <w:rFonts w:ascii="Arial" w:hAnsi="Arial" w:cs="Arial"/>
          <w:bCs/>
          <w:sz w:val="22"/>
          <w:szCs w:val="22"/>
          <w:lang w:val="es-MX"/>
        </w:rPr>
        <w:t xml:space="preserve">el accionista controlante </w:t>
      </w:r>
      <w:proofErr w:type="spellStart"/>
      <w:r w:rsidR="00D970B5" w:rsidRPr="00D970B5">
        <w:rPr>
          <w:rFonts w:ascii="Arial" w:hAnsi="Arial" w:cs="Arial"/>
          <w:bCs/>
          <w:sz w:val="22"/>
          <w:szCs w:val="22"/>
          <w:lang w:val="es-MX"/>
        </w:rPr>
        <w:t>Holcim</w:t>
      </w:r>
      <w:proofErr w:type="spellEnd"/>
      <w:r w:rsidR="00D970B5" w:rsidRPr="00D970B5">
        <w:rPr>
          <w:rFonts w:ascii="Arial" w:hAnsi="Arial" w:cs="Arial"/>
          <w:bCs/>
          <w:sz w:val="22"/>
          <w:szCs w:val="22"/>
          <w:lang w:val="es-MX"/>
        </w:rPr>
        <w:t xml:space="preserve"> </w:t>
      </w:r>
      <w:proofErr w:type="spellStart"/>
      <w:r w:rsidR="00D970B5" w:rsidRPr="00D970B5">
        <w:rPr>
          <w:rFonts w:ascii="Arial" w:hAnsi="Arial" w:cs="Arial"/>
          <w:bCs/>
          <w:sz w:val="22"/>
          <w:szCs w:val="22"/>
          <w:lang w:val="es-MX"/>
        </w:rPr>
        <w:t>Investments</w:t>
      </w:r>
      <w:proofErr w:type="spellEnd"/>
      <w:r w:rsidR="00D970B5" w:rsidRPr="00D970B5">
        <w:rPr>
          <w:rFonts w:ascii="Arial" w:hAnsi="Arial" w:cs="Arial"/>
          <w:bCs/>
          <w:sz w:val="22"/>
          <w:szCs w:val="22"/>
          <w:lang w:val="es-MX"/>
        </w:rPr>
        <w:t xml:space="preserve"> (</w:t>
      </w:r>
      <w:proofErr w:type="spellStart"/>
      <w:r w:rsidR="00D970B5" w:rsidRPr="00D970B5">
        <w:rPr>
          <w:rFonts w:ascii="Arial" w:hAnsi="Arial" w:cs="Arial"/>
          <w:bCs/>
          <w:sz w:val="22"/>
          <w:szCs w:val="22"/>
          <w:lang w:val="es-MX"/>
        </w:rPr>
        <w:t>Spain</w:t>
      </w:r>
      <w:proofErr w:type="spellEnd"/>
      <w:r w:rsidR="00D970B5" w:rsidRPr="00D970B5">
        <w:rPr>
          <w:rFonts w:ascii="Arial" w:hAnsi="Arial" w:cs="Arial"/>
          <w:bCs/>
          <w:sz w:val="22"/>
          <w:szCs w:val="22"/>
          <w:lang w:val="es-MX"/>
        </w:rPr>
        <w:t>) S.L.</w:t>
      </w:r>
      <w:r w:rsidR="003B38E2">
        <w:rPr>
          <w:rFonts w:ascii="Arial" w:hAnsi="Arial" w:cs="Arial"/>
          <w:bCs/>
          <w:sz w:val="22"/>
          <w:szCs w:val="22"/>
          <w:lang w:val="es-MX"/>
        </w:rPr>
        <w:t xml:space="preserve"> </w:t>
      </w:r>
      <w:r w:rsidR="007A306E">
        <w:rPr>
          <w:rFonts w:ascii="Arial" w:hAnsi="Arial" w:cs="Arial"/>
          <w:bCs/>
          <w:sz w:val="22"/>
          <w:szCs w:val="22"/>
          <w:lang w:val="es-MX"/>
        </w:rPr>
        <w:t xml:space="preserve">y aceptados por la Sociedad con fecha </w:t>
      </w:r>
      <w:r w:rsidR="007A306E" w:rsidRPr="007A306E">
        <w:rPr>
          <w:rFonts w:ascii="Arial" w:hAnsi="Arial" w:cs="Arial"/>
          <w:bCs/>
          <w:sz w:val="22"/>
          <w:szCs w:val="22"/>
          <w:lang w:val="es-MX"/>
        </w:rPr>
        <w:t xml:space="preserve">22 de abril de 2019 y 23 de mayo de 2019 </w:t>
      </w:r>
      <w:r w:rsidR="003B38E2">
        <w:rPr>
          <w:rFonts w:ascii="Arial" w:hAnsi="Arial" w:cs="Arial"/>
          <w:bCs/>
          <w:sz w:val="22"/>
          <w:szCs w:val="22"/>
          <w:lang w:val="es-MX"/>
        </w:rPr>
        <w:t>(los “</w:t>
      </w:r>
      <w:r w:rsidR="003B38E2" w:rsidRPr="003B38E2">
        <w:rPr>
          <w:rFonts w:ascii="Arial" w:hAnsi="Arial" w:cs="Arial"/>
          <w:bCs/>
          <w:sz w:val="22"/>
          <w:szCs w:val="22"/>
          <w:u w:val="single"/>
          <w:lang w:val="es-MX"/>
        </w:rPr>
        <w:t>Aportes Irrevocables</w:t>
      </w:r>
      <w:r w:rsidR="003B38E2">
        <w:rPr>
          <w:rFonts w:ascii="Arial" w:hAnsi="Arial" w:cs="Arial"/>
          <w:bCs/>
          <w:sz w:val="22"/>
          <w:szCs w:val="22"/>
          <w:lang w:val="es-MX"/>
        </w:rPr>
        <w:t>”)</w:t>
      </w:r>
      <w:r w:rsidR="00D970B5" w:rsidRPr="00D970B5">
        <w:rPr>
          <w:rFonts w:ascii="Arial" w:hAnsi="Arial" w:cs="Arial"/>
          <w:bCs/>
          <w:sz w:val="22"/>
          <w:szCs w:val="22"/>
          <w:lang w:val="es-MX"/>
        </w:rPr>
        <w:t xml:space="preserve">, en efectivo y/o </w:t>
      </w:r>
      <w:r w:rsidR="007A306E">
        <w:rPr>
          <w:rFonts w:ascii="Arial" w:hAnsi="Arial" w:cs="Arial"/>
          <w:bCs/>
          <w:sz w:val="22"/>
          <w:szCs w:val="22"/>
          <w:lang w:val="es-MX"/>
        </w:rPr>
        <w:t>mediante nuevos</w:t>
      </w:r>
      <w:r w:rsidR="00D970B5" w:rsidRPr="00D970B5">
        <w:rPr>
          <w:rFonts w:ascii="Arial" w:hAnsi="Arial" w:cs="Arial"/>
          <w:bCs/>
          <w:sz w:val="22"/>
          <w:szCs w:val="22"/>
          <w:lang w:val="es-MX"/>
        </w:rPr>
        <w:t xml:space="preserve"> aportes irrevocables</w:t>
      </w:r>
      <w:r w:rsidR="00D67A6A">
        <w:rPr>
          <w:rFonts w:ascii="Arial" w:hAnsi="Arial" w:cs="Arial"/>
          <w:bCs/>
          <w:sz w:val="22"/>
          <w:szCs w:val="22"/>
          <w:lang w:val="es-MX"/>
        </w:rPr>
        <w:t xml:space="preserve">; (ii) determinar </w:t>
      </w:r>
      <w:r w:rsidR="005B6A6D">
        <w:rPr>
          <w:rFonts w:ascii="Arial" w:hAnsi="Arial" w:cs="Arial"/>
          <w:bCs/>
          <w:sz w:val="22"/>
          <w:szCs w:val="22"/>
          <w:lang w:val="es-MX"/>
        </w:rPr>
        <w:t>ciertas</w:t>
      </w:r>
      <w:r w:rsidR="00D67A6A" w:rsidRPr="00D67A6A">
        <w:rPr>
          <w:rFonts w:ascii="Arial" w:hAnsi="Arial" w:cs="Arial"/>
          <w:bCs/>
          <w:sz w:val="22"/>
          <w:szCs w:val="22"/>
          <w:lang w:val="es-MX"/>
        </w:rPr>
        <w:t xml:space="preserve"> condiciones de emisión de las nuevas acciones a ser emitidas como consecuencia del aumento de capital </w:t>
      </w:r>
      <w:r w:rsidR="00E83D10">
        <w:rPr>
          <w:rFonts w:ascii="Arial" w:hAnsi="Arial" w:cs="Arial"/>
          <w:bCs/>
          <w:sz w:val="22"/>
          <w:szCs w:val="22"/>
          <w:lang w:val="es-MX"/>
        </w:rPr>
        <w:t xml:space="preserve">aprobado </w:t>
      </w:r>
      <w:r w:rsidR="00D67A6A" w:rsidRPr="00D67A6A">
        <w:rPr>
          <w:rFonts w:ascii="Arial" w:hAnsi="Arial" w:cs="Arial"/>
          <w:bCs/>
          <w:sz w:val="22"/>
          <w:szCs w:val="22"/>
          <w:lang w:val="es-MX"/>
        </w:rPr>
        <w:t>(las “</w:t>
      </w:r>
      <w:r w:rsidR="00D67A6A" w:rsidRPr="00D67A6A">
        <w:rPr>
          <w:rFonts w:ascii="Arial" w:hAnsi="Arial" w:cs="Arial"/>
          <w:bCs/>
          <w:sz w:val="22"/>
          <w:szCs w:val="22"/>
          <w:u w:val="single"/>
          <w:lang w:val="es-MX"/>
        </w:rPr>
        <w:t>Nuevas Acciones</w:t>
      </w:r>
      <w:r w:rsidR="00D67A6A" w:rsidRPr="00D67A6A">
        <w:rPr>
          <w:rFonts w:ascii="Arial" w:hAnsi="Arial" w:cs="Arial"/>
          <w:bCs/>
          <w:sz w:val="22"/>
          <w:szCs w:val="22"/>
          <w:lang w:val="es-MX"/>
        </w:rPr>
        <w:t>”)</w:t>
      </w:r>
      <w:r w:rsidR="00571647">
        <w:rPr>
          <w:rFonts w:ascii="Arial" w:hAnsi="Arial" w:cs="Arial"/>
          <w:bCs/>
          <w:sz w:val="22"/>
          <w:szCs w:val="22"/>
          <w:lang w:val="es-MX"/>
        </w:rPr>
        <w:t xml:space="preserve">; y (iii) delegar </w:t>
      </w:r>
      <w:r w:rsidR="00571647" w:rsidRPr="00571647">
        <w:rPr>
          <w:rFonts w:ascii="Arial" w:hAnsi="Arial" w:cs="Arial"/>
          <w:bCs/>
          <w:sz w:val="22"/>
          <w:szCs w:val="22"/>
          <w:lang w:val="es-MX"/>
        </w:rPr>
        <w:t xml:space="preserve">en el Directorio de la Sociedad las más amplias facultades para la determinación de todos aquellos </w:t>
      </w:r>
      <w:r w:rsidR="00E83D10">
        <w:rPr>
          <w:rFonts w:ascii="Arial" w:hAnsi="Arial" w:cs="Arial"/>
          <w:bCs/>
          <w:sz w:val="22"/>
          <w:szCs w:val="22"/>
          <w:lang w:val="es-MX"/>
        </w:rPr>
        <w:t xml:space="preserve">otros </w:t>
      </w:r>
      <w:r w:rsidR="00571647" w:rsidRPr="00571647">
        <w:rPr>
          <w:rFonts w:ascii="Arial" w:hAnsi="Arial" w:cs="Arial"/>
          <w:bCs/>
          <w:sz w:val="22"/>
          <w:szCs w:val="22"/>
          <w:lang w:val="es-MX"/>
        </w:rPr>
        <w:t xml:space="preserve">términos y condiciones </w:t>
      </w:r>
      <w:r w:rsidR="00E83D10">
        <w:rPr>
          <w:rFonts w:ascii="Arial" w:hAnsi="Arial" w:cs="Arial"/>
          <w:bCs/>
          <w:sz w:val="22"/>
          <w:szCs w:val="22"/>
          <w:lang w:val="es-MX"/>
        </w:rPr>
        <w:t xml:space="preserve">de las Nuevas Acciones </w:t>
      </w:r>
      <w:r w:rsidR="00571647" w:rsidRPr="00571647">
        <w:rPr>
          <w:rFonts w:ascii="Arial" w:hAnsi="Arial" w:cs="Arial"/>
          <w:bCs/>
          <w:sz w:val="22"/>
          <w:szCs w:val="22"/>
          <w:lang w:val="es-MX"/>
        </w:rPr>
        <w:t>no fijados por la Asamblea</w:t>
      </w:r>
      <w:r w:rsidR="00571647">
        <w:rPr>
          <w:rFonts w:ascii="Arial" w:hAnsi="Arial" w:cs="Arial"/>
          <w:bCs/>
          <w:sz w:val="22"/>
          <w:szCs w:val="22"/>
          <w:lang w:val="es-MX"/>
        </w:rPr>
        <w:t xml:space="preserve">. En virtud de lo anterior, el Sr. Presidente propone a los presentes </w:t>
      </w:r>
      <w:r w:rsidR="00D85CC2" w:rsidRPr="00D85CC2">
        <w:rPr>
          <w:rFonts w:ascii="Arial" w:hAnsi="Arial" w:cs="Arial"/>
          <w:bCs/>
          <w:sz w:val="22"/>
          <w:szCs w:val="22"/>
          <w:lang w:val="es-MX"/>
        </w:rPr>
        <w:t xml:space="preserve">fijar los </w:t>
      </w:r>
      <w:r w:rsidR="00571647">
        <w:rPr>
          <w:rFonts w:ascii="Arial" w:hAnsi="Arial" w:cs="Arial"/>
          <w:bCs/>
          <w:sz w:val="22"/>
          <w:szCs w:val="22"/>
          <w:lang w:val="es-MX"/>
        </w:rPr>
        <w:t xml:space="preserve">siguientes </w:t>
      </w:r>
      <w:r w:rsidR="00D85CC2" w:rsidRPr="00D85CC2">
        <w:rPr>
          <w:rFonts w:ascii="Arial" w:hAnsi="Arial" w:cs="Arial"/>
          <w:bCs/>
          <w:sz w:val="22"/>
          <w:szCs w:val="22"/>
          <w:lang w:val="es-MX"/>
        </w:rPr>
        <w:t xml:space="preserve">términos y condiciones </w:t>
      </w:r>
      <w:r w:rsidR="00571647">
        <w:rPr>
          <w:rFonts w:ascii="Arial" w:hAnsi="Arial" w:cs="Arial"/>
          <w:bCs/>
          <w:sz w:val="22"/>
          <w:szCs w:val="22"/>
          <w:lang w:val="es-MX"/>
        </w:rPr>
        <w:t xml:space="preserve">respecto </w:t>
      </w:r>
      <w:r w:rsidR="00D85CC2" w:rsidRPr="00D85CC2">
        <w:rPr>
          <w:rFonts w:ascii="Arial" w:hAnsi="Arial" w:cs="Arial"/>
          <w:bCs/>
          <w:sz w:val="22"/>
          <w:szCs w:val="22"/>
          <w:lang w:val="es-MX"/>
        </w:rPr>
        <w:t xml:space="preserve">de las </w:t>
      </w:r>
      <w:r w:rsidR="00571647">
        <w:rPr>
          <w:rFonts w:ascii="Arial" w:hAnsi="Arial" w:cs="Arial"/>
          <w:bCs/>
          <w:sz w:val="22"/>
          <w:szCs w:val="22"/>
          <w:lang w:val="es-MX"/>
        </w:rPr>
        <w:t>N</w:t>
      </w:r>
      <w:r w:rsidR="00D85CC2" w:rsidRPr="00D85CC2">
        <w:rPr>
          <w:rFonts w:ascii="Arial" w:hAnsi="Arial" w:cs="Arial"/>
          <w:bCs/>
          <w:sz w:val="22"/>
          <w:szCs w:val="22"/>
          <w:lang w:val="es-MX"/>
        </w:rPr>
        <w:t xml:space="preserve">uevas </w:t>
      </w:r>
      <w:r w:rsidR="00571647">
        <w:rPr>
          <w:rFonts w:ascii="Arial" w:hAnsi="Arial" w:cs="Arial"/>
          <w:bCs/>
          <w:sz w:val="22"/>
          <w:szCs w:val="22"/>
          <w:lang w:val="es-MX"/>
        </w:rPr>
        <w:t>A</w:t>
      </w:r>
      <w:r w:rsidR="00D85CC2" w:rsidRPr="00D85CC2">
        <w:rPr>
          <w:rFonts w:ascii="Arial" w:hAnsi="Arial" w:cs="Arial"/>
          <w:bCs/>
          <w:sz w:val="22"/>
          <w:szCs w:val="22"/>
          <w:lang w:val="es-MX"/>
        </w:rPr>
        <w:t>cciones</w:t>
      </w:r>
      <w:r w:rsidR="00571647">
        <w:rPr>
          <w:rFonts w:ascii="Arial" w:hAnsi="Arial" w:cs="Arial"/>
          <w:bCs/>
          <w:sz w:val="22"/>
          <w:szCs w:val="22"/>
          <w:lang w:val="es-MX"/>
        </w:rPr>
        <w:t xml:space="preserve">: </w:t>
      </w:r>
      <w:r w:rsidR="00D85CC2" w:rsidRPr="00571647">
        <w:rPr>
          <w:rFonts w:ascii="Arial" w:hAnsi="Arial" w:cs="Arial"/>
          <w:bCs/>
          <w:sz w:val="22"/>
          <w:szCs w:val="22"/>
          <w:u w:val="single"/>
          <w:lang w:val="es-MX"/>
        </w:rPr>
        <w:t>Emisor</w:t>
      </w:r>
      <w:r w:rsidR="00D85CC2" w:rsidRPr="00D85CC2">
        <w:rPr>
          <w:rFonts w:ascii="Arial" w:hAnsi="Arial" w:cs="Arial"/>
          <w:bCs/>
          <w:sz w:val="22"/>
          <w:szCs w:val="22"/>
          <w:lang w:val="es-MX"/>
        </w:rPr>
        <w:t xml:space="preserve">: </w:t>
      </w:r>
      <w:r w:rsidR="00571647">
        <w:rPr>
          <w:rFonts w:ascii="Arial" w:hAnsi="Arial" w:cs="Arial"/>
          <w:bCs/>
          <w:sz w:val="22"/>
          <w:szCs w:val="22"/>
          <w:lang w:val="es-MX"/>
        </w:rPr>
        <w:t xml:space="preserve">HOLCIM (ARGENTINA) </w:t>
      </w:r>
      <w:r w:rsidR="00D85CC2" w:rsidRPr="00D85CC2">
        <w:rPr>
          <w:rFonts w:ascii="Arial" w:hAnsi="Arial" w:cs="Arial"/>
          <w:bCs/>
          <w:sz w:val="22"/>
          <w:szCs w:val="22"/>
          <w:lang w:val="es-MX"/>
        </w:rPr>
        <w:t xml:space="preserve">S.A.; </w:t>
      </w:r>
      <w:r w:rsidR="00D85CC2" w:rsidRPr="00571647">
        <w:rPr>
          <w:rFonts w:ascii="Arial" w:hAnsi="Arial" w:cs="Arial"/>
          <w:bCs/>
          <w:sz w:val="22"/>
          <w:szCs w:val="22"/>
          <w:u w:val="single"/>
          <w:lang w:val="es-MX"/>
        </w:rPr>
        <w:t>Cantidad de Nuevas Acciones a emitirse</w:t>
      </w:r>
      <w:r w:rsidR="00D85CC2" w:rsidRPr="00D85CC2">
        <w:rPr>
          <w:rFonts w:ascii="Arial" w:hAnsi="Arial" w:cs="Arial"/>
          <w:bCs/>
          <w:sz w:val="22"/>
          <w:szCs w:val="22"/>
          <w:lang w:val="es-MX"/>
        </w:rPr>
        <w:t xml:space="preserve">: hasta </w:t>
      </w:r>
      <w:r w:rsidR="00635865">
        <w:rPr>
          <w:rFonts w:ascii="Arial" w:hAnsi="Arial" w:cs="Arial"/>
          <w:bCs/>
          <w:sz w:val="22"/>
          <w:szCs w:val="22"/>
          <w:lang w:val="es-MX"/>
        </w:rPr>
        <w:t>17.106.598</w:t>
      </w:r>
      <w:r w:rsidR="00571647">
        <w:rPr>
          <w:rFonts w:ascii="Arial" w:hAnsi="Arial" w:cs="Arial"/>
          <w:sz w:val="22"/>
          <w:szCs w:val="22"/>
        </w:rPr>
        <w:t xml:space="preserve"> </w:t>
      </w:r>
      <w:r w:rsidR="00D85CC2" w:rsidRPr="00D85CC2">
        <w:rPr>
          <w:rFonts w:ascii="Arial" w:hAnsi="Arial" w:cs="Arial"/>
          <w:bCs/>
          <w:sz w:val="22"/>
          <w:szCs w:val="22"/>
          <w:lang w:val="es-MX"/>
        </w:rPr>
        <w:t xml:space="preserve">Nuevas Acciones; </w:t>
      </w:r>
      <w:r w:rsidR="00D85CC2" w:rsidRPr="00571647">
        <w:rPr>
          <w:rFonts w:ascii="Arial" w:hAnsi="Arial" w:cs="Arial"/>
          <w:bCs/>
          <w:sz w:val="22"/>
          <w:szCs w:val="22"/>
          <w:u w:val="single"/>
          <w:lang w:val="es-MX"/>
        </w:rPr>
        <w:t>Moneda</w:t>
      </w:r>
      <w:r w:rsidR="00D85CC2" w:rsidRPr="00D85CC2">
        <w:rPr>
          <w:rFonts w:ascii="Arial" w:hAnsi="Arial" w:cs="Arial"/>
          <w:bCs/>
          <w:sz w:val="22"/>
          <w:szCs w:val="22"/>
          <w:lang w:val="es-MX"/>
        </w:rPr>
        <w:t xml:space="preserve">: Pesos; </w:t>
      </w:r>
      <w:r w:rsidR="00D85CC2" w:rsidRPr="003B681F">
        <w:rPr>
          <w:rFonts w:ascii="Arial" w:hAnsi="Arial" w:cs="Arial"/>
          <w:bCs/>
          <w:sz w:val="22"/>
          <w:szCs w:val="22"/>
          <w:u w:val="single"/>
          <w:lang w:val="es-MX"/>
        </w:rPr>
        <w:t>Prima de Emisión</w:t>
      </w:r>
      <w:r w:rsidR="00D85CC2" w:rsidRPr="00D85CC2">
        <w:rPr>
          <w:rFonts w:ascii="Arial" w:hAnsi="Arial" w:cs="Arial"/>
          <w:bCs/>
          <w:sz w:val="22"/>
          <w:szCs w:val="22"/>
          <w:lang w:val="es-MX"/>
        </w:rPr>
        <w:t>: $</w:t>
      </w:r>
      <w:r w:rsidR="00635865">
        <w:rPr>
          <w:rFonts w:ascii="Arial" w:hAnsi="Arial" w:cs="Arial"/>
          <w:bCs/>
          <w:sz w:val="22"/>
          <w:szCs w:val="22"/>
          <w:lang w:val="es-MX"/>
        </w:rPr>
        <w:t>97,50</w:t>
      </w:r>
      <w:r w:rsidR="00571647">
        <w:rPr>
          <w:rFonts w:ascii="Arial" w:hAnsi="Arial" w:cs="Arial"/>
          <w:sz w:val="22"/>
          <w:szCs w:val="22"/>
        </w:rPr>
        <w:t xml:space="preserve"> </w:t>
      </w:r>
      <w:r w:rsidR="00D85CC2" w:rsidRPr="00D85CC2">
        <w:rPr>
          <w:rFonts w:ascii="Arial" w:hAnsi="Arial" w:cs="Arial"/>
          <w:bCs/>
          <w:sz w:val="22"/>
          <w:szCs w:val="22"/>
          <w:lang w:val="es-MX"/>
        </w:rPr>
        <w:t xml:space="preserve">por cada Nueva Acción; </w:t>
      </w:r>
      <w:r w:rsidR="00D85CC2" w:rsidRPr="00571647">
        <w:rPr>
          <w:rFonts w:ascii="Arial" w:hAnsi="Arial" w:cs="Arial"/>
          <w:bCs/>
          <w:sz w:val="22"/>
          <w:szCs w:val="22"/>
          <w:u w:val="single"/>
          <w:lang w:val="es-MX"/>
        </w:rPr>
        <w:t>Precio de Suscripción</w:t>
      </w:r>
      <w:r w:rsidR="00D85CC2" w:rsidRPr="00D85CC2">
        <w:rPr>
          <w:rFonts w:ascii="Arial" w:hAnsi="Arial" w:cs="Arial"/>
          <w:bCs/>
          <w:sz w:val="22"/>
          <w:szCs w:val="22"/>
          <w:lang w:val="es-MX"/>
        </w:rPr>
        <w:t>: $</w:t>
      </w:r>
      <w:r w:rsidR="00635865">
        <w:rPr>
          <w:rFonts w:ascii="Arial" w:hAnsi="Arial" w:cs="Arial"/>
          <w:sz w:val="22"/>
          <w:szCs w:val="22"/>
        </w:rPr>
        <w:t>98,50</w:t>
      </w:r>
      <w:r w:rsidR="00BF10BC">
        <w:rPr>
          <w:rFonts w:ascii="Arial" w:hAnsi="Arial" w:cs="Arial"/>
          <w:sz w:val="22"/>
          <w:szCs w:val="22"/>
        </w:rPr>
        <w:t xml:space="preserve"> (el “</w:t>
      </w:r>
      <w:r w:rsidR="00BF10BC" w:rsidRPr="00BF10BC">
        <w:rPr>
          <w:rFonts w:ascii="Arial" w:hAnsi="Arial" w:cs="Arial"/>
          <w:sz w:val="22"/>
          <w:szCs w:val="22"/>
          <w:u w:val="single"/>
        </w:rPr>
        <w:t>Precio de Suscripción</w:t>
      </w:r>
      <w:r w:rsidR="00BF10BC">
        <w:rPr>
          <w:rFonts w:ascii="Arial" w:hAnsi="Arial" w:cs="Arial"/>
          <w:sz w:val="22"/>
          <w:szCs w:val="22"/>
        </w:rPr>
        <w:t>”)</w:t>
      </w:r>
      <w:r w:rsidR="00E83D10">
        <w:rPr>
          <w:rFonts w:ascii="Arial" w:hAnsi="Arial" w:cs="Arial"/>
          <w:sz w:val="22"/>
          <w:szCs w:val="22"/>
        </w:rPr>
        <w:t>,</w:t>
      </w:r>
      <w:r w:rsidR="00571647">
        <w:rPr>
          <w:rFonts w:ascii="Arial" w:hAnsi="Arial" w:cs="Arial"/>
          <w:sz w:val="22"/>
          <w:szCs w:val="22"/>
        </w:rPr>
        <w:t xml:space="preserve"> </w:t>
      </w:r>
      <w:r w:rsidR="00D85CC2" w:rsidRPr="00D85CC2">
        <w:rPr>
          <w:rFonts w:ascii="Arial" w:hAnsi="Arial" w:cs="Arial"/>
          <w:bCs/>
          <w:sz w:val="22"/>
          <w:szCs w:val="22"/>
          <w:lang w:val="es-MX"/>
        </w:rPr>
        <w:t xml:space="preserve">que </w:t>
      </w:r>
      <w:r w:rsidR="00E83D10">
        <w:rPr>
          <w:rFonts w:ascii="Arial" w:hAnsi="Arial" w:cs="Arial"/>
          <w:bCs/>
          <w:sz w:val="22"/>
          <w:szCs w:val="22"/>
          <w:lang w:val="es-MX"/>
        </w:rPr>
        <w:t>representa la suma del</w:t>
      </w:r>
      <w:r w:rsidR="00D85CC2" w:rsidRPr="00D85CC2">
        <w:rPr>
          <w:rFonts w:ascii="Arial" w:hAnsi="Arial" w:cs="Arial"/>
          <w:bCs/>
          <w:sz w:val="22"/>
          <w:szCs w:val="22"/>
          <w:lang w:val="es-MX"/>
        </w:rPr>
        <w:t xml:space="preserve"> valor nominal y </w:t>
      </w:r>
      <w:r w:rsidR="00571647">
        <w:rPr>
          <w:rFonts w:ascii="Arial" w:hAnsi="Arial" w:cs="Arial"/>
          <w:bCs/>
          <w:sz w:val="22"/>
          <w:szCs w:val="22"/>
          <w:lang w:val="es-MX"/>
        </w:rPr>
        <w:t xml:space="preserve">la </w:t>
      </w:r>
      <w:r w:rsidR="00E83D10">
        <w:rPr>
          <w:rFonts w:ascii="Arial" w:hAnsi="Arial" w:cs="Arial"/>
          <w:bCs/>
          <w:sz w:val="22"/>
          <w:szCs w:val="22"/>
          <w:lang w:val="es-MX"/>
        </w:rPr>
        <w:t>p</w:t>
      </w:r>
      <w:r w:rsidR="00D85CC2" w:rsidRPr="00D85CC2">
        <w:rPr>
          <w:rFonts w:ascii="Arial" w:hAnsi="Arial" w:cs="Arial"/>
          <w:bCs/>
          <w:sz w:val="22"/>
          <w:szCs w:val="22"/>
          <w:lang w:val="es-MX"/>
        </w:rPr>
        <w:t xml:space="preserve">rima de </w:t>
      </w:r>
      <w:r w:rsidR="00E83D10">
        <w:rPr>
          <w:rFonts w:ascii="Arial" w:hAnsi="Arial" w:cs="Arial"/>
          <w:bCs/>
          <w:sz w:val="22"/>
          <w:szCs w:val="22"/>
          <w:lang w:val="es-MX"/>
        </w:rPr>
        <w:t>e</w:t>
      </w:r>
      <w:r w:rsidR="00D85CC2" w:rsidRPr="00D85CC2">
        <w:rPr>
          <w:rFonts w:ascii="Arial" w:hAnsi="Arial" w:cs="Arial"/>
          <w:bCs/>
          <w:sz w:val="22"/>
          <w:szCs w:val="22"/>
          <w:lang w:val="es-MX"/>
        </w:rPr>
        <w:t>misión</w:t>
      </w:r>
      <w:r w:rsidR="00E83D10">
        <w:rPr>
          <w:rFonts w:ascii="Arial" w:hAnsi="Arial" w:cs="Arial"/>
          <w:bCs/>
          <w:sz w:val="22"/>
          <w:szCs w:val="22"/>
          <w:lang w:val="es-MX"/>
        </w:rPr>
        <w:t xml:space="preserve"> antes señalada</w:t>
      </w:r>
      <w:r w:rsidR="00D85CC2" w:rsidRPr="00D85CC2">
        <w:rPr>
          <w:rFonts w:ascii="Arial" w:hAnsi="Arial" w:cs="Arial"/>
          <w:bCs/>
          <w:sz w:val="22"/>
          <w:szCs w:val="22"/>
          <w:lang w:val="es-MX"/>
        </w:rPr>
        <w:t xml:space="preserve">; </w:t>
      </w:r>
      <w:r w:rsidR="00A01856" w:rsidRPr="00A01856">
        <w:rPr>
          <w:rFonts w:ascii="Arial" w:hAnsi="Arial" w:cs="Arial"/>
          <w:bCs/>
          <w:sz w:val="22"/>
          <w:szCs w:val="22"/>
          <w:u w:val="single"/>
          <w:lang w:val="es-MX"/>
        </w:rPr>
        <w:t>Monto máximo</w:t>
      </w:r>
      <w:r w:rsidR="007A306E">
        <w:rPr>
          <w:rFonts w:ascii="Arial" w:hAnsi="Arial" w:cs="Arial"/>
          <w:bCs/>
          <w:sz w:val="22"/>
          <w:szCs w:val="22"/>
          <w:u w:val="single"/>
          <w:lang w:val="es-MX"/>
        </w:rPr>
        <w:t xml:space="preserve"> </w:t>
      </w:r>
      <w:r w:rsidR="00635865">
        <w:rPr>
          <w:rFonts w:ascii="Arial" w:hAnsi="Arial" w:cs="Arial"/>
          <w:bCs/>
          <w:sz w:val="22"/>
          <w:szCs w:val="22"/>
          <w:u w:val="single"/>
          <w:lang w:val="es-MX"/>
        </w:rPr>
        <w:t xml:space="preserve">esperado </w:t>
      </w:r>
      <w:r w:rsidR="007A306E">
        <w:rPr>
          <w:rFonts w:ascii="Arial" w:hAnsi="Arial" w:cs="Arial"/>
          <w:bCs/>
          <w:sz w:val="22"/>
          <w:szCs w:val="22"/>
          <w:u w:val="single"/>
          <w:lang w:val="es-MX"/>
        </w:rPr>
        <w:t>de la emisión</w:t>
      </w:r>
      <w:r w:rsidR="00A01856">
        <w:rPr>
          <w:rFonts w:ascii="Arial" w:hAnsi="Arial" w:cs="Arial"/>
          <w:bCs/>
          <w:sz w:val="22"/>
          <w:szCs w:val="22"/>
          <w:lang w:val="es-MX"/>
        </w:rPr>
        <w:t xml:space="preserve">: </w:t>
      </w:r>
      <w:r w:rsidR="00A01856" w:rsidRPr="00D970B5">
        <w:rPr>
          <w:rFonts w:ascii="Arial" w:hAnsi="Arial" w:cs="Arial"/>
          <w:bCs/>
          <w:sz w:val="22"/>
          <w:szCs w:val="22"/>
          <w:lang w:val="es-MX"/>
        </w:rPr>
        <w:t>$1.685.000.000</w:t>
      </w:r>
      <w:r w:rsidR="00A01856">
        <w:rPr>
          <w:rFonts w:ascii="Arial" w:hAnsi="Arial" w:cs="Arial"/>
          <w:bCs/>
          <w:sz w:val="22"/>
          <w:szCs w:val="22"/>
          <w:lang w:val="es-MX"/>
        </w:rPr>
        <w:t xml:space="preserve">; </w:t>
      </w:r>
      <w:r w:rsidR="00D85CC2" w:rsidRPr="00571647">
        <w:rPr>
          <w:rFonts w:ascii="Arial" w:hAnsi="Arial" w:cs="Arial"/>
          <w:bCs/>
          <w:sz w:val="22"/>
          <w:szCs w:val="22"/>
          <w:u w:val="single"/>
          <w:lang w:val="es-MX"/>
        </w:rPr>
        <w:t>Agente de Suscripción</w:t>
      </w:r>
      <w:r w:rsidR="00D85CC2" w:rsidRPr="00D85CC2">
        <w:rPr>
          <w:rFonts w:ascii="Arial" w:hAnsi="Arial" w:cs="Arial"/>
          <w:bCs/>
          <w:sz w:val="22"/>
          <w:szCs w:val="22"/>
          <w:lang w:val="es-MX"/>
        </w:rPr>
        <w:t xml:space="preserve">: Caja de Valores S.A.; </w:t>
      </w:r>
      <w:r w:rsidR="00D85CC2" w:rsidRPr="00571647">
        <w:rPr>
          <w:rFonts w:ascii="Arial" w:hAnsi="Arial" w:cs="Arial"/>
          <w:bCs/>
          <w:sz w:val="22"/>
          <w:szCs w:val="22"/>
          <w:u w:val="single"/>
          <w:lang w:val="es-MX"/>
        </w:rPr>
        <w:t>Características de las Nuevas Acciones</w:t>
      </w:r>
      <w:r w:rsidR="00D85CC2" w:rsidRPr="00D85CC2">
        <w:rPr>
          <w:rFonts w:ascii="Arial" w:hAnsi="Arial" w:cs="Arial"/>
          <w:bCs/>
          <w:sz w:val="22"/>
          <w:szCs w:val="22"/>
          <w:lang w:val="es-MX"/>
        </w:rPr>
        <w:t xml:space="preserve">: ordinarias escriturales de </w:t>
      </w:r>
      <w:r w:rsidR="001704C6">
        <w:rPr>
          <w:rFonts w:ascii="Arial" w:hAnsi="Arial" w:cs="Arial"/>
          <w:bCs/>
          <w:sz w:val="22"/>
          <w:szCs w:val="22"/>
          <w:lang w:val="es-MX"/>
        </w:rPr>
        <w:t>valor nominal</w:t>
      </w:r>
      <w:r w:rsidR="00D85CC2" w:rsidRPr="00D85CC2">
        <w:rPr>
          <w:rFonts w:ascii="Arial" w:hAnsi="Arial" w:cs="Arial"/>
          <w:bCs/>
          <w:sz w:val="22"/>
          <w:szCs w:val="22"/>
          <w:lang w:val="es-MX"/>
        </w:rPr>
        <w:t xml:space="preserve"> $1</w:t>
      </w:r>
      <w:r w:rsidR="00571647">
        <w:rPr>
          <w:rFonts w:ascii="Arial" w:hAnsi="Arial" w:cs="Arial"/>
          <w:bCs/>
          <w:sz w:val="22"/>
          <w:szCs w:val="22"/>
          <w:lang w:val="es-MX"/>
        </w:rPr>
        <w:t xml:space="preserve"> </w:t>
      </w:r>
      <w:r w:rsidR="00D85CC2" w:rsidRPr="00D85CC2">
        <w:rPr>
          <w:rFonts w:ascii="Arial" w:hAnsi="Arial" w:cs="Arial"/>
          <w:bCs/>
          <w:sz w:val="22"/>
          <w:szCs w:val="22"/>
          <w:lang w:val="es-MX"/>
        </w:rPr>
        <w:t xml:space="preserve">cada una, con derecho a un voto por acción y con derecho a dividendos en igualdad de condiciones que las acciones actualmente en circulación al momento de la emisión; </w:t>
      </w:r>
      <w:r w:rsidR="00D85CC2" w:rsidRPr="00571647">
        <w:rPr>
          <w:rFonts w:ascii="Arial" w:hAnsi="Arial" w:cs="Arial"/>
          <w:bCs/>
          <w:sz w:val="22"/>
          <w:szCs w:val="22"/>
          <w:u w:val="single"/>
          <w:lang w:val="es-MX"/>
        </w:rPr>
        <w:t xml:space="preserve">Listado y </w:t>
      </w:r>
      <w:r w:rsidR="003B681F">
        <w:rPr>
          <w:rFonts w:ascii="Arial" w:hAnsi="Arial" w:cs="Arial"/>
          <w:bCs/>
          <w:sz w:val="22"/>
          <w:szCs w:val="22"/>
          <w:u w:val="single"/>
          <w:lang w:val="es-MX"/>
        </w:rPr>
        <w:t>N</w:t>
      </w:r>
      <w:r w:rsidR="00D85CC2" w:rsidRPr="00571647">
        <w:rPr>
          <w:rFonts w:ascii="Arial" w:hAnsi="Arial" w:cs="Arial"/>
          <w:bCs/>
          <w:sz w:val="22"/>
          <w:szCs w:val="22"/>
          <w:u w:val="single"/>
          <w:lang w:val="es-MX"/>
        </w:rPr>
        <w:t>egociación</w:t>
      </w:r>
      <w:r w:rsidR="00D85CC2" w:rsidRPr="00D85CC2">
        <w:rPr>
          <w:rFonts w:ascii="Arial" w:hAnsi="Arial" w:cs="Arial"/>
          <w:bCs/>
          <w:sz w:val="22"/>
          <w:szCs w:val="22"/>
          <w:lang w:val="es-MX"/>
        </w:rPr>
        <w:t>: las Nuevas Acciones van a listarse y/o negociarse en Bolsas y Mercados Argentinos S.A., y/o en cualquier otro mercado de valores autorizado por la C</w:t>
      </w:r>
      <w:r w:rsidR="00571647">
        <w:rPr>
          <w:rFonts w:ascii="Arial" w:hAnsi="Arial" w:cs="Arial"/>
          <w:bCs/>
          <w:sz w:val="22"/>
          <w:szCs w:val="22"/>
          <w:lang w:val="es-MX"/>
        </w:rPr>
        <w:t xml:space="preserve">omisión </w:t>
      </w:r>
      <w:r w:rsidR="00D85CC2" w:rsidRPr="00D85CC2">
        <w:rPr>
          <w:rFonts w:ascii="Arial" w:hAnsi="Arial" w:cs="Arial"/>
          <w:bCs/>
          <w:sz w:val="22"/>
          <w:szCs w:val="22"/>
          <w:lang w:val="es-MX"/>
        </w:rPr>
        <w:t>N</w:t>
      </w:r>
      <w:r w:rsidR="00571647">
        <w:rPr>
          <w:rFonts w:ascii="Arial" w:hAnsi="Arial" w:cs="Arial"/>
          <w:bCs/>
          <w:sz w:val="22"/>
          <w:szCs w:val="22"/>
          <w:lang w:val="es-MX"/>
        </w:rPr>
        <w:t xml:space="preserve">acional de </w:t>
      </w:r>
      <w:r w:rsidR="00D85CC2" w:rsidRPr="00D85CC2">
        <w:rPr>
          <w:rFonts w:ascii="Arial" w:hAnsi="Arial" w:cs="Arial"/>
          <w:bCs/>
          <w:sz w:val="22"/>
          <w:szCs w:val="22"/>
          <w:lang w:val="es-MX"/>
        </w:rPr>
        <w:t>V</w:t>
      </w:r>
      <w:r w:rsidR="00571647">
        <w:rPr>
          <w:rFonts w:ascii="Arial" w:hAnsi="Arial" w:cs="Arial"/>
          <w:bCs/>
          <w:sz w:val="22"/>
          <w:szCs w:val="22"/>
          <w:lang w:val="es-MX"/>
        </w:rPr>
        <w:t>alores</w:t>
      </w:r>
      <w:r w:rsidR="00D85CC2" w:rsidRPr="00D85CC2">
        <w:rPr>
          <w:rFonts w:ascii="Arial" w:hAnsi="Arial" w:cs="Arial"/>
          <w:bCs/>
          <w:sz w:val="22"/>
          <w:szCs w:val="22"/>
          <w:lang w:val="es-MX"/>
        </w:rPr>
        <w:t xml:space="preserve"> según se especifique en el </w:t>
      </w:r>
      <w:r w:rsidR="00571647">
        <w:rPr>
          <w:rFonts w:ascii="Arial" w:hAnsi="Arial" w:cs="Arial"/>
          <w:bCs/>
          <w:sz w:val="22"/>
          <w:szCs w:val="22"/>
          <w:lang w:val="es-MX"/>
        </w:rPr>
        <w:t>p</w:t>
      </w:r>
      <w:r w:rsidR="00D85CC2" w:rsidRPr="00D85CC2">
        <w:rPr>
          <w:rFonts w:ascii="Arial" w:hAnsi="Arial" w:cs="Arial"/>
          <w:bCs/>
          <w:sz w:val="22"/>
          <w:szCs w:val="22"/>
          <w:lang w:val="es-MX"/>
        </w:rPr>
        <w:t xml:space="preserve">rospecto o de conformidad con lo que se determine con posterioridad; </w:t>
      </w:r>
      <w:r w:rsidR="00D85CC2" w:rsidRPr="00571647">
        <w:rPr>
          <w:rFonts w:ascii="Arial" w:hAnsi="Arial" w:cs="Arial"/>
          <w:bCs/>
          <w:sz w:val="22"/>
          <w:szCs w:val="22"/>
          <w:u w:val="single"/>
          <w:lang w:val="es-MX"/>
        </w:rPr>
        <w:t>Destino de los Fondos</w:t>
      </w:r>
      <w:r w:rsidR="00D85CC2" w:rsidRPr="00D85CC2">
        <w:rPr>
          <w:rFonts w:ascii="Arial" w:hAnsi="Arial" w:cs="Arial"/>
          <w:bCs/>
          <w:sz w:val="22"/>
          <w:szCs w:val="22"/>
          <w:lang w:val="es-MX"/>
        </w:rPr>
        <w:t xml:space="preserve">: </w:t>
      </w:r>
      <w:r w:rsidR="000B613C">
        <w:rPr>
          <w:rFonts w:ascii="Arial" w:hAnsi="Arial" w:cs="Arial"/>
          <w:bCs/>
          <w:sz w:val="22"/>
          <w:szCs w:val="22"/>
          <w:lang w:val="es-MX"/>
        </w:rPr>
        <w:t>p</w:t>
      </w:r>
      <w:r w:rsidR="00571647">
        <w:rPr>
          <w:rFonts w:ascii="Arial" w:hAnsi="Arial" w:cs="Arial"/>
          <w:bCs/>
          <w:sz w:val="22"/>
          <w:szCs w:val="22"/>
          <w:lang w:val="es-MX"/>
        </w:rPr>
        <w:t>arte de los fondos provenientes de</w:t>
      </w:r>
      <w:r w:rsidR="003B38E2">
        <w:rPr>
          <w:rFonts w:ascii="Arial" w:hAnsi="Arial" w:cs="Arial"/>
          <w:bCs/>
          <w:sz w:val="22"/>
          <w:szCs w:val="22"/>
          <w:lang w:val="es-MX"/>
        </w:rPr>
        <w:t xml:space="preserve"> </w:t>
      </w:r>
      <w:r w:rsidR="00571647">
        <w:rPr>
          <w:rFonts w:ascii="Arial" w:hAnsi="Arial" w:cs="Arial"/>
          <w:bCs/>
          <w:sz w:val="22"/>
          <w:szCs w:val="22"/>
          <w:lang w:val="es-MX"/>
        </w:rPr>
        <w:t>l</w:t>
      </w:r>
      <w:r w:rsidR="003B38E2">
        <w:rPr>
          <w:rFonts w:ascii="Arial" w:hAnsi="Arial" w:cs="Arial"/>
          <w:bCs/>
          <w:sz w:val="22"/>
          <w:szCs w:val="22"/>
          <w:lang w:val="es-MX"/>
        </w:rPr>
        <w:t>os A</w:t>
      </w:r>
      <w:r w:rsidR="00571647">
        <w:rPr>
          <w:rFonts w:ascii="Arial" w:hAnsi="Arial" w:cs="Arial"/>
          <w:bCs/>
          <w:sz w:val="22"/>
          <w:szCs w:val="22"/>
          <w:lang w:val="es-MX"/>
        </w:rPr>
        <w:t>porte</w:t>
      </w:r>
      <w:r w:rsidR="00F430E1">
        <w:rPr>
          <w:rFonts w:ascii="Arial" w:hAnsi="Arial" w:cs="Arial"/>
          <w:bCs/>
          <w:sz w:val="22"/>
          <w:szCs w:val="22"/>
          <w:lang w:val="es-MX"/>
        </w:rPr>
        <w:t>s</w:t>
      </w:r>
      <w:r w:rsidR="00571647">
        <w:rPr>
          <w:rFonts w:ascii="Arial" w:hAnsi="Arial" w:cs="Arial"/>
          <w:bCs/>
          <w:sz w:val="22"/>
          <w:szCs w:val="22"/>
          <w:lang w:val="es-MX"/>
        </w:rPr>
        <w:t xml:space="preserve"> </w:t>
      </w:r>
      <w:r w:rsidR="003B38E2">
        <w:rPr>
          <w:rFonts w:ascii="Arial" w:hAnsi="Arial" w:cs="Arial"/>
          <w:bCs/>
          <w:sz w:val="22"/>
          <w:szCs w:val="22"/>
          <w:lang w:val="es-MX"/>
        </w:rPr>
        <w:t>I</w:t>
      </w:r>
      <w:r w:rsidR="00571647">
        <w:rPr>
          <w:rFonts w:ascii="Arial" w:hAnsi="Arial" w:cs="Arial"/>
          <w:bCs/>
          <w:sz w:val="22"/>
          <w:szCs w:val="22"/>
          <w:lang w:val="es-MX"/>
        </w:rPr>
        <w:t>rrevocable</w:t>
      </w:r>
      <w:r w:rsidR="003B38E2">
        <w:rPr>
          <w:rFonts w:ascii="Arial" w:hAnsi="Arial" w:cs="Arial"/>
          <w:bCs/>
          <w:sz w:val="22"/>
          <w:szCs w:val="22"/>
          <w:lang w:val="es-MX"/>
        </w:rPr>
        <w:t>s</w:t>
      </w:r>
      <w:r w:rsidR="000B613C">
        <w:rPr>
          <w:rFonts w:ascii="Arial" w:hAnsi="Arial" w:cs="Arial"/>
          <w:bCs/>
          <w:sz w:val="22"/>
          <w:szCs w:val="22"/>
          <w:lang w:val="es-MX"/>
        </w:rPr>
        <w:t xml:space="preserve">, junto con los fondos </w:t>
      </w:r>
      <w:r w:rsidR="00D27B11">
        <w:rPr>
          <w:rFonts w:ascii="Arial" w:hAnsi="Arial" w:cs="Arial"/>
          <w:bCs/>
          <w:sz w:val="22"/>
          <w:szCs w:val="22"/>
          <w:lang w:val="es-MX"/>
        </w:rPr>
        <w:t xml:space="preserve">adicionales </w:t>
      </w:r>
      <w:r w:rsidR="000B613C">
        <w:rPr>
          <w:rFonts w:ascii="Arial" w:hAnsi="Arial" w:cs="Arial"/>
          <w:bCs/>
          <w:sz w:val="22"/>
          <w:szCs w:val="22"/>
          <w:lang w:val="es-MX"/>
        </w:rPr>
        <w:t xml:space="preserve">que reciba la Sociedad como consecuencia del aumento de capital tratado en la presente, </w:t>
      </w:r>
      <w:r w:rsidR="00571647" w:rsidRPr="000B3307">
        <w:rPr>
          <w:rFonts w:ascii="Arial" w:hAnsi="Arial"/>
          <w:sz w:val="22"/>
          <w:lang w:val="es-MX"/>
        </w:rPr>
        <w:t>han sido y</w:t>
      </w:r>
      <w:r w:rsidR="00571647" w:rsidRPr="00BF10BC">
        <w:rPr>
          <w:rFonts w:ascii="Arial" w:hAnsi="Arial" w:cs="Arial"/>
          <w:bCs/>
          <w:sz w:val="22"/>
          <w:szCs w:val="22"/>
          <w:lang w:val="es-MX"/>
        </w:rPr>
        <w:t xml:space="preserve"> serán </w:t>
      </w:r>
      <w:r w:rsidR="00D27B11">
        <w:rPr>
          <w:rFonts w:ascii="Arial" w:hAnsi="Arial" w:cs="Arial"/>
          <w:bCs/>
          <w:sz w:val="22"/>
          <w:szCs w:val="22"/>
          <w:lang w:val="es-MX"/>
        </w:rPr>
        <w:t xml:space="preserve">respectivamente </w:t>
      </w:r>
      <w:r w:rsidR="00571647" w:rsidRPr="00BF10BC">
        <w:rPr>
          <w:rFonts w:ascii="Arial" w:hAnsi="Arial" w:cs="Arial"/>
          <w:bCs/>
          <w:sz w:val="22"/>
          <w:szCs w:val="22"/>
          <w:lang w:val="es-MX"/>
        </w:rPr>
        <w:t xml:space="preserve">aplicados para afrontar los costos del proyecto de inversión en </w:t>
      </w:r>
      <w:r w:rsidR="00D27B11">
        <w:rPr>
          <w:rFonts w:ascii="Arial" w:hAnsi="Arial" w:cs="Arial"/>
          <w:bCs/>
          <w:sz w:val="22"/>
          <w:szCs w:val="22"/>
          <w:lang w:val="es-MX"/>
        </w:rPr>
        <w:t>la Planta Malagueño d</w:t>
      </w:r>
      <w:r w:rsidR="00571647" w:rsidRPr="00BF10BC">
        <w:rPr>
          <w:rFonts w:ascii="Arial" w:hAnsi="Arial" w:cs="Arial"/>
          <w:bCs/>
          <w:sz w:val="22"/>
          <w:szCs w:val="22"/>
          <w:lang w:val="es-MX"/>
        </w:rPr>
        <w:t>el C</w:t>
      </w:r>
      <w:r w:rsidR="00571647" w:rsidRPr="00571647">
        <w:rPr>
          <w:rFonts w:ascii="Arial" w:hAnsi="Arial" w:cs="Arial"/>
          <w:bCs/>
          <w:sz w:val="22"/>
          <w:szCs w:val="22"/>
          <w:lang w:val="es-MX"/>
        </w:rPr>
        <w:t xml:space="preserve">entro Industrial Córdoba de la Sociedad, que fuera aprobado por </w:t>
      </w:r>
      <w:r w:rsidR="003B681F">
        <w:rPr>
          <w:rFonts w:ascii="Arial" w:hAnsi="Arial" w:cs="Arial"/>
          <w:bCs/>
          <w:sz w:val="22"/>
          <w:szCs w:val="22"/>
          <w:lang w:val="es-MX"/>
        </w:rPr>
        <w:t>el</w:t>
      </w:r>
      <w:r w:rsidR="00571647" w:rsidRPr="00571647">
        <w:rPr>
          <w:rFonts w:ascii="Arial" w:hAnsi="Arial" w:cs="Arial"/>
          <w:bCs/>
          <w:sz w:val="22"/>
          <w:szCs w:val="22"/>
          <w:lang w:val="es-MX"/>
        </w:rPr>
        <w:t xml:space="preserve"> Directorio</w:t>
      </w:r>
      <w:r w:rsidR="003B681F">
        <w:rPr>
          <w:rFonts w:ascii="Arial" w:hAnsi="Arial" w:cs="Arial"/>
          <w:bCs/>
          <w:sz w:val="22"/>
          <w:szCs w:val="22"/>
          <w:lang w:val="es-MX"/>
        </w:rPr>
        <w:t xml:space="preserve"> de la Sociedad</w:t>
      </w:r>
      <w:r w:rsidR="00571647" w:rsidRPr="00571647">
        <w:rPr>
          <w:rFonts w:ascii="Arial" w:hAnsi="Arial" w:cs="Arial"/>
          <w:bCs/>
          <w:sz w:val="22"/>
          <w:szCs w:val="22"/>
          <w:lang w:val="es-MX"/>
        </w:rPr>
        <w:t xml:space="preserve"> en la reunión celebrada con fecha 15 de diciembre de 2017, </w:t>
      </w:r>
      <w:r w:rsidR="005B6A6D">
        <w:rPr>
          <w:rFonts w:ascii="Arial" w:hAnsi="Arial" w:cs="Arial"/>
          <w:bCs/>
          <w:sz w:val="22"/>
          <w:szCs w:val="22"/>
          <w:lang w:val="es-MX"/>
        </w:rPr>
        <w:t>el cual</w:t>
      </w:r>
      <w:r w:rsidR="00571647" w:rsidRPr="00571647">
        <w:rPr>
          <w:rFonts w:ascii="Arial" w:hAnsi="Arial" w:cs="Arial"/>
          <w:bCs/>
          <w:sz w:val="22"/>
          <w:szCs w:val="22"/>
          <w:lang w:val="es-MX"/>
        </w:rPr>
        <w:t xml:space="preserve"> permitirá la ampliación de la capacidad productiva de dicha planta en aproximadamente 730.000 </w:t>
      </w:r>
      <w:proofErr w:type="spellStart"/>
      <w:r w:rsidR="00571647" w:rsidRPr="00571647">
        <w:rPr>
          <w:rFonts w:ascii="Arial" w:hAnsi="Arial" w:cs="Arial"/>
          <w:bCs/>
          <w:sz w:val="22"/>
          <w:szCs w:val="22"/>
          <w:lang w:val="es-MX"/>
        </w:rPr>
        <w:t>tn</w:t>
      </w:r>
      <w:proofErr w:type="spellEnd"/>
      <w:r w:rsidR="00571647" w:rsidRPr="00571647">
        <w:rPr>
          <w:rFonts w:ascii="Arial" w:hAnsi="Arial" w:cs="Arial"/>
          <w:bCs/>
          <w:sz w:val="22"/>
          <w:szCs w:val="22"/>
          <w:lang w:val="es-MX"/>
        </w:rPr>
        <w:t>/año de cemento, consolidando la posición de la Sociedad en el mercado cementero del país</w:t>
      </w:r>
      <w:r w:rsidR="00D27B11">
        <w:rPr>
          <w:rFonts w:ascii="Arial" w:hAnsi="Arial" w:cs="Arial"/>
          <w:bCs/>
          <w:sz w:val="22"/>
          <w:szCs w:val="22"/>
          <w:lang w:val="es-MX"/>
        </w:rPr>
        <w:t>; mientras que la otra parte de los Aportes Irrevocables, ha</w:t>
      </w:r>
      <w:r w:rsidR="00D27B11" w:rsidRPr="00571647">
        <w:rPr>
          <w:rFonts w:ascii="Arial" w:hAnsi="Arial" w:cs="Arial"/>
          <w:bCs/>
          <w:sz w:val="22"/>
          <w:szCs w:val="22"/>
          <w:lang w:val="es-MX"/>
        </w:rPr>
        <w:t xml:space="preserve"> sido aplicad</w:t>
      </w:r>
      <w:r w:rsidR="00D27B11">
        <w:rPr>
          <w:rFonts w:ascii="Arial" w:hAnsi="Arial" w:cs="Arial"/>
          <w:bCs/>
          <w:sz w:val="22"/>
          <w:szCs w:val="22"/>
          <w:lang w:val="es-MX"/>
        </w:rPr>
        <w:t>a</w:t>
      </w:r>
      <w:r w:rsidR="00D27B11" w:rsidRPr="00571647">
        <w:rPr>
          <w:rFonts w:ascii="Arial" w:hAnsi="Arial" w:cs="Arial"/>
          <w:bCs/>
          <w:sz w:val="22"/>
          <w:szCs w:val="22"/>
          <w:lang w:val="es-MX"/>
        </w:rPr>
        <w:t xml:space="preserve"> para la cobertura de los descubiertos en pesos que la Soci</w:t>
      </w:r>
      <w:r w:rsidR="00D27B11">
        <w:rPr>
          <w:rFonts w:ascii="Arial" w:hAnsi="Arial" w:cs="Arial"/>
          <w:bCs/>
          <w:sz w:val="22"/>
          <w:szCs w:val="22"/>
          <w:lang w:val="es-MX"/>
        </w:rPr>
        <w:t>edad mantenía con bancos locales</w:t>
      </w:r>
      <w:r w:rsidR="00D85CC2" w:rsidRPr="00D85CC2">
        <w:rPr>
          <w:rFonts w:ascii="Arial" w:hAnsi="Arial" w:cs="Arial"/>
          <w:bCs/>
          <w:sz w:val="22"/>
          <w:szCs w:val="22"/>
          <w:lang w:val="es-MX"/>
        </w:rPr>
        <w:t xml:space="preserve">; </w:t>
      </w:r>
      <w:r w:rsidR="00602A16" w:rsidRPr="00602A16">
        <w:rPr>
          <w:rFonts w:ascii="Arial" w:hAnsi="Arial" w:cs="Arial"/>
          <w:bCs/>
          <w:sz w:val="22"/>
          <w:szCs w:val="22"/>
          <w:u w:val="single"/>
          <w:lang w:val="es-MX"/>
        </w:rPr>
        <w:t xml:space="preserve">Periodo de Suscripción Preferente y de </w:t>
      </w:r>
      <w:r w:rsidR="00602A16" w:rsidRPr="00602A16">
        <w:rPr>
          <w:rFonts w:ascii="Arial" w:hAnsi="Arial" w:cs="Arial"/>
          <w:bCs/>
          <w:sz w:val="22"/>
          <w:szCs w:val="22"/>
          <w:u w:val="single"/>
          <w:lang w:val="es-MX"/>
        </w:rPr>
        <w:lastRenderedPageBreak/>
        <w:t>Acrecer</w:t>
      </w:r>
      <w:r w:rsidR="00602A16">
        <w:rPr>
          <w:rFonts w:ascii="Arial" w:hAnsi="Arial" w:cs="Arial"/>
          <w:bCs/>
          <w:sz w:val="22"/>
          <w:szCs w:val="22"/>
          <w:lang w:val="es-MX"/>
        </w:rPr>
        <w:t xml:space="preserve">: </w:t>
      </w:r>
      <w:r w:rsidR="005B6A6D">
        <w:rPr>
          <w:rFonts w:ascii="Arial" w:hAnsi="Arial" w:cs="Arial"/>
          <w:bCs/>
          <w:sz w:val="22"/>
          <w:szCs w:val="22"/>
          <w:lang w:val="es-MX"/>
        </w:rPr>
        <w:t>e</w:t>
      </w:r>
      <w:r w:rsidR="00602A16" w:rsidRPr="00602A16">
        <w:rPr>
          <w:rFonts w:ascii="Arial" w:hAnsi="Arial" w:cs="Arial"/>
          <w:bCs/>
          <w:sz w:val="22"/>
          <w:szCs w:val="22"/>
          <w:lang w:val="es-MX"/>
        </w:rPr>
        <w:t>n virtud de la Ley General de Sociedades N° 19.550</w:t>
      </w:r>
      <w:r w:rsidR="00BF10BC">
        <w:rPr>
          <w:rFonts w:ascii="Arial" w:hAnsi="Arial" w:cs="Arial"/>
          <w:bCs/>
          <w:sz w:val="22"/>
          <w:szCs w:val="22"/>
          <w:lang w:val="es-MX"/>
        </w:rPr>
        <w:t>,</w:t>
      </w:r>
      <w:r w:rsidR="00602A16">
        <w:rPr>
          <w:rFonts w:ascii="Arial" w:hAnsi="Arial" w:cs="Arial"/>
          <w:bCs/>
          <w:sz w:val="22"/>
          <w:szCs w:val="22"/>
          <w:lang w:val="es-MX"/>
        </w:rPr>
        <w:t xml:space="preserve"> </w:t>
      </w:r>
      <w:r w:rsidR="00602A16" w:rsidRPr="00602A16">
        <w:rPr>
          <w:rFonts w:ascii="Arial" w:hAnsi="Arial" w:cs="Arial"/>
          <w:bCs/>
          <w:sz w:val="22"/>
          <w:szCs w:val="22"/>
          <w:lang w:val="es-MX"/>
        </w:rPr>
        <w:t xml:space="preserve">los accionistas de la Sociedad tienen derechos de suscripción preferente, en una cantidad suficiente para mantener sus </w:t>
      </w:r>
      <w:r w:rsidR="005B6A6D">
        <w:rPr>
          <w:rFonts w:ascii="Arial" w:hAnsi="Arial" w:cs="Arial"/>
          <w:bCs/>
          <w:sz w:val="22"/>
          <w:szCs w:val="22"/>
          <w:lang w:val="es-MX"/>
        </w:rPr>
        <w:t xml:space="preserve">participaciones </w:t>
      </w:r>
      <w:r w:rsidR="00BF10BC">
        <w:rPr>
          <w:rFonts w:ascii="Arial" w:hAnsi="Arial" w:cs="Arial"/>
          <w:bCs/>
          <w:sz w:val="22"/>
          <w:szCs w:val="22"/>
          <w:lang w:val="es-MX"/>
        </w:rPr>
        <w:t>accionarias porcentuales</w:t>
      </w:r>
      <w:r w:rsidR="00602A16" w:rsidRPr="00602A16">
        <w:rPr>
          <w:rFonts w:ascii="Arial" w:hAnsi="Arial" w:cs="Arial"/>
          <w:bCs/>
          <w:sz w:val="22"/>
          <w:szCs w:val="22"/>
          <w:lang w:val="es-MX"/>
        </w:rPr>
        <w:t xml:space="preserve"> en el capital social de la Sociedad, y derechos de acrecer para suscribir las </w:t>
      </w:r>
      <w:r w:rsidR="00D27B11">
        <w:rPr>
          <w:rFonts w:ascii="Arial" w:hAnsi="Arial" w:cs="Arial"/>
          <w:bCs/>
          <w:sz w:val="22"/>
          <w:szCs w:val="22"/>
          <w:lang w:val="es-MX"/>
        </w:rPr>
        <w:t>Nuevas A</w:t>
      </w:r>
      <w:r w:rsidR="00602A16" w:rsidRPr="00602A16">
        <w:rPr>
          <w:rFonts w:ascii="Arial" w:hAnsi="Arial" w:cs="Arial"/>
          <w:bCs/>
          <w:sz w:val="22"/>
          <w:szCs w:val="22"/>
          <w:lang w:val="es-MX"/>
        </w:rPr>
        <w:t xml:space="preserve">cciones que no resultasen suscriptas por otros accionistas al momento de ejercer el derecho de suscripción preferente. </w:t>
      </w:r>
      <w:r w:rsidR="00A01856" w:rsidRPr="00A01856">
        <w:rPr>
          <w:rFonts w:ascii="Arial" w:hAnsi="Arial" w:cs="Arial"/>
          <w:bCs/>
          <w:sz w:val="22"/>
          <w:szCs w:val="22"/>
          <w:lang w:val="es-MX"/>
        </w:rPr>
        <w:t>Las Nuevas Acciones se ofrecerán a los accionistas de la Sociedad para ejercer el derecho de suscripción preferente y de acrecer en forma simultánea durante el período de 10 días corridos contados a partir del día hábil bursátil inmediato siguiente de la última publicación de los avisos de suscripción preferente (el “</w:t>
      </w:r>
      <w:r w:rsidR="00A01856" w:rsidRPr="00A01856">
        <w:rPr>
          <w:rFonts w:ascii="Arial" w:hAnsi="Arial" w:cs="Arial"/>
          <w:bCs/>
          <w:sz w:val="22"/>
          <w:szCs w:val="22"/>
          <w:u w:val="single"/>
          <w:lang w:val="es-MX"/>
        </w:rPr>
        <w:t>Período de Suscripción Preferente y de Acrecer</w:t>
      </w:r>
      <w:r w:rsidR="00A01856" w:rsidRPr="00A01856">
        <w:rPr>
          <w:rFonts w:ascii="Arial" w:hAnsi="Arial" w:cs="Arial"/>
          <w:bCs/>
          <w:sz w:val="22"/>
          <w:szCs w:val="22"/>
          <w:lang w:val="es-MX"/>
        </w:rPr>
        <w:t>”). El Período de Suscripción Preferente y de Acrecer será informado a los accionistas de la Sociedad por medio de publicaciones en el boletín diario de B</w:t>
      </w:r>
      <w:r w:rsidR="00A01856">
        <w:rPr>
          <w:rFonts w:ascii="Arial" w:hAnsi="Arial" w:cs="Arial"/>
          <w:bCs/>
          <w:sz w:val="22"/>
          <w:szCs w:val="22"/>
          <w:lang w:val="es-MX"/>
        </w:rPr>
        <w:t xml:space="preserve">olsa de </w:t>
      </w:r>
      <w:r w:rsidR="00A01856" w:rsidRPr="00A01856">
        <w:rPr>
          <w:rFonts w:ascii="Arial" w:hAnsi="Arial" w:cs="Arial"/>
          <w:bCs/>
          <w:sz w:val="22"/>
          <w:szCs w:val="22"/>
          <w:lang w:val="es-MX"/>
        </w:rPr>
        <w:t>C</w:t>
      </w:r>
      <w:r w:rsidR="00A01856">
        <w:rPr>
          <w:rFonts w:ascii="Arial" w:hAnsi="Arial" w:cs="Arial"/>
          <w:bCs/>
          <w:sz w:val="22"/>
          <w:szCs w:val="22"/>
          <w:lang w:val="es-MX"/>
        </w:rPr>
        <w:t xml:space="preserve">omercio de </w:t>
      </w:r>
      <w:r w:rsidR="00A01856" w:rsidRPr="00A01856">
        <w:rPr>
          <w:rFonts w:ascii="Arial" w:hAnsi="Arial" w:cs="Arial"/>
          <w:bCs/>
          <w:sz w:val="22"/>
          <w:szCs w:val="22"/>
          <w:lang w:val="es-MX"/>
        </w:rPr>
        <w:t>B</w:t>
      </w:r>
      <w:r w:rsidR="00A01856">
        <w:rPr>
          <w:rFonts w:ascii="Arial" w:hAnsi="Arial" w:cs="Arial"/>
          <w:bCs/>
          <w:sz w:val="22"/>
          <w:szCs w:val="22"/>
          <w:lang w:val="es-MX"/>
        </w:rPr>
        <w:t xml:space="preserve">uenos </w:t>
      </w:r>
      <w:r w:rsidR="00A01856" w:rsidRPr="00A01856">
        <w:rPr>
          <w:rFonts w:ascii="Arial" w:hAnsi="Arial" w:cs="Arial"/>
          <w:bCs/>
          <w:sz w:val="22"/>
          <w:szCs w:val="22"/>
          <w:lang w:val="es-MX"/>
        </w:rPr>
        <w:t>A</w:t>
      </w:r>
      <w:r w:rsidR="00A01856">
        <w:rPr>
          <w:rFonts w:ascii="Arial" w:hAnsi="Arial" w:cs="Arial"/>
          <w:bCs/>
          <w:sz w:val="22"/>
          <w:szCs w:val="22"/>
          <w:lang w:val="es-MX"/>
        </w:rPr>
        <w:t>ires</w:t>
      </w:r>
      <w:r w:rsidR="00A01856" w:rsidRPr="00A01856">
        <w:rPr>
          <w:rFonts w:ascii="Arial" w:hAnsi="Arial" w:cs="Arial"/>
          <w:bCs/>
          <w:sz w:val="22"/>
          <w:szCs w:val="22"/>
          <w:lang w:val="es-MX"/>
        </w:rPr>
        <w:t>, en la A</w:t>
      </w:r>
      <w:r w:rsidR="00A01856">
        <w:rPr>
          <w:rFonts w:ascii="Arial" w:hAnsi="Arial" w:cs="Arial"/>
          <w:bCs/>
          <w:sz w:val="22"/>
          <w:szCs w:val="22"/>
          <w:lang w:val="es-MX"/>
        </w:rPr>
        <w:t xml:space="preserve">utopista de </w:t>
      </w:r>
      <w:r w:rsidR="00A01856" w:rsidRPr="00A01856">
        <w:rPr>
          <w:rFonts w:ascii="Arial" w:hAnsi="Arial" w:cs="Arial"/>
          <w:bCs/>
          <w:sz w:val="22"/>
          <w:szCs w:val="22"/>
          <w:lang w:val="es-MX"/>
        </w:rPr>
        <w:t>I</w:t>
      </w:r>
      <w:r w:rsidR="00A01856">
        <w:rPr>
          <w:rFonts w:ascii="Arial" w:hAnsi="Arial" w:cs="Arial"/>
          <w:bCs/>
          <w:sz w:val="22"/>
          <w:szCs w:val="22"/>
          <w:lang w:val="es-MX"/>
        </w:rPr>
        <w:t xml:space="preserve">nformación </w:t>
      </w:r>
      <w:r w:rsidR="00A01856" w:rsidRPr="00A01856">
        <w:rPr>
          <w:rFonts w:ascii="Arial" w:hAnsi="Arial" w:cs="Arial"/>
          <w:bCs/>
          <w:sz w:val="22"/>
          <w:szCs w:val="22"/>
          <w:lang w:val="es-MX"/>
        </w:rPr>
        <w:t>F</w:t>
      </w:r>
      <w:r w:rsidR="00A01856">
        <w:rPr>
          <w:rFonts w:ascii="Arial" w:hAnsi="Arial" w:cs="Arial"/>
          <w:bCs/>
          <w:sz w:val="22"/>
          <w:szCs w:val="22"/>
          <w:lang w:val="es-MX"/>
        </w:rPr>
        <w:t>inanciera</w:t>
      </w:r>
      <w:r w:rsidR="00A01856" w:rsidRPr="00A01856">
        <w:rPr>
          <w:rFonts w:ascii="Arial" w:hAnsi="Arial" w:cs="Arial"/>
          <w:bCs/>
          <w:sz w:val="22"/>
          <w:szCs w:val="22"/>
          <w:lang w:val="es-MX"/>
        </w:rPr>
        <w:t>, en el Boletín Oficial de la Provincia de Córdoba y en un diario de amplia circulación nacional con anterioridad al inicio del mismo y de conformidad con las normas aplicables</w:t>
      </w:r>
      <w:r w:rsidR="00A01856">
        <w:rPr>
          <w:rFonts w:ascii="Arial" w:hAnsi="Arial" w:cs="Arial"/>
          <w:bCs/>
          <w:sz w:val="22"/>
          <w:szCs w:val="22"/>
          <w:lang w:val="es-MX"/>
        </w:rPr>
        <w:t xml:space="preserve">. </w:t>
      </w:r>
      <w:r w:rsidR="00602A16" w:rsidRPr="00602A16">
        <w:rPr>
          <w:rFonts w:ascii="Arial" w:hAnsi="Arial" w:cs="Arial"/>
          <w:bCs/>
          <w:sz w:val="22"/>
          <w:szCs w:val="22"/>
          <w:lang w:val="es-MX"/>
        </w:rPr>
        <w:t>En consecuencia, los accionistas tendrán la oportunidad de suscribir las Nuevas Acciones durante el Período de Suscripción Preferente y de Acrecer, ambos al Precio de Suscripción. Los accionistas de la Sociedad podrán ejercer su derecho de preferencia, y de acrecer, en el domicilio de</w:t>
      </w:r>
      <w:r w:rsidR="00602A16">
        <w:rPr>
          <w:rFonts w:ascii="Arial" w:hAnsi="Arial" w:cs="Arial"/>
          <w:bCs/>
          <w:sz w:val="22"/>
          <w:szCs w:val="22"/>
          <w:lang w:val="es-MX"/>
        </w:rPr>
        <w:t>l Agente de Suscripción</w:t>
      </w:r>
      <w:r w:rsidR="00602A16" w:rsidRPr="00602A16">
        <w:rPr>
          <w:rFonts w:ascii="Arial" w:hAnsi="Arial" w:cs="Arial"/>
          <w:bCs/>
          <w:sz w:val="22"/>
          <w:szCs w:val="22"/>
          <w:lang w:val="es-MX"/>
        </w:rPr>
        <w:t xml:space="preserve"> </w:t>
      </w:r>
      <w:r w:rsidR="00602A16">
        <w:rPr>
          <w:rFonts w:ascii="Arial" w:hAnsi="Arial" w:cs="Arial"/>
          <w:bCs/>
          <w:sz w:val="22"/>
          <w:szCs w:val="22"/>
          <w:lang w:val="es-MX"/>
        </w:rPr>
        <w:t xml:space="preserve">el cual </w:t>
      </w:r>
      <w:r w:rsidR="00602A16" w:rsidRPr="00602A16">
        <w:rPr>
          <w:rFonts w:ascii="Arial" w:hAnsi="Arial" w:cs="Arial"/>
          <w:bCs/>
          <w:sz w:val="22"/>
          <w:szCs w:val="22"/>
          <w:lang w:val="es-MX"/>
        </w:rPr>
        <w:t>recibirá los pedidos de suscripción preferente y de acrecer</w:t>
      </w:r>
      <w:r w:rsidR="00602A16">
        <w:rPr>
          <w:rFonts w:ascii="Arial" w:hAnsi="Arial" w:cs="Arial"/>
          <w:bCs/>
          <w:sz w:val="22"/>
          <w:szCs w:val="22"/>
          <w:lang w:val="es-MX"/>
        </w:rPr>
        <w:t>.</w:t>
      </w:r>
      <w:r w:rsidR="00602A16" w:rsidRPr="00602A16">
        <w:rPr>
          <w:rFonts w:ascii="Arial" w:hAnsi="Arial" w:cs="Arial"/>
          <w:bCs/>
          <w:sz w:val="22"/>
          <w:szCs w:val="22"/>
          <w:lang w:val="es-MX"/>
        </w:rPr>
        <w:t xml:space="preserve"> Las solicitudes de suscripción serán aceptadas en la proporción que corresponda a cada accionista que ejerza su derecho de suscripción preferente, teniendo en cuenta a tales fines el porcentaje que representan sus actuales acciones en el capital de la Sociedad.</w:t>
      </w:r>
      <w:r w:rsidR="00602A16">
        <w:rPr>
          <w:rFonts w:ascii="Arial" w:hAnsi="Arial" w:cs="Arial"/>
          <w:bCs/>
          <w:sz w:val="22"/>
          <w:szCs w:val="22"/>
          <w:lang w:val="es-MX"/>
        </w:rPr>
        <w:t xml:space="preserve"> </w:t>
      </w:r>
      <w:r w:rsidR="00602A16" w:rsidRPr="00602A16">
        <w:rPr>
          <w:rFonts w:ascii="Arial" w:hAnsi="Arial" w:cs="Arial"/>
          <w:bCs/>
          <w:sz w:val="22"/>
          <w:szCs w:val="22"/>
          <w:lang w:val="es-MX"/>
        </w:rPr>
        <w:t xml:space="preserve">El derecho de acrecer podrá ser ejercido únicamente por aquellos accionistas de la Sociedad que </w:t>
      </w:r>
      <w:proofErr w:type="gramStart"/>
      <w:r w:rsidR="00602A16" w:rsidRPr="00602A16">
        <w:rPr>
          <w:rFonts w:ascii="Arial" w:hAnsi="Arial" w:cs="Arial"/>
          <w:bCs/>
          <w:sz w:val="22"/>
          <w:szCs w:val="22"/>
          <w:lang w:val="es-MX"/>
        </w:rPr>
        <w:t>hayan</w:t>
      </w:r>
      <w:proofErr w:type="gramEnd"/>
      <w:r w:rsidR="00602A16" w:rsidRPr="00602A16">
        <w:rPr>
          <w:rFonts w:ascii="Arial" w:hAnsi="Arial" w:cs="Arial"/>
          <w:bCs/>
          <w:sz w:val="22"/>
          <w:szCs w:val="22"/>
          <w:lang w:val="es-MX"/>
        </w:rPr>
        <w:t xml:space="preserve"> suscripto Nuevas Acciones durante el Período de Suscripción Preferente y de Acrecer</w:t>
      </w:r>
      <w:r w:rsidR="00D27B11">
        <w:rPr>
          <w:rFonts w:ascii="Arial" w:hAnsi="Arial" w:cs="Arial"/>
          <w:bCs/>
          <w:sz w:val="22"/>
          <w:szCs w:val="22"/>
          <w:lang w:val="es-MX"/>
        </w:rPr>
        <w:t xml:space="preserve"> en ejercicio de sus derechos de suscripción preferente</w:t>
      </w:r>
      <w:r w:rsidR="00602A16" w:rsidRPr="00602A16">
        <w:rPr>
          <w:rFonts w:ascii="Arial" w:hAnsi="Arial" w:cs="Arial"/>
          <w:bCs/>
          <w:sz w:val="22"/>
          <w:szCs w:val="22"/>
          <w:lang w:val="es-MX"/>
        </w:rPr>
        <w:t>.</w:t>
      </w:r>
      <w:r w:rsidR="00602A16">
        <w:rPr>
          <w:rFonts w:ascii="Arial" w:hAnsi="Arial" w:cs="Arial"/>
          <w:bCs/>
          <w:sz w:val="22"/>
          <w:szCs w:val="22"/>
          <w:lang w:val="es-MX"/>
        </w:rPr>
        <w:t xml:space="preserve"> </w:t>
      </w:r>
      <w:r w:rsidR="00602A16" w:rsidRPr="00602A16">
        <w:rPr>
          <w:rFonts w:ascii="Arial" w:hAnsi="Arial" w:cs="Arial"/>
          <w:bCs/>
          <w:sz w:val="22"/>
          <w:szCs w:val="22"/>
          <w:lang w:val="es-MX"/>
        </w:rPr>
        <w:t xml:space="preserve">En caso de existir un remanente no suscripto de Nuevas Acciones al finalizar la suscripción, las mismas no serán ofrecidas al público inversor y </w:t>
      </w:r>
      <w:r w:rsidR="00A01856">
        <w:rPr>
          <w:rFonts w:ascii="Arial" w:hAnsi="Arial" w:cs="Arial"/>
          <w:bCs/>
          <w:sz w:val="22"/>
          <w:szCs w:val="22"/>
          <w:lang w:val="es-MX"/>
        </w:rPr>
        <w:t>este</w:t>
      </w:r>
      <w:r w:rsidR="00602A16" w:rsidRPr="00602A16">
        <w:rPr>
          <w:rFonts w:ascii="Arial" w:hAnsi="Arial" w:cs="Arial"/>
          <w:bCs/>
          <w:sz w:val="22"/>
          <w:szCs w:val="22"/>
          <w:lang w:val="es-MX"/>
        </w:rPr>
        <w:t xml:space="preserve"> Directorio solicitará a la C</w:t>
      </w:r>
      <w:r w:rsidR="00A01856">
        <w:rPr>
          <w:rFonts w:ascii="Arial" w:hAnsi="Arial" w:cs="Arial"/>
          <w:bCs/>
          <w:sz w:val="22"/>
          <w:szCs w:val="22"/>
          <w:lang w:val="es-MX"/>
        </w:rPr>
        <w:t xml:space="preserve">omisión </w:t>
      </w:r>
      <w:r w:rsidR="00602A16" w:rsidRPr="00602A16">
        <w:rPr>
          <w:rFonts w:ascii="Arial" w:hAnsi="Arial" w:cs="Arial"/>
          <w:bCs/>
          <w:sz w:val="22"/>
          <w:szCs w:val="22"/>
          <w:lang w:val="es-MX"/>
        </w:rPr>
        <w:t>N</w:t>
      </w:r>
      <w:r w:rsidR="00A01856">
        <w:rPr>
          <w:rFonts w:ascii="Arial" w:hAnsi="Arial" w:cs="Arial"/>
          <w:bCs/>
          <w:sz w:val="22"/>
          <w:szCs w:val="22"/>
          <w:lang w:val="es-MX"/>
        </w:rPr>
        <w:t xml:space="preserve">acional de </w:t>
      </w:r>
      <w:r w:rsidR="00602A16" w:rsidRPr="00602A16">
        <w:rPr>
          <w:rFonts w:ascii="Arial" w:hAnsi="Arial" w:cs="Arial"/>
          <w:bCs/>
          <w:sz w:val="22"/>
          <w:szCs w:val="22"/>
          <w:lang w:val="es-MX"/>
        </w:rPr>
        <w:t>V</w:t>
      </w:r>
      <w:r w:rsidR="00A01856">
        <w:rPr>
          <w:rFonts w:ascii="Arial" w:hAnsi="Arial" w:cs="Arial"/>
          <w:bCs/>
          <w:sz w:val="22"/>
          <w:szCs w:val="22"/>
          <w:lang w:val="es-MX"/>
        </w:rPr>
        <w:t>alores</w:t>
      </w:r>
      <w:r w:rsidR="00602A16" w:rsidRPr="00602A16">
        <w:rPr>
          <w:rFonts w:ascii="Arial" w:hAnsi="Arial" w:cs="Arial"/>
          <w:bCs/>
          <w:sz w:val="22"/>
          <w:szCs w:val="22"/>
          <w:lang w:val="es-MX"/>
        </w:rPr>
        <w:t xml:space="preserve"> la cancelación de autorización de oferta pública de las mismas</w:t>
      </w:r>
      <w:r w:rsidR="00A01856">
        <w:rPr>
          <w:rFonts w:ascii="Arial" w:hAnsi="Arial" w:cs="Arial"/>
          <w:bCs/>
          <w:sz w:val="22"/>
          <w:szCs w:val="22"/>
          <w:lang w:val="es-MX"/>
        </w:rPr>
        <w:t xml:space="preserve">; </w:t>
      </w:r>
      <w:r w:rsidR="00A01856" w:rsidRPr="00A01856">
        <w:rPr>
          <w:rFonts w:ascii="Arial" w:hAnsi="Arial" w:cs="Arial"/>
          <w:bCs/>
          <w:sz w:val="22"/>
          <w:szCs w:val="22"/>
          <w:u w:val="single"/>
          <w:lang w:val="es-MX"/>
        </w:rPr>
        <w:t>Negociación de Cupones</w:t>
      </w:r>
      <w:r w:rsidR="00A01856">
        <w:rPr>
          <w:rFonts w:ascii="Arial" w:hAnsi="Arial" w:cs="Arial"/>
          <w:bCs/>
          <w:sz w:val="22"/>
          <w:szCs w:val="22"/>
          <w:lang w:val="es-MX"/>
        </w:rPr>
        <w:t xml:space="preserve">: </w:t>
      </w:r>
      <w:r w:rsidR="00A01856" w:rsidRPr="00A01856">
        <w:rPr>
          <w:rFonts w:ascii="Arial" w:hAnsi="Arial" w:cs="Arial"/>
          <w:bCs/>
          <w:sz w:val="22"/>
          <w:szCs w:val="22"/>
          <w:lang w:val="es-MX"/>
        </w:rPr>
        <w:t>El derecho de suscripción preferente sobre las Nuevas Acciones podrá ser negociado (el “</w:t>
      </w:r>
      <w:r w:rsidR="00A01856" w:rsidRPr="00A01856">
        <w:rPr>
          <w:rFonts w:ascii="Arial" w:hAnsi="Arial" w:cs="Arial"/>
          <w:bCs/>
          <w:sz w:val="22"/>
          <w:szCs w:val="22"/>
          <w:u w:val="single"/>
          <w:lang w:val="es-MX"/>
        </w:rPr>
        <w:t>Cupón</w:t>
      </w:r>
      <w:r w:rsidR="00A01856" w:rsidRPr="00A01856">
        <w:rPr>
          <w:rFonts w:ascii="Arial" w:hAnsi="Arial" w:cs="Arial"/>
          <w:bCs/>
          <w:sz w:val="22"/>
          <w:szCs w:val="22"/>
          <w:lang w:val="es-MX"/>
        </w:rPr>
        <w:t>”) en B</w:t>
      </w:r>
      <w:r w:rsidR="00A01856">
        <w:rPr>
          <w:rFonts w:ascii="Arial" w:hAnsi="Arial" w:cs="Arial"/>
          <w:bCs/>
          <w:sz w:val="22"/>
          <w:szCs w:val="22"/>
          <w:lang w:val="es-MX"/>
        </w:rPr>
        <w:t xml:space="preserve">olsas y </w:t>
      </w:r>
      <w:r w:rsidR="00A01856" w:rsidRPr="00A01856">
        <w:rPr>
          <w:rFonts w:ascii="Arial" w:hAnsi="Arial" w:cs="Arial"/>
          <w:bCs/>
          <w:sz w:val="22"/>
          <w:szCs w:val="22"/>
          <w:lang w:val="es-MX"/>
        </w:rPr>
        <w:t>M</w:t>
      </w:r>
      <w:r w:rsidR="00A01856">
        <w:rPr>
          <w:rFonts w:ascii="Arial" w:hAnsi="Arial" w:cs="Arial"/>
          <w:bCs/>
          <w:sz w:val="22"/>
          <w:szCs w:val="22"/>
          <w:lang w:val="es-MX"/>
        </w:rPr>
        <w:t xml:space="preserve">ercados </w:t>
      </w:r>
      <w:r w:rsidR="00A01856" w:rsidRPr="00A01856">
        <w:rPr>
          <w:rFonts w:ascii="Arial" w:hAnsi="Arial" w:cs="Arial"/>
          <w:bCs/>
          <w:sz w:val="22"/>
          <w:szCs w:val="22"/>
          <w:lang w:val="es-MX"/>
        </w:rPr>
        <w:t>A</w:t>
      </w:r>
      <w:r w:rsidR="00A01856">
        <w:rPr>
          <w:rFonts w:ascii="Arial" w:hAnsi="Arial" w:cs="Arial"/>
          <w:bCs/>
          <w:sz w:val="22"/>
          <w:szCs w:val="22"/>
          <w:lang w:val="es-MX"/>
        </w:rPr>
        <w:t>rgentinos S.A.</w:t>
      </w:r>
      <w:r w:rsidR="00A01856" w:rsidRPr="00A01856">
        <w:rPr>
          <w:rFonts w:ascii="Arial" w:hAnsi="Arial" w:cs="Arial"/>
          <w:bCs/>
          <w:sz w:val="22"/>
          <w:szCs w:val="22"/>
          <w:lang w:val="es-MX"/>
        </w:rPr>
        <w:t xml:space="preserve"> de forma separada de las acciones actualmente en circulación. Los Cupones se negociarán desde el segundo día hábil bursátil anterior al inicio del Período de Suscripción Preferente </w:t>
      </w:r>
      <w:r w:rsidR="00FD6864" w:rsidRPr="00FD6864">
        <w:rPr>
          <w:rFonts w:ascii="Arial" w:hAnsi="Arial" w:cs="Arial"/>
          <w:bCs/>
          <w:sz w:val="22"/>
          <w:szCs w:val="22"/>
          <w:lang w:val="es-MX"/>
        </w:rPr>
        <w:t xml:space="preserve">y de Acrecer </w:t>
      </w:r>
      <w:r w:rsidR="00A01856" w:rsidRPr="00A01856">
        <w:rPr>
          <w:rFonts w:ascii="Arial" w:hAnsi="Arial" w:cs="Arial"/>
          <w:bCs/>
          <w:sz w:val="22"/>
          <w:szCs w:val="22"/>
          <w:lang w:val="es-MX"/>
        </w:rPr>
        <w:t>en B</w:t>
      </w:r>
      <w:r w:rsidR="00A01856">
        <w:rPr>
          <w:rFonts w:ascii="Arial" w:hAnsi="Arial" w:cs="Arial"/>
          <w:bCs/>
          <w:sz w:val="22"/>
          <w:szCs w:val="22"/>
          <w:lang w:val="es-MX"/>
        </w:rPr>
        <w:t xml:space="preserve">olsas y </w:t>
      </w:r>
      <w:r w:rsidR="00A01856" w:rsidRPr="00A01856">
        <w:rPr>
          <w:rFonts w:ascii="Arial" w:hAnsi="Arial" w:cs="Arial"/>
          <w:bCs/>
          <w:sz w:val="22"/>
          <w:szCs w:val="22"/>
          <w:lang w:val="es-MX"/>
        </w:rPr>
        <w:t>M</w:t>
      </w:r>
      <w:r w:rsidR="00A01856">
        <w:rPr>
          <w:rFonts w:ascii="Arial" w:hAnsi="Arial" w:cs="Arial"/>
          <w:bCs/>
          <w:sz w:val="22"/>
          <w:szCs w:val="22"/>
          <w:lang w:val="es-MX"/>
        </w:rPr>
        <w:t xml:space="preserve">ercados </w:t>
      </w:r>
      <w:r w:rsidR="00A01856" w:rsidRPr="00A01856">
        <w:rPr>
          <w:rFonts w:ascii="Arial" w:hAnsi="Arial" w:cs="Arial"/>
          <w:bCs/>
          <w:sz w:val="22"/>
          <w:szCs w:val="22"/>
          <w:lang w:val="es-MX"/>
        </w:rPr>
        <w:t>A</w:t>
      </w:r>
      <w:r w:rsidR="00A01856">
        <w:rPr>
          <w:rFonts w:ascii="Arial" w:hAnsi="Arial" w:cs="Arial"/>
          <w:bCs/>
          <w:sz w:val="22"/>
          <w:szCs w:val="22"/>
          <w:lang w:val="es-MX"/>
        </w:rPr>
        <w:t>rgentinos S.A.</w:t>
      </w:r>
      <w:r w:rsidR="00A01856" w:rsidRPr="00A01856">
        <w:rPr>
          <w:rFonts w:ascii="Arial" w:hAnsi="Arial" w:cs="Arial"/>
          <w:bCs/>
          <w:sz w:val="22"/>
          <w:szCs w:val="22"/>
          <w:lang w:val="es-MX"/>
        </w:rPr>
        <w:t>, hasta el segundo día hábil inmediato anterior a la finalización del Período de Suscripción Preferente y de Acrecer. Los titulares de los Cupones serán a todos los efectos considerados cesionarios del derecho de suscripción preferente y, ejercido el mismo mediante la suscripción de Nuevas Acciones, podrán también ejercer el derecho de acrecer respectivo</w:t>
      </w:r>
      <w:r w:rsidR="00A01856">
        <w:rPr>
          <w:rFonts w:ascii="Arial" w:hAnsi="Arial" w:cs="Arial"/>
          <w:bCs/>
          <w:sz w:val="22"/>
          <w:szCs w:val="22"/>
          <w:lang w:val="es-MX"/>
        </w:rPr>
        <w:t xml:space="preserve">; </w:t>
      </w:r>
      <w:r w:rsidR="00D85CC2" w:rsidRPr="00C13F9B">
        <w:rPr>
          <w:rFonts w:ascii="Arial" w:hAnsi="Arial" w:cs="Arial"/>
          <w:bCs/>
          <w:sz w:val="22"/>
          <w:szCs w:val="22"/>
          <w:u w:val="single"/>
          <w:lang w:val="es-MX"/>
        </w:rPr>
        <w:t>Forma de Integración</w:t>
      </w:r>
      <w:r w:rsidR="00D85CC2" w:rsidRPr="00D85CC2">
        <w:rPr>
          <w:rFonts w:ascii="Arial" w:hAnsi="Arial" w:cs="Arial"/>
          <w:bCs/>
          <w:sz w:val="22"/>
          <w:szCs w:val="22"/>
          <w:lang w:val="es-MX"/>
        </w:rPr>
        <w:t xml:space="preserve">: </w:t>
      </w:r>
      <w:r w:rsidR="00FD6864">
        <w:rPr>
          <w:rFonts w:ascii="Arial" w:hAnsi="Arial" w:cs="Arial"/>
          <w:bCs/>
          <w:sz w:val="22"/>
          <w:szCs w:val="22"/>
          <w:lang w:val="es-MX"/>
        </w:rPr>
        <w:t>L</w:t>
      </w:r>
      <w:r w:rsidR="003B38E2" w:rsidRPr="003B38E2">
        <w:rPr>
          <w:rFonts w:ascii="Arial" w:hAnsi="Arial" w:cs="Arial"/>
          <w:bCs/>
          <w:sz w:val="22"/>
          <w:szCs w:val="22"/>
          <w:lang w:val="es-MX"/>
        </w:rPr>
        <w:t xml:space="preserve">as Nuevas Acciones que se adquieran en virtud del ejercicio de los derechos de preferencia serán </w:t>
      </w:r>
      <w:r w:rsidR="003B38E2" w:rsidRPr="003B38E2">
        <w:rPr>
          <w:rFonts w:ascii="Arial" w:hAnsi="Arial" w:cs="Arial"/>
          <w:bCs/>
          <w:sz w:val="22"/>
          <w:szCs w:val="22"/>
          <w:lang w:val="es-MX"/>
        </w:rPr>
        <w:lastRenderedPageBreak/>
        <w:t>integradas por la capitalización de los Aportes Irrevocables</w:t>
      </w:r>
      <w:r w:rsidR="000B3307">
        <w:rPr>
          <w:rFonts w:ascii="Arial" w:hAnsi="Arial" w:cs="Arial"/>
          <w:bCs/>
          <w:sz w:val="22"/>
          <w:szCs w:val="22"/>
          <w:lang w:val="es-MX"/>
        </w:rPr>
        <w:t>,</w:t>
      </w:r>
      <w:r w:rsidR="003B38E2" w:rsidRPr="003B38E2">
        <w:rPr>
          <w:rFonts w:ascii="Arial" w:hAnsi="Arial" w:cs="Arial"/>
          <w:bCs/>
          <w:sz w:val="22"/>
          <w:szCs w:val="22"/>
          <w:lang w:val="es-MX"/>
        </w:rPr>
        <w:t xml:space="preserve"> en efectivo y/o por otros aportes irrevocables que </w:t>
      </w:r>
      <w:r w:rsidR="000B3307" w:rsidRPr="000B3307">
        <w:rPr>
          <w:rFonts w:ascii="Arial" w:hAnsi="Arial" w:cs="Arial"/>
          <w:bCs/>
          <w:sz w:val="22"/>
          <w:szCs w:val="22"/>
          <w:lang w:val="es-MX"/>
        </w:rPr>
        <w:t>puedan realizarse y aceptarse</w:t>
      </w:r>
      <w:r w:rsidR="003B38E2" w:rsidRPr="003B38E2">
        <w:rPr>
          <w:rFonts w:ascii="Arial" w:hAnsi="Arial" w:cs="Arial"/>
          <w:bCs/>
          <w:sz w:val="22"/>
          <w:szCs w:val="22"/>
          <w:lang w:val="es-MX"/>
        </w:rPr>
        <w:t xml:space="preserve"> </w:t>
      </w:r>
      <w:r w:rsidR="000B3307" w:rsidRPr="000B3307">
        <w:rPr>
          <w:rFonts w:ascii="Arial" w:hAnsi="Arial" w:cs="Arial"/>
          <w:bCs/>
          <w:sz w:val="22"/>
          <w:szCs w:val="22"/>
          <w:lang w:val="es-MX"/>
        </w:rPr>
        <w:t>en el futuro previo</w:t>
      </w:r>
      <w:r w:rsidR="000B3307">
        <w:rPr>
          <w:rFonts w:ascii="Arial" w:hAnsi="Arial" w:cs="Arial"/>
          <w:bCs/>
          <w:sz w:val="22"/>
          <w:szCs w:val="22"/>
          <w:lang w:val="es-MX"/>
        </w:rPr>
        <w:t xml:space="preserve"> a</w:t>
      </w:r>
      <w:r w:rsidR="000B3307" w:rsidRPr="003B38E2">
        <w:rPr>
          <w:rFonts w:ascii="Arial" w:hAnsi="Arial" w:cs="Arial"/>
          <w:bCs/>
          <w:sz w:val="22"/>
          <w:szCs w:val="22"/>
          <w:lang w:val="es-MX"/>
        </w:rPr>
        <w:t>l Período de Suscripción Preferente y de Acrecer</w:t>
      </w:r>
      <w:r w:rsidR="000B3307">
        <w:rPr>
          <w:rFonts w:ascii="Arial" w:hAnsi="Arial" w:cs="Arial"/>
          <w:bCs/>
          <w:sz w:val="22"/>
          <w:szCs w:val="22"/>
          <w:lang w:val="es-MX"/>
        </w:rPr>
        <w:t xml:space="preserve">. </w:t>
      </w:r>
      <w:r w:rsidR="003B38E2" w:rsidRPr="003B38E2">
        <w:rPr>
          <w:rFonts w:ascii="Arial" w:hAnsi="Arial" w:cs="Arial"/>
          <w:bCs/>
          <w:sz w:val="22"/>
          <w:szCs w:val="22"/>
          <w:lang w:val="es-MX"/>
        </w:rPr>
        <w:t>Las Nuevas Acciones suscriptas en virtud del ejercicio del derecho de acrecer deberán integrarse totalmente mediante la capitalización de los Aportes Irrevocables, en efectivo y/</w:t>
      </w:r>
      <w:r w:rsidR="000B3307">
        <w:rPr>
          <w:rFonts w:ascii="Arial" w:hAnsi="Arial" w:cs="Arial"/>
          <w:bCs/>
          <w:sz w:val="22"/>
          <w:szCs w:val="22"/>
          <w:lang w:val="es-MX"/>
        </w:rPr>
        <w:t xml:space="preserve">o </w:t>
      </w:r>
      <w:r w:rsidR="000B3307" w:rsidRPr="003B38E2">
        <w:rPr>
          <w:rFonts w:ascii="Arial" w:hAnsi="Arial" w:cs="Arial"/>
          <w:bCs/>
          <w:sz w:val="22"/>
          <w:szCs w:val="22"/>
          <w:lang w:val="es-MX"/>
        </w:rPr>
        <w:t xml:space="preserve">por otros aportes irrevocables que </w:t>
      </w:r>
      <w:r w:rsidR="00D27B11">
        <w:rPr>
          <w:rFonts w:ascii="Arial" w:hAnsi="Arial" w:cs="Arial"/>
          <w:bCs/>
          <w:sz w:val="22"/>
          <w:szCs w:val="22"/>
          <w:lang w:val="es-MX"/>
        </w:rPr>
        <w:t>fueren</w:t>
      </w:r>
      <w:r w:rsidR="000B3307" w:rsidRPr="000B3307">
        <w:rPr>
          <w:rFonts w:ascii="Arial" w:hAnsi="Arial" w:cs="Arial"/>
          <w:bCs/>
          <w:sz w:val="22"/>
          <w:szCs w:val="22"/>
          <w:lang w:val="es-MX"/>
        </w:rPr>
        <w:t xml:space="preserve"> realiza</w:t>
      </w:r>
      <w:r w:rsidR="000B3307">
        <w:rPr>
          <w:rFonts w:ascii="Arial" w:hAnsi="Arial" w:cs="Arial"/>
          <w:bCs/>
          <w:sz w:val="22"/>
          <w:szCs w:val="22"/>
          <w:lang w:val="es-MX"/>
        </w:rPr>
        <w:t>dos</w:t>
      </w:r>
      <w:r w:rsidR="000B3307" w:rsidRPr="000B3307">
        <w:rPr>
          <w:rFonts w:ascii="Arial" w:hAnsi="Arial" w:cs="Arial"/>
          <w:bCs/>
          <w:sz w:val="22"/>
          <w:szCs w:val="22"/>
          <w:lang w:val="es-MX"/>
        </w:rPr>
        <w:t xml:space="preserve"> y acepta</w:t>
      </w:r>
      <w:r w:rsidR="000B3307">
        <w:rPr>
          <w:rFonts w:ascii="Arial" w:hAnsi="Arial" w:cs="Arial"/>
          <w:bCs/>
          <w:sz w:val="22"/>
          <w:szCs w:val="22"/>
          <w:lang w:val="es-MX"/>
        </w:rPr>
        <w:t>dos</w:t>
      </w:r>
      <w:r w:rsidR="000B3307" w:rsidRPr="003B38E2">
        <w:rPr>
          <w:rFonts w:ascii="Arial" w:hAnsi="Arial" w:cs="Arial"/>
          <w:bCs/>
          <w:sz w:val="22"/>
          <w:szCs w:val="22"/>
          <w:lang w:val="es-MX"/>
        </w:rPr>
        <w:t xml:space="preserve"> </w:t>
      </w:r>
      <w:r w:rsidR="000B3307" w:rsidRPr="000B3307">
        <w:rPr>
          <w:rFonts w:ascii="Arial" w:hAnsi="Arial" w:cs="Arial"/>
          <w:bCs/>
          <w:sz w:val="22"/>
          <w:szCs w:val="22"/>
          <w:lang w:val="es-MX"/>
        </w:rPr>
        <w:t>previo</w:t>
      </w:r>
      <w:r w:rsidR="000B3307">
        <w:rPr>
          <w:rFonts w:ascii="Arial" w:hAnsi="Arial" w:cs="Arial"/>
          <w:bCs/>
          <w:sz w:val="22"/>
          <w:szCs w:val="22"/>
          <w:lang w:val="es-MX"/>
        </w:rPr>
        <w:t xml:space="preserve"> a</w:t>
      </w:r>
      <w:r w:rsidR="000B3307" w:rsidRPr="003B38E2">
        <w:rPr>
          <w:rFonts w:ascii="Arial" w:hAnsi="Arial" w:cs="Arial"/>
          <w:bCs/>
          <w:sz w:val="22"/>
          <w:szCs w:val="22"/>
          <w:lang w:val="es-MX"/>
        </w:rPr>
        <w:t>l Período de Suscripción Preferente y de Acrecer</w:t>
      </w:r>
      <w:r w:rsidR="00D85CC2" w:rsidRPr="00D85CC2">
        <w:rPr>
          <w:rFonts w:ascii="Arial" w:hAnsi="Arial" w:cs="Arial"/>
          <w:bCs/>
          <w:sz w:val="22"/>
          <w:szCs w:val="22"/>
          <w:lang w:val="es-MX"/>
        </w:rPr>
        <w:t xml:space="preserve">; </w:t>
      </w:r>
      <w:r w:rsidR="00565F3B" w:rsidRPr="00565F3B">
        <w:rPr>
          <w:rFonts w:ascii="Arial" w:hAnsi="Arial" w:cs="Arial"/>
          <w:bCs/>
          <w:sz w:val="22"/>
          <w:szCs w:val="22"/>
          <w:u w:val="single"/>
          <w:lang w:val="es-MX"/>
        </w:rPr>
        <w:t>Calificación de Riesgo</w:t>
      </w:r>
      <w:r w:rsidR="00565F3B" w:rsidRPr="00565F3B">
        <w:rPr>
          <w:rFonts w:ascii="Arial" w:hAnsi="Arial" w:cs="Arial"/>
          <w:bCs/>
          <w:sz w:val="22"/>
          <w:szCs w:val="22"/>
          <w:lang w:val="es-MX"/>
        </w:rPr>
        <w:t xml:space="preserve">: Las acciones de la Sociedad cuentan con una calificación de riesgo efectuada en forma trimestral por </w:t>
      </w:r>
      <w:proofErr w:type="spellStart"/>
      <w:r w:rsidR="00565F3B" w:rsidRPr="00565F3B">
        <w:rPr>
          <w:rFonts w:ascii="Arial" w:hAnsi="Arial" w:cs="Arial"/>
          <w:bCs/>
          <w:sz w:val="22"/>
          <w:szCs w:val="22"/>
          <w:lang w:val="es-MX"/>
        </w:rPr>
        <w:t>Moody's</w:t>
      </w:r>
      <w:proofErr w:type="spellEnd"/>
      <w:r w:rsidR="00565F3B" w:rsidRPr="00565F3B">
        <w:rPr>
          <w:rFonts w:ascii="Arial" w:hAnsi="Arial" w:cs="Arial"/>
          <w:bCs/>
          <w:sz w:val="22"/>
          <w:szCs w:val="22"/>
          <w:lang w:val="es-MX"/>
        </w:rPr>
        <w:t xml:space="preserve"> </w:t>
      </w:r>
      <w:proofErr w:type="spellStart"/>
      <w:r w:rsidR="00565F3B" w:rsidRPr="00565F3B">
        <w:rPr>
          <w:rFonts w:ascii="Arial" w:hAnsi="Arial" w:cs="Arial"/>
          <w:bCs/>
          <w:sz w:val="22"/>
          <w:szCs w:val="22"/>
          <w:lang w:val="es-MX"/>
        </w:rPr>
        <w:t>Latin</w:t>
      </w:r>
      <w:proofErr w:type="spellEnd"/>
      <w:r w:rsidR="00565F3B" w:rsidRPr="00565F3B">
        <w:rPr>
          <w:rFonts w:ascii="Arial" w:hAnsi="Arial" w:cs="Arial"/>
          <w:bCs/>
          <w:sz w:val="22"/>
          <w:szCs w:val="22"/>
          <w:lang w:val="es-MX"/>
        </w:rPr>
        <w:t xml:space="preserve"> </w:t>
      </w:r>
      <w:proofErr w:type="spellStart"/>
      <w:r w:rsidR="00565F3B" w:rsidRPr="00565F3B">
        <w:rPr>
          <w:rFonts w:ascii="Arial" w:hAnsi="Arial" w:cs="Arial"/>
          <w:bCs/>
          <w:sz w:val="22"/>
          <w:szCs w:val="22"/>
          <w:lang w:val="es-MX"/>
        </w:rPr>
        <w:t>America</w:t>
      </w:r>
      <w:proofErr w:type="spellEnd"/>
      <w:r w:rsidR="00565F3B" w:rsidRPr="00565F3B">
        <w:rPr>
          <w:rFonts w:ascii="Arial" w:hAnsi="Arial" w:cs="Arial"/>
          <w:bCs/>
          <w:sz w:val="22"/>
          <w:szCs w:val="22"/>
          <w:lang w:val="es-MX"/>
        </w:rPr>
        <w:t xml:space="preserve"> Agente de Calificación de Riesgo</w:t>
      </w:r>
      <w:r w:rsidR="00565F3B">
        <w:rPr>
          <w:rFonts w:ascii="Arial" w:hAnsi="Arial" w:cs="Arial"/>
          <w:bCs/>
          <w:sz w:val="22"/>
          <w:szCs w:val="22"/>
          <w:lang w:val="es-MX"/>
        </w:rPr>
        <w:t xml:space="preserve">; </w:t>
      </w:r>
      <w:r w:rsidR="00D85CC2" w:rsidRPr="00F1666A">
        <w:rPr>
          <w:rFonts w:ascii="Arial" w:hAnsi="Arial" w:cs="Arial"/>
          <w:bCs/>
          <w:sz w:val="22"/>
          <w:szCs w:val="22"/>
          <w:u w:val="single"/>
          <w:lang w:val="es-MX"/>
        </w:rPr>
        <w:t>Le</w:t>
      </w:r>
      <w:r w:rsidR="00E70041">
        <w:rPr>
          <w:rFonts w:ascii="Arial" w:hAnsi="Arial" w:cs="Arial"/>
          <w:bCs/>
          <w:sz w:val="22"/>
          <w:szCs w:val="22"/>
          <w:u w:val="single"/>
          <w:lang w:val="es-MX"/>
        </w:rPr>
        <w:t>gislación A</w:t>
      </w:r>
      <w:r w:rsidR="00D85CC2" w:rsidRPr="00F1666A">
        <w:rPr>
          <w:rFonts w:ascii="Arial" w:hAnsi="Arial" w:cs="Arial"/>
          <w:bCs/>
          <w:sz w:val="22"/>
          <w:szCs w:val="22"/>
          <w:u w:val="single"/>
          <w:lang w:val="es-MX"/>
        </w:rPr>
        <w:t>plicable</w:t>
      </w:r>
      <w:r w:rsidR="00D85CC2" w:rsidRPr="00D85CC2">
        <w:rPr>
          <w:rFonts w:ascii="Arial" w:hAnsi="Arial" w:cs="Arial"/>
          <w:bCs/>
          <w:sz w:val="22"/>
          <w:szCs w:val="22"/>
          <w:lang w:val="es-MX"/>
        </w:rPr>
        <w:t>: Se aplicará la ley argentina</w:t>
      </w:r>
      <w:r w:rsidR="00E70041">
        <w:rPr>
          <w:rFonts w:ascii="Arial" w:hAnsi="Arial" w:cs="Arial"/>
          <w:bCs/>
          <w:sz w:val="22"/>
          <w:szCs w:val="22"/>
          <w:lang w:val="es-MX"/>
        </w:rPr>
        <w:t>;</w:t>
      </w:r>
      <w:r w:rsidR="00C922CE">
        <w:rPr>
          <w:rFonts w:ascii="Arial" w:hAnsi="Arial" w:cs="Arial"/>
          <w:bCs/>
          <w:sz w:val="22"/>
          <w:szCs w:val="22"/>
          <w:lang w:val="es-MX"/>
        </w:rPr>
        <w:t xml:space="preserve"> </w:t>
      </w:r>
      <w:r w:rsidR="00E70041">
        <w:rPr>
          <w:rFonts w:ascii="Arial" w:hAnsi="Arial" w:cs="Arial"/>
          <w:bCs/>
          <w:sz w:val="22"/>
          <w:szCs w:val="22"/>
          <w:u w:val="single"/>
          <w:lang w:val="es-MX"/>
        </w:rPr>
        <w:t>J</w:t>
      </w:r>
      <w:r w:rsidR="00E70041" w:rsidRPr="00F1666A">
        <w:rPr>
          <w:rFonts w:ascii="Arial" w:hAnsi="Arial" w:cs="Arial"/>
          <w:bCs/>
          <w:sz w:val="22"/>
          <w:szCs w:val="22"/>
          <w:u w:val="single"/>
          <w:lang w:val="es-MX"/>
        </w:rPr>
        <w:t xml:space="preserve">urisdicción </w:t>
      </w:r>
      <w:r w:rsidR="00E70041">
        <w:rPr>
          <w:rFonts w:ascii="Arial" w:hAnsi="Arial" w:cs="Arial"/>
          <w:bCs/>
          <w:sz w:val="22"/>
          <w:szCs w:val="22"/>
          <w:u w:val="single"/>
          <w:lang w:val="es-MX"/>
        </w:rPr>
        <w:t>A</w:t>
      </w:r>
      <w:r w:rsidR="00E70041" w:rsidRPr="00F1666A">
        <w:rPr>
          <w:rFonts w:ascii="Arial" w:hAnsi="Arial" w:cs="Arial"/>
          <w:bCs/>
          <w:sz w:val="22"/>
          <w:szCs w:val="22"/>
          <w:u w:val="single"/>
          <w:lang w:val="es-MX"/>
        </w:rPr>
        <w:t>plicable</w:t>
      </w:r>
      <w:r w:rsidR="00E70041" w:rsidRPr="00D85CC2">
        <w:rPr>
          <w:rFonts w:ascii="Arial" w:hAnsi="Arial" w:cs="Arial"/>
          <w:bCs/>
          <w:sz w:val="22"/>
          <w:szCs w:val="22"/>
          <w:lang w:val="es-MX"/>
        </w:rPr>
        <w:t xml:space="preserve">: </w:t>
      </w:r>
      <w:r w:rsidR="00093128" w:rsidRPr="00093128">
        <w:rPr>
          <w:rFonts w:ascii="Arial" w:hAnsi="Arial" w:cs="Arial"/>
          <w:bCs/>
          <w:sz w:val="22"/>
          <w:szCs w:val="22"/>
          <w:lang w:val="es-MX"/>
        </w:rPr>
        <w:t>Toda controversia que se suscite entre la Sociedad, los suscriptores de las Nuevas Acciones, sus accionistas y/o cualquier persona que intervenga con relación a lo previsto en el</w:t>
      </w:r>
      <w:r w:rsidR="00C922CE">
        <w:rPr>
          <w:rFonts w:ascii="Arial" w:hAnsi="Arial" w:cs="Arial"/>
          <w:bCs/>
          <w:sz w:val="22"/>
          <w:szCs w:val="22"/>
          <w:lang w:val="es-MX"/>
        </w:rPr>
        <w:t xml:space="preserve"> p</w:t>
      </w:r>
      <w:r w:rsidR="00093128" w:rsidRPr="00093128">
        <w:rPr>
          <w:rFonts w:ascii="Arial" w:hAnsi="Arial" w:cs="Arial"/>
          <w:bCs/>
          <w:sz w:val="22"/>
          <w:szCs w:val="22"/>
          <w:lang w:val="es-MX"/>
        </w:rPr>
        <w:t xml:space="preserve">rospecto, su existencia, validez, calificación, interpretación, alcance, cumplimiento o resolución, se resolverá definitivamente por el Tribunal de Arbitraje General de </w:t>
      </w:r>
      <w:r w:rsidR="00C922CE">
        <w:rPr>
          <w:rFonts w:ascii="Arial" w:hAnsi="Arial" w:cs="Arial"/>
          <w:bCs/>
          <w:sz w:val="22"/>
          <w:szCs w:val="22"/>
          <w:lang w:val="es-MX"/>
        </w:rPr>
        <w:t xml:space="preserve">la </w:t>
      </w:r>
      <w:r w:rsidR="00093128" w:rsidRPr="00093128">
        <w:rPr>
          <w:rFonts w:ascii="Arial" w:hAnsi="Arial" w:cs="Arial"/>
          <w:bCs/>
          <w:sz w:val="22"/>
          <w:szCs w:val="22"/>
          <w:lang w:val="es-MX"/>
        </w:rPr>
        <w:t>B</w:t>
      </w:r>
      <w:r w:rsidR="00C922CE">
        <w:rPr>
          <w:rFonts w:ascii="Arial" w:hAnsi="Arial" w:cs="Arial"/>
          <w:bCs/>
          <w:sz w:val="22"/>
          <w:szCs w:val="22"/>
          <w:lang w:val="es-MX"/>
        </w:rPr>
        <w:t xml:space="preserve">olsa de </w:t>
      </w:r>
      <w:r w:rsidR="00093128" w:rsidRPr="00093128">
        <w:rPr>
          <w:rFonts w:ascii="Arial" w:hAnsi="Arial" w:cs="Arial"/>
          <w:bCs/>
          <w:sz w:val="22"/>
          <w:szCs w:val="22"/>
          <w:lang w:val="es-MX"/>
        </w:rPr>
        <w:t>C</w:t>
      </w:r>
      <w:r w:rsidR="00C922CE">
        <w:rPr>
          <w:rFonts w:ascii="Arial" w:hAnsi="Arial" w:cs="Arial"/>
          <w:bCs/>
          <w:sz w:val="22"/>
          <w:szCs w:val="22"/>
          <w:lang w:val="es-MX"/>
        </w:rPr>
        <w:t xml:space="preserve">omercio de </w:t>
      </w:r>
      <w:r w:rsidR="00093128" w:rsidRPr="00093128">
        <w:rPr>
          <w:rFonts w:ascii="Arial" w:hAnsi="Arial" w:cs="Arial"/>
          <w:bCs/>
          <w:sz w:val="22"/>
          <w:szCs w:val="22"/>
          <w:lang w:val="es-MX"/>
        </w:rPr>
        <w:t>B</w:t>
      </w:r>
      <w:r w:rsidR="00C922CE">
        <w:rPr>
          <w:rFonts w:ascii="Arial" w:hAnsi="Arial" w:cs="Arial"/>
          <w:bCs/>
          <w:sz w:val="22"/>
          <w:szCs w:val="22"/>
          <w:lang w:val="es-MX"/>
        </w:rPr>
        <w:t xml:space="preserve">uenos </w:t>
      </w:r>
      <w:r w:rsidR="00093128" w:rsidRPr="00093128">
        <w:rPr>
          <w:rFonts w:ascii="Arial" w:hAnsi="Arial" w:cs="Arial"/>
          <w:bCs/>
          <w:sz w:val="22"/>
          <w:szCs w:val="22"/>
          <w:lang w:val="es-MX"/>
        </w:rPr>
        <w:t>A</w:t>
      </w:r>
      <w:r w:rsidR="00C922CE">
        <w:rPr>
          <w:rFonts w:ascii="Arial" w:hAnsi="Arial" w:cs="Arial"/>
          <w:bCs/>
          <w:sz w:val="22"/>
          <w:szCs w:val="22"/>
          <w:lang w:val="es-MX"/>
        </w:rPr>
        <w:t>ires</w:t>
      </w:r>
      <w:r w:rsidR="00093128" w:rsidRPr="00093128">
        <w:rPr>
          <w:rFonts w:ascii="Arial" w:hAnsi="Arial" w:cs="Arial"/>
          <w:bCs/>
          <w:sz w:val="22"/>
          <w:szCs w:val="22"/>
          <w:lang w:val="es-MX"/>
        </w:rPr>
        <w:t xml:space="preserve"> (el “</w:t>
      </w:r>
      <w:r w:rsidR="00093128" w:rsidRPr="00C922CE">
        <w:rPr>
          <w:rFonts w:ascii="Arial" w:hAnsi="Arial" w:cs="Arial"/>
          <w:bCs/>
          <w:sz w:val="22"/>
          <w:szCs w:val="22"/>
          <w:u w:val="single"/>
          <w:lang w:val="es-MX"/>
        </w:rPr>
        <w:t>Tribunal</w:t>
      </w:r>
      <w:r w:rsidR="00093128" w:rsidRPr="00093128">
        <w:rPr>
          <w:rFonts w:ascii="Arial" w:hAnsi="Arial" w:cs="Arial"/>
          <w:bCs/>
          <w:sz w:val="22"/>
          <w:szCs w:val="22"/>
          <w:lang w:val="es-MX"/>
        </w:rPr>
        <w:t>”), en virtud de la delegación de facultades otorgadas por B</w:t>
      </w:r>
      <w:r w:rsidR="00C922CE">
        <w:rPr>
          <w:rFonts w:ascii="Arial" w:hAnsi="Arial" w:cs="Arial"/>
          <w:bCs/>
          <w:sz w:val="22"/>
          <w:szCs w:val="22"/>
          <w:lang w:val="es-MX"/>
        </w:rPr>
        <w:t>olsas y Mercados Argentinos S.A.</w:t>
      </w:r>
      <w:r w:rsidR="00093128" w:rsidRPr="00093128">
        <w:rPr>
          <w:rFonts w:ascii="Arial" w:hAnsi="Arial" w:cs="Arial"/>
          <w:bCs/>
          <w:sz w:val="22"/>
          <w:szCs w:val="22"/>
          <w:lang w:val="es-MX"/>
        </w:rPr>
        <w:t xml:space="preserve"> o el tribunal arbitral que lo reemplace —conforme surge del artículo 46 de la Ley de Mercado de Capitales N° 26.831 y sus modificatorias — de acuerdo con el Reglamento del Tribunal vigente (o, en su caso, del reglamento del tribunal que lo reemplace) para arbitrajes de derecho, salvo lo dispuesto, en caso de resultar aplicable, en el artículo 46 de la Ley de Mercado de Capitales N° 26.831 y sus modificatorias</w:t>
      </w:r>
      <w:r w:rsidR="00281416">
        <w:rPr>
          <w:rFonts w:ascii="Arial" w:hAnsi="Arial" w:cs="Arial"/>
          <w:bCs/>
          <w:sz w:val="22"/>
          <w:szCs w:val="22"/>
          <w:lang w:val="es-MX"/>
        </w:rPr>
        <w:t>,</w:t>
      </w:r>
      <w:r w:rsidR="00093128" w:rsidRPr="00093128">
        <w:rPr>
          <w:rFonts w:ascii="Arial" w:hAnsi="Arial" w:cs="Arial"/>
          <w:bCs/>
          <w:sz w:val="22"/>
          <w:szCs w:val="22"/>
          <w:lang w:val="es-MX"/>
        </w:rPr>
        <w:t xml:space="preserve"> relativo al derecho de los inversores de las Nuevas Acciones de optar por acudir a los tribunales judiciales competentes. La sentencia que dicte el Tribunal será apelable y se encontrará sujeta a los recursos que se encuentren disponibles. </w:t>
      </w:r>
      <w:r w:rsidR="00D85CC2" w:rsidRPr="00D85CC2">
        <w:rPr>
          <w:rFonts w:ascii="Arial" w:hAnsi="Arial" w:cs="Arial"/>
          <w:bCs/>
          <w:sz w:val="22"/>
          <w:szCs w:val="22"/>
          <w:lang w:val="es-MX"/>
        </w:rPr>
        <w:t>Puesta la moción a consideración y luego de un breve debate el Directorio resuelve por unanimidad de votos</w:t>
      </w:r>
      <w:r w:rsidR="00D27B11">
        <w:rPr>
          <w:rFonts w:ascii="Arial" w:hAnsi="Arial" w:cs="Arial"/>
          <w:bCs/>
          <w:sz w:val="22"/>
          <w:szCs w:val="22"/>
          <w:lang w:val="es-MX"/>
        </w:rPr>
        <w:t>:</w:t>
      </w:r>
      <w:r w:rsidR="00D85CC2" w:rsidRPr="00D85CC2">
        <w:rPr>
          <w:rFonts w:ascii="Arial" w:hAnsi="Arial" w:cs="Arial"/>
          <w:bCs/>
          <w:sz w:val="22"/>
          <w:szCs w:val="22"/>
          <w:lang w:val="es-MX"/>
        </w:rPr>
        <w:t xml:space="preserve"> (i) aprobar la emisión de las Nuevas Acciones </w:t>
      </w:r>
      <w:r w:rsidR="00274FF9">
        <w:rPr>
          <w:rFonts w:ascii="Arial" w:hAnsi="Arial" w:cs="Arial"/>
          <w:bCs/>
          <w:sz w:val="22"/>
          <w:szCs w:val="22"/>
          <w:lang w:val="es-MX"/>
        </w:rPr>
        <w:t>en</w:t>
      </w:r>
      <w:r w:rsidR="00D85CC2" w:rsidRPr="00D85CC2">
        <w:rPr>
          <w:rFonts w:ascii="Arial" w:hAnsi="Arial" w:cs="Arial"/>
          <w:bCs/>
          <w:sz w:val="22"/>
          <w:szCs w:val="22"/>
          <w:lang w:val="es-MX"/>
        </w:rPr>
        <w:t xml:space="preserve"> los términos y condiciones </w:t>
      </w:r>
      <w:r w:rsidR="00F1666A">
        <w:rPr>
          <w:rFonts w:ascii="Arial" w:hAnsi="Arial" w:cs="Arial"/>
          <w:bCs/>
          <w:sz w:val="22"/>
          <w:szCs w:val="22"/>
          <w:lang w:val="es-MX"/>
        </w:rPr>
        <w:t>expuesto</w:t>
      </w:r>
      <w:r w:rsidR="00274FF9">
        <w:rPr>
          <w:rFonts w:ascii="Arial" w:hAnsi="Arial" w:cs="Arial"/>
          <w:bCs/>
          <w:sz w:val="22"/>
          <w:szCs w:val="22"/>
          <w:lang w:val="es-MX"/>
        </w:rPr>
        <w:t>s</w:t>
      </w:r>
      <w:r w:rsidR="00F1666A">
        <w:rPr>
          <w:rFonts w:ascii="Arial" w:hAnsi="Arial" w:cs="Arial"/>
          <w:bCs/>
          <w:sz w:val="22"/>
          <w:szCs w:val="22"/>
          <w:lang w:val="es-MX"/>
        </w:rPr>
        <w:t xml:space="preserve"> por el Sr. Presidente</w:t>
      </w:r>
      <w:r w:rsidR="00D85CC2" w:rsidRPr="00D85CC2">
        <w:rPr>
          <w:rFonts w:ascii="Arial" w:hAnsi="Arial" w:cs="Arial"/>
          <w:bCs/>
          <w:sz w:val="22"/>
          <w:szCs w:val="22"/>
          <w:lang w:val="es-MX"/>
        </w:rPr>
        <w:t xml:space="preserve">; (ii) aprobar el nuevo modelo de </w:t>
      </w:r>
      <w:r w:rsidR="00F1666A">
        <w:rPr>
          <w:rFonts w:ascii="Arial" w:hAnsi="Arial" w:cs="Arial"/>
          <w:bCs/>
          <w:sz w:val="22"/>
          <w:szCs w:val="22"/>
          <w:lang w:val="es-MX"/>
        </w:rPr>
        <w:t>p</w:t>
      </w:r>
      <w:r w:rsidR="00D85CC2" w:rsidRPr="00D85CC2">
        <w:rPr>
          <w:rFonts w:ascii="Arial" w:hAnsi="Arial" w:cs="Arial"/>
          <w:bCs/>
          <w:sz w:val="22"/>
          <w:szCs w:val="22"/>
          <w:lang w:val="es-MX"/>
        </w:rPr>
        <w:t xml:space="preserve">rospecto de las Nuevas Acciones en donde se reflejan los términos y condiciones detallados más arriba, y toda otra información o documentación complementaria que se adjunte al mencionado </w:t>
      </w:r>
      <w:r w:rsidR="00F1666A">
        <w:rPr>
          <w:rFonts w:ascii="Arial" w:hAnsi="Arial" w:cs="Arial"/>
          <w:bCs/>
          <w:sz w:val="22"/>
          <w:szCs w:val="22"/>
          <w:lang w:val="es-MX"/>
        </w:rPr>
        <w:t>p</w:t>
      </w:r>
      <w:r w:rsidR="00D85CC2" w:rsidRPr="00D85CC2">
        <w:rPr>
          <w:rFonts w:ascii="Arial" w:hAnsi="Arial" w:cs="Arial"/>
          <w:bCs/>
          <w:sz w:val="22"/>
          <w:szCs w:val="22"/>
          <w:lang w:val="es-MX"/>
        </w:rPr>
        <w:t>rospecto; (iii) efectuar las presentaciones y solicitudes requeridas por ante la C</w:t>
      </w:r>
      <w:r w:rsidR="00F1666A">
        <w:rPr>
          <w:rFonts w:ascii="Arial" w:hAnsi="Arial" w:cs="Arial"/>
          <w:bCs/>
          <w:sz w:val="22"/>
          <w:szCs w:val="22"/>
          <w:lang w:val="es-MX"/>
        </w:rPr>
        <w:t xml:space="preserve">omisión </w:t>
      </w:r>
      <w:r w:rsidR="00D85CC2" w:rsidRPr="00D85CC2">
        <w:rPr>
          <w:rFonts w:ascii="Arial" w:hAnsi="Arial" w:cs="Arial"/>
          <w:bCs/>
          <w:sz w:val="22"/>
          <w:szCs w:val="22"/>
          <w:lang w:val="es-MX"/>
        </w:rPr>
        <w:t>N</w:t>
      </w:r>
      <w:r w:rsidR="00F1666A">
        <w:rPr>
          <w:rFonts w:ascii="Arial" w:hAnsi="Arial" w:cs="Arial"/>
          <w:bCs/>
          <w:sz w:val="22"/>
          <w:szCs w:val="22"/>
          <w:lang w:val="es-MX"/>
        </w:rPr>
        <w:t xml:space="preserve">acional de </w:t>
      </w:r>
      <w:r w:rsidR="00D85CC2" w:rsidRPr="00D85CC2">
        <w:rPr>
          <w:rFonts w:ascii="Arial" w:hAnsi="Arial" w:cs="Arial"/>
          <w:bCs/>
          <w:sz w:val="22"/>
          <w:szCs w:val="22"/>
          <w:lang w:val="es-MX"/>
        </w:rPr>
        <w:t>V</w:t>
      </w:r>
      <w:r w:rsidR="00F1666A">
        <w:rPr>
          <w:rFonts w:ascii="Arial" w:hAnsi="Arial" w:cs="Arial"/>
          <w:bCs/>
          <w:sz w:val="22"/>
          <w:szCs w:val="22"/>
          <w:lang w:val="es-MX"/>
        </w:rPr>
        <w:t>alores</w:t>
      </w:r>
      <w:r w:rsidR="00D85CC2" w:rsidRPr="00D85CC2">
        <w:rPr>
          <w:rFonts w:ascii="Arial" w:hAnsi="Arial" w:cs="Arial"/>
          <w:bCs/>
          <w:sz w:val="22"/>
          <w:szCs w:val="22"/>
          <w:lang w:val="es-MX"/>
        </w:rPr>
        <w:t xml:space="preserve"> y Bolsas y Mercados Argentinos S.A. a través de la B</w:t>
      </w:r>
      <w:r w:rsidR="00F1666A">
        <w:rPr>
          <w:rFonts w:ascii="Arial" w:hAnsi="Arial" w:cs="Arial"/>
          <w:bCs/>
          <w:sz w:val="22"/>
          <w:szCs w:val="22"/>
          <w:lang w:val="es-MX"/>
        </w:rPr>
        <w:t xml:space="preserve">olsa de </w:t>
      </w:r>
      <w:r w:rsidR="00D85CC2" w:rsidRPr="00D85CC2">
        <w:rPr>
          <w:rFonts w:ascii="Arial" w:hAnsi="Arial" w:cs="Arial"/>
          <w:bCs/>
          <w:sz w:val="22"/>
          <w:szCs w:val="22"/>
          <w:lang w:val="es-MX"/>
        </w:rPr>
        <w:t>C</w:t>
      </w:r>
      <w:r w:rsidR="00F1666A">
        <w:rPr>
          <w:rFonts w:ascii="Arial" w:hAnsi="Arial" w:cs="Arial"/>
          <w:bCs/>
          <w:sz w:val="22"/>
          <w:szCs w:val="22"/>
          <w:lang w:val="es-MX"/>
        </w:rPr>
        <w:t xml:space="preserve">omercio de </w:t>
      </w:r>
      <w:r w:rsidR="00D85CC2" w:rsidRPr="00D85CC2">
        <w:rPr>
          <w:rFonts w:ascii="Arial" w:hAnsi="Arial" w:cs="Arial"/>
          <w:bCs/>
          <w:sz w:val="22"/>
          <w:szCs w:val="22"/>
          <w:lang w:val="es-MX"/>
        </w:rPr>
        <w:t>B</w:t>
      </w:r>
      <w:r w:rsidR="00F1666A">
        <w:rPr>
          <w:rFonts w:ascii="Arial" w:hAnsi="Arial" w:cs="Arial"/>
          <w:bCs/>
          <w:sz w:val="22"/>
          <w:szCs w:val="22"/>
          <w:lang w:val="es-MX"/>
        </w:rPr>
        <w:t xml:space="preserve">uenos </w:t>
      </w:r>
      <w:r w:rsidR="00D85CC2" w:rsidRPr="00D85CC2">
        <w:rPr>
          <w:rFonts w:ascii="Arial" w:hAnsi="Arial" w:cs="Arial"/>
          <w:bCs/>
          <w:sz w:val="22"/>
          <w:szCs w:val="22"/>
          <w:lang w:val="es-MX"/>
        </w:rPr>
        <w:t>A</w:t>
      </w:r>
      <w:r w:rsidR="00F1666A">
        <w:rPr>
          <w:rFonts w:ascii="Arial" w:hAnsi="Arial" w:cs="Arial"/>
          <w:bCs/>
          <w:sz w:val="22"/>
          <w:szCs w:val="22"/>
          <w:lang w:val="es-MX"/>
        </w:rPr>
        <w:t>ires</w:t>
      </w:r>
      <w:r w:rsidR="00D85CC2" w:rsidRPr="00D85CC2">
        <w:rPr>
          <w:rFonts w:ascii="Arial" w:hAnsi="Arial" w:cs="Arial"/>
          <w:bCs/>
          <w:sz w:val="22"/>
          <w:szCs w:val="22"/>
          <w:lang w:val="es-MX"/>
        </w:rPr>
        <w:t xml:space="preserve"> y realizar todo tipo de presentaciones y/o solicitudes ante cualquier otro organismo y/o entidad correspondiente de la documentación requerida por la</w:t>
      </w:r>
      <w:r w:rsidR="00F1666A">
        <w:rPr>
          <w:rFonts w:ascii="Arial" w:hAnsi="Arial" w:cs="Arial"/>
          <w:bCs/>
          <w:sz w:val="22"/>
          <w:szCs w:val="22"/>
          <w:lang w:val="es-MX"/>
        </w:rPr>
        <w:t xml:space="preserve"> </w:t>
      </w:r>
      <w:r w:rsidR="00D85CC2" w:rsidRPr="00D85CC2">
        <w:rPr>
          <w:rFonts w:ascii="Arial" w:hAnsi="Arial" w:cs="Arial"/>
          <w:bCs/>
          <w:sz w:val="22"/>
          <w:szCs w:val="22"/>
          <w:lang w:val="es-MX"/>
        </w:rPr>
        <w:t>Resolución General de la C</w:t>
      </w:r>
      <w:r w:rsidR="00F1666A">
        <w:rPr>
          <w:rFonts w:ascii="Arial" w:hAnsi="Arial" w:cs="Arial"/>
          <w:bCs/>
          <w:sz w:val="22"/>
          <w:szCs w:val="22"/>
          <w:lang w:val="es-MX"/>
        </w:rPr>
        <w:t xml:space="preserve">omisión </w:t>
      </w:r>
      <w:r w:rsidR="00D85CC2" w:rsidRPr="00D85CC2">
        <w:rPr>
          <w:rFonts w:ascii="Arial" w:hAnsi="Arial" w:cs="Arial"/>
          <w:bCs/>
          <w:sz w:val="22"/>
          <w:szCs w:val="22"/>
          <w:lang w:val="es-MX"/>
        </w:rPr>
        <w:t>N</w:t>
      </w:r>
      <w:r w:rsidR="00F1666A">
        <w:rPr>
          <w:rFonts w:ascii="Arial" w:hAnsi="Arial" w:cs="Arial"/>
          <w:bCs/>
          <w:sz w:val="22"/>
          <w:szCs w:val="22"/>
          <w:lang w:val="es-MX"/>
        </w:rPr>
        <w:t xml:space="preserve">acional de </w:t>
      </w:r>
      <w:r w:rsidR="00D85CC2" w:rsidRPr="00D85CC2">
        <w:rPr>
          <w:rFonts w:ascii="Arial" w:hAnsi="Arial" w:cs="Arial"/>
          <w:bCs/>
          <w:sz w:val="22"/>
          <w:szCs w:val="22"/>
          <w:lang w:val="es-MX"/>
        </w:rPr>
        <w:t>V</w:t>
      </w:r>
      <w:r w:rsidR="00F1666A">
        <w:rPr>
          <w:rFonts w:ascii="Arial" w:hAnsi="Arial" w:cs="Arial"/>
          <w:bCs/>
          <w:sz w:val="22"/>
          <w:szCs w:val="22"/>
          <w:lang w:val="es-MX"/>
        </w:rPr>
        <w:t>alores</w:t>
      </w:r>
      <w:r w:rsidR="00D85CC2" w:rsidRPr="00D85CC2">
        <w:rPr>
          <w:rFonts w:ascii="Arial" w:hAnsi="Arial" w:cs="Arial"/>
          <w:bCs/>
          <w:sz w:val="22"/>
          <w:szCs w:val="22"/>
          <w:lang w:val="es-MX"/>
        </w:rPr>
        <w:t xml:space="preserve"> N° 622/13 (junto con sus modificatorias y complementarias), así como por el Reglamento de Listado y Negociación de Bolsas y Mercados Argentinos S.A. y toda otra normativa aplicable</w:t>
      </w:r>
      <w:r w:rsidR="00281416">
        <w:rPr>
          <w:rFonts w:ascii="Arial" w:hAnsi="Arial" w:cs="Arial"/>
          <w:bCs/>
          <w:sz w:val="22"/>
          <w:szCs w:val="22"/>
          <w:lang w:val="es-MX"/>
        </w:rPr>
        <w:t>,</w:t>
      </w:r>
      <w:r w:rsidR="00D85CC2" w:rsidRPr="00D85CC2">
        <w:rPr>
          <w:rFonts w:ascii="Arial" w:hAnsi="Arial" w:cs="Arial"/>
          <w:bCs/>
          <w:sz w:val="22"/>
          <w:szCs w:val="22"/>
          <w:lang w:val="es-MX"/>
        </w:rPr>
        <w:t xml:space="preserve"> para obtener la autorización de la oferta pública, listado y negociación de las Nuevas Acciones; (iv) aprobar la celebración de los contratos que pueda</w:t>
      </w:r>
      <w:r w:rsidR="008B140D">
        <w:rPr>
          <w:rFonts w:ascii="Arial" w:hAnsi="Arial" w:cs="Arial"/>
          <w:bCs/>
          <w:sz w:val="22"/>
          <w:szCs w:val="22"/>
          <w:lang w:val="es-MX"/>
        </w:rPr>
        <w:t>n</w:t>
      </w:r>
      <w:r w:rsidR="00D85CC2" w:rsidRPr="00D85CC2">
        <w:rPr>
          <w:rFonts w:ascii="Arial" w:hAnsi="Arial" w:cs="Arial"/>
          <w:bCs/>
          <w:sz w:val="22"/>
          <w:szCs w:val="22"/>
          <w:lang w:val="es-MX"/>
        </w:rPr>
        <w:t xml:space="preserve"> corresponder</w:t>
      </w:r>
      <w:r w:rsidR="008B140D">
        <w:rPr>
          <w:rFonts w:ascii="Arial" w:hAnsi="Arial" w:cs="Arial"/>
          <w:bCs/>
          <w:sz w:val="22"/>
          <w:szCs w:val="22"/>
          <w:lang w:val="es-MX"/>
        </w:rPr>
        <w:t xml:space="preserve"> a efectos de lograr la oferta pública, el listado y la negociación de las Nuevas Acciones </w:t>
      </w:r>
      <w:r w:rsidR="00274FF9">
        <w:rPr>
          <w:rFonts w:ascii="Arial" w:hAnsi="Arial" w:cs="Arial"/>
          <w:bCs/>
          <w:sz w:val="22"/>
          <w:szCs w:val="22"/>
          <w:lang w:val="es-MX"/>
        </w:rPr>
        <w:t xml:space="preserve">; y (v) </w:t>
      </w:r>
      <w:r w:rsidR="00274FF9" w:rsidRPr="00274FF9">
        <w:rPr>
          <w:rFonts w:ascii="Arial" w:hAnsi="Arial" w:cs="Arial"/>
          <w:bCs/>
          <w:sz w:val="22"/>
          <w:szCs w:val="22"/>
          <w:lang w:val="es-MX"/>
        </w:rPr>
        <w:t xml:space="preserve">subdelegar las </w:t>
      </w:r>
      <w:r w:rsidR="00274FF9" w:rsidRPr="00274FF9">
        <w:rPr>
          <w:rFonts w:ascii="Arial" w:hAnsi="Arial" w:cs="Arial"/>
          <w:bCs/>
          <w:sz w:val="22"/>
          <w:szCs w:val="22"/>
          <w:lang w:val="es-MX"/>
        </w:rPr>
        <w:lastRenderedPageBreak/>
        <w:t>facultades delegadas en este Directorio por la Asamblea General Ordinaria y Extraordinaria del 2</w:t>
      </w:r>
      <w:r w:rsidR="00274FF9">
        <w:rPr>
          <w:rFonts w:ascii="Arial" w:hAnsi="Arial" w:cs="Arial"/>
          <w:bCs/>
          <w:sz w:val="22"/>
          <w:szCs w:val="22"/>
          <w:lang w:val="es-MX"/>
        </w:rPr>
        <w:t>4</w:t>
      </w:r>
      <w:r w:rsidR="00274FF9" w:rsidRPr="00274FF9">
        <w:rPr>
          <w:rFonts w:ascii="Arial" w:hAnsi="Arial" w:cs="Arial"/>
          <w:bCs/>
          <w:sz w:val="22"/>
          <w:szCs w:val="22"/>
          <w:lang w:val="es-MX"/>
        </w:rPr>
        <w:t xml:space="preserve"> de </w:t>
      </w:r>
      <w:r w:rsidR="00274FF9">
        <w:rPr>
          <w:rFonts w:ascii="Arial" w:hAnsi="Arial" w:cs="Arial"/>
          <w:bCs/>
          <w:sz w:val="22"/>
          <w:szCs w:val="22"/>
          <w:lang w:val="es-MX"/>
        </w:rPr>
        <w:t xml:space="preserve">junio </w:t>
      </w:r>
      <w:r w:rsidR="00274FF9" w:rsidRPr="00274FF9">
        <w:rPr>
          <w:rFonts w:ascii="Arial" w:hAnsi="Arial" w:cs="Arial"/>
          <w:bCs/>
          <w:sz w:val="22"/>
          <w:szCs w:val="22"/>
          <w:lang w:val="es-MX"/>
        </w:rPr>
        <w:t>de 201</w:t>
      </w:r>
      <w:r w:rsidR="00274FF9">
        <w:rPr>
          <w:rFonts w:ascii="Arial" w:hAnsi="Arial" w:cs="Arial"/>
          <w:bCs/>
          <w:sz w:val="22"/>
          <w:szCs w:val="22"/>
          <w:lang w:val="es-MX"/>
        </w:rPr>
        <w:t>9</w:t>
      </w:r>
      <w:r w:rsidR="00274FF9" w:rsidRPr="00274FF9">
        <w:rPr>
          <w:rFonts w:ascii="Arial" w:hAnsi="Arial" w:cs="Arial"/>
          <w:bCs/>
          <w:sz w:val="22"/>
          <w:szCs w:val="22"/>
          <w:lang w:val="es-MX"/>
        </w:rPr>
        <w:t xml:space="preserve"> en los Sres.</w:t>
      </w:r>
      <w:r w:rsidR="00274FF9">
        <w:rPr>
          <w:rFonts w:ascii="Arial" w:hAnsi="Arial" w:cs="Arial"/>
          <w:bCs/>
          <w:sz w:val="22"/>
          <w:szCs w:val="22"/>
          <w:lang w:val="es-MX"/>
        </w:rPr>
        <w:t xml:space="preserve"> </w:t>
      </w:r>
      <w:r w:rsidR="00281416">
        <w:rPr>
          <w:rFonts w:ascii="Arial" w:hAnsi="Arial" w:cs="Arial"/>
          <w:bCs/>
          <w:sz w:val="22"/>
          <w:szCs w:val="22"/>
          <w:lang w:val="es-MX"/>
        </w:rPr>
        <w:t>Carlos Espina Iglesias, María Gabriela Mosquera y Santiago Ojea Quintana</w:t>
      </w:r>
      <w:r w:rsidR="00274FF9" w:rsidRPr="00274FF9">
        <w:rPr>
          <w:rFonts w:ascii="Arial" w:hAnsi="Arial" w:cs="Arial"/>
          <w:bCs/>
          <w:sz w:val="22"/>
          <w:szCs w:val="22"/>
          <w:lang w:val="es-MX"/>
        </w:rPr>
        <w:t xml:space="preserve">, para que cualquiera de ellos en forma individual e indistinta (a) defina la oportunidad y demás características de la emisión de las Nuevas Acciones, incluyendo, sin limitación, la determinación de </w:t>
      </w:r>
      <w:r w:rsidR="00D27B11">
        <w:rPr>
          <w:rFonts w:ascii="Arial" w:hAnsi="Arial" w:cs="Arial"/>
          <w:bCs/>
          <w:sz w:val="22"/>
          <w:szCs w:val="22"/>
          <w:lang w:val="es-MX"/>
        </w:rPr>
        <w:t>sus</w:t>
      </w:r>
      <w:r w:rsidR="00274FF9" w:rsidRPr="00274FF9">
        <w:rPr>
          <w:rFonts w:ascii="Arial" w:hAnsi="Arial" w:cs="Arial"/>
          <w:bCs/>
          <w:sz w:val="22"/>
          <w:szCs w:val="22"/>
          <w:lang w:val="es-MX"/>
        </w:rPr>
        <w:t xml:space="preserve"> términos y condiciones, la solicitud de oferta pública</w:t>
      </w:r>
      <w:r w:rsidR="00D27B11">
        <w:rPr>
          <w:rFonts w:ascii="Arial" w:hAnsi="Arial" w:cs="Arial"/>
          <w:bCs/>
          <w:sz w:val="22"/>
          <w:szCs w:val="22"/>
          <w:lang w:val="es-MX"/>
        </w:rPr>
        <w:t xml:space="preserve"> de las mismas</w:t>
      </w:r>
      <w:r w:rsidR="00274FF9" w:rsidRPr="00274FF9">
        <w:rPr>
          <w:rFonts w:ascii="Arial" w:hAnsi="Arial" w:cs="Arial"/>
          <w:bCs/>
          <w:sz w:val="22"/>
          <w:szCs w:val="22"/>
          <w:lang w:val="es-MX"/>
        </w:rPr>
        <w:t xml:space="preserve">, </w:t>
      </w:r>
      <w:r w:rsidR="00D27B11">
        <w:rPr>
          <w:rFonts w:ascii="Arial" w:hAnsi="Arial" w:cs="Arial"/>
          <w:bCs/>
          <w:sz w:val="22"/>
          <w:szCs w:val="22"/>
          <w:lang w:val="es-MX"/>
        </w:rPr>
        <w:t>su cantidad,</w:t>
      </w:r>
      <w:r w:rsidR="00274FF9" w:rsidRPr="00274FF9">
        <w:rPr>
          <w:rFonts w:ascii="Arial" w:hAnsi="Arial" w:cs="Arial"/>
          <w:bCs/>
          <w:sz w:val="22"/>
          <w:szCs w:val="22"/>
          <w:lang w:val="es-MX"/>
        </w:rPr>
        <w:t xml:space="preserve"> monto</w:t>
      </w:r>
      <w:r w:rsidR="00D27B11">
        <w:rPr>
          <w:rFonts w:ascii="Arial" w:hAnsi="Arial" w:cs="Arial"/>
          <w:bCs/>
          <w:sz w:val="22"/>
          <w:szCs w:val="22"/>
          <w:lang w:val="es-MX"/>
        </w:rPr>
        <w:t xml:space="preserve"> de emisión, </w:t>
      </w:r>
      <w:r w:rsidR="00274FF9" w:rsidRPr="00274FF9">
        <w:rPr>
          <w:rFonts w:ascii="Arial" w:hAnsi="Arial" w:cs="Arial"/>
          <w:bCs/>
          <w:sz w:val="22"/>
          <w:szCs w:val="22"/>
          <w:lang w:val="es-MX"/>
        </w:rPr>
        <w:t>destino de los fondos</w:t>
      </w:r>
      <w:r w:rsidR="00D27B11">
        <w:rPr>
          <w:rFonts w:ascii="Arial" w:hAnsi="Arial" w:cs="Arial"/>
          <w:bCs/>
          <w:sz w:val="22"/>
          <w:szCs w:val="22"/>
          <w:lang w:val="es-MX"/>
        </w:rPr>
        <w:t xml:space="preserve"> y cualquier condición particular del prospecto;</w:t>
      </w:r>
      <w:r w:rsidR="00274FF9" w:rsidRPr="00274FF9">
        <w:rPr>
          <w:rFonts w:ascii="Arial" w:hAnsi="Arial" w:cs="Arial"/>
          <w:bCs/>
          <w:sz w:val="22"/>
          <w:szCs w:val="22"/>
          <w:lang w:val="es-MX"/>
        </w:rPr>
        <w:t xml:space="preserve"> determine todo otro términ</w:t>
      </w:r>
      <w:r w:rsidR="00D27B11">
        <w:rPr>
          <w:rFonts w:ascii="Arial" w:hAnsi="Arial" w:cs="Arial"/>
          <w:bCs/>
          <w:sz w:val="22"/>
          <w:szCs w:val="22"/>
          <w:lang w:val="es-MX"/>
        </w:rPr>
        <w:t>o y condición que sea necesario para lograr el</w:t>
      </w:r>
      <w:r w:rsidR="00274FF9" w:rsidRPr="00274FF9">
        <w:rPr>
          <w:rFonts w:ascii="Arial" w:hAnsi="Arial" w:cs="Arial"/>
          <w:bCs/>
          <w:sz w:val="22"/>
          <w:szCs w:val="22"/>
          <w:lang w:val="es-MX"/>
        </w:rPr>
        <w:t xml:space="preserve"> listado y negociación </w:t>
      </w:r>
      <w:r w:rsidR="00D27B11">
        <w:rPr>
          <w:rFonts w:ascii="Arial" w:hAnsi="Arial" w:cs="Arial"/>
          <w:bCs/>
          <w:sz w:val="22"/>
          <w:szCs w:val="22"/>
          <w:lang w:val="es-MX"/>
        </w:rPr>
        <w:t xml:space="preserve">de las Nuevas Acciones </w:t>
      </w:r>
      <w:r w:rsidR="00274FF9" w:rsidRPr="00274FF9">
        <w:rPr>
          <w:rFonts w:ascii="Arial" w:hAnsi="Arial" w:cs="Arial"/>
          <w:bCs/>
          <w:sz w:val="22"/>
          <w:szCs w:val="22"/>
          <w:lang w:val="es-MX"/>
        </w:rPr>
        <w:t>ante Bolsas y Mercados Argentinos S.A., a través de la B</w:t>
      </w:r>
      <w:r w:rsidR="00274FF9">
        <w:rPr>
          <w:rFonts w:ascii="Arial" w:hAnsi="Arial" w:cs="Arial"/>
          <w:bCs/>
          <w:sz w:val="22"/>
          <w:szCs w:val="22"/>
          <w:lang w:val="es-MX"/>
        </w:rPr>
        <w:t>ol</w:t>
      </w:r>
      <w:r w:rsidR="008B140D">
        <w:rPr>
          <w:rFonts w:ascii="Arial" w:hAnsi="Arial" w:cs="Arial"/>
          <w:bCs/>
          <w:sz w:val="22"/>
          <w:szCs w:val="22"/>
          <w:lang w:val="es-MX"/>
        </w:rPr>
        <w:t>s</w:t>
      </w:r>
      <w:r w:rsidR="00274FF9">
        <w:rPr>
          <w:rFonts w:ascii="Arial" w:hAnsi="Arial" w:cs="Arial"/>
          <w:bCs/>
          <w:sz w:val="22"/>
          <w:szCs w:val="22"/>
          <w:lang w:val="es-MX"/>
        </w:rPr>
        <w:t xml:space="preserve">a de </w:t>
      </w:r>
      <w:r w:rsidR="00274FF9" w:rsidRPr="00274FF9">
        <w:rPr>
          <w:rFonts w:ascii="Arial" w:hAnsi="Arial" w:cs="Arial"/>
          <w:bCs/>
          <w:sz w:val="22"/>
          <w:szCs w:val="22"/>
          <w:lang w:val="es-MX"/>
        </w:rPr>
        <w:t>C</w:t>
      </w:r>
      <w:r w:rsidR="00274FF9">
        <w:rPr>
          <w:rFonts w:ascii="Arial" w:hAnsi="Arial" w:cs="Arial"/>
          <w:bCs/>
          <w:sz w:val="22"/>
          <w:szCs w:val="22"/>
          <w:lang w:val="es-MX"/>
        </w:rPr>
        <w:t xml:space="preserve">omercio de </w:t>
      </w:r>
      <w:r w:rsidR="00274FF9" w:rsidRPr="00274FF9">
        <w:rPr>
          <w:rFonts w:ascii="Arial" w:hAnsi="Arial" w:cs="Arial"/>
          <w:bCs/>
          <w:sz w:val="22"/>
          <w:szCs w:val="22"/>
          <w:lang w:val="es-MX"/>
        </w:rPr>
        <w:t>B</w:t>
      </w:r>
      <w:r w:rsidR="00274FF9">
        <w:rPr>
          <w:rFonts w:ascii="Arial" w:hAnsi="Arial" w:cs="Arial"/>
          <w:bCs/>
          <w:sz w:val="22"/>
          <w:szCs w:val="22"/>
          <w:lang w:val="es-MX"/>
        </w:rPr>
        <w:t xml:space="preserve">uenos </w:t>
      </w:r>
      <w:r w:rsidR="00274FF9" w:rsidRPr="00274FF9">
        <w:rPr>
          <w:rFonts w:ascii="Arial" w:hAnsi="Arial" w:cs="Arial"/>
          <w:bCs/>
          <w:sz w:val="22"/>
          <w:szCs w:val="22"/>
          <w:lang w:val="es-MX"/>
        </w:rPr>
        <w:t>A</w:t>
      </w:r>
      <w:r w:rsidR="00274FF9">
        <w:rPr>
          <w:rFonts w:ascii="Arial" w:hAnsi="Arial" w:cs="Arial"/>
          <w:bCs/>
          <w:sz w:val="22"/>
          <w:szCs w:val="22"/>
          <w:lang w:val="es-MX"/>
        </w:rPr>
        <w:t>ires</w:t>
      </w:r>
      <w:r w:rsidR="008B140D">
        <w:rPr>
          <w:rFonts w:ascii="Arial" w:hAnsi="Arial" w:cs="Arial"/>
          <w:bCs/>
          <w:sz w:val="22"/>
          <w:szCs w:val="22"/>
          <w:lang w:val="es-MX"/>
        </w:rPr>
        <w:t>,</w:t>
      </w:r>
      <w:r w:rsidR="00274FF9" w:rsidRPr="00274FF9">
        <w:rPr>
          <w:rFonts w:ascii="Arial" w:hAnsi="Arial" w:cs="Arial"/>
          <w:bCs/>
          <w:sz w:val="22"/>
          <w:szCs w:val="22"/>
          <w:lang w:val="es-MX"/>
        </w:rPr>
        <w:t xml:space="preserve"> y/o cualquier otro mercado de valores del país autorizado por la C</w:t>
      </w:r>
      <w:r w:rsidR="00274FF9">
        <w:rPr>
          <w:rFonts w:ascii="Arial" w:hAnsi="Arial" w:cs="Arial"/>
          <w:bCs/>
          <w:sz w:val="22"/>
          <w:szCs w:val="22"/>
          <w:lang w:val="es-MX"/>
        </w:rPr>
        <w:t xml:space="preserve">omisión </w:t>
      </w:r>
      <w:r w:rsidR="00274FF9" w:rsidRPr="00274FF9">
        <w:rPr>
          <w:rFonts w:ascii="Arial" w:hAnsi="Arial" w:cs="Arial"/>
          <w:bCs/>
          <w:sz w:val="22"/>
          <w:szCs w:val="22"/>
          <w:lang w:val="es-MX"/>
        </w:rPr>
        <w:t>N</w:t>
      </w:r>
      <w:r w:rsidR="00274FF9">
        <w:rPr>
          <w:rFonts w:ascii="Arial" w:hAnsi="Arial" w:cs="Arial"/>
          <w:bCs/>
          <w:sz w:val="22"/>
          <w:szCs w:val="22"/>
          <w:lang w:val="es-MX"/>
        </w:rPr>
        <w:t xml:space="preserve">acional de </w:t>
      </w:r>
      <w:r w:rsidR="00274FF9" w:rsidRPr="00274FF9">
        <w:rPr>
          <w:rFonts w:ascii="Arial" w:hAnsi="Arial" w:cs="Arial"/>
          <w:bCs/>
          <w:sz w:val="22"/>
          <w:szCs w:val="22"/>
          <w:lang w:val="es-MX"/>
        </w:rPr>
        <w:t>V</w:t>
      </w:r>
      <w:r w:rsidR="00274FF9">
        <w:rPr>
          <w:rFonts w:ascii="Arial" w:hAnsi="Arial" w:cs="Arial"/>
          <w:bCs/>
          <w:sz w:val="22"/>
          <w:szCs w:val="22"/>
          <w:lang w:val="es-MX"/>
        </w:rPr>
        <w:t>alores</w:t>
      </w:r>
      <w:r w:rsidR="00D27B11">
        <w:rPr>
          <w:rFonts w:ascii="Arial" w:hAnsi="Arial" w:cs="Arial"/>
          <w:bCs/>
          <w:sz w:val="22"/>
          <w:szCs w:val="22"/>
          <w:lang w:val="es-MX"/>
        </w:rPr>
        <w:t>;</w:t>
      </w:r>
      <w:r w:rsidR="00274FF9" w:rsidRPr="00274FF9">
        <w:rPr>
          <w:rFonts w:ascii="Arial" w:hAnsi="Arial" w:cs="Arial"/>
          <w:bCs/>
          <w:sz w:val="22"/>
          <w:szCs w:val="22"/>
          <w:lang w:val="es-MX"/>
        </w:rPr>
        <w:t xml:space="preserve"> y </w:t>
      </w:r>
      <w:r w:rsidR="008B140D">
        <w:rPr>
          <w:rFonts w:ascii="Arial" w:hAnsi="Arial" w:cs="Arial"/>
          <w:bCs/>
          <w:sz w:val="22"/>
          <w:szCs w:val="22"/>
          <w:lang w:val="es-MX"/>
        </w:rPr>
        <w:t xml:space="preserve">lleve adelante </w:t>
      </w:r>
      <w:r w:rsidR="00274FF9" w:rsidRPr="00274FF9">
        <w:rPr>
          <w:rFonts w:ascii="Arial" w:hAnsi="Arial" w:cs="Arial"/>
          <w:bCs/>
          <w:sz w:val="22"/>
          <w:szCs w:val="22"/>
          <w:lang w:val="es-MX"/>
        </w:rPr>
        <w:t xml:space="preserve">todo acto, presentación o tramitación vinculado con éstos, </w:t>
      </w:r>
      <w:r w:rsidR="00D27B11">
        <w:rPr>
          <w:rFonts w:ascii="Arial" w:hAnsi="Arial" w:cs="Arial"/>
          <w:bCs/>
          <w:sz w:val="22"/>
          <w:szCs w:val="22"/>
          <w:lang w:val="es-MX"/>
        </w:rPr>
        <w:t xml:space="preserve">en cualquier caso, </w:t>
      </w:r>
      <w:r w:rsidR="00274FF9" w:rsidRPr="00274FF9">
        <w:rPr>
          <w:rFonts w:ascii="Arial" w:hAnsi="Arial" w:cs="Arial"/>
          <w:bCs/>
          <w:sz w:val="22"/>
          <w:szCs w:val="22"/>
          <w:lang w:val="es-MX"/>
        </w:rPr>
        <w:t>sin necesidad de ratificaci</w:t>
      </w:r>
      <w:r w:rsidR="00D27B11">
        <w:rPr>
          <w:rFonts w:ascii="Arial" w:hAnsi="Arial" w:cs="Arial"/>
          <w:bCs/>
          <w:sz w:val="22"/>
          <w:szCs w:val="22"/>
          <w:lang w:val="es-MX"/>
        </w:rPr>
        <w:t>ón posterior de este Directorio</w:t>
      </w:r>
      <w:r w:rsidR="00274FF9" w:rsidRPr="00274FF9">
        <w:rPr>
          <w:rFonts w:ascii="Arial" w:hAnsi="Arial" w:cs="Arial"/>
          <w:bCs/>
          <w:sz w:val="22"/>
          <w:szCs w:val="22"/>
          <w:lang w:val="es-MX"/>
        </w:rPr>
        <w:t xml:space="preserve">; (b) negocie, apruebe y suscriba los contratos mencionados en el punto (iv) anterior, así como cualquier otro contrato relacionado con las Nuevas Acciones; (c) apruebe toda modificación al </w:t>
      </w:r>
      <w:r w:rsidR="00274FF9">
        <w:rPr>
          <w:rFonts w:ascii="Arial" w:hAnsi="Arial" w:cs="Arial"/>
          <w:bCs/>
          <w:sz w:val="22"/>
          <w:szCs w:val="22"/>
          <w:lang w:val="es-MX"/>
        </w:rPr>
        <w:t>p</w:t>
      </w:r>
      <w:r w:rsidR="00274FF9" w:rsidRPr="00274FF9">
        <w:rPr>
          <w:rFonts w:ascii="Arial" w:hAnsi="Arial" w:cs="Arial"/>
          <w:bCs/>
          <w:sz w:val="22"/>
          <w:szCs w:val="22"/>
          <w:lang w:val="es-MX"/>
        </w:rPr>
        <w:t>rospecto y toda otra documentación a presentarse ante los organismos de contralor; (d) negocie y apruebe los pagos de comisiones, asunción de impuestos y gastos; y (e) suscriba todos los documentos, certificados, publicaciones y otros instrumentos públicos y privados que resulten necesarios a los efectos que las Nuevas Acciones sean debidamente emitidas</w:t>
      </w:r>
      <w:r w:rsidR="00D27B11">
        <w:rPr>
          <w:rFonts w:ascii="Arial" w:hAnsi="Arial" w:cs="Arial"/>
          <w:bCs/>
          <w:sz w:val="22"/>
          <w:szCs w:val="22"/>
          <w:lang w:val="es-MX"/>
        </w:rPr>
        <w:t xml:space="preserve"> y</w:t>
      </w:r>
      <w:r w:rsidR="00274FF9" w:rsidRPr="00274FF9">
        <w:rPr>
          <w:rFonts w:ascii="Arial" w:hAnsi="Arial" w:cs="Arial"/>
          <w:bCs/>
          <w:sz w:val="22"/>
          <w:szCs w:val="22"/>
          <w:lang w:val="es-MX"/>
        </w:rPr>
        <w:t xml:space="preserve"> que la oferta pública, listado y negociación de las Nuevas Acciones sean obtenidas, incluyendo sin limitación la documentación correspondiente a</w:t>
      </w:r>
      <w:r w:rsidR="00274FF9">
        <w:rPr>
          <w:rFonts w:ascii="Arial" w:hAnsi="Arial" w:cs="Arial"/>
          <w:bCs/>
          <w:sz w:val="22"/>
          <w:szCs w:val="22"/>
          <w:lang w:val="es-MX"/>
        </w:rPr>
        <w:t>l Agente de Suscripción</w:t>
      </w:r>
      <w:r w:rsidR="00274FF9" w:rsidRPr="00274FF9">
        <w:rPr>
          <w:rFonts w:ascii="Arial" w:hAnsi="Arial" w:cs="Arial"/>
          <w:bCs/>
          <w:sz w:val="22"/>
          <w:szCs w:val="22"/>
          <w:lang w:val="es-MX"/>
        </w:rPr>
        <w:t xml:space="preserve">, copias de actas de Directorio, publicaciones de </w:t>
      </w:r>
      <w:r w:rsidR="00274FF9">
        <w:rPr>
          <w:rFonts w:ascii="Arial" w:hAnsi="Arial" w:cs="Arial"/>
          <w:bCs/>
          <w:sz w:val="22"/>
          <w:szCs w:val="22"/>
          <w:lang w:val="es-MX"/>
        </w:rPr>
        <w:t xml:space="preserve">avisos </w:t>
      </w:r>
      <w:r w:rsidR="00274FF9" w:rsidRPr="00274FF9">
        <w:rPr>
          <w:rFonts w:ascii="Arial" w:hAnsi="Arial" w:cs="Arial"/>
          <w:bCs/>
          <w:sz w:val="22"/>
          <w:szCs w:val="22"/>
          <w:lang w:val="es-MX"/>
        </w:rPr>
        <w:t>y cualquier documentación vinculada con la emisión de las Nuevas Acciones</w:t>
      </w:r>
      <w:r w:rsidR="00274FF9">
        <w:rPr>
          <w:rFonts w:ascii="Arial" w:hAnsi="Arial" w:cs="Arial"/>
          <w:bCs/>
          <w:sz w:val="22"/>
          <w:szCs w:val="22"/>
          <w:lang w:val="es-MX"/>
        </w:rPr>
        <w:t xml:space="preserve">. </w:t>
      </w:r>
      <w:r w:rsidR="00A94B1B">
        <w:rPr>
          <w:rFonts w:ascii="Arial" w:hAnsi="Arial" w:cs="Arial"/>
          <w:bCs/>
          <w:sz w:val="22"/>
          <w:szCs w:val="22"/>
          <w:lang w:val="es-MX"/>
        </w:rPr>
        <w:t>Acto seguido, el Sr. Presidente pone a consideración de los presentes el tercer punto de la Agenda</w:t>
      </w:r>
      <w:r w:rsidR="00EE7C8A">
        <w:rPr>
          <w:rFonts w:ascii="Arial" w:hAnsi="Arial" w:cs="Arial"/>
          <w:bCs/>
          <w:sz w:val="22"/>
          <w:szCs w:val="22"/>
          <w:lang w:val="es-MX"/>
        </w:rPr>
        <w:t>.</w:t>
      </w:r>
      <w:r w:rsidR="00A94B1B">
        <w:rPr>
          <w:rFonts w:ascii="Arial" w:hAnsi="Arial" w:cs="Arial"/>
          <w:bCs/>
          <w:sz w:val="22"/>
          <w:szCs w:val="22"/>
          <w:lang w:val="es-MX"/>
        </w:rPr>
        <w:t xml:space="preserve"> </w:t>
      </w:r>
      <w:r w:rsidR="00EE7C8A" w:rsidRPr="00EE7C8A">
        <w:rPr>
          <w:rFonts w:ascii="Arial" w:hAnsi="Arial" w:cs="Arial"/>
          <w:b/>
          <w:sz w:val="22"/>
          <w:szCs w:val="22"/>
          <w:lang w:val="es-MX"/>
        </w:rPr>
        <w:t>(iii)</w:t>
      </w:r>
      <w:r w:rsidR="00EE7C8A">
        <w:rPr>
          <w:rFonts w:ascii="Arial" w:hAnsi="Arial" w:cs="Arial"/>
          <w:bCs/>
          <w:sz w:val="22"/>
          <w:szCs w:val="22"/>
          <w:lang w:val="es-MX"/>
        </w:rPr>
        <w:t xml:space="preserve"> </w:t>
      </w:r>
      <w:r w:rsidR="00A94B1B">
        <w:rPr>
          <w:rFonts w:ascii="Arial" w:hAnsi="Arial" w:cs="Arial"/>
          <w:b/>
          <w:sz w:val="22"/>
          <w:szCs w:val="22"/>
          <w:u w:val="single"/>
        </w:rPr>
        <w:t>TEXTO ORDENADO DEL ESTATUTO SOCIAL</w:t>
      </w:r>
      <w:r w:rsidR="00A94B1B">
        <w:rPr>
          <w:rFonts w:ascii="Arial" w:hAnsi="Arial" w:cs="Arial"/>
          <w:b/>
          <w:sz w:val="22"/>
          <w:szCs w:val="22"/>
        </w:rPr>
        <w:t xml:space="preserve">: </w:t>
      </w:r>
      <w:r w:rsidR="00A94B1B">
        <w:rPr>
          <w:rFonts w:ascii="Arial" w:hAnsi="Arial" w:cs="Arial"/>
          <w:sz w:val="22"/>
          <w:szCs w:val="22"/>
          <w:lang w:val="es-MX"/>
        </w:rPr>
        <w:t>El señor Presidente señala que, en virtud de la resolución adoptada por la Asamblea General Ordinaria y Extraordinaria de Accionistas celebrada en el día de la fe</w:t>
      </w:r>
      <w:r w:rsidR="00166447">
        <w:rPr>
          <w:rFonts w:ascii="Arial" w:hAnsi="Arial" w:cs="Arial"/>
          <w:sz w:val="22"/>
          <w:szCs w:val="22"/>
          <w:lang w:val="es-MX"/>
        </w:rPr>
        <w:t>cha, al considerarse el punto 2</w:t>
      </w:r>
      <w:r w:rsidR="00A94B1B">
        <w:rPr>
          <w:rFonts w:ascii="Arial" w:hAnsi="Arial" w:cs="Arial"/>
          <w:sz w:val="22"/>
          <w:szCs w:val="22"/>
          <w:lang w:val="es-MX"/>
        </w:rPr>
        <w:t xml:space="preserve"> del Orden del Día, resulta necesario aprobar un nuevo texto ordenado del estatuto social, en atención a la conveniencia de emitir un solo y único texto ordenado que refleje de manera consolidada todas las reformas estatutarias aprobadas hasta la fecha, incluidas aqu</w:t>
      </w:r>
      <w:r w:rsidR="00D27B11">
        <w:rPr>
          <w:rFonts w:ascii="Arial" w:hAnsi="Arial" w:cs="Arial"/>
          <w:sz w:val="22"/>
          <w:szCs w:val="22"/>
          <w:lang w:val="es-MX"/>
        </w:rPr>
        <w:t>é</w:t>
      </w:r>
      <w:r w:rsidR="00A94B1B">
        <w:rPr>
          <w:rFonts w:ascii="Arial" w:hAnsi="Arial" w:cs="Arial"/>
          <w:sz w:val="22"/>
          <w:szCs w:val="22"/>
          <w:lang w:val="es-MX"/>
        </w:rPr>
        <w:t xml:space="preserve">llas que se aprobaron en la Asamblea celebrada en el día de la fecha. En virtud de lo informado por el </w:t>
      </w:r>
      <w:r w:rsidR="00166447">
        <w:rPr>
          <w:rFonts w:ascii="Arial" w:hAnsi="Arial" w:cs="Arial"/>
          <w:sz w:val="22"/>
          <w:szCs w:val="22"/>
          <w:lang w:val="es-MX"/>
        </w:rPr>
        <w:t xml:space="preserve">Sr. </w:t>
      </w:r>
      <w:r w:rsidR="00A94B1B">
        <w:rPr>
          <w:rFonts w:ascii="Arial" w:hAnsi="Arial" w:cs="Arial"/>
          <w:sz w:val="22"/>
          <w:szCs w:val="22"/>
          <w:lang w:val="es-MX"/>
        </w:rPr>
        <w:t xml:space="preserve">Presidente, los </w:t>
      </w:r>
      <w:r w:rsidR="00166447">
        <w:rPr>
          <w:rFonts w:ascii="Arial" w:hAnsi="Arial" w:cs="Arial"/>
          <w:sz w:val="22"/>
          <w:szCs w:val="22"/>
          <w:lang w:val="es-MX"/>
        </w:rPr>
        <w:t>Sres. D</w:t>
      </w:r>
      <w:r w:rsidR="00A94B1B">
        <w:rPr>
          <w:rFonts w:ascii="Arial" w:hAnsi="Arial" w:cs="Arial"/>
          <w:sz w:val="22"/>
          <w:szCs w:val="22"/>
          <w:lang w:val="es-MX"/>
        </w:rPr>
        <w:t>irectores por unanimidad resuelven aprobar el texto ordenado del estatuto social que se transcribe a continuación:</w:t>
      </w:r>
    </w:p>
    <w:p w14:paraId="72C08580" w14:textId="77777777" w:rsidR="00A94B1B" w:rsidRDefault="00A94B1B" w:rsidP="00A94B1B">
      <w:pPr>
        <w:spacing w:line="360" w:lineRule="auto"/>
        <w:jc w:val="both"/>
        <w:rPr>
          <w:rFonts w:ascii="Arial" w:hAnsi="Arial" w:cs="Arial"/>
          <w:sz w:val="22"/>
          <w:szCs w:val="22"/>
          <w:lang w:val="es-MX"/>
        </w:rPr>
      </w:pPr>
    </w:p>
    <w:p w14:paraId="5ECE6986" w14:textId="77777777" w:rsidR="00A94B1B" w:rsidRDefault="00A94B1B" w:rsidP="00A94B1B">
      <w:pPr>
        <w:tabs>
          <w:tab w:val="left" w:pos="-720"/>
          <w:tab w:val="left" w:pos="0"/>
          <w:tab w:val="left" w:pos="487"/>
        </w:tabs>
        <w:spacing w:line="360" w:lineRule="auto"/>
        <w:jc w:val="center"/>
        <w:rPr>
          <w:rFonts w:ascii="Arial" w:hAnsi="Arial" w:cs="Arial"/>
          <w:b/>
          <w:sz w:val="22"/>
          <w:szCs w:val="22"/>
          <w:lang w:val="es-AR"/>
        </w:rPr>
      </w:pPr>
      <w:r>
        <w:rPr>
          <w:rFonts w:ascii="Arial" w:hAnsi="Arial" w:cs="Arial"/>
          <w:b/>
          <w:sz w:val="22"/>
          <w:szCs w:val="22"/>
          <w:u w:val="single"/>
          <w:lang w:val="es-AR"/>
        </w:rPr>
        <w:t>ESTATUTO SOCIAL DE HOLCIM (ARGENTINA) S.A.</w:t>
      </w:r>
    </w:p>
    <w:p w14:paraId="2FB3146B" w14:textId="77777777" w:rsidR="00A94B1B" w:rsidRDefault="00A94B1B" w:rsidP="00A94B1B">
      <w:pPr>
        <w:spacing w:line="360" w:lineRule="auto"/>
        <w:ind w:firstLine="708"/>
        <w:jc w:val="center"/>
        <w:rPr>
          <w:rFonts w:ascii="Arial" w:hAnsi="Arial" w:cs="Arial"/>
          <w:b/>
          <w:sz w:val="22"/>
          <w:szCs w:val="22"/>
          <w:u w:val="single"/>
          <w:lang w:val="es-AR"/>
        </w:rPr>
      </w:pPr>
    </w:p>
    <w:p w14:paraId="04232571" w14:textId="77777777" w:rsidR="00A94B1B" w:rsidRDefault="00A94B1B" w:rsidP="00A94B1B">
      <w:pPr>
        <w:spacing w:line="360" w:lineRule="auto"/>
        <w:ind w:firstLine="708"/>
        <w:jc w:val="center"/>
        <w:rPr>
          <w:rFonts w:ascii="Arial" w:hAnsi="Arial" w:cs="Arial"/>
          <w:b/>
          <w:sz w:val="22"/>
          <w:szCs w:val="22"/>
          <w:u w:val="single"/>
          <w:lang w:val="es-AR"/>
        </w:rPr>
      </w:pPr>
      <w:r>
        <w:rPr>
          <w:rFonts w:ascii="Arial" w:hAnsi="Arial" w:cs="Arial"/>
          <w:b/>
          <w:sz w:val="22"/>
          <w:szCs w:val="22"/>
          <w:u w:val="single"/>
          <w:lang w:val="es-AR"/>
        </w:rPr>
        <w:t>CAPITULO I.</w:t>
      </w:r>
    </w:p>
    <w:p w14:paraId="536007FD" w14:textId="77777777" w:rsidR="00A94B1B" w:rsidRDefault="00A94B1B" w:rsidP="00A94B1B">
      <w:pPr>
        <w:spacing w:line="360" w:lineRule="auto"/>
        <w:jc w:val="center"/>
        <w:rPr>
          <w:rFonts w:ascii="Arial" w:hAnsi="Arial" w:cs="Arial"/>
          <w:b/>
          <w:sz w:val="22"/>
          <w:szCs w:val="22"/>
          <w:u w:val="single"/>
          <w:lang w:val="es-AR"/>
        </w:rPr>
      </w:pPr>
    </w:p>
    <w:p w14:paraId="261F47A2"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lastRenderedPageBreak/>
        <w:t>DENOMINACIÓN, DOMICILIO, PLAZO Y OBJETO.</w:t>
      </w:r>
    </w:p>
    <w:p w14:paraId="190BD9B6" w14:textId="77777777" w:rsidR="00A94B1B" w:rsidRDefault="00A94B1B" w:rsidP="00A94B1B">
      <w:pPr>
        <w:spacing w:line="360" w:lineRule="auto"/>
        <w:jc w:val="center"/>
        <w:rPr>
          <w:rFonts w:ascii="Arial" w:hAnsi="Arial" w:cs="Arial"/>
          <w:b/>
          <w:sz w:val="22"/>
          <w:szCs w:val="22"/>
          <w:lang w:val="es-AR"/>
        </w:rPr>
      </w:pPr>
    </w:p>
    <w:p w14:paraId="76ABD602"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PRIMERA</w:t>
      </w:r>
      <w:r>
        <w:rPr>
          <w:rFonts w:ascii="Arial" w:hAnsi="Arial" w:cs="Arial"/>
          <w:sz w:val="22"/>
          <w:szCs w:val="22"/>
          <w:lang w:val="es-AR"/>
        </w:rPr>
        <w:t xml:space="preserve">: La sociedad se denomina “Holcim (Argentina) S.A.”, y es continuadora de la que actuara bajo la denominación de Juan </w:t>
      </w:r>
      <w:proofErr w:type="spellStart"/>
      <w:r>
        <w:rPr>
          <w:rFonts w:ascii="Arial" w:hAnsi="Arial" w:cs="Arial"/>
          <w:sz w:val="22"/>
          <w:szCs w:val="22"/>
          <w:lang w:val="es-AR"/>
        </w:rPr>
        <w:t>Minetti</w:t>
      </w:r>
      <w:proofErr w:type="spellEnd"/>
      <w:r>
        <w:rPr>
          <w:rFonts w:ascii="Arial" w:hAnsi="Arial" w:cs="Arial"/>
          <w:sz w:val="22"/>
          <w:szCs w:val="22"/>
          <w:lang w:val="es-AR"/>
        </w:rPr>
        <w:t xml:space="preserve"> S.A., constituida originalmente bajo la denominación de Compañía Sud Americana de Cemento Portland Juan </w:t>
      </w:r>
      <w:proofErr w:type="spellStart"/>
      <w:r>
        <w:rPr>
          <w:rFonts w:ascii="Arial" w:hAnsi="Arial" w:cs="Arial"/>
          <w:sz w:val="22"/>
          <w:szCs w:val="22"/>
          <w:lang w:val="es-AR"/>
        </w:rPr>
        <w:t>Minetti</w:t>
      </w:r>
      <w:proofErr w:type="spellEnd"/>
      <w:r>
        <w:rPr>
          <w:rFonts w:ascii="Arial" w:hAnsi="Arial" w:cs="Arial"/>
          <w:sz w:val="22"/>
          <w:szCs w:val="22"/>
          <w:lang w:val="es-AR"/>
        </w:rPr>
        <w:t xml:space="preserve"> e Hijos Ltda. S.A. y resultante de la fusión por absorción de </w:t>
      </w:r>
      <w:proofErr w:type="spellStart"/>
      <w:r>
        <w:rPr>
          <w:rFonts w:ascii="Arial" w:hAnsi="Arial" w:cs="Arial"/>
          <w:sz w:val="22"/>
          <w:szCs w:val="22"/>
          <w:lang w:val="es-AR"/>
        </w:rPr>
        <w:t>Corcemar</w:t>
      </w:r>
      <w:proofErr w:type="spellEnd"/>
      <w:r>
        <w:rPr>
          <w:rFonts w:ascii="Arial" w:hAnsi="Arial" w:cs="Arial"/>
          <w:sz w:val="22"/>
          <w:szCs w:val="22"/>
          <w:lang w:val="es-AR"/>
        </w:rPr>
        <w:t xml:space="preserve"> S.A. Tiene su domicilio legal en la jurisdicción de la Provincia de Córdoba. La sociedad podrá resolver el establecimiento de sucursales, agencias, establecimientos o cualquier otra clase de representación dentro o fuera de la República. </w:t>
      </w:r>
    </w:p>
    <w:p w14:paraId="393E0217"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SEGUNDA</w:t>
      </w:r>
      <w:r>
        <w:rPr>
          <w:rFonts w:ascii="Arial" w:hAnsi="Arial" w:cs="Arial"/>
          <w:sz w:val="22"/>
          <w:szCs w:val="22"/>
          <w:lang w:val="es-AR"/>
        </w:rPr>
        <w:t xml:space="preserve">: El plazo de duración será hasta el 25 de abril del año 2112. La asamblea extraordinaria podrá prorrogar este término o resolver la disolución anticipada de la sociedad. </w:t>
      </w:r>
    </w:p>
    <w:p w14:paraId="1AE2ED79" w14:textId="77777777" w:rsidR="00A94B1B" w:rsidRDefault="00A94B1B" w:rsidP="00A94B1B">
      <w:pPr>
        <w:spacing w:line="360" w:lineRule="auto"/>
        <w:jc w:val="both"/>
        <w:rPr>
          <w:rFonts w:ascii="Arial" w:hAnsi="Arial"/>
          <w:sz w:val="22"/>
        </w:rPr>
      </w:pPr>
      <w:r>
        <w:rPr>
          <w:rFonts w:ascii="Arial" w:hAnsi="Arial" w:cs="Arial"/>
          <w:b/>
          <w:sz w:val="22"/>
          <w:szCs w:val="22"/>
          <w:lang w:val="es-AR"/>
        </w:rPr>
        <w:t>TERCERA</w:t>
      </w:r>
      <w:r>
        <w:rPr>
          <w:rFonts w:ascii="Arial" w:hAnsi="Arial" w:cs="Arial"/>
          <w:sz w:val="22"/>
          <w:szCs w:val="22"/>
          <w:lang w:val="es-AR"/>
        </w:rPr>
        <w:t>: La sociedad tiene por objeto principal:</w:t>
      </w:r>
      <w:r>
        <w:rPr>
          <w:rFonts w:ascii="Arial" w:hAnsi="Arial"/>
          <w:i/>
          <w:sz w:val="22"/>
        </w:rPr>
        <w:t xml:space="preserve"> </w:t>
      </w:r>
      <w:r>
        <w:rPr>
          <w:rFonts w:ascii="Arial" w:hAnsi="Arial"/>
          <w:sz w:val="22"/>
        </w:rPr>
        <w:t>(i) la fabricación y comercialización de todo tipo de cemento, sus productos y subproductos; (ii) la producción, comercialización y transporte de hormigón y sus derivados; (iii) la exploración, explotación de canteras</w:t>
      </w:r>
      <w:r>
        <w:rPr>
          <w:rFonts w:ascii="Arial" w:hAnsi="Arial" w:cs="Arial"/>
          <w:sz w:val="22"/>
          <w:szCs w:val="22"/>
        </w:rPr>
        <w:t>,</w:t>
      </w:r>
      <w:r>
        <w:rPr>
          <w:rFonts w:ascii="Arial" w:hAnsi="Arial"/>
          <w:sz w:val="22"/>
        </w:rPr>
        <w:t xml:space="preserve"> y</w:t>
      </w:r>
      <w:r>
        <w:rPr>
          <w:rFonts w:ascii="Arial" w:hAnsi="Arial" w:cs="Arial"/>
          <w:sz w:val="22"/>
          <w:szCs w:val="22"/>
        </w:rPr>
        <w:t xml:space="preserve"> la</w:t>
      </w:r>
      <w:r>
        <w:rPr>
          <w:rFonts w:ascii="Arial" w:hAnsi="Arial"/>
          <w:sz w:val="22"/>
        </w:rPr>
        <w:t xml:space="preserve"> comercialización de sus productos; (iv) compraventa, importación y exportación de cemento, sus productos y subproductos y de agregados y aditivos para la industria de la construcción; (v) la fabricación, comercialización y distribución de cualquier material, producto y servicio relacionado directa o indirectamente a la industria de la construcción, a otras industrias productivas o extractivas y a obras de infraestructura; (vi) la ejecución y operación, ya sea de manera directa o a través de otras sociedades en las cuales la sociedad tenga participación, de proyectos de generación de energía de fuente renovable o no renovable principalmente para autoconsumo; (vii) la prestación de servicios ambientales y de remediación, recolección, transporte, mezclado y homogeneización de residuos industriales (peligrosos y no peligrosos</w:t>
      </w:r>
      <w:r>
        <w:rPr>
          <w:rFonts w:ascii="Arial" w:hAnsi="Arial" w:cs="Arial"/>
          <w:sz w:val="22"/>
          <w:szCs w:val="22"/>
        </w:rPr>
        <w:t>),</w:t>
      </w:r>
      <w:r>
        <w:rPr>
          <w:rFonts w:ascii="Arial" w:hAnsi="Arial"/>
          <w:sz w:val="22"/>
        </w:rPr>
        <w:t xml:space="preserve"> domiciliarios o de cualquier otro tipo, para su utilización como combustibles o materias primas alternativas en hornos de producción de Clinker para cemento; todo lo anterior dentro o fuera del país, ya sea por cuenta propia y/o de terceros y/o asociada a terceros, o a través de participaciones en otras sociedades. Para el cumplimiento del objeto social, la </w:t>
      </w:r>
      <w:r>
        <w:rPr>
          <w:rFonts w:ascii="Arial" w:hAnsi="Arial" w:cs="Arial"/>
          <w:sz w:val="22"/>
          <w:szCs w:val="22"/>
        </w:rPr>
        <w:t>Sociedad goza de</w:t>
      </w:r>
      <w:r>
        <w:rPr>
          <w:rFonts w:ascii="Arial" w:hAnsi="Arial"/>
          <w:sz w:val="22"/>
        </w:rPr>
        <w:t xml:space="preserve"> plena capacidad para adquirir derechos y contraer obligaciones, y puede realizar toda clase de actos jurídicos y operaciones que se relacionen directa o indirectamente con </w:t>
      </w:r>
      <w:r>
        <w:rPr>
          <w:rFonts w:ascii="Arial" w:hAnsi="Arial" w:cs="Arial"/>
          <w:sz w:val="22"/>
          <w:szCs w:val="22"/>
        </w:rPr>
        <w:t>aquél</w:t>
      </w:r>
      <w:r>
        <w:rPr>
          <w:rFonts w:ascii="Arial" w:hAnsi="Arial"/>
          <w:sz w:val="22"/>
        </w:rPr>
        <w:t xml:space="preserve">, que no sean prohibidos por las leyes o por </w:t>
      </w:r>
      <w:r>
        <w:rPr>
          <w:rFonts w:ascii="Arial" w:hAnsi="Arial" w:cs="Arial"/>
          <w:sz w:val="22"/>
          <w:szCs w:val="22"/>
        </w:rPr>
        <w:t>este</w:t>
      </w:r>
      <w:r>
        <w:rPr>
          <w:rFonts w:ascii="Arial" w:hAnsi="Arial"/>
          <w:sz w:val="22"/>
        </w:rPr>
        <w:t xml:space="preserve"> estatuto. </w:t>
      </w:r>
    </w:p>
    <w:p w14:paraId="0EBCE884" w14:textId="77777777" w:rsidR="00A94B1B" w:rsidRDefault="00A94B1B" w:rsidP="00A94B1B">
      <w:pPr>
        <w:spacing w:line="360" w:lineRule="auto"/>
        <w:jc w:val="both"/>
        <w:rPr>
          <w:rFonts w:ascii="Arial" w:hAnsi="Arial"/>
          <w:sz w:val="22"/>
        </w:rPr>
      </w:pPr>
    </w:p>
    <w:p w14:paraId="0030D438"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CAPÍTULO II.</w:t>
      </w:r>
    </w:p>
    <w:p w14:paraId="6C4A07A9" w14:textId="77777777" w:rsidR="00A94B1B" w:rsidRDefault="00A94B1B" w:rsidP="00A94B1B">
      <w:pPr>
        <w:spacing w:line="360" w:lineRule="auto"/>
        <w:jc w:val="center"/>
        <w:rPr>
          <w:rFonts w:ascii="Arial" w:hAnsi="Arial" w:cs="Arial"/>
          <w:b/>
          <w:sz w:val="22"/>
          <w:szCs w:val="22"/>
          <w:u w:val="single"/>
          <w:lang w:val="es-AR"/>
        </w:rPr>
      </w:pPr>
    </w:p>
    <w:p w14:paraId="6F14DBC0"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CAPITAL SOCIAL Y ACCIONES.</w:t>
      </w:r>
    </w:p>
    <w:p w14:paraId="0E3F38A2" w14:textId="77777777" w:rsidR="00A94B1B" w:rsidRDefault="00A94B1B" w:rsidP="00A94B1B">
      <w:pPr>
        <w:spacing w:line="360" w:lineRule="auto"/>
        <w:jc w:val="center"/>
        <w:rPr>
          <w:rFonts w:ascii="Arial" w:hAnsi="Arial" w:cs="Arial"/>
          <w:b/>
          <w:sz w:val="22"/>
          <w:szCs w:val="22"/>
          <w:lang w:val="es-AR"/>
        </w:rPr>
      </w:pPr>
    </w:p>
    <w:p w14:paraId="2A6C5746"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lastRenderedPageBreak/>
        <w:t>CUARTA:</w:t>
      </w:r>
      <w:r>
        <w:rPr>
          <w:rFonts w:ascii="Arial" w:hAnsi="Arial" w:cs="Arial"/>
          <w:sz w:val="22"/>
          <w:szCs w:val="22"/>
          <w:lang w:val="es-AR"/>
        </w:rPr>
        <w:t xml:space="preserve"> </w:t>
      </w:r>
      <w:r w:rsidRPr="0055627E">
        <w:rPr>
          <w:rFonts w:ascii="Arial" w:hAnsi="Arial" w:cs="Arial"/>
          <w:sz w:val="22"/>
          <w:szCs w:val="22"/>
          <w:lang w:val="es-AR"/>
        </w:rPr>
        <w:t>El capital social es de $352.056.899, representado por 352.056.899 acciones ordinarias escriturales de un $1 de valor nominal cada una que otorgan derecho a un voto por acción. La evolución del capital figura en los estados financieros generales y periódicos según las normas de aplicación. El capital puede ser aumentado por decisión de la asamblea sin límite alguno ni necesidad de modificar el estatuto. La asamblea podrá delegar en el directorio la época de la emisión, forma y condiciones de pago de nuevas acciones. Los accionistas tendrán preferencia y derecho de acrecer para la suscripción de cada nueva emisión de acciones, en proporción de las que ya posean, y a cuyo efecto se harán las publicaciones que legalmente correspondan. Los derechos de preferencia y de acrecer podrán ejercerse dentro de los plazos legalmente aplicables y solamente se limitarán o suspenderán cuando sea resuelto por la Asamblea Extraordinaria de Accionistas y se cumplan las condiciones establecidas en el artículo 197 de la Ley General de Sociedades N° 19.550 o las que en el futuro la reemplacen o complementen.</w:t>
      </w:r>
    </w:p>
    <w:p w14:paraId="195CE9A8"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QUINTA:</w:t>
      </w:r>
      <w:r>
        <w:rPr>
          <w:rFonts w:ascii="Arial" w:hAnsi="Arial" w:cs="Arial"/>
          <w:sz w:val="22"/>
          <w:szCs w:val="22"/>
          <w:lang w:val="es-AR"/>
        </w:rPr>
        <w:t xml:space="preserve"> Las acciones serán ordinarias, nominativas o escriturales. En este caso, será de aplicación el artículo 208, último párrafo, de la Ley de Sociedades Comerciales. La Asamblea podrá autorizar la emisión de acciones preferidas. Estas últimas podrán tener derecho a un dividendo de pago preferente de carácter acumulativo o no, conforme las condiciones de la emisión dispuesta por la asamblea. Las acciones preferidas darán derecho a un voto por acción o se emitirán sin ese derecho. </w:t>
      </w:r>
    </w:p>
    <w:p w14:paraId="1C7C819D"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SEXTA:</w:t>
      </w:r>
      <w:r>
        <w:rPr>
          <w:rFonts w:ascii="Arial" w:hAnsi="Arial" w:cs="Arial"/>
          <w:sz w:val="22"/>
          <w:szCs w:val="22"/>
          <w:lang w:val="es-AR"/>
        </w:rPr>
        <w:t xml:space="preserve"> Los títulos representativos de acciones y los certificados provisionales que se emitan contendrán las menciones previstas en los artículos 211 y 212 de la Ley de Sociedades Comerciales. Se pueden emitir títulos representativos de más de una acción. </w:t>
      </w:r>
      <w:r>
        <w:rPr>
          <w:rFonts w:ascii="Arial" w:hAnsi="Arial" w:cs="Arial"/>
          <w:b/>
          <w:sz w:val="22"/>
          <w:szCs w:val="22"/>
          <w:lang w:val="es-AR"/>
        </w:rPr>
        <w:t>SÉPTIMA:</w:t>
      </w:r>
      <w:r>
        <w:rPr>
          <w:rFonts w:ascii="Arial" w:hAnsi="Arial" w:cs="Arial"/>
          <w:sz w:val="22"/>
          <w:szCs w:val="22"/>
          <w:lang w:val="es-AR"/>
        </w:rPr>
        <w:t xml:space="preserve"> En caso de mora en la integración de las acciones el directorio podrá elegir cualquiera de los procedimientos del artículo 193 de la Ley de Sociedades Comerciales. </w:t>
      </w:r>
      <w:r>
        <w:rPr>
          <w:rFonts w:ascii="Arial" w:hAnsi="Arial" w:cs="Arial"/>
          <w:b/>
          <w:sz w:val="22"/>
          <w:szCs w:val="22"/>
          <w:lang w:val="es-AR"/>
        </w:rPr>
        <w:t>OCTAVA:</w:t>
      </w:r>
      <w:r>
        <w:rPr>
          <w:rFonts w:ascii="Arial" w:hAnsi="Arial" w:cs="Arial"/>
          <w:sz w:val="22"/>
          <w:szCs w:val="22"/>
          <w:lang w:val="es-AR"/>
        </w:rPr>
        <w:t xml:space="preserve"> La transmisión de las acciones es libre y se rige por lo establecido en los artículos 214 y 215 de la Ley de Sociedades Comerciales. </w:t>
      </w:r>
    </w:p>
    <w:p w14:paraId="6F85249F" w14:textId="77777777" w:rsidR="00A94B1B" w:rsidRDefault="00A94B1B" w:rsidP="00A94B1B">
      <w:pPr>
        <w:spacing w:line="360" w:lineRule="auto"/>
        <w:jc w:val="both"/>
        <w:rPr>
          <w:rFonts w:ascii="Arial" w:hAnsi="Arial" w:cs="Arial"/>
          <w:sz w:val="22"/>
          <w:szCs w:val="22"/>
          <w:lang w:val="es-AR"/>
        </w:rPr>
      </w:pPr>
    </w:p>
    <w:p w14:paraId="61DAD7A1"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CAPÍTULO III.</w:t>
      </w:r>
    </w:p>
    <w:p w14:paraId="238F1CAC" w14:textId="77777777" w:rsidR="00A94B1B" w:rsidRDefault="00A94B1B" w:rsidP="00A94B1B">
      <w:pPr>
        <w:spacing w:line="360" w:lineRule="auto"/>
        <w:jc w:val="center"/>
        <w:rPr>
          <w:rFonts w:ascii="Arial" w:hAnsi="Arial" w:cs="Arial"/>
          <w:b/>
          <w:sz w:val="22"/>
          <w:szCs w:val="22"/>
          <w:u w:val="single"/>
          <w:lang w:val="es-AR"/>
        </w:rPr>
      </w:pPr>
    </w:p>
    <w:p w14:paraId="444BBC83"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ADMINISTRACIÓN Y REPRESENTACIÓN.</w:t>
      </w:r>
    </w:p>
    <w:p w14:paraId="288BD91D" w14:textId="77777777" w:rsidR="00A94B1B" w:rsidRDefault="00A94B1B" w:rsidP="00A94B1B">
      <w:pPr>
        <w:spacing w:line="360" w:lineRule="auto"/>
        <w:jc w:val="center"/>
        <w:rPr>
          <w:rFonts w:ascii="Arial" w:hAnsi="Arial" w:cs="Arial"/>
          <w:b/>
          <w:i/>
          <w:sz w:val="22"/>
          <w:szCs w:val="22"/>
          <w:lang w:val="es-AR"/>
        </w:rPr>
      </w:pPr>
    </w:p>
    <w:p w14:paraId="1814FA1D"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NOVENA:</w:t>
      </w:r>
      <w:r>
        <w:rPr>
          <w:rFonts w:ascii="Arial" w:hAnsi="Arial" w:cs="Arial"/>
          <w:sz w:val="22"/>
          <w:szCs w:val="22"/>
          <w:lang w:val="es-AR"/>
        </w:rPr>
        <w:t xml:space="preserve"> La dirección y administración de la sociedad estará a cargo del Directorio, integrado por tres a nueve miembros titulares e igual número de suplentes, los que se incorporarán al Directorio de acuerdo al régimen que éste determine. El término de su designación será de un ejercicio. La asamblea fijará el número de directores y su remuneración. El Directorio sesionará con la mayoría absoluta de sus integrantes y resolverá por mayoría de los presentes; en caso de empate el Presidente tendrá doble </w:t>
      </w:r>
      <w:r>
        <w:rPr>
          <w:rFonts w:ascii="Arial" w:hAnsi="Arial" w:cs="Arial"/>
          <w:sz w:val="22"/>
          <w:szCs w:val="22"/>
          <w:lang w:val="es-AR"/>
        </w:rPr>
        <w:lastRenderedPageBreak/>
        <w:t xml:space="preserve">voto. Las reuniones de Directorio podrán, asimismo, ser celebradas válidamente en cualquier momento mediante videoconferencia o cualquier otro medio que permita la transmisión simultánea de sonido, imágenes y palabras de los directores asistentes. En este supuesto, a efectos de computar el quórum y la mayoría, se considerará que los miembros del Directorio que participen de la reunión a distancia han estado físicamente presentes. El Directorio, en su primera reunión, designará un Presidente y un Vicepresidente que suplirá a aquél en caso de ausencia o impedimento. En garantía de sus funciones los titulares depositarán en la caja social la suma de pesos quinientos o su equivalente en títulos valores públicos, siendo de aplicación la normativa reglamentaria que eventualmente se dictare en el futuro. El Directorio tiene las más amplias facultades de administración y de disposición, incluso las que requieren poderes especiales a tenor del artículo 1881 del Código Civil y del artículo 9° del decreto-ley 5965/63. Podrá especialmente operar con toda clase de bancos, compañías financieras o entidades crediticias, oficiales y privadas; otorgar y revocar poderes especiales y generales, judiciales, de administración u otros, con o sin facultades de sustituir, iniciar, proseguir, contestar o desistir denuncias o querellas penales y realizar todo otro hecho o acto jurídico que haga adquirir derechos o contraer obligaciones a la sociedad. La representación legal de la sociedad corresponde al Presidente o al Vicepresidente en su caso. </w:t>
      </w:r>
    </w:p>
    <w:p w14:paraId="77CBF66F" w14:textId="77777777" w:rsidR="00A94B1B" w:rsidRDefault="00A94B1B" w:rsidP="00A94B1B">
      <w:pPr>
        <w:spacing w:line="360" w:lineRule="auto"/>
        <w:jc w:val="both"/>
        <w:rPr>
          <w:rFonts w:ascii="Arial" w:hAnsi="Arial" w:cs="Arial"/>
          <w:sz w:val="22"/>
          <w:szCs w:val="22"/>
          <w:lang w:val="es-AR"/>
        </w:rPr>
      </w:pPr>
    </w:p>
    <w:p w14:paraId="66BA0099"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CAPÍTULO IV.</w:t>
      </w:r>
    </w:p>
    <w:p w14:paraId="08B5EC97" w14:textId="77777777" w:rsidR="00A94B1B" w:rsidRDefault="00A94B1B" w:rsidP="00A94B1B">
      <w:pPr>
        <w:spacing w:line="360" w:lineRule="auto"/>
        <w:jc w:val="center"/>
        <w:rPr>
          <w:rFonts w:ascii="Arial" w:hAnsi="Arial" w:cs="Arial"/>
          <w:b/>
          <w:sz w:val="22"/>
          <w:szCs w:val="22"/>
          <w:u w:val="single"/>
          <w:lang w:val="es-AR"/>
        </w:rPr>
      </w:pPr>
    </w:p>
    <w:p w14:paraId="46420BC3"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FISCALIZACIÓN.</w:t>
      </w:r>
    </w:p>
    <w:p w14:paraId="6ECA0670" w14:textId="77777777" w:rsidR="00A94B1B" w:rsidRDefault="00A94B1B" w:rsidP="00A94B1B">
      <w:pPr>
        <w:spacing w:line="360" w:lineRule="auto"/>
        <w:jc w:val="center"/>
        <w:rPr>
          <w:rFonts w:ascii="Arial" w:hAnsi="Arial" w:cs="Arial"/>
          <w:b/>
          <w:sz w:val="22"/>
          <w:szCs w:val="22"/>
          <w:lang w:val="es-AR"/>
        </w:rPr>
      </w:pPr>
    </w:p>
    <w:p w14:paraId="5765E548"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DÉCIMA:</w:t>
      </w:r>
      <w:r>
        <w:rPr>
          <w:rFonts w:ascii="Arial" w:hAnsi="Arial" w:cs="Arial"/>
          <w:sz w:val="22"/>
          <w:szCs w:val="22"/>
          <w:lang w:val="es-AR"/>
        </w:rPr>
        <w:t xml:space="preserve"> La fiscalización de la sociedad estará a cargo de una Comisión Fiscalizadora compuesta por tres síndicos titulares y tres suplentes elegidos por la asamblea por el término de un ejercicio, la que sesionará con la presencia de dos miembros y resolverá por el voto favorable de por lo menos dos de sus miembros, sin perjuicio de las atribuciones que individualmente correspondan a los síndicos. Los miembros titulares elegirán al Presidente de la Comisión por mayoría simple. Los miembros suplentes de la Comisión Fiscalizadora llenarán las vacantes que se produjeren en el orden de su elección. La Comisión Fiscalizadora podrá ser representada por cualquier de sus miembros en las reuniones de directorio o asambleas. </w:t>
      </w:r>
    </w:p>
    <w:p w14:paraId="7B19D8E3" w14:textId="77777777" w:rsidR="00A94B1B" w:rsidRDefault="00A94B1B" w:rsidP="00A94B1B">
      <w:pPr>
        <w:spacing w:line="360" w:lineRule="auto"/>
        <w:jc w:val="both"/>
        <w:rPr>
          <w:rFonts w:ascii="Arial" w:hAnsi="Arial" w:cs="Arial"/>
          <w:sz w:val="22"/>
          <w:szCs w:val="22"/>
          <w:lang w:val="es-AR"/>
        </w:rPr>
      </w:pPr>
    </w:p>
    <w:p w14:paraId="29A28596"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CAPÍTULO V.</w:t>
      </w:r>
    </w:p>
    <w:p w14:paraId="5AEB8E8D" w14:textId="77777777" w:rsidR="00A94B1B" w:rsidRDefault="00A94B1B" w:rsidP="00A94B1B">
      <w:pPr>
        <w:spacing w:line="360" w:lineRule="auto"/>
        <w:jc w:val="center"/>
        <w:rPr>
          <w:rFonts w:ascii="Arial" w:hAnsi="Arial" w:cs="Arial"/>
          <w:b/>
          <w:sz w:val="22"/>
          <w:szCs w:val="22"/>
          <w:u w:val="single"/>
          <w:lang w:val="es-AR"/>
        </w:rPr>
      </w:pPr>
    </w:p>
    <w:p w14:paraId="19C8A6DE"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ASAMBLEAS.</w:t>
      </w:r>
    </w:p>
    <w:p w14:paraId="41B65EDA" w14:textId="77777777" w:rsidR="00A94B1B" w:rsidRDefault="00A94B1B" w:rsidP="00A94B1B">
      <w:pPr>
        <w:spacing w:line="360" w:lineRule="auto"/>
        <w:jc w:val="center"/>
        <w:rPr>
          <w:rFonts w:ascii="Arial" w:hAnsi="Arial" w:cs="Arial"/>
          <w:b/>
          <w:i/>
          <w:sz w:val="22"/>
          <w:szCs w:val="22"/>
          <w:lang w:val="es-AR"/>
        </w:rPr>
      </w:pPr>
    </w:p>
    <w:p w14:paraId="0C61A09F"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lastRenderedPageBreak/>
        <w:t>UNDÉCIMA:</w:t>
      </w:r>
      <w:r>
        <w:rPr>
          <w:rFonts w:ascii="Arial" w:hAnsi="Arial" w:cs="Arial"/>
          <w:sz w:val="22"/>
          <w:szCs w:val="22"/>
          <w:lang w:val="es-AR"/>
        </w:rPr>
        <w:t xml:space="preserve"> Las asambleas ordinarias y/o extraordinarias serán convocadas por el Directorio o el Síndico en los casos previstos por ley, o cuando cualquiera de ellos lo juzgue necesario o cuando sean requeridas por accionistas que representen por lo menos el CINCO POR CIENTO (5%) del capital social. En este último supuesto la petición indicará los temas a tratar y el Directorio o el Síndico convocará la asamblea para que se celebre en el plazo máximo de CUARENTA (40) días de recibida la solicitud. Si el Directorio o el Síndico omite hacerlo, la convocatoria podrá hacerse por la autoridad de contralor o judicialmente. Las asambleas serán convocadas por publicaciones durante CINCO (5) días, con VEINTE (20) días de anticipación por lo menos y no más de CUARENTA Y CINCO (45) días en el Boletín Oficial y en UNO (1) de los diarios de mayor circulación general de la REPUBLICA ARGENTINA. Deberá mencionarse el carácter de la asamblea, fecha, hora y lugar de reunión y Orden del Día. La asamblea en segunda convocatoria por haber fracasado la primera deberá celebrarse dentro de los TREINTA (30) días siguientes, las publicaciones se efectuarán por TRES (3) días con OCHO (8) de anticipación como mínimo. Las asambleas ordinarias podrán ser convocadas simultáneamente en primera y segunda convocatoria, en cuyo caso, si la asamblea fuere citada para celebrarse el mismo día deberá serlo con un intervalo no inferior a una hora de la fijada para la primera. Las asambleas ordinarias y/o extraordinarias podrán celebrarse a distancia respetando los medios y condiciones necesarios para otorgar seguridad y transparencia al acto que fijen las reglamentaciones de la Comisión Nacional de Valores. La asamblea podrá celebrarse sin publicación de la convocatoria cuando se reúnan accionistas que representen la totalidad del capital social y las decisiones se adopten por unanimidad de las acciones con derecho a voto. El quórum y régimen de mayorías se rigen por los artículos 243 y 244 de la Ley de Sociedades Comerciales, según la clase de asamblea, convocatoria y materia de que se trate. La asamblea extraordinaria en segunda convocatoria se considerará constituida cualquiera sea el número de acciones presentes. </w:t>
      </w:r>
    </w:p>
    <w:p w14:paraId="185BBBEC" w14:textId="77777777" w:rsidR="00A94B1B" w:rsidRDefault="00A94B1B" w:rsidP="00A94B1B">
      <w:pPr>
        <w:spacing w:line="360" w:lineRule="auto"/>
        <w:jc w:val="both"/>
        <w:rPr>
          <w:rFonts w:ascii="Arial" w:hAnsi="Arial" w:cs="Arial"/>
          <w:sz w:val="22"/>
          <w:szCs w:val="22"/>
          <w:lang w:val="es-AR"/>
        </w:rPr>
      </w:pPr>
    </w:p>
    <w:p w14:paraId="1244FD24"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CAPÍTULO VI.</w:t>
      </w:r>
    </w:p>
    <w:p w14:paraId="7BB00E97" w14:textId="77777777" w:rsidR="00A94B1B" w:rsidRDefault="00A94B1B" w:rsidP="00A94B1B">
      <w:pPr>
        <w:spacing w:line="360" w:lineRule="auto"/>
        <w:jc w:val="center"/>
        <w:rPr>
          <w:rFonts w:ascii="Arial" w:hAnsi="Arial" w:cs="Arial"/>
          <w:b/>
          <w:sz w:val="22"/>
          <w:szCs w:val="22"/>
          <w:u w:val="single"/>
          <w:lang w:val="es-AR"/>
        </w:rPr>
      </w:pPr>
    </w:p>
    <w:p w14:paraId="2C2C9FC2"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COMITÉ DE AUDITORIA.</w:t>
      </w:r>
    </w:p>
    <w:p w14:paraId="46F99457" w14:textId="77777777" w:rsidR="00A94B1B" w:rsidRDefault="00A94B1B" w:rsidP="00A94B1B">
      <w:pPr>
        <w:spacing w:line="360" w:lineRule="auto"/>
        <w:jc w:val="center"/>
        <w:rPr>
          <w:rFonts w:ascii="Arial" w:hAnsi="Arial" w:cs="Arial"/>
          <w:b/>
          <w:sz w:val="22"/>
          <w:szCs w:val="22"/>
          <w:lang w:val="es-AR"/>
        </w:rPr>
      </w:pPr>
    </w:p>
    <w:p w14:paraId="6FBCB6A7"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DUODÉCIMA:</w:t>
      </w:r>
      <w:r>
        <w:rPr>
          <w:rFonts w:ascii="Arial" w:hAnsi="Arial" w:cs="Arial"/>
          <w:sz w:val="22"/>
          <w:szCs w:val="22"/>
          <w:lang w:val="es-AR"/>
        </w:rPr>
        <w:t xml:space="preserve"> El Comité de Auditoría ("Comité") previsto en la normativa aplicable estará integrado por tres directores titulares y tres suplentes que serán designados por el Directorio, de entre sus miembros, por mayoría simple de sus integrantes. Podrán integrar el Comité aquellos directores versados en temas financieros, contables o empresarios. La mayoría al menos, de sus miembros titulares y suplentes deberán ser independientes, de acuerdo con el criterio establecido para ello en las normas de la </w:t>
      </w:r>
      <w:r>
        <w:rPr>
          <w:rFonts w:ascii="Arial" w:hAnsi="Arial" w:cs="Arial"/>
          <w:sz w:val="22"/>
          <w:szCs w:val="22"/>
          <w:lang w:val="es-AR"/>
        </w:rPr>
        <w:lastRenderedPageBreak/>
        <w:t xml:space="preserve">Comisión Nacional de Valores. Los miembros suplentes independientes reemplazarán únicamente a los titulares independientes en caso de ausencia o impedimento de algún titular y en el orden de su elección. El Comité deberá dictar su propio reglamento interno el que deberá ser inscripto en el Registro Público de Comercio. El quórum, el régimen de mayorías, la periodicidad de sus reuniones y la duración de sus mandatos se regirán por lo establecido en el presente estatuto para el funcionamiento del directorio, ello sin perjuicio de lo previsto específicamente en esta cláusula para las reuniones a distancia. Las reuniones del Comité podrán ser realizadas válidamente en cualquier momento mediante videoconferencia o cualquier otro medio que permita transmisión simultánea de sonido, imágenes y palabras de los miembros del Comité asistentes. En este supuesto, a efectos de computar el quórum y la mayoría, se considerará que los miembros del Comité que participen de la reunión a distancia han estado físicamente presentes. Se dejará constancia en el acta de los nombres de los miembros del Comité que participen de la reunión a distancia. El representante de la Comisión Fiscalizadora deberá participar en las reuniones del Comité que se celebren a distancia y deberá, además, dejar constancia de la regularidad de las decisiones adoptadas y firmar el acta junto con los miembros presentes. En la medida que exista quórum, las resoluciones que se aprueben, escritas y firmadas por los miembros del Comité participantes serán adecuadas y válidas como si hubieran sido celebradas con la presencia física de sus miembros. Las actas serán confeccionadas y firmadas dentro de los cinco días de celebrada la reunión por los miembros presentes y el representante de la Comisión Fiscalizadora. Los restantes miembros del directorio y demás síndicos podrán tomar participación en las reuniones del Comité con voz, pero sin voto. El Comité, por resolución fundada, podrá excluirlos de sus reuniones. Serán facultades y deberes del Comité las previstas en la Ley 26.831, en la normativa aplicable de la Comisión Nacional de Valores y todas aquellas otras atribuciones y deberes que en el futuro se establezcan. El Comité deberá elaborar un plan de actuación anual para cada ejercicio del que deberá dar cuenta al Directorio y a la Comisión Fiscalizadora. Los demás directores, síndicos, gerentes y auditores externos estarán obligados, a requerimiento del Comité, a asistir a sus sesiones y a prestarle su colaboración y acceso a la información de que dispongan. El Comité podrá recabar el asesoramiento de letrados y otros profesionales independientes y contratar sus servicios por cuenta de la sociedad dentro del presupuesto que a tal efecto apruebe la asamblea de accionistas. Para ello, con carácter previo a la celebración de la asamblea anual que apruebe los estados contables, el Comité deberá estimar su presupuesto anual y entregarlo al directorio para que éste incluya el tema en el Orden del Día de dicha asamblea. La asamblea podrá delegar en el directorio la fijación del presupuesto del Comité. </w:t>
      </w:r>
    </w:p>
    <w:p w14:paraId="35B817D5" w14:textId="77777777" w:rsidR="00A94B1B" w:rsidRDefault="00A94B1B" w:rsidP="00A94B1B">
      <w:pPr>
        <w:spacing w:line="360" w:lineRule="auto"/>
        <w:jc w:val="both"/>
        <w:rPr>
          <w:rFonts w:ascii="Arial" w:hAnsi="Arial" w:cs="Arial"/>
          <w:sz w:val="22"/>
          <w:szCs w:val="22"/>
          <w:lang w:val="es-AR"/>
        </w:rPr>
      </w:pPr>
    </w:p>
    <w:p w14:paraId="72772742"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lastRenderedPageBreak/>
        <w:t>CAPITULO VII.</w:t>
      </w:r>
    </w:p>
    <w:p w14:paraId="602A09DB" w14:textId="77777777" w:rsidR="00A94B1B" w:rsidRDefault="00A94B1B" w:rsidP="00A94B1B">
      <w:pPr>
        <w:spacing w:line="360" w:lineRule="auto"/>
        <w:jc w:val="center"/>
        <w:rPr>
          <w:rFonts w:ascii="Arial" w:hAnsi="Arial" w:cs="Arial"/>
          <w:b/>
          <w:sz w:val="22"/>
          <w:szCs w:val="22"/>
          <w:u w:val="single"/>
          <w:lang w:val="es-AR"/>
        </w:rPr>
      </w:pPr>
    </w:p>
    <w:p w14:paraId="47C91291"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CIERRE DE EJERCICIO Y DISTRIBUCIÓN DE UTILIDADES.</w:t>
      </w:r>
    </w:p>
    <w:p w14:paraId="07DA0FC2" w14:textId="77777777" w:rsidR="00A94B1B" w:rsidRDefault="00A94B1B" w:rsidP="00A94B1B">
      <w:pPr>
        <w:spacing w:line="360" w:lineRule="auto"/>
        <w:jc w:val="center"/>
        <w:rPr>
          <w:rFonts w:ascii="Arial" w:hAnsi="Arial" w:cs="Arial"/>
          <w:b/>
          <w:sz w:val="22"/>
          <w:szCs w:val="22"/>
          <w:lang w:val="es-AR"/>
        </w:rPr>
      </w:pPr>
    </w:p>
    <w:p w14:paraId="539B391A" w14:textId="77777777"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DÉCIMO TERCERA:</w:t>
      </w:r>
      <w:r>
        <w:rPr>
          <w:rFonts w:ascii="Arial" w:hAnsi="Arial" w:cs="Arial"/>
          <w:sz w:val="22"/>
          <w:szCs w:val="22"/>
          <w:lang w:val="es-AR"/>
        </w:rPr>
        <w:t xml:space="preserve"> El ejercicio social cierra el 31 de diciembre de cada año. A su finalización se confeccionarán los estados contables de acuerdo a las disposiciones legales, reglamentarias y técnicas en vigencia. Las ganancias realizadas y líquidas se destinarán: a) el cinco por ciento hasta alcanzar el veinte por ciento del capital social, al fondo de reserva legal; b) a remuneración del directorio y la sindicatura en su caso; c) el saldo tendrá el destino que decida la asamblea. Los dividendos deben ser pagados en proporción a las respectivas integraciones y de acuerdo con las normas de la Comisión Nacional de Valores. </w:t>
      </w:r>
    </w:p>
    <w:p w14:paraId="04EA7A0F" w14:textId="77777777" w:rsidR="00A94B1B" w:rsidRDefault="00A94B1B" w:rsidP="00A94B1B">
      <w:pPr>
        <w:spacing w:line="360" w:lineRule="auto"/>
        <w:jc w:val="both"/>
        <w:rPr>
          <w:rFonts w:ascii="Arial" w:hAnsi="Arial" w:cs="Arial"/>
          <w:sz w:val="22"/>
          <w:szCs w:val="22"/>
          <w:lang w:val="es-AR"/>
        </w:rPr>
      </w:pPr>
    </w:p>
    <w:p w14:paraId="32593C3C"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CAPÍTULO VIII.</w:t>
      </w:r>
    </w:p>
    <w:p w14:paraId="246898C6" w14:textId="77777777" w:rsidR="00A94B1B" w:rsidRDefault="00A94B1B" w:rsidP="00A94B1B">
      <w:pPr>
        <w:spacing w:line="360" w:lineRule="auto"/>
        <w:jc w:val="center"/>
        <w:rPr>
          <w:rFonts w:ascii="Arial" w:hAnsi="Arial" w:cs="Arial"/>
          <w:b/>
          <w:sz w:val="22"/>
          <w:szCs w:val="22"/>
          <w:u w:val="single"/>
          <w:lang w:val="es-AR"/>
        </w:rPr>
      </w:pPr>
    </w:p>
    <w:p w14:paraId="5BB9A8A3"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TRIBUNAL ARBITRAL.</w:t>
      </w:r>
    </w:p>
    <w:p w14:paraId="7C8764B4" w14:textId="77777777" w:rsidR="00A94B1B" w:rsidRDefault="00A94B1B" w:rsidP="00A94B1B">
      <w:pPr>
        <w:spacing w:line="360" w:lineRule="auto"/>
        <w:jc w:val="center"/>
        <w:rPr>
          <w:rFonts w:ascii="Arial" w:hAnsi="Arial" w:cs="Arial"/>
          <w:b/>
          <w:sz w:val="22"/>
          <w:szCs w:val="22"/>
          <w:lang w:val="es-AR"/>
        </w:rPr>
      </w:pPr>
    </w:p>
    <w:p w14:paraId="712F5861" w14:textId="48C14BD6"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DÉCIMO CUARTA:</w:t>
      </w:r>
      <w:r>
        <w:rPr>
          <w:rFonts w:ascii="Arial" w:hAnsi="Arial" w:cs="Arial"/>
          <w:sz w:val="22"/>
          <w:szCs w:val="22"/>
          <w:lang w:val="es-AR"/>
        </w:rPr>
        <w:t xml:space="preserve"> A los fines de las disposiciones reglamentarias de las Normas de la Comisión Nacional de Valores, la sociedad se somete a la competencia del Tribunal de Arbitraje General de la Bolsa de Comercio de Buenos Aires de acuerdo con la reglamentación vigente para el arbitraje de derecho, para todas las acciones derivadas de la Ley 19.550 y sus modificaciones, incluso las demandas de impugnación de resoluciones de los órganos sociales y las acciones de responsabilidad contra sus integrantes o contra otros accionistas, así como las acciones de nulidad de cláusulas de este estatuto. </w:t>
      </w:r>
    </w:p>
    <w:p w14:paraId="3A872FFA" w14:textId="77777777" w:rsidR="00A94B1B" w:rsidRDefault="00A94B1B" w:rsidP="00A94B1B">
      <w:pPr>
        <w:spacing w:line="360" w:lineRule="auto"/>
        <w:jc w:val="both"/>
        <w:rPr>
          <w:rFonts w:ascii="Arial" w:hAnsi="Arial" w:cs="Arial"/>
          <w:sz w:val="22"/>
          <w:szCs w:val="22"/>
          <w:lang w:val="es-AR"/>
        </w:rPr>
      </w:pPr>
    </w:p>
    <w:p w14:paraId="0448216C"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CAPITULO IX.</w:t>
      </w:r>
    </w:p>
    <w:p w14:paraId="5E36E687" w14:textId="77777777" w:rsidR="00A94B1B" w:rsidRDefault="00A94B1B" w:rsidP="00A94B1B">
      <w:pPr>
        <w:spacing w:line="360" w:lineRule="auto"/>
        <w:jc w:val="center"/>
        <w:rPr>
          <w:rFonts w:ascii="Arial" w:hAnsi="Arial" w:cs="Arial"/>
          <w:b/>
          <w:sz w:val="22"/>
          <w:szCs w:val="22"/>
          <w:u w:val="single"/>
          <w:lang w:val="es-AR"/>
        </w:rPr>
      </w:pPr>
    </w:p>
    <w:p w14:paraId="7B36AF04" w14:textId="77777777" w:rsidR="00A94B1B" w:rsidRDefault="00A94B1B" w:rsidP="00A94B1B">
      <w:pPr>
        <w:spacing w:line="360" w:lineRule="auto"/>
        <w:jc w:val="center"/>
        <w:rPr>
          <w:rFonts w:ascii="Arial" w:hAnsi="Arial" w:cs="Arial"/>
          <w:b/>
          <w:sz w:val="22"/>
          <w:szCs w:val="22"/>
          <w:u w:val="single"/>
          <w:lang w:val="es-AR"/>
        </w:rPr>
      </w:pPr>
      <w:r>
        <w:rPr>
          <w:rFonts w:ascii="Arial" w:hAnsi="Arial" w:cs="Arial"/>
          <w:b/>
          <w:sz w:val="22"/>
          <w:szCs w:val="22"/>
          <w:u w:val="single"/>
          <w:lang w:val="es-AR"/>
        </w:rPr>
        <w:t>DISOLUCIÓN Y LIQUIDACIÓN.</w:t>
      </w:r>
    </w:p>
    <w:p w14:paraId="7BE534D2" w14:textId="77777777" w:rsidR="00A94B1B" w:rsidRDefault="00A94B1B" w:rsidP="00A94B1B">
      <w:pPr>
        <w:spacing w:line="360" w:lineRule="auto"/>
        <w:jc w:val="center"/>
        <w:rPr>
          <w:rFonts w:ascii="Arial" w:hAnsi="Arial" w:cs="Arial"/>
          <w:b/>
          <w:sz w:val="22"/>
          <w:szCs w:val="22"/>
          <w:u w:val="single"/>
          <w:lang w:val="es-AR"/>
        </w:rPr>
      </w:pPr>
    </w:p>
    <w:p w14:paraId="23284C9C" w14:textId="6FE43258" w:rsidR="00A94B1B" w:rsidRDefault="00A94B1B" w:rsidP="00A94B1B">
      <w:pPr>
        <w:spacing w:line="360" w:lineRule="auto"/>
        <w:jc w:val="both"/>
        <w:rPr>
          <w:rFonts w:ascii="Arial" w:hAnsi="Arial" w:cs="Arial"/>
          <w:sz w:val="22"/>
          <w:szCs w:val="22"/>
          <w:lang w:val="es-AR"/>
        </w:rPr>
      </w:pPr>
      <w:r>
        <w:rPr>
          <w:rFonts w:ascii="Arial" w:hAnsi="Arial" w:cs="Arial"/>
          <w:b/>
          <w:sz w:val="22"/>
          <w:szCs w:val="22"/>
          <w:lang w:val="es-AR"/>
        </w:rPr>
        <w:t>DÉCIMO QUINTA:</w:t>
      </w:r>
      <w:r>
        <w:rPr>
          <w:rFonts w:ascii="Arial" w:hAnsi="Arial" w:cs="Arial"/>
          <w:sz w:val="22"/>
          <w:szCs w:val="22"/>
          <w:lang w:val="es-AR"/>
        </w:rPr>
        <w:t xml:space="preserve"> Producida la disolución de la sociedad, su liquidación estará a cargo del directorio actuante en ese momento o de una comisión liquidadora que podrá designar la asamblea. En ambos casos se procederá bajo la vigilancia del síndico si hubiera sido designado. Cancelado el pasivo y reembolsado el capital, el remanente se distribuirá entre los accionistas a prorrata de sus respectivas integraciones.</w:t>
      </w:r>
    </w:p>
    <w:p w14:paraId="397D561D" w14:textId="77777777" w:rsidR="00A94B1B" w:rsidRDefault="00A94B1B" w:rsidP="00602A16">
      <w:pPr>
        <w:tabs>
          <w:tab w:val="left" w:pos="-720"/>
          <w:tab w:val="left" w:pos="0"/>
          <w:tab w:val="left" w:pos="487"/>
        </w:tabs>
        <w:spacing w:line="360" w:lineRule="auto"/>
        <w:jc w:val="both"/>
        <w:rPr>
          <w:rFonts w:ascii="Arial" w:hAnsi="Arial" w:cs="Arial"/>
          <w:bCs/>
          <w:sz w:val="22"/>
          <w:szCs w:val="22"/>
          <w:lang w:val="es-MX"/>
        </w:rPr>
      </w:pPr>
    </w:p>
    <w:p w14:paraId="157BDE1A" w14:textId="4303C12F" w:rsidR="00E06C39" w:rsidRPr="00EE7C8A" w:rsidRDefault="00274FF9" w:rsidP="00602A16">
      <w:pPr>
        <w:tabs>
          <w:tab w:val="left" w:pos="-720"/>
          <w:tab w:val="left" w:pos="0"/>
          <w:tab w:val="left" w:pos="487"/>
        </w:tabs>
        <w:spacing w:line="360" w:lineRule="auto"/>
        <w:jc w:val="both"/>
        <w:rPr>
          <w:rFonts w:ascii="Arial" w:hAnsi="Arial" w:cs="Arial"/>
          <w:sz w:val="22"/>
          <w:szCs w:val="22"/>
          <w:lang w:val="es-MX"/>
        </w:rPr>
      </w:pPr>
      <w:r>
        <w:rPr>
          <w:rFonts w:ascii="Arial" w:hAnsi="Arial" w:cs="Arial"/>
          <w:bCs/>
          <w:sz w:val="22"/>
          <w:szCs w:val="22"/>
          <w:lang w:val="es-MX"/>
        </w:rPr>
        <w:t xml:space="preserve">Acto seguido, el Sr. Presidente pone a consideración de los presentes el </w:t>
      </w:r>
      <w:r w:rsidR="00A94B1B">
        <w:rPr>
          <w:rFonts w:ascii="Arial" w:hAnsi="Arial" w:cs="Arial"/>
          <w:bCs/>
          <w:sz w:val="22"/>
          <w:szCs w:val="22"/>
          <w:lang w:val="es-MX"/>
        </w:rPr>
        <w:t xml:space="preserve">cuarto </w:t>
      </w:r>
      <w:r w:rsidR="005D243D">
        <w:rPr>
          <w:rFonts w:ascii="Arial" w:hAnsi="Arial" w:cs="Arial"/>
          <w:bCs/>
          <w:sz w:val="22"/>
          <w:szCs w:val="22"/>
          <w:lang w:val="es-MX"/>
        </w:rPr>
        <w:t xml:space="preserve">y último </w:t>
      </w:r>
      <w:r>
        <w:rPr>
          <w:rFonts w:ascii="Arial" w:hAnsi="Arial" w:cs="Arial"/>
          <w:bCs/>
          <w:sz w:val="22"/>
          <w:szCs w:val="22"/>
          <w:lang w:val="es-MX"/>
        </w:rPr>
        <w:t>punto de la Agenda.</w:t>
      </w:r>
      <w:r w:rsidRPr="00EE7C8A">
        <w:rPr>
          <w:rFonts w:ascii="Arial" w:hAnsi="Arial"/>
          <w:sz w:val="22"/>
          <w:lang w:val="es-MX"/>
        </w:rPr>
        <w:t xml:space="preserve"> </w:t>
      </w:r>
      <w:r w:rsidR="00E06C39" w:rsidRPr="00E06C39">
        <w:rPr>
          <w:rFonts w:ascii="Arial" w:hAnsi="Arial" w:cs="Arial"/>
          <w:b/>
          <w:sz w:val="22"/>
          <w:szCs w:val="22"/>
          <w:lang w:val="es-MX"/>
        </w:rPr>
        <w:t>(i</w:t>
      </w:r>
      <w:r w:rsidR="00A94B1B">
        <w:rPr>
          <w:rFonts w:ascii="Arial" w:hAnsi="Arial" w:cs="Arial"/>
          <w:b/>
          <w:sz w:val="22"/>
          <w:szCs w:val="22"/>
          <w:lang w:val="es-MX"/>
        </w:rPr>
        <w:t>v</w:t>
      </w:r>
      <w:r w:rsidR="00E06C39" w:rsidRPr="00E06C39">
        <w:rPr>
          <w:rFonts w:ascii="Arial" w:hAnsi="Arial" w:cs="Arial"/>
          <w:b/>
          <w:sz w:val="22"/>
          <w:szCs w:val="22"/>
          <w:lang w:val="es-MX"/>
        </w:rPr>
        <w:t xml:space="preserve">) </w:t>
      </w:r>
      <w:r w:rsidR="00E06C39" w:rsidRPr="00E06C39">
        <w:rPr>
          <w:rFonts w:ascii="Arial" w:hAnsi="Arial" w:cs="Arial"/>
          <w:b/>
          <w:caps/>
          <w:sz w:val="22"/>
          <w:szCs w:val="22"/>
          <w:u w:val="single"/>
        </w:rPr>
        <w:t xml:space="preserve">Autorizaciones para la realización de trámites </w:t>
      </w:r>
      <w:r w:rsidR="00E06C39" w:rsidRPr="00E06C39">
        <w:rPr>
          <w:rFonts w:ascii="Arial" w:hAnsi="Arial" w:cs="Arial"/>
          <w:b/>
          <w:caps/>
          <w:sz w:val="22"/>
          <w:szCs w:val="22"/>
          <w:u w:val="single"/>
        </w:rPr>
        <w:lastRenderedPageBreak/>
        <w:t>y presentaciones necesarias ante los organismos correspondientes</w:t>
      </w:r>
      <w:r w:rsidR="00E06C39" w:rsidRPr="00E06C39">
        <w:rPr>
          <w:rFonts w:ascii="Arial" w:hAnsi="Arial" w:cs="Arial"/>
          <w:b/>
          <w:caps/>
          <w:sz w:val="22"/>
          <w:szCs w:val="22"/>
        </w:rPr>
        <w:t xml:space="preserve">. </w:t>
      </w:r>
      <w:r w:rsidR="00E06C39" w:rsidRPr="00E06C39">
        <w:rPr>
          <w:rFonts w:ascii="Arial" w:hAnsi="Arial" w:cs="Arial"/>
          <w:sz w:val="22"/>
          <w:szCs w:val="22"/>
        </w:rPr>
        <w:t xml:space="preserve">El </w:t>
      </w:r>
      <w:r w:rsidR="009673F2">
        <w:rPr>
          <w:rFonts w:ascii="Arial" w:hAnsi="Arial" w:cs="Arial"/>
          <w:sz w:val="22"/>
          <w:szCs w:val="22"/>
        </w:rPr>
        <w:t>Sr.</w:t>
      </w:r>
      <w:r w:rsidR="00E06C39" w:rsidRPr="00E06C39">
        <w:rPr>
          <w:rFonts w:ascii="Arial" w:hAnsi="Arial" w:cs="Arial"/>
          <w:sz w:val="22"/>
          <w:szCs w:val="22"/>
        </w:rPr>
        <w:t xml:space="preserve"> Presidente propone autorizar a cada uno de los </w:t>
      </w:r>
      <w:r w:rsidR="009673F2">
        <w:rPr>
          <w:rFonts w:ascii="Arial" w:hAnsi="Arial" w:cs="Arial"/>
          <w:sz w:val="22"/>
          <w:szCs w:val="22"/>
        </w:rPr>
        <w:t>Sres.</w:t>
      </w:r>
      <w:r w:rsidR="00E06C39" w:rsidRPr="00E06C39">
        <w:rPr>
          <w:rFonts w:ascii="Arial" w:hAnsi="Arial" w:cs="Arial"/>
          <w:sz w:val="22"/>
          <w:szCs w:val="22"/>
        </w:rPr>
        <w:t xml:space="preserve"> </w:t>
      </w:r>
      <w:r w:rsidR="009673F2">
        <w:rPr>
          <w:rFonts w:ascii="Arial" w:hAnsi="Arial" w:cs="Arial"/>
          <w:sz w:val="22"/>
          <w:szCs w:val="22"/>
        </w:rPr>
        <w:t>D</w:t>
      </w:r>
      <w:r w:rsidR="00E06C39" w:rsidRPr="00E06C39">
        <w:rPr>
          <w:rFonts w:ascii="Arial" w:hAnsi="Arial" w:cs="Arial"/>
          <w:sz w:val="22"/>
          <w:szCs w:val="22"/>
        </w:rPr>
        <w:t xml:space="preserve">irectores y a Santiago María Ojea Quintana, Marina Martínez, Pablo Alejandro </w:t>
      </w:r>
      <w:proofErr w:type="spellStart"/>
      <w:r w:rsidR="00E06C39" w:rsidRPr="00E06C39">
        <w:rPr>
          <w:rFonts w:ascii="Arial" w:hAnsi="Arial" w:cs="Arial"/>
          <w:sz w:val="22"/>
          <w:szCs w:val="22"/>
        </w:rPr>
        <w:t>Purro</w:t>
      </w:r>
      <w:proofErr w:type="spellEnd"/>
      <w:r w:rsidR="00E06C39" w:rsidRPr="00E06C39">
        <w:rPr>
          <w:rFonts w:ascii="Arial" w:hAnsi="Arial" w:cs="Arial"/>
          <w:sz w:val="22"/>
          <w:szCs w:val="22"/>
        </w:rPr>
        <w:t>, Pablo Salas, Valeria Berrondo, Ismael Flores, Gonzalo de la Torre, Matias Ortega, Julio Martínez, Evangelina González Soldo, Aixa Verónica Sureda, Laura Huertas Buraglia, María Jimena Martínez Costa, Matías Galice, Magdalena Magnasco, Mikaela Badaracco, Constanza Lacomba, Dolores Acosta Miguens, Melina Goldberg</w:t>
      </w:r>
      <w:r w:rsidR="00C2070A">
        <w:rPr>
          <w:rFonts w:ascii="Arial" w:hAnsi="Arial" w:cs="Arial"/>
          <w:sz w:val="22"/>
          <w:szCs w:val="22"/>
        </w:rPr>
        <w:t>,</w:t>
      </w:r>
      <w:r w:rsidR="00E06C39" w:rsidRPr="00E06C39">
        <w:rPr>
          <w:rFonts w:ascii="Arial" w:hAnsi="Arial" w:cs="Arial"/>
          <w:sz w:val="22"/>
          <w:szCs w:val="22"/>
        </w:rPr>
        <w:t xml:space="preserve"> </w:t>
      </w:r>
      <w:bookmarkStart w:id="2" w:name="_Hlk11754063"/>
      <w:r w:rsidR="00E06C39" w:rsidRPr="00E06C39">
        <w:rPr>
          <w:rFonts w:ascii="Arial" w:hAnsi="Arial" w:cs="Arial"/>
          <w:sz w:val="22"/>
          <w:szCs w:val="22"/>
        </w:rPr>
        <w:t>Carolina Agazzi</w:t>
      </w:r>
      <w:r w:rsidR="00C2070A">
        <w:rPr>
          <w:rFonts w:ascii="Arial" w:hAnsi="Arial" w:cs="Arial"/>
          <w:sz w:val="22"/>
          <w:szCs w:val="22"/>
        </w:rPr>
        <w:t xml:space="preserve">, Luciana Belen Casagrande, María Catalina Iglesias </w:t>
      </w:r>
      <w:proofErr w:type="spellStart"/>
      <w:r w:rsidR="00C2070A">
        <w:rPr>
          <w:rFonts w:ascii="Arial" w:hAnsi="Arial" w:cs="Arial"/>
          <w:sz w:val="22"/>
          <w:szCs w:val="22"/>
        </w:rPr>
        <w:t>Paiz</w:t>
      </w:r>
      <w:proofErr w:type="spellEnd"/>
      <w:r w:rsidR="00C2070A">
        <w:rPr>
          <w:rFonts w:ascii="Arial" w:hAnsi="Arial" w:cs="Arial"/>
          <w:sz w:val="22"/>
          <w:szCs w:val="22"/>
        </w:rPr>
        <w:t xml:space="preserve">, Federico </w:t>
      </w:r>
      <w:proofErr w:type="spellStart"/>
      <w:r w:rsidR="00C2070A">
        <w:rPr>
          <w:rFonts w:ascii="Arial" w:hAnsi="Arial" w:cs="Arial"/>
          <w:sz w:val="22"/>
          <w:szCs w:val="22"/>
        </w:rPr>
        <w:t>Vieyra</w:t>
      </w:r>
      <w:proofErr w:type="spellEnd"/>
      <w:r w:rsidR="00C2070A">
        <w:rPr>
          <w:rFonts w:ascii="Arial" w:hAnsi="Arial" w:cs="Arial"/>
          <w:sz w:val="22"/>
          <w:szCs w:val="22"/>
        </w:rPr>
        <w:t xml:space="preserve">, Mariano </w:t>
      </w:r>
      <w:proofErr w:type="spellStart"/>
      <w:r w:rsidR="00C2070A">
        <w:rPr>
          <w:rFonts w:ascii="Arial" w:hAnsi="Arial" w:cs="Arial"/>
          <w:sz w:val="22"/>
          <w:szCs w:val="22"/>
        </w:rPr>
        <w:t>Miceli</w:t>
      </w:r>
      <w:proofErr w:type="spellEnd"/>
      <w:r w:rsidR="00C2070A">
        <w:rPr>
          <w:rFonts w:ascii="Arial" w:hAnsi="Arial" w:cs="Arial"/>
          <w:sz w:val="22"/>
          <w:szCs w:val="22"/>
        </w:rPr>
        <w:t xml:space="preserve">, Denise </w:t>
      </w:r>
      <w:proofErr w:type="spellStart"/>
      <w:r w:rsidR="00C2070A">
        <w:rPr>
          <w:rFonts w:ascii="Arial" w:hAnsi="Arial" w:cs="Arial"/>
          <w:sz w:val="22"/>
          <w:szCs w:val="22"/>
        </w:rPr>
        <w:t>Sandler</w:t>
      </w:r>
      <w:proofErr w:type="spellEnd"/>
      <w:r w:rsidR="00C2070A">
        <w:rPr>
          <w:rFonts w:ascii="Arial" w:hAnsi="Arial" w:cs="Arial"/>
          <w:sz w:val="22"/>
          <w:szCs w:val="22"/>
        </w:rPr>
        <w:t xml:space="preserve">, Oriana </w:t>
      </w:r>
      <w:proofErr w:type="spellStart"/>
      <w:r w:rsidR="00C2070A">
        <w:rPr>
          <w:rFonts w:ascii="Arial" w:hAnsi="Arial" w:cs="Arial"/>
          <w:sz w:val="22"/>
          <w:szCs w:val="22"/>
        </w:rPr>
        <w:t>Ekes</w:t>
      </w:r>
      <w:proofErr w:type="spellEnd"/>
      <w:r w:rsidR="00C2070A">
        <w:rPr>
          <w:rFonts w:ascii="Arial" w:hAnsi="Arial" w:cs="Arial"/>
          <w:sz w:val="22"/>
          <w:szCs w:val="22"/>
        </w:rPr>
        <w:t xml:space="preserve">, Gonzalo </w:t>
      </w:r>
      <w:proofErr w:type="spellStart"/>
      <w:r w:rsidR="00C2070A">
        <w:rPr>
          <w:rFonts w:ascii="Arial" w:hAnsi="Arial" w:cs="Arial"/>
          <w:sz w:val="22"/>
          <w:szCs w:val="22"/>
        </w:rPr>
        <w:t>D´Aversa</w:t>
      </w:r>
      <w:proofErr w:type="spellEnd"/>
      <w:r w:rsidR="00C2070A">
        <w:rPr>
          <w:rFonts w:ascii="Arial" w:hAnsi="Arial" w:cs="Arial"/>
          <w:sz w:val="22"/>
          <w:szCs w:val="22"/>
        </w:rPr>
        <w:t xml:space="preserve">, Cecilia Laura </w:t>
      </w:r>
      <w:proofErr w:type="spellStart"/>
      <w:r w:rsidR="00C2070A">
        <w:rPr>
          <w:rFonts w:ascii="Arial" w:hAnsi="Arial" w:cs="Arial"/>
          <w:sz w:val="22"/>
          <w:szCs w:val="22"/>
        </w:rPr>
        <w:t>Guntren</w:t>
      </w:r>
      <w:proofErr w:type="spellEnd"/>
      <w:r w:rsidR="00C2070A">
        <w:rPr>
          <w:rFonts w:ascii="Arial" w:hAnsi="Arial" w:cs="Arial"/>
          <w:sz w:val="22"/>
          <w:szCs w:val="22"/>
        </w:rPr>
        <w:t xml:space="preserve"> y Julieta </w:t>
      </w:r>
      <w:proofErr w:type="spellStart"/>
      <w:r w:rsidR="00C2070A">
        <w:rPr>
          <w:rFonts w:ascii="Arial" w:hAnsi="Arial" w:cs="Arial"/>
          <w:sz w:val="22"/>
          <w:szCs w:val="22"/>
        </w:rPr>
        <w:t>Haase</w:t>
      </w:r>
      <w:proofErr w:type="spellEnd"/>
      <w:r w:rsidR="00C2070A">
        <w:rPr>
          <w:rFonts w:ascii="Arial" w:hAnsi="Arial" w:cs="Arial"/>
          <w:sz w:val="22"/>
          <w:szCs w:val="22"/>
        </w:rPr>
        <w:t xml:space="preserve"> </w:t>
      </w:r>
      <w:bookmarkEnd w:id="2"/>
      <w:r w:rsidR="00E06C39" w:rsidRPr="00E06C39">
        <w:rPr>
          <w:rFonts w:ascii="Arial" w:hAnsi="Arial" w:cs="Arial"/>
          <w:sz w:val="22"/>
          <w:szCs w:val="22"/>
        </w:rPr>
        <w:t>para que cualquiera de ellos, en forma indistinta, suscriba en representación de la Sociedad toda la documentación que fuera necesaria para cumplimentar con las presentaciones impuestas por los organismos de contralor correspondientes, con facultades para realizar presentaciones ante la Comisión Nacional de Valores y/o Bolsa de Comercio de Buenos Aires y/o cualquier otro organismo, publicar edictos y avisos</w:t>
      </w:r>
      <w:r w:rsidR="005D243D">
        <w:rPr>
          <w:rFonts w:ascii="Arial" w:hAnsi="Arial" w:cs="Arial"/>
          <w:sz w:val="22"/>
          <w:szCs w:val="22"/>
        </w:rPr>
        <w:t xml:space="preserve"> </w:t>
      </w:r>
      <w:r w:rsidR="00E06C39" w:rsidRPr="00E06C39">
        <w:rPr>
          <w:rFonts w:ascii="Arial" w:hAnsi="Arial" w:cs="Arial"/>
          <w:sz w:val="22"/>
          <w:szCs w:val="22"/>
        </w:rPr>
        <w:t>en el Boletín Oficial</w:t>
      </w:r>
      <w:r w:rsidR="005D243D">
        <w:rPr>
          <w:rFonts w:ascii="Arial" w:hAnsi="Arial" w:cs="Arial"/>
          <w:sz w:val="22"/>
          <w:szCs w:val="22"/>
        </w:rPr>
        <w:t xml:space="preserve">, </w:t>
      </w:r>
      <w:r w:rsidR="00E06C39" w:rsidRPr="00E06C39">
        <w:rPr>
          <w:rFonts w:ascii="Arial" w:hAnsi="Arial" w:cs="Arial"/>
          <w:sz w:val="22"/>
          <w:szCs w:val="22"/>
        </w:rPr>
        <w:t>en el Diario de la Bolsa de Comercio de Buenos Aires y en cualquier otro diario que corresponda, firmar todo tipo de presentación</w:t>
      </w:r>
      <w:r w:rsidR="005D243D">
        <w:rPr>
          <w:rFonts w:ascii="Arial" w:hAnsi="Arial" w:cs="Arial"/>
          <w:sz w:val="22"/>
          <w:szCs w:val="22"/>
        </w:rPr>
        <w:t>,</w:t>
      </w:r>
      <w:r w:rsidR="00E06C39" w:rsidRPr="00E06C39">
        <w:rPr>
          <w:rFonts w:ascii="Arial" w:hAnsi="Arial" w:cs="Arial"/>
          <w:sz w:val="22"/>
          <w:szCs w:val="22"/>
        </w:rPr>
        <w:t xml:space="preserve"> formulario</w:t>
      </w:r>
      <w:r w:rsidR="005D243D">
        <w:rPr>
          <w:rFonts w:ascii="Arial" w:hAnsi="Arial" w:cs="Arial"/>
          <w:sz w:val="22"/>
          <w:szCs w:val="22"/>
        </w:rPr>
        <w:t xml:space="preserve"> y/o</w:t>
      </w:r>
      <w:r w:rsidR="00E06C39" w:rsidRPr="00E06C39">
        <w:rPr>
          <w:rFonts w:ascii="Arial" w:hAnsi="Arial" w:cs="Arial"/>
          <w:sz w:val="22"/>
          <w:szCs w:val="22"/>
        </w:rPr>
        <w:t xml:space="preserve"> declaraciones juradas, impulsar trámites y realizar cualquier otro trámite relacionado a la presente reunión de Directorio ante los organismos de control competentes. Puesta a votación la moción del </w:t>
      </w:r>
      <w:r w:rsidR="009673F2">
        <w:rPr>
          <w:rFonts w:ascii="Arial" w:hAnsi="Arial" w:cs="Arial"/>
          <w:sz w:val="22"/>
          <w:szCs w:val="22"/>
        </w:rPr>
        <w:t>Sr.</w:t>
      </w:r>
      <w:r w:rsidR="00E06C39" w:rsidRPr="00E06C39">
        <w:rPr>
          <w:rFonts w:ascii="Arial" w:hAnsi="Arial" w:cs="Arial"/>
          <w:sz w:val="22"/>
          <w:szCs w:val="22"/>
        </w:rPr>
        <w:t xml:space="preserve"> Presidente, luego de una breve deliberación, el Directorio resuelve su aprobación por unanimidad. </w:t>
      </w:r>
      <w:bookmarkEnd w:id="0"/>
      <w:bookmarkEnd w:id="1"/>
      <w:r w:rsidR="00E06C39" w:rsidRPr="00E06C39">
        <w:rPr>
          <w:rFonts w:ascii="Arial" w:hAnsi="Arial" w:cs="Arial"/>
          <w:sz w:val="22"/>
          <w:szCs w:val="22"/>
        </w:rPr>
        <w:t xml:space="preserve">Al no haber más asuntos que tratar, el </w:t>
      </w:r>
      <w:r w:rsidR="009673F2">
        <w:rPr>
          <w:rFonts w:ascii="Arial" w:hAnsi="Arial" w:cs="Arial"/>
          <w:sz w:val="22"/>
          <w:szCs w:val="22"/>
        </w:rPr>
        <w:t>Sr.</w:t>
      </w:r>
      <w:r w:rsidR="00E06C39" w:rsidRPr="00E06C39">
        <w:rPr>
          <w:rFonts w:ascii="Arial" w:hAnsi="Arial" w:cs="Arial"/>
          <w:sz w:val="22"/>
          <w:szCs w:val="22"/>
        </w:rPr>
        <w:t xml:space="preserve"> Presidente </w:t>
      </w:r>
      <w:r w:rsidR="00E06C39" w:rsidRPr="00E06C39">
        <w:rPr>
          <w:rFonts w:ascii="Arial" w:hAnsi="Arial" w:cs="Arial"/>
          <w:sz w:val="22"/>
          <w:szCs w:val="22"/>
          <w:lang w:val="es-MX"/>
        </w:rPr>
        <w:t xml:space="preserve">declara concluida la sesión siendo las </w:t>
      </w:r>
      <w:r w:rsidR="00CB0623">
        <w:rPr>
          <w:rFonts w:ascii="Arial" w:hAnsi="Arial" w:cs="Arial"/>
          <w:sz w:val="22"/>
          <w:szCs w:val="22"/>
        </w:rPr>
        <w:t>15:30</w:t>
      </w:r>
      <w:r w:rsidR="00E06C39">
        <w:rPr>
          <w:rFonts w:ascii="Arial" w:hAnsi="Arial" w:cs="Arial"/>
          <w:sz w:val="22"/>
          <w:szCs w:val="22"/>
        </w:rPr>
        <w:t xml:space="preserve"> </w:t>
      </w:r>
      <w:r w:rsidR="00E06C39" w:rsidRPr="00E06C39">
        <w:rPr>
          <w:rFonts w:ascii="Arial" w:hAnsi="Arial" w:cs="Arial"/>
          <w:sz w:val="22"/>
          <w:szCs w:val="22"/>
          <w:lang w:val="es-MX"/>
        </w:rPr>
        <w:t>horas</w:t>
      </w:r>
      <w:r w:rsidR="00E06C39" w:rsidRPr="00E06C39">
        <w:rPr>
          <w:rFonts w:ascii="Arial" w:hAnsi="Arial"/>
          <w:sz w:val="22"/>
          <w:lang w:val="es-MX"/>
        </w:rPr>
        <w:t>.</w:t>
      </w:r>
    </w:p>
    <w:p w14:paraId="4C044E48" w14:textId="77777777" w:rsidR="00E06C39" w:rsidRDefault="00E06C39" w:rsidP="00E06C39">
      <w:pPr>
        <w:pStyle w:val="Sangradetextonormal"/>
        <w:spacing w:line="360" w:lineRule="auto"/>
        <w:ind w:left="0"/>
        <w:jc w:val="both"/>
        <w:rPr>
          <w:rFonts w:ascii="Arial" w:hAnsi="Arial" w:cs="Arial"/>
          <w:sz w:val="22"/>
          <w:szCs w:val="22"/>
          <w:lang w:val="es-MX"/>
        </w:rPr>
      </w:pPr>
    </w:p>
    <w:p w14:paraId="7E574270" w14:textId="77777777" w:rsidR="005D243D" w:rsidRDefault="005D243D" w:rsidP="00E06C39">
      <w:pPr>
        <w:pStyle w:val="Sangradetextonormal"/>
        <w:spacing w:line="360" w:lineRule="auto"/>
        <w:ind w:left="0"/>
        <w:jc w:val="both"/>
        <w:rPr>
          <w:rFonts w:ascii="Arial" w:hAnsi="Arial" w:cs="Arial"/>
          <w:sz w:val="22"/>
          <w:szCs w:val="22"/>
          <w:lang w:val="es-MX"/>
        </w:rPr>
      </w:pPr>
    </w:p>
    <w:p w14:paraId="749CBE9E" w14:textId="331F30CA" w:rsidR="005D243D" w:rsidRDefault="005D243D" w:rsidP="00902F6A">
      <w:pPr>
        <w:pStyle w:val="Sangradetextonormal"/>
        <w:spacing w:line="360" w:lineRule="auto"/>
        <w:ind w:left="0"/>
        <w:jc w:val="center"/>
        <w:rPr>
          <w:rFonts w:ascii="Arial" w:hAnsi="Arial" w:cs="Arial"/>
          <w:sz w:val="22"/>
          <w:szCs w:val="22"/>
          <w:lang w:val="es-MX"/>
        </w:rPr>
      </w:pPr>
      <w:r>
        <w:rPr>
          <w:rFonts w:ascii="Arial" w:hAnsi="Arial" w:cs="Arial"/>
          <w:sz w:val="22"/>
          <w:szCs w:val="22"/>
          <w:lang w:val="es-MX"/>
        </w:rPr>
        <w:t xml:space="preserve">Oliver </w:t>
      </w:r>
      <w:proofErr w:type="spellStart"/>
      <w:r>
        <w:rPr>
          <w:rFonts w:ascii="Arial" w:hAnsi="Arial" w:cs="Arial"/>
          <w:sz w:val="22"/>
          <w:szCs w:val="22"/>
          <w:lang w:val="es-MX"/>
        </w:rPr>
        <w:t>Osswald</w:t>
      </w:r>
      <w:proofErr w:type="spellEnd"/>
      <w:r>
        <w:rPr>
          <w:rFonts w:ascii="Arial" w:hAnsi="Arial" w:cs="Arial"/>
          <w:sz w:val="22"/>
          <w:szCs w:val="22"/>
          <w:lang w:val="es-MX"/>
        </w:rPr>
        <w:tab/>
      </w:r>
      <w:r>
        <w:rPr>
          <w:rFonts w:ascii="Arial" w:hAnsi="Arial" w:cs="Arial"/>
          <w:sz w:val="22"/>
          <w:szCs w:val="22"/>
          <w:lang w:val="es-MX"/>
        </w:rPr>
        <w:tab/>
        <w:t>Marcelo Arrieta</w:t>
      </w:r>
      <w:r>
        <w:rPr>
          <w:rFonts w:ascii="Arial" w:hAnsi="Arial" w:cs="Arial"/>
          <w:sz w:val="22"/>
          <w:szCs w:val="22"/>
          <w:lang w:val="es-MX"/>
        </w:rPr>
        <w:tab/>
      </w:r>
      <w:r>
        <w:rPr>
          <w:rFonts w:ascii="Arial" w:hAnsi="Arial" w:cs="Arial"/>
          <w:sz w:val="22"/>
          <w:szCs w:val="22"/>
          <w:lang w:val="es-MX"/>
        </w:rPr>
        <w:tab/>
        <w:t>Carlos Espina Iglesias</w:t>
      </w:r>
    </w:p>
    <w:p w14:paraId="4E9F8E2C" w14:textId="77777777" w:rsidR="005D243D" w:rsidRDefault="005D243D" w:rsidP="00902F6A">
      <w:pPr>
        <w:pStyle w:val="Sangradetextonormal"/>
        <w:spacing w:line="360" w:lineRule="auto"/>
        <w:ind w:left="0"/>
        <w:jc w:val="center"/>
        <w:rPr>
          <w:rFonts w:ascii="Arial" w:hAnsi="Arial" w:cs="Arial"/>
          <w:sz w:val="22"/>
          <w:szCs w:val="22"/>
          <w:lang w:val="es-MX"/>
        </w:rPr>
      </w:pPr>
      <w:bookmarkStart w:id="3" w:name="_GoBack"/>
      <w:bookmarkEnd w:id="3"/>
    </w:p>
    <w:p w14:paraId="0217036A" w14:textId="77777777" w:rsidR="00CB0623" w:rsidRDefault="00CB0623" w:rsidP="00902F6A">
      <w:pPr>
        <w:pStyle w:val="Sangradetextonormal"/>
        <w:spacing w:line="360" w:lineRule="auto"/>
        <w:ind w:left="0"/>
        <w:jc w:val="center"/>
        <w:rPr>
          <w:rFonts w:ascii="Arial" w:hAnsi="Arial" w:cs="Arial"/>
          <w:sz w:val="22"/>
          <w:szCs w:val="22"/>
          <w:lang w:val="es-MX"/>
        </w:rPr>
      </w:pPr>
    </w:p>
    <w:p w14:paraId="3A050CA1" w14:textId="77777777" w:rsidR="00FE7AD0" w:rsidRDefault="00FE7AD0" w:rsidP="00902F6A">
      <w:pPr>
        <w:pStyle w:val="Sangradetextonormal"/>
        <w:spacing w:line="360" w:lineRule="auto"/>
        <w:ind w:left="0"/>
        <w:jc w:val="center"/>
        <w:rPr>
          <w:rFonts w:ascii="Arial" w:hAnsi="Arial" w:cs="Arial"/>
          <w:sz w:val="22"/>
          <w:szCs w:val="22"/>
          <w:lang w:val="es-MX"/>
        </w:rPr>
      </w:pPr>
    </w:p>
    <w:p w14:paraId="5A1E1130" w14:textId="77777777" w:rsidR="005D243D" w:rsidRDefault="005D243D" w:rsidP="00902F6A">
      <w:pPr>
        <w:pStyle w:val="Sangradetextonormal"/>
        <w:spacing w:line="360" w:lineRule="auto"/>
        <w:ind w:left="0"/>
        <w:jc w:val="center"/>
        <w:rPr>
          <w:rFonts w:ascii="Arial" w:hAnsi="Arial" w:cs="Arial"/>
          <w:sz w:val="22"/>
          <w:szCs w:val="22"/>
          <w:lang w:val="es-MX"/>
        </w:rPr>
      </w:pPr>
    </w:p>
    <w:p w14:paraId="4E864B28" w14:textId="3B5B5628" w:rsidR="005D243D" w:rsidRDefault="00FE7AD0" w:rsidP="00902F6A">
      <w:pPr>
        <w:pStyle w:val="Sangradetextonormal"/>
        <w:spacing w:line="360" w:lineRule="auto"/>
        <w:ind w:left="0"/>
        <w:jc w:val="center"/>
        <w:rPr>
          <w:rFonts w:ascii="Arial" w:hAnsi="Arial" w:cs="Arial"/>
          <w:sz w:val="22"/>
          <w:szCs w:val="22"/>
          <w:lang w:val="es-MX"/>
        </w:rPr>
      </w:pPr>
      <w:r>
        <w:rPr>
          <w:rFonts w:ascii="Arial" w:hAnsi="Arial" w:cs="Arial"/>
          <w:sz w:val="22"/>
          <w:szCs w:val="22"/>
          <w:lang w:val="es-MX"/>
        </w:rPr>
        <w:t xml:space="preserve">Patricio </w:t>
      </w:r>
      <w:proofErr w:type="spellStart"/>
      <w:r>
        <w:rPr>
          <w:rFonts w:ascii="Arial" w:hAnsi="Arial" w:cs="Arial"/>
          <w:sz w:val="22"/>
          <w:szCs w:val="22"/>
          <w:lang w:val="es-MX"/>
        </w:rPr>
        <w:t>Rotman</w:t>
      </w:r>
      <w:proofErr w:type="spellEnd"/>
      <w:r>
        <w:rPr>
          <w:rFonts w:ascii="Arial" w:hAnsi="Arial" w:cs="Arial"/>
          <w:sz w:val="22"/>
          <w:szCs w:val="22"/>
          <w:lang w:val="es-MX"/>
        </w:rPr>
        <w:tab/>
      </w:r>
      <w:r>
        <w:rPr>
          <w:rFonts w:ascii="Arial" w:hAnsi="Arial" w:cs="Arial"/>
          <w:sz w:val="22"/>
          <w:szCs w:val="22"/>
          <w:lang w:val="es-MX"/>
        </w:rPr>
        <w:tab/>
      </w:r>
      <w:proofErr w:type="spellStart"/>
      <w:r>
        <w:rPr>
          <w:rFonts w:ascii="Arial" w:hAnsi="Arial" w:cs="Arial"/>
          <w:sz w:val="22"/>
          <w:szCs w:val="22"/>
          <w:lang w:val="es-MX"/>
        </w:rPr>
        <w:t>É</w:t>
      </w:r>
      <w:r w:rsidR="005D243D">
        <w:rPr>
          <w:rFonts w:ascii="Arial" w:hAnsi="Arial" w:cs="Arial"/>
          <w:sz w:val="22"/>
          <w:szCs w:val="22"/>
          <w:lang w:val="es-MX"/>
        </w:rPr>
        <w:t>rcole</w:t>
      </w:r>
      <w:proofErr w:type="spellEnd"/>
      <w:r w:rsidR="005D243D">
        <w:rPr>
          <w:rFonts w:ascii="Arial" w:hAnsi="Arial" w:cs="Arial"/>
          <w:sz w:val="22"/>
          <w:szCs w:val="22"/>
          <w:lang w:val="es-MX"/>
        </w:rPr>
        <w:t xml:space="preserve"> </w:t>
      </w:r>
      <w:proofErr w:type="spellStart"/>
      <w:r w:rsidR="005D243D">
        <w:rPr>
          <w:rFonts w:ascii="Arial" w:hAnsi="Arial" w:cs="Arial"/>
          <w:sz w:val="22"/>
          <w:szCs w:val="22"/>
          <w:lang w:val="es-MX"/>
        </w:rPr>
        <w:t>Felippa</w:t>
      </w:r>
      <w:proofErr w:type="spellEnd"/>
      <w:r w:rsidR="005D243D">
        <w:rPr>
          <w:rFonts w:ascii="Arial" w:hAnsi="Arial" w:cs="Arial"/>
          <w:sz w:val="22"/>
          <w:szCs w:val="22"/>
          <w:lang w:val="es-MX"/>
        </w:rPr>
        <w:tab/>
      </w:r>
      <w:r w:rsidR="005D243D">
        <w:rPr>
          <w:rFonts w:ascii="Arial" w:hAnsi="Arial" w:cs="Arial"/>
          <w:sz w:val="22"/>
          <w:szCs w:val="22"/>
          <w:lang w:val="es-MX"/>
        </w:rPr>
        <w:tab/>
      </w:r>
      <w:r w:rsidR="005D243D">
        <w:rPr>
          <w:rFonts w:ascii="Arial" w:hAnsi="Arial" w:cs="Arial"/>
          <w:sz w:val="22"/>
          <w:szCs w:val="22"/>
          <w:lang w:val="es-MX"/>
        </w:rPr>
        <w:tab/>
        <w:t xml:space="preserve">José </w:t>
      </w:r>
      <w:proofErr w:type="spellStart"/>
      <w:r w:rsidR="005D243D">
        <w:rPr>
          <w:rFonts w:ascii="Arial" w:hAnsi="Arial" w:cs="Arial"/>
          <w:sz w:val="22"/>
          <w:szCs w:val="22"/>
          <w:lang w:val="es-MX"/>
        </w:rPr>
        <w:t>Piccinna</w:t>
      </w:r>
      <w:proofErr w:type="spellEnd"/>
    </w:p>
    <w:p w14:paraId="020C6412" w14:textId="77777777" w:rsidR="005D243D" w:rsidRDefault="005D243D" w:rsidP="00902F6A">
      <w:pPr>
        <w:pStyle w:val="Sangradetextonormal"/>
        <w:spacing w:line="360" w:lineRule="auto"/>
        <w:ind w:left="0"/>
        <w:jc w:val="center"/>
        <w:rPr>
          <w:rFonts w:ascii="Arial" w:hAnsi="Arial" w:cs="Arial"/>
          <w:sz w:val="22"/>
          <w:szCs w:val="22"/>
          <w:lang w:val="es-MX"/>
        </w:rPr>
      </w:pPr>
    </w:p>
    <w:p w14:paraId="47EABD18" w14:textId="77777777" w:rsidR="00CB0623" w:rsidRDefault="00CB0623" w:rsidP="00902F6A">
      <w:pPr>
        <w:pStyle w:val="Sangradetextonormal"/>
        <w:spacing w:line="360" w:lineRule="auto"/>
        <w:ind w:left="0"/>
        <w:jc w:val="center"/>
        <w:rPr>
          <w:rFonts w:ascii="Arial" w:hAnsi="Arial" w:cs="Arial"/>
          <w:sz w:val="22"/>
          <w:szCs w:val="22"/>
          <w:lang w:val="es-MX"/>
        </w:rPr>
      </w:pPr>
    </w:p>
    <w:p w14:paraId="6EC25CFE" w14:textId="77777777" w:rsidR="00FE7AD0" w:rsidRDefault="00FE7AD0" w:rsidP="00902F6A">
      <w:pPr>
        <w:pStyle w:val="Sangradetextonormal"/>
        <w:spacing w:line="360" w:lineRule="auto"/>
        <w:ind w:left="0"/>
        <w:jc w:val="center"/>
        <w:rPr>
          <w:rFonts w:ascii="Arial" w:hAnsi="Arial" w:cs="Arial"/>
          <w:sz w:val="22"/>
          <w:szCs w:val="22"/>
          <w:lang w:val="es-MX"/>
        </w:rPr>
      </w:pPr>
    </w:p>
    <w:p w14:paraId="5AAFE949" w14:textId="77777777" w:rsidR="005D243D" w:rsidRDefault="005D243D" w:rsidP="00902F6A">
      <w:pPr>
        <w:pStyle w:val="Sangradetextonormal"/>
        <w:spacing w:line="360" w:lineRule="auto"/>
        <w:ind w:left="0"/>
        <w:jc w:val="center"/>
        <w:rPr>
          <w:rFonts w:ascii="Arial" w:hAnsi="Arial" w:cs="Arial"/>
          <w:sz w:val="22"/>
          <w:szCs w:val="22"/>
          <w:lang w:val="es-MX"/>
        </w:rPr>
      </w:pPr>
    </w:p>
    <w:p w14:paraId="1740D2A8" w14:textId="29957461" w:rsidR="005D243D" w:rsidRDefault="005D243D" w:rsidP="00902F6A">
      <w:pPr>
        <w:pStyle w:val="Sangradetextonormal"/>
        <w:spacing w:line="360" w:lineRule="auto"/>
        <w:ind w:left="0"/>
        <w:jc w:val="center"/>
        <w:rPr>
          <w:rFonts w:ascii="Arial" w:hAnsi="Arial" w:cs="Arial"/>
          <w:sz w:val="22"/>
          <w:szCs w:val="22"/>
          <w:lang w:val="es-MX"/>
        </w:rPr>
      </w:pPr>
      <w:r>
        <w:rPr>
          <w:rFonts w:ascii="Arial" w:hAnsi="Arial" w:cs="Arial"/>
          <w:sz w:val="22"/>
          <w:szCs w:val="22"/>
          <w:lang w:val="es-MX"/>
        </w:rPr>
        <w:lastRenderedPageBreak/>
        <w:t>Raúl Chaparro</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t>Osvaldo Weiss</w:t>
      </w:r>
    </w:p>
    <w:p w14:paraId="5C3BFAE5" w14:textId="77777777" w:rsidR="007053AA" w:rsidRDefault="007053AA"/>
    <w:sectPr w:rsidR="007053AA" w:rsidSect="000B3307">
      <w:headerReference w:type="default" r:id="rId9"/>
      <w:footerReference w:type="default" r:id="rId10"/>
      <w:pgSz w:w="11907" w:h="16839" w:code="9"/>
      <w:pgMar w:top="1247" w:right="1701" w:bottom="1134" w:left="155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1E0D6" w14:textId="77777777" w:rsidR="000C433E" w:rsidRDefault="000C433E" w:rsidP="00274FF9">
      <w:r>
        <w:separator/>
      </w:r>
    </w:p>
  </w:endnote>
  <w:endnote w:type="continuationSeparator" w:id="0">
    <w:p w14:paraId="1803B58F" w14:textId="77777777" w:rsidR="000C433E" w:rsidRDefault="000C433E" w:rsidP="00274FF9">
      <w:r>
        <w:continuationSeparator/>
      </w:r>
    </w:p>
  </w:endnote>
  <w:endnote w:type="continuationNotice" w:id="1">
    <w:p w14:paraId="2CBF0112" w14:textId="77777777" w:rsidR="000C433E" w:rsidRDefault="000C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5D9A0" w14:textId="77777777" w:rsidR="00EC1175" w:rsidRDefault="00EC11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23B7B" w14:textId="77777777" w:rsidR="000C433E" w:rsidRDefault="000C433E" w:rsidP="00274FF9">
      <w:r>
        <w:separator/>
      </w:r>
    </w:p>
  </w:footnote>
  <w:footnote w:type="continuationSeparator" w:id="0">
    <w:p w14:paraId="620DCD40" w14:textId="77777777" w:rsidR="000C433E" w:rsidRDefault="000C433E" w:rsidP="00274FF9">
      <w:r>
        <w:continuationSeparator/>
      </w:r>
    </w:p>
  </w:footnote>
  <w:footnote w:type="continuationNotice" w:id="1">
    <w:p w14:paraId="698ACABD" w14:textId="77777777" w:rsidR="000C433E" w:rsidRDefault="000C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4DFA7" w14:textId="77777777" w:rsidR="00EC1175" w:rsidRDefault="00EC11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097"/>
    <w:multiLevelType w:val="hybridMultilevel"/>
    <w:tmpl w:val="ED16140E"/>
    <w:lvl w:ilvl="0" w:tplc="983A5324">
      <w:start w:val="1"/>
      <w:numFmt w:val="low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39"/>
    <w:rsid w:val="0005078B"/>
    <w:rsid w:val="0008212F"/>
    <w:rsid w:val="0009055C"/>
    <w:rsid w:val="00093128"/>
    <w:rsid w:val="0009665A"/>
    <w:rsid w:val="000B2ACC"/>
    <w:rsid w:val="000B3307"/>
    <w:rsid w:val="000B613C"/>
    <w:rsid w:val="000C433E"/>
    <w:rsid w:val="000D5631"/>
    <w:rsid w:val="00101BE9"/>
    <w:rsid w:val="00125CAB"/>
    <w:rsid w:val="00144C1F"/>
    <w:rsid w:val="00166447"/>
    <w:rsid w:val="001704C6"/>
    <w:rsid w:val="00176825"/>
    <w:rsid w:val="00187A86"/>
    <w:rsid w:val="001C36B6"/>
    <w:rsid w:val="00274FF9"/>
    <w:rsid w:val="00281416"/>
    <w:rsid w:val="002A0326"/>
    <w:rsid w:val="002B36DB"/>
    <w:rsid w:val="00301A30"/>
    <w:rsid w:val="003217A7"/>
    <w:rsid w:val="0036729C"/>
    <w:rsid w:val="00381AC7"/>
    <w:rsid w:val="003B38E2"/>
    <w:rsid w:val="003B681F"/>
    <w:rsid w:val="003D5F52"/>
    <w:rsid w:val="0047143B"/>
    <w:rsid w:val="004A2039"/>
    <w:rsid w:val="004C1ED5"/>
    <w:rsid w:val="00515236"/>
    <w:rsid w:val="00546A6D"/>
    <w:rsid w:val="00565F3B"/>
    <w:rsid w:val="00571647"/>
    <w:rsid w:val="005807E9"/>
    <w:rsid w:val="005B6A6D"/>
    <w:rsid w:val="005D243D"/>
    <w:rsid w:val="00602A16"/>
    <w:rsid w:val="00635865"/>
    <w:rsid w:val="007053AA"/>
    <w:rsid w:val="00722637"/>
    <w:rsid w:val="00762DC2"/>
    <w:rsid w:val="007A306E"/>
    <w:rsid w:val="00841BF9"/>
    <w:rsid w:val="008628FC"/>
    <w:rsid w:val="008A482A"/>
    <w:rsid w:val="008B140D"/>
    <w:rsid w:val="008D23A7"/>
    <w:rsid w:val="008D4C41"/>
    <w:rsid w:val="00902F6A"/>
    <w:rsid w:val="009673F2"/>
    <w:rsid w:val="00997DFE"/>
    <w:rsid w:val="009F3DC9"/>
    <w:rsid w:val="00A01856"/>
    <w:rsid w:val="00A232DA"/>
    <w:rsid w:val="00A67DAE"/>
    <w:rsid w:val="00A94B1B"/>
    <w:rsid w:val="00B5588A"/>
    <w:rsid w:val="00BF10BC"/>
    <w:rsid w:val="00C138D2"/>
    <w:rsid w:val="00C13F9B"/>
    <w:rsid w:val="00C2070A"/>
    <w:rsid w:val="00C922CE"/>
    <w:rsid w:val="00CB0623"/>
    <w:rsid w:val="00D27B11"/>
    <w:rsid w:val="00D371A1"/>
    <w:rsid w:val="00D52648"/>
    <w:rsid w:val="00D67A6A"/>
    <w:rsid w:val="00D773D3"/>
    <w:rsid w:val="00D85CC2"/>
    <w:rsid w:val="00D970B5"/>
    <w:rsid w:val="00DE6C41"/>
    <w:rsid w:val="00DF41EE"/>
    <w:rsid w:val="00E06C39"/>
    <w:rsid w:val="00E61498"/>
    <w:rsid w:val="00E70041"/>
    <w:rsid w:val="00E83D10"/>
    <w:rsid w:val="00EC1175"/>
    <w:rsid w:val="00EE7C8A"/>
    <w:rsid w:val="00F1666A"/>
    <w:rsid w:val="00F430E1"/>
    <w:rsid w:val="00FD6864"/>
    <w:rsid w:val="00FE7A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C39"/>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unhideWhenUsed/>
    <w:rsid w:val="00E06C39"/>
    <w:pPr>
      <w:spacing w:after="120"/>
      <w:ind w:left="283"/>
    </w:pPr>
  </w:style>
  <w:style w:type="character" w:customStyle="1" w:styleId="SangradetextonormalCar">
    <w:name w:val="Sangría de texto normal Car"/>
    <w:basedOn w:val="Fuentedeprrafopredeter"/>
    <w:link w:val="Sangradetextonormal"/>
    <w:uiPriority w:val="99"/>
    <w:rsid w:val="00E06C39"/>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E06C39"/>
    <w:pPr>
      <w:ind w:left="720"/>
      <w:contextualSpacing/>
    </w:pPr>
  </w:style>
  <w:style w:type="paragraph" w:styleId="Textonotapie">
    <w:name w:val="footnote text"/>
    <w:basedOn w:val="Normal"/>
    <w:link w:val="TextonotapieCar"/>
    <w:uiPriority w:val="99"/>
    <w:semiHidden/>
    <w:unhideWhenUsed/>
    <w:rsid w:val="00274FF9"/>
  </w:style>
  <w:style w:type="character" w:customStyle="1" w:styleId="TextonotapieCar">
    <w:name w:val="Texto nota pie Car"/>
    <w:basedOn w:val="Fuentedeprrafopredeter"/>
    <w:link w:val="Textonotapie"/>
    <w:uiPriority w:val="99"/>
    <w:semiHidden/>
    <w:rsid w:val="00274FF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74FF9"/>
    <w:rPr>
      <w:vertAlign w:val="superscript"/>
    </w:rPr>
  </w:style>
  <w:style w:type="paragraph" w:styleId="Textodeglobo">
    <w:name w:val="Balloon Text"/>
    <w:basedOn w:val="Normal"/>
    <w:link w:val="TextodegloboCar"/>
    <w:uiPriority w:val="99"/>
    <w:semiHidden/>
    <w:unhideWhenUsed/>
    <w:rsid w:val="003D5F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F5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C1175"/>
    <w:pPr>
      <w:tabs>
        <w:tab w:val="center" w:pos="4419"/>
        <w:tab w:val="right" w:pos="8838"/>
      </w:tabs>
    </w:pPr>
  </w:style>
  <w:style w:type="character" w:customStyle="1" w:styleId="EncabezadoCar">
    <w:name w:val="Encabezado Car"/>
    <w:basedOn w:val="Fuentedeprrafopredeter"/>
    <w:link w:val="Encabezado"/>
    <w:uiPriority w:val="99"/>
    <w:rsid w:val="00EC117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C1175"/>
    <w:pPr>
      <w:tabs>
        <w:tab w:val="center" w:pos="4419"/>
        <w:tab w:val="right" w:pos="8838"/>
      </w:tabs>
    </w:pPr>
  </w:style>
  <w:style w:type="character" w:customStyle="1" w:styleId="PiedepginaCar">
    <w:name w:val="Pie de página Car"/>
    <w:basedOn w:val="Fuentedeprrafopredeter"/>
    <w:link w:val="Piedepgina"/>
    <w:uiPriority w:val="99"/>
    <w:rsid w:val="00EC1175"/>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C39"/>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unhideWhenUsed/>
    <w:rsid w:val="00E06C39"/>
    <w:pPr>
      <w:spacing w:after="120"/>
      <w:ind w:left="283"/>
    </w:pPr>
  </w:style>
  <w:style w:type="character" w:customStyle="1" w:styleId="SangradetextonormalCar">
    <w:name w:val="Sangría de texto normal Car"/>
    <w:basedOn w:val="Fuentedeprrafopredeter"/>
    <w:link w:val="Sangradetextonormal"/>
    <w:uiPriority w:val="99"/>
    <w:rsid w:val="00E06C39"/>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E06C39"/>
    <w:pPr>
      <w:ind w:left="720"/>
      <w:contextualSpacing/>
    </w:pPr>
  </w:style>
  <w:style w:type="paragraph" w:styleId="Textonotapie">
    <w:name w:val="footnote text"/>
    <w:basedOn w:val="Normal"/>
    <w:link w:val="TextonotapieCar"/>
    <w:uiPriority w:val="99"/>
    <w:semiHidden/>
    <w:unhideWhenUsed/>
    <w:rsid w:val="00274FF9"/>
  </w:style>
  <w:style w:type="character" w:customStyle="1" w:styleId="TextonotapieCar">
    <w:name w:val="Texto nota pie Car"/>
    <w:basedOn w:val="Fuentedeprrafopredeter"/>
    <w:link w:val="Textonotapie"/>
    <w:uiPriority w:val="99"/>
    <w:semiHidden/>
    <w:rsid w:val="00274FF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74FF9"/>
    <w:rPr>
      <w:vertAlign w:val="superscript"/>
    </w:rPr>
  </w:style>
  <w:style w:type="paragraph" w:styleId="Textodeglobo">
    <w:name w:val="Balloon Text"/>
    <w:basedOn w:val="Normal"/>
    <w:link w:val="TextodegloboCar"/>
    <w:uiPriority w:val="99"/>
    <w:semiHidden/>
    <w:unhideWhenUsed/>
    <w:rsid w:val="003D5F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F5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C1175"/>
    <w:pPr>
      <w:tabs>
        <w:tab w:val="center" w:pos="4419"/>
        <w:tab w:val="right" w:pos="8838"/>
      </w:tabs>
    </w:pPr>
  </w:style>
  <w:style w:type="character" w:customStyle="1" w:styleId="EncabezadoCar">
    <w:name w:val="Encabezado Car"/>
    <w:basedOn w:val="Fuentedeprrafopredeter"/>
    <w:link w:val="Encabezado"/>
    <w:uiPriority w:val="99"/>
    <w:rsid w:val="00EC117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C1175"/>
    <w:pPr>
      <w:tabs>
        <w:tab w:val="center" w:pos="4419"/>
        <w:tab w:val="right" w:pos="8838"/>
      </w:tabs>
    </w:pPr>
  </w:style>
  <w:style w:type="character" w:customStyle="1" w:styleId="PiedepginaCar">
    <w:name w:val="Pie de página Car"/>
    <w:basedOn w:val="Fuentedeprrafopredeter"/>
    <w:link w:val="Piedepgina"/>
    <w:uiPriority w:val="99"/>
    <w:rsid w:val="00EC117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2DECA-C3D8-4B14-AC99-EBBED90A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5016</Words>
  <Characters>27588</Characters>
  <Application>Microsoft Office Word</Application>
  <DocSecurity>0</DocSecurity>
  <Lines>229</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Melina</dc:creator>
  <cp:lastModifiedBy>Santiago Maria Ojea Quintana</cp:lastModifiedBy>
  <cp:revision>3</cp:revision>
  <cp:lastPrinted>2019-06-19T15:38:00Z</cp:lastPrinted>
  <dcterms:created xsi:type="dcterms:W3CDTF">2019-06-24T18:16:00Z</dcterms:created>
  <dcterms:modified xsi:type="dcterms:W3CDTF">2019-06-24T18:18:00Z</dcterms:modified>
</cp:coreProperties>
</file>