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1"/>
      </w:tblGrid>
      <w:tr w:rsidR="004E6CFA" w:rsidTr="007D2B7E">
        <w:trPr>
          <w:trHeight w:val="4343"/>
          <w:jc w:val="center"/>
        </w:trPr>
        <w:tc>
          <w:tcPr>
            <w:tcW w:w="9781" w:type="dxa"/>
          </w:tcPr>
          <w:p w:rsidR="004E6CFA" w:rsidRDefault="004E6CFA" w:rsidP="00BD4AE2">
            <w:pPr>
              <w:ind w:left="-75" w:right="-65"/>
              <w:jc w:val="center"/>
              <w:rPr>
                <w:rFonts w:ascii="Arial" w:hAnsi="Arial"/>
                <w:b/>
                <w:sz w:val="28"/>
                <w:szCs w:val="28"/>
              </w:rPr>
            </w:pPr>
          </w:p>
          <w:p w:rsidR="004E6CFA" w:rsidRPr="00806B8F" w:rsidRDefault="004E6CFA" w:rsidP="00BD4AE2">
            <w:pPr>
              <w:ind w:left="-75" w:right="-65"/>
              <w:jc w:val="center"/>
              <w:rPr>
                <w:rFonts w:ascii="Arial" w:hAnsi="Arial"/>
                <w:b/>
                <w:sz w:val="28"/>
                <w:szCs w:val="28"/>
              </w:rPr>
            </w:pPr>
          </w:p>
          <w:p w:rsidR="004E6CFA" w:rsidRDefault="004E6CFA" w:rsidP="00BD4AE2">
            <w:pPr>
              <w:ind w:left="-75" w:right="-65"/>
              <w:jc w:val="center"/>
              <w:rPr>
                <w:rFonts w:ascii="Arial" w:hAnsi="Arial"/>
                <w:b/>
                <w:sz w:val="48"/>
              </w:rPr>
            </w:pPr>
          </w:p>
          <w:p w:rsidR="004E6CFA" w:rsidRDefault="004E6CFA" w:rsidP="00BD4AE2">
            <w:pPr>
              <w:ind w:left="-75" w:right="-65" w:hanging="709"/>
              <w:jc w:val="center"/>
              <w:rPr>
                <w:rFonts w:ascii="Arial" w:hAnsi="Arial"/>
                <w:b/>
                <w:sz w:val="48"/>
              </w:rPr>
            </w:pPr>
          </w:p>
          <w:p w:rsidR="004E6CFA" w:rsidRDefault="004E6CFA" w:rsidP="00BD4AE2">
            <w:pPr>
              <w:ind w:left="-75" w:right="-65"/>
              <w:jc w:val="center"/>
              <w:rPr>
                <w:rFonts w:ascii="Arial" w:hAnsi="Arial"/>
                <w:b/>
                <w:sz w:val="48"/>
              </w:rPr>
            </w:pPr>
            <w:r>
              <w:rPr>
                <w:rFonts w:ascii="Arial" w:hAnsi="Arial"/>
                <w:b/>
                <w:sz w:val="48"/>
              </w:rPr>
              <w:t>LEDESMA FRUTAS S.A.U.</w:t>
            </w: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rPr>
                <w:rFonts w:ascii="Arial" w:hAnsi="Arial"/>
                <w:b/>
                <w:sz w:val="48"/>
              </w:rPr>
            </w:pPr>
          </w:p>
        </w:tc>
      </w:tr>
      <w:tr w:rsidR="004E6CFA" w:rsidTr="007D2B7E">
        <w:trPr>
          <w:trHeight w:val="4659"/>
          <w:jc w:val="center"/>
        </w:trPr>
        <w:tc>
          <w:tcPr>
            <w:tcW w:w="9781" w:type="dxa"/>
          </w:tcPr>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0"/>
              </w:rPr>
            </w:pPr>
          </w:p>
          <w:p w:rsidR="004E6CFA" w:rsidRPr="00C52955" w:rsidRDefault="004E6CFA" w:rsidP="00BD4AE2">
            <w:pPr>
              <w:ind w:left="-75" w:right="-65"/>
              <w:jc w:val="center"/>
              <w:rPr>
                <w:rFonts w:ascii="Arial" w:hAnsi="Arial"/>
                <w:b/>
                <w:sz w:val="28"/>
                <w:szCs w:val="28"/>
              </w:rPr>
            </w:pPr>
          </w:p>
          <w:p w:rsidR="004E6CFA" w:rsidRDefault="004E6CFA" w:rsidP="00BD4AE2">
            <w:pPr>
              <w:ind w:left="-75" w:right="-65"/>
              <w:jc w:val="center"/>
              <w:rPr>
                <w:rFonts w:ascii="Arial" w:hAnsi="Arial"/>
                <w:b/>
                <w:sz w:val="40"/>
              </w:rPr>
            </w:pPr>
          </w:p>
          <w:p w:rsidR="004E6CFA" w:rsidRDefault="004E6CFA" w:rsidP="00BD4AE2">
            <w:pPr>
              <w:ind w:left="-75" w:right="-65"/>
              <w:jc w:val="center"/>
              <w:rPr>
                <w:rFonts w:ascii="Arial" w:hAnsi="Arial"/>
                <w:b/>
                <w:sz w:val="40"/>
              </w:rPr>
            </w:pPr>
          </w:p>
          <w:p w:rsidR="004E6CFA" w:rsidRDefault="004E6CFA" w:rsidP="00472D80">
            <w:pPr>
              <w:ind w:left="-75" w:right="-65"/>
              <w:jc w:val="center"/>
              <w:rPr>
                <w:rFonts w:ascii="Arial" w:hAnsi="Arial"/>
                <w:b/>
                <w:sz w:val="40"/>
              </w:rPr>
            </w:pPr>
            <w:r>
              <w:rPr>
                <w:rFonts w:ascii="Arial" w:hAnsi="Arial"/>
                <w:b/>
                <w:sz w:val="40"/>
              </w:rPr>
              <w:t>ESTADOS CONTABLES</w:t>
            </w:r>
          </w:p>
          <w:p w:rsidR="004E6CFA" w:rsidRDefault="004E6CFA" w:rsidP="00472D80">
            <w:pPr>
              <w:ind w:left="-75" w:right="-65"/>
              <w:jc w:val="center"/>
              <w:rPr>
                <w:rFonts w:ascii="Arial" w:hAnsi="Arial"/>
                <w:b/>
                <w:sz w:val="40"/>
              </w:rPr>
            </w:pPr>
            <w:r>
              <w:rPr>
                <w:rFonts w:ascii="Arial" w:hAnsi="Arial"/>
                <w:b/>
                <w:sz w:val="40"/>
              </w:rPr>
              <w:t>al 31 de mayo de 2019</w:t>
            </w:r>
          </w:p>
          <w:p w:rsidR="004E6CFA" w:rsidRDefault="004E6CFA" w:rsidP="00BD4AE2">
            <w:pPr>
              <w:ind w:left="-75" w:right="-65"/>
              <w:jc w:val="center"/>
              <w:rPr>
                <w:rFonts w:ascii="Arial" w:hAnsi="Arial"/>
                <w:b/>
                <w:sz w:val="40"/>
              </w:rPr>
            </w:pPr>
          </w:p>
          <w:p w:rsidR="004E6CFA" w:rsidRDefault="004E6CFA" w:rsidP="00BD4AE2">
            <w:pPr>
              <w:ind w:left="-75" w:right="-65"/>
              <w:jc w:val="center"/>
              <w:rPr>
                <w:rFonts w:ascii="Arial" w:hAnsi="Arial"/>
                <w:b/>
                <w:sz w:val="40"/>
              </w:rPr>
            </w:pPr>
          </w:p>
          <w:p w:rsidR="004E6CFA" w:rsidRDefault="004E6CFA" w:rsidP="00BD4AE2">
            <w:pPr>
              <w:tabs>
                <w:tab w:val="left" w:pos="6345"/>
              </w:tabs>
              <w:ind w:left="-75" w:right="-65"/>
              <w:rPr>
                <w:rFonts w:ascii="Arial" w:hAnsi="Arial"/>
                <w:sz w:val="48"/>
              </w:rPr>
            </w:pPr>
            <w:r>
              <w:rPr>
                <w:rFonts w:ascii="Arial" w:hAnsi="Arial"/>
                <w:sz w:val="40"/>
              </w:rPr>
              <w:tab/>
            </w:r>
          </w:p>
        </w:tc>
      </w:tr>
      <w:tr w:rsidR="004E6CFA" w:rsidTr="007D2B7E">
        <w:trPr>
          <w:jc w:val="center"/>
        </w:trPr>
        <w:tc>
          <w:tcPr>
            <w:tcW w:w="9781" w:type="dxa"/>
          </w:tcPr>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p w:rsidR="004E6CFA" w:rsidRDefault="004E6CFA" w:rsidP="00BD4AE2">
            <w:pPr>
              <w:ind w:left="-75" w:right="-65"/>
              <w:jc w:val="center"/>
              <w:rPr>
                <w:rFonts w:ascii="Arial" w:hAnsi="Arial"/>
                <w:b/>
                <w:sz w:val="48"/>
              </w:rPr>
            </w:pPr>
          </w:p>
        </w:tc>
      </w:tr>
    </w:tbl>
    <w:p w:rsidR="004E6CFA" w:rsidRPr="00BD4AE2" w:rsidRDefault="004E6CFA" w:rsidP="00BD4AE2">
      <w:pPr>
        <w:rPr>
          <w:rFonts w:ascii="Arial" w:hAnsi="Arial"/>
          <w:sz w:val="48"/>
        </w:rPr>
        <w:sectPr w:rsidR="004E6CFA" w:rsidRPr="00BD4AE2" w:rsidSect="00BD4AE2">
          <w:headerReference w:type="default" r:id="rId8"/>
          <w:footerReference w:type="default" r:id="rId9"/>
          <w:pgSz w:w="11907" w:h="16839" w:code="9"/>
          <w:pgMar w:top="1440" w:right="1080" w:bottom="1440" w:left="1080" w:header="708" w:footer="708" w:gutter="0"/>
          <w:pgNumType w:start="1"/>
          <w:cols w:space="708"/>
          <w:titlePg/>
          <w:docGrid w:linePitch="360"/>
        </w:sectPr>
      </w:pPr>
    </w:p>
    <w:p w:rsidR="004E6CFA" w:rsidRDefault="00BD4AE2" w:rsidP="00BD4AE2">
      <w:pPr>
        <w:tabs>
          <w:tab w:val="left" w:pos="1215"/>
        </w:tabs>
        <w:rPr>
          <w:noProof/>
          <w:lang w:eastAsia="es-AR"/>
        </w:rPr>
      </w:pPr>
      <w:r>
        <w:rPr>
          <w:noProof/>
          <w:lang w:eastAsia="es-AR"/>
        </w:rPr>
        <w:lastRenderedPageBreak/>
        <w:tab/>
      </w:r>
    </w:p>
    <w:p w:rsidR="00BD4AE2" w:rsidRDefault="00BD4AE2" w:rsidP="00BD4AE2"/>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76"/>
      </w:tblGrid>
      <w:tr w:rsidR="00BD4AE2" w:rsidTr="00BD4AE2">
        <w:trPr>
          <w:jc w:val="center"/>
        </w:trPr>
        <w:tc>
          <w:tcPr>
            <w:tcW w:w="9776" w:type="dxa"/>
          </w:tcPr>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r>
              <w:rPr>
                <w:rFonts w:ascii="Arial" w:hAnsi="Arial"/>
                <w:b/>
                <w:sz w:val="44"/>
              </w:rPr>
              <w:t>ESTADOS CONTABLES</w:t>
            </w: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p w:rsidR="00BD4AE2" w:rsidRDefault="00BD4AE2" w:rsidP="007D2B7E">
            <w:pPr>
              <w:jc w:val="center"/>
              <w:rPr>
                <w:rFonts w:ascii="Arial" w:hAnsi="Arial"/>
                <w:b/>
                <w:sz w:val="52"/>
              </w:rPr>
            </w:pPr>
          </w:p>
        </w:tc>
      </w:tr>
    </w:tbl>
    <w:p w:rsidR="00BD4AE2" w:rsidRDefault="00BD4AE2" w:rsidP="00BD4AE2">
      <w:pPr>
        <w:sectPr w:rsidR="00BD4AE2" w:rsidSect="00BD4AE2">
          <w:headerReference w:type="default" r:id="rId10"/>
          <w:footerReference w:type="default" r:id="rId11"/>
          <w:pgSz w:w="11907" w:h="16840" w:code="9"/>
          <w:pgMar w:top="1440" w:right="1080" w:bottom="1440" w:left="1080" w:header="720" w:footer="720" w:gutter="0"/>
          <w:pgNumType w:start="1"/>
          <w:cols w:space="720"/>
          <w:docGrid w:linePitch="272"/>
        </w:sectPr>
      </w:pPr>
    </w:p>
    <w:p w:rsidR="00BD4AE2" w:rsidRDefault="00940CCD" w:rsidP="004E6CFA">
      <w:pPr>
        <w:jc w:val="center"/>
        <w:rPr>
          <w:noProof/>
          <w:lang w:eastAsia="es-AR"/>
        </w:rPr>
      </w:pPr>
      <w:r w:rsidRPr="00940CCD">
        <w:rPr>
          <w:noProof/>
          <w:lang w:eastAsia="es-AR"/>
        </w:rPr>
        <w:lastRenderedPageBreak/>
        <w:drawing>
          <wp:inline distT="0" distB="0" distL="0" distR="0">
            <wp:extent cx="5721165" cy="73621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8525" cy="7384530"/>
                    </a:xfrm>
                    <a:prstGeom prst="rect">
                      <a:avLst/>
                    </a:prstGeom>
                    <a:noFill/>
                    <a:ln>
                      <a:noFill/>
                    </a:ln>
                  </pic:spPr>
                </pic:pic>
              </a:graphicData>
            </a:graphic>
          </wp:inline>
        </w:drawing>
      </w:r>
    </w:p>
    <w:p w:rsidR="00BD4AE2" w:rsidRDefault="00BD4AE2" w:rsidP="004E6CFA">
      <w:pPr>
        <w:jc w:val="center"/>
        <w:rPr>
          <w:noProof/>
          <w:lang w:eastAsia="es-AR"/>
        </w:rPr>
      </w:pPr>
    </w:p>
    <w:p w:rsidR="00BD4AE2" w:rsidRDefault="00BD4AE2" w:rsidP="00CC01CC">
      <w:pPr>
        <w:jc w:val="center"/>
        <w:rPr>
          <w:noProof/>
          <w:lang w:eastAsia="es-AR"/>
        </w:rPr>
      </w:pPr>
    </w:p>
    <w:p w:rsidR="00BD4AE2" w:rsidRDefault="00BD4AE2" w:rsidP="004E6CFA">
      <w:pPr>
        <w:jc w:val="center"/>
        <w:rPr>
          <w:noProof/>
          <w:lang w:eastAsia="es-AR"/>
        </w:rPr>
      </w:pPr>
    </w:p>
    <w:p w:rsidR="00AD7B7E" w:rsidRDefault="00AD7B7E" w:rsidP="004E6CFA">
      <w:pPr>
        <w:jc w:val="center"/>
        <w:rPr>
          <w:noProof/>
          <w:lang w:eastAsia="es-AR"/>
        </w:rPr>
        <w:sectPr w:rsidR="00AD7B7E" w:rsidSect="00BD4AE2">
          <w:footerReference w:type="default" r:id="rId13"/>
          <w:pgSz w:w="11907" w:h="16839" w:code="9"/>
          <w:pgMar w:top="1440" w:right="1080" w:bottom="1440" w:left="1080" w:header="708" w:footer="708" w:gutter="0"/>
          <w:cols w:space="708"/>
          <w:docGrid w:linePitch="360"/>
        </w:sectPr>
      </w:pPr>
    </w:p>
    <w:p w:rsidR="00BD4AE2" w:rsidRDefault="00BD4AE2" w:rsidP="004E6CFA">
      <w:pPr>
        <w:jc w:val="center"/>
      </w:pPr>
    </w:p>
    <w:p w:rsidR="006E75AA" w:rsidRDefault="00CC01CC" w:rsidP="004E6CFA">
      <w:pPr>
        <w:jc w:val="center"/>
        <w:rPr>
          <w:noProof/>
          <w:lang w:eastAsia="es-AR"/>
        </w:rPr>
      </w:pPr>
      <w:r w:rsidRPr="00CC01CC">
        <w:rPr>
          <w:noProof/>
          <w:lang w:eastAsia="es-AR"/>
        </w:rPr>
        <w:drawing>
          <wp:inline distT="0" distB="0" distL="0" distR="0">
            <wp:extent cx="8863965" cy="449743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3965" cy="4497434"/>
                    </a:xfrm>
                    <a:prstGeom prst="rect">
                      <a:avLst/>
                    </a:prstGeom>
                    <a:noFill/>
                    <a:ln>
                      <a:noFill/>
                    </a:ln>
                  </pic:spPr>
                </pic:pic>
              </a:graphicData>
            </a:graphic>
          </wp:inline>
        </w:drawing>
      </w:r>
    </w:p>
    <w:p w:rsidR="00BD4AE2" w:rsidRDefault="00BD4AE2" w:rsidP="004E6CFA">
      <w:pPr>
        <w:jc w:val="center"/>
        <w:rPr>
          <w:noProof/>
          <w:lang w:eastAsia="es-AR"/>
        </w:rPr>
      </w:pPr>
    </w:p>
    <w:p w:rsidR="00BD4AE2" w:rsidRDefault="00BD4AE2" w:rsidP="004E6CFA">
      <w:pPr>
        <w:jc w:val="center"/>
      </w:pPr>
    </w:p>
    <w:p w:rsidR="0042207F" w:rsidRDefault="00FE0941" w:rsidP="004E6CFA">
      <w:pPr>
        <w:jc w:val="center"/>
        <w:rPr>
          <w:noProof/>
          <w:lang w:eastAsia="es-AR"/>
        </w:rPr>
      </w:pPr>
      <w:r w:rsidRPr="00FE0941">
        <w:rPr>
          <w:noProof/>
          <w:lang w:eastAsia="es-AR"/>
        </w:rPr>
        <w:drawing>
          <wp:inline distT="0" distB="0" distL="0" distR="0">
            <wp:extent cx="5781675" cy="3390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1675" cy="3390900"/>
                    </a:xfrm>
                    <a:prstGeom prst="rect">
                      <a:avLst/>
                    </a:prstGeom>
                    <a:noFill/>
                    <a:ln>
                      <a:noFill/>
                    </a:ln>
                  </pic:spPr>
                </pic:pic>
              </a:graphicData>
            </a:graphic>
          </wp:inline>
        </w:drawing>
      </w:r>
    </w:p>
    <w:p w:rsidR="00BD4AE2" w:rsidRDefault="00BD4AE2" w:rsidP="004E6CFA">
      <w:pPr>
        <w:jc w:val="center"/>
        <w:rPr>
          <w:noProof/>
          <w:lang w:eastAsia="es-AR"/>
        </w:rPr>
      </w:pPr>
    </w:p>
    <w:p w:rsidR="00BD4AE2" w:rsidRDefault="00BD4AE2" w:rsidP="004E6CFA">
      <w:pPr>
        <w:jc w:val="center"/>
        <w:rPr>
          <w:noProof/>
          <w:lang w:eastAsia="es-AR"/>
        </w:rPr>
      </w:pPr>
    </w:p>
    <w:p w:rsidR="00BD4AE2" w:rsidRDefault="00BD4AE2" w:rsidP="004E6CFA">
      <w:pPr>
        <w:jc w:val="center"/>
        <w:rPr>
          <w:noProof/>
          <w:lang w:eastAsia="es-AR"/>
        </w:rPr>
      </w:pPr>
    </w:p>
    <w:p w:rsidR="00BD4AE2" w:rsidRDefault="00BD4AE2" w:rsidP="004E6CFA">
      <w:pPr>
        <w:jc w:val="center"/>
        <w:rPr>
          <w:noProof/>
          <w:lang w:eastAsia="es-AR"/>
        </w:rPr>
      </w:pPr>
    </w:p>
    <w:p w:rsidR="00BD4AE2" w:rsidRDefault="00BD4AE2" w:rsidP="004E6CFA">
      <w:pPr>
        <w:jc w:val="center"/>
        <w:rPr>
          <w:noProof/>
          <w:lang w:eastAsia="es-AR"/>
        </w:rPr>
      </w:pPr>
    </w:p>
    <w:p w:rsidR="00BD4AE2" w:rsidRDefault="00BD4AE2" w:rsidP="004E6CFA">
      <w:pPr>
        <w:jc w:val="center"/>
        <w:rPr>
          <w:noProof/>
          <w:lang w:eastAsia="es-AR"/>
        </w:rPr>
      </w:pPr>
    </w:p>
    <w:p w:rsidR="00BD4AE2" w:rsidRDefault="00BD4AE2" w:rsidP="004E6CFA">
      <w:pPr>
        <w:jc w:val="center"/>
      </w:pPr>
    </w:p>
    <w:p w:rsidR="006E75AA" w:rsidRDefault="006E75AA" w:rsidP="004E6CFA">
      <w:pPr>
        <w:jc w:val="center"/>
        <w:rPr>
          <w:noProof/>
          <w:lang w:eastAsia="es-AR"/>
        </w:rPr>
      </w:pPr>
    </w:p>
    <w:p w:rsidR="001A2030" w:rsidRDefault="00C90833" w:rsidP="004E6CFA">
      <w:pPr>
        <w:jc w:val="center"/>
        <w:rPr>
          <w:noProof/>
          <w:lang w:eastAsia="es-AR"/>
        </w:rPr>
      </w:pPr>
      <w:r w:rsidRPr="00C90833">
        <w:rPr>
          <w:noProof/>
          <w:lang w:eastAsia="es-AR"/>
        </w:rPr>
        <w:drawing>
          <wp:inline distT="0" distB="0" distL="0" distR="0">
            <wp:extent cx="8863965" cy="355272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63965" cy="3552727"/>
                    </a:xfrm>
                    <a:prstGeom prst="rect">
                      <a:avLst/>
                    </a:prstGeom>
                    <a:noFill/>
                    <a:ln>
                      <a:noFill/>
                    </a:ln>
                  </pic:spPr>
                </pic:pic>
              </a:graphicData>
            </a:graphic>
          </wp:inline>
        </w:drawing>
      </w:r>
    </w:p>
    <w:p w:rsidR="00BD4AE2" w:rsidRDefault="00BD4AE2" w:rsidP="004E6CFA">
      <w:pPr>
        <w:jc w:val="center"/>
        <w:rPr>
          <w:noProof/>
          <w:lang w:eastAsia="es-AR"/>
        </w:rPr>
      </w:pPr>
    </w:p>
    <w:p w:rsidR="00BD4AE2" w:rsidRDefault="00BD4AE2" w:rsidP="004E6CFA">
      <w:pPr>
        <w:jc w:val="center"/>
        <w:rPr>
          <w:noProof/>
          <w:lang w:eastAsia="es-AR"/>
        </w:rPr>
      </w:pPr>
    </w:p>
    <w:p w:rsidR="00E6745B" w:rsidRDefault="00E6745B" w:rsidP="004E6CFA">
      <w:pPr>
        <w:jc w:val="center"/>
        <w:rPr>
          <w:noProof/>
          <w:lang w:eastAsia="es-AR"/>
        </w:rPr>
        <w:sectPr w:rsidR="00E6745B" w:rsidSect="00AD7B7E">
          <w:pgSz w:w="16839" w:h="11907" w:orient="landscape" w:code="9"/>
          <w:pgMar w:top="1080" w:right="1440" w:bottom="1080" w:left="1440" w:header="708" w:footer="708" w:gutter="0"/>
          <w:cols w:space="708"/>
          <w:docGrid w:linePitch="360"/>
        </w:sectPr>
      </w:pPr>
    </w:p>
    <w:p w:rsidR="00BD4AE2" w:rsidRDefault="00BD4AE2" w:rsidP="004E6CFA">
      <w:pPr>
        <w:jc w:val="center"/>
        <w:rPr>
          <w:noProof/>
          <w:lang w:eastAsia="es-AR"/>
        </w:rPr>
      </w:pPr>
    </w:p>
    <w:p w:rsidR="00E6745B" w:rsidRDefault="007237E0" w:rsidP="004E6CFA">
      <w:pPr>
        <w:jc w:val="center"/>
        <w:rPr>
          <w:noProof/>
          <w:lang w:eastAsia="es-AR"/>
        </w:rPr>
      </w:pPr>
      <w:r w:rsidRPr="007237E0">
        <w:rPr>
          <w:noProof/>
          <w:lang w:eastAsia="es-AR"/>
        </w:rPr>
        <w:drawing>
          <wp:inline distT="0" distB="0" distL="0" distR="0">
            <wp:extent cx="5760720" cy="739574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7395748"/>
                    </a:xfrm>
                    <a:prstGeom prst="rect">
                      <a:avLst/>
                    </a:prstGeom>
                    <a:noFill/>
                    <a:ln>
                      <a:noFill/>
                    </a:ln>
                  </pic:spPr>
                </pic:pic>
              </a:graphicData>
            </a:graphic>
          </wp:inline>
        </w:drawing>
      </w:r>
    </w:p>
    <w:p w:rsidR="00E6745B" w:rsidRDefault="00E6745B" w:rsidP="004E6CFA">
      <w:pPr>
        <w:jc w:val="center"/>
        <w:rPr>
          <w:noProof/>
          <w:lang w:eastAsia="es-AR"/>
        </w:rPr>
      </w:pPr>
    </w:p>
    <w:p w:rsidR="00E6745B" w:rsidRDefault="00E6745B" w:rsidP="004E6CFA">
      <w:pPr>
        <w:jc w:val="center"/>
        <w:rPr>
          <w:noProof/>
          <w:lang w:eastAsia="es-AR"/>
        </w:rPr>
      </w:pPr>
    </w:p>
    <w:p w:rsidR="00E6745B"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center"/>
        <w:rPr>
          <w:rFonts w:ascii="Arial" w:hAnsi="Arial"/>
          <w:b/>
        </w:rPr>
      </w:pPr>
      <w:r>
        <w:rPr>
          <w:rFonts w:ascii="Arial" w:hAnsi="Arial"/>
          <w:b/>
        </w:rPr>
        <w:t xml:space="preserve">NOTAS A LOS ESTADOS CONTABLES </w:t>
      </w:r>
    </w:p>
    <w:p w:rsidR="00E6745B"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center"/>
        <w:rPr>
          <w:rFonts w:ascii="Arial" w:hAnsi="Arial"/>
          <w:b/>
        </w:rPr>
      </w:pPr>
      <w:r>
        <w:rPr>
          <w:rFonts w:ascii="Arial" w:hAnsi="Arial"/>
          <w:b/>
        </w:rPr>
        <w:t>Por el período de cuatro meses finalizado el 31 de mayo de 2019</w:t>
      </w:r>
    </w:p>
    <w:p w:rsidR="00E6745B"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center"/>
        <w:rPr>
          <w:rFonts w:ascii="Arial" w:hAnsi="Arial"/>
        </w:rPr>
      </w:pPr>
      <w:r>
        <w:rPr>
          <w:rFonts w:ascii="Arial" w:hAnsi="Arial"/>
        </w:rPr>
        <w:t>Cifras expresadas en pesos (Nota 2.</w:t>
      </w:r>
      <w:r w:rsidR="00353649">
        <w:rPr>
          <w:rFonts w:ascii="Arial" w:hAnsi="Arial"/>
        </w:rPr>
        <w:t>-</w:t>
      </w:r>
      <w:r>
        <w:rPr>
          <w:rFonts w:ascii="Arial" w:hAnsi="Arial"/>
        </w:rPr>
        <w:t>b))</w:t>
      </w:r>
    </w:p>
    <w:p w:rsidR="00E6745B"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center"/>
        <w:rPr>
          <w:rFonts w:ascii="Arial" w:hAnsi="Arial"/>
        </w:rPr>
      </w:pPr>
    </w:p>
    <w:p w:rsidR="00E6745B" w:rsidRDefault="00E6745B" w:rsidP="00E6745B">
      <w:pPr>
        <w:tabs>
          <w:tab w:val="left" w:pos="1118"/>
          <w:tab w:val="left" w:pos="8177"/>
        </w:tabs>
        <w:spacing w:line="360" w:lineRule="atLeast"/>
        <w:jc w:val="both"/>
        <w:rPr>
          <w:rFonts w:ascii="Arial" w:hAnsi="Arial"/>
          <w:b/>
          <w:u w:val="single"/>
        </w:rPr>
      </w:pPr>
      <w:r>
        <w:rPr>
          <w:rFonts w:ascii="Arial" w:hAnsi="Arial"/>
          <w:b/>
          <w:u w:val="single"/>
        </w:rPr>
        <w:t>NOTA 1. – OBJETO DE LOS PRESENTES ESTADOS CONTABLES</w:t>
      </w:r>
    </w:p>
    <w:p w:rsidR="00437F83" w:rsidRPr="005C2C97"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E6745B" w:rsidRDefault="00E6745B" w:rsidP="00E6745B">
      <w:pPr>
        <w:tabs>
          <w:tab w:val="left" w:pos="437"/>
          <w:tab w:val="left" w:pos="799"/>
          <w:tab w:val="left" w:pos="1118"/>
          <w:tab w:val="left" w:pos="1146"/>
          <w:tab w:val="left" w:pos="2453"/>
          <w:tab w:val="left" w:pos="3760"/>
          <w:tab w:val="left" w:pos="5067"/>
          <w:tab w:val="left" w:pos="6374"/>
          <w:tab w:val="left" w:pos="7876"/>
          <w:tab w:val="left" w:pos="8177"/>
          <w:tab w:val="left" w:pos="9378"/>
          <w:tab w:val="left" w:pos="9486"/>
          <w:tab w:val="left" w:pos="9594"/>
        </w:tabs>
        <w:ind w:left="284"/>
        <w:jc w:val="both"/>
        <w:rPr>
          <w:rFonts w:ascii="Arial" w:hAnsi="Arial"/>
        </w:rPr>
      </w:pPr>
      <w:r w:rsidRPr="002A260B">
        <w:rPr>
          <w:rFonts w:ascii="Arial" w:hAnsi="Arial"/>
        </w:rPr>
        <w:t xml:space="preserve">Los presentes </w:t>
      </w:r>
      <w:r>
        <w:rPr>
          <w:rFonts w:ascii="Arial" w:hAnsi="Arial"/>
        </w:rPr>
        <w:t>estados contables especiales han sido confeccionados por la Sociedad para ser utilizados por su sociedad controlante, Ledesma S.A.A.I., en la preparación de sus estados contables al 31 de mayo de 2019.</w:t>
      </w:r>
    </w:p>
    <w:p w:rsidR="00437F83" w:rsidRPr="005C2C97"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E6745B" w:rsidRDefault="00E6745B" w:rsidP="00E6745B">
      <w:pPr>
        <w:tabs>
          <w:tab w:val="left" w:pos="1118"/>
          <w:tab w:val="left" w:pos="8177"/>
        </w:tabs>
        <w:spacing w:line="360" w:lineRule="atLeast"/>
        <w:jc w:val="both"/>
        <w:rPr>
          <w:rFonts w:ascii="Arial" w:hAnsi="Arial"/>
          <w:b/>
          <w:u w:val="single"/>
        </w:rPr>
      </w:pPr>
      <w:r>
        <w:rPr>
          <w:rFonts w:ascii="Arial" w:hAnsi="Arial"/>
          <w:b/>
          <w:u w:val="single"/>
        </w:rPr>
        <w:t xml:space="preserve">NOTA 2. – </w:t>
      </w:r>
      <w:r w:rsidRPr="00E6745B">
        <w:rPr>
          <w:rFonts w:ascii="Arial" w:hAnsi="Arial"/>
          <w:b/>
          <w:u w:val="single"/>
        </w:rPr>
        <w:t>BASES DE PRESENTACIÓN DE LOS ESTADOS CONTABLES</w:t>
      </w:r>
    </w:p>
    <w:p w:rsidR="00437F83" w:rsidRPr="005C2C97"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E6745B" w:rsidRPr="005B593C" w:rsidRDefault="00E6745B" w:rsidP="00E6745B">
      <w:pPr>
        <w:pStyle w:val="Ttulo7"/>
        <w:numPr>
          <w:ilvl w:val="0"/>
          <w:numId w:val="1"/>
        </w:numPr>
        <w:tabs>
          <w:tab w:val="left" w:pos="426"/>
        </w:tabs>
        <w:jc w:val="left"/>
        <w:rPr>
          <w:rFonts w:ascii="Arial" w:hAnsi="Arial" w:cs="Arial"/>
          <w:b w:val="0"/>
          <w:sz w:val="20"/>
          <w:u w:val="single"/>
        </w:rPr>
      </w:pPr>
      <w:r w:rsidRPr="005B593C">
        <w:rPr>
          <w:rFonts w:ascii="Arial" w:hAnsi="Arial" w:cs="Arial"/>
          <w:b w:val="0"/>
          <w:sz w:val="20"/>
          <w:u w:val="single"/>
        </w:rPr>
        <w:t>Normas aplicadas en la preparación y presentación de los estados contables</w:t>
      </w:r>
    </w:p>
    <w:p w:rsidR="00E6745B" w:rsidRPr="005B593C"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rPr>
          <w:rFonts w:ascii="Arial" w:hAnsi="Arial"/>
          <w:b/>
          <w:sz w:val="10"/>
        </w:rPr>
      </w:pPr>
    </w:p>
    <w:p w:rsidR="00E6745B" w:rsidRPr="002A41B8" w:rsidRDefault="00E6745B" w:rsidP="00E6745B">
      <w:pPr>
        <w:tabs>
          <w:tab w:val="left" w:pos="1118"/>
          <w:tab w:val="left" w:pos="8177"/>
        </w:tabs>
        <w:spacing w:after="120" w:line="240" w:lineRule="exact"/>
        <w:ind w:left="284"/>
        <w:jc w:val="both"/>
        <w:rPr>
          <w:rFonts w:ascii="Arial" w:hAnsi="Arial" w:cs="Arial"/>
        </w:rPr>
      </w:pPr>
      <w:r w:rsidRPr="002A41B8">
        <w:rPr>
          <w:rFonts w:ascii="Arial" w:hAnsi="Arial" w:cs="Arial"/>
        </w:rPr>
        <w:t>La Sociedad ha preparado los presentes estados contables de acuerdo con las Normas Contables Profesionales aprobadas por la Federación Argentina de Consejos Profesionales de Ciencias Económicas (FACPCE), en la versión en que han sido adoptadas por el Consejo Profesional de Ciencias Económicas de la Ciudad Autónoma de Buenos Aires (CPCECABA), distintas de la Resolución Técnica (RT) N° 26 sobre Adopción de Normas Internacionales de Información Financiera (NIIF) del Consejo de Normas Internacionales de Contabilidad (IASB</w:t>
      </w:r>
      <w:r>
        <w:rPr>
          <w:rFonts w:ascii="Arial" w:hAnsi="Arial" w:cs="Arial"/>
        </w:rPr>
        <w:t>, por sus siglas en inglés</w:t>
      </w:r>
      <w:r w:rsidRPr="002A41B8">
        <w:rPr>
          <w:rFonts w:ascii="Arial" w:hAnsi="Arial" w:cs="Arial"/>
        </w:rPr>
        <w:t>); en adelante “NCP”.</w:t>
      </w:r>
    </w:p>
    <w:p w:rsidR="00E6745B" w:rsidRPr="002A41B8" w:rsidRDefault="00E6745B" w:rsidP="00E6745B">
      <w:pPr>
        <w:tabs>
          <w:tab w:val="left" w:pos="1118"/>
          <w:tab w:val="left" w:pos="8177"/>
        </w:tabs>
        <w:spacing w:after="120" w:line="240" w:lineRule="exact"/>
        <w:ind w:left="284"/>
        <w:jc w:val="both"/>
        <w:rPr>
          <w:rFonts w:ascii="Arial" w:hAnsi="Arial" w:cs="Arial"/>
        </w:rPr>
      </w:pPr>
      <w:r w:rsidRPr="002A41B8">
        <w:rPr>
          <w:rFonts w:ascii="Arial" w:hAnsi="Arial" w:cs="Arial"/>
        </w:rPr>
        <w:t>La Sociedad ha utilizado como norma de reconocimiento y medición en general a la RT N° 17.</w:t>
      </w:r>
    </w:p>
    <w:p w:rsidR="00E6745B" w:rsidRPr="002A41B8" w:rsidRDefault="00E6745B" w:rsidP="00E6745B">
      <w:pPr>
        <w:tabs>
          <w:tab w:val="left" w:pos="1118"/>
          <w:tab w:val="left" w:pos="8177"/>
        </w:tabs>
        <w:spacing w:after="120" w:line="240" w:lineRule="exact"/>
        <w:ind w:left="284"/>
        <w:jc w:val="both"/>
        <w:rPr>
          <w:rFonts w:ascii="Arial" w:hAnsi="Arial" w:cs="Arial"/>
        </w:rPr>
      </w:pPr>
      <w:r>
        <w:rPr>
          <w:rFonts w:ascii="Arial" w:hAnsi="Arial" w:cs="Arial"/>
        </w:rPr>
        <w:t>La s</w:t>
      </w:r>
      <w:r w:rsidRPr="002A41B8">
        <w:rPr>
          <w:rFonts w:ascii="Arial" w:hAnsi="Arial" w:cs="Arial"/>
        </w:rPr>
        <w:t xml:space="preserve">ociedad controlante, Ledesma S.A.A.I., presenta sus estados financieros de acuerdo con las disposiciones vigentes de la Comisión Nacional de Valores (CNV), que aprobó la Resolución General (RG) N° 622 (texto ordenado en 2013), la cual establece que las entidades emisoras de acciones y/u obligaciones negociables, con ciertas excepciones, están obligadas a preparar sus estados financieros aplicando la RT N° 26 (y modificatorias) de la FACPCE, que dispone la adopción de las NIIF según las emitió el IASB, mientras que otras entidades -entre las cuales se encuentra </w:t>
      </w:r>
      <w:r w:rsidR="00915289">
        <w:rPr>
          <w:rFonts w:ascii="Arial" w:hAnsi="Arial" w:cs="Arial"/>
        </w:rPr>
        <w:t>Ledesma Frutas S.A.U.</w:t>
      </w:r>
      <w:r w:rsidRPr="002A41B8">
        <w:rPr>
          <w:rFonts w:ascii="Arial" w:hAnsi="Arial" w:cs="Arial"/>
        </w:rPr>
        <w:t xml:space="preserve">-, tendrán la opción de utilizar las NIIF o la NIIF para las </w:t>
      </w:r>
      <w:proofErr w:type="spellStart"/>
      <w:r w:rsidRPr="002A41B8">
        <w:rPr>
          <w:rFonts w:ascii="Arial" w:hAnsi="Arial" w:cs="Arial"/>
        </w:rPr>
        <w:t>PyMES</w:t>
      </w:r>
      <w:proofErr w:type="spellEnd"/>
      <w:r w:rsidRPr="002A41B8">
        <w:rPr>
          <w:rFonts w:ascii="Arial" w:hAnsi="Arial" w:cs="Arial"/>
        </w:rPr>
        <w:t xml:space="preserve"> en reemplazo de las NCP.</w:t>
      </w:r>
    </w:p>
    <w:p w:rsidR="00E6745B" w:rsidRPr="002A41B8" w:rsidRDefault="00E6745B" w:rsidP="00E6745B">
      <w:pPr>
        <w:tabs>
          <w:tab w:val="left" w:pos="1118"/>
          <w:tab w:val="left" w:pos="8177"/>
        </w:tabs>
        <w:spacing w:after="120" w:line="240" w:lineRule="exact"/>
        <w:ind w:left="284"/>
        <w:jc w:val="both"/>
        <w:rPr>
          <w:rFonts w:ascii="Arial" w:hAnsi="Arial" w:cs="Arial"/>
        </w:rPr>
      </w:pPr>
      <w:r w:rsidRPr="002A41B8">
        <w:rPr>
          <w:rFonts w:ascii="Arial" w:hAnsi="Arial" w:cs="Arial"/>
        </w:rPr>
        <w:t>A través de la RG N° 622, se admite que las sociedades controladas por una emisora continúen presentando sus estados contables de acuerdo con las normas utilizadas para preparar estados contables con fines societarios o regulatorios, debiendo presentar en ese caso una reconciliación con las NIIF para el patrimonio neto y el resultado neto. La Sociedad ha hecho uso de esta opción.</w:t>
      </w:r>
    </w:p>
    <w:p w:rsidR="00E6745B" w:rsidRDefault="00E6745B" w:rsidP="00E6745B">
      <w:pPr>
        <w:tabs>
          <w:tab w:val="left" w:pos="1118"/>
          <w:tab w:val="left" w:pos="8177"/>
        </w:tabs>
        <w:spacing w:after="120" w:line="240" w:lineRule="exact"/>
        <w:ind w:left="284"/>
        <w:jc w:val="both"/>
        <w:rPr>
          <w:rFonts w:ascii="Arial" w:hAnsi="Arial" w:cs="Arial"/>
          <w:bCs/>
        </w:rPr>
      </w:pPr>
      <w:r w:rsidRPr="002A41B8">
        <w:rPr>
          <w:rFonts w:ascii="Arial" w:hAnsi="Arial" w:cs="Arial"/>
        </w:rPr>
        <w:t>La Sociedad presenta la reconciliación con las NIIF para el patrimonio neto y el resultado neto en la Nota 3.-j), a pesar de que la misma no genera cambios significativos en el patrimonio neto y/o resultado neto de su sociedad controlante Ledesma S.A.A.I.</w:t>
      </w:r>
    </w:p>
    <w:p w:rsidR="00E6745B" w:rsidRPr="005C2C97" w:rsidRDefault="00E6745B" w:rsidP="005C2C97">
      <w:pPr>
        <w:spacing w:line="240" w:lineRule="exact"/>
        <w:ind w:left="142"/>
        <w:jc w:val="both"/>
        <w:rPr>
          <w:rFonts w:ascii="Arial" w:hAnsi="Arial" w:cs="Arial"/>
          <w:szCs w:val="24"/>
          <w:u w:val="single"/>
          <w:lang w:val="es-ES"/>
        </w:rPr>
      </w:pPr>
      <w:r w:rsidRPr="005C2C97">
        <w:rPr>
          <w:rFonts w:ascii="Arial" w:hAnsi="Arial" w:cs="Arial"/>
          <w:szCs w:val="24"/>
          <w:u w:val="single"/>
          <w:lang w:val="es-ES"/>
        </w:rPr>
        <w:t>a.1) Estimaciones y supuestos contables significativos</w:t>
      </w:r>
    </w:p>
    <w:p w:rsidR="00E6745B" w:rsidRPr="008323E6"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rPr>
          <w:rFonts w:ascii="Arial" w:hAnsi="Arial" w:cs="Arial"/>
          <w:sz w:val="10"/>
          <w:szCs w:val="10"/>
        </w:rPr>
      </w:pPr>
    </w:p>
    <w:p w:rsidR="00E6745B" w:rsidRPr="002155A0" w:rsidRDefault="00E6745B" w:rsidP="00E6745B">
      <w:pPr>
        <w:tabs>
          <w:tab w:val="left" w:pos="1118"/>
          <w:tab w:val="left" w:pos="8177"/>
        </w:tabs>
        <w:spacing w:after="120" w:line="240" w:lineRule="exact"/>
        <w:ind w:left="284"/>
        <w:jc w:val="both"/>
        <w:rPr>
          <w:rFonts w:ascii="Arial" w:hAnsi="Arial" w:cs="Arial"/>
        </w:rPr>
      </w:pPr>
      <w:r w:rsidRPr="00EF44D3">
        <w:rPr>
          <w:rFonts w:ascii="Arial" w:hAnsi="Arial" w:cs="Arial"/>
        </w:rPr>
        <w:t xml:space="preserve">La preparación de los estados contables de acuerdo con normas contables profesionales mencionadas precedentemente, requiere la consideración por parte de la Dirección de la Sociedad de estimaciones y supuestos contables significativos que impactan en los saldos informados de activos y pasivos, la exposición de activos y pasivos contingentes a la fecha de dichos estados contables, como así también los montos de ingresos y gastos de cada </w:t>
      </w:r>
      <w:r w:rsidR="00AD5708">
        <w:rPr>
          <w:rFonts w:ascii="Arial" w:hAnsi="Arial" w:cs="Arial"/>
        </w:rPr>
        <w:t>período / ejercicio</w:t>
      </w:r>
      <w:r w:rsidRPr="00EF44D3">
        <w:rPr>
          <w:rFonts w:ascii="Arial" w:hAnsi="Arial" w:cs="Arial"/>
        </w:rPr>
        <w:t>. Los resultados finales pueden diferir de esas estimaciones.</w:t>
      </w:r>
    </w:p>
    <w:p w:rsidR="00E6745B" w:rsidRPr="005C2C97" w:rsidRDefault="00E6745B" w:rsidP="005C2C97">
      <w:pPr>
        <w:spacing w:line="240" w:lineRule="exact"/>
        <w:ind w:left="142"/>
        <w:jc w:val="both"/>
        <w:rPr>
          <w:rFonts w:ascii="Arial" w:hAnsi="Arial" w:cs="Arial"/>
          <w:szCs w:val="24"/>
          <w:u w:val="single"/>
          <w:lang w:val="es-ES"/>
        </w:rPr>
      </w:pPr>
      <w:r w:rsidRPr="005C2C97">
        <w:rPr>
          <w:rFonts w:ascii="Arial" w:hAnsi="Arial" w:cs="Arial"/>
          <w:szCs w:val="24"/>
          <w:u w:val="single"/>
          <w:lang w:val="es-ES"/>
        </w:rPr>
        <w:t>a.2) Cuestiones no previstas: aplicación de fuentes normativas supletorias</w:t>
      </w:r>
    </w:p>
    <w:p w:rsidR="00E6745B" w:rsidRPr="008323E6"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rPr>
          <w:rFonts w:ascii="Arial" w:hAnsi="Arial" w:cs="Arial"/>
          <w:bCs/>
          <w:sz w:val="10"/>
          <w:szCs w:val="10"/>
          <w:u w:val="single"/>
          <w:lang w:eastAsia="es-AR"/>
        </w:rPr>
      </w:pPr>
    </w:p>
    <w:p w:rsidR="009F1200" w:rsidRPr="009F1200" w:rsidRDefault="009F1200" w:rsidP="009F1200">
      <w:pPr>
        <w:tabs>
          <w:tab w:val="left" w:pos="1118"/>
          <w:tab w:val="left" w:pos="8177"/>
        </w:tabs>
        <w:spacing w:after="120" w:line="240" w:lineRule="exact"/>
        <w:ind w:left="284"/>
        <w:jc w:val="both"/>
        <w:rPr>
          <w:rFonts w:ascii="Arial" w:hAnsi="Arial" w:cs="Arial"/>
        </w:rPr>
      </w:pPr>
      <w:r w:rsidRPr="009F1200">
        <w:rPr>
          <w:rFonts w:ascii="Arial" w:hAnsi="Arial" w:cs="Arial"/>
        </w:rPr>
        <w:t xml:space="preserve">Las cuestiones de medición no previstas en las normas contables profesionales argentinas generales o particulares y que no puedan resolverse mediante la utilización del Marco Conceptual </w:t>
      </w:r>
      <w:r w:rsidRPr="009F1200">
        <w:rPr>
          <w:rFonts w:ascii="Arial" w:hAnsi="Arial" w:cs="Arial"/>
        </w:rPr>
        <w:lastRenderedPageBreak/>
        <w:t xml:space="preserve">de las mencionadas normas contables, podrán resolverse mediante la aplicación en forma supletoria de: (i) las NIIF, la NIIF para las </w:t>
      </w:r>
      <w:proofErr w:type="spellStart"/>
      <w:r w:rsidRPr="009F1200">
        <w:rPr>
          <w:rFonts w:ascii="Arial" w:hAnsi="Arial" w:cs="Arial"/>
        </w:rPr>
        <w:t>PyMES</w:t>
      </w:r>
      <w:proofErr w:type="spellEnd"/>
      <w:r w:rsidRPr="009F1200">
        <w:rPr>
          <w:rFonts w:ascii="Arial" w:hAnsi="Arial" w:cs="Arial"/>
        </w:rPr>
        <w:t xml:space="preserve"> e Interpretaciones aprobadas por el IASB en orden descendente de prioridad; y (ii) sin un orden establecido, los pronunciamientos más recientes de otros emisores que empleen un marco conceptual similar para la emisión de normas contables, las prácticas aceptadas de la industria y la doctrina contable, con la condición de que las fuentes supletorias utilizadas no entren en conflicto con las fuentes normativas de la FACPCE y hasta tanto dicho organismo emita una norma que cubra la cuestión de medición involucrada.</w:t>
      </w:r>
    </w:p>
    <w:p w:rsidR="00E6745B" w:rsidRDefault="00E6745B" w:rsidP="005C2C97">
      <w:pPr>
        <w:pStyle w:val="Ttulo7"/>
        <w:numPr>
          <w:ilvl w:val="0"/>
          <w:numId w:val="1"/>
        </w:numPr>
        <w:tabs>
          <w:tab w:val="left" w:pos="426"/>
        </w:tabs>
        <w:jc w:val="left"/>
        <w:rPr>
          <w:rFonts w:ascii="Arial" w:hAnsi="Arial" w:cs="Arial"/>
          <w:b w:val="0"/>
          <w:sz w:val="20"/>
          <w:u w:val="single"/>
        </w:rPr>
      </w:pPr>
      <w:r>
        <w:rPr>
          <w:rFonts w:ascii="Arial" w:hAnsi="Arial" w:cs="Arial"/>
          <w:b w:val="0"/>
          <w:sz w:val="20"/>
          <w:u w:val="single"/>
        </w:rPr>
        <w:t xml:space="preserve">Unidad de medida </w:t>
      </w:r>
    </w:p>
    <w:p w:rsidR="00E6745B" w:rsidRPr="008323E6" w:rsidRDefault="00E6745B" w:rsidP="00E6745B">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rPr>
          <w:rFonts w:ascii="Arial" w:hAnsi="Arial" w:cs="Arial"/>
          <w:bCs/>
          <w:sz w:val="10"/>
          <w:szCs w:val="10"/>
          <w:u w:val="single"/>
          <w:lang w:eastAsia="es-AR"/>
        </w:rPr>
      </w:pPr>
    </w:p>
    <w:p w:rsidR="00D41490" w:rsidRDefault="00D41490" w:rsidP="009F1200">
      <w:pPr>
        <w:spacing w:afterLines="50" w:after="120" w:line="240" w:lineRule="exact"/>
        <w:ind w:left="284"/>
        <w:jc w:val="both"/>
        <w:rPr>
          <w:rFonts w:ascii="Arial" w:hAnsi="Arial" w:cs="Arial"/>
        </w:rPr>
      </w:pPr>
      <w:r w:rsidRPr="00D41490">
        <w:rPr>
          <w:rFonts w:ascii="Arial" w:hAnsi="Arial" w:cs="Arial"/>
        </w:rPr>
        <w:t xml:space="preserve">Los presentes estados contables están expresados en pesos, salvo cuando se indique lo contrario, y han sido preparados en moneda homogénea (pesos de mayo de 2019), reconociendo en forma integral los efectos de la inflación de conformidad con lo establecido en la RT N° 6, en virtud de haberse determinado la existencia de un contexto de alta inflación que vuelve necesaria la </w:t>
      </w:r>
      <w:proofErr w:type="spellStart"/>
      <w:r w:rsidRPr="00D41490">
        <w:rPr>
          <w:rFonts w:ascii="Arial" w:hAnsi="Arial" w:cs="Arial"/>
        </w:rPr>
        <w:t>reexpresión</w:t>
      </w:r>
      <w:proofErr w:type="spellEnd"/>
      <w:r w:rsidRPr="00D41490">
        <w:rPr>
          <w:rFonts w:ascii="Arial" w:hAnsi="Arial" w:cs="Arial"/>
        </w:rPr>
        <w:t xml:space="preserve"> de los estados contables.</w:t>
      </w:r>
    </w:p>
    <w:p w:rsidR="009F1200" w:rsidRPr="00B569DA" w:rsidRDefault="009F1200" w:rsidP="009F1200">
      <w:pPr>
        <w:spacing w:afterLines="50" w:after="120" w:line="240" w:lineRule="exact"/>
        <w:ind w:left="284"/>
        <w:jc w:val="both"/>
        <w:rPr>
          <w:rFonts w:ascii="Arial" w:hAnsi="Arial" w:cs="Arial"/>
        </w:rPr>
      </w:pPr>
      <w:r w:rsidRPr="00B569DA">
        <w:rPr>
          <w:rFonts w:ascii="Arial" w:hAnsi="Arial" w:cs="Arial"/>
        </w:rPr>
        <w:t xml:space="preserve">Desde la entrada en vigencia de la RT N° 39 (aprobada por el </w:t>
      </w:r>
      <w:r>
        <w:rPr>
          <w:rFonts w:ascii="Arial" w:hAnsi="Arial" w:cs="Arial"/>
        </w:rPr>
        <w:t>CPCECABA mediante Resolución C.</w:t>
      </w:r>
      <w:r w:rsidRPr="00B569DA">
        <w:rPr>
          <w:rFonts w:ascii="Arial" w:hAnsi="Arial" w:cs="Arial"/>
        </w:rPr>
        <w:t xml:space="preserve">D. N° 20/2014), que modificó las normas sobre unidad de medida de la RT N° 17, la necesidad de </w:t>
      </w:r>
      <w:proofErr w:type="spellStart"/>
      <w:r w:rsidRPr="00B569DA">
        <w:rPr>
          <w:rFonts w:ascii="Arial" w:hAnsi="Arial" w:cs="Arial"/>
        </w:rPr>
        <w:t>reexpresar</w:t>
      </w:r>
      <w:proofErr w:type="spellEnd"/>
      <w:r w:rsidRPr="00B569DA">
        <w:rPr>
          <w:rFonts w:ascii="Arial" w:hAnsi="Arial" w:cs="Arial"/>
        </w:rPr>
        <w:t xml:space="preserve"> los estados contables para reflejar los cambios en el poder adquisitivo de la moneda viene indicada por la existencia o no de un contexto de inflación tal que lleve a calificar la economía de altamente inflacionaria. A los fines de identificar la existencia de un entorno económico inflacionario, la Interpretación N° 8 (aprobada por el </w:t>
      </w:r>
      <w:r>
        <w:rPr>
          <w:rFonts w:ascii="Arial" w:hAnsi="Arial" w:cs="Arial"/>
        </w:rPr>
        <w:t xml:space="preserve">CPCECABA mediante Resolución C.D. </w:t>
      </w:r>
      <w:r w:rsidRPr="00B569DA">
        <w:rPr>
          <w:rFonts w:ascii="Arial" w:hAnsi="Arial" w:cs="Arial"/>
        </w:rPr>
        <w:t xml:space="preserve">N° 115/2014) brinda una pauta cuantitativa que es condición necesaria para proceder a </w:t>
      </w:r>
      <w:proofErr w:type="spellStart"/>
      <w:r w:rsidRPr="00B569DA">
        <w:rPr>
          <w:rFonts w:ascii="Arial" w:hAnsi="Arial" w:cs="Arial"/>
        </w:rPr>
        <w:t>reexpresar</w:t>
      </w:r>
      <w:proofErr w:type="spellEnd"/>
      <w:r w:rsidRPr="00B569DA">
        <w:rPr>
          <w:rFonts w:ascii="Arial" w:hAnsi="Arial" w:cs="Arial"/>
        </w:rPr>
        <w:t xml:space="preserve"> las </w:t>
      </w:r>
      <w:r>
        <w:rPr>
          <w:rFonts w:ascii="Arial" w:hAnsi="Arial" w:cs="Arial"/>
        </w:rPr>
        <w:t>cifras de los estados contables:</w:t>
      </w:r>
      <w:r w:rsidRPr="00B569DA">
        <w:rPr>
          <w:rFonts w:ascii="Arial" w:hAnsi="Arial" w:cs="Arial"/>
        </w:rPr>
        <w:t xml:space="preserve"> dicha pauta consiste en que la tasa acumulada de inflación en tres </w:t>
      </w:r>
      <w:r>
        <w:rPr>
          <w:rFonts w:ascii="Arial" w:hAnsi="Arial" w:cs="Arial"/>
        </w:rPr>
        <w:t xml:space="preserve">años, considerando el </w:t>
      </w:r>
      <w:proofErr w:type="spellStart"/>
      <w:r>
        <w:rPr>
          <w:rFonts w:ascii="Arial" w:hAnsi="Arial" w:cs="Arial"/>
        </w:rPr>
        <w:t>I</w:t>
      </w:r>
      <w:r w:rsidRPr="00B569DA">
        <w:rPr>
          <w:rFonts w:ascii="Arial" w:hAnsi="Arial" w:cs="Arial"/>
        </w:rPr>
        <w:t>ndice</w:t>
      </w:r>
      <w:proofErr w:type="spellEnd"/>
      <w:r w:rsidRPr="00B569DA">
        <w:rPr>
          <w:rFonts w:ascii="Arial" w:hAnsi="Arial" w:cs="Arial"/>
        </w:rPr>
        <w:t xml:space="preserve"> de Precios Internos al por Mayor (IPIM) elaborado por el Instituto Nacional de Estadística y Censos (INDEC), alcance o sobrepase el 100 %, entre otros factores.</w:t>
      </w:r>
    </w:p>
    <w:p w:rsidR="009F1200" w:rsidRPr="00B569DA" w:rsidRDefault="009F1200" w:rsidP="009F1200">
      <w:pPr>
        <w:spacing w:afterLines="50" w:after="120" w:line="240" w:lineRule="exact"/>
        <w:ind w:left="284"/>
        <w:jc w:val="both"/>
        <w:rPr>
          <w:rFonts w:ascii="Arial" w:hAnsi="Arial" w:cs="Arial"/>
        </w:rPr>
      </w:pPr>
      <w:r w:rsidRPr="00B569DA">
        <w:rPr>
          <w:rFonts w:ascii="Arial" w:hAnsi="Arial" w:cs="Arial"/>
        </w:rPr>
        <w:t>Durante el primer semestre de 2018, diversos factores macroeconómicos produjeron una aceleración significativa de la inflación, resultando en índices que excedieron el 100 % acumulado en tres años, y en proyecciones de inflación que confirmaron dicha tendencia. Como consecuencia de ello, la Junta de Gobierno de la FACP</w:t>
      </w:r>
      <w:r>
        <w:rPr>
          <w:rFonts w:ascii="Arial" w:hAnsi="Arial" w:cs="Arial"/>
        </w:rPr>
        <w:t>CE emitió la Resolución J.</w:t>
      </w:r>
      <w:r w:rsidRPr="00B569DA">
        <w:rPr>
          <w:rFonts w:ascii="Arial" w:hAnsi="Arial" w:cs="Arial"/>
        </w:rPr>
        <w:t xml:space="preserve">G. N° 539/2018 </w:t>
      </w:r>
      <w:r>
        <w:rPr>
          <w:rFonts w:ascii="Arial" w:hAnsi="Arial" w:cs="Arial"/>
        </w:rPr>
        <w:t xml:space="preserve">(RJG N° 539) </w:t>
      </w:r>
      <w:r w:rsidRPr="00B569DA">
        <w:rPr>
          <w:rFonts w:ascii="Arial" w:hAnsi="Arial" w:cs="Arial"/>
        </w:rPr>
        <w:t xml:space="preserve">(aprobada por el </w:t>
      </w:r>
      <w:r>
        <w:rPr>
          <w:rFonts w:ascii="Arial" w:hAnsi="Arial" w:cs="Arial"/>
        </w:rPr>
        <w:t>CPCECABA mediante Resolución C.</w:t>
      </w:r>
      <w:r w:rsidRPr="00B569DA">
        <w:rPr>
          <w:rFonts w:ascii="Arial" w:hAnsi="Arial" w:cs="Arial"/>
        </w:rPr>
        <w:t>D. N° 107/2018), indicando que se encontraba configurado el contexto de alta inflación y que los estados contables correspondientes a períodos anuales o intermedios cerrados a partir del 1</w:t>
      </w:r>
      <w:r>
        <w:rPr>
          <w:rFonts w:ascii="Arial" w:hAnsi="Arial" w:cs="Arial"/>
        </w:rPr>
        <w:t>°</w:t>
      </w:r>
      <w:r w:rsidRPr="00B569DA">
        <w:rPr>
          <w:rFonts w:ascii="Arial" w:hAnsi="Arial" w:cs="Arial"/>
        </w:rPr>
        <w:t xml:space="preserve"> de julio de 2018 deberían ser ajustados para reflejar los cambios en el poder adquisitivo de la moneda. La mencionada resolución también indicó que los estados contables correspondientes a períodos anuales o intermedios cerrados hasta el 30 de junio de 2018 inclusive no deberían </w:t>
      </w:r>
      <w:proofErr w:type="spellStart"/>
      <w:r w:rsidRPr="00B569DA">
        <w:rPr>
          <w:rFonts w:ascii="Arial" w:hAnsi="Arial" w:cs="Arial"/>
        </w:rPr>
        <w:t>reexpresarse</w:t>
      </w:r>
      <w:proofErr w:type="spellEnd"/>
      <w:r w:rsidRPr="00B569DA">
        <w:rPr>
          <w:rFonts w:ascii="Arial" w:hAnsi="Arial" w:cs="Arial"/>
        </w:rPr>
        <w:t>.</w:t>
      </w:r>
    </w:p>
    <w:p w:rsidR="009F1200" w:rsidRDefault="009F1200" w:rsidP="009F1200">
      <w:pPr>
        <w:spacing w:afterLines="50" w:after="120" w:line="240" w:lineRule="exact"/>
        <w:ind w:left="284"/>
        <w:jc w:val="both"/>
        <w:rPr>
          <w:rFonts w:ascii="Arial" w:hAnsi="Arial" w:cs="Arial"/>
        </w:rPr>
      </w:pPr>
      <w:r w:rsidRPr="00B569DA">
        <w:rPr>
          <w:rFonts w:ascii="Arial" w:hAnsi="Arial" w:cs="Arial"/>
        </w:rPr>
        <w:t>La aplicación del ajuste por inflación había sido discontinuada el 28 de febrero de 2003 por la vigencia del Decreto N° 664/2003 del Poder Ejecutivo Nacional (PEN), que instruyó a ciertos organismos de contralor a no recibir estados contables ajustados por inflación a partir del 1</w:t>
      </w:r>
      <w:r>
        <w:rPr>
          <w:rFonts w:ascii="Arial" w:hAnsi="Arial" w:cs="Arial"/>
        </w:rPr>
        <w:t>°</w:t>
      </w:r>
      <w:r w:rsidRPr="00B569DA">
        <w:rPr>
          <w:rFonts w:ascii="Arial" w:hAnsi="Arial" w:cs="Arial"/>
        </w:rPr>
        <w:t xml:space="preserve"> de marzo de 2003. Conforme lo resuelto por la FACP</w:t>
      </w:r>
      <w:r>
        <w:rPr>
          <w:rFonts w:ascii="Arial" w:hAnsi="Arial" w:cs="Arial"/>
        </w:rPr>
        <w:t>CE a través de la Resolución J.</w:t>
      </w:r>
      <w:r w:rsidRPr="00B569DA">
        <w:rPr>
          <w:rFonts w:ascii="Arial" w:hAnsi="Arial" w:cs="Arial"/>
        </w:rPr>
        <w:t>G. N° 287/03, y por el CPCECAB</w:t>
      </w:r>
      <w:r>
        <w:rPr>
          <w:rFonts w:ascii="Arial" w:hAnsi="Arial" w:cs="Arial"/>
        </w:rPr>
        <w:t xml:space="preserve">A, a través de su Resolución M.D. </w:t>
      </w:r>
      <w:r w:rsidRPr="00B569DA">
        <w:rPr>
          <w:rFonts w:ascii="Arial" w:hAnsi="Arial" w:cs="Arial"/>
        </w:rPr>
        <w:t>N° 41/2003, hubiera correspondido la discontinuación de la aplicación del ajuste por inflación a partir del 1</w:t>
      </w:r>
      <w:r>
        <w:rPr>
          <w:rFonts w:ascii="Arial" w:hAnsi="Arial" w:cs="Arial"/>
        </w:rPr>
        <w:t>°</w:t>
      </w:r>
      <w:r w:rsidRPr="00B569DA">
        <w:rPr>
          <w:rFonts w:ascii="Arial" w:hAnsi="Arial" w:cs="Arial"/>
        </w:rPr>
        <w:t xml:space="preserve"> de octubre de 2003; sin embargo, los cambios en el poder adquisitivo de la moneda entre el 28 de febrero de 2003 y el 30 de septiembre de 2003 no fueron significativos. El referido Decreto N° 664/2003 fue derogado tras la promulgación de la Ley N° 27.468, el 3 de diciembre de 2018. </w:t>
      </w:r>
    </w:p>
    <w:p w:rsidR="009F1200" w:rsidRPr="005F65B6" w:rsidRDefault="009F1200" w:rsidP="009F1200">
      <w:pPr>
        <w:spacing w:afterLines="50" w:after="120" w:line="240" w:lineRule="exact"/>
        <w:ind w:left="284"/>
        <w:jc w:val="both"/>
        <w:rPr>
          <w:rFonts w:ascii="Arial" w:hAnsi="Arial" w:cs="Arial"/>
        </w:rPr>
      </w:pPr>
      <w:r w:rsidRPr="005F65B6">
        <w:rPr>
          <w:rFonts w:ascii="Arial" w:hAnsi="Arial" w:cs="Arial"/>
        </w:rPr>
        <w:t xml:space="preserve">Con fecha 21 de diciembre de 2018 la </w:t>
      </w:r>
      <w:r w:rsidR="00A4668F">
        <w:rPr>
          <w:rFonts w:ascii="Arial" w:hAnsi="Arial" w:cs="Arial"/>
        </w:rPr>
        <w:t>Inspección General de Justicia (</w:t>
      </w:r>
      <w:r w:rsidRPr="005F65B6">
        <w:rPr>
          <w:rFonts w:ascii="Arial" w:hAnsi="Arial" w:cs="Arial"/>
        </w:rPr>
        <w:t>IGJ</w:t>
      </w:r>
      <w:r w:rsidR="00A4668F">
        <w:rPr>
          <w:rFonts w:ascii="Arial" w:hAnsi="Arial" w:cs="Arial"/>
        </w:rPr>
        <w:t>)</w:t>
      </w:r>
      <w:r w:rsidRPr="005F65B6">
        <w:rPr>
          <w:rFonts w:ascii="Arial" w:hAnsi="Arial" w:cs="Arial"/>
        </w:rPr>
        <w:t xml:space="preserve"> emitió la RG</w:t>
      </w:r>
      <w:r>
        <w:rPr>
          <w:rFonts w:ascii="Arial" w:hAnsi="Arial" w:cs="Arial"/>
        </w:rPr>
        <w:t xml:space="preserve"> N° </w:t>
      </w:r>
      <w:r w:rsidRPr="005F65B6">
        <w:rPr>
          <w:rFonts w:ascii="Arial" w:hAnsi="Arial" w:cs="Arial"/>
        </w:rPr>
        <w:t>10/2018, con vigencia a partir del 28 de</w:t>
      </w:r>
      <w:r>
        <w:rPr>
          <w:rFonts w:ascii="Arial" w:hAnsi="Arial" w:cs="Arial"/>
        </w:rPr>
        <w:t xml:space="preserve"> </w:t>
      </w:r>
      <w:r w:rsidRPr="005F65B6">
        <w:rPr>
          <w:rFonts w:ascii="Arial" w:hAnsi="Arial" w:cs="Arial"/>
        </w:rPr>
        <w:t>diciembre de 2018, la cual derogó el artículo 305 inciso 9 de la RG</w:t>
      </w:r>
      <w:r>
        <w:rPr>
          <w:rFonts w:ascii="Arial" w:hAnsi="Arial" w:cs="Arial"/>
        </w:rPr>
        <w:t xml:space="preserve"> </w:t>
      </w:r>
      <w:r w:rsidRPr="005F65B6">
        <w:rPr>
          <w:rFonts w:ascii="Arial" w:hAnsi="Arial" w:cs="Arial"/>
        </w:rPr>
        <w:t>N° 7/2015 de dicho organismo y sustituyó el artículo 312 de la mencionada resolución</w:t>
      </w:r>
      <w:r>
        <w:rPr>
          <w:rFonts w:ascii="Arial" w:hAnsi="Arial" w:cs="Arial"/>
        </w:rPr>
        <w:t xml:space="preserve"> </w:t>
      </w:r>
      <w:r w:rsidRPr="005F65B6">
        <w:rPr>
          <w:rFonts w:ascii="Arial" w:hAnsi="Arial" w:cs="Arial"/>
        </w:rPr>
        <w:t xml:space="preserve">estableciendo que los estados contables correspondientes a ejercicios económicos completos o períodos intermedios, con excepción de los confeccionados por entidades comprendidas en regímenes legales sujetos a fiscalización especial, deberán presentarse ante ese organismo expresados en </w:t>
      </w:r>
      <w:r w:rsidRPr="005F65B6">
        <w:rPr>
          <w:rFonts w:ascii="Arial" w:hAnsi="Arial" w:cs="Arial"/>
        </w:rPr>
        <w:lastRenderedPageBreak/>
        <w:t>moneda homogénea, aplicando para ello las normas emitidas por la FACPCE</w:t>
      </w:r>
      <w:r>
        <w:rPr>
          <w:rFonts w:ascii="Arial" w:hAnsi="Arial" w:cs="Arial"/>
        </w:rPr>
        <w:t xml:space="preserve"> </w:t>
      </w:r>
      <w:r w:rsidRPr="005F65B6">
        <w:rPr>
          <w:rFonts w:ascii="Arial" w:hAnsi="Arial" w:cs="Arial"/>
        </w:rPr>
        <w:t>y</w:t>
      </w:r>
      <w:r>
        <w:rPr>
          <w:rFonts w:ascii="Arial" w:hAnsi="Arial" w:cs="Arial"/>
        </w:rPr>
        <w:t xml:space="preserve"> </w:t>
      </w:r>
      <w:r w:rsidRPr="005F65B6">
        <w:rPr>
          <w:rFonts w:ascii="Arial" w:hAnsi="Arial" w:cs="Arial"/>
        </w:rPr>
        <w:t>adoptadas por</w:t>
      </w:r>
      <w:r>
        <w:rPr>
          <w:rFonts w:ascii="Arial" w:hAnsi="Arial" w:cs="Arial"/>
        </w:rPr>
        <w:t xml:space="preserve"> </w:t>
      </w:r>
      <w:r w:rsidRPr="005F65B6">
        <w:rPr>
          <w:rFonts w:ascii="Arial" w:hAnsi="Arial" w:cs="Arial"/>
        </w:rPr>
        <w:t>el</w:t>
      </w:r>
      <w:r>
        <w:rPr>
          <w:rFonts w:ascii="Arial" w:hAnsi="Arial" w:cs="Arial"/>
        </w:rPr>
        <w:t xml:space="preserve"> </w:t>
      </w:r>
      <w:r w:rsidRPr="005F65B6">
        <w:rPr>
          <w:rFonts w:ascii="Arial" w:hAnsi="Arial" w:cs="Arial"/>
        </w:rPr>
        <w:t>CPCECABA. Con fecha 26 de diciembre de 2018 la CNV emitió la RG</w:t>
      </w:r>
      <w:r>
        <w:rPr>
          <w:rFonts w:ascii="Arial" w:hAnsi="Arial" w:cs="Arial"/>
        </w:rPr>
        <w:t xml:space="preserve"> N° </w:t>
      </w:r>
      <w:r w:rsidRPr="005F65B6">
        <w:rPr>
          <w:rFonts w:ascii="Arial" w:hAnsi="Arial" w:cs="Arial"/>
        </w:rPr>
        <w:t xml:space="preserve">777/2018, publicada en el Boletín Oficial el 28 de diciembre de 2018, que establece que se aplicará la </w:t>
      </w:r>
      <w:proofErr w:type="spellStart"/>
      <w:r w:rsidRPr="005F65B6">
        <w:rPr>
          <w:rFonts w:ascii="Arial" w:hAnsi="Arial" w:cs="Arial"/>
        </w:rPr>
        <w:t>reexpresión</w:t>
      </w:r>
      <w:proofErr w:type="spellEnd"/>
      <w:r w:rsidRPr="005F65B6">
        <w:rPr>
          <w:rFonts w:ascii="Arial" w:hAnsi="Arial" w:cs="Arial"/>
        </w:rPr>
        <w:t xml:space="preserve"> de estados financieros a los estados anuales, por períodos intermedios y especiales que cierren a partir del 31 de diciembre de 2018 inclusive, admitiéndose su aplicación anticipada para los estados financieros que se presenten a partir del 29 de diciembre de 2018.</w:t>
      </w:r>
    </w:p>
    <w:p w:rsidR="009F1200" w:rsidRPr="00B569DA" w:rsidRDefault="009F1200" w:rsidP="009F1200">
      <w:pPr>
        <w:spacing w:after="120" w:line="240" w:lineRule="exact"/>
        <w:ind w:left="284"/>
        <w:jc w:val="both"/>
        <w:rPr>
          <w:rFonts w:ascii="Arial" w:hAnsi="Arial" w:cs="Arial"/>
          <w:u w:val="single"/>
        </w:rPr>
      </w:pPr>
      <w:r w:rsidRPr="00B569DA">
        <w:rPr>
          <w:rFonts w:ascii="Arial" w:hAnsi="Arial" w:cs="Arial"/>
          <w:u w:val="single"/>
        </w:rPr>
        <w:t xml:space="preserve">Descripción del proceso de </w:t>
      </w:r>
      <w:proofErr w:type="spellStart"/>
      <w:r w:rsidRPr="00B569DA">
        <w:rPr>
          <w:rFonts w:ascii="Arial" w:hAnsi="Arial" w:cs="Arial"/>
          <w:u w:val="single"/>
        </w:rPr>
        <w:t>reexpresión</w:t>
      </w:r>
      <w:proofErr w:type="spellEnd"/>
      <w:r w:rsidRPr="00B569DA">
        <w:rPr>
          <w:rFonts w:ascii="Arial" w:hAnsi="Arial" w:cs="Arial"/>
          <w:u w:val="single"/>
        </w:rPr>
        <w:t xml:space="preserve"> a moneda de cierre:</w:t>
      </w:r>
    </w:p>
    <w:p w:rsidR="009F1200" w:rsidRPr="00B569DA" w:rsidRDefault="009F1200" w:rsidP="009F1200">
      <w:pPr>
        <w:spacing w:after="120" w:line="240" w:lineRule="exact"/>
        <w:ind w:left="284"/>
        <w:jc w:val="both"/>
        <w:rPr>
          <w:rFonts w:ascii="Arial" w:hAnsi="Arial" w:cs="Arial"/>
        </w:rPr>
      </w:pPr>
      <w:r w:rsidRPr="00B569DA">
        <w:rPr>
          <w:rFonts w:ascii="Arial" w:hAnsi="Arial" w:cs="Arial"/>
        </w:rPr>
        <w:t xml:space="preserve">A efectos de </w:t>
      </w:r>
      <w:proofErr w:type="spellStart"/>
      <w:r w:rsidRPr="00B569DA">
        <w:rPr>
          <w:rFonts w:ascii="Arial" w:hAnsi="Arial" w:cs="Arial"/>
        </w:rPr>
        <w:t>reexpresar</w:t>
      </w:r>
      <w:proofErr w:type="spellEnd"/>
      <w:r w:rsidRPr="00B569DA">
        <w:rPr>
          <w:rFonts w:ascii="Arial" w:hAnsi="Arial" w:cs="Arial"/>
        </w:rPr>
        <w:t xml:space="preserve"> las diferentes partidas y rubros que integran l</w:t>
      </w:r>
      <w:r>
        <w:rPr>
          <w:rFonts w:ascii="Arial" w:hAnsi="Arial" w:cs="Arial"/>
        </w:rPr>
        <w:t>os estados contables, los principales procedimientos aplicados por la Sociedad</w:t>
      </w:r>
      <w:r w:rsidRPr="00B569DA">
        <w:rPr>
          <w:rFonts w:ascii="Arial" w:hAnsi="Arial" w:cs="Arial"/>
        </w:rPr>
        <w:t xml:space="preserve"> </w:t>
      </w:r>
      <w:r>
        <w:rPr>
          <w:rFonts w:ascii="Arial" w:hAnsi="Arial" w:cs="Arial"/>
        </w:rPr>
        <w:t>fueron los siguientes</w:t>
      </w:r>
      <w:r w:rsidRPr="00B569DA">
        <w:rPr>
          <w:rFonts w:ascii="Arial" w:hAnsi="Arial" w:cs="Arial"/>
        </w:rPr>
        <w:t>:</w:t>
      </w:r>
    </w:p>
    <w:p w:rsidR="009F1200" w:rsidRPr="00B569DA" w:rsidRDefault="009F1200" w:rsidP="009F1200">
      <w:pPr>
        <w:numPr>
          <w:ilvl w:val="1"/>
          <w:numId w:val="2"/>
        </w:numPr>
        <w:spacing w:afterLines="50" w:after="120" w:line="240" w:lineRule="exact"/>
        <w:ind w:left="426" w:hanging="142"/>
        <w:jc w:val="both"/>
        <w:rPr>
          <w:rFonts w:ascii="Arial" w:hAnsi="Arial" w:cs="Arial"/>
        </w:rPr>
      </w:pPr>
      <w:r>
        <w:rPr>
          <w:rFonts w:ascii="Arial" w:hAnsi="Arial" w:cs="Arial"/>
        </w:rPr>
        <w:t>Eliminación</w:t>
      </w:r>
      <w:r w:rsidRPr="00B569DA">
        <w:rPr>
          <w:rFonts w:ascii="Arial" w:hAnsi="Arial" w:cs="Arial"/>
        </w:rPr>
        <w:t xml:space="preserve"> </w:t>
      </w:r>
      <w:r>
        <w:rPr>
          <w:rFonts w:ascii="Arial" w:hAnsi="Arial" w:cs="Arial"/>
        </w:rPr>
        <w:t xml:space="preserve">de </w:t>
      </w:r>
      <w:r w:rsidRPr="00B569DA">
        <w:rPr>
          <w:rFonts w:ascii="Arial" w:hAnsi="Arial" w:cs="Arial"/>
        </w:rPr>
        <w:t>los ajustes parciales contabilizados, a fin de evitar su duplicación.</w:t>
      </w:r>
    </w:p>
    <w:p w:rsidR="009F1200" w:rsidRPr="00B569DA" w:rsidRDefault="009F1200" w:rsidP="009F1200">
      <w:pPr>
        <w:numPr>
          <w:ilvl w:val="1"/>
          <w:numId w:val="2"/>
        </w:numPr>
        <w:spacing w:afterLines="50" w:after="120" w:line="240" w:lineRule="exact"/>
        <w:ind w:left="426" w:hanging="142"/>
        <w:jc w:val="both"/>
        <w:rPr>
          <w:rFonts w:ascii="Arial" w:hAnsi="Arial" w:cs="Arial"/>
        </w:rPr>
      </w:pPr>
      <w:r w:rsidRPr="00B569DA">
        <w:rPr>
          <w:rFonts w:ascii="Arial" w:hAnsi="Arial" w:cs="Arial"/>
        </w:rPr>
        <w:t>Dete</w:t>
      </w:r>
      <w:r>
        <w:rPr>
          <w:rFonts w:ascii="Arial" w:hAnsi="Arial" w:cs="Arial"/>
        </w:rPr>
        <w:t>rminación de</w:t>
      </w:r>
      <w:r w:rsidRPr="00B569DA">
        <w:rPr>
          <w:rFonts w:ascii="Arial" w:hAnsi="Arial" w:cs="Arial"/>
        </w:rPr>
        <w:t xml:space="preserve">l momento de origen de las partidas (o el momento de su última </w:t>
      </w:r>
      <w:proofErr w:type="spellStart"/>
      <w:r w:rsidRPr="00B569DA">
        <w:rPr>
          <w:rFonts w:ascii="Arial" w:hAnsi="Arial" w:cs="Arial"/>
        </w:rPr>
        <w:t>reexpresión</w:t>
      </w:r>
      <w:proofErr w:type="spellEnd"/>
      <w:r w:rsidRPr="00B569DA">
        <w:rPr>
          <w:rFonts w:ascii="Arial" w:hAnsi="Arial" w:cs="Arial"/>
        </w:rPr>
        <w:t>, según corresponda).</w:t>
      </w:r>
    </w:p>
    <w:p w:rsidR="00366BBA" w:rsidRPr="00342A97" w:rsidRDefault="00366BBA" w:rsidP="00366BBA">
      <w:pPr>
        <w:numPr>
          <w:ilvl w:val="1"/>
          <w:numId w:val="2"/>
        </w:numPr>
        <w:spacing w:afterLines="50" w:after="120" w:line="240" w:lineRule="exact"/>
        <w:ind w:left="426" w:hanging="142"/>
        <w:jc w:val="both"/>
        <w:rPr>
          <w:rFonts w:ascii="Arial" w:hAnsi="Arial" w:cs="Arial"/>
        </w:rPr>
      </w:pPr>
      <w:r w:rsidRPr="00342A97">
        <w:rPr>
          <w:rFonts w:ascii="Arial" w:hAnsi="Arial" w:cs="Arial"/>
        </w:rPr>
        <w:t xml:space="preserve">Cálculo de los coeficientes de </w:t>
      </w:r>
      <w:proofErr w:type="spellStart"/>
      <w:r w:rsidRPr="00342A97">
        <w:rPr>
          <w:rFonts w:ascii="Arial" w:hAnsi="Arial" w:cs="Arial"/>
        </w:rPr>
        <w:t>reexpresión</w:t>
      </w:r>
      <w:proofErr w:type="spellEnd"/>
      <w:r w:rsidRPr="00342A97">
        <w:rPr>
          <w:rFonts w:ascii="Arial" w:hAnsi="Arial" w:cs="Arial"/>
        </w:rPr>
        <w:t xml:space="preserve"> aplicables. A tal efecto, la serie de índices aplicados es la resultante de combinar la serie del IPIM del INDEC hasta noviembre de 2016, con el </w:t>
      </w:r>
      <w:proofErr w:type="spellStart"/>
      <w:r w:rsidRPr="00342A97">
        <w:rPr>
          <w:rFonts w:ascii="Arial" w:hAnsi="Arial" w:cs="Arial"/>
        </w:rPr>
        <w:t>Indice</w:t>
      </w:r>
      <w:proofErr w:type="spellEnd"/>
      <w:r w:rsidRPr="00342A97">
        <w:rPr>
          <w:rFonts w:ascii="Arial" w:hAnsi="Arial" w:cs="Arial"/>
        </w:rPr>
        <w:t xml:space="preserve"> de Precios al Consumidor Nacional (IPC) del INDEC a partir de diciembre de 2016, ambas fechas inclusive. La FACPCE es responsable de compilar, combinar y publicar las series de índices referidas.</w:t>
      </w:r>
    </w:p>
    <w:p w:rsidR="009F1200" w:rsidRPr="00B569DA" w:rsidRDefault="009F1200" w:rsidP="009F1200">
      <w:pPr>
        <w:numPr>
          <w:ilvl w:val="1"/>
          <w:numId w:val="2"/>
        </w:numPr>
        <w:spacing w:afterLines="50" w:after="120" w:line="240" w:lineRule="exact"/>
        <w:ind w:left="426" w:hanging="142"/>
        <w:jc w:val="both"/>
        <w:rPr>
          <w:rFonts w:ascii="Arial" w:hAnsi="Arial" w:cs="Arial"/>
        </w:rPr>
      </w:pPr>
      <w:r>
        <w:rPr>
          <w:rFonts w:ascii="Arial" w:hAnsi="Arial" w:cs="Arial"/>
        </w:rPr>
        <w:t>Aplicación de</w:t>
      </w:r>
      <w:r w:rsidRPr="00B569DA">
        <w:rPr>
          <w:rFonts w:ascii="Arial" w:hAnsi="Arial" w:cs="Arial"/>
        </w:rPr>
        <w:t xml:space="preserve"> los coeficientes de </w:t>
      </w:r>
      <w:proofErr w:type="spellStart"/>
      <w:r w:rsidRPr="00B569DA">
        <w:rPr>
          <w:rFonts w:ascii="Arial" w:hAnsi="Arial" w:cs="Arial"/>
        </w:rPr>
        <w:t>reexpresión</w:t>
      </w:r>
      <w:proofErr w:type="spellEnd"/>
      <w:r w:rsidRPr="00B569DA">
        <w:rPr>
          <w:rFonts w:ascii="Arial" w:hAnsi="Arial" w:cs="Arial"/>
        </w:rPr>
        <w:t xml:space="preserve"> a los importes de las partidas anticuadas para </w:t>
      </w:r>
      <w:proofErr w:type="spellStart"/>
      <w:r w:rsidRPr="00B569DA">
        <w:rPr>
          <w:rFonts w:ascii="Arial" w:hAnsi="Arial" w:cs="Arial"/>
        </w:rPr>
        <w:t>reexpresarlas</w:t>
      </w:r>
      <w:proofErr w:type="spellEnd"/>
      <w:r w:rsidRPr="00B569DA">
        <w:rPr>
          <w:rFonts w:ascii="Arial" w:hAnsi="Arial" w:cs="Arial"/>
        </w:rPr>
        <w:t xml:space="preserve"> a moneda de cierre. A este respecto, las partidas </w:t>
      </w:r>
      <w:proofErr w:type="spellStart"/>
      <w:r>
        <w:rPr>
          <w:rFonts w:ascii="Arial" w:hAnsi="Arial" w:cs="Arial"/>
        </w:rPr>
        <w:t>reexpresadas</w:t>
      </w:r>
      <w:proofErr w:type="spellEnd"/>
      <w:r>
        <w:rPr>
          <w:rFonts w:ascii="Arial" w:hAnsi="Arial" w:cs="Arial"/>
        </w:rPr>
        <w:t xml:space="preserve"> han sido aquellas no expresadas en moneda de cierre</w:t>
      </w:r>
      <w:r w:rsidRPr="00B569DA">
        <w:rPr>
          <w:rFonts w:ascii="Arial" w:hAnsi="Arial" w:cs="Arial"/>
        </w:rPr>
        <w:t xml:space="preserve">. Asimismo, los cambios en el poder adquisitivo de la moneda </w:t>
      </w:r>
      <w:r>
        <w:rPr>
          <w:rFonts w:ascii="Arial" w:hAnsi="Arial" w:cs="Arial"/>
        </w:rPr>
        <w:t>reconocidos han sido</w:t>
      </w:r>
      <w:r w:rsidRPr="00B569DA">
        <w:rPr>
          <w:rFonts w:ascii="Arial" w:hAnsi="Arial" w:cs="Arial"/>
        </w:rPr>
        <w:t xml:space="preserve"> aquellos ocurridos desde el 1</w:t>
      </w:r>
      <w:r>
        <w:rPr>
          <w:rFonts w:ascii="Arial" w:hAnsi="Arial" w:cs="Arial"/>
        </w:rPr>
        <w:t>°</w:t>
      </w:r>
      <w:r w:rsidRPr="00B569DA">
        <w:rPr>
          <w:rFonts w:ascii="Arial" w:hAnsi="Arial" w:cs="Arial"/>
        </w:rPr>
        <w:t xml:space="preserve"> de marzo de 2003</w:t>
      </w:r>
      <w:r>
        <w:rPr>
          <w:rFonts w:ascii="Arial" w:hAnsi="Arial" w:cs="Arial"/>
        </w:rPr>
        <w:t>.</w:t>
      </w:r>
    </w:p>
    <w:p w:rsidR="009F1200" w:rsidRPr="00B569DA" w:rsidRDefault="009F1200" w:rsidP="009F1200">
      <w:pPr>
        <w:numPr>
          <w:ilvl w:val="1"/>
          <w:numId w:val="2"/>
        </w:numPr>
        <w:spacing w:afterLines="50" w:after="120" w:line="240" w:lineRule="exact"/>
        <w:ind w:left="426" w:hanging="142"/>
        <w:jc w:val="both"/>
        <w:rPr>
          <w:rFonts w:ascii="Arial" w:hAnsi="Arial" w:cs="Arial"/>
        </w:rPr>
      </w:pPr>
      <w:r>
        <w:rPr>
          <w:rFonts w:ascii="Arial" w:hAnsi="Arial" w:cs="Arial"/>
        </w:rPr>
        <w:t>Comprobación de</w:t>
      </w:r>
      <w:r w:rsidRPr="00B569DA">
        <w:rPr>
          <w:rFonts w:ascii="Arial" w:hAnsi="Arial" w:cs="Arial"/>
        </w:rPr>
        <w:t xml:space="preserve"> que los valores </w:t>
      </w:r>
      <w:proofErr w:type="spellStart"/>
      <w:r w:rsidRPr="00B569DA">
        <w:rPr>
          <w:rFonts w:ascii="Arial" w:hAnsi="Arial" w:cs="Arial"/>
        </w:rPr>
        <w:t>reexpresados</w:t>
      </w:r>
      <w:proofErr w:type="spellEnd"/>
      <w:r w:rsidRPr="00B569DA">
        <w:rPr>
          <w:rFonts w:ascii="Arial" w:hAnsi="Arial" w:cs="Arial"/>
        </w:rPr>
        <w:t xml:space="preserve"> de los diferentes activos no excedan a sus correspondientes valores recuperables determinados de acuerdo con las normas contables profesionales pertinentes.</w:t>
      </w:r>
    </w:p>
    <w:p w:rsidR="009F1200" w:rsidRDefault="009F1200" w:rsidP="009F1200">
      <w:pPr>
        <w:spacing w:after="120" w:line="240" w:lineRule="exact"/>
        <w:ind w:left="284"/>
        <w:jc w:val="both"/>
        <w:rPr>
          <w:rFonts w:ascii="Arial" w:hAnsi="Arial" w:cs="Arial"/>
        </w:rPr>
      </w:pPr>
      <w:r w:rsidRPr="00B569DA">
        <w:rPr>
          <w:rFonts w:ascii="Arial" w:hAnsi="Arial" w:cs="Arial"/>
        </w:rPr>
        <w:t xml:space="preserve">La aplicación del proceso de </w:t>
      </w:r>
      <w:proofErr w:type="spellStart"/>
      <w:r w:rsidRPr="00B569DA">
        <w:rPr>
          <w:rFonts w:ascii="Arial" w:hAnsi="Arial" w:cs="Arial"/>
        </w:rPr>
        <w:t>reexpresión</w:t>
      </w:r>
      <w:proofErr w:type="spellEnd"/>
      <w:r w:rsidRPr="00B569DA">
        <w:rPr>
          <w:rFonts w:ascii="Arial" w:hAnsi="Arial" w:cs="Arial"/>
        </w:rPr>
        <w:t xml:space="preserve"> establecido en la RT N° 6 permite el reconocimiento de las ganancias y pérdidas derivadas del mantenimiento de activos y pasivos expuestos a los cambios en el poder adquisitivo de la moneda a lo largo del período. Tales ganancias y pérdidas se exponen en el rubro “Resultados financieros y por tenencia” del estado de resulta</w:t>
      </w:r>
      <w:r>
        <w:rPr>
          <w:rFonts w:ascii="Arial" w:hAnsi="Arial" w:cs="Arial"/>
        </w:rPr>
        <w:t>dos como RECPAM, acrónimo de “Resultado por Exposición a los Cambios en el Poder Adquisitivo de la Moneda”.</w:t>
      </w:r>
    </w:p>
    <w:p w:rsidR="009F1200" w:rsidRDefault="009F1200" w:rsidP="009F1200">
      <w:pPr>
        <w:spacing w:after="120" w:line="240" w:lineRule="exact"/>
        <w:ind w:left="284"/>
        <w:jc w:val="both"/>
        <w:rPr>
          <w:rFonts w:ascii="Arial" w:hAnsi="Arial" w:cs="Arial"/>
        </w:rPr>
      </w:pPr>
      <w:r>
        <w:rPr>
          <w:rFonts w:ascii="Arial" w:hAnsi="Arial" w:cs="Arial"/>
        </w:rPr>
        <w:t xml:space="preserve">En la aplicación inicial del método de </w:t>
      </w:r>
      <w:proofErr w:type="spellStart"/>
      <w:r>
        <w:rPr>
          <w:rFonts w:ascii="Arial" w:hAnsi="Arial" w:cs="Arial"/>
        </w:rPr>
        <w:t>reexpresión</w:t>
      </w:r>
      <w:proofErr w:type="spellEnd"/>
      <w:r>
        <w:rPr>
          <w:rFonts w:ascii="Arial" w:hAnsi="Arial" w:cs="Arial"/>
        </w:rPr>
        <w:t xml:space="preserve">, los componentes del patrimonio neto fueron </w:t>
      </w:r>
      <w:proofErr w:type="spellStart"/>
      <w:r>
        <w:rPr>
          <w:rFonts w:ascii="Arial" w:hAnsi="Arial" w:cs="Arial"/>
        </w:rPr>
        <w:t>reexpresados</w:t>
      </w:r>
      <w:proofErr w:type="spellEnd"/>
      <w:r>
        <w:rPr>
          <w:rFonts w:ascii="Arial" w:hAnsi="Arial" w:cs="Arial"/>
        </w:rPr>
        <w:t xml:space="preserve"> de la siguiente manera:</w:t>
      </w:r>
    </w:p>
    <w:p w:rsidR="0047249E" w:rsidRDefault="0047249E" w:rsidP="0047249E">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567"/>
        <w:jc w:val="both"/>
        <w:rPr>
          <w:rFonts w:ascii="Arial" w:hAnsi="Arial" w:cs="Arial"/>
          <w:sz w:val="10"/>
          <w:szCs w:val="10"/>
        </w:rPr>
      </w:pPr>
    </w:p>
    <w:tbl>
      <w:tblPr>
        <w:tblW w:w="7361" w:type="dxa"/>
        <w:jc w:val="center"/>
        <w:tblCellMar>
          <w:left w:w="70" w:type="dxa"/>
          <w:right w:w="70" w:type="dxa"/>
        </w:tblCellMar>
        <w:tblLook w:val="04A0" w:firstRow="1" w:lastRow="0" w:firstColumn="1" w:lastColumn="0" w:noHBand="0" w:noVBand="1"/>
      </w:tblPr>
      <w:tblGrid>
        <w:gridCol w:w="3220"/>
        <w:gridCol w:w="4141"/>
      </w:tblGrid>
      <w:tr w:rsidR="00E6745B" w:rsidRPr="0042385B" w:rsidTr="005C2C97">
        <w:trPr>
          <w:trHeight w:val="255"/>
          <w:jc w:val="center"/>
        </w:trPr>
        <w:tc>
          <w:tcPr>
            <w:tcW w:w="3220" w:type="dxa"/>
            <w:tcBorders>
              <w:top w:val="single" w:sz="8" w:space="0" w:color="BFBFBF"/>
              <w:left w:val="single" w:sz="8" w:space="0" w:color="BFBFBF"/>
              <w:bottom w:val="single" w:sz="8" w:space="0" w:color="BFBFBF"/>
              <w:right w:val="single" w:sz="8" w:space="0" w:color="BFBFBF"/>
            </w:tcBorders>
            <w:shd w:val="clear" w:color="auto" w:fill="auto"/>
            <w:noWrap/>
            <w:vAlign w:val="center"/>
            <w:hideMark/>
          </w:tcPr>
          <w:p w:rsidR="00E6745B" w:rsidRPr="0042385B" w:rsidRDefault="00E6745B" w:rsidP="00E6745B">
            <w:pPr>
              <w:tabs>
                <w:tab w:val="left" w:pos="1118"/>
                <w:tab w:val="left" w:pos="8177"/>
              </w:tabs>
              <w:ind w:left="284"/>
              <w:jc w:val="center"/>
              <w:rPr>
                <w:rFonts w:ascii="Calibri" w:hAnsi="Calibri"/>
                <w:b/>
                <w:bCs/>
                <w:color w:val="000000"/>
                <w:lang w:eastAsia="es-AR"/>
              </w:rPr>
            </w:pPr>
            <w:r w:rsidRPr="0042385B">
              <w:rPr>
                <w:rFonts w:ascii="Calibri" w:hAnsi="Calibri"/>
                <w:b/>
                <w:bCs/>
                <w:color w:val="000000"/>
                <w:lang w:eastAsia="es-AR"/>
              </w:rPr>
              <w:t>Componente</w:t>
            </w:r>
          </w:p>
        </w:tc>
        <w:tc>
          <w:tcPr>
            <w:tcW w:w="4141" w:type="dxa"/>
            <w:tcBorders>
              <w:top w:val="single" w:sz="8" w:space="0" w:color="BFBFBF"/>
              <w:left w:val="nil"/>
              <w:bottom w:val="single" w:sz="8" w:space="0" w:color="BFBFBF"/>
              <w:right w:val="single" w:sz="8" w:space="0" w:color="BFBFBF"/>
            </w:tcBorders>
            <w:shd w:val="clear" w:color="auto" w:fill="auto"/>
            <w:noWrap/>
            <w:vAlign w:val="center"/>
            <w:hideMark/>
          </w:tcPr>
          <w:p w:rsidR="00E6745B" w:rsidRPr="0042385B" w:rsidRDefault="00E6745B" w:rsidP="00E6745B">
            <w:pPr>
              <w:tabs>
                <w:tab w:val="left" w:pos="1118"/>
                <w:tab w:val="left" w:pos="8177"/>
              </w:tabs>
              <w:ind w:left="284"/>
              <w:jc w:val="center"/>
              <w:rPr>
                <w:rFonts w:ascii="Calibri" w:hAnsi="Calibri"/>
                <w:b/>
                <w:bCs/>
                <w:color w:val="000000"/>
                <w:lang w:eastAsia="es-AR"/>
              </w:rPr>
            </w:pPr>
            <w:r w:rsidRPr="0042385B">
              <w:rPr>
                <w:rFonts w:ascii="Calibri" w:hAnsi="Calibri"/>
                <w:b/>
                <w:bCs/>
                <w:color w:val="000000"/>
                <w:lang w:eastAsia="es-AR"/>
              </w:rPr>
              <w:t>Fecha de origen</w:t>
            </w:r>
          </w:p>
        </w:tc>
      </w:tr>
      <w:tr w:rsidR="00E6745B" w:rsidRPr="0042385B" w:rsidTr="005C2C97">
        <w:trPr>
          <w:trHeight w:val="255"/>
          <w:jc w:val="center"/>
        </w:trPr>
        <w:tc>
          <w:tcPr>
            <w:tcW w:w="3220" w:type="dxa"/>
            <w:tcBorders>
              <w:top w:val="nil"/>
              <w:left w:val="single" w:sz="8" w:space="0" w:color="BFBFBF"/>
              <w:bottom w:val="single" w:sz="8" w:space="0" w:color="BFBFBF"/>
              <w:right w:val="single" w:sz="8" w:space="0" w:color="BFBFBF"/>
            </w:tcBorders>
            <w:shd w:val="clear" w:color="auto" w:fill="auto"/>
            <w:noWrap/>
            <w:vAlign w:val="center"/>
            <w:hideMark/>
          </w:tcPr>
          <w:p w:rsidR="00E6745B" w:rsidRPr="0042385B" w:rsidRDefault="00E6745B" w:rsidP="00E6745B">
            <w:pPr>
              <w:tabs>
                <w:tab w:val="left" w:pos="1118"/>
                <w:tab w:val="left" w:pos="8177"/>
              </w:tabs>
              <w:ind w:left="284"/>
              <w:rPr>
                <w:rFonts w:ascii="Calibri" w:hAnsi="Calibri"/>
                <w:color w:val="000000"/>
                <w:lang w:eastAsia="es-AR"/>
              </w:rPr>
            </w:pPr>
            <w:r w:rsidRPr="0042385B">
              <w:rPr>
                <w:rFonts w:ascii="Calibri" w:hAnsi="Calibri"/>
                <w:color w:val="000000"/>
                <w:lang w:eastAsia="es-AR"/>
              </w:rPr>
              <w:t>Capital</w:t>
            </w:r>
          </w:p>
        </w:tc>
        <w:tc>
          <w:tcPr>
            <w:tcW w:w="4141" w:type="dxa"/>
            <w:tcBorders>
              <w:top w:val="nil"/>
              <w:left w:val="nil"/>
              <w:bottom w:val="single" w:sz="8" w:space="0" w:color="BFBFBF"/>
              <w:right w:val="single" w:sz="8" w:space="0" w:color="BFBFBF"/>
            </w:tcBorders>
            <w:shd w:val="clear" w:color="auto" w:fill="auto"/>
            <w:noWrap/>
            <w:vAlign w:val="center"/>
            <w:hideMark/>
          </w:tcPr>
          <w:p w:rsidR="00E6745B" w:rsidRPr="0042385B" w:rsidRDefault="00E6745B" w:rsidP="00E6745B">
            <w:pPr>
              <w:tabs>
                <w:tab w:val="left" w:pos="1118"/>
                <w:tab w:val="left" w:pos="8177"/>
              </w:tabs>
              <w:ind w:left="284"/>
              <w:rPr>
                <w:rFonts w:ascii="Calibri" w:hAnsi="Calibri"/>
                <w:color w:val="000000"/>
                <w:lang w:eastAsia="es-AR"/>
              </w:rPr>
            </w:pPr>
            <w:r w:rsidRPr="0042385B">
              <w:rPr>
                <w:rFonts w:ascii="Calibri" w:hAnsi="Calibri"/>
                <w:color w:val="000000"/>
                <w:lang w:eastAsia="es-AR"/>
              </w:rPr>
              <w:t>Fecha de suscripción</w:t>
            </w:r>
          </w:p>
        </w:tc>
      </w:tr>
    </w:tbl>
    <w:p w:rsidR="00822CD3" w:rsidRPr="006B6525" w:rsidRDefault="00822CD3" w:rsidP="00822CD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rPr>
          <w:rFonts w:ascii="Arial" w:hAnsi="Arial" w:cs="Arial"/>
          <w:sz w:val="10"/>
          <w:szCs w:val="10"/>
        </w:rPr>
      </w:pPr>
    </w:p>
    <w:p w:rsidR="009F1200" w:rsidRDefault="009F1200" w:rsidP="009F1200">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567"/>
        <w:jc w:val="both"/>
        <w:rPr>
          <w:rFonts w:ascii="Arial" w:hAnsi="Arial" w:cs="Arial"/>
          <w:sz w:val="10"/>
          <w:szCs w:val="10"/>
        </w:rPr>
      </w:pPr>
    </w:p>
    <w:p w:rsidR="0047249E" w:rsidRDefault="0047249E" w:rsidP="009F1200">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567"/>
        <w:jc w:val="both"/>
        <w:rPr>
          <w:rFonts w:ascii="Arial" w:hAnsi="Arial" w:cs="Arial"/>
          <w:sz w:val="10"/>
          <w:szCs w:val="10"/>
        </w:rPr>
      </w:pPr>
    </w:p>
    <w:p w:rsidR="009F1200" w:rsidRDefault="009F1200" w:rsidP="009F1200">
      <w:pPr>
        <w:pStyle w:val="Ttulo7"/>
        <w:numPr>
          <w:ilvl w:val="0"/>
          <w:numId w:val="1"/>
        </w:numPr>
        <w:tabs>
          <w:tab w:val="left" w:pos="426"/>
        </w:tabs>
        <w:jc w:val="left"/>
        <w:rPr>
          <w:rFonts w:ascii="Arial" w:hAnsi="Arial" w:cs="Arial"/>
          <w:b w:val="0"/>
          <w:sz w:val="20"/>
          <w:u w:val="single"/>
        </w:rPr>
      </w:pPr>
      <w:r>
        <w:rPr>
          <w:rFonts w:ascii="Arial" w:hAnsi="Arial" w:cs="Arial"/>
          <w:b w:val="0"/>
          <w:sz w:val="20"/>
          <w:u w:val="single"/>
        </w:rPr>
        <w:t>Efectivo</w:t>
      </w:r>
      <w:r w:rsidR="00D41490">
        <w:rPr>
          <w:rFonts w:ascii="Arial" w:hAnsi="Arial" w:cs="Arial"/>
          <w:b w:val="0"/>
          <w:sz w:val="20"/>
          <w:u w:val="single"/>
        </w:rPr>
        <w:t xml:space="preserve"> y equivalentes de efectivo</w:t>
      </w:r>
    </w:p>
    <w:p w:rsidR="009F1200" w:rsidRPr="006B6525" w:rsidRDefault="009F1200" w:rsidP="009F1200">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cs="Arial"/>
          <w:sz w:val="10"/>
          <w:szCs w:val="10"/>
        </w:rPr>
      </w:pPr>
    </w:p>
    <w:p w:rsidR="009F1200" w:rsidRDefault="009F1200" w:rsidP="009F1200">
      <w:pPr>
        <w:spacing w:afterLines="50" w:after="120" w:line="240" w:lineRule="exact"/>
        <w:ind w:left="284"/>
        <w:jc w:val="both"/>
        <w:rPr>
          <w:rFonts w:ascii="Arial" w:hAnsi="Arial" w:cs="Arial"/>
        </w:rPr>
      </w:pPr>
      <w:r w:rsidRPr="005F65B6">
        <w:rPr>
          <w:rFonts w:ascii="Arial" w:hAnsi="Arial" w:cs="Arial"/>
        </w:rPr>
        <w:t>Para la preparación del estado de flujo de efectivo se consideraron caja y los equivalentes de caja que comprenden todas las inversiones de muy alta liquidez, con vencimientos originalmente pactados inferiores a tres meses.</w:t>
      </w:r>
    </w:p>
    <w:p w:rsidR="004A04FB" w:rsidRDefault="004A04FB" w:rsidP="004A04FB">
      <w:pPr>
        <w:spacing w:afterLines="50" w:after="120" w:line="240" w:lineRule="exact"/>
        <w:ind w:left="284"/>
        <w:jc w:val="both"/>
        <w:rPr>
          <w:rFonts w:ascii="Arial" w:hAnsi="Arial" w:cs="Arial"/>
        </w:rPr>
      </w:pPr>
    </w:p>
    <w:p w:rsidR="0047249E" w:rsidRDefault="0047249E" w:rsidP="004A04FB">
      <w:pPr>
        <w:spacing w:afterLines="50" w:after="120" w:line="240" w:lineRule="exact"/>
        <w:ind w:left="284"/>
        <w:jc w:val="both"/>
        <w:rPr>
          <w:rFonts w:ascii="Arial" w:hAnsi="Arial" w:cs="Arial"/>
        </w:rPr>
      </w:pPr>
    </w:p>
    <w:p w:rsidR="0047249E" w:rsidRDefault="0047249E" w:rsidP="004A04FB">
      <w:pPr>
        <w:spacing w:afterLines="50" w:after="120" w:line="240" w:lineRule="exact"/>
        <w:ind w:left="284"/>
        <w:jc w:val="both"/>
        <w:rPr>
          <w:rFonts w:ascii="Arial" w:hAnsi="Arial" w:cs="Arial"/>
        </w:rPr>
      </w:pPr>
    </w:p>
    <w:p w:rsidR="0047249E" w:rsidRDefault="0047249E" w:rsidP="004A04FB">
      <w:pPr>
        <w:spacing w:afterLines="50" w:after="120" w:line="240" w:lineRule="exact"/>
        <w:ind w:left="284"/>
        <w:jc w:val="both"/>
        <w:rPr>
          <w:rFonts w:ascii="Arial" w:hAnsi="Arial" w:cs="Arial"/>
        </w:rPr>
      </w:pPr>
    </w:p>
    <w:p w:rsidR="005C2C97" w:rsidRPr="005C2C97" w:rsidRDefault="005C2C97" w:rsidP="005C2C97">
      <w:pPr>
        <w:tabs>
          <w:tab w:val="left" w:pos="1118"/>
          <w:tab w:val="left" w:pos="8177"/>
        </w:tabs>
        <w:spacing w:line="360" w:lineRule="atLeast"/>
        <w:jc w:val="both"/>
        <w:rPr>
          <w:rFonts w:ascii="Arial" w:hAnsi="Arial"/>
          <w:b/>
          <w:u w:val="single"/>
        </w:rPr>
      </w:pPr>
      <w:r w:rsidRPr="005C2C97">
        <w:rPr>
          <w:rFonts w:ascii="Arial" w:hAnsi="Arial"/>
          <w:b/>
          <w:u w:val="single"/>
        </w:rPr>
        <w:lastRenderedPageBreak/>
        <w:t>NOTA 3.- CRITERIOS DE VALUACIÓN Y EXPOSICIÓN</w:t>
      </w:r>
    </w:p>
    <w:p w:rsidR="00437F83" w:rsidRPr="005C2C97"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tabs>
          <w:tab w:val="left" w:pos="1118"/>
          <w:tab w:val="left" w:pos="8177"/>
        </w:tabs>
        <w:spacing w:afterLines="50" w:after="120" w:line="240" w:lineRule="exact"/>
        <w:ind w:left="284"/>
        <w:jc w:val="both"/>
        <w:rPr>
          <w:rFonts w:ascii="Arial" w:hAnsi="Arial" w:cs="Arial"/>
        </w:rPr>
      </w:pPr>
      <w:r w:rsidRPr="005C2C97">
        <w:rPr>
          <w:rFonts w:ascii="Arial" w:hAnsi="Arial" w:cs="Arial"/>
        </w:rPr>
        <w:t>A continuación se detallan los criterios de valuación y exposición utilizados para la confección de los estados contables:</w:t>
      </w:r>
    </w:p>
    <w:p w:rsidR="005C2C97" w:rsidRDefault="005C2C97" w:rsidP="005C2C97">
      <w:pPr>
        <w:pStyle w:val="Ttulo7"/>
        <w:numPr>
          <w:ilvl w:val="0"/>
          <w:numId w:val="3"/>
        </w:numPr>
        <w:tabs>
          <w:tab w:val="left" w:pos="426"/>
        </w:tabs>
        <w:jc w:val="left"/>
        <w:rPr>
          <w:rFonts w:ascii="Arial" w:hAnsi="Arial" w:cs="Arial"/>
          <w:sz w:val="20"/>
          <w:u w:val="single"/>
        </w:rPr>
      </w:pPr>
      <w:r w:rsidRPr="005C2C97">
        <w:rPr>
          <w:rFonts w:ascii="Arial" w:hAnsi="Arial" w:cs="Arial"/>
          <w:sz w:val="20"/>
          <w:u w:val="single"/>
        </w:rPr>
        <w:t xml:space="preserve">Caja y </w:t>
      </w:r>
      <w:r w:rsidR="001553A6">
        <w:rPr>
          <w:rFonts w:ascii="Arial" w:hAnsi="Arial" w:cs="Arial"/>
          <w:sz w:val="20"/>
          <w:u w:val="single"/>
        </w:rPr>
        <w:t>b</w:t>
      </w:r>
      <w:r w:rsidRPr="005C2C97">
        <w:rPr>
          <w:rFonts w:ascii="Arial" w:hAnsi="Arial" w:cs="Arial"/>
          <w:sz w:val="20"/>
          <w:u w:val="single"/>
        </w:rPr>
        <w:t>ancos</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En moneda nacional: a su valor  nominal.</w:t>
      </w:r>
    </w:p>
    <w:p w:rsidR="002C2043" w:rsidRPr="002C2043" w:rsidRDefault="005C2C97" w:rsidP="002C2043">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En moneda extranjera: se convirtieron a los tipos de cambio vigentes al cierre de cada período / ejercicio.</w:t>
      </w:r>
      <w:r w:rsidR="002C2043">
        <w:rPr>
          <w:rFonts w:ascii="Arial" w:hAnsi="Arial" w:cs="Arial"/>
          <w:szCs w:val="24"/>
          <w:lang w:val="es-ES"/>
        </w:rPr>
        <w:t xml:space="preserve"> </w:t>
      </w:r>
      <w:r w:rsidR="002C2043" w:rsidRPr="002C2043">
        <w:rPr>
          <w:rFonts w:ascii="Arial" w:hAnsi="Arial" w:cs="Arial"/>
          <w:szCs w:val="24"/>
          <w:lang w:val="es-ES"/>
        </w:rPr>
        <w:t xml:space="preserve">El detalle respectivo se expone en el Anexo G. Las diferencias de cambio fueron imputadas al resultado de cada </w:t>
      </w:r>
      <w:r w:rsidR="002C2043">
        <w:rPr>
          <w:rFonts w:ascii="Arial" w:hAnsi="Arial" w:cs="Arial"/>
          <w:szCs w:val="24"/>
          <w:lang w:val="es-ES"/>
        </w:rPr>
        <w:t xml:space="preserve">período / </w:t>
      </w:r>
      <w:r w:rsidR="002C2043" w:rsidRPr="002C2043">
        <w:rPr>
          <w:rFonts w:ascii="Arial" w:hAnsi="Arial" w:cs="Arial"/>
          <w:szCs w:val="24"/>
          <w:lang w:val="es-ES"/>
        </w:rPr>
        <w:t>ejercicio.</w:t>
      </w:r>
    </w:p>
    <w:p w:rsidR="005C2C97" w:rsidRDefault="005C2C97" w:rsidP="005C2C97">
      <w:pPr>
        <w:pStyle w:val="Ttulo7"/>
        <w:numPr>
          <w:ilvl w:val="0"/>
          <w:numId w:val="3"/>
        </w:numPr>
        <w:tabs>
          <w:tab w:val="left" w:pos="426"/>
        </w:tabs>
        <w:jc w:val="left"/>
        <w:rPr>
          <w:rFonts w:ascii="Arial" w:hAnsi="Arial" w:cs="Arial"/>
          <w:sz w:val="20"/>
          <w:u w:val="single"/>
        </w:rPr>
      </w:pPr>
      <w:r>
        <w:rPr>
          <w:rFonts w:ascii="Arial" w:hAnsi="Arial" w:cs="Arial"/>
          <w:sz w:val="20"/>
          <w:u w:val="single"/>
        </w:rPr>
        <w:t>I</w:t>
      </w:r>
      <w:r w:rsidRPr="005C2C97">
        <w:rPr>
          <w:rFonts w:ascii="Arial" w:hAnsi="Arial" w:cs="Arial"/>
          <w:sz w:val="20"/>
          <w:u w:val="single"/>
        </w:rPr>
        <w:t>nversiones</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 xml:space="preserve">Colocaciones de fondos en moneda nacional - Fondos de </w:t>
      </w:r>
      <w:r w:rsidR="001553A6">
        <w:rPr>
          <w:rFonts w:ascii="Arial" w:hAnsi="Arial" w:cs="Arial"/>
          <w:szCs w:val="24"/>
          <w:lang w:val="es-ES"/>
        </w:rPr>
        <w:t>i</w:t>
      </w:r>
      <w:r w:rsidRPr="005C2C97">
        <w:rPr>
          <w:rFonts w:ascii="Arial" w:hAnsi="Arial" w:cs="Arial"/>
          <w:szCs w:val="24"/>
          <w:lang w:val="es-ES"/>
        </w:rPr>
        <w:t>nversión: a su valor de cotización al cierre de cada período / ejercicio.</w:t>
      </w:r>
    </w:p>
    <w:p w:rsidR="005C2C97" w:rsidRDefault="005C2C97" w:rsidP="005C2C97">
      <w:pPr>
        <w:pStyle w:val="Ttulo7"/>
        <w:numPr>
          <w:ilvl w:val="0"/>
          <w:numId w:val="3"/>
        </w:numPr>
        <w:tabs>
          <w:tab w:val="left" w:pos="426"/>
        </w:tabs>
        <w:jc w:val="left"/>
        <w:rPr>
          <w:rFonts w:ascii="Arial" w:hAnsi="Arial" w:cs="Arial"/>
          <w:sz w:val="20"/>
          <w:u w:val="single"/>
        </w:rPr>
      </w:pPr>
      <w:r w:rsidRPr="005C2C97">
        <w:rPr>
          <w:rFonts w:ascii="Arial" w:hAnsi="Arial" w:cs="Arial"/>
          <w:sz w:val="20"/>
          <w:u w:val="single"/>
        </w:rPr>
        <w:t xml:space="preserve">Créditos y </w:t>
      </w:r>
      <w:r w:rsidR="001553A6">
        <w:rPr>
          <w:rFonts w:ascii="Arial" w:hAnsi="Arial" w:cs="Arial"/>
          <w:sz w:val="20"/>
          <w:u w:val="single"/>
        </w:rPr>
        <w:t>d</w:t>
      </w:r>
      <w:r w:rsidRPr="005C2C97">
        <w:rPr>
          <w:rFonts w:ascii="Arial" w:hAnsi="Arial" w:cs="Arial"/>
          <w:sz w:val="20"/>
          <w:u w:val="single"/>
        </w:rPr>
        <w:t>eudas</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En moneda nacional: se valuaron al valor de los flujos de fondos que originarán los mismos, descontados en la medida que sus efectos sean significativos, utilizando tasas implícitas, explícitas o de mercado, según corresponda, vigentes al momento de cada transacción. En el caso de saldos por transacciones no comerciales se valuaron a su valor nominal considerando los intereses devengados al cierre de cada período / ejercicio.</w:t>
      </w: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 xml:space="preserve">En moneda extranjera: conforme a los lineamientos indicados en el párrafo precedente, se calcularon los valores en moneda extranjera y se convirtieron a los tipos de cambio vigentes al cierre de cada período / ejercicio. </w:t>
      </w:r>
    </w:p>
    <w:p w:rsidR="005C2C97" w:rsidRPr="005C2C97" w:rsidRDefault="005C2C97" w:rsidP="005C2C97">
      <w:pPr>
        <w:tabs>
          <w:tab w:val="left" w:pos="1118"/>
          <w:tab w:val="left" w:pos="8177"/>
        </w:tabs>
        <w:spacing w:afterLines="50" w:after="120" w:line="240" w:lineRule="exact"/>
        <w:ind w:left="284"/>
        <w:jc w:val="both"/>
        <w:rPr>
          <w:rFonts w:ascii="Arial" w:hAnsi="Arial" w:cs="Arial"/>
        </w:rPr>
      </w:pPr>
      <w:r w:rsidRPr="005C2C97">
        <w:rPr>
          <w:rFonts w:ascii="Arial" w:hAnsi="Arial" w:cs="Arial"/>
        </w:rPr>
        <w:t>La información requerida por las normas contables profesionales vigentes respecto a plazos y tasas de interés de los créditos y deudas se expone en la Nota 6.</w:t>
      </w:r>
    </w:p>
    <w:p w:rsidR="005C2C97" w:rsidRPr="005C2C97" w:rsidRDefault="005C2C97" w:rsidP="005C2C97">
      <w:pPr>
        <w:pStyle w:val="Ttulo7"/>
        <w:numPr>
          <w:ilvl w:val="0"/>
          <w:numId w:val="3"/>
        </w:numPr>
        <w:tabs>
          <w:tab w:val="left" w:pos="426"/>
        </w:tabs>
        <w:jc w:val="left"/>
        <w:rPr>
          <w:rFonts w:ascii="Arial" w:hAnsi="Arial" w:cs="Arial"/>
          <w:sz w:val="20"/>
          <w:u w:val="single"/>
        </w:rPr>
      </w:pPr>
      <w:r w:rsidRPr="005C2C97">
        <w:rPr>
          <w:rFonts w:ascii="Arial" w:hAnsi="Arial" w:cs="Arial"/>
          <w:sz w:val="20"/>
          <w:u w:val="single"/>
        </w:rPr>
        <w:t xml:space="preserve">Bienes de </w:t>
      </w:r>
      <w:r w:rsidR="001553A6">
        <w:rPr>
          <w:rFonts w:ascii="Arial" w:hAnsi="Arial" w:cs="Arial"/>
          <w:sz w:val="20"/>
          <w:u w:val="single"/>
        </w:rPr>
        <w:t>c</w:t>
      </w:r>
      <w:r w:rsidRPr="005C2C97">
        <w:rPr>
          <w:rFonts w:ascii="Arial" w:hAnsi="Arial" w:cs="Arial"/>
          <w:sz w:val="20"/>
          <w:u w:val="single"/>
        </w:rPr>
        <w:t>ambio</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 xml:space="preserve">Productos en </w:t>
      </w:r>
      <w:r w:rsidR="001553A6">
        <w:rPr>
          <w:rFonts w:ascii="Arial" w:hAnsi="Arial" w:cs="Arial"/>
          <w:szCs w:val="24"/>
          <w:lang w:val="es-ES"/>
        </w:rPr>
        <w:t>p</w:t>
      </w:r>
      <w:r w:rsidRPr="005C2C97">
        <w:rPr>
          <w:rFonts w:ascii="Arial" w:hAnsi="Arial" w:cs="Arial"/>
          <w:szCs w:val="24"/>
          <w:lang w:val="es-ES"/>
        </w:rPr>
        <w:t xml:space="preserve">roceso. Sementera: ha sido medida al costo incurrido </w:t>
      </w:r>
      <w:proofErr w:type="spellStart"/>
      <w:r w:rsidRPr="005C2C97">
        <w:rPr>
          <w:rFonts w:ascii="Arial" w:hAnsi="Arial" w:cs="Arial"/>
          <w:szCs w:val="24"/>
          <w:lang w:val="es-ES"/>
        </w:rPr>
        <w:t>ree</w:t>
      </w:r>
      <w:r w:rsidR="00C65D75">
        <w:rPr>
          <w:rFonts w:ascii="Arial" w:hAnsi="Arial" w:cs="Arial"/>
          <w:szCs w:val="24"/>
          <w:lang w:val="es-ES"/>
        </w:rPr>
        <w:t>xpresado</w:t>
      </w:r>
      <w:proofErr w:type="spellEnd"/>
      <w:r w:rsidR="00C65D75">
        <w:rPr>
          <w:rFonts w:ascii="Arial" w:hAnsi="Arial" w:cs="Arial"/>
          <w:szCs w:val="24"/>
          <w:lang w:val="es-ES"/>
        </w:rPr>
        <w:t xml:space="preserve"> según lo mencionado en la N</w:t>
      </w:r>
      <w:r w:rsidRPr="005C2C97">
        <w:rPr>
          <w:rFonts w:ascii="Arial" w:hAnsi="Arial" w:cs="Arial"/>
          <w:szCs w:val="24"/>
          <w:lang w:val="es-ES"/>
        </w:rPr>
        <w:t>ota 2.-b), que no supera su valor neto de realización al cierre de cada período / ejercicio.</w:t>
      </w:r>
    </w:p>
    <w:p w:rsidR="005C2C97" w:rsidRPr="009224C3" w:rsidRDefault="009224C3" w:rsidP="009224C3">
      <w:pPr>
        <w:spacing w:afterLines="50" w:after="120" w:line="240" w:lineRule="exact"/>
        <w:ind w:left="426" w:hanging="142"/>
        <w:jc w:val="both"/>
        <w:rPr>
          <w:rFonts w:ascii="Arial" w:hAnsi="Arial" w:cs="Arial"/>
          <w:szCs w:val="24"/>
          <w:lang w:val="es-ES"/>
        </w:rPr>
      </w:pPr>
      <w:r>
        <w:rPr>
          <w:rFonts w:ascii="Arial" w:hAnsi="Arial" w:cs="Arial"/>
          <w:szCs w:val="24"/>
          <w:lang w:val="es-ES"/>
        </w:rPr>
        <w:t xml:space="preserve">- </w:t>
      </w:r>
      <w:r w:rsidR="005C2C97" w:rsidRPr="005C2C97">
        <w:rPr>
          <w:rFonts w:ascii="Arial" w:hAnsi="Arial" w:cs="Arial"/>
          <w:szCs w:val="24"/>
          <w:lang w:val="es-ES"/>
        </w:rPr>
        <w:t xml:space="preserve">Materias primas </w:t>
      </w:r>
      <w:r w:rsidR="002C2043">
        <w:rPr>
          <w:rFonts w:ascii="Arial" w:hAnsi="Arial" w:cs="Arial"/>
          <w:szCs w:val="24"/>
          <w:lang w:val="es-ES"/>
        </w:rPr>
        <w:t xml:space="preserve">compradas </w:t>
      </w:r>
      <w:r w:rsidR="005C2C97" w:rsidRPr="005C2C97">
        <w:rPr>
          <w:rFonts w:ascii="Arial" w:hAnsi="Arial" w:cs="Arial"/>
          <w:szCs w:val="24"/>
          <w:lang w:val="es-ES"/>
        </w:rPr>
        <w:t xml:space="preserve">y materiales: </w:t>
      </w:r>
      <w:r w:rsidR="00EE2EA1" w:rsidRPr="009224C3">
        <w:rPr>
          <w:rFonts w:ascii="Arial" w:hAnsi="Arial" w:cs="Arial"/>
          <w:szCs w:val="24"/>
          <w:lang w:val="es-ES"/>
        </w:rPr>
        <w:t>han sido valuados a su costo de reposición al cierre de cada período / ejercicio</w:t>
      </w:r>
      <w:r w:rsidRPr="009224C3">
        <w:rPr>
          <w:rFonts w:ascii="Arial" w:hAnsi="Arial" w:cs="Arial"/>
          <w:szCs w:val="24"/>
          <w:lang w:val="es-ES"/>
        </w:rPr>
        <w:t xml:space="preserve">, el cual no difiere significativamente del costo histórico </w:t>
      </w:r>
      <w:proofErr w:type="spellStart"/>
      <w:r w:rsidRPr="009224C3">
        <w:rPr>
          <w:rFonts w:ascii="Arial" w:hAnsi="Arial" w:cs="Arial"/>
          <w:szCs w:val="24"/>
          <w:lang w:val="es-ES"/>
        </w:rPr>
        <w:t>reexpresado</w:t>
      </w:r>
      <w:proofErr w:type="spellEnd"/>
      <w:r w:rsidRPr="009224C3">
        <w:rPr>
          <w:rFonts w:ascii="Arial" w:hAnsi="Arial" w:cs="Arial"/>
          <w:szCs w:val="24"/>
          <w:lang w:val="es-ES"/>
        </w:rPr>
        <w:t>.</w:t>
      </w:r>
    </w:p>
    <w:p w:rsidR="005C2C97" w:rsidRPr="005C2C97" w:rsidRDefault="00EE2EA1" w:rsidP="005C2C97">
      <w:pPr>
        <w:tabs>
          <w:tab w:val="left" w:pos="1118"/>
          <w:tab w:val="left" w:pos="8177"/>
        </w:tabs>
        <w:spacing w:afterLines="50" w:after="120" w:line="240" w:lineRule="exact"/>
        <w:ind w:left="284"/>
        <w:jc w:val="both"/>
        <w:rPr>
          <w:rFonts w:ascii="Arial" w:hAnsi="Arial" w:cs="Arial"/>
        </w:rPr>
      </w:pPr>
      <w:r>
        <w:rPr>
          <w:rFonts w:ascii="Arial" w:hAnsi="Arial" w:cs="Arial"/>
        </w:rPr>
        <w:t>El valor de los bienes de cambio</w:t>
      </w:r>
      <w:r w:rsidR="005C2C97" w:rsidRPr="005C2C97">
        <w:rPr>
          <w:rFonts w:ascii="Arial" w:hAnsi="Arial" w:cs="Arial"/>
        </w:rPr>
        <w:t xml:space="preserve"> no supera su valor recuperable.</w:t>
      </w:r>
    </w:p>
    <w:p w:rsidR="005C2C97" w:rsidRPr="005C2C97" w:rsidRDefault="005C2C97" w:rsidP="005C2C97">
      <w:pPr>
        <w:pStyle w:val="Ttulo7"/>
        <w:numPr>
          <w:ilvl w:val="0"/>
          <w:numId w:val="3"/>
        </w:numPr>
        <w:tabs>
          <w:tab w:val="left" w:pos="426"/>
        </w:tabs>
        <w:jc w:val="left"/>
        <w:rPr>
          <w:rFonts w:ascii="Arial" w:hAnsi="Arial" w:cs="Arial"/>
          <w:sz w:val="20"/>
          <w:u w:val="single"/>
        </w:rPr>
      </w:pPr>
      <w:r w:rsidRPr="005C2C97">
        <w:rPr>
          <w:rFonts w:ascii="Arial" w:hAnsi="Arial" w:cs="Arial"/>
          <w:sz w:val="20"/>
          <w:u w:val="single"/>
        </w:rPr>
        <w:t>Previsiones</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spacing w:afterLines="50" w:after="120" w:line="240" w:lineRule="exact"/>
        <w:ind w:left="426" w:hanging="142"/>
        <w:jc w:val="both"/>
        <w:rPr>
          <w:rFonts w:ascii="Arial" w:hAnsi="Arial" w:cs="Arial"/>
          <w:szCs w:val="24"/>
          <w:lang w:val="es-ES"/>
        </w:rPr>
      </w:pPr>
      <w:r w:rsidRPr="005C2C97">
        <w:rPr>
          <w:rFonts w:ascii="Arial" w:hAnsi="Arial" w:cs="Arial"/>
          <w:szCs w:val="24"/>
          <w:lang w:val="es-ES"/>
        </w:rPr>
        <w:t>-</w:t>
      </w:r>
      <w:r w:rsidRPr="005C2C97">
        <w:rPr>
          <w:rFonts w:ascii="Arial" w:hAnsi="Arial" w:cs="Arial"/>
          <w:szCs w:val="24"/>
          <w:lang w:val="es-ES"/>
        </w:rPr>
        <w:tab/>
        <w:t xml:space="preserve">Deducidas del </w:t>
      </w:r>
      <w:r w:rsidR="001553A6">
        <w:rPr>
          <w:rFonts w:ascii="Arial" w:hAnsi="Arial" w:cs="Arial"/>
          <w:szCs w:val="24"/>
          <w:lang w:val="es-ES"/>
        </w:rPr>
        <w:t>a</w:t>
      </w:r>
      <w:r w:rsidRPr="005C2C97">
        <w:rPr>
          <w:rFonts w:ascii="Arial" w:hAnsi="Arial" w:cs="Arial"/>
          <w:szCs w:val="24"/>
          <w:lang w:val="es-ES"/>
        </w:rPr>
        <w:t xml:space="preserve">ctivo: constituidas para regularizar y adecuar la valuación del rubro Otros </w:t>
      </w:r>
      <w:r w:rsidR="001553A6">
        <w:rPr>
          <w:rFonts w:ascii="Arial" w:hAnsi="Arial" w:cs="Arial"/>
          <w:szCs w:val="24"/>
          <w:lang w:val="es-ES"/>
        </w:rPr>
        <w:t>c</w:t>
      </w:r>
      <w:r w:rsidRPr="005C2C97">
        <w:rPr>
          <w:rFonts w:ascii="Arial" w:hAnsi="Arial" w:cs="Arial"/>
          <w:szCs w:val="24"/>
          <w:lang w:val="es-ES"/>
        </w:rPr>
        <w:t>réditos.</w:t>
      </w:r>
    </w:p>
    <w:p w:rsidR="005C2C97" w:rsidRPr="005C2C97" w:rsidRDefault="005C2C97" w:rsidP="005C2C97">
      <w:pPr>
        <w:spacing w:afterLines="50" w:after="120" w:line="240" w:lineRule="exact"/>
        <w:ind w:left="426" w:hanging="142"/>
        <w:jc w:val="both"/>
        <w:rPr>
          <w:rFonts w:ascii="Arial" w:hAnsi="Arial" w:cs="Arial"/>
        </w:rPr>
      </w:pPr>
      <w:r w:rsidRPr="005C2C97">
        <w:rPr>
          <w:rFonts w:ascii="Arial" w:hAnsi="Arial" w:cs="Arial"/>
          <w:szCs w:val="24"/>
          <w:lang w:val="es-ES"/>
        </w:rPr>
        <w:t>-</w:t>
      </w:r>
      <w:r w:rsidRPr="005C2C97">
        <w:rPr>
          <w:rFonts w:ascii="Arial" w:hAnsi="Arial" w:cs="Arial"/>
          <w:szCs w:val="24"/>
          <w:lang w:val="es-ES"/>
        </w:rPr>
        <w:tab/>
        <w:t xml:space="preserve">Incluidas en el </w:t>
      </w:r>
      <w:r w:rsidR="001553A6">
        <w:rPr>
          <w:rFonts w:ascii="Arial" w:hAnsi="Arial" w:cs="Arial"/>
          <w:szCs w:val="24"/>
          <w:lang w:val="es-ES"/>
        </w:rPr>
        <w:t>p</w:t>
      </w:r>
      <w:r w:rsidRPr="005C2C97">
        <w:rPr>
          <w:rFonts w:ascii="Arial" w:hAnsi="Arial" w:cs="Arial"/>
          <w:szCs w:val="24"/>
          <w:lang w:val="es-ES"/>
        </w:rPr>
        <w:t>asivo: se han constituido para afrontar situaciones contingentes que podrían originar obligaciones para la Sociedad. En la estimación de los montos se ha considerado</w:t>
      </w:r>
      <w:r w:rsidRPr="005C2C97">
        <w:rPr>
          <w:rFonts w:ascii="Arial" w:hAnsi="Arial" w:cs="Arial"/>
        </w:rPr>
        <w:t xml:space="preserve"> la probabilidad de su concreción en base a la opinión de los asesores legales de la Sociedad y de los restantes elementos de juicio disponibles.</w:t>
      </w:r>
    </w:p>
    <w:p w:rsidR="005C2C97" w:rsidRDefault="005C2C97" w:rsidP="005C2C97">
      <w:pPr>
        <w:tabs>
          <w:tab w:val="left" w:pos="1118"/>
          <w:tab w:val="left" w:pos="8177"/>
        </w:tabs>
        <w:spacing w:afterLines="50" w:after="120" w:line="240" w:lineRule="exact"/>
        <w:ind w:left="284"/>
        <w:jc w:val="both"/>
        <w:rPr>
          <w:rFonts w:ascii="Arial" w:hAnsi="Arial" w:cs="Arial"/>
        </w:rPr>
      </w:pPr>
      <w:r w:rsidRPr="005C2C97">
        <w:rPr>
          <w:rFonts w:ascii="Arial" w:hAnsi="Arial" w:cs="Arial"/>
        </w:rPr>
        <w:t>El movimiento de las previsiones se expone en el Anexo E.</w:t>
      </w:r>
    </w:p>
    <w:p w:rsidR="005C2C97" w:rsidRPr="005C2C97" w:rsidRDefault="005C2C97" w:rsidP="005C2C97">
      <w:pPr>
        <w:pStyle w:val="Ttulo7"/>
        <w:numPr>
          <w:ilvl w:val="0"/>
          <w:numId w:val="3"/>
        </w:numPr>
        <w:tabs>
          <w:tab w:val="left" w:pos="426"/>
        </w:tabs>
        <w:jc w:val="left"/>
        <w:rPr>
          <w:rFonts w:ascii="Arial" w:hAnsi="Arial" w:cs="Arial"/>
          <w:sz w:val="20"/>
          <w:u w:val="single"/>
        </w:rPr>
      </w:pPr>
      <w:r w:rsidRPr="005C2C97">
        <w:rPr>
          <w:rFonts w:ascii="Arial" w:hAnsi="Arial" w:cs="Arial"/>
          <w:sz w:val="20"/>
          <w:u w:val="single"/>
        </w:rPr>
        <w:t xml:space="preserve">Bienes de </w:t>
      </w:r>
      <w:r w:rsidR="001553A6">
        <w:rPr>
          <w:rFonts w:ascii="Arial" w:hAnsi="Arial" w:cs="Arial"/>
          <w:sz w:val="20"/>
          <w:u w:val="single"/>
        </w:rPr>
        <w:t>u</w:t>
      </w:r>
      <w:r w:rsidRPr="005C2C97">
        <w:rPr>
          <w:rFonts w:ascii="Arial" w:hAnsi="Arial" w:cs="Arial"/>
          <w:sz w:val="20"/>
          <w:u w:val="single"/>
        </w:rPr>
        <w:t>so</w:t>
      </w:r>
    </w:p>
    <w:p w:rsidR="005C2C97" w:rsidRPr="005C2C97" w:rsidRDefault="005C2C97" w:rsidP="005C2C97">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5C2C97" w:rsidRPr="005C2C97" w:rsidRDefault="005C2C97" w:rsidP="005C2C97">
      <w:pPr>
        <w:tabs>
          <w:tab w:val="left" w:pos="1118"/>
          <w:tab w:val="left" w:pos="8177"/>
        </w:tabs>
        <w:spacing w:afterLines="50" w:after="120" w:line="240" w:lineRule="exact"/>
        <w:ind w:left="284"/>
        <w:jc w:val="both"/>
        <w:rPr>
          <w:rFonts w:ascii="Arial" w:hAnsi="Arial" w:cs="Arial"/>
        </w:rPr>
      </w:pPr>
      <w:r w:rsidRPr="005C2C97">
        <w:rPr>
          <w:rFonts w:ascii="Arial" w:hAnsi="Arial" w:cs="Arial"/>
        </w:rPr>
        <w:t xml:space="preserve">Han sido valuados al costo de adquisición </w:t>
      </w:r>
      <w:proofErr w:type="spellStart"/>
      <w:r w:rsidRPr="005C2C97">
        <w:rPr>
          <w:rFonts w:ascii="Arial" w:hAnsi="Arial" w:cs="Arial"/>
        </w:rPr>
        <w:t>reexpresado</w:t>
      </w:r>
      <w:proofErr w:type="spellEnd"/>
      <w:r w:rsidRPr="005C2C97">
        <w:rPr>
          <w:rFonts w:ascii="Arial" w:hAnsi="Arial" w:cs="Arial"/>
        </w:rPr>
        <w:t xml:space="preserve"> según lo mencionado en la Nota 2.-b) menos las correspondientes </w:t>
      </w:r>
      <w:r w:rsidR="004A04FB">
        <w:rPr>
          <w:rFonts w:ascii="Arial" w:hAnsi="Arial" w:cs="Arial"/>
        </w:rPr>
        <w:t>depreciaciones</w:t>
      </w:r>
      <w:r w:rsidRPr="005C2C97">
        <w:rPr>
          <w:rFonts w:ascii="Arial" w:hAnsi="Arial" w:cs="Arial"/>
        </w:rPr>
        <w:t xml:space="preserve"> acumuladas. Los Bienes de </w:t>
      </w:r>
      <w:r w:rsidR="001553A6">
        <w:rPr>
          <w:rFonts w:ascii="Arial" w:hAnsi="Arial" w:cs="Arial"/>
        </w:rPr>
        <w:t>u</w:t>
      </w:r>
      <w:r w:rsidRPr="005C2C97">
        <w:rPr>
          <w:rFonts w:ascii="Arial" w:hAnsi="Arial" w:cs="Arial"/>
        </w:rPr>
        <w:t xml:space="preserve">so se </w:t>
      </w:r>
      <w:r w:rsidR="001553A6">
        <w:rPr>
          <w:rFonts w:ascii="Arial" w:hAnsi="Arial" w:cs="Arial"/>
        </w:rPr>
        <w:t xml:space="preserve">deprecian </w:t>
      </w:r>
      <w:r w:rsidRPr="005C2C97">
        <w:rPr>
          <w:rFonts w:ascii="Arial" w:hAnsi="Arial" w:cs="Arial"/>
        </w:rPr>
        <w:t>por el método de la línea recta en función de la vida útil asignada y a la campaña productiva, la cual tiene lugar entre los meses de abril y julio de cada año.</w:t>
      </w:r>
    </w:p>
    <w:p w:rsidR="005C2C97" w:rsidRDefault="005C2C97" w:rsidP="005C2C97">
      <w:pPr>
        <w:tabs>
          <w:tab w:val="left" w:pos="1118"/>
          <w:tab w:val="left" w:pos="8177"/>
        </w:tabs>
        <w:spacing w:afterLines="50" w:after="120" w:line="240" w:lineRule="exact"/>
        <w:ind w:left="284"/>
        <w:jc w:val="both"/>
        <w:rPr>
          <w:rFonts w:ascii="Arial" w:hAnsi="Arial" w:cs="Arial"/>
        </w:rPr>
      </w:pPr>
      <w:r w:rsidRPr="005C2C97">
        <w:rPr>
          <w:rFonts w:ascii="Arial" w:hAnsi="Arial" w:cs="Arial"/>
        </w:rPr>
        <w:lastRenderedPageBreak/>
        <w:t xml:space="preserve">Por razones vinculadas al Sistema Informático de Bienes de </w:t>
      </w:r>
      <w:r w:rsidR="001553A6">
        <w:rPr>
          <w:rFonts w:ascii="Arial" w:hAnsi="Arial" w:cs="Arial"/>
        </w:rPr>
        <w:t>u</w:t>
      </w:r>
      <w:r w:rsidRPr="005C2C97">
        <w:rPr>
          <w:rFonts w:ascii="Arial" w:hAnsi="Arial" w:cs="Arial"/>
        </w:rPr>
        <w:t>so, en general las adquisiciones, requieran o no proceso para su habilitación y/o puesta en marcha, se contabilizan en una primera etapa como “Obras en curso”, transfiriéndose posteriormente a cuentas específicas</w:t>
      </w:r>
      <w:r w:rsidR="002C2043">
        <w:rPr>
          <w:rFonts w:ascii="Arial" w:hAnsi="Arial" w:cs="Arial"/>
        </w:rPr>
        <w:t xml:space="preserve"> por su valor </w:t>
      </w:r>
      <w:proofErr w:type="spellStart"/>
      <w:r w:rsidR="002C2043">
        <w:rPr>
          <w:rFonts w:ascii="Arial" w:hAnsi="Arial" w:cs="Arial"/>
        </w:rPr>
        <w:t>reexpresado</w:t>
      </w:r>
      <w:proofErr w:type="spellEnd"/>
      <w:r w:rsidR="002C2043">
        <w:rPr>
          <w:rFonts w:ascii="Arial" w:hAnsi="Arial" w:cs="Arial"/>
        </w:rPr>
        <w:t xml:space="preserve"> según lo mencionado </w:t>
      </w:r>
      <w:r w:rsidR="002C2043" w:rsidRPr="005C2C97">
        <w:rPr>
          <w:rFonts w:ascii="Arial" w:hAnsi="Arial" w:cs="Arial"/>
        </w:rPr>
        <w:t>en la Nota 2.-b)</w:t>
      </w:r>
      <w:r w:rsidR="002C2043">
        <w:rPr>
          <w:rFonts w:ascii="Arial" w:hAnsi="Arial" w:cs="Arial"/>
        </w:rPr>
        <w:t>.</w:t>
      </w:r>
    </w:p>
    <w:p w:rsidR="00EE2EA1" w:rsidRDefault="00EE2EA1" w:rsidP="00EE2EA1">
      <w:pPr>
        <w:spacing w:afterLines="50" w:after="120" w:line="240" w:lineRule="exact"/>
        <w:ind w:left="284"/>
        <w:jc w:val="both"/>
        <w:rPr>
          <w:rFonts w:ascii="Arial" w:hAnsi="Arial" w:cs="Arial"/>
        </w:rPr>
      </w:pPr>
      <w:r>
        <w:rPr>
          <w:rFonts w:ascii="Arial" w:hAnsi="Arial" w:cs="Arial"/>
        </w:rPr>
        <w:t>El valor de los bienes de uso se revisa para verificar si sufrieron alguna desvalorización, cuando existe algún indicio que indique que el valor de libros de los activos podría exceder su valor recuperable (el mayor entre el valor neto de realización y su valor de uso).</w:t>
      </w:r>
    </w:p>
    <w:p w:rsidR="00EE2EA1" w:rsidRDefault="00EE2EA1" w:rsidP="00EE2EA1">
      <w:pPr>
        <w:spacing w:afterLines="50" w:after="120" w:line="240" w:lineRule="exact"/>
        <w:ind w:left="284"/>
        <w:jc w:val="both"/>
        <w:rPr>
          <w:rFonts w:ascii="Arial" w:hAnsi="Arial" w:cs="Arial"/>
        </w:rPr>
      </w:pPr>
      <w:r>
        <w:rPr>
          <w:rFonts w:ascii="Arial" w:hAnsi="Arial" w:cs="Arial"/>
        </w:rPr>
        <w:t>El valor de los bienes de uso</w:t>
      </w:r>
      <w:r w:rsidRPr="00A402B3">
        <w:rPr>
          <w:rFonts w:ascii="Arial" w:hAnsi="Arial" w:cs="Arial"/>
        </w:rPr>
        <w:t xml:space="preserve"> no supera su valor recuperable.</w:t>
      </w:r>
    </w:p>
    <w:p w:rsidR="00EE2EA1" w:rsidRDefault="00EE2EA1" w:rsidP="00EE2EA1">
      <w:pPr>
        <w:spacing w:afterLines="50" w:after="120" w:line="240" w:lineRule="exact"/>
        <w:ind w:left="284"/>
        <w:jc w:val="both"/>
        <w:rPr>
          <w:rFonts w:ascii="Arial" w:hAnsi="Arial" w:cs="Arial"/>
        </w:rPr>
      </w:pPr>
      <w:r w:rsidRPr="001C6657">
        <w:rPr>
          <w:rFonts w:ascii="Arial" w:hAnsi="Arial" w:cs="Arial"/>
        </w:rPr>
        <w:t>El detalle de estos activos se incluye en el Anexo A.</w:t>
      </w:r>
    </w:p>
    <w:p w:rsidR="00437F83" w:rsidRPr="005C2C97"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FE5487" w:rsidRDefault="00437F83" w:rsidP="00437F83">
      <w:pPr>
        <w:pStyle w:val="Ttulo7"/>
        <w:numPr>
          <w:ilvl w:val="0"/>
          <w:numId w:val="3"/>
        </w:numPr>
        <w:tabs>
          <w:tab w:val="left" w:pos="426"/>
        </w:tabs>
        <w:jc w:val="left"/>
        <w:rPr>
          <w:rFonts w:ascii="Arial" w:hAnsi="Arial" w:cs="Arial"/>
          <w:sz w:val="20"/>
          <w:u w:val="single"/>
        </w:rPr>
      </w:pPr>
      <w:r w:rsidRPr="002619FA">
        <w:rPr>
          <w:rFonts w:ascii="Arial" w:hAnsi="Arial" w:cs="Arial"/>
          <w:sz w:val="20"/>
          <w:u w:val="single"/>
        </w:rPr>
        <w:t>Impuesto a las ganancias e Impuesto a la ganancia mínima presunta</w:t>
      </w:r>
    </w:p>
    <w:p w:rsidR="00437F83" w:rsidRPr="003C1962"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567"/>
        <w:jc w:val="both"/>
        <w:rPr>
          <w:rFonts w:ascii="Arial" w:hAnsi="Arial" w:cs="Arial"/>
          <w:sz w:val="10"/>
          <w:szCs w:val="10"/>
        </w:rPr>
      </w:pPr>
    </w:p>
    <w:p w:rsidR="009F1200" w:rsidRPr="00557D11" w:rsidRDefault="009F1200" w:rsidP="009F1200">
      <w:pPr>
        <w:spacing w:afterLines="50" w:after="120" w:line="240" w:lineRule="exact"/>
        <w:ind w:left="284"/>
        <w:jc w:val="both"/>
        <w:rPr>
          <w:rFonts w:ascii="Arial" w:hAnsi="Arial" w:cs="Arial"/>
        </w:rPr>
      </w:pPr>
      <w:r w:rsidRPr="00557D11">
        <w:rPr>
          <w:rFonts w:ascii="Arial" w:hAnsi="Arial" w:cs="Arial"/>
        </w:rPr>
        <w:t xml:space="preserve">La Sociedad determina el cargo contable de impuesto a las ganancias por el método denominado de impuesto diferido, el cual consiste en el reconocimiento del efecto impositivo de las diferencias temporarias entre las valuaciones contables e impositivas de los activos y pasivos, determinado a la tasa establecida en la Ley de Impuesto a las Ganancias, imputando posteriormente la reversión de las mismas a los resultados de los ejercicios en que se producen, considerando asimismo, la posibilidad de utilización de quebrantos en el </w:t>
      </w:r>
      <w:r w:rsidRPr="00FE5487">
        <w:rPr>
          <w:rFonts w:ascii="Arial" w:hAnsi="Arial" w:cs="Arial"/>
        </w:rPr>
        <w:t>futuro. Los saldos por impuesto diferido se encuentran expresados en valores nominales.</w:t>
      </w:r>
    </w:p>
    <w:p w:rsidR="009F1200" w:rsidRDefault="009F1200" w:rsidP="009F1200">
      <w:pPr>
        <w:spacing w:afterLines="50" w:after="120" w:line="240" w:lineRule="exact"/>
        <w:ind w:left="284"/>
        <w:jc w:val="both"/>
        <w:rPr>
          <w:rFonts w:ascii="Arial" w:hAnsi="Arial" w:cs="Arial"/>
        </w:rPr>
      </w:pPr>
      <w:r w:rsidRPr="00557D11">
        <w:rPr>
          <w:rFonts w:ascii="Arial" w:hAnsi="Arial" w:cs="Arial"/>
        </w:rPr>
        <w:t>A los efectos de determinar los activos y pasivos diferidos, se ha aplicado sobre las diferencias temporarias identificadas, la tasa impositiva que se espera esté vigente al momento de su reversión o utilización, considerando las normas legales sancionadas a la fecha de emisión de los presentes estados contables. El 29 de diciembre de 2017 se publicó en el Boletín Oficial la Ley N° 27.430 que establece modificaciones en la Ley del Impuesto a las Ganancias. Esta modificación estableció, entre otras cuestiones, una modificación en la alícuota del impuesto para las sociedades argentinas, la que se reducirá gradualmente desde el 35% al 30% para los ejercicios fiscales que comiencen a partir del 1° de enero de 2018 y hasta el 31 de diciembre de 2019, y al 25% para los períodos fiscales que comiencen</w:t>
      </w:r>
      <w:r>
        <w:rPr>
          <w:rFonts w:ascii="Arial" w:hAnsi="Arial" w:cs="Arial"/>
        </w:rPr>
        <w:t xml:space="preserve"> a partir del 1° de enero de 202</w:t>
      </w:r>
      <w:r w:rsidRPr="00557D11">
        <w:rPr>
          <w:rFonts w:ascii="Arial" w:hAnsi="Arial" w:cs="Arial"/>
        </w:rPr>
        <w:t>0</w:t>
      </w:r>
      <w:r>
        <w:rPr>
          <w:rFonts w:ascii="Arial" w:hAnsi="Arial" w:cs="Arial"/>
        </w:rPr>
        <w:t xml:space="preserve"> en adelante</w:t>
      </w:r>
      <w:r w:rsidRPr="00557D11">
        <w:rPr>
          <w:rFonts w:ascii="Arial" w:hAnsi="Arial" w:cs="Arial"/>
        </w:rPr>
        <w:t xml:space="preserve">. Al </w:t>
      </w:r>
      <w:r>
        <w:rPr>
          <w:rFonts w:ascii="Arial" w:hAnsi="Arial" w:cs="Arial"/>
        </w:rPr>
        <w:t xml:space="preserve">31 de mayo </w:t>
      </w:r>
      <w:r w:rsidRPr="00557D11">
        <w:rPr>
          <w:rFonts w:ascii="Arial" w:hAnsi="Arial" w:cs="Arial"/>
        </w:rPr>
        <w:t>de 201</w:t>
      </w:r>
      <w:r>
        <w:rPr>
          <w:rFonts w:ascii="Arial" w:hAnsi="Arial" w:cs="Arial"/>
        </w:rPr>
        <w:t>9</w:t>
      </w:r>
      <w:r w:rsidRPr="00557D11">
        <w:rPr>
          <w:rFonts w:ascii="Arial" w:hAnsi="Arial" w:cs="Arial"/>
        </w:rPr>
        <w:t xml:space="preserve"> la alícuota vigente </w:t>
      </w:r>
      <w:r>
        <w:rPr>
          <w:rFonts w:ascii="Arial" w:hAnsi="Arial" w:cs="Arial"/>
        </w:rPr>
        <w:t xml:space="preserve">para la Sociedad </w:t>
      </w:r>
      <w:r w:rsidRPr="00557D11">
        <w:rPr>
          <w:rFonts w:ascii="Arial" w:hAnsi="Arial" w:cs="Arial"/>
        </w:rPr>
        <w:t>es del 3</w:t>
      </w:r>
      <w:r>
        <w:rPr>
          <w:rFonts w:ascii="Arial" w:hAnsi="Arial" w:cs="Arial"/>
        </w:rPr>
        <w:t>0</w:t>
      </w:r>
      <w:r w:rsidRPr="00557D11">
        <w:rPr>
          <w:rFonts w:ascii="Arial" w:hAnsi="Arial" w:cs="Arial"/>
        </w:rPr>
        <w:t>%</w:t>
      </w:r>
      <w:r>
        <w:rPr>
          <w:rFonts w:ascii="Arial" w:hAnsi="Arial" w:cs="Arial"/>
        </w:rPr>
        <w:t xml:space="preserve"> y al 31 de mayo de 2018 fue del 35%</w:t>
      </w:r>
      <w:r w:rsidRPr="00557D11">
        <w:rPr>
          <w:rFonts w:ascii="Arial" w:hAnsi="Arial" w:cs="Arial"/>
        </w:rPr>
        <w:t>.</w:t>
      </w:r>
    </w:p>
    <w:p w:rsidR="001553A6" w:rsidRDefault="0042207F" w:rsidP="0042207F">
      <w:pPr>
        <w:spacing w:afterLines="50" w:after="120" w:line="240" w:lineRule="exact"/>
        <w:ind w:left="284"/>
        <w:jc w:val="both"/>
        <w:rPr>
          <w:rFonts w:ascii="Arial" w:hAnsi="Arial" w:cs="Arial"/>
        </w:rPr>
      </w:pPr>
      <w:r w:rsidRPr="00E702CD">
        <w:rPr>
          <w:rFonts w:ascii="Arial" w:hAnsi="Arial" w:cs="Arial"/>
        </w:rPr>
        <w:t xml:space="preserve">Ajuste por inflación impositivo: La Ley de la Reforma Tributaria (Ley </w:t>
      </w:r>
      <w:r w:rsidR="00970E2E">
        <w:rPr>
          <w:rFonts w:ascii="Arial" w:hAnsi="Arial" w:cs="Arial"/>
        </w:rPr>
        <w:t xml:space="preserve">N° </w:t>
      </w:r>
      <w:r w:rsidRPr="00E702CD">
        <w:rPr>
          <w:rFonts w:ascii="Arial" w:hAnsi="Arial" w:cs="Arial"/>
        </w:rPr>
        <w:t xml:space="preserve">27.430) dispuso modificaciones en la determinación del ajuste por inflación impositivo. Dicha ley y sus modificatorias </w:t>
      </w:r>
      <w:r w:rsidRPr="0042207F">
        <w:rPr>
          <w:rFonts w:ascii="Arial" w:hAnsi="Arial" w:cs="Arial"/>
        </w:rPr>
        <w:t>establecen</w:t>
      </w:r>
      <w:r w:rsidRPr="00E702CD">
        <w:rPr>
          <w:rFonts w:ascii="Arial" w:hAnsi="Arial" w:cs="Arial"/>
        </w:rPr>
        <w:t xml:space="preserve"> que a los fines de determinar la ganancia neta imponible, se deberá deducir o incorporar al resultado impositivo del ejercicio que se liquida, el ajuste por inflación determinado de acuerdo con los artículos 95 a 98 de la ley del impuesto a las ganancias y que el mismo será aplicable en el ejercicio fiscal en el cual se verifique un porcentaje de variación del Índice de Precios al Consumidor Nivel General (“IPC”) acumulado en los 36 meses anteriores al cierre del ejercicio que se liquida, superior al 100%. Estas disposiciones tienen vigencia para los ejercicios que se inicien a partir del 1</w:t>
      </w:r>
      <w:r w:rsidR="00AA4F8C">
        <w:rPr>
          <w:rFonts w:ascii="Arial" w:hAnsi="Arial" w:cs="Arial"/>
        </w:rPr>
        <w:t>°</w:t>
      </w:r>
      <w:r w:rsidRPr="00E702CD">
        <w:rPr>
          <w:rFonts w:ascii="Arial" w:hAnsi="Arial" w:cs="Arial"/>
        </w:rPr>
        <w:t xml:space="preserve"> de enero de 2018. Respecto del primero, segundo y tercer ejercicio a partir de su vigencia, será aplicable en caso que la variación del índice, calculada desde el inicio y hasta el cierre de cada uno de esos ejercicios, supere el 55%, 30% y 15% para el primero, segundo y tercer año de aplicación, respectivamente. El ajuste por inflación correspondiente al ejercicio que se liquide incidirá como un ajuste positivo o negativo, según corresponda, y deberá imputarse un tercio en ese período fiscal </w:t>
      </w:r>
      <w:r w:rsidRPr="0042207F">
        <w:rPr>
          <w:rFonts w:ascii="Arial" w:hAnsi="Arial" w:cs="Arial"/>
        </w:rPr>
        <w:t>(afectando el impuesto corriente determinado)</w:t>
      </w:r>
      <w:r>
        <w:rPr>
          <w:rFonts w:ascii="Arial" w:hAnsi="Arial" w:cs="Arial"/>
        </w:rPr>
        <w:t xml:space="preserve"> </w:t>
      </w:r>
      <w:r w:rsidRPr="00E702CD">
        <w:rPr>
          <w:rFonts w:ascii="Arial" w:hAnsi="Arial" w:cs="Arial"/>
        </w:rPr>
        <w:t>y los dos tercios restantes, en partes iguales, en los dos ejercicios fiscales inmediatos siguientes</w:t>
      </w:r>
      <w:r>
        <w:rPr>
          <w:rFonts w:ascii="Arial" w:hAnsi="Arial" w:cs="Arial"/>
        </w:rPr>
        <w:t xml:space="preserve"> </w:t>
      </w:r>
      <w:r w:rsidRPr="0042207F">
        <w:rPr>
          <w:rFonts w:ascii="Arial" w:hAnsi="Arial" w:cs="Arial"/>
        </w:rPr>
        <w:t>(dando lugar al reconocimiento de un impuesto diferido especial en el período fiscal que se liquide)</w:t>
      </w:r>
      <w:r w:rsidRPr="00E702CD">
        <w:rPr>
          <w:rFonts w:ascii="Arial" w:hAnsi="Arial" w:cs="Arial"/>
        </w:rPr>
        <w:t xml:space="preserve">. </w:t>
      </w:r>
      <w:r w:rsidR="00970E2E">
        <w:rPr>
          <w:rFonts w:ascii="Arial" w:hAnsi="Arial" w:cs="Arial"/>
        </w:rPr>
        <w:t xml:space="preserve">El presente ejercicio es el segundo desde la entrada en vigencia de la Ley de la Reforma Tributaria (Ley N° 27.430). </w:t>
      </w:r>
      <w:r w:rsidR="001553A6" w:rsidRPr="001553A6">
        <w:rPr>
          <w:rFonts w:ascii="Arial" w:hAnsi="Arial" w:cs="Arial"/>
        </w:rPr>
        <w:t xml:space="preserve">La variación del IPC para ejercicios anuales finalizados </w:t>
      </w:r>
      <w:r w:rsidR="006D4485">
        <w:rPr>
          <w:rFonts w:ascii="Arial" w:hAnsi="Arial" w:cs="Arial"/>
        </w:rPr>
        <w:t>el 31 de mayo de 2019 fue del 57,3</w:t>
      </w:r>
      <w:r w:rsidR="001553A6" w:rsidRPr="001553A6">
        <w:rPr>
          <w:rFonts w:ascii="Arial" w:hAnsi="Arial" w:cs="Arial"/>
        </w:rPr>
        <w:t xml:space="preserve">%, por lo cual la Sociedad para determinar la ganancia imponible correspondiente al presente período de cuatro meses incluyó dicho ajuste. Sin embargo, este ajuste por inflación impositivo sólo resultará aplicable en caso de que la variación </w:t>
      </w:r>
      <w:r w:rsidR="00970E2E">
        <w:rPr>
          <w:rFonts w:ascii="Arial" w:hAnsi="Arial" w:cs="Arial"/>
        </w:rPr>
        <w:lastRenderedPageBreak/>
        <w:t>del IPC supere el 30</w:t>
      </w:r>
      <w:r w:rsidR="001553A6" w:rsidRPr="001553A6">
        <w:rPr>
          <w:rFonts w:ascii="Arial" w:hAnsi="Arial" w:cs="Arial"/>
        </w:rPr>
        <w:t xml:space="preserve">% calculada desde el 1° de febrero de 2019 y hasta el </w:t>
      </w:r>
      <w:r w:rsidR="00817105">
        <w:rPr>
          <w:rFonts w:ascii="Arial" w:hAnsi="Arial" w:cs="Arial"/>
        </w:rPr>
        <w:t>31</w:t>
      </w:r>
      <w:r w:rsidR="001553A6" w:rsidRPr="001553A6">
        <w:rPr>
          <w:rFonts w:ascii="Arial" w:hAnsi="Arial" w:cs="Arial"/>
        </w:rPr>
        <w:t xml:space="preserve"> de enero de 2020, fecha de finalización del presente ejercicio.</w:t>
      </w:r>
    </w:p>
    <w:p w:rsidR="009F1200" w:rsidRDefault="009F1200" w:rsidP="009F1200">
      <w:pPr>
        <w:spacing w:afterLines="50" w:after="120" w:line="240" w:lineRule="exact"/>
        <w:ind w:left="284"/>
        <w:jc w:val="both"/>
        <w:rPr>
          <w:rFonts w:ascii="Arial" w:hAnsi="Arial" w:cs="Arial"/>
        </w:rPr>
      </w:pPr>
      <w:r>
        <w:rPr>
          <w:rFonts w:ascii="Arial" w:hAnsi="Arial" w:cs="Arial"/>
        </w:rPr>
        <w:t xml:space="preserve">El impuesto a la ganancia mínima presunta (IGMP) fue establecido por la Ley Nº 25.063. Este impuesto es complementario del impuesto a las ganancias dado que, mientras </w:t>
      </w:r>
      <w:proofErr w:type="gramStart"/>
      <w:r>
        <w:rPr>
          <w:rFonts w:ascii="Arial" w:hAnsi="Arial" w:cs="Arial"/>
        </w:rPr>
        <w:t>este último</w:t>
      </w:r>
      <w:proofErr w:type="gramEnd"/>
      <w:r>
        <w:rPr>
          <w:rFonts w:ascii="Arial" w:hAnsi="Arial" w:cs="Arial"/>
        </w:rPr>
        <w:t xml:space="preserve"> grava la utilidad impositiva del ejercicio, el IGMP </w:t>
      </w:r>
      <w:r w:rsidR="004A04FB" w:rsidRPr="004A04FB">
        <w:rPr>
          <w:rFonts w:ascii="Arial" w:hAnsi="Arial" w:cs="Arial"/>
        </w:rPr>
        <w:t>se determina aplicando la tasa vigente del 1% sobre los activos computables al cierre de cada ejercicio</w:t>
      </w:r>
      <w:r>
        <w:rPr>
          <w:rFonts w:ascii="Arial" w:hAnsi="Arial" w:cs="Arial"/>
        </w:rPr>
        <w:t xml:space="preserve">, de modo que la obligación fiscal de </w:t>
      </w:r>
      <w:smartTag w:uri="urn:schemas-microsoft-com:office:smarttags" w:element="PersonName">
        <w:smartTagPr>
          <w:attr w:name="ProductID" w:val="la Sociedad"/>
        </w:smartTagPr>
        <w:r>
          <w:rPr>
            <w:rFonts w:ascii="Arial" w:hAnsi="Arial" w:cs="Arial"/>
          </w:rPr>
          <w:t>la Sociedad</w:t>
        </w:r>
      </w:smartTag>
      <w:r>
        <w:rPr>
          <w:rFonts w:ascii="Arial" w:hAnsi="Arial" w:cs="Arial"/>
        </w:rPr>
        <w:t xml:space="preserve"> coincidirá con el mayor de ambos impuestos. Sin embargo, si el IGMP excede en un período fiscal al impuesto a las ganancias, dicho exceso podrá computarse como pago a cuenta de cualquier excedente del impuesto a las ganancias sobre el IGMP</w:t>
      </w:r>
      <w:r w:rsidRPr="00AD41EF">
        <w:rPr>
          <w:rFonts w:ascii="Arial" w:hAnsi="Arial" w:cs="Arial"/>
        </w:rPr>
        <w:t xml:space="preserve"> que pudiera producirse en cualquiera de los diez ejercicios siguientes.</w:t>
      </w:r>
      <w:r>
        <w:rPr>
          <w:rFonts w:ascii="Arial" w:hAnsi="Arial" w:cs="Arial"/>
        </w:rPr>
        <w:t xml:space="preserve"> </w:t>
      </w:r>
      <w:r w:rsidRPr="002E6AD5">
        <w:rPr>
          <w:rFonts w:ascii="Arial" w:hAnsi="Arial" w:cs="Arial"/>
        </w:rPr>
        <w:t xml:space="preserve">De acuerdo con la Ley N° 27.260, se deroga el IGMP para los ejercicios que se inicien a </w:t>
      </w:r>
      <w:r>
        <w:rPr>
          <w:rFonts w:ascii="Arial" w:hAnsi="Arial" w:cs="Arial"/>
        </w:rPr>
        <w:t>partir del 1° de e</w:t>
      </w:r>
      <w:r w:rsidRPr="002E6AD5">
        <w:rPr>
          <w:rFonts w:ascii="Arial" w:hAnsi="Arial" w:cs="Arial"/>
        </w:rPr>
        <w:t>nero de 2019.</w:t>
      </w:r>
    </w:p>
    <w:p w:rsidR="00437F83" w:rsidRDefault="00437F83" w:rsidP="00437F83">
      <w:pPr>
        <w:spacing w:afterLines="50" w:after="120" w:line="240" w:lineRule="exact"/>
        <w:ind w:left="284"/>
        <w:jc w:val="both"/>
        <w:rPr>
          <w:rFonts w:ascii="Arial" w:hAnsi="Arial" w:cs="Arial"/>
        </w:rPr>
      </w:pPr>
      <w:r w:rsidRPr="00FE5487">
        <w:rPr>
          <w:rFonts w:ascii="Arial" w:hAnsi="Arial" w:cs="Arial"/>
        </w:rPr>
        <w:t>A continuación se detalla la composición del impuesto a las ganancias incluido en el estado de resultados:</w:t>
      </w:r>
    </w:p>
    <w:p w:rsidR="00437F83" w:rsidRDefault="000A1315" w:rsidP="000A1315">
      <w:pPr>
        <w:tabs>
          <w:tab w:val="left" w:pos="709"/>
          <w:tab w:val="left" w:pos="2099"/>
        </w:tabs>
        <w:jc w:val="center"/>
      </w:pPr>
      <w:r w:rsidRPr="000A1315">
        <w:rPr>
          <w:noProof/>
          <w:lang w:eastAsia="es-AR"/>
        </w:rPr>
        <w:drawing>
          <wp:anchor distT="0" distB="0" distL="114300" distR="114300" simplePos="0" relativeHeight="251662336" behindDoc="1" locked="0" layoutInCell="1" allowOverlap="1">
            <wp:simplePos x="0" y="0"/>
            <wp:positionH relativeFrom="column">
              <wp:posOffset>213995</wp:posOffset>
            </wp:positionH>
            <wp:positionV relativeFrom="paragraph">
              <wp:posOffset>-635</wp:posOffset>
            </wp:positionV>
            <wp:extent cx="5561965" cy="1133475"/>
            <wp:effectExtent l="0" t="0" r="635" b="0"/>
            <wp:wrapTight wrapText="bothSides">
              <wp:wrapPolygon edited="0">
                <wp:start x="15388" y="0"/>
                <wp:lineTo x="0" y="2904"/>
                <wp:lineTo x="0" y="19240"/>
                <wp:lineTo x="13686" y="20329"/>
                <wp:lineTo x="21528" y="20329"/>
                <wp:lineTo x="21528" y="2541"/>
                <wp:lineTo x="20345" y="726"/>
                <wp:lineTo x="18199" y="0"/>
                <wp:lineTo x="15388"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1965" cy="1133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1315" w:rsidRDefault="000A1315" w:rsidP="00437F83">
      <w:pPr>
        <w:spacing w:afterLines="50" w:after="120" w:line="240" w:lineRule="exact"/>
        <w:ind w:left="284"/>
        <w:jc w:val="both"/>
        <w:rPr>
          <w:rFonts w:ascii="Arial" w:hAnsi="Arial" w:cs="Arial"/>
        </w:rPr>
      </w:pPr>
    </w:p>
    <w:p w:rsidR="00437F83" w:rsidRDefault="00437F83" w:rsidP="00437F83">
      <w:pPr>
        <w:spacing w:afterLines="50" w:after="120" w:line="240" w:lineRule="exact"/>
        <w:ind w:left="284"/>
        <w:jc w:val="both"/>
        <w:rPr>
          <w:rFonts w:ascii="Arial" w:hAnsi="Arial" w:cs="Arial"/>
        </w:rPr>
      </w:pPr>
      <w:r w:rsidRPr="00AB3FB7">
        <w:rPr>
          <w:rFonts w:ascii="Arial" w:hAnsi="Arial" w:cs="Arial"/>
        </w:rPr>
        <w:t xml:space="preserve">La conciliación entre el impuesto a las ganancias </w:t>
      </w:r>
      <w:r w:rsidR="00A258F6">
        <w:rPr>
          <w:rFonts w:ascii="Arial" w:hAnsi="Arial" w:cs="Arial"/>
        </w:rPr>
        <w:t xml:space="preserve">determinado </w:t>
      </w:r>
      <w:r w:rsidRPr="00AB3FB7">
        <w:rPr>
          <w:rFonts w:ascii="Arial" w:hAnsi="Arial" w:cs="Arial"/>
        </w:rPr>
        <w:t xml:space="preserve">y el que resultaría de aplicar al resultado contable la tasa impositiva vigente al cierre de cada </w:t>
      </w:r>
      <w:r w:rsidR="00940CCD">
        <w:rPr>
          <w:rFonts w:ascii="Arial" w:hAnsi="Arial" w:cs="Arial"/>
        </w:rPr>
        <w:t>período</w:t>
      </w:r>
      <w:r w:rsidRPr="00AB3FB7">
        <w:rPr>
          <w:rFonts w:ascii="Arial" w:hAnsi="Arial" w:cs="Arial"/>
        </w:rPr>
        <w:t xml:space="preserve"> es la siguiente:</w:t>
      </w:r>
    </w:p>
    <w:p w:rsidR="00437F83" w:rsidRDefault="00FD40E5" w:rsidP="00822CD3">
      <w:pPr>
        <w:tabs>
          <w:tab w:val="left" w:pos="709"/>
          <w:tab w:val="left" w:pos="1118"/>
          <w:tab w:val="left" w:pos="1615"/>
          <w:tab w:val="left" w:pos="5083"/>
          <w:tab w:val="left" w:pos="6630"/>
          <w:tab w:val="left" w:pos="8177"/>
          <w:tab w:val="left" w:pos="9874"/>
          <w:tab w:val="left" w:pos="10144"/>
          <w:tab w:val="left" w:pos="12021"/>
          <w:tab w:val="left" w:pos="13704"/>
          <w:tab w:val="left" w:pos="15251"/>
        </w:tabs>
        <w:jc w:val="right"/>
      </w:pPr>
      <w:r w:rsidRPr="00FD40E5">
        <w:rPr>
          <w:noProof/>
          <w:lang w:eastAsia="es-AR"/>
        </w:rPr>
        <w:drawing>
          <wp:inline distT="0" distB="0" distL="0" distR="0">
            <wp:extent cx="5588761" cy="337252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289" cy="3379486"/>
                    </a:xfrm>
                    <a:prstGeom prst="rect">
                      <a:avLst/>
                    </a:prstGeom>
                    <a:noFill/>
                    <a:ln>
                      <a:noFill/>
                    </a:ln>
                  </pic:spPr>
                </pic:pic>
              </a:graphicData>
            </a:graphic>
          </wp:inline>
        </w:drawing>
      </w:r>
    </w:p>
    <w:p w:rsidR="00437F83" w:rsidRPr="006079AA" w:rsidRDefault="00437F83" w:rsidP="00530709">
      <w:pPr>
        <w:autoSpaceDE w:val="0"/>
        <w:autoSpaceDN w:val="0"/>
        <w:adjustRightInd w:val="0"/>
        <w:spacing w:after="240"/>
        <w:ind w:left="567" w:hanging="283"/>
        <w:jc w:val="both"/>
        <w:rPr>
          <w:rFonts w:ascii="Helvetica" w:hAnsi="Helvetica" w:cs="Helvetica"/>
          <w:sz w:val="16"/>
          <w:szCs w:val="14"/>
          <w:lang w:eastAsia="es-AR"/>
        </w:rPr>
      </w:pPr>
      <w:r w:rsidRPr="006079AA">
        <w:rPr>
          <w:rFonts w:ascii="Helvetica" w:hAnsi="Helvetica" w:cs="Helvetica"/>
          <w:sz w:val="16"/>
          <w:szCs w:val="14"/>
          <w:lang w:eastAsia="es-AR"/>
        </w:rPr>
        <w:t>(</w:t>
      </w:r>
      <w:r w:rsidR="00530709">
        <w:rPr>
          <w:rFonts w:ascii="Helvetica" w:hAnsi="Helvetica" w:cs="Helvetica"/>
          <w:sz w:val="16"/>
          <w:szCs w:val="14"/>
          <w:lang w:eastAsia="es-AR"/>
        </w:rPr>
        <w:t>1</w:t>
      </w:r>
      <w:r w:rsidRPr="006079AA">
        <w:rPr>
          <w:rFonts w:ascii="Helvetica" w:hAnsi="Helvetica" w:cs="Helvetica"/>
          <w:sz w:val="16"/>
          <w:szCs w:val="14"/>
          <w:lang w:eastAsia="es-AR"/>
        </w:rPr>
        <w:t>) Corresponde al impacto sobre las diferencias temporarias del diferencial de la alícuota vigente al 31.05.</w:t>
      </w:r>
      <w:r w:rsidR="00FD40E5">
        <w:rPr>
          <w:rFonts w:ascii="Helvetica" w:hAnsi="Helvetica" w:cs="Helvetica"/>
          <w:sz w:val="16"/>
          <w:szCs w:val="14"/>
          <w:lang w:eastAsia="es-AR"/>
        </w:rPr>
        <w:t>1</w:t>
      </w:r>
      <w:r w:rsidRPr="006079AA">
        <w:rPr>
          <w:rFonts w:ascii="Helvetica" w:hAnsi="Helvetica" w:cs="Helvetica"/>
          <w:sz w:val="16"/>
          <w:szCs w:val="14"/>
          <w:lang w:eastAsia="es-AR"/>
        </w:rPr>
        <w:t>8 y la que se prevé esté vigente al momento de su reversión y/o utilización.</w:t>
      </w:r>
    </w:p>
    <w:p w:rsidR="00FD40E5" w:rsidRDefault="00FD40E5" w:rsidP="0042207F">
      <w:pPr>
        <w:spacing w:afterLines="50" w:after="120" w:line="240" w:lineRule="exact"/>
        <w:ind w:left="284"/>
        <w:jc w:val="both"/>
        <w:rPr>
          <w:rFonts w:ascii="Arial" w:hAnsi="Arial" w:cs="Arial"/>
        </w:rPr>
      </w:pPr>
    </w:p>
    <w:p w:rsidR="0042207F" w:rsidRDefault="00437F83" w:rsidP="0042207F">
      <w:pPr>
        <w:spacing w:afterLines="50" w:after="120" w:line="240" w:lineRule="exact"/>
        <w:ind w:left="284"/>
        <w:jc w:val="both"/>
        <w:rPr>
          <w:rFonts w:ascii="Arial" w:hAnsi="Arial" w:cs="Arial"/>
        </w:rPr>
      </w:pPr>
      <w:r w:rsidRPr="00AB3FB7">
        <w:rPr>
          <w:rFonts w:ascii="Arial" w:hAnsi="Arial" w:cs="Arial"/>
        </w:rPr>
        <w:lastRenderedPageBreak/>
        <w:t>Asimismo, el detalle de activos y pasivos diferidos es el siguiente:</w:t>
      </w:r>
    </w:p>
    <w:p w:rsidR="00530709" w:rsidRDefault="00FD40E5" w:rsidP="00530709">
      <w:pPr>
        <w:spacing w:afterLines="50" w:after="120" w:line="240" w:lineRule="exact"/>
        <w:jc w:val="both"/>
        <w:rPr>
          <w:rFonts w:ascii="Arial" w:hAnsi="Arial" w:cs="Arial"/>
        </w:rPr>
      </w:pPr>
      <w:r w:rsidRPr="00FD40E5">
        <w:rPr>
          <w:noProof/>
          <w:lang w:eastAsia="es-AR"/>
        </w:rPr>
        <w:drawing>
          <wp:anchor distT="0" distB="0" distL="114300" distR="114300" simplePos="0" relativeHeight="251663360" behindDoc="1" locked="0" layoutInCell="1" allowOverlap="1">
            <wp:simplePos x="0" y="0"/>
            <wp:positionH relativeFrom="column">
              <wp:posOffset>175895</wp:posOffset>
            </wp:positionH>
            <wp:positionV relativeFrom="paragraph">
              <wp:posOffset>69850</wp:posOffset>
            </wp:positionV>
            <wp:extent cx="5667375" cy="3153410"/>
            <wp:effectExtent l="0" t="0" r="9525" b="0"/>
            <wp:wrapTight wrapText="bothSides">
              <wp:wrapPolygon edited="0">
                <wp:start x="13722" y="0"/>
                <wp:lineTo x="0" y="1044"/>
                <wp:lineTo x="0" y="1696"/>
                <wp:lineTo x="363" y="2088"/>
                <wp:lineTo x="0" y="6263"/>
                <wp:lineTo x="0" y="8351"/>
                <wp:lineTo x="363" y="10439"/>
                <wp:lineTo x="145" y="11222"/>
                <wp:lineTo x="363" y="14615"/>
                <wp:lineTo x="0" y="15528"/>
                <wp:lineTo x="0" y="18790"/>
                <wp:lineTo x="10818" y="18790"/>
                <wp:lineTo x="73" y="19312"/>
                <wp:lineTo x="73" y="20095"/>
                <wp:lineTo x="13795" y="20747"/>
                <wp:lineTo x="21564" y="20747"/>
                <wp:lineTo x="21564" y="9004"/>
                <wp:lineTo x="6389" y="8351"/>
                <wp:lineTo x="21564" y="7438"/>
                <wp:lineTo x="21564" y="2218"/>
                <wp:lineTo x="20983" y="2088"/>
                <wp:lineTo x="16554" y="2088"/>
                <wp:lineTo x="21564" y="1174"/>
                <wp:lineTo x="21564" y="0"/>
                <wp:lineTo x="13722"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7375" cy="31534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D40E5" w:rsidRDefault="00FD40E5" w:rsidP="00437F83">
      <w:pPr>
        <w:spacing w:afterLines="50" w:after="120" w:line="240" w:lineRule="exact"/>
        <w:ind w:left="284"/>
        <w:jc w:val="both"/>
        <w:rPr>
          <w:rFonts w:ascii="Arial" w:hAnsi="Arial" w:cs="Arial"/>
        </w:rPr>
      </w:pPr>
    </w:p>
    <w:p w:rsidR="00437F83" w:rsidRDefault="00437F83" w:rsidP="00437F83">
      <w:pPr>
        <w:spacing w:afterLines="50" w:after="120" w:line="240" w:lineRule="exact"/>
        <w:ind w:left="284"/>
        <w:jc w:val="both"/>
        <w:rPr>
          <w:rFonts w:ascii="Arial" w:hAnsi="Arial" w:cs="Arial"/>
        </w:rPr>
      </w:pPr>
      <w:r w:rsidRPr="009F1200">
        <w:rPr>
          <w:rFonts w:ascii="Arial" w:hAnsi="Arial" w:cs="Arial"/>
        </w:rPr>
        <w:t>Respecto de la diferencia entre el valor contable ajustado de los bienes de uso no amortizables (terrenos) y su base fiscal, la misma fue considerada como una diferencia permanente</w:t>
      </w:r>
      <w:r w:rsidR="00AA4F8C" w:rsidRPr="00AA4F8C">
        <w:rPr>
          <w:rFonts w:ascii="Arial" w:hAnsi="Arial" w:cs="Arial"/>
        </w:rPr>
        <w:t xml:space="preserve"> </w:t>
      </w:r>
      <w:r w:rsidR="00AA4F8C" w:rsidRPr="00437F83">
        <w:rPr>
          <w:rFonts w:ascii="Arial" w:hAnsi="Arial" w:cs="Arial"/>
        </w:rPr>
        <w:t>según lo mencionado en la Nota 2.-b)</w:t>
      </w:r>
      <w:r w:rsidRPr="009F1200">
        <w:rPr>
          <w:rFonts w:ascii="Arial" w:hAnsi="Arial" w:cs="Arial"/>
        </w:rPr>
        <w:t xml:space="preserve">. De haberse </w:t>
      </w:r>
      <w:r w:rsidRPr="006E75AA">
        <w:rPr>
          <w:rFonts w:ascii="Arial" w:hAnsi="Arial" w:cs="Arial"/>
        </w:rPr>
        <w:t xml:space="preserve">reconocido la mencionada diferencia como temporaria, el pasivo por impuesto diferido por este concepto, generaría una reducción del patrimonio neto y un aumento del pasivo no corriente de aproximadamente </w:t>
      </w:r>
      <w:r w:rsidR="002A3079" w:rsidRPr="006E75AA">
        <w:rPr>
          <w:rFonts w:ascii="Arial" w:hAnsi="Arial" w:cs="Arial"/>
        </w:rPr>
        <w:t>1</w:t>
      </w:r>
      <w:r w:rsidR="006E75AA" w:rsidRPr="006E75AA">
        <w:rPr>
          <w:rFonts w:ascii="Arial" w:hAnsi="Arial" w:cs="Arial"/>
        </w:rPr>
        <w:t>9</w:t>
      </w:r>
      <w:r w:rsidR="002A3079" w:rsidRPr="006E75AA">
        <w:rPr>
          <w:rFonts w:ascii="Arial" w:hAnsi="Arial" w:cs="Arial"/>
        </w:rPr>
        <w:t>.</w:t>
      </w:r>
      <w:r w:rsidR="006E75AA" w:rsidRPr="006E75AA">
        <w:rPr>
          <w:rFonts w:ascii="Arial" w:hAnsi="Arial" w:cs="Arial"/>
        </w:rPr>
        <w:t>0</w:t>
      </w:r>
      <w:r w:rsidR="002A3079" w:rsidRPr="006E75AA">
        <w:rPr>
          <w:rFonts w:ascii="Arial" w:hAnsi="Arial" w:cs="Arial"/>
        </w:rPr>
        <w:t>00.000</w:t>
      </w:r>
      <w:r w:rsidRPr="006E75AA">
        <w:rPr>
          <w:rFonts w:ascii="Arial" w:hAnsi="Arial" w:cs="Arial"/>
        </w:rPr>
        <w:t xml:space="preserve">  al 31 de mayo de 2019 y </w:t>
      </w:r>
      <w:r w:rsidR="006E75AA" w:rsidRPr="006E75AA">
        <w:rPr>
          <w:rFonts w:ascii="Arial" w:hAnsi="Arial" w:cs="Arial"/>
        </w:rPr>
        <w:t xml:space="preserve">2018 y </w:t>
      </w:r>
      <w:r w:rsidRPr="006E75AA">
        <w:rPr>
          <w:rFonts w:ascii="Arial" w:hAnsi="Arial" w:cs="Arial"/>
        </w:rPr>
        <w:t>al 31 de enero de 2019.</w:t>
      </w:r>
    </w:p>
    <w:p w:rsidR="00530709" w:rsidRDefault="0053070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1E3F19" w:rsidRPr="005C2C97" w:rsidRDefault="001E3F1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437F83" w:rsidRDefault="00437F83" w:rsidP="00437F83">
      <w:pPr>
        <w:pStyle w:val="Ttulo7"/>
        <w:numPr>
          <w:ilvl w:val="0"/>
          <w:numId w:val="3"/>
        </w:numPr>
        <w:tabs>
          <w:tab w:val="left" w:pos="426"/>
        </w:tabs>
        <w:jc w:val="left"/>
        <w:rPr>
          <w:rFonts w:ascii="Arial" w:hAnsi="Arial" w:cs="Arial"/>
          <w:sz w:val="20"/>
          <w:u w:val="single"/>
        </w:rPr>
      </w:pPr>
      <w:r w:rsidRPr="00437F83">
        <w:rPr>
          <w:rFonts w:ascii="Arial" w:hAnsi="Arial" w:cs="Arial"/>
          <w:sz w:val="20"/>
          <w:u w:val="single"/>
        </w:rPr>
        <w:t xml:space="preserve">Cuentas del Patrimonio </w:t>
      </w:r>
      <w:r w:rsidR="00530709">
        <w:rPr>
          <w:rFonts w:ascii="Arial" w:hAnsi="Arial" w:cs="Arial"/>
          <w:sz w:val="20"/>
          <w:u w:val="single"/>
        </w:rPr>
        <w:t>n</w:t>
      </w:r>
      <w:r w:rsidRPr="00437F83">
        <w:rPr>
          <w:rFonts w:ascii="Arial" w:hAnsi="Arial" w:cs="Arial"/>
          <w:sz w:val="20"/>
          <w:u w:val="single"/>
        </w:rPr>
        <w:t>eto</w:t>
      </w:r>
    </w:p>
    <w:p w:rsidR="00437F83" w:rsidRPr="00437F83"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Default="00437F83" w:rsidP="00437F83">
      <w:pPr>
        <w:tabs>
          <w:tab w:val="left" w:pos="1118"/>
          <w:tab w:val="left" w:pos="8177"/>
        </w:tabs>
        <w:spacing w:afterLines="50" w:after="120" w:line="240" w:lineRule="exact"/>
        <w:ind w:left="284"/>
        <w:jc w:val="both"/>
        <w:rPr>
          <w:rFonts w:ascii="Arial" w:hAnsi="Arial" w:cs="Arial"/>
        </w:rPr>
      </w:pPr>
      <w:r w:rsidRPr="00437F83">
        <w:rPr>
          <w:rFonts w:ascii="Arial" w:hAnsi="Arial" w:cs="Arial"/>
        </w:rPr>
        <w:t xml:space="preserve">Se encuentran </w:t>
      </w:r>
      <w:proofErr w:type="spellStart"/>
      <w:r w:rsidRPr="00437F83">
        <w:rPr>
          <w:rFonts w:ascii="Arial" w:hAnsi="Arial" w:cs="Arial"/>
        </w:rPr>
        <w:t>reexpresadas</w:t>
      </w:r>
      <w:proofErr w:type="spellEnd"/>
      <w:r w:rsidRPr="00437F83">
        <w:rPr>
          <w:rFonts w:ascii="Arial" w:hAnsi="Arial" w:cs="Arial"/>
        </w:rPr>
        <w:t xml:space="preserve"> según lo mencionado en la Nota 2.-b), excepto la cuenta de Capital Suscripto, la cual se ha mantenido a su valor nominal y el ajuste derivado de su </w:t>
      </w:r>
      <w:proofErr w:type="spellStart"/>
      <w:r w:rsidRPr="00437F83">
        <w:rPr>
          <w:rFonts w:ascii="Arial" w:hAnsi="Arial" w:cs="Arial"/>
        </w:rPr>
        <w:t>reexpresión</w:t>
      </w:r>
      <w:proofErr w:type="spellEnd"/>
      <w:r w:rsidRPr="00437F83">
        <w:rPr>
          <w:rFonts w:ascii="Arial" w:hAnsi="Arial" w:cs="Arial"/>
        </w:rPr>
        <w:t xml:space="preserve"> que se expone en la respectiva cuenta Ajuste de Capital.</w:t>
      </w:r>
    </w:p>
    <w:p w:rsidR="00530709" w:rsidRDefault="0053070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1E3F19" w:rsidRPr="005C2C97" w:rsidRDefault="001E3F1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437F83" w:rsidRDefault="00437F83" w:rsidP="00437F83">
      <w:pPr>
        <w:pStyle w:val="Ttulo7"/>
        <w:numPr>
          <w:ilvl w:val="0"/>
          <w:numId w:val="3"/>
        </w:numPr>
        <w:tabs>
          <w:tab w:val="left" w:pos="426"/>
        </w:tabs>
        <w:jc w:val="left"/>
        <w:rPr>
          <w:rFonts w:ascii="Arial" w:hAnsi="Arial" w:cs="Arial"/>
          <w:sz w:val="20"/>
          <w:u w:val="single"/>
        </w:rPr>
      </w:pPr>
      <w:r w:rsidRPr="00437F83">
        <w:rPr>
          <w:rFonts w:ascii="Arial" w:hAnsi="Arial" w:cs="Arial"/>
          <w:sz w:val="20"/>
          <w:u w:val="single"/>
        </w:rPr>
        <w:t>Cuentas del estado de resultados</w:t>
      </w:r>
    </w:p>
    <w:p w:rsidR="00437F83" w:rsidRPr="00437F83"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437F83" w:rsidRDefault="00437F83" w:rsidP="00437F83">
      <w:pPr>
        <w:tabs>
          <w:tab w:val="left" w:pos="1118"/>
          <w:tab w:val="left" w:pos="8177"/>
        </w:tabs>
        <w:spacing w:afterLines="50" w:after="120" w:line="240" w:lineRule="exact"/>
        <w:ind w:left="284"/>
        <w:jc w:val="both"/>
        <w:rPr>
          <w:rFonts w:ascii="Arial" w:hAnsi="Arial" w:cs="Arial"/>
        </w:rPr>
      </w:pPr>
      <w:r w:rsidRPr="00437F83">
        <w:rPr>
          <w:rFonts w:ascii="Arial" w:hAnsi="Arial" w:cs="Arial"/>
        </w:rPr>
        <w:t xml:space="preserve">Las cuentas del estado de resultados se exponen a sus valores </w:t>
      </w:r>
      <w:proofErr w:type="spellStart"/>
      <w:r w:rsidRPr="00437F83">
        <w:rPr>
          <w:rFonts w:ascii="Arial" w:hAnsi="Arial" w:cs="Arial"/>
        </w:rPr>
        <w:t>reexpresados</w:t>
      </w:r>
      <w:proofErr w:type="spellEnd"/>
      <w:r w:rsidRPr="00437F83">
        <w:rPr>
          <w:rFonts w:ascii="Arial" w:hAnsi="Arial" w:cs="Arial"/>
        </w:rPr>
        <w:t xml:space="preserve"> a moneda homogénea del 31 de mayo de 2019, de acuerdo con los lineamientos mencionados en la Nota 2.-b).</w:t>
      </w:r>
    </w:p>
    <w:p w:rsidR="001E3F19" w:rsidRDefault="00437F83" w:rsidP="001E3F19">
      <w:pPr>
        <w:spacing w:afterLines="50" w:after="120" w:line="240" w:lineRule="exact"/>
        <w:ind w:left="284"/>
        <w:jc w:val="both"/>
        <w:rPr>
          <w:rFonts w:ascii="Arial" w:hAnsi="Arial" w:cs="Arial"/>
        </w:rPr>
      </w:pPr>
      <w:r w:rsidRPr="00437F83">
        <w:rPr>
          <w:rFonts w:ascii="Arial" w:hAnsi="Arial" w:cs="Arial"/>
        </w:rPr>
        <w:t>Los Resultados financieros y por tenencia incluyen los intereses, las diferencias de cambio, los efectos de valuar créditos y deudas a su valor actual, el resultado por exposición al cambio de poder adquisitivo de la moneda (RECPAM) y demás resultados financieros generados por activos y pasivos.</w:t>
      </w:r>
      <w:r w:rsidR="001E3F19">
        <w:rPr>
          <w:rFonts w:ascii="Arial" w:hAnsi="Arial" w:cs="Arial"/>
        </w:rPr>
        <w:t xml:space="preserve"> Los intereses, las diferencias de cambio y los resultados por tenencia de bienes de cambio se exponen netos del efecto inflacionario.</w:t>
      </w:r>
    </w:p>
    <w:p w:rsidR="00437F83" w:rsidRDefault="00437F83" w:rsidP="00437F83">
      <w:pPr>
        <w:tabs>
          <w:tab w:val="left" w:pos="1118"/>
          <w:tab w:val="left" w:pos="8177"/>
        </w:tabs>
        <w:spacing w:afterLines="50" w:after="120" w:line="240" w:lineRule="exact"/>
        <w:ind w:left="284"/>
        <w:jc w:val="both"/>
        <w:rPr>
          <w:rFonts w:ascii="Arial" w:hAnsi="Arial" w:cs="Arial"/>
        </w:rPr>
      </w:pPr>
    </w:p>
    <w:p w:rsidR="001E3F19" w:rsidRDefault="001E3F19" w:rsidP="00437F83">
      <w:pPr>
        <w:tabs>
          <w:tab w:val="left" w:pos="1118"/>
          <w:tab w:val="left" w:pos="8177"/>
        </w:tabs>
        <w:spacing w:afterLines="50" w:after="120" w:line="240" w:lineRule="exact"/>
        <w:ind w:left="284"/>
        <w:jc w:val="both"/>
        <w:rPr>
          <w:rFonts w:ascii="Arial" w:hAnsi="Arial" w:cs="Arial"/>
        </w:rPr>
      </w:pPr>
    </w:p>
    <w:p w:rsidR="001E3F19" w:rsidRDefault="001E3F19" w:rsidP="00437F83">
      <w:pPr>
        <w:tabs>
          <w:tab w:val="left" w:pos="1118"/>
          <w:tab w:val="left" w:pos="8177"/>
        </w:tabs>
        <w:spacing w:afterLines="50" w:after="120" w:line="240" w:lineRule="exact"/>
        <w:ind w:left="284"/>
        <w:jc w:val="both"/>
        <w:rPr>
          <w:rFonts w:ascii="Arial" w:hAnsi="Arial" w:cs="Arial"/>
        </w:rPr>
      </w:pPr>
    </w:p>
    <w:p w:rsidR="00530709" w:rsidRPr="005C2C97" w:rsidRDefault="0053070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437F83" w:rsidRDefault="00437F83" w:rsidP="00437F83">
      <w:pPr>
        <w:pStyle w:val="Ttulo7"/>
        <w:numPr>
          <w:ilvl w:val="0"/>
          <w:numId w:val="3"/>
        </w:numPr>
        <w:tabs>
          <w:tab w:val="left" w:pos="426"/>
        </w:tabs>
        <w:jc w:val="left"/>
        <w:rPr>
          <w:rFonts w:ascii="Arial" w:hAnsi="Arial" w:cs="Arial"/>
          <w:sz w:val="20"/>
          <w:u w:val="single"/>
        </w:rPr>
      </w:pPr>
      <w:r w:rsidRPr="00437F83">
        <w:rPr>
          <w:rFonts w:ascii="Arial" w:hAnsi="Arial" w:cs="Arial"/>
          <w:sz w:val="20"/>
          <w:u w:val="single"/>
        </w:rPr>
        <w:lastRenderedPageBreak/>
        <w:t>Reconciliación entre las NCP y las NIIF</w:t>
      </w:r>
    </w:p>
    <w:p w:rsidR="00437F83" w:rsidRPr="00437F83" w:rsidRDefault="00437F83" w:rsidP="00437F83">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437F83" w:rsidRPr="00437F83" w:rsidRDefault="00ED1F00" w:rsidP="00437F83">
      <w:pPr>
        <w:tabs>
          <w:tab w:val="left" w:pos="1118"/>
          <w:tab w:val="left" w:pos="8177"/>
        </w:tabs>
        <w:spacing w:afterLines="50" w:after="120" w:line="240" w:lineRule="exact"/>
        <w:ind w:left="284"/>
        <w:jc w:val="both"/>
        <w:rPr>
          <w:rFonts w:ascii="Arial" w:hAnsi="Arial" w:cs="Arial"/>
        </w:rPr>
      </w:pPr>
      <w:r w:rsidRPr="00ED1F00">
        <w:rPr>
          <w:rFonts w:ascii="Arial" w:hAnsi="Arial" w:cs="Arial"/>
        </w:rPr>
        <w:t>Según lo mencionado en la Nota</w:t>
      </w:r>
      <w:r>
        <w:rPr>
          <w:rFonts w:ascii="Arial" w:hAnsi="Arial" w:cs="Arial"/>
        </w:rPr>
        <w:t xml:space="preserve"> 2</w:t>
      </w:r>
      <w:r w:rsidRPr="00ED1F00">
        <w:rPr>
          <w:rFonts w:ascii="Arial" w:hAnsi="Arial" w:cs="Arial"/>
        </w:rPr>
        <w:t>.a), y conforme lo requerido por la RG N° 622 (texto ordenado en 2013) de la CNV considerando que la Sociedad ha preparado sus estados contables al 31 de mayo de 2019 de acuerdo con las NCP, se incluyen a continuación las conciliaciones de patrimonio net</w:t>
      </w:r>
      <w:r>
        <w:rPr>
          <w:rFonts w:ascii="Arial" w:hAnsi="Arial" w:cs="Arial"/>
        </w:rPr>
        <w:t>o y resultado neto del período</w:t>
      </w:r>
      <w:r w:rsidRPr="00ED1F00">
        <w:rPr>
          <w:rFonts w:ascii="Arial" w:hAnsi="Arial" w:cs="Arial"/>
        </w:rPr>
        <w:t xml:space="preserve"> entre dichas normas y las resultantes de aplicar la RT N° 26 (y modificatorias) (NIIF):</w:t>
      </w:r>
    </w:p>
    <w:p w:rsidR="00437F83" w:rsidRPr="00437F83" w:rsidRDefault="00437F83" w:rsidP="00437F83">
      <w:pPr>
        <w:spacing w:afterLines="50" w:after="120" w:line="240" w:lineRule="exact"/>
        <w:ind w:left="426" w:hanging="142"/>
        <w:jc w:val="both"/>
        <w:rPr>
          <w:rFonts w:ascii="Arial" w:hAnsi="Arial" w:cs="Arial"/>
          <w:szCs w:val="24"/>
          <w:lang w:val="es-ES"/>
        </w:rPr>
      </w:pPr>
      <w:r w:rsidRPr="00437F83">
        <w:rPr>
          <w:rFonts w:ascii="Arial" w:hAnsi="Arial" w:cs="Arial"/>
          <w:szCs w:val="24"/>
          <w:lang w:val="es-ES"/>
        </w:rPr>
        <w:t>-</w:t>
      </w:r>
      <w:r w:rsidRPr="00437F83">
        <w:rPr>
          <w:rFonts w:ascii="Arial" w:hAnsi="Arial" w:cs="Arial"/>
          <w:szCs w:val="24"/>
          <w:lang w:val="es-ES"/>
        </w:rPr>
        <w:tab/>
        <w:t>Entre el patrimonio neto determinado de acuerdo con las NCP y el patrimonio determinado de acuerdo con las NIIF, al 31 de mayo de 2019</w:t>
      </w:r>
      <w:r w:rsidR="006E75AA">
        <w:rPr>
          <w:rFonts w:ascii="Arial" w:hAnsi="Arial" w:cs="Arial"/>
          <w:szCs w:val="24"/>
          <w:lang w:val="es-ES"/>
        </w:rPr>
        <w:t xml:space="preserve"> y 2018 y</w:t>
      </w:r>
      <w:r w:rsidRPr="00437F83">
        <w:rPr>
          <w:rFonts w:ascii="Arial" w:hAnsi="Arial" w:cs="Arial"/>
          <w:szCs w:val="24"/>
          <w:lang w:val="es-ES"/>
        </w:rPr>
        <w:t xml:space="preserve"> al 31 de enero de 2019; </w:t>
      </w:r>
    </w:p>
    <w:p w:rsidR="009413DE" w:rsidRDefault="00437F83" w:rsidP="009413DE">
      <w:pPr>
        <w:spacing w:afterLines="50" w:after="120" w:line="240" w:lineRule="exact"/>
        <w:ind w:left="426" w:hanging="142"/>
        <w:jc w:val="both"/>
        <w:rPr>
          <w:rFonts w:ascii="Arial" w:hAnsi="Arial" w:cs="Arial"/>
          <w:szCs w:val="24"/>
          <w:lang w:val="es-ES"/>
        </w:rPr>
      </w:pPr>
      <w:r w:rsidRPr="00437F83">
        <w:rPr>
          <w:rFonts w:ascii="Arial" w:hAnsi="Arial" w:cs="Arial"/>
          <w:szCs w:val="24"/>
          <w:lang w:val="es-ES"/>
        </w:rPr>
        <w:t>-</w:t>
      </w:r>
      <w:r w:rsidRPr="00437F83">
        <w:rPr>
          <w:rFonts w:ascii="Arial" w:hAnsi="Arial" w:cs="Arial"/>
          <w:szCs w:val="24"/>
          <w:lang w:val="es-ES"/>
        </w:rPr>
        <w:tab/>
        <w:t>Entre el resultado neto determinado de acuerdo con las NCP correspondiente a los períodos de cuatro meses finalizados el 31 de mayo de 2019 y 2018, y el resultado neto determinado de acuerdo con las NIIF a las mismas fechas</w:t>
      </w:r>
      <w:r w:rsidR="009413DE">
        <w:rPr>
          <w:rFonts w:ascii="Arial" w:hAnsi="Arial" w:cs="Arial"/>
          <w:szCs w:val="24"/>
          <w:lang w:val="es-ES"/>
        </w:rPr>
        <w:t>.</w:t>
      </w:r>
    </w:p>
    <w:p w:rsidR="00530709" w:rsidRPr="005C2C97" w:rsidRDefault="00530709" w:rsidP="00530709">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9413DE" w:rsidRDefault="002C7C41" w:rsidP="001E3F19">
      <w:pPr>
        <w:pStyle w:val="Sangra3detindependiente"/>
        <w:widowControl/>
        <w:tabs>
          <w:tab w:val="clear" w:pos="621"/>
          <w:tab w:val="left" w:pos="993"/>
        </w:tabs>
        <w:jc w:val="center"/>
      </w:pPr>
      <w:r w:rsidRPr="002C7C41">
        <w:rPr>
          <w:noProof/>
          <w:lang w:val="es-AR" w:eastAsia="es-AR"/>
        </w:rPr>
        <w:drawing>
          <wp:inline distT="0" distB="0" distL="0" distR="0">
            <wp:extent cx="5334000" cy="253680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49559" cy="2544200"/>
                    </a:xfrm>
                    <a:prstGeom prst="rect">
                      <a:avLst/>
                    </a:prstGeom>
                    <a:noFill/>
                    <a:ln>
                      <a:noFill/>
                    </a:ln>
                  </pic:spPr>
                </pic:pic>
              </a:graphicData>
            </a:graphic>
          </wp:inline>
        </w:drawing>
      </w:r>
    </w:p>
    <w:p w:rsidR="009413DE" w:rsidRDefault="009413DE" w:rsidP="009413DE">
      <w:pPr>
        <w:pStyle w:val="Sangra3detindependiente"/>
        <w:widowControl/>
        <w:tabs>
          <w:tab w:val="clear" w:pos="621"/>
          <w:tab w:val="left" w:pos="993"/>
        </w:tabs>
        <w:ind w:left="142"/>
      </w:pPr>
    </w:p>
    <w:p w:rsidR="00437F83" w:rsidRPr="000B364B" w:rsidRDefault="00437F83" w:rsidP="00437F83">
      <w:pPr>
        <w:spacing w:afterLines="50" w:after="120" w:line="240" w:lineRule="exact"/>
        <w:ind w:firstLine="284"/>
        <w:jc w:val="both"/>
        <w:rPr>
          <w:rFonts w:ascii="Arial" w:hAnsi="Arial" w:cs="Arial"/>
          <w:u w:val="single"/>
        </w:rPr>
      </w:pPr>
      <w:r w:rsidRPr="000B364B">
        <w:rPr>
          <w:rFonts w:ascii="Arial" w:hAnsi="Arial" w:cs="Arial"/>
          <w:u w:val="single"/>
        </w:rPr>
        <w:t>Notas explicati</w:t>
      </w:r>
      <w:r>
        <w:rPr>
          <w:rFonts w:ascii="Arial" w:hAnsi="Arial" w:cs="Arial"/>
          <w:u w:val="single"/>
        </w:rPr>
        <w:t>vas a los ajustes entre las NCP</w:t>
      </w:r>
      <w:r w:rsidRPr="000B364B">
        <w:rPr>
          <w:rFonts w:ascii="Arial" w:hAnsi="Arial" w:cs="Arial"/>
          <w:u w:val="single"/>
        </w:rPr>
        <w:t xml:space="preserve"> y las N</w:t>
      </w:r>
      <w:r>
        <w:rPr>
          <w:rFonts w:ascii="Arial" w:hAnsi="Arial" w:cs="Arial"/>
          <w:u w:val="single"/>
        </w:rPr>
        <w:t>IIF</w:t>
      </w:r>
    </w:p>
    <w:p w:rsidR="00437F83" w:rsidRDefault="00437F83" w:rsidP="00437F83">
      <w:pPr>
        <w:spacing w:afterLines="50" w:after="120" w:line="240" w:lineRule="exact"/>
        <w:ind w:left="284"/>
        <w:jc w:val="both"/>
        <w:rPr>
          <w:rFonts w:ascii="Arial" w:hAnsi="Arial" w:cs="Arial"/>
        </w:rPr>
      </w:pPr>
      <w:r>
        <w:rPr>
          <w:rFonts w:ascii="Arial" w:hAnsi="Arial" w:cs="Arial"/>
        </w:rPr>
        <w:t>Se explica resumidamente a continuación</w:t>
      </w:r>
      <w:r w:rsidRPr="00BA28BF">
        <w:rPr>
          <w:rFonts w:ascii="Arial" w:hAnsi="Arial" w:cs="Arial"/>
        </w:rPr>
        <w:t xml:space="preserve"> </w:t>
      </w:r>
      <w:r>
        <w:rPr>
          <w:rFonts w:ascii="Arial" w:hAnsi="Arial" w:cs="Arial"/>
        </w:rPr>
        <w:t>el</w:t>
      </w:r>
      <w:r w:rsidRPr="00BA28BF">
        <w:rPr>
          <w:rFonts w:ascii="Arial" w:hAnsi="Arial" w:cs="Arial"/>
        </w:rPr>
        <w:t xml:space="preserve"> </w:t>
      </w:r>
      <w:r w:rsidRPr="00B922D1">
        <w:rPr>
          <w:rFonts w:ascii="Arial" w:hAnsi="Arial" w:cs="Arial"/>
        </w:rPr>
        <w:t xml:space="preserve">principal </w:t>
      </w:r>
      <w:r w:rsidRPr="00BA28BF">
        <w:rPr>
          <w:rFonts w:ascii="Arial" w:hAnsi="Arial" w:cs="Arial"/>
        </w:rPr>
        <w:t xml:space="preserve">ajuste </w:t>
      </w:r>
      <w:r>
        <w:rPr>
          <w:rFonts w:ascii="Arial" w:hAnsi="Arial" w:cs="Arial"/>
        </w:rPr>
        <w:t>entre las NCP y las NIIF</w:t>
      </w:r>
      <w:r w:rsidRPr="00BA28BF">
        <w:rPr>
          <w:rFonts w:ascii="Arial" w:hAnsi="Arial" w:cs="Arial"/>
        </w:rPr>
        <w:t xml:space="preserve"> que afecta el patrimonio neto al </w:t>
      </w:r>
      <w:r>
        <w:rPr>
          <w:rFonts w:ascii="Arial" w:hAnsi="Arial" w:cs="Arial"/>
        </w:rPr>
        <w:t>31 de mayo de 2019 y 2018</w:t>
      </w:r>
      <w:r w:rsidR="00530709">
        <w:rPr>
          <w:rFonts w:ascii="Arial" w:hAnsi="Arial" w:cs="Arial"/>
        </w:rPr>
        <w:t xml:space="preserve"> y al 31 de enero de 2019</w:t>
      </w:r>
      <w:r w:rsidRPr="00BA28BF">
        <w:rPr>
          <w:rFonts w:ascii="Arial" w:hAnsi="Arial" w:cs="Arial"/>
        </w:rPr>
        <w:t xml:space="preserve">, y que surge de comparar las políticas contables actualmente aplicadas por la Sociedad en la preparación de los presentes estados </w:t>
      </w:r>
      <w:r>
        <w:rPr>
          <w:rFonts w:ascii="Arial" w:hAnsi="Arial" w:cs="Arial"/>
        </w:rPr>
        <w:t>contables</w:t>
      </w:r>
      <w:r w:rsidRPr="00BA28BF">
        <w:rPr>
          <w:rFonts w:ascii="Arial" w:hAnsi="Arial" w:cs="Arial"/>
        </w:rPr>
        <w:t xml:space="preserve"> (NCP vigentes) tal como se las describe en </w:t>
      </w:r>
      <w:r w:rsidRPr="00E27C21">
        <w:rPr>
          <w:rFonts w:ascii="Arial" w:hAnsi="Arial" w:cs="Arial"/>
        </w:rPr>
        <w:t xml:space="preserve">la Nota </w:t>
      </w:r>
      <w:r w:rsidR="00922F4B">
        <w:rPr>
          <w:rFonts w:ascii="Arial" w:hAnsi="Arial" w:cs="Arial"/>
        </w:rPr>
        <w:t>3</w:t>
      </w:r>
      <w:r w:rsidRPr="00BA28BF">
        <w:rPr>
          <w:rFonts w:ascii="Arial" w:hAnsi="Arial" w:cs="Arial"/>
        </w:rPr>
        <w:t xml:space="preserve">, y las políticas contables que </w:t>
      </w:r>
      <w:r>
        <w:rPr>
          <w:rFonts w:ascii="Arial" w:hAnsi="Arial" w:cs="Arial"/>
        </w:rPr>
        <w:t>son</w:t>
      </w:r>
      <w:r w:rsidRPr="00BA28BF">
        <w:rPr>
          <w:rFonts w:ascii="Arial" w:hAnsi="Arial" w:cs="Arial"/>
        </w:rPr>
        <w:t xml:space="preserve"> aplicadas por la sociedad controlante</w:t>
      </w:r>
      <w:r>
        <w:rPr>
          <w:rFonts w:ascii="Arial" w:hAnsi="Arial" w:cs="Arial"/>
        </w:rPr>
        <w:t>, Ledesma S.A.A.I.,</w:t>
      </w:r>
      <w:r w:rsidRPr="00BA28BF">
        <w:rPr>
          <w:rFonts w:ascii="Arial" w:hAnsi="Arial" w:cs="Arial"/>
        </w:rPr>
        <w:t xml:space="preserve"> en la preparación de sus estados financieros presentados de acuerdo con las NIIF.</w:t>
      </w:r>
    </w:p>
    <w:p w:rsidR="00437F83" w:rsidRPr="000B364B" w:rsidRDefault="00437F83" w:rsidP="00437F83">
      <w:pPr>
        <w:pStyle w:val="Prrafodelista"/>
        <w:numPr>
          <w:ilvl w:val="0"/>
          <w:numId w:val="5"/>
        </w:numPr>
        <w:spacing w:afterLines="50" w:after="120" w:line="240" w:lineRule="exact"/>
        <w:ind w:left="567" w:hanging="283"/>
        <w:contextualSpacing w:val="0"/>
        <w:jc w:val="both"/>
        <w:rPr>
          <w:rFonts w:ascii="Arial" w:hAnsi="Arial" w:cs="Arial"/>
          <w:u w:val="single"/>
        </w:rPr>
      </w:pPr>
      <w:r w:rsidRPr="000B364B">
        <w:rPr>
          <w:rFonts w:ascii="Arial" w:hAnsi="Arial" w:cs="Arial"/>
          <w:u w:val="single"/>
        </w:rPr>
        <w:t>Previsiones:</w:t>
      </w:r>
    </w:p>
    <w:p w:rsidR="00437F83" w:rsidRDefault="00437F83" w:rsidP="00437F83">
      <w:pPr>
        <w:spacing w:afterLines="50" w:after="120" w:line="240" w:lineRule="exact"/>
        <w:ind w:left="567"/>
        <w:jc w:val="both"/>
        <w:rPr>
          <w:rFonts w:ascii="Arial" w:hAnsi="Arial" w:cs="Arial"/>
        </w:rPr>
      </w:pPr>
      <w:r w:rsidRPr="00235DFE">
        <w:rPr>
          <w:rFonts w:ascii="Arial" w:hAnsi="Arial" w:cs="Arial"/>
        </w:rPr>
        <w:t>Conforme las NCP vigentes</w:t>
      </w:r>
      <w:r>
        <w:rPr>
          <w:rFonts w:ascii="Arial" w:hAnsi="Arial" w:cs="Arial"/>
        </w:rPr>
        <w:t xml:space="preserve"> y tal como se in</w:t>
      </w:r>
      <w:r w:rsidR="00F84461">
        <w:rPr>
          <w:rFonts w:ascii="Arial" w:hAnsi="Arial" w:cs="Arial"/>
        </w:rPr>
        <w:t>dica en la N</w:t>
      </w:r>
      <w:r>
        <w:rPr>
          <w:rFonts w:ascii="Arial" w:hAnsi="Arial" w:cs="Arial"/>
        </w:rPr>
        <w:t>ota 3.-e)</w:t>
      </w:r>
      <w:r w:rsidRPr="00C17B8B">
        <w:rPr>
          <w:rFonts w:ascii="Arial" w:hAnsi="Arial" w:cs="Arial"/>
        </w:rPr>
        <w:t>, las previsiones incluidas en el pasivo</w:t>
      </w:r>
      <w:r>
        <w:rPr>
          <w:rFonts w:ascii="Arial" w:hAnsi="Arial" w:cs="Arial"/>
        </w:rPr>
        <w:t xml:space="preserve"> y en el activo</w:t>
      </w:r>
      <w:r w:rsidRPr="00C17B8B">
        <w:rPr>
          <w:rFonts w:ascii="Arial" w:hAnsi="Arial" w:cs="Arial"/>
        </w:rPr>
        <w:t xml:space="preserve"> se han constituido para afrontar situaciones contingentes que podrían originar obligaciones para la Sociedad. </w:t>
      </w:r>
    </w:p>
    <w:p w:rsidR="00437F83" w:rsidRPr="00C17B8B" w:rsidRDefault="00437F83" w:rsidP="00437F83">
      <w:pPr>
        <w:spacing w:afterLines="50" w:after="120" w:line="240" w:lineRule="exact"/>
        <w:ind w:left="567"/>
        <w:jc w:val="both"/>
        <w:rPr>
          <w:rFonts w:ascii="Arial" w:hAnsi="Arial" w:cs="Arial"/>
        </w:rPr>
      </w:pPr>
      <w:r w:rsidRPr="00C17B8B">
        <w:rPr>
          <w:rFonts w:ascii="Arial" w:hAnsi="Arial" w:cs="Arial"/>
        </w:rPr>
        <w:t>De acuerdo con las NIIF, para su reconocimiento se deben cumplir las siguientes condiciones:</w:t>
      </w:r>
    </w:p>
    <w:p w:rsidR="001E3F19" w:rsidRPr="001E3F19" w:rsidRDefault="00437F83" w:rsidP="001E3F19">
      <w:pPr>
        <w:spacing w:afterLines="50" w:after="120" w:line="240" w:lineRule="exact"/>
        <w:ind w:left="567"/>
        <w:jc w:val="both"/>
        <w:rPr>
          <w:rFonts w:ascii="Arial" w:hAnsi="Arial" w:cs="Arial"/>
          <w:sz w:val="18"/>
        </w:rPr>
      </w:pPr>
      <w:r w:rsidRPr="001E3F19">
        <w:rPr>
          <w:rFonts w:ascii="Arial" w:hAnsi="Arial" w:cs="Arial"/>
          <w:sz w:val="18"/>
        </w:rPr>
        <w:t>(a) una entidad tiene una obligación presente, ya sea legal o implícita, como resultado de un suceso pasado;</w:t>
      </w:r>
      <w:r w:rsidR="001E3F19" w:rsidRPr="001E3F19">
        <w:rPr>
          <w:rFonts w:ascii="Arial" w:hAnsi="Arial" w:cs="Arial"/>
          <w:sz w:val="18"/>
        </w:rPr>
        <w:t xml:space="preserve"> </w:t>
      </w:r>
    </w:p>
    <w:p w:rsidR="001E3F19" w:rsidRPr="001E3F19" w:rsidRDefault="00437F83" w:rsidP="001E3F19">
      <w:pPr>
        <w:spacing w:afterLines="50" w:after="120" w:line="240" w:lineRule="exact"/>
        <w:ind w:left="567"/>
        <w:jc w:val="both"/>
        <w:rPr>
          <w:rFonts w:ascii="Arial" w:hAnsi="Arial" w:cs="Arial"/>
          <w:sz w:val="18"/>
        </w:rPr>
      </w:pPr>
      <w:r w:rsidRPr="001E3F19">
        <w:rPr>
          <w:rFonts w:ascii="Arial" w:hAnsi="Arial" w:cs="Arial"/>
          <w:sz w:val="18"/>
        </w:rPr>
        <w:t>(b) es probable que la entidad tenga que desprenderse de recursos, que incorporen beneficios económicos para cancelar tal obligación; y</w:t>
      </w:r>
      <w:r w:rsidR="001E3F19" w:rsidRPr="001E3F19">
        <w:rPr>
          <w:rFonts w:ascii="Arial" w:hAnsi="Arial" w:cs="Arial"/>
          <w:sz w:val="18"/>
        </w:rPr>
        <w:t xml:space="preserve"> </w:t>
      </w:r>
    </w:p>
    <w:p w:rsidR="00437F83" w:rsidRPr="001E3F19" w:rsidRDefault="00437F83" w:rsidP="001E3F19">
      <w:pPr>
        <w:spacing w:afterLines="50" w:after="120" w:line="240" w:lineRule="exact"/>
        <w:ind w:left="567"/>
        <w:jc w:val="both"/>
        <w:rPr>
          <w:rFonts w:ascii="Arial" w:hAnsi="Arial" w:cs="Arial"/>
          <w:sz w:val="18"/>
        </w:rPr>
      </w:pPr>
      <w:r w:rsidRPr="001E3F19">
        <w:rPr>
          <w:rFonts w:ascii="Arial" w:hAnsi="Arial" w:cs="Arial"/>
          <w:sz w:val="18"/>
        </w:rPr>
        <w:t>(c) puede hacerse una estimación fiable del importe de la obligación.</w:t>
      </w:r>
    </w:p>
    <w:p w:rsidR="001E3F19" w:rsidRPr="00867FE4" w:rsidRDefault="001E3F19" w:rsidP="001E3F19">
      <w:pPr>
        <w:pStyle w:val="Ttulo7"/>
        <w:numPr>
          <w:ilvl w:val="0"/>
          <w:numId w:val="3"/>
        </w:numPr>
        <w:tabs>
          <w:tab w:val="left" w:pos="426"/>
        </w:tabs>
        <w:jc w:val="left"/>
        <w:rPr>
          <w:rFonts w:ascii="Arial" w:hAnsi="Arial" w:cs="Arial"/>
          <w:sz w:val="20"/>
          <w:u w:val="single"/>
        </w:rPr>
      </w:pPr>
      <w:r w:rsidRPr="00867FE4">
        <w:rPr>
          <w:rFonts w:ascii="Arial" w:hAnsi="Arial" w:cs="Arial"/>
          <w:sz w:val="20"/>
          <w:u w:val="single"/>
        </w:rPr>
        <w:lastRenderedPageBreak/>
        <w:t>Información comparativa</w:t>
      </w:r>
    </w:p>
    <w:p w:rsidR="001E3F19" w:rsidRPr="00583032" w:rsidRDefault="001E3F19" w:rsidP="001E3F19">
      <w:pPr>
        <w:tabs>
          <w:tab w:val="left" w:pos="621"/>
          <w:tab w:val="left" w:pos="709"/>
          <w:tab w:val="left" w:pos="1118"/>
          <w:tab w:val="left" w:pos="1615"/>
          <w:tab w:val="left" w:pos="5083"/>
          <w:tab w:val="left" w:pos="6630"/>
          <w:tab w:val="left" w:pos="8177"/>
          <w:tab w:val="left" w:pos="9874"/>
          <w:tab w:val="left" w:pos="10144"/>
          <w:tab w:val="left" w:pos="12021"/>
          <w:tab w:val="left" w:pos="13704"/>
          <w:tab w:val="left" w:pos="15251"/>
        </w:tabs>
        <w:ind w:left="567"/>
        <w:jc w:val="both"/>
        <w:rPr>
          <w:rFonts w:ascii="Arial" w:hAnsi="Arial"/>
          <w:sz w:val="6"/>
          <w:szCs w:val="6"/>
        </w:rPr>
      </w:pPr>
    </w:p>
    <w:p w:rsidR="001E3F19" w:rsidRDefault="001E3F19" w:rsidP="001E3F19">
      <w:pPr>
        <w:spacing w:afterLines="50" w:after="120" w:line="240" w:lineRule="exact"/>
        <w:ind w:left="284"/>
        <w:jc w:val="both"/>
        <w:rPr>
          <w:rFonts w:ascii="Arial" w:hAnsi="Arial" w:cs="Arial"/>
        </w:rPr>
      </w:pPr>
      <w:r w:rsidRPr="000C33E3">
        <w:rPr>
          <w:rFonts w:ascii="Arial" w:hAnsi="Arial" w:cs="Arial"/>
        </w:rPr>
        <w:t xml:space="preserve">Las cifras y otra información correspondientes al 31 de mayo de </w:t>
      </w:r>
      <w:r>
        <w:rPr>
          <w:rFonts w:ascii="Arial" w:hAnsi="Arial" w:cs="Arial"/>
        </w:rPr>
        <w:t>2018 y al 31 de enero de 2019</w:t>
      </w:r>
      <w:r w:rsidRPr="000C33E3">
        <w:rPr>
          <w:rFonts w:ascii="Arial" w:hAnsi="Arial" w:cs="Arial"/>
        </w:rPr>
        <w:t xml:space="preserve">, presentados con fines comparativos, surgen  de </w:t>
      </w:r>
      <w:proofErr w:type="spellStart"/>
      <w:r w:rsidRPr="000C33E3">
        <w:rPr>
          <w:rFonts w:ascii="Arial" w:hAnsi="Arial" w:cs="Arial"/>
        </w:rPr>
        <w:t>reexpresar</w:t>
      </w:r>
      <w:proofErr w:type="spellEnd"/>
      <w:r w:rsidRPr="000C33E3">
        <w:rPr>
          <w:rFonts w:ascii="Arial" w:hAnsi="Arial" w:cs="Arial"/>
        </w:rPr>
        <w:t xml:space="preserve"> los importes de los estados contables a dicha fecha aplicando la metodología mencionada en la </w:t>
      </w:r>
      <w:r>
        <w:rPr>
          <w:rFonts w:ascii="Arial" w:hAnsi="Arial" w:cs="Arial"/>
        </w:rPr>
        <w:t>N</w:t>
      </w:r>
      <w:r w:rsidRPr="000C33E3">
        <w:rPr>
          <w:rFonts w:ascii="Arial" w:hAnsi="Arial" w:cs="Arial"/>
        </w:rPr>
        <w:t>ota 2.</w:t>
      </w:r>
      <w:r>
        <w:rPr>
          <w:rFonts w:ascii="Arial" w:hAnsi="Arial" w:cs="Arial"/>
        </w:rPr>
        <w:t>-</w:t>
      </w:r>
      <w:r w:rsidRPr="000C33E3">
        <w:rPr>
          <w:rFonts w:ascii="Arial" w:hAnsi="Arial" w:cs="Arial"/>
        </w:rPr>
        <w:t>b).</w:t>
      </w:r>
    </w:p>
    <w:p w:rsidR="001E3F19" w:rsidRDefault="001E3F19" w:rsidP="001E3F19">
      <w:pPr>
        <w:spacing w:afterLines="50" w:after="120" w:line="240" w:lineRule="exact"/>
        <w:ind w:left="284"/>
        <w:jc w:val="both"/>
        <w:rPr>
          <w:rFonts w:ascii="Arial" w:hAnsi="Arial" w:cs="Arial"/>
        </w:rPr>
      </w:pPr>
      <w:r w:rsidRPr="00583032">
        <w:rPr>
          <w:rFonts w:ascii="Arial" w:hAnsi="Arial" w:cs="Arial"/>
        </w:rPr>
        <w:t>Se han efectuado ciertos cambios de exposición en los estados contables informados con propósitos comparativos para uniformarlos con la presentación de los correspondientes al 31 de mayo de 2019.</w:t>
      </w:r>
    </w:p>
    <w:p w:rsidR="001E3F19" w:rsidRDefault="001E3F19" w:rsidP="00947950">
      <w:pPr>
        <w:tabs>
          <w:tab w:val="left" w:pos="1118"/>
          <w:tab w:val="left" w:pos="8177"/>
        </w:tabs>
        <w:spacing w:line="360" w:lineRule="atLeast"/>
        <w:jc w:val="both"/>
        <w:rPr>
          <w:rFonts w:ascii="Arial" w:hAnsi="Arial"/>
          <w:b/>
          <w:u w:val="single"/>
        </w:rPr>
      </w:pPr>
    </w:p>
    <w:p w:rsidR="00947950" w:rsidRPr="00437F83" w:rsidRDefault="00947950" w:rsidP="00947950">
      <w:pPr>
        <w:tabs>
          <w:tab w:val="left" w:pos="1118"/>
          <w:tab w:val="left" w:pos="8177"/>
        </w:tabs>
        <w:spacing w:line="360" w:lineRule="atLeast"/>
        <w:jc w:val="both"/>
        <w:rPr>
          <w:rFonts w:ascii="Arial" w:hAnsi="Arial"/>
          <w:b/>
          <w:u w:val="single"/>
        </w:rPr>
      </w:pPr>
      <w:r w:rsidRPr="00437F83">
        <w:rPr>
          <w:rFonts w:ascii="Arial" w:hAnsi="Arial"/>
          <w:b/>
          <w:u w:val="single"/>
        </w:rPr>
        <w:t>NOTA 4.- COMPOSICIÓN DE LOS PRINCIPALES RUBROS</w:t>
      </w:r>
    </w:p>
    <w:p w:rsidR="00947950" w:rsidRPr="00815B73" w:rsidRDefault="00947950" w:rsidP="00947950">
      <w:pPr>
        <w:tabs>
          <w:tab w:val="left" w:pos="1118"/>
          <w:tab w:val="left" w:pos="1615"/>
          <w:tab w:val="left" w:pos="5083"/>
          <w:tab w:val="left" w:pos="6630"/>
          <w:tab w:val="left" w:pos="8177"/>
          <w:tab w:val="left" w:pos="9874"/>
          <w:tab w:val="left" w:pos="10144"/>
          <w:tab w:val="left" w:pos="12021"/>
          <w:tab w:val="left" w:pos="13704"/>
          <w:tab w:val="left" w:pos="15251"/>
        </w:tabs>
        <w:jc w:val="both"/>
        <w:rPr>
          <w:rFonts w:ascii="Arial" w:hAnsi="Arial"/>
          <w:b/>
          <w:sz w:val="14"/>
          <w:szCs w:val="14"/>
          <w:u w:val="single"/>
        </w:rPr>
      </w:pPr>
    </w:p>
    <w:p w:rsidR="00947950" w:rsidRDefault="00947950" w:rsidP="00947950">
      <w:pPr>
        <w:tabs>
          <w:tab w:val="left" w:pos="1118"/>
          <w:tab w:val="left" w:pos="1615"/>
          <w:tab w:val="left" w:pos="5083"/>
          <w:tab w:val="left" w:pos="6630"/>
          <w:tab w:val="left" w:pos="8177"/>
          <w:tab w:val="left" w:pos="9874"/>
          <w:tab w:val="left" w:pos="10144"/>
          <w:tab w:val="left" w:pos="12021"/>
          <w:tab w:val="left" w:pos="13704"/>
          <w:tab w:val="left" w:pos="15251"/>
        </w:tabs>
        <w:jc w:val="both"/>
        <w:rPr>
          <w:rFonts w:ascii="Arial" w:hAnsi="Arial"/>
          <w:b/>
          <w:sz w:val="14"/>
          <w:szCs w:val="14"/>
          <w:u w:val="single"/>
        </w:rPr>
      </w:pPr>
      <w:r>
        <w:rPr>
          <w:rFonts w:ascii="Arial" w:hAnsi="Arial"/>
        </w:rPr>
        <w:t>A continuación se detalla la composición de los principales rubros:</w:t>
      </w:r>
      <w:r w:rsidRPr="00947950">
        <w:rPr>
          <w:rFonts w:ascii="Arial" w:hAnsi="Arial"/>
          <w:b/>
          <w:sz w:val="14"/>
          <w:szCs w:val="14"/>
          <w:u w:val="single"/>
        </w:rPr>
        <w:t xml:space="preserve"> </w:t>
      </w:r>
    </w:p>
    <w:p w:rsidR="001E3F19" w:rsidRDefault="001E3F19" w:rsidP="00947950">
      <w:pPr>
        <w:tabs>
          <w:tab w:val="left" w:pos="1118"/>
          <w:tab w:val="left" w:pos="1615"/>
          <w:tab w:val="left" w:pos="5083"/>
          <w:tab w:val="left" w:pos="6630"/>
          <w:tab w:val="left" w:pos="8177"/>
          <w:tab w:val="left" w:pos="9874"/>
          <w:tab w:val="left" w:pos="10144"/>
          <w:tab w:val="left" w:pos="12021"/>
          <w:tab w:val="left" w:pos="13704"/>
          <w:tab w:val="left" w:pos="15251"/>
        </w:tabs>
        <w:jc w:val="both"/>
        <w:rPr>
          <w:rFonts w:ascii="Arial" w:hAnsi="Arial"/>
          <w:b/>
          <w:sz w:val="14"/>
          <w:szCs w:val="14"/>
          <w:u w:val="single"/>
        </w:rPr>
      </w:pPr>
    </w:p>
    <w:p w:rsidR="00947950" w:rsidRDefault="001E3F19" w:rsidP="00947950">
      <w:pPr>
        <w:pStyle w:val="Sangra3detindependiente"/>
        <w:widowControl/>
        <w:tabs>
          <w:tab w:val="clear" w:pos="621"/>
          <w:tab w:val="left" w:pos="993"/>
        </w:tabs>
        <w:ind w:left="142"/>
      </w:pPr>
      <w:r w:rsidRPr="001E3F19">
        <w:rPr>
          <w:noProof/>
          <w:lang w:val="es-AR" w:eastAsia="es-AR"/>
        </w:rPr>
        <w:drawing>
          <wp:inline distT="0" distB="0" distL="0" distR="0">
            <wp:extent cx="5760720" cy="5668077"/>
            <wp:effectExtent l="0" t="0" r="0" b="889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668077"/>
                    </a:xfrm>
                    <a:prstGeom prst="rect">
                      <a:avLst/>
                    </a:prstGeom>
                    <a:noFill/>
                    <a:ln>
                      <a:noFill/>
                    </a:ln>
                  </pic:spPr>
                </pic:pic>
              </a:graphicData>
            </a:graphic>
          </wp:inline>
        </w:drawing>
      </w:r>
    </w:p>
    <w:p w:rsidR="00947950" w:rsidRPr="00947950" w:rsidRDefault="00947950" w:rsidP="00947950">
      <w:pPr>
        <w:pStyle w:val="Sangra3detindependiente"/>
        <w:widowControl/>
        <w:tabs>
          <w:tab w:val="clear" w:pos="621"/>
          <w:tab w:val="left" w:pos="993"/>
        </w:tabs>
        <w:ind w:left="142"/>
        <w:rPr>
          <w:rFonts w:ascii="Arial" w:hAnsi="Arial"/>
          <w:b/>
          <w:u w:val="single"/>
          <w:lang w:val="es-AR"/>
        </w:rPr>
      </w:pPr>
    </w:p>
    <w:p w:rsidR="002C7C41" w:rsidRDefault="001E3F19" w:rsidP="00437F83">
      <w:pPr>
        <w:tabs>
          <w:tab w:val="left" w:pos="1118"/>
          <w:tab w:val="left" w:pos="8177"/>
        </w:tabs>
        <w:spacing w:line="360" w:lineRule="atLeast"/>
        <w:jc w:val="both"/>
        <w:rPr>
          <w:rFonts w:ascii="Arial" w:hAnsi="Arial"/>
          <w:b/>
          <w:u w:val="single"/>
        </w:rPr>
      </w:pPr>
      <w:r w:rsidRPr="001E3F19">
        <w:rPr>
          <w:noProof/>
          <w:lang w:eastAsia="es-AR"/>
        </w:rPr>
        <w:lastRenderedPageBreak/>
        <w:drawing>
          <wp:inline distT="0" distB="0" distL="0" distR="0">
            <wp:extent cx="5760720" cy="2551898"/>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551898"/>
                    </a:xfrm>
                    <a:prstGeom prst="rect">
                      <a:avLst/>
                    </a:prstGeom>
                    <a:noFill/>
                    <a:ln>
                      <a:noFill/>
                    </a:ln>
                  </pic:spPr>
                </pic:pic>
              </a:graphicData>
            </a:graphic>
          </wp:inline>
        </w:drawing>
      </w:r>
    </w:p>
    <w:p w:rsidR="00947950" w:rsidRDefault="00197FF5" w:rsidP="00437F83">
      <w:pPr>
        <w:tabs>
          <w:tab w:val="left" w:pos="1118"/>
          <w:tab w:val="left" w:pos="8177"/>
        </w:tabs>
        <w:spacing w:line="360" w:lineRule="atLeast"/>
        <w:jc w:val="both"/>
        <w:rPr>
          <w:rFonts w:ascii="Arial" w:hAnsi="Arial"/>
          <w:b/>
          <w:u w:val="single"/>
        </w:rPr>
      </w:pPr>
      <w:r w:rsidRPr="00197FF5">
        <w:rPr>
          <w:noProof/>
          <w:lang w:eastAsia="es-AR"/>
        </w:rPr>
        <w:drawing>
          <wp:inline distT="0" distB="0" distL="0" distR="0">
            <wp:extent cx="5760720" cy="4995427"/>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995427"/>
                    </a:xfrm>
                    <a:prstGeom prst="rect">
                      <a:avLst/>
                    </a:prstGeom>
                    <a:noFill/>
                    <a:ln>
                      <a:noFill/>
                    </a:ln>
                  </pic:spPr>
                </pic:pic>
              </a:graphicData>
            </a:graphic>
          </wp:inline>
        </w:drawing>
      </w:r>
    </w:p>
    <w:p w:rsidR="00947950" w:rsidRDefault="00947950" w:rsidP="00437F83">
      <w:pPr>
        <w:tabs>
          <w:tab w:val="left" w:pos="1118"/>
          <w:tab w:val="left" w:pos="8177"/>
        </w:tabs>
        <w:spacing w:line="360" w:lineRule="atLeast"/>
        <w:jc w:val="both"/>
        <w:rPr>
          <w:rFonts w:ascii="Arial" w:hAnsi="Arial"/>
          <w:b/>
          <w:u w:val="single"/>
        </w:rPr>
      </w:pPr>
    </w:p>
    <w:p w:rsidR="006F24A0" w:rsidRDefault="006F24A0" w:rsidP="006F24A0">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rPr>
      </w:pPr>
      <w:r w:rsidRPr="00822CD3">
        <w:rPr>
          <w:rFonts w:ascii="Arial" w:eastAsia="Times New Roman" w:hAnsi="Arial" w:cs="Times New Roman"/>
          <w:b/>
          <w:color w:val="auto"/>
          <w:sz w:val="20"/>
          <w:szCs w:val="20"/>
          <w:u w:val="single"/>
        </w:rPr>
        <w:lastRenderedPageBreak/>
        <w:t>NOTA 5.- SALDOS Y OPERACIONES CON SOCIEDADES RELACIONADAS</w:t>
      </w:r>
    </w:p>
    <w:p w:rsidR="00307E42" w:rsidRPr="00437F83" w:rsidRDefault="00307E42" w:rsidP="00307E42">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6F24A0" w:rsidRDefault="006F24A0" w:rsidP="006F24A0">
      <w:pPr>
        <w:tabs>
          <w:tab w:val="left" w:pos="6804"/>
        </w:tabs>
        <w:spacing w:line="240" w:lineRule="atLeast"/>
        <w:ind w:left="284"/>
        <w:jc w:val="both"/>
        <w:rPr>
          <w:rFonts w:ascii="Arial" w:hAnsi="Arial"/>
        </w:rPr>
      </w:pPr>
      <w:r>
        <w:rPr>
          <w:rFonts w:ascii="Arial" w:hAnsi="Arial"/>
        </w:rPr>
        <w:t xml:space="preserve">Los saldos con la sociedad controlante Ledesma S.A.A.I., al cierre de cada período / ejercicio </w:t>
      </w:r>
      <w:r w:rsidRPr="00B66031">
        <w:rPr>
          <w:rFonts w:ascii="Arial" w:hAnsi="Arial"/>
        </w:rPr>
        <w:t>son:</w:t>
      </w:r>
    </w:p>
    <w:p w:rsidR="00307E42" w:rsidRPr="00437F83" w:rsidRDefault="00307E42" w:rsidP="00307E42">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307E42" w:rsidRDefault="00321C81" w:rsidP="00D17A54">
      <w:pPr>
        <w:spacing w:line="240" w:lineRule="atLeast"/>
        <w:ind w:left="284"/>
        <w:rPr>
          <w:rFonts w:ascii="Arial" w:hAnsi="Arial"/>
        </w:rPr>
      </w:pPr>
      <w:r w:rsidRPr="00321C81">
        <w:rPr>
          <w:noProof/>
          <w:lang w:eastAsia="es-AR"/>
        </w:rPr>
        <w:drawing>
          <wp:inline distT="0" distB="0" distL="0" distR="0">
            <wp:extent cx="5302102" cy="35623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30135" cy="3581184"/>
                    </a:xfrm>
                    <a:prstGeom prst="rect">
                      <a:avLst/>
                    </a:prstGeom>
                    <a:noFill/>
                    <a:ln>
                      <a:noFill/>
                    </a:ln>
                  </pic:spPr>
                </pic:pic>
              </a:graphicData>
            </a:graphic>
          </wp:inline>
        </w:drawing>
      </w:r>
    </w:p>
    <w:p w:rsidR="00C23B45" w:rsidRPr="00437F83" w:rsidRDefault="00C23B45" w:rsidP="00C23B45">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6F24A0" w:rsidRPr="00307E42" w:rsidRDefault="00307E42" w:rsidP="00307E42">
      <w:pPr>
        <w:tabs>
          <w:tab w:val="left" w:pos="1118"/>
          <w:tab w:val="left" w:pos="8177"/>
        </w:tabs>
        <w:spacing w:afterLines="50" w:after="120" w:line="240" w:lineRule="exact"/>
        <w:ind w:left="284"/>
        <w:jc w:val="both"/>
        <w:rPr>
          <w:rFonts w:ascii="Arial" w:hAnsi="Arial" w:cs="Arial"/>
        </w:rPr>
      </w:pPr>
      <w:r w:rsidRPr="00307E42">
        <w:rPr>
          <w:rFonts w:ascii="Arial" w:hAnsi="Arial" w:cs="Arial"/>
        </w:rPr>
        <w:t>Dado el reciente comienzo de la campaña Citrícola de la zona Norte de nuestro país y considerando que la negociación entre Ledesma S.A.A.I. y Ledesma Frutas S.A.U. sobre precios y volúmenes a comercializar asociados a dicha campaña recién se ha iniciado, no podemos determinar a la fecha de emisión de los presentes estados contables, que los precios de la fruta facturados se mantendrán firmes o bien cuál será su evolución a lo largo del ejercicio. Con el transcurrir de la campaña, y a partir de la reacción del mercado a la oferta se podrán definir con mayor precisión volúmenes comercializados y precios finales de la negociación.</w:t>
      </w:r>
    </w:p>
    <w:p w:rsidR="00307E42" w:rsidRPr="00437F83" w:rsidRDefault="00307E42" w:rsidP="00307E42">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822CD3" w:rsidRDefault="00822CD3" w:rsidP="00822CD3">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rPr>
      </w:pPr>
      <w:r w:rsidRPr="00822CD3">
        <w:rPr>
          <w:rFonts w:ascii="Arial" w:eastAsia="Times New Roman" w:hAnsi="Arial" w:cs="Times New Roman"/>
          <w:b/>
          <w:color w:val="auto"/>
          <w:sz w:val="20"/>
          <w:szCs w:val="20"/>
          <w:u w:val="single"/>
        </w:rPr>
        <w:t xml:space="preserve">NOTA 6.- VENCIMIENTOS ESTIMADOS DE </w:t>
      </w:r>
      <w:r w:rsidR="00C70CD2">
        <w:rPr>
          <w:rFonts w:ascii="Arial" w:eastAsia="Times New Roman" w:hAnsi="Arial" w:cs="Times New Roman"/>
          <w:b/>
          <w:color w:val="auto"/>
          <w:sz w:val="20"/>
          <w:szCs w:val="20"/>
          <w:u w:val="single"/>
        </w:rPr>
        <w:t xml:space="preserve">INVERSIONES, </w:t>
      </w:r>
      <w:r w:rsidRPr="00822CD3">
        <w:rPr>
          <w:rFonts w:ascii="Arial" w:eastAsia="Times New Roman" w:hAnsi="Arial" w:cs="Times New Roman"/>
          <w:b/>
          <w:color w:val="auto"/>
          <w:sz w:val="20"/>
          <w:szCs w:val="20"/>
          <w:u w:val="single"/>
        </w:rPr>
        <w:t>CRÉDITOS Y DEUDAS</w:t>
      </w:r>
    </w:p>
    <w:p w:rsidR="00307E42" w:rsidRPr="00307E42" w:rsidRDefault="00307E42" w:rsidP="00307E42"/>
    <w:p w:rsidR="006F24A0" w:rsidRDefault="002C7C41" w:rsidP="00822CD3">
      <w:pPr>
        <w:pStyle w:val="Sangra3detindependiente"/>
        <w:tabs>
          <w:tab w:val="clear" w:pos="621"/>
          <w:tab w:val="clear" w:pos="1118"/>
          <w:tab w:val="clear" w:pos="1615"/>
          <w:tab w:val="clear" w:pos="5083"/>
          <w:tab w:val="clear" w:pos="6630"/>
          <w:tab w:val="clear" w:pos="8177"/>
          <w:tab w:val="clear" w:pos="9874"/>
          <w:tab w:val="clear" w:pos="10144"/>
          <w:tab w:val="clear" w:pos="12021"/>
          <w:tab w:val="clear" w:pos="13704"/>
          <w:tab w:val="clear" w:pos="15251"/>
          <w:tab w:val="left" w:pos="2055"/>
        </w:tabs>
        <w:rPr>
          <w:rFonts w:ascii="Arial" w:hAnsi="Arial" w:cs="Arial"/>
        </w:rPr>
      </w:pPr>
      <w:r w:rsidRPr="002C7C41">
        <w:rPr>
          <w:noProof/>
          <w:lang w:val="es-AR" w:eastAsia="es-AR"/>
        </w:rPr>
        <w:drawing>
          <wp:inline distT="0" distB="0" distL="0" distR="0">
            <wp:extent cx="4276725" cy="2016906"/>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09236" cy="2032238"/>
                    </a:xfrm>
                    <a:prstGeom prst="rect">
                      <a:avLst/>
                    </a:prstGeom>
                    <a:noFill/>
                    <a:ln>
                      <a:noFill/>
                    </a:ln>
                  </pic:spPr>
                </pic:pic>
              </a:graphicData>
            </a:graphic>
          </wp:inline>
        </w:drawing>
      </w:r>
    </w:p>
    <w:p w:rsidR="000321FE" w:rsidRDefault="002C7C41" w:rsidP="00822CD3">
      <w:pPr>
        <w:pStyle w:val="Sangra3detindependiente"/>
        <w:tabs>
          <w:tab w:val="clear" w:pos="621"/>
          <w:tab w:val="clear" w:pos="1118"/>
          <w:tab w:val="clear" w:pos="1615"/>
          <w:tab w:val="clear" w:pos="5083"/>
          <w:tab w:val="clear" w:pos="6630"/>
          <w:tab w:val="clear" w:pos="8177"/>
          <w:tab w:val="clear" w:pos="9874"/>
          <w:tab w:val="clear" w:pos="10144"/>
          <w:tab w:val="clear" w:pos="12021"/>
          <w:tab w:val="clear" w:pos="13704"/>
          <w:tab w:val="clear" w:pos="15251"/>
          <w:tab w:val="left" w:pos="2055"/>
        </w:tabs>
        <w:rPr>
          <w:rFonts w:ascii="Arial" w:hAnsi="Arial" w:cs="Arial"/>
        </w:rPr>
      </w:pPr>
      <w:r w:rsidRPr="002C7C41">
        <w:rPr>
          <w:noProof/>
          <w:lang w:val="es-AR" w:eastAsia="es-AR"/>
        </w:rPr>
        <w:lastRenderedPageBreak/>
        <w:drawing>
          <wp:inline distT="0" distB="0" distL="0" distR="0">
            <wp:extent cx="5000625" cy="2861590"/>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3827" cy="2874867"/>
                    </a:xfrm>
                    <a:prstGeom prst="rect">
                      <a:avLst/>
                    </a:prstGeom>
                    <a:noFill/>
                    <a:ln>
                      <a:noFill/>
                    </a:ln>
                  </pic:spPr>
                </pic:pic>
              </a:graphicData>
            </a:graphic>
          </wp:inline>
        </w:drawing>
      </w:r>
    </w:p>
    <w:p w:rsidR="00C23B45" w:rsidRPr="00437F83" w:rsidRDefault="00C23B45" w:rsidP="00C23B45">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0321FE" w:rsidRPr="00C23B45" w:rsidRDefault="00C23B45" w:rsidP="00C23B45">
      <w:pPr>
        <w:pStyle w:val="Sangra3detindependiente"/>
        <w:tabs>
          <w:tab w:val="clear" w:pos="621"/>
          <w:tab w:val="clear" w:pos="1118"/>
          <w:tab w:val="clear" w:pos="1615"/>
          <w:tab w:val="clear" w:pos="5083"/>
          <w:tab w:val="clear" w:pos="6630"/>
          <w:tab w:val="clear" w:pos="8177"/>
          <w:tab w:val="clear" w:pos="9874"/>
          <w:tab w:val="clear" w:pos="10144"/>
          <w:tab w:val="clear" w:pos="12021"/>
          <w:tab w:val="clear" w:pos="13704"/>
          <w:tab w:val="clear" w:pos="15251"/>
          <w:tab w:val="left" w:pos="2055"/>
        </w:tabs>
        <w:rPr>
          <w:rFonts w:ascii="Arial" w:hAnsi="Arial" w:cs="Arial"/>
          <w:sz w:val="16"/>
        </w:rPr>
      </w:pPr>
      <w:r w:rsidRPr="00C23B45">
        <w:rPr>
          <w:rFonts w:ascii="Arial" w:hAnsi="Arial" w:cs="Arial"/>
          <w:sz w:val="16"/>
        </w:rPr>
        <w:t xml:space="preserve"> (a) Los Planes de pago de aportes y contribuciones de la seguridad social por 639.776 devengan interés anual del 25%.</w:t>
      </w:r>
    </w:p>
    <w:p w:rsidR="00C23B45" w:rsidRDefault="00C23B45" w:rsidP="00822CD3">
      <w:pPr>
        <w:pStyle w:val="Sangra3detindependiente"/>
        <w:tabs>
          <w:tab w:val="clear" w:pos="621"/>
          <w:tab w:val="clear" w:pos="1118"/>
          <w:tab w:val="clear" w:pos="1615"/>
          <w:tab w:val="clear" w:pos="5083"/>
          <w:tab w:val="clear" w:pos="6630"/>
          <w:tab w:val="clear" w:pos="8177"/>
          <w:tab w:val="clear" w:pos="9874"/>
          <w:tab w:val="clear" w:pos="10144"/>
          <w:tab w:val="clear" w:pos="12021"/>
          <w:tab w:val="clear" w:pos="13704"/>
          <w:tab w:val="clear" w:pos="15251"/>
          <w:tab w:val="left" w:pos="2055"/>
        </w:tabs>
        <w:rPr>
          <w:rFonts w:ascii="Arial" w:hAnsi="Arial" w:cs="Arial"/>
        </w:rPr>
      </w:pPr>
    </w:p>
    <w:p w:rsidR="000321FE" w:rsidRPr="00822CD3" w:rsidRDefault="000321FE" w:rsidP="000321FE">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rPr>
      </w:pPr>
      <w:r w:rsidRPr="00822CD3">
        <w:rPr>
          <w:rFonts w:ascii="Arial" w:eastAsia="Times New Roman" w:hAnsi="Arial" w:cs="Times New Roman"/>
          <w:b/>
          <w:color w:val="auto"/>
          <w:sz w:val="20"/>
          <w:szCs w:val="20"/>
          <w:u w:val="single"/>
        </w:rPr>
        <w:t>NOTA 7.- ESTADO DEL CAPITAL SOCIAL</w:t>
      </w:r>
    </w:p>
    <w:p w:rsidR="00BB74CA" w:rsidRPr="00437F83" w:rsidRDefault="00BB74CA" w:rsidP="00BB74CA">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311337" w:rsidRDefault="00311337" w:rsidP="00311337">
      <w:pPr>
        <w:ind w:left="284"/>
        <w:jc w:val="both"/>
        <w:rPr>
          <w:rFonts w:ascii="Arial" w:hAnsi="Arial" w:cs="Arial"/>
        </w:rPr>
      </w:pPr>
      <w:r>
        <w:rPr>
          <w:rFonts w:ascii="Arial" w:hAnsi="Arial" w:cs="Arial"/>
        </w:rPr>
        <w:t>En cumplimiento de lo requerido por la IGJ, las cifras referidas al estado del capital social que se presentan a continuación se encuentran expresadas en moneda histórica (pesos nominales).</w:t>
      </w:r>
    </w:p>
    <w:p w:rsidR="00311337" w:rsidRPr="00311337" w:rsidRDefault="00311337" w:rsidP="00311337">
      <w:pPr>
        <w:ind w:left="284"/>
        <w:jc w:val="both"/>
        <w:rPr>
          <w:rFonts w:ascii="Arial" w:hAnsi="Arial" w:cs="Arial"/>
        </w:rPr>
      </w:pPr>
    </w:p>
    <w:p w:rsidR="000321FE" w:rsidRDefault="000321FE" w:rsidP="00311337">
      <w:pPr>
        <w:ind w:left="284"/>
        <w:jc w:val="both"/>
        <w:rPr>
          <w:rFonts w:ascii="Arial" w:hAnsi="Arial" w:cs="Arial"/>
        </w:rPr>
      </w:pPr>
      <w:r w:rsidRPr="005F6F19">
        <w:rPr>
          <w:rFonts w:ascii="Arial" w:hAnsi="Arial" w:cs="Arial"/>
        </w:rPr>
        <w:t>El capital suscripto</w:t>
      </w:r>
      <w:r>
        <w:rPr>
          <w:rFonts w:ascii="Arial" w:hAnsi="Arial" w:cs="Arial"/>
        </w:rPr>
        <w:t>,</w:t>
      </w:r>
      <w:r w:rsidRPr="005F6F19">
        <w:rPr>
          <w:rFonts w:ascii="Arial" w:hAnsi="Arial" w:cs="Arial"/>
        </w:rPr>
        <w:t xml:space="preserve"> integrado </w:t>
      </w:r>
      <w:r>
        <w:rPr>
          <w:rFonts w:ascii="Arial" w:hAnsi="Arial" w:cs="Arial"/>
        </w:rPr>
        <w:t xml:space="preserve">e inscripto al 31 de mayo de 2019 y al 31 de enero de 2019 </w:t>
      </w:r>
      <w:r w:rsidRPr="005F6F19">
        <w:rPr>
          <w:rFonts w:ascii="Arial" w:hAnsi="Arial" w:cs="Arial"/>
        </w:rPr>
        <w:t xml:space="preserve">asciende a 20.836.799 y corresponde a </w:t>
      </w:r>
      <w:r w:rsidRPr="0008588B">
        <w:rPr>
          <w:rFonts w:ascii="Arial" w:hAnsi="Arial" w:cs="Arial"/>
        </w:rPr>
        <w:t xml:space="preserve">20.836.799 acciones ordinarias de valor nominal de $1 </w:t>
      </w:r>
      <w:r>
        <w:rPr>
          <w:rFonts w:ascii="Arial" w:hAnsi="Arial" w:cs="Arial"/>
        </w:rPr>
        <w:t xml:space="preserve">(un peso) </w:t>
      </w:r>
      <w:r w:rsidRPr="0008588B">
        <w:rPr>
          <w:rFonts w:ascii="Arial" w:hAnsi="Arial" w:cs="Arial"/>
        </w:rPr>
        <w:t xml:space="preserve">por acción. </w:t>
      </w:r>
    </w:p>
    <w:p w:rsidR="000321FE" w:rsidRPr="000321FE" w:rsidRDefault="000321FE" w:rsidP="00822CD3">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lang w:val="es-ES_tradnl"/>
        </w:rPr>
      </w:pPr>
    </w:p>
    <w:p w:rsidR="00822CD3" w:rsidRPr="002561D2" w:rsidRDefault="00822CD3" w:rsidP="00822CD3">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rPr>
      </w:pPr>
      <w:r w:rsidRPr="002561D2">
        <w:rPr>
          <w:rFonts w:ascii="Arial" w:eastAsia="Times New Roman" w:hAnsi="Arial" w:cs="Times New Roman"/>
          <w:b/>
          <w:color w:val="auto"/>
          <w:sz w:val="20"/>
          <w:szCs w:val="20"/>
          <w:u w:val="single"/>
        </w:rPr>
        <w:t xml:space="preserve">NOTA 8.- RESTRICCIONES A </w:t>
      </w:r>
      <w:smartTag w:uri="urn:schemas-microsoft-com:office:smarttags" w:element="PersonName">
        <w:smartTagPr>
          <w:attr w:name="ProductID" w:val="LA DISTRIBUCIￓN DE UTILIDADES"/>
        </w:smartTagPr>
        <w:smartTag w:uri="urn:schemas-microsoft-com:office:smarttags" w:element="PersonName">
          <w:smartTagPr>
            <w:attr w:name="ProductID" w:val="LA DISTRIBUCIￓN DE"/>
          </w:smartTagPr>
          <w:r w:rsidRPr="002561D2">
            <w:rPr>
              <w:rFonts w:ascii="Arial" w:eastAsia="Times New Roman" w:hAnsi="Arial" w:cs="Times New Roman"/>
              <w:b/>
              <w:color w:val="auto"/>
              <w:sz w:val="20"/>
              <w:szCs w:val="20"/>
              <w:u w:val="single"/>
            </w:rPr>
            <w:t>LA DISTRIBUCIÓN DE</w:t>
          </w:r>
        </w:smartTag>
        <w:r w:rsidRPr="002561D2">
          <w:rPr>
            <w:rFonts w:ascii="Arial" w:eastAsia="Times New Roman" w:hAnsi="Arial" w:cs="Times New Roman"/>
            <w:b/>
            <w:color w:val="auto"/>
            <w:sz w:val="20"/>
            <w:szCs w:val="20"/>
            <w:u w:val="single"/>
          </w:rPr>
          <w:t xml:space="preserve"> UTILIDADES</w:t>
        </w:r>
      </w:smartTag>
    </w:p>
    <w:p w:rsidR="00BB74CA" w:rsidRPr="00437F83" w:rsidRDefault="00BB74CA" w:rsidP="00BB74CA">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2561D2" w:rsidRDefault="002561D2" w:rsidP="002561D2">
      <w:pPr>
        <w:pStyle w:val="Sangra3detindependiente"/>
        <w:tabs>
          <w:tab w:val="left" w:pos="284"/>
        </w:tabs>
        <w:spacing w:after="60"/>
        <w:rPr>
          <w:rFonts w:ascii="Arial" w:hAnsi="Arial"/>
        </w:rPr>
      </w:pPr>
      <w:r w:rsidRPr="000657DF">
        <w:rPr>
          <w:rFonts w:ascii="Arial" w:hAnsi="Arial"/>
        </w:rPr>
        <w:t>De acuerdo con lo establecido por la Ley General de Sociedades, deberá transferirse a la Reserva Legal un 5% de las ganancias del ejercicio hasta que la misma alcance el 20% del Capital Social</w:t>
      </w:r>
      <w:r>
        <w:rPr>
          <w:rFonts w:ascii="Arial" w:hAnsi="Arial"/>
        </w:rPr>
        <w:t>.</w:t>
      </w:r>
    </w:p>
    <w:p w:rsidR="002561D2" w:rsidRPr="00311337" w:rsidRDefault="002561D2" w:rsidP="00311337">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lang w:val="es-ES_tradnl"/>
        </w:rPr>
      </w:pPr>
    </w:p>
    <w:p w:rsidR="00822CD3" w:rsidRPr="00311337" w:rsidRDefault="00822CD3" w:rsidP="00311337">
      <w:pPr>
        <w:pStyle w:val="Ttulo8"/>
        <w:keepLines w:val="0"/>
        <w:tabs>
          <w:tab w:val="left" w:pos="993"/>
          <w:tab w:val="left" w:pos="1118"/>
          <w:tab w:val="left" w:pos="1615"/>
          <w:tab w:val="left" w:pos="5083"/>
          <w:tab w:val="left" w:pos="6630"/>
          <w:tab w:val="left" w:pos="8177"/>
          <w:tab w:val="left" w:pos="9874"/>
          <w:tab w:val="left" w:pos="10144"/>
          <w:tab w:val="left" w:pos="12021"/>
          <w:tab w:val="left" w:pos="13704"/>
          <w:tab w:val="left" w:pos="15251"/>
        </w:tabs>
        <w:spacing w:before="0"/>
        <w:jc w:val="both"/>
        <w:rPr>
          <w:rFonts w:ascii="Arial" w:eastAsia="Times New Roman" w:hAnsi="Arial" w:cs="Times New Roman"/>
          <w:b/>
          <w:color w:val="auto"/>
          <w:sz w:val="20"/>
          <w:szCs w:val="20"/>
          <w:u w:val="single"/>
          <w:lang w:val="es-ES_tradnl"/>
        </w:rPr>
      </w:pPr>
      <w:r w:rsidRPr="00311337">
        <w:rPr>
          <w:rFonts w:ascii="Arial" w:eastAsia="Times New Roman" w:hAnsi="Arial" w:cs="Times New Roman"/>
          <w:b/>
          <w:color w:val="auto"/>
          <w:sz w:val="20"/>
          <w:szCs w:val="20"/>
          <w:u w:val="single"/>
          <w:lang w:val="es-ES_tradnl"/>
        </w:rPr>
        <w:t>NOTA 9.- LIBROS RUBRICADOS</w:t>
      </w:r>
    </w:p>
    <w:p w:rsidR="00BB74CA" w:rsidRPr="00437F83" w:rsidRDefault="00BB74CA" w:rsidP="00BB74CA">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822CD3" w:rsidRPr="0039251D" w:rsidRDefault="00822CD3" w:rsidP="00822CD3">
      <w:pPr>
        <w:ind w:left="284"/>
        <w:jc w:val="both"/>
        <w:rPr>
          <w:rFonts w:ascii="Arial" w:hAnsi="Arial" w:cs="Arial"/>
        </w:rPr>
      </w:pPr>
      <w:r w:rsidRPr="0039251D">
        <w:rPr>
          <w:rFonts w:ascii="Arial" w:hAnsi="Arial" w:cs="Arial"/>
        </w:rPr>
        <w:t xml:space="preserve">La Sociedad obtuvo por parte de la Dirección de Constitución y Fiscalización de Personas Jurídicas y Cooperativas (Registro Público de Comercio de Salta) la autorización para almacenar sus libros comerciales a través de medios ópticos. A partir del 1° de diciembre de 2013 la Sociedad ha modificado el software de gestión utilizado, implementando SAP. </w:t>
      </w:r>
    </w:p>
    <w:p w:rsidR="00BB74CA" w:rsidRPr="00437F83" w:rsidRDefault="00BB74CA" w:rsidP="00BB74CA">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822CD3" w:rsidRDefault="00822CD3" w:rsidP="00822CD3">
      <w:pPr>
        <w:ind w:left="284"/>
        <w:jc w:val="both"/>
        <w:rPr>
          <w:rFonts w:ascii="Arial" w:hAnsi="Arial" w:cs="Arial"/>
        </w:rPr>
      </w:pPr>
      <w:r w:rsidRPr="0039251D">
        <w:rPr>
          <w:rFonts w:ascii="Arial" w:hAnsi="Arial" w:cs="Arial"/>
        </w:rPr>
        <w:t>El 12 de mayo de 2017, mediante Expediente N° 33901/2017, el Juzgado de Minas y en lo Comercial de Registro, autorizó la sustitución y aplicación del sistema SAP en la registración contable del libro Diario General y su almacenamiento a través de medios ópticos de</w:t>
      </w:r>
      <w:r w:rsidR="001D0DC0">
        <w:rPr>
          <w:rFonts w:ascii="Arial" w:hAnsi="Arial" w:cs="Arial"/>
        </w:rPr>
        <w:t>sde el 1° de diciembre de 2013.</w:t>
      </w:r>
    </w:p>
    <w:p w:rsidR="00BB74CA" w:rsidRPr="00437F83" w:rsidRDefault="00BB74CA" w:rsidP="00BB74CA">
      <w:pPr>
        <w:tabs>
          <w:tab w:val="left" w:pos="621"/>
          <w:tab w:val="left" w:pos="1118"/>
          <w:tab w:val="left" w:pos="1615"/>
          <w:tab w:val="left" w:pos="5083"/>
          <w:tab w:val="left" w:pos="6630"/>
          <w:tab w:val="left" w:pos="8177"/>
          <w:tab w:val="left" w:pos="9874"/>
          <w:tab w:val="left" w:pos="10144"/>
          <w:tab w:val="left" w:pos="12021"/>
          <w:tab w:val="left" w:pos="13704"/>
          <w:tab w:val="left" w:pos="15251"/>
        </w:tabs>
        <w:ind w:left="142"/>
        <w:jc w:val="both"/>
        <w:rPr>
          <w:rFonts w:ascii="Arial" w:hAnsi="Arial"/>
          <w:b/>
          <w:sz w:val="10"/>
          <w:szCs w:val="10"/>
        </w:rPr>
      </w:pPr>
    </w:p>
    <w:p w:rsidR="00C526BB" w:rsidRDefault="001D0DC0" w:rsidP="00AD6DDA">
      <w:pPr>
        <w:ind w:left="284"/>
        <w:jc w:val="both"/>
        <w:rPr>
          <w:rFonts w:ascii="Arial" w:hAnsi="Arial" w:cs="Arial"/>
        </w:rPr>
      </w:pPr>
      <w:r>
        <w:rPr>
          <w:rFonts w:ascii="Arial" w:hAnsi="Arial" w:cs="Arial"/>
        </w:rPr>
        <w:t>El 4 de septiembre de 2017</w:t>
      </w:r>
      <w:r w:rsidRPr="0039251D">
        <w:rPr>
          <w:rFonts w:ascii="Arial" w:hAnsi="Arial" w:cs="Arial"/>
        </w:rPr>
        <w:t xml:space="preserve"> se celebró la Asamblea Extraordinaria Ordinaria Unánime a partir de la cual se estableció el cambio de domicilio legal de la Sociedad de la provincia de Salta a la Ciudad Autónoma de Buenos Aires</w:t>
      </w:r>
      <w:r>
        <w:rPr>
          <w:rFonts w:ascii="Arial" w:hAnsi="Arial" w:cs="Arial"/>
        </w:rPr>
        <w:t>. Con fecha 19 de junio de 2019 la Sociedad obtuvo</w:t>
      </w:r>
      <w:r w:rsidR="00A4668F">
        <w:rPr>
          <w:rFonts w:ascii="Arial" w:hAnsi="Arial" w:cs="Arial"/>
        </w:rPr>
        <w:t xml:space="preserve"> la aprobación del trámite de cambio de jurisdicción por parte de la IGJ, por lo que se encuentra en condiciones de </w:t>
      </w:r>
      <w:r w:rsidR="000A7E9A">
        <w:rPr>
          <w:rFonts w:ascii="Arial" w:hAnsi="Arial" w:cs="Arial"/>
        </w:rPr>
        <w:t xml:space="preserve">solicitar la adecuación </w:t>
      </w:r>
      <w:r w:rsidR="008A6560">
        <w:rPr>
          <w:rFonts w:ascii="Arial" w:hAnsi="Arial" w:cs="Arial"/>
        </w:rPr>
        <w:t xml:space="preserve">ante dicho organismo </w:t>
      </w:r>
      <w:r w:rsidR="000A7E9A">
        <w:rPr>
          <w:rFonts w:ascii="Arial" w:hAnsi="Arial" w:cs="Arial"/>
        </w:rPr>
        <w:t>de la autorización para almacenar sus libros comerciales a través de medios ópticos</w:t>
      </w:r>
      <w:r w:rsidR="00AD6DDA">
        <w:rPr>
          <w:rFonts w:ascii="Arial" w:hAnsi="Arial" w:cs="Arial"/>
        </w:rPr>
        <w:t xml:space="preserve"> extendida por su anterior autoridad de control (Registro Público de Comercio de Salta)</w:t>
      </w:r>
      <w:r w:rsidR="008A6560">
        <w:rPr>
          <w:rFonts w:ascii="Arial" w:hAnsi="Arial" w:cs="Arial"/>
        </w:rPr>
        <w:t xml:space="preserve">, en línea con las disposiciones del artículo 329 de la RG </w:t>
      </w:r>
      <w:r w:rsidR="00671F52">
        <w:rPr>
          <w:rFonts w:ascii="Arial" w:hAnsi="Arial" w:cs="Arial"/>
        </w:rPr>
        <w:t xml:space="preserve">N° </w:t>
      </w:r>
      <w:r w:rsidR="008A6560">
        <w:rPr>
          <w:rFonts w:ascii="Arial" w:hAnsi="Arial" w:cs="Arial"/>
        </w:rPr>
        <w:t>7/2015 de la IGJ</w:t>
      </w:r>
      <w:r w:rsidR="004B2AF3">
        <w:rPr>
          <w:rFonts w:ascii="Arial" w:hAnsi="Arial" w:cs="Arial"/>
        </w:rPr>
        <w:t>.</w:t>
      </w:r>
      <w:r w:rsidR="00C526BB">
        <w:rPr>
          <w:rFonts w:ascii="Arial" w:hAnsi="Arial" w:cs="Arial"/>
        </w:rPr>
        <w:t xml:space="preserve"> </w:t>
      </w:r>
    </w:p>
    <w:p w:rsidR="00C526BB" w:rsidRDefault="00C526BB" w:rsidP="00AD6DDA">
      <w:pPr>
        <w:tabs>
          <w:tab w:val="left" w:pos="1118"/>
          <w:tab w:val="left" w:pos="8177"/>
        </w:tabs>
        <w:rPr>
          <w:noProof/>
          <w:lang w:eastAsia="es-AR"/>
        </w:rPr>
        <w:sectPr w:rsidR="00C526BB" w:rsidSect="00E6745B">
          <w:pgSz w:w="11907" w:h="16839" w:code="9"/>
          <w:pgMar w:top="1440" w:right="1417" w:bottom="1440" w:left="1418" w:header="708" w:footer="708" w:gutter="0"/>
          <w:cols w:space="708"/>
          <w:docGrid w:linePitch="360"/>
        </w:sect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cs="Arial"/>
        </w:rPr>
      </w:pPr>
    </w:p>
    <w:p w:rsidR="00C526BB" w:rsidRDefault="00C526BB" w:rsidP="00C526BB">
      <w:pPr>
        <w:pBdr>
          <w:top w:val="single" w:sz="4" w:space="0" w:color="auto"/>
          <w:left w:val="single" w:sz="4" w:space="4" w:color="auto"/>
          <w:bottom w:val="single" w:sz="4" w:space="1" w:color="auto"/>
          <w:right w:val="single" w:sz="4" w:space="4" w:color="auto"/>
        </w:pBdr>
        <w:jc w:val="center"/>
        <w:rPr>
          <w:rFonts w:ascii="Arial" w:hAnsi="Arial"/>
          <w:b/>
          <w:sz w:val="52"/>
          <w:lang w:val="es-MX"/>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r>
        <w:rPr>
          <w:rFonts w:ascii="Arial" w:hAnsi="Arial"/>
          <w:b/>
          <w:sz w:val="44"/>
        </w:rPr>
        <w:t>ANEXOS</w:t>
      </w: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C526BB">
      <w:pPr>
        <w:pBdr>
          <w:top w:val="single" w:sz="4" w:space="0" w:color="auto"/>
          <w:left w:val="single" w:sz="4" w:space="4" w:color="auto"/>
          <w:bottom w:val="single" w:sz="4" w:space="1" w:color="auto"/>
          <w:right w:val="single" w:sz="4" w:space="4" w:color="auto"/>
        </w:pBdr>
        <w:jc w:val="center"/>
        <w:rPr>
          <w:rFonts w:ascii="Arial" w:hAnsi="Arial"/>
          <w:b/>
          <w:sz w:val="52"/>
        </w:rPr>
      </w:pPr>
    </w:p>
    <w:p w:rsidR="00822CD3" w:rsidRDefault="00822CD3" w:rsidP="00822CD3">
      <w:pPr>
        <w:rPr>
          <w:rFonts w:ascii="Arial" w:hAnsi="Arial"/>
          <w:b/>
          <w:sz w:val="52"/>
        </w:rPr>
      </w:pPr>
    </w:p>
    <w:p w:rsidR="00822CD3" w:rsidRDefault="00822CD3" w:rsidP="00822CD3">
      <w:pPr>
        <w:tabs>
          <w:tab w:val="left" w:pos="1118"/>
          <w:tab w:val="left" w:pos="8177"/>
        </w:tabs>
        <w:ind w:left="284"/>
        <w:rPr>
          <w:noProof/>
          <w:lang w:eastAsia="es-AR"/>
        </w:rPr>
        <w:sectPr w:rsidR="00822CD3" w:rsidSect="00E6745B">
          <w:footerReference w:type="default" r:id="rId28"/>
          <w:pgSz w:w="11907" w:h="16839" w:code="9"/>
          <w:pgMar w:top="1440" w:right="1417" w:bottom="1440" w:left="1418" w:header="708" w:footer="708" w:gutter="0"/>
          <w:cols w:space="708"/>
          <w:docGrid w:linePitch="360"/>
        </w:sectPr>
      </w:pPr>
    </w:p>
    <w:p w:rsidR="00822CD3" w:rsidRDefault="00822CD3" w:rsidP="00822CD3">
      <w:pPr>
        <w:tabs>
          <w:tab w:val="left" w:pos="1118"/>
          <w:tab w:val="left" w:pos="8177"/>
        </w:tabs>
        <w:ind w:left="284"/>
        <w:rPr>
          <w:noProof/>
          <w:lang w:eastAsia="es-AR"/>
        </w:rPr>
      </w:pPr>
    </w:p>
    <w:p w:rsidR="00822CD3" w:rsidRDefault="00952E09" w:rsidP="00BE2C29">
      <w:pPr>
        <w:tabs>
          <w:tab w:val="left" w:pos="1118"/>
          <w:tab w:val="left" w:pos="8177"/>
        </w:tabs>
        <w:ind w:left="-993" w:right="-642"/>
        <w:jc w:val="center"/>
        <w:rPr>
          <w:noProof/>
          <w:lang w:eastAsia="es-AR"/>
        </w:rPr>
      </w:pPr>
      <w:r w:rsidRPr="00952E09">
        <w:rPr>
          <w:noProof/>
          <w:lang w:eastAsia="es-AR"/>
        </w:rPr>
        <w:drawing>
          <wp:inline distT="0" distB="0" distL="0" distR="0">
            <wp:extent cx="9166225" cy="343549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166225" cy="3435495"/>
                    </a:xfrm>
                    <a:prstGeom prst="rect">
                      <a:avLst/>
                    </a:prstGeom>
                    <a:noFill/>
                    <a:ln>
                      <a:noFill/>
                    </a:ln>
                  </pic:spPr>
                </pic:pic>
              </a:graphicData>
            </a:graphic>
          </wp:inline>
        </w:drawing>
      </w: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41147D" w:rsidRDefault="0041147D" w:rsidP="00822CD3">
      <w:pPr>
        <w:tabs>
          <w:tab w:val="left" w:pos="1118"/>
          <w:tab w:val="left" w:pos="8177"/>
        </w:tabs>
        <w:ind w:left="284"/>
        <w:jc w:val="center"/>
        <w:rPr>
          <w:noProof/>
          <w:lang w:eastAsia="es-AR"/>
        </w:rPr>
      </w:pPr>
    </w:p>
    <w:p w:rsidR="0041147D" w:rsidRDefault="00B11E8D" w:rsidP="004310BB">
      <w:pPr>
        <w:tabs>
          <w:tab w:val="left" w:pos="1118"/>
          <w:tab w:val="left" w:pos="8177"/>
        </w:tabs>
        <w:jc w:val="center"/>
        <w:rPr>
          <w:noProof/>
          <w:lang w:eastAsia="es-AR"/>
        </w:rPr>
      </w:pPr>
      <w:r w:rsidRPr="00B11E8D">
        <w:rPr>
          <w:noProof/>
          <w:lang w:eastAsia="es-AR"/>
        </w:rPr>
        <w:drawing>
          <wp:inline distT="0" distB="0" distL="0" distR="0">
            <wp:extent cx="5562600" cy="216217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2600" cy="2162175"/>
                    </a:xfrm>
                    <a:prstGeom prst="rect">
                      <a:avLst/>
                    </a:prstGeom>
                    <a:noFill/>
                    <a:ln>
                      <a:noFill/>
                    </a:ln>
                  </pic:spPr>
                </pic:pic>
              </a:graphicData>
            </a:graphic>
          </wp:inline>
        </w:drawing>
      </w: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D10B35" w:rsidRDefault="00D10B35"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822CD3" w:rsidRDefault="001626EA" w:rsidP="004310BB">
      <w:pPr>
        <w:tabs>
          <w:tab w:val="left" w:pos="1118"/>
          <w:tab w:val="left" w:pos="8177"/>
        </w:tabs>
        <w:jc w:val="center"/>
        <w:rPr>
          <w:noProof/>
          <w:lang w:eastAsia="es-AR"/>
        </w:rPr>
      </w:pPr>
      <w:r w:rsidRPr="001626EA">
        <w:rPr>
          <w:noProof/>
          <w:lang w:eastAsia="es-AR"/>
        </w:rPr>
        <w:drawing>
          <wp:inline distT="0" distB="0" distL="0" distR="0">
            <wp:extent cx="7867650" cy="3459598"/>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877086" cy="3463747"/>
                    </a:xfrm>
                    <a:prstGeom prst="rect">
                      <a:avLst/>
                    </a:prstGeom>
                    <a:noFill/>
                    <a:ln>
                      <a:noFill/>
                    </a:ln>
                  </pic:spPr>
                </pic:pic>
              </a:graphicData>
            </a:graphic>
          </wp:inline>
        </w:drawing>
      </w:r>
    </w:p>
    <w:p w:rsidR="00822CD3" w:rsidRDefault="00822CD3" w:rsidP="00822CD3">
      <w:pPr>
        <w:tabs>
          <w:tab w:val="left" w:pos="1118"/>
          <w:tab w:val="left" w:pos="8177"/>
        </w:tabs>
        <w:ind w:left="284"/>
        <w:jc w:val="center"/>
      </w:pPr>
    </w:p>
    <w:p w:rsidR="00D10B35" w:rsidRDefault="00D10B35" w:rsidP="00822CD3">
      <w:pPr>
        <w:tabs>
          <w:tab w:val="left" w:pos="1118"/>
          <w:tab w:val="left" w:pos="8177"/>
        </w:tabs>
        <w:ind w:left="284"/>
        <w:jc w:val="center"/>
      </w:pPr>
    </w:p>
    <w:p w:rsidR="00D10B35" w:rsidRDefault="00D10B35"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41147D" w:rsidP="00822CD3">
      <w:pPr>
        <w:tabs>
          <w:tab w:val="left" w:pos="1118"/>
          <w:tab w:val="left" w:pos="8177"/>
        </w:tabs>
        <w:ind w:left="284"/>
        <w:jc w:val="center"/>
        <w:rPr>
          <w:noProof/>
          <w:lang w:eastAsia="es-AR"/>
        </w:rPr>
      </w:pPr>
    </w:p>
    <w:p w:rsidR="0041147D" w:rsidRDefault="001626EA" w:rsidP="004310BB">
      <w:pPr>
        <w:tabs>
          <w:tab w:val="left" w:pos="1118"/>
          <w:tab w:val="left" w:pos="8177"/>
        </w:tabs>
        <w:jc w:val="center"/>
        <w:rPr>
          <w:noProof/>
          <w:lang w:eastAsia="es-AR"/>
        </w:rPr>
      </w:pPr>
      <w:r w:rsidRPr="001626EA">
        <w:rPr>
          <w:noProof/>
          <w:lang w:eastAsia="es-AR"/>
        </w:rPr>
        <w:drawing>
          <wp:inline distT="0" distB="0" distL="0" distR="0">
            <wp:extent cx="5742201" cy="320992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48681" cy="3213547"/>
                    </a:xfrm>
                    <a:prstGeom prst="rect">
                      <a:avLst/>
                    </a:prstGeom>
                    <a:noFill/>
                    <a:ln>
                      <a:noFill/>
                    </a:ln>
                  </pic:spPr>
                </pic:pic>
              </a:graphicData>
            </a:graphic>
          </wp:inline>
        </w:drawing>
      </w: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pPr>
    </w:p>
    <w:p w:rsidR="00822CD3" w:rsidRDefault="001626EA" w:rsidP="004310BB">
      <w:pPr>
        <w:tabs>
          <w:tab w:val="left" w:pos="1118"/>
          <w:tab w:val="left" w:pos="8177"/>
        </w:tabs>
        <w:jc w:val="center"/>
        <w:rPr>
          <w:noProof/>
          <w:lang w:eastAsia="es-AR"/>
        </w:rPr>
      </w:pPr>
      <w:r w:rsidRPr="001626EA">
        <w:rPr>
          <w:noProof/>
          <w:lang w:eastAsia="es-AR"/>
        </w:rPr>
        <w:lastRenderedPageBreak/>
        <w:drawing>
          <wp:inline distT="0" distB="0" distL="0" distR="0">
            <wp:extent cx="7286625" cy="4729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297823" cy="4736568"/>
                    </a:xfrm>
                    <a:prstGeom prst="rect">
                      <a:avLst/>
                    </a:prstGeom>
                    <a:noFill/>
                    <a:ln>
                      <a:noFill/>
                    </a:ln>
                  </pic:spPr>
                </pic:pic>
              </a:graphicData>
            </a:graphic>
          </wp:inline>
        </w:drawing>
      </w:r>
    </w:p>
    <w:p w:rsidR="00822CD3" w:rsidRDefault="00822CD3" w:rsidP="00822CD3">
      <w:pPr>
        <w:tabs>
          <w:tab w:val="left" w:pos="1118"/>
          <w:tab w:val="left" w:pos="8177"/>
        </w:tabs>
        <w:ind w:left="284"/>
        <w:jc w:val="center"/>
        <w:rPr>
          <w:noProof/>
          <w:lang w:eastAsia="es-AR"/>
        </w:rPr>
      </w:pPr>
    </w:p>
    <w:p w:rsidR="00D10B35" w:rsidRDefault="001626EA" w:rsidP="00D10B35">
      <w:pPr>
        <w:tabs>
          <w:tab w:val="left" w:pos="1118"/>
          <w:tab w:val="left" w:pos="8177"/>
        </w:tabs>
        <w:ind w:left="-142"/>
        <w:jc w:val="center"/>
        <w:rPr>
          <w:noProof/>
          <w:lang w:eastAsia="es-AR"/>
        </w:rPr>
      </w:pPr>
      <w:r w:rsidRPr="001626EA">
        <w:rPr>
          <w:noProof/>
          <w:lang w:eastAsia="es-AR"/>
        </w:rPr>
        <w:drawing>
          <wp:inline distT="0" distB="0" distL="0" distR="0">
            <wp:extent cx="9022233" cy="3069246"/>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27892" cy="3071171"/>
                    </a:xfrm>
                    <a:prstGeom prst="rect">
                      <a:avLst/>
                    </a:prstGeom>
                    <a:noFill/>
                    <a:ln>
                      <a:noFill/>
                    </a:ln>
                  </pic:spPr>
                </pic:pic>
              </a:graphicData>
            </a:graphic>
          </wp:inline>
        </w:drawing>
      </w:r>
    </w:p>
    <w:p w:rsidR="00822CD3" w:rsidRDefault="00822CD3" w:rsidP="00822CD3">
      <w:pPr>
        <w:tabs>
          <w:tab w:val="left" w:pos="1118"/>
          <w:tab w:val="left" w:pos="8177"/>
        </w:tabs>
        <w:ind w:left="284"/>
        <w:rPr>
          <w:noProof/>
          <w:lang w:eastAsia="es-AR"/>
        </w:rPr>
      </w:pPr>
    </w:p>
    <w:p w:rsidR="00822CD3" w:rsidRDefault="00822CD3" w:rsidP="00822CD3">
      <w:pPr>
        <w:tabs>
          <w:tab w:val="left" w:pos="1118"/>
          <w:tab w:val="left" w:pos="8177"/>
        </w:tabs>
        <w:ind w:left="284"/>
        <w:rPr>
          <w:noProof/>
          <w:lang w:eastAsia="es-AR"/>
        </w:rPr>
        <w:sectPr w:rsidR="00822CD3" w:rsidSect="00D10B35">
          <w:footerReference w:type="default" r:id="rId35"/>
          <w:pgSz w:w="16839" w:h="11907" w:orient="landscape" w:code="9"/>
          <w:pgMar w:top="1418" w:right="964" w:bottom="1418" w:left="1440" w:header="709" w:footer="709" w:gutter="0"/>
          <w:cols w:space="708"/>
          <w:docGrid w:linePitch="360"/>
        </w:sectPr>
      </w:pPr>
    </w:p>
    <w:p w:rsidR="00625F2B" w:rsidRDefault="00625F2B" w:rsidP="00625F2B">
      <w:pPr>
        <w:ind w:firstLine="180"/>
      </w:pPr>
    </w:p>
    <w:p w:rsidR="00625F2B" w:rsidRDefault="00625F2B" w:rsidP="00625F2B">
      <w:pPr>
        <w:ind w:firstLine="180"/>
      </w:pPr>
    </w:p>
    <w:p w:rsidR="00625F2B" w:rsidRDefault="00625F2B" w:rsidP="00625F2B">
      <w:pPr>
        <w:ind w:firstLine="180"/>
      </w:pPr>
      <w:r>
        <w:rPr>
          <w:noProof/>
          <w:lang w:eastAsia="es-AR"/>
        </w:rPr>
        <mc:AlternateContent>
          <mc:Choice Requires="wpg">
            <w:drawing>
              <wp:anchor distT="0" distB="0" distL="114300" distR="114300" simplePos="0" relativeHeight="251659264" behindDoc="0" locked="0" layoutInCell="1" allowOverlap="1">
                <wp:simplePos x="0" y="0"/>
                <wp:positionH relativeFrom="column">
                  <wp:posOffset>76200</wp:posOffset>
                </wp:positionH>
                <wp:positionV relativeFrom="paragraph">
                  <wp:posOffset>-457200</wp:posOffset>
                </wp:positionV>
                <wp:extent cx="2438400" cy="565150"/>
                <wp:effectExtent l="13335" t="13970" r="0" b="11430"/>
                <wp:wrapNone/>
                <wp:docPr id="38" name="Gru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565150"/>
                          <a:chOff x="1726" y="320"/>
                          <a:chExt cx="1536" cy="356"/>
                        </a:xfrm>
                      </wpg:grpSpPr>
                      <wps:wsp>
                        <wps:cNvPr id="39" name="Text Box 3"/>
                        <wps:cNvSpPr txBox="1">
                          <a:spLocks noChangeArrowheads="1"/>
                        </wps:cNvSpPr>
                        <wps:spPr bwMode="auto">
                          <a:xfrm>
                            <a:off x="1822" y="330"/>
                            <a:ext cx="1440" cy="23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F2B" w:rsidRDefault="00625F2B" w:rsidP="00625F2B">
                              <w:pPr>
                                <w:autoSpaceDE w:val="0"/>
                                <w:autoSpaceDN w:val="0"/>
                                <w:adjustRightInd w:val="0"/>
                                <w:jc w:val="center"/>
                                <w:rPr>
                                  <w:rFonts w:ascii="Goudy Old Style" w:hAnsi="Goudy Old Style"/>
                                  <w:color w:val="000000"/>
                                  <w:sz w:val="40"/>
                                </w:rPr>
                              </w:pPr>
                              <w:r>
                                <w:rPr>
                                  <w:rFonts w:ascii="Goudy Old Style" w:hAnsi="Goudy Old Style"/>
                                  <w:color w:val="000000"/>
                                  <w:sz w:val="40"/>
                                </w:rPr>
                                <w:t>Gladys Meich</w:t>
                              </w:r>
                            </w:p>
                          </w:txbxContent>
                        </wps:txbx>
                        <wps:bodyPr rot="0" vert="horz" wrap="square" lIns="91440" tIns="45720" rIns="91440" bIns="45720" anchor="t" anchorCtr="0" upright="1">
                          <a:noAutofit/>
                        </wps:bodyPr>
                      </wps:wsp>
                      <wps:wsp>
                        <wps:cNvPr id="41" name="Line 4"/>
                        <wps:cNvCnPr>
                          <a:cxnSpLocks noChangeShapeType="1"/>
                        </wps:cNvCnPr>
                        <wps:spPr bwMode="auto">
                          <a:xfrm>
                            <a:off x="2110" y="580"/>
                            <a:ext cx="864"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2" name="Group 5"/>
                        <wpg:cNvGrpSpPr>
                          <a:grpSpLocks/>
                        </wpg:cNvGrpSpPr>
                        <wpg:grpSpPr bwMode="auto">
                          <a:xfrm>
                            <a:off x="1726" y="320"/>
                            <a:ext cx="355" cy="356"/>
                            <a:chOff x="2231" y="1982"/>
                            <a:chExt cx="355" cy="356"/>
                          </a:xfrm>
                        </wpg:grpSpPr>
                        <wps:wsp>
                          <wps:cNvPr id="43" name="Freeform 6"/>
                          <wps:cNvSpPr>
                            <a:spLocks/>
                          </wps:cNvSpPr>
                          <wps:spPr bwMode="auto">
                            <a:xfrm>
                              <a:off x="2231" y="1982"/>
                              <a:ext cx="355" cy="356"/>
                            </a:xfrm>
                            <a:custGeom>
                              <a:avLst/>
                              <a:gdLst>
                                <a:gd name="T0" fmla="*/ 0 w 1064"/>
                                <a:gd name="T1" fmla="*/ 533 h 1068"/>
                                <a:gd name="T2" fmla="*/ 532 w 1064"/>
                                <a:gd name="T3" fmla="*/ 0 h 1068"/>
                                <a:gd name="T4" fmla="*/ 1064 w 1064"/>
                                <a:gd name="T5" fmla="*/ 533 h 1068"/>
                                <a:gd name="T6" fmla="*/ 532 w 1064"/>
                                <a:gd name="T7" fmla="*/ 1068 h 1068"/>
                                <a:gd name="T8" fmla="*/ 0 w 1064"/>
                                <a:gd name="T9" fmla="*/ 533 h 1068"/>
                              </a:gdLst>
                              <a:ahLst/>
                              <a:cxnLst>
                                <a:cxn ang="0">
                                  <a:pos x="T0" y="T1"/>
                                </a:cxn>
                                <a:cxn ang="0">
                                  <a:pos x="T2" y="T3"/>
                                </a:cxn>
                                <a:cxn ang="0">
                                  <a:pos x="T4" y="T5"/>
                                </a:cxn>
                                <a:cxn ang="0">
                                  <a:pos x="T6" y="T7"/>
                                </a:cxn>
                                <a:cxn ang="0">
                                  <a:pos x="T8" y="T9"/>
                                </a:cxn>
                              </a:cxnLst>
                              <a:rect l="0" t="0" r="r" b="b"/>
                              <a:pathLst>
                                <a:path w="1064" h="1068">
                                  <a:moveTo>
                                    <a:pt x="0" y="533"/>
                                  </a:moveTo>
                                  <a:lnTo>
                                    <a:pt x="532" y="0"/>
                                  </a:lnTo>
                                  <a:lnTo>
                                    <a:pt x="1064" y="533"/>
                                  </a:lnTo>
                                  <a:lnTo>
                                    <a:pt x="532" y="1068"/>
                                  </a:lnTo>
                                  <a:lnTo>
                                    <a:pt x="0" y="533"/>
                                  </a:lnTo>
                                  <a:close/>
                                </a:path>
                              </a:pathLst>
                            </a:custGeom>
                            <a:solidFill>
                              <a:srgbClr val="AAA9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7"/>
                          <wps:cNvSpPr>
                            <a:spLocks/>
                          </wps:cNvSpPr>
                          <wps:spPr bwMode="auto">
                            <a:xfrm>
                              <a:off x="2231" y="1982"/>
                              <a:ext cx="355" cy="356"/>
                            </a:xfrm>
                            <a:custGeom>
                              <a:avLst/>
                              <a:gdLst>
                                <a:gd name="T0" fmla="*/ 0 w 1064"/>
                                <a:gd name="T1" fmla="*/ 533 h 1068"/>
                                <a:gd name="T2" fmla="*/ 532 w 1064"/>
                                <a:gd name="T3" fmla="*/ 0 h 1068"/>
                                <a:gd name="T4" fmla="*/ 1064 w 1064"/>
                                <a:gd name="T5" fmla="*/ 533 h 1068"/>
                                <a:gd name="T6" fmla="*/ 532 w 1064"/>
                                <a:gd name="T7" fmla="*/ 1068 h 1068"/>
                                <a:gd name="T8" fmla="*/ 0 w 1064"/>
                                <a:gd name="T9" fmla="*/ 533 h 1068"/>
                              </a:gdLst>
                              <a:ahLst/>
                              <a:cxnLst>
                                <a:cxn ang="0">
                                  <a:pos x="T0" y="T1"/>
                                </a:cxn>
                                <a:cxn ang="0">
                                  <a:pos x="T2" y="T3"/>
                                </a:cxn>
                                <a:cxn ang="0">
                                  <a:pos x="T4" y="T5"/>
                                </a:cxn>
                                <a:cxn ang="0">
                                  <a:pos x="T6" y="T7"/>
                                </a:cxn>
                                <a:cxn ang="0">
                                  <a:pos x="T8" y="T9"/>
                                </a:cxn>
                              </a:cxnLst>
                              <a:rect l="0" t="0" r="r" b="b"/>
                              <a:pathLst>
                                <a:path w="1064" h="1068">
                                  <a:moveTo>
                                    <a:pt x="0" y="533"/>
                                  </a:moveTo>
                                  <a:lnTo>
                                    <a:pt x="532" y="0"/>
                                  </a:lnTo>
                                  <a:lnTo>
                                    <a:pt x="1064" y="533"/>
                                  </a:lnTo>
                                  <a:lnTo>
                                    <a:pt x="532" y="1068"/>
                                  </a:lnTo>
                                  <a:lnTo>
                                    <a:pt x="0" y="533"/>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8"/>
                          <wps:cNvSpPr>
                            <a:spLocks/>
                          </wps:cNvSpPr>
                          <wps:spPr bwMode="auto">
                            <a:xfrm>
                              <a:off x="2316" y="2064"/>
                              <a:ext cx="127" cy="84"/>
                            </a:xfrm>
                            <a:custGeom>
                              <a:avLst/>
                              <a:gdLst>
                                <a:gd name="T0" fmla="*/ 170 w 380"/>
                                <a:gd name="T1" fmla="*/ 62 h 253"/>
                                <a:gd name="T2" fmla="*/ 186 w 380"/>
                                <a:gd name="T3" fmla="*/ 64 h 253"/>
                                <a:gd name="T4" fmla="*/ 207 w 380"/>
                                <a:gd name="T5" fmla="*/ 71 h 253"/>
                                <a:gd name="T6" fmla="*/ 232 w 380"/>
                                <a:gd name="T7" fmla="*/ 87 h 253"/>
                                <a:gd name="T8" fmla="*/ 252 w 380"/>
                                <a:gd name="T9" fmla="*/ 108 h 253"/>
                                <a:gd name="T10" fmla="*/ 198 w 380"/>
                                <a:gd name="T11" fmla="*/ 120 h 253"/>
                                <a:gd name="T12" fmla="*/ 380 w 380"/>
                                <a:gd name="T13" fmla="*/ 123 h 253"/>
                                <a:gd name="T14" fmla="*/ 320 w 380"/>
                                <a:gd name="T15" fmla="*/ 108 h 253"/>
                                <a:gd name="T16" fmla="*/ 309 w 380"/>
                                <a:gd name="T17" fmla="*/ 84 h 253"/>
                                <a:gd name="T18" fmla="*/ 293 w 380"/>
                                <a:gd name="T19" fmla="*/ 61 h 253"/>
                                <a:gd name="T20" fmla="*/ 274 w 380"/>
                                <a:gd name="T21" fmla="*/ 42 h 253"/>
                                <a:gd name="T22" fmla="*/ 253 w 380"/>
                                <a:gd name="T23" fmla="*/ 26 h 253"/>
                                <a:gd name="T24" fmla="*/ 230 w 380"/>
                                <a:gd name="T25" fmla="*/ 13 h 253"/>
                                <a:gd name="T26" fmla="*/ 204 w 380"/>
                                <a:gd name="T27" fmla="*/ 5 h 253"/>
                                <a:gd name="T28" fmla="*/ 176 w 380"/>
                                <a:gd name="T29" fmla="*/ 0 h 253"/>
                                <a:gd name="T30" fmla="*/ 150 w 380"/>
                                <a:gd name="T31" fmla="*/ 2 h 253"/>
                                <a:gd name="T32" fmla="*/ 129 w 380"/>
                                <a:gd name="T33" fmla="*/ 5 h 253"/>
                                <a:gd name="T34" fmla="*/ 109 w 380"/>
                                <a:gd name="T35" fmla="*/ 11 h 253"/>
                                <a:gd name="T36" fmla="*/ 91 w 380"/>
                                <a:gd name="T37" fmla="*/ 19 h 253"/>
                                <a:gd name="T38" fmla="*/ 73 w 380"/>
                                <a:gd name="T39" fmla="*/ 29 h 253"/>
                                <a:gd name="T40" fmla="*/ 57 w 380"/>
                                <a:gd name="T41" fmla="*/ 42 h 253"/>
                                <a:gd name="T42" fmla="*/ 43 w 380"/>
                                <a:gd name="T43" fmla="*/ 57 h 253"/>
                                <a:gd name="T44" fmla="*/ 30 w 380"/>
                                <a:gd name="T45" fmla="*/ 73 h 253"/>
                                <a:gd name="T46" fmla="*/ 20 w 380"/>
                                <a:gd name="T47" fmla="*/ 89 h 253"/>
                                <a:gd name="T48" fmla="*/ 12 w 380"/>
                                <a:gd name="T49" fmla="*/ 107 h 253"/>
                                <a:gd name="T50" fmla="*/ 5 w 380"/>
                                <a:gd name="T51" fmla="*/ 127 h 253"/>
                                <a:gd name="T52" fmla="*/ 2 w 380"/>
                                <a:gd name="T53" fmla="*/ 146 h 253"/>
                                <a:gd name="T54" fmla="*/ 0 w 380"/>
                                <a:gd name="T55" fmla="*/ 167 h 253"/>
                                <a:gd name="T56" fmla="*/ 2 w 380"/>
                                <a:gd name="T57" fmla="*/ 186 h 253"/>
                                <a:gd name="T58" fmla="*/ 5 w 380"/>
                                <a:gd name="T59" fmla="*/ 207 h 253"/>
                                <a:gd name="T60" fmla="*/ 12 w 380"/>
                                <a:gd name="T61" fmla="*/ 227 h 253"/>
                                <a:gd name="T62" fmla="*/ 28 w 380"/>
                                <a:gd name="T63" fmla="*/ 229 h 253"/>
                                <a:gd name="T64" fmla="*/ 57 w 380"/>
                                <a:gd name="T65" fmla="*/ 211 h 253"/>
                                <a:gd name="T66" fmla="*/ 67 w 380"/>
                                <a:gd name="T67" fmla="*/ 192 h 253"/>
                                <a:gd name="T68" fmla="*/ 63 w 380"/>
                                <a:gd name="T69" fmla="*/ 168 h 253"/>
                                <a:gd name="T70" fmla="*/ 65 w 380"/>
                                <a:gd name="T71" fmla="*/ 144 h 253"/>
                                <a:gd name="T72" fmla="*/ 73 w 380"/>
                                <a:gd name="T73" fmla="*/ 121 h 253"/>
                                <a:gd name="T74" fmla="*/ 87 w 380"/>
                                <a:gd name="T75" fmla="*/ 100 h 253"/>
                                <a:gd name="T76" fmla="*/ 104 w 380"/>
                                <a:gd name="T77" fmla="*/ 83 h 253"/>
                                <a:gd name="T78" fmla="*/ 126 w 380"/>
                                <a:gd name="T79" fmla="*/ 71 h 253"/>
                                <a:gd name="T80" fmla="*/ 150 w 380"/>
                                <a:gd name="T81" fmla="*/ 64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0" h="253">
                                  <a:moveTo>
                                    <a:pt x="164" y="62"/>
                                  </a:moveTo>
                                  <a:lnTo>
                                    <a:pt x="170" y="62"/>
                                  </a:lnTo>
                                  <a:lnTo>
                                    <a:pt x="178" y="62"/>
                                  </a:lnTo>
                                  <a:lnTo>
                                    <a:pt x="186" y="64"/>
                                  </a:lnTo>
                                  <a:lnTo>
                                    <a:pt x="193" y="66"/>
                                  </a:lnTo>
                                  <a:lnTo>
                                    <a:pt x="207" y="71"/>
                                  </a:lnTo>
                                  <a:lnTo>
                                    <a:pt x="221" y="77"/>
                                  </a:lnTo>
                                  <a:lnTo>
                                    <a:pt x="232" y="87"/>
                                  </a:lnTo>
                                  <a:lnTo>
                                    <a:pt x="242" y="97"/>
                                  </a:lnTo>
                                  <a:lnTo>
                                    <a:pt x="252" y="108"/>
                                  </a:lnTo>
                                  <a:lnTo>
                                    <a:pt x="258" y="121"/>
                                  </a:lnTo>
                                  <a:lnTo>
                                    <a:pt x="198" y="120"/>
                                  </a:lnTo>
                                  <a:lnTo>
                                    <a:pt x="289" y="253"/>
                                  </a:lnTo>
                                  <a:lnTo>
                                    <a:pt x="380" y="123"/>
                                  </a:lnTo>
                                  <a:lnTo>
                                    <a:pt x="323" y="122"/>
                                  </a:lnTo>
                                  <a:lnTo>
                                    <a:pt x="320" y="108"/>
                                  </a:lnTo>
                                  <a:lnTo>
                                    <a:pt x="314" y="96"/>
                                  </a:lnTo>
                                  <a:lnTo>
                                    <a:pt x="309" y="84"/>
                                  </a:lnTo>
                                  <a:lnTo>
                                    <a:pt x="302" y="73"/>
                                  </a:lnTo>
                                  <a:lnTo>
                                    <a:pt x="293" y="61"/>
                                  </a:lnTo>
                                  <a:lnTo>
                                    <a:pt x="285" y="51"/>
                                  </a:lnTo>
                                  <a:lnTo>
                                    <a:pt x="274" y="42"/>
                                  </a:lnTo>
                                  <a:lnTo>
                                    <a:pt x="264" y="34"/>
                                  </a:lnTo>
                                  <a:lnTo>
                                    <a:pt x="253" y="26"/>
                                  </a:lnTo>
                                  <a:lnTo>
                                    <a:pt x="241" y="19"/>
                                  </a:lnTo>
                                  <a:lnTo>
                                    <a:pt x="230" y="13"/>
                                  </a:lnTo>
                                  <a:lnTo>
                                    <a:pt x="216" y="9"/>
                                  </a:lnTo>
                                  <a:lnTo>
                                    <a:pt x="204" y="5"/>
                                  </a:lnTo>
                                  <a:lnTo>
                                    <a:pt x="190" y="2"/>
                                  </a:lnTo>
                                  <a:lnTo>
                                    <a:pt x="176" y="0"/>
                                  </a:lnTo>
                                  <a:lnTo>
                                    <a:pt x="161" y="0"/>
                                  </a:lnTo>
                                  <a:lnTo>
                                    <a:pt x="150" y="2"/>
                                  </a:lnTo>
                                  <a:lnTo>
                                    <a:pt x="140" y="3"/>
                                  </a:lnTo>
                                  <a:lnTo>
                                    <a:pt x="129" y="5"/>
                                  </a:lnTo>
                                  <a:lnTo>
                                    <a:pt x="119" y="7"/>
                                  </a:lnTo>
                                  <a:lnTo>
                                    <a:pt x="109" y="11"/>
                                  </a:lnTo>
                                  <a:lnTo>
                                    <a:pt x="100" y="14"/>
                                  </a:lnTo>
                                  <a:lnTo>
                                    <a:pt x="91" y="19"/>
                                  </a:lnTo>
                                  <a:lnTo>
                                    <a:pt x="81" y="25"/>
                                  </a:lnTo>
                                  <a:lnTo>
                                    <a:pt x="73" y="29"/>
                                  </a:lnTo>
                                  <a:lnTo>
                                    <a:pt x="64" y="36"/>
                                  </a:lnTo>
                                  <a:lnTo>
                                    <a:pt x="57" y="42"/>
                                  </a:lnTo>
                                  <a:lnTo>
                                    <a:pt x="49" y="49"/>
                                  </a:lnTo>
                                  <a:lnTo>
                                    <a:pt x="43" y="57"/>
                                  </a:lnTo>
                                  <a:lnTo>
                                    <a:pt x="37" y="65"/>
                                  </a:lnTo>
                                  <a:lnTo>
                                    <a:pt x="30" y="73"/>
                                  </a:lnTo>
                                  <a:lnTo>
                                    <a:pt x="26" y="81"/>
                                  </a:lnTo>
                                  <a:lnTo>
                                    <a:pt x="20" y="89"/>
                                  </a:lnTo>
                                  <a:lnTo>
                                    <a:pt x="15" y="98"/>
                                  </a:lnTo>
                                  <a:lnTo>
                                    <a:pt x="12" y="107"/>
                                  </a:lnTo>
                                  <a:lnTo>
                                    <a:pt x="8" y="118"/>
                                  </a:lnTo>
                                  <a:lnTo>
                                    <a:pt x="5" y="127"/>
                                  </a:lnTo>
                                  <a:lnTo>
                                    <a:pt x="4" y="136"/>
                                  </a:lnTo>
                                  <a:lnTo>
                                    <a:pt x="2" y="146"/>
                                  </a:lnTo>
                                  <a:lnTo>
                                    <a:pt x="0" y="157"/>
                                  </a:lnTo>
                                  <a:lnTo>
                                    <a:pt x="0" y="167"/>
                                  </a:lnTo>
                                  <a:lnTo>
                                    <a:pt x="0" y="176"/>
                                  </a:lnTo>
                                  <a:lnTo>
                                    <a:pt x="2" y="186"/>
                                  </a:lnTo>
                                  <a:lnTo>
                                    <a:pt x="3" y="197"/>
                                  </a:lnTo>
                                  <a:lnTo>
                                    <a:pt x="5" y="207"/>
                                  </a:lnTo>
                                  <a:lnTo>
                                    <a:pt x="7" y="217"/>
                                  </a:lnTo>
                                  <a:lnTo>
                                    <a:pt x="12" y="227"/>
                                  </a:lnTo>
                                  <a:lnTo>
                                    <a:pt x="15" y="237"/>
                                  </a:lnTo>
                                  <a:lnTo>
                                    <a:pt x="28" y="229"/>
                                  </a:lnTo>
                                  <a:lnTo>
                                    <a:pt x="43" y="219"/>
                                  </a:lnTo>
                                  <a:lnTo>
                                    <a:pt x="57" y="211"/>
                                  </a:lnTo>
                                  <a:lnTo>
                                    <a:pt x="71" y="205"/>
                                  </a:lnTo>
                                  <a:lnTo>
                                    <a:pt x="67" y="192"/>
                                  </a:lnTo>
                                  <a:lnTo>
                                    <a:pt x="64" y="181"/>
                                  </a:lnTo>
                                  <a:lnTo>
                                    <a:pt x="63" y="168"/>
                                  </a:lnTo>
                                  <a:lnTo>
                                    <a:pt x="63" y="155"/>
                                  </a:lnTo>
                                  <a:lnTo>
                                    <a:pt x="65" y="144"/>
                                  </a:lnTo>
                                  <a:lnTo>
                                    <a:pt x="69" y="132"/>
                                  </a:lnTo>
                                  <a:lnTo>
                                    <a:pt x="73" y="121"/>
                                  </a:lnTo>
                                  <a:lnTo>
                                    <a:pt x="79" y="110"/>
                                  </a:lnTo>
                                  <a:lnTo>
                                    <a:pt x="87" y="100"/>
                                  </a:lnTo>
                                  <a:lnTo>
                                    <a:pt x="95" y="91"/>
                                  </a:lnTo>
                                  <a:lnTo>
                                    <a:pt x="104" y="83"/>
                                  </a:lnTo>
                                  <a:lnTo>
                                    <a:pt x="115" y="76"/>
                                  </a:lnTo>
                                  <a:lnTo>
                                    <a:pt x="126" y="71"/>
                                  </a:lnTo>
                                  <a:lnTo>
                                    <a:pt x="137" y="66"/>
                                  </a:lnTo>
                                  <a:lnTo>
                                    <a:pt x="150" y="64"/>
                                  </a:lnTo>
                                  <a:lnTo>
                                    <a:pt x="164" y="62"/>
                                  </a:lnTo>
                                  <a:close/>
                                </a:path>
                              </a:pathLst>
                            </a:custGeom>
                            <a:solidFill>
                              <a:srgbClr val="2916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9"/>
                          <wps:cNvSpPr>
                            <a:spLocks/>
                          </wps:cNvSpPr>
                          <wps:spPr bwMode="auto">
                            <a:xfrm>
                              <a:off x="2316" y="2064"/>
                              <a:ext cx="127" cy="84"/>
                            </a:xfrm>
                            <a:custGeom>
                              <a:avLst/>
                              <a:gdLst>
                                <a:gd name="T0" fmla="*/ 170 w 380"/>
                                <a:gd name="T1" fmla="*/ 62 h 253"/>
                                <a:gd name="T2" fmla="*/ 186 w 380"/>
                                <a:gd name="T3" fmla="*/ 64 h 253"/>
                                <a:gd name="T4" fmla="*/ 207 w 380"/>
                                <a:gd name="T5" fmla="*/ 71 h 253"/>
                                <a:gd name="T6" fmla="*/ 232 w 380"/>
                                <a:gd name="T7" fmla="*/ 87 h 253"/>
                                <a:gd name="T8" fmla="*/ 252 w 380"/>
                                <a:gd name="T9" fmla="*/ 108 h 253"/>
                                <a:gd name="T10" fmla="*/ 198 w 380"/>
                                <a:gd name="T11" fmla="*/ 120 h 253"/>
                                <a:gd name="T12" fmla="*/ 380 w 380"/>
                                <a:gd name="T13" fmla="*/ 123 h 253"/>
                                <a:gd name="T14" fmla="*/ 320 w 380"/>
                                <a:gd name="T15" fmla="*/ 108 h 253"/>
                                <a:gd name="T16" fmla="*/ 309 w 380"/>
                                <a:gd name="T17" fmla="*/ 84 h 253"/>
                                <a:gd name="T18" fmla="*/ 293 w 380"/>
                                <a:gd name="T19" fmla="*/ 61 h 253"/>
                                <a:gd name="T20" fmla="*/ 274 w 380"/>
                                <a:gd name="T21" fmla="*/ 42 h 253"/>
                                <a:gd name="T22" fmla="*/ 253 w 380"/>
                                <a:gd name="T23" fmla="*/ 26 h 253"/>
                                <a:gd name="T24" fmla="*/ 230 w 380"/>
                                <a:gd name="T25" fmla="*/ 13 h 253"/>
                                <a:gd name="T26" fmla="*/ 204 w 380"/>
                                <a:gd name="T27" fmla="*/ 5 h 253"/>
                                <a:gd name="T28" fmla="*/ 176 w 380"/>
                                <a:gd name="T29" fmla="*/ 0 h 253"/>
                                <a:gd name="T30" fmla="*/ 150 w 380"/>
                                <a:gd name="T31" fmla="*/ 2 h 253"/>
                                <a:gd name="T32" fmla="*/ 129 w 380"/>
                                <a:gd name="T33" fmla="*/ 5 h 253"/>
                                <a:gd name="T34" fmla="*/ 109 w 380"/>
                                <a:gd name="T35" fmla="*/ 11 h 253"/>
                                <a:gd name="T36" fmla="*/ 91 w 380"/>
                                <a:gd name="T37" fmla="*/ 19 h 253"/>
                                <a:gd name="T38" fmla="*/ 73 w 380"/>
                                <a:gd name="T39" fmla="*/ 29 h 253"/>
                                <a:gd name="T40" fmla="*/ 57 w 380"/>
                                <a:gd name="T41" fmla="*/ 42 h 253"/>
                                <a:gd name="T42" fmla="*/ 43 w 380"/>
                                <a:gd name="T43" fmla="*/ 57 h 253"/>
                                <a:gd name="T44" fmla="*/ 30 w 380"/>
                                <a:gd name="T45" fmla="*/ 73 h 253"/>
                                <a:gd name="T46" fmla="*/ 20 w 380"/>
                                <a:gd name="T47" fmla="*/ 89 h 253"/>
                                <a:gd name="T48" fmla="*/ 12 w 380"/>
                                <a:gd name="T49" fmla="*/ 107 h 253"/>
                                <a:gd name="T50" fmla="*/ 5 w 380"/>
                                <a:gd name="T51" fmla="*/ 127 h 253"/>
                                <a:gd name="T52" fmla="*/ 2 w 380"/>
                                <a:gd name="T53" fmla="*/ 146 h 253"/>
                                <a:gd name="T54" fmla="*/ 0 w 380"/>
                                <a:gd name="T55" fmla="*/ 167 h 253"/>
                                <a:gd name="T56" fmla="*/ 2 w 380"/>
                                <a:gd name="T57" fmla="*/ 186 h 253"/>
                                <a:gd name="T58" fmla="*/ 5 w 380"/>
                                <a:gd name="T59" fmla="*/ 207 h 253"/>
                                <a:gd name="T60" fmla="*/ 12 w 380"/>
                                <a:gd name="T61" fmla="*/ 227 h 253"/>
                                <a:gd name="T62" fmla="*/ 28 w 380"/>
                                <a:gd name="T63" fmla="*/ 229 h 253"/>
                                <a:gd name="T64" fmla="*/ 57 w 380"/>
                                <a:gd name="T65" fmla="*/ 211 h 253"/>
                                <a:gd name="T66" fmla="*/ 67 w 380"/>
                                <a:gd name="T67" fmla="*/ 192 h 253"/>
                                <a:gd name="T68" fmla="*/ 63 w 380"/>
                                <a:gd name="T69" fmla="*/ 168 h 253"/>
                                <a:gd name="T70" fmla="*/ 65 w 380"/>
                                <a:gd name="T71" fmla="*/ 144 h 253"/>
                                <a:gd name="T72" fmla="*/ 73 w 380"/>
                                <a:gd name="T73" fmla="*/ 121 h 253"/>
                                <a:gd name="T74" fmla="*/ 87 w 380"/>
                                <a:gd name="T75" fmla="*/ 100 h 253"/>
                                <a:gd name="T76" fmla="*/ 104 w 380"/>
                                <a:gd name="T77" fmla="*/ 83 h 253"/>
                                <a:gd name="T78" fmla="*/ 126 w 380"/>
                                <a:gd name="T79" fmla="*/ 71 h 253"/>
                                <a:gd name="T80" fmla="*/ 150 w 380"/>
                                <a:gd name="T81" fmla="*/ 64 h 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0" h="253">
                                  <a:moveTo>
                                    <a:pt x="164" y="62"/>
                                  </a:moveTo>
                                  <a:lnTo>
                                    <a:pt x="170" y="62"/>
                                  </a:lnTo>
                                  <a:lnTo>
                                    <a:pt x="178" y="62"/>
                                  </a:lnTo>
                                  <a:lnTo>
                                    <a:pt x="186" y="64"/>
                                  </a:lnTo>
                                  <a:lnTo>
                                    <a:pt x="193" y="66"/>
                                  </a:lnTo>
                                  <a:lnTo>
                                    <a:pt x="207" y="71"/>
                                  </a:lnTo>
                                  <a:lnTo>
                                    <a:pt x="221" y="77"/>
                                  </a:lnTo>
                                  <a:lnTo>
                                    <a:pt x="232" y="87"/>
                                  </a:lnTo>
                                  <a:lnTo>
                                    <a:pt x="242" y="97"/>
                                  </a:lnTo>
                                  <a:lnTo>
                                    <a:pt x="252" y="108"/>
                                  </a:lnTo>
                                  <a:lnTo>
                                    <a:pt x="258" y="121"/>
                                  </a:lnTo>
                                  <a:lnTo>
                                    <a:pt x="198" y="120"/>
                                  </a:lnTo>
                                  <a:lnTo>
                                    <a:pt x="289" y="253"/>
                                  </a:lnTo>
                                  <a:lnTo>
                                    <a:pt x="380" y="123"/>
                                  </a:lnTo>
                                  <a:lnTo>
                                    <a:pt x="323" y="122"/>
                                  </a:lnTo>
                                  <a:lnTo>
                                    <a:pt x="320" y="108"/>
                                  </a:lnTo>
                                  <a:lnTo>
                                    <a:pt x="314" y="96"/>
                                  </a:lnTo>
                                  <a:lnTo>
                                    <a:pt x="309" y="84"/>
                                  </a:lnTo>
                                  <a:lnTo>
                                    <a:pt x="302" y="73"/>
                                  </a:lnTo>
                                  <a:lnTo>
                                    <a:pt x="293" y="61"/>
                                  </a:lnTo>
                                  <a:lnTo>
                                    <a:pt x="285" y="51"/>
                                  </a:lnTo>
                                  <a:lnTo>
                                    <a:pt x="274" y="42"/>
                                  </a:lnTo>
                                  <a:lnTo>
                                    <a:pt x="264" y="34"/>
                                  </a:lnTo>
                                  <a:lnTo>
                                    <a:pt x="253" y="26"/>
                                  </a:lnTo>
                                  <a:lnTo>
                                    <a:pt x="241" y="19"/>
                                  </a:lnTo>
                                  <a:lnTo>
                                    <a:pt x="230" y="13"/>
                                  </a:lnTo>
                                  <a:lnTo>
                                    <a:pt x="216" y="9"/>
                                  </a:lnTo>
                                  <a:lnTo>
                                    <a:pt x="204" y="5"/>
                                  </a:lnTo>
                                  <a:lnTo>
                                    <a:pt x="190" y="2"/>
                                  </a:lnTo>
                                  <a:lnTo>
                                    <a:pt x="176" y="0"/>
                                  </a:lnTo>
                                  <a:lnTo>
                                    <a:pt x="161" y="0"/>
                                  </a:lnTo>
                                  <a:lnTo>
                                    <a:pt x="150" y="2"/>
                                  </a:lnTo>
                                  <a:lnTo>
                                    <a:pt x="140" y="3"/>
                                  </a:lnTo>
                                  <a:lnTo>
                                    <a:pt x="129" y="5"/>
                                  </a:lnTo>
                                  <a:lnTo>
                                    <a:pt x="119" y="7"/>
                                  </a:lnTo>
                                  <a:lnTo>
                                    <a:pt x="109" y="11"/>
                                  </a:lnTo>
                                  <a:lnTo>
                                    <a:pt x="100" y="14"/>
                                  </a:lnTo>
                                  <a:lnTo>
                                    <a:pt x="91" y="19"/>
                                  </a:lnTo>
                                  <a:lnTo>
                                    <a:pt x="81" y="25"/>
                                  </a:lnTo>
                                  <a:lnTo>
                                    <a:pt x="73" y="29"/>
                                  </a:lnTo>
                                  <a:lnTo>
                                    <a:pt x="64" y="36"/>
                                  </a:lnTo>
                                  <a:lnTo>
                                    <a:pt x="57" y="42"/>
                                  </a:lnTo>
                                  <a:lnTo>
                                    <a:pt x="49" y="49"/>
                                  </a:lnTo>
                                  <a:lnTo>
                                    <a:pt x="43" y="57"/>
                                  </a:lnTo>
                                  <a:lnTo>
                                    <a:pt x="37" y="65"/>
                                  </a:lnTo>
                                  <a:lnTo>
                                    <a:pt x="30" y="73"/>
                                  </a:lnTo>
                                  <a:lnTo>
                                    <a:pt x="26" y="81"/>
                                  </a:lnTo>
                                  <a:lnTo>
                                    <a:pt x="20" y="89"/>
                                  </a:lnTo>
                                  <a:lnTo>
                                    <a:pt x="15" y="98"/>
                                  </a:lnTo>
                                  <a:lnTo>
                                    <a:pt x="12" y="107"/>
                                  </a:lnTo>
                                  <a:lnTo>
                                    <a:pt x="8" y="118"/>
                                  </a:lnTo>
                                  <a:lnTo>
                                    <a:pt x="5" y="127"/>
                                  </a:lnTo>
                                  <a:lnTo>
                                    <a:pt x="4" y="136"/>
                                  </a:lnTo>
                                  <a:lnTo>
                                    <a:pt x="2" y="146"/>
                                  </a:lnTo>
                                  <a:lnTo>
                                    <a:pt x="0" y="157"/>
                                  </a:lnTo>
                                  <a:lnTo>
                                    <a:pt x="0" y="167"/>
                                  </a:lnTo>
                                  <a:lnTo>
                                    <a:pt x="0" y="176"/>
                                  </a:lnTo>
                                  <a:lnTo>
                                    <a:pt x="2" y="186"/>
                                  </a:lnTo>
                                  <a:lnTo>
                                    <a:pt x="3" y="197"/>
                                  </a:lnTo>
                                  <a:lnTo>
                                    <a:pt x="5" y="207"/>
                                  </a:lnTo>
                                  <a:lnTo>
                                    <a:pt x="7" y="217"/>
                                  </a:lnTo>
                                  <a:lnTo>
                                    <a:pt x="12" y="227"/>
                                  </a:lnTo>
                                  <a:lnTo>
                                    <a:pt x="15" y="237"/>
                                  </a:lnTo>
                                  <a:lnTo>
                                    <a:pt x="28" y="229"/>
                                  </a:lnTo>
                                  <a:lnTo>
                                    <a:pt x="43" y="219"/>
                                  </a:lnTo>
                                  <a:lnTo>
                                    <a:pt x="57" y="211"/>
                                  </a:lnTo>
                                  <a:lnTo>
                                    <a:pt x="71" y="205"/>
                                  </a:lnTo>
                                  <a:lnTo>
                                    <a:pt x="67" y="192"/>
                                  </a:lnTo>
                                  <a:lnTo>
                                    <a:pt x="64" y="181"/>
                                  </a:lnTo>
                                  <a:lnTo>
                                    <a:pt x="63" y="168"/>
                                  </a:lnTo>
                                  <a:lnTo>
                                    <a:pt x="63" y="155"/>
                                  </a:lnTo>
                                  <a:lnTo>
                                    <a:pt x="65" y="144"/>
                                  </a:lnTo>
                                  <a:lnTo>
                                    <a:pt x="69" y="132"/>
                                  </a:lnTo>
                                  <a:lnTo>
                                    <a:pt x="73" y="121"/>
                                  </a:lnTo>
                                  <a:lnTo>
                                    <a:pt x="79" y="110"/>
                                  </a:lnTo>
                                  <a:lnTo>
                                    <a:pt x="87" y="100"/>
                                  </a:lnTo>
                                  <a:lnTo>
                                    <a:pt x="95" y="91"/>
                                  </a:lnTo>
                                  <a:lnTo>
                                    <a:pt x="104" y="83"/>
                                  </a:lnTo>
                                  <a:lnTo>
                                    <a:pt x="115" y="76"/>
                                  </a:lnTo>
                                  <a:lnTo>
                                    <a:pt x="126" y="71"/>
                                  </a:lnTo>
                                  <a:lnTo>
                                    <a:pt x="137" y="66"/>
                                  </a:lnTo>
                                  <a:lnTo>
                                    <a:pt x="150" y="64"/>
                                  </a:lnTo>
                                  <a:lnTo>
                                    <a:pt x="164" y="62"/>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0"/>
                          <wps:cNvSpPr>
                            <a:spLocks/>
                          </wps:cNvSpPr>
                          <wps:spPr bwMode="auto">
                            <a:xfrm>
                              <a:off x="2399" y="2052"/>
                              <a:ext cx="92" cy="119"/>
                            </a:xfrm>
                            <a:custGeom>
                              <a:avLst/>
                              <a:gdLst>
                                <a:gd name="T0" fmla="*/ 211 w 276"/>
                                <a:gd name="T1" fmla="*/ 140 h 359"/>
                                <a:gd name="T2" fmla="*/ 215 w 276"/>
                                <a:gd name="T3" fmla="*/ 155 h 359"/>
                                <a:gd name="T4" fmla="*/ 214 w 276"/>
                                <a:gd name="T5" fmla="*/ 178 h 359"/>
                                <a:gd name="T6" fmla="*/ 207 w 276"/>
                                <a:gd name="T7" fmla="*/ 206 h 359"/>
                                <a:gd name="T8" fmla="*/ 191 w 276"/>
                                <a:gd name="T9" fmla="*/ 231 h 359"/>
                                <a:gd name="T10" fmla="*/ 164 w 276"/>
                                <a:gd name="T11" fmla="*/ 183 h 359"/>
                                <a:gd name="T12" fmla="*/ 216 w 276"/>
                                <a:gd name="T13" fmla="*/ 359 h 359"/>
                                <a:gd name="T14" fmla="*/ 211 w 276"/>
                                <a:gd name="T15" fmla="*/ 297 h 359"/>
                                <a:gd name="T16" fmla="*/ 232 w 276"/>
                                <a:gd name="T17" fmla="*/ 279 h 359"/>
                                <a:gd name="T18" fmla="*/ 248 w 276"/>
                                <a:gd name="T19" fmla="*/ 257 h 359"/>
                                <a:gd name="T20" fmla="*/ 261 w 276"/>
                                <a:gd name="T21" fmla="*/ 234 h 359"/>
                                <a:gd name="T22" fmla="*/ 271 w 276"/>
                                <a:gd name="T23" fmla="*/ 209 h 359"/>
                                <a:gd name="T24" fmla="*/ 275 w 276"/>
                                <a:gd name="T25" fmla="*/ 182 h 359"/>
                                <a:gd name="T26" fmla="*/ 276 w 276"/>
                                <a:gd name="T27" fmla="*/ 155 h 359"/>
                                <a:gd name="T28" fmla="*/ 272 w 276"/>
                                <a:gd name="T29" fmla="*/ 127 h 359"/>
                                <a:gd name="T30" fmla="*/ 264 w 276"/>
                                <a:gd name="T31" fmla="*/ 102 h 359"/>
                                <a:gd name="T32" fmla="*/ 255 w 276"/>
                                <a:gd name="T33" fmla="*/ 83 h 359"/>
                                <a:gd name="T34" fmla="*/ 242 w 276"/>
                                <a:gd name="T35" fmla="*/ 65 h 359"/>
                                <a:gd name="T36" fmla="*/ 228 w 276"/>
                                <a:gd name="T37" fmla="*/ 50 h 359"/>
                                <a:gd name="T38" fmla="*/ 214 w 276"/>
                                <a:gd name="T39" fmla="*/ 36 h 359"/>
                                <a:gd name="T40" fmla="*/ 198 w 276"/>
                                <a:gd name="T41" fmla="*/ 25 h 359"/>
                                <a:gd name="T42" fmla="*/ 179 w 276"/>
                                <a:gd name="T43" fmla="*/ 16 h 359"/>
                                <a:gd name="T44" fmla="*/ 161 w 276"/>
                                <a:gd name="T45" fmla="*/ 8 h 359"/>
                                <a:gd name="T46" fmla="*/ 142 w 276"/>
                                <a:gd name="T47" fmla="*/ 3 h 359"/>
                                <a:gd name="T48" fmla="*/ 121 w 276"/>
                                <a:gd name="T49" fmla="*/ 1 h 359"/>
                                <a:gd name="T50" fmla="*/ 102 w 276"/>
                                <a:gd name="T51" fmla="*/ 0 h 359"/>
                                <a:gd name="T52" fmla="*/ 82 w 276"/>
                                <a:gd name="T53" fmla="*/ 2 h 359"/>
                                <a:gd name="T54" fmla="*/ 62 w 276"/>
                                <a:gd name="T55" fmla="*/ 7 h 359"/>
                                <a:gd name="T56" fmla="*/ 43 w 276"/>
                                <a:gd name="T57" fmla="*/ 13 h 359"/>
                                <a:gd name="T58" fmla="*/ 25 w 276"/>
                                <a:gd name="T59" fmla="*/ 23 h 359"/>
                                <a:gd name="T60" fmla="*/ 8 w 276"/>
                                <a:gd name="T61" fmla="*/ 35 h 359"/>
                                <a:gd name="T62" fmla="*/ 11 w 276"/>
                                <a:gd name="T63" fmla="*/ 51 h 359"/>
                                <a:gd name="T64" fmla="*/ 37 w 276"/>
                                <a:gd name="T65" fmla="*/ 74 h 359"/>
                                <a:gd name="T66" fmla="*/ 57 w 276"/>
                                <a:gd name="T67" fmla="*/ 78 h 359"/>
                                <a:gd name="T68" fmla="*/ 79 w 276"/>
                                <a:gd name="T69" fmla="*/ 67 h 359"/>
                                <a:gd name="T70" fmla="*/ 103 w 276"/>
                                <a:gd name="T71" fmla="*/ 63 h 359"/>
                                <a:gd name="T72" fmla="*/ 127 w 276"/>
                                <a:gd name="T73" fmla="*/ 64 h 359"/>
                                <a:gd name="T74" fmla="*/ 151 w 276"/>
                                <a:gd name="T75" fmla="*/ 70 h 359"/>
                                <a:gd name="T76" fmla="*/ 172 w 276"/>
                                <a:gd name="T77" fmla="*/ 82 h 359"/>
                                <a:gd name="T78" fmla="*/ 191 w 276"/>
                                <a:gd name="T79" fmla="*/ 98 h 359"/>
                                <a:gd name="T80" fmla="*/ 204 w 276"/>
                                <a:gd name="T81" fmla="*/ 120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76" h="359">
                                  <a:moveTo>
                                    <a:pt x="209" y="133"/>
                                  </a:moveTo>
                                  <a:lnTo>
                                    <a:pt x="211" y="140"/>
                                  </a:lnTo>
                                  <a:lnTo>
                                    <a:pt x="214" y="148"/>
                                  </a:lnTo>
                                  <a:lnTo>
                                    <a:pt x="215" y="155"/>
                                  </a:lnTo>
                                  <a:lnTo>
                                    <a:pt x="215" y="163"/>
                                  </a:lnTo>
                                  <a:lnTo>
                                    <a:pt x="214" y="178"/>
                                  </a:lnTo>
                                  <a:lnTo>
                                    <a:pt x="211" y="192"/>
                                  </a:lnTo>
                                  <a:lnTo>
                                    <a:pt x="207" y="206"/>
                                  </a:lnTo>
                                  <a:lnTo>
                                    <a:pt x="200" y="219"/>
                                  </a:lnTo>
                                  <a:lnTo>
                                    <a:pt x="191" y="231"/>
                                  </a:lnTo>
                                  <a:lnTo>
                                    <a:pt x="182" y="242"/>
                                  </a:lnTo>
                                  <a:lnTo>
                                    <a:pt x="164" y="183"/>
                                  </a:lnTo>
                                  <a:lnTo>
                                    <a:pt x="64" y="310"/>
                                  </a:lnTo>
                                  <a:lnTo>
                                    <a:pt x="216" y="359"/>
                                  </a:lnTo>
                                  <a:lnTo>
                                    <a:pt x="200" y="305"/>
                                  </a:lnTo>
                                  <a:lnTo>
                                    <a:pt x="211" y="297"/>
                                  </a:lnTo>
                                  <a:lnTo>
                                    <a:pt x="222" y="288"/>
                                  </a:lnTo>
                                  <a:lnTo>
                                    <a:pt x="232" y="279"/>
                                  </a:lnTo>
                                  <a:lnTo>
                                    <a:pt x="240" y="268"/>
                                  </a:lnTo>
                                  <a:lnTo>
                                    <a:pt x="248" y="257"/>
                                  </a:lnTo>
                                  <a:lnTo>
                                    <a:pt x="255" y="245"/>
                                  </a:lnTo>
                                  <a:lnTo>
                                    <a:pt x="261" y="234"/>
                                  </a:lnTo>
                                  <a:lnTo>
                                    <a:pt x="266" y="221"/>
                                  </a:lnTo>
                                  <a:lnTo>
                                    <a:pt x="271" y="209"/>
                                  </a:lnTo>
                                  <a:lnTo>
                                    <a:pt x="273" y="195"/>
                                  </a:lnTo>
                                  <a:lnTo>
                                    <a:pt x="275" y="182"/>
                                  </a:lnTo>
                                  <a:lnTo>
                                    <a:pt x="276" y="168"/>
                                  </a:lnTo>
                                  <a:lnTo>
                                    <a:pt x="276" y="155"/>
                                  </a:lnTo>
                                  <a:lnTo>
                                    <a:pt x="274" y="141"/>
                                  </a:lnTo>
                                  <a:lnTo>
                                    <a:pt x="272" y="127"/>
                                  </a:lnTo>
                                  <a:lnTo>
                                    <a:pt x="267" y="113"/>
                                  </a:lnTo>
                                  <a:lnTo>
                                    <a:pt x="264" y="102"/>
                                  </a:lnTo>
                                  <a:lnTo>
                                    <a:pt x="259" y="93"/>
                                  </a:lnTo>
                                  <a:lnTo>
                                    <a:pt x="255" y="83"/>
                                  </a:lnTo>
                                  <a:lnTo>
                                    <a:pt x="249" y="74"/>
                                  </a:lnTo>
                                  <a:lnTo>
                                    <a:pt x="242" y="65"/>
                                  </a:lnTo>
                                  <a:lnTo>
                                    <a:pt x="236" y="57"/>
                                  </a:lnTo>
                                  <a:lnTo>
                                    <a:pt x="228" y="50"/>
                                  </a:lnTo>
                                  <a:lnTo>
                                    <a:pt x="222" y="43"/>
                                  </a:lnTo>
                                  <a:lnTo>
                                    <a:pt x="214" y="36"/>
                                  </a:lnTo>
                                  <a:lnTo>
                                    <a:pt x="206" y="31"/>
                                  </a:lnTo>
                                  <a:lnTo>
                                    <a:pt x="198" y="25"/>
                                  </a:lnTo>
                                  <a:lnTo>
                                    <a:pt x="188" y="20"/>
                                  </a:lnTo>
                                  <a:lnTo>
                                    <a:pt x="179" y="16"/>
                                  </a:lnTo>
                                  <a:lnTo>
                                    <a:pt x="170" y="11"/>
                                  </a:lnTo>
                                  <a:lnTo>
                                    <a:pt x="161" y="8"/>
                                  </a:lnTo>
                                  <a:lnTo>
                                    <a:pt x="151" y="5"/>
                                  </a:lnTo>
                                  <a:lnTo>
                                    <a:pt x="142" y="3"/>
                                  </a:lnTo>
                                  <a:lnTo>
                                    <a:pt x="131" y="2"/>
                                  </a:lnTo>
                                  <a:lnTo>
                                    <a:pt x="121" y="1"/>
                                  </a:lnTo>
                                  <a:lnTo>
                                    <a:pt x="112" y="0"/>
                                  </a:lnTo>
                                  <a:lnTo>
                                    <a:pt x="102" y="0"/>
                                  </a:lnTo>
                                  <a:lnTo>
                                    <a:pt x="91" y="1"/>
                                  </a:lnTo>
                                  <a:lnTo>
                                    <a:pt x="82" y="2"/>
                                  </a:lnTo>
                                  <a:lnTo>
                                    <a:pt x="72" y="4"/>
                                  </a:lnTo>
                                  <a:lnTo>
                                    <a:pt x="62" y="7"/>
                                  </a:lnTo>
                                  <a:lnTo>
                                    <a:pt x="53" y="10"/>
                                  </a:lnTo>
                                  <a:lnTo>
                                    <a:pt x="43" y="13"/>
                                  </a:lnTo>
                                  <a:lnTo>
                                    <a:pt x="34" y="18"/>
                                  </a:lnTo>
                                  <a:lnTo>
                                    <a:pt x="25" y="23"/>
                                  </a:lnTo>
                                  <a:lnTo>
                                    <a:pt x="16" y="28"/>
                                  </a:lnTo>
                                  <a:lnTo>
                                    <a:pt x="8" y="35"/>
                                  </a:lnTo>
                                  <a:lnTo>
                                    <a:pt x="0" y="42"/>
                                  </a:lnTo>
                                  <a:lnTo>
                                    <a:pt x="11" y="51"/>
                                  </a:lnTo>
                                  <a:lnTo>
                                    <a:pt x="24" y="63"/>
                                  </a:lnTo>
                                  <a:lnTo>
                                    <a:pt x="37" y="74"/>
                                  </a:lnTo>
                                  <a:lnTo>
                                    <a:pt x="47" y="86"/>
                                  </a:lnTo>
                                  <a:lnTo>
                                    <a:pt x="57" y="78"/>
                                  </a:lnTo>
                                  <a:lnTo>
                                    <a:pt x="67" y="72"/>
                                  </a:lnTo>
                                  <a:lnTo>
                                    <a:pt x="79" y="67"/>
                                  </a:lnTo>
                                  <a:lnTo>
                                    <a:pt x="91" y="64"/>
                                  </a:lnTo>
                                  <a:lnTo>
                                    <a:pt x="103" y="63"/>
                                  </a:lnTo>
                                  <a:lnTo>
                                    <a:pt x="115" y="63"/>
                                  </a:lnTo>
                                  <a:lnTo>
                                    <a:pt x="127" y="64"/>
                                  </a:lnTo>
                                  <a:lnTo>
                                    <a:pt x="139" y="66"/>
                                  </a:lnTo>
                                  <a:lnTo>
                                    <a:pt x="151" y="70"/>
                                  </a:lnTo>
                                  <a:lnTo>
                                    <a:pt x="162" y="75"/>
                                  </a:lnTo>
                                  <a:lnTo>
                                    <a:pt x="172" y="82"/>
                                  </a:lnTo>
                                  <a:lnTo>
                                    <a:pt x="182" y="90"/>
                                  </a:lnTo>
                                  <a:lnTo>
                                    <a:pt x="191" y="98"/>
                                  </a:lnTo>
                                  <a:lnTo>
                                    <a:pt x="198" y="109"/>
                                  </a:lnTo>
                                  <a:lnTo>
                                    <a:pt x="204" y="120"/>
                                  </a:lnTo>
                                  <a:lnTo>
                                    <a:pt x="209" y="133"/>
                                  </a:lnTo>
                                  <a:close/>
                                </a:path>
                              </a:pathLst>
                            </a:custGeom>
                            <a:solidFill>
                              <a:srgbClr val="0092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1"/>
                          <wps:cNvSpPr>
                            <a:spLocks/>
                          </wps:cNvSpPr>
                          <wps:spPr bwMode="auto">
                            <a:xfrm>
                              <a:off x="2399" y="2052"/>
                              <a:ext cx="92" cy="119"/>
                            </a:xfrm>
                            <a:custGeom>
                              <a:avLst/>
                              <a:gdLst>
                                <a:gd name="T0" fmla="*/ 211 w 276"/>
                                <a:gd name="T1" fmla="*/ 140 h 359"/>
                                <a:gd name="T2" fmla="*/ 215 w 276"/>
                                <a:gd name="T3" fmla="*/ 155 h 359"/>
                                <a:gd name="T4" fmla="*/ 214 w 276"/>
                                <a:gd name="T5" fmla="*/ 178 h 359"/>
                                <a:gd name="T6" fmla="*/ 207 w 276"/>
                                <a:gd name="T7" fmla="*/ 206 h 359"/>
                                <a:gd name="T8" fmla="*/ 191 w 276"/>
                                <a:gd name="T9" fmla="*/ 231 h 359"/>
                                <a:gd name="T10" fmla="*/ 164 w 276"/>
                                <a:gd name="T11" fmla="*/ 183 h 359"/>
                                <a:gd name="T12" fmla="*/ 216 w 276"/>
                                <a:gd name="T13" fmla="*/ 359 h 359"/>
                                <a:gd name="T14" fmla="*/ 211 w 276"/>
                                <a:gd name="T15" fmla="*/ 297 h 359"/>
                                <a:gd name="T16" fmla="*/ 232 w 276"/>
                                <a:gd name="T17" fmla="*/ 279 h 359"/>
                                <a:gd name="T18" fmla="*/ 248 w 276"/>
                                <a:gd name="T19" fmla="*/ 257 h 359"/>
                                <a:gd name="T20" fmla="*/ 261 w 276"/>
                                <a:gd name="T21" fmla="*/ 234 h 359"/>
                                <a:gd name="T22" fmla="*/ 271 w 276"/>
                                <a:gd name="T23" fmla="*/ 209 h 359"/>
                                <a:gd name="T24" fmla="*/ 275 w 276"/>
                                <a:gd name="T25" fmla="*/ 182 h 359"/>
                                <a:gd name="T26" fmla="*/ 276 w 276"/>
                                <a:gd name="T27" fmla="*/ 155 h 359"/>
                                <a:gd name="T28" fmla="*/ 272 w 276"/>
                                <a:gd name="T29" fmla="*/ 127 h 359"/>
                                <a:gd name="T30" fmla="*/ 264 w 276"/>
                                <a:gd name="T31" fmla="*/ 102 h 359"/>
                                <a:gd name="T32" fmla="*/ 255 w 276"/>
                                <a:gd name="T33" fmla="*/ 83 h 359"/>
                                <a:gd name="T34" fmla="*/ 242 w 276"/>
                                <a:gd name="T35" fmla="*/ 65 h 359"/>
                                <a:gd name="T36" fmla="*/ 228 w 276"/>
                                <a:gd name="T37" fmla="*/ 50 h 359"/>
                                <a:gd name="T38" fmla="*/ 214 w 276"/>
                                <a:gd name="T39" fmla="*/ 36 h 359"/>
                                <a:gd name="T40" fmla="*/ 198 w 276"/>
                                <a:gd name="T41" fmla="*/ 25 h 359"/>
                                <a:gd name="T42" fmla="*/ 179 w 276"/>
                                <a:gd name="T43" fmla="*/ 16 h 359"/>
                                <a:gd name="T44" fmla="*/ 161 w 276"/>
                                <a:gd name="T45" fmla="*/ 8 h 359"/>
                                <a:gd name="T46" fmla="*/ 142 w 276"/>
                                <a:gd name="T47" fmla="*/ 3 h 359"/>
                                <a:gd name="T48" fmla="*/ 121 w 276"/>
                                <a:gd name="T49" fmla="*/ 1 h 359"/>
                                <a:gd name="T50" fmla="*/ 102 w 276"/>
                                <a:gd name="T51" fmla="*/ 0 h 359"/>
                                <a:gd name="T52" fmla="*/ 82 w 276"/>
                                <a:gd name="T53" fmla="*/ 2 h 359"/>
                                <a:gd name="T54" fmla="*/ 62 w 276"/>
                                <a:gd name="T55" fmla="*/ 7 h 359"/>
                                <a:gd name="T56" fmla="*/ 43 w 276"/>
                                <a:gd name="T57" fmla="*/ 13 h 359"/>
                                <a:gd name="T58" fmla="*/ 25 w 276"/>
                                <a:gd name="T59" fmla="*/ 23 h 359"/>
                                <a:gd name="T60" fmla="*/ 8 w 276"/>
                                <a:gd name="T61" fmla="*/ 35 h 359"/>
                                <a:gd name="T62" fmla="*/ 11 w 276"/>
                                <a:gd name="T63" fmla="*/ 51 h 359"/>
                                <a:gd name="T64" fmla="*/ 37 w 276"/>
                                <a:gd name="T65" fmla="*/ 74 h 359"/>
                                <a:gd name="T66" fmla="*/ 57 w 276"/>
                                <a:gd name="T67" fmla="*/ 78 h 359"/>
                                <a:gd name="T68" fmla="*/ 79 w 276"/>
                                <a:gd name="T69" fmla="*/ 67 h 359"/>
                                <a:gd name="T70" fmla="*/ 103 w 276"/>
                                <a:gd name="T71" fmla="*/ 63 h 359"/>
                                <a:gd name="T72" fmla="*/ 127 w 276"/>
                                <a:gd name="T73" fmla="*/ 64 h 359"/>
                                <a:gd name="T74" fmla="*/ 151 w 276"/>
                                <a:gd name="T75" fmla="*/ 70 h 359"/>
                                <a:gd name="T76" fmla="*/ 172 w 276"/>
                                <a:gd name="T77" fmla="*/ 82 h 359"/>
                                <a:gd name="T78" fmla="*/ 191 w 276"/>
                                <a:gd name="T79" fmla="*/ 98 h 359"/>
                                <a:gd name="T80" fmla="*/ 204 w 276"/>
                                <a:gd name="T81" fmla="*/ 120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76" h="359">
                                  <a:moveTo>
                                    <a:pt x="209" y="133"/>
                                  </a:moveTo>
                                  <a:lnTo>
                                    <a:pt x="211" y="140"/>
                                  </a:lnTo>
                                  <a:lnTo>
                                    <a:pt x="214" y="148"/>
                                  </a:lnTo>
                                  <a:lnTo>
                                    <a:pt x="215" y="155"/>
                                  </a:lnTo>
                                  <a:lnTo>
                                    <a:pt x="215" y="163"/>
                                  </a:lnTo>
                                  <a:lnTo>
                                    <a:pt x="214" y="178"/>
                                  </a:lnTo>
                                  <a:lnTo>
                                    <a:pt x="211" y="192"/>
                                  </a:lnTo>
                                  <a:lnTo>
                                    <a:pt x="207" y="206"/>
                                  </a:lnTo>
                                  <a:lnTo>
                                    <a:pt x="200" y="219"/>
                                  </a:lnTo>
                                  <a:lnTo>
                                    <a:pt x="191" y="231"/>
                                  </a:lnTo>
                                  <a:lnTo>
                                    <a:pt x="182" y="242"/>
                                  </a:lnTo>
                                  <a:lnTo>
                                    <a:pt x="164" y="183"/>
                                  </a:lnTo>
                                  <a:lnTo>
                                    <a:pt x="64" y="310"/>
                                  </a:lnTo>
                                  <a:lnTo>
                                    <a:pt x="216" y="359"/>
                                  </a:lnTo>
                                  <a:lnTo>
                                    <a:pt x="200" y="305"/>
                                  </a:lnTo>
                                  <a:lnTo>
                                    <a:pt x="211" y="297"/>
                                  </a:lnTo>
                                  <a:lnTo>
                                    <a:pt x="222" y="288"/>
                                  </a:lnTo>
                                  <a:lnTo>
                                    <a:pt x="232" y="279"/>
                                  </a:lnTo>
                                  <a:lnTo>
                                    <a:pt x="240" y="268"/>
                                  </a:lnTo>
                                  <a:lnTo>
                                    <a:pt x="248" y="257"/>
                                  </a:lnTo>
                                  <a:lnTo>
                                    <a:pt x="255" y="245"/>
                                  </a:lnTo>
                                  <a:lnTo>
                                    <a:pt x="261" y="234"/>
                                  </a:lnTo>
                                  <a:lnTo>
                                    <a:pt x="266" y="221"/>
                                  </a:lnTo>
                                  <a:lnTo>
                                    <a:pt x="271" y="209"/>
                                  </a:lnTo>
                                  <a:lnTo>
                                    <a:pt x="273" y="195"/>
                                  </a:lnTo>
                                  <a:lnTo>
                                    <a:pt x="275" y="182"/>
                                  </a:lnTo>
                                  <a:lnTo>
                                    <a:pt x="276" y="168"/>
                                  </a:lnTo>
                                  <a:lnTo>
                                    <a:pt x="276" y="155"/>
                                  </a:lnTo>
                                  <a:lnTo>
                                    <a:pt x="274" y="141"/>
                                  </a:lnTo>
                                  <a:lnTo>
                                    <a:pt x="272" y="127"/>
                                  </a:lnTo>
                                  <a:lnTo>
                                    <a:pt x="267" y="113"/>
                                  </a:lnTo>
                                  <a:lnTo>
                                    <a:pt x="264" y="102"/>
                                  </a:lnTo>
                                  <a:lnTo>
                                    <a:pt x="259" y="93"/>
                                  </a:lnTo>
                                  <a:lnTo>
                                    <a:pt x="255" y="83"/>
                                  </a:lnTo>
                                  <a:lnTo>
                                    <a:pt x="249" y="74"/>
                                  </a:lnTo>
                                  <a:lnTo>
                                    <a:pt x="242" y="65"/>
                                  </a:lnTo>
                                  <a:lnTo>
                                    <a:pt x="236" y="57"/>
                                  </a:lnTo>
                                  <a:lnTo>
                                    <a:pt x="228" y="50"/>
                                  </a:lnTo>
                                  <a:lnTo>
                                    <a:pt x="222" y="43"/>
                                  </a:lnTo>
                                  <a:lnTo>
                                    <a:pt x="214" y="36"/>
                                  </a:lnTo>
                                  <a:lnTo>
                                    <a:pt x="206" y="31"/>
                                  </a:lnTo>
                                  <a:lnTo>
                                    <a:pt x="198" y="25"/>
                                  </a:lnTo>
                                  <a:lnTo>
                                    <a:pt x="188" y="20"/>
                                  </a:lnTo>
                                  <a:lnTo>
                                    <a:pt x="179" y="16"/>
                                  </a:lnTo>
                                  <a:lnTo>
                                    <a:pt x="170" y="11"/>
                                  </a:lnTo>
                                  <a:lnTo>
                                    <a:pt x="161" y="8"/>
                                  </a:lnTo>
                                  <a:lnTo>
                                    <a:pt x="151" y="5"/>
                                  </a:lnTo>
                                  <a:lnTo>
                                    <a:pt x="142" y="3"/>
                                  </a:lnTo>
                                  <a:lnTo>
                                    <a:pt x="131" y="2"/>
                                  </a:lnTo>
                                  <a:lnTo>
                                    <a:pt x="121" y="1"/>
                                  </a:lnTo>
                                  <a:lnTo>
                                    <a:pt x="112" y="0"/>
                                  </a:lnTo>
                                  <a:lnTo>
                                    <a:pt x="102" y="0"/>
                                  </a:lnTo>
                                  <a:lnTo>
                                    <a:pt x="91" y="1"/>
                                  </a:lnTo>
                                  <a:lnTo>
                                    <a:pt x="82" y="2"/>
                                  </a:lnTo>
                                  <a:lnTo>
                                    <a:pt x="72" y="4"/>
                                  </a:lnTo>
                                  <a:lnTo>
                                    <a:pt x="62" y="7"/>
                                  </a:lnTo>
                                  <a:lnTo>
                                    <a:pt x="53" y="10"/>
                                  </a:lnTo>
                                  <a:lnTo>
                                    <a:pt x="43" y="13"/>
                                  </a:lnTo>
                                  <a:lnTo>
                                    <a:pt x="34" y="18"/>
                                  </a:lnTo>
                                  <a:lnTo>
                                    <a:pt x="25" y="23"/>
                                  </a:lnTo>
                                  <a:lnTo>
                                    <a:pt x="16" y="28"/>
                                  </a:lnTo>
                                  <a:lnTo>
                                    <a:pt x="8" y="35"/>
                                  </a:lnTo>
                                  <a:lnTo>
                                    <a:pt x="0" y="42"/>
                                  </a:lnTo>
                                  <a:lnTo>
                                    <a:pt x="11" y="51"/>
                                  </a:lnTo>
                                  <a:lnTo>
                                    <a:pt x="24" y="63"/>
                                  </a:lnTo>
                                  <a:lnTo>
                                    <a:pt x="37" y="74"/>
                                  </a:lnTo>
                                  <a:lnTo>
                                    <a:pt x="47" y="86"/>
                                  </a:lnTo>
                                  <a:lnTo>
                                    <a:pt x="57" y="78"/>
                                  </a:lnTo>
                                  <a:lnTo>
                                    <a:pt x="67" y="72"/>
                                  </a:lnTo>
                                  <a:lnTo>
                                    <a:pt x="79" y="67"/>
                                  </a:lnTo>
                                  <a:lnTo>
                                    <a:pt x="91" y="64"/>
                                  </a:lnTo>
                                  <a:lnTo>
                                    <a:pt x="103" y="63"/>
                                  </a:lnTo>
                                  <a:lnTo>
                                    <a:pt x="115" y="63"/>
                                  </a:lnTo>
                                  <a:lnTo>
                                    <a:pt x="127" y="64"/>
                                  </a:lnTo>
                                  <a:lnTo>
                                    <a:pt x="139" y="66"/>
                                  </a:lnTo>
                                  <a:lnTo>
                                    <a:pt x="151" y="70"/>
                                  </a:lnTo>
                                  <a:lnTo>
                                    <a:pt x="162" y="75"/>
                                  </a:lnTo>
                                  <a:lnTo>
                                    <a:pt x="172" y="82"/>
                                  </a:lnTo>
                                  <a:lnTo>
                                    <a:pt x="182" y="90"/>
                                  </a:lnTo>
                                  <a:lnTo>
                                    <a:pt x="191" y="98"/>
                                  </a:lnTo>
                                  <a:lnTo>
                                    <a:pt x="198" y="109"/>
                                  </a:lnTo>
                                  <a:lnTo>
                                    <a:pt x="204" y="120"/>
                                  </a:lnTo>
                                  <a:lnTo>
                                    <a:pt x="209" y="133"/>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2"/>
                          <wps:cNvSpPr>
                            <a:spLocks/>
                          </wps:cNvSpPr>
                          <wps:spPr bwMode="auto">
                            <a:xfrm>
                              <a:off x="2417" y="2118"/>
                              <a:ext cx="105" cy="103"/>
                            </a:xfrm>
                            <a:custGeom>
                              <a:avLst/>
                              <a:gdLst>
                                <a:gd name="T0" fmla="*/ 206 w 316"/>
                                <a:gd name="T1" fmla="*/ 232 h 310"/>
                                <a:gd name="T2" fmla="*/ 193 w 316"/>
                                <a:gd name="T3" fmla="*/ 240 h 310"/>
                                <a:gd name="T4" fmla="*/ 171 w 316"/>
                                <a:gd name="T5" fmla="*/ 246 h 310"/>
                                <a:gd name="T6" fmla="*/ 142 w 316"/>
                                <a:gd name="T7" fmla="*/ 248 h 310"/>
                                <a:gd name="T8" fmla="*/ 114 w 316"/>
                                <a:gd name="T9" fmla="*/ 241 h 310"/>
                                <a:gd name="T10" fmla="*/ 150 w 316"/>
                                <a:gd name="T11" fmla="*/ 201 h 310"/>
                                <a:gd name="T12" fmla="*/ 0 w 316"/>
                                <a:gd name="T13" fmla="*/ 303 h 310"/>
                                <a:gd name="T14" fmla="*/ 58 w 316"/>
                                <a:gd name="T15" fmla="*/ 280 h 310"/>
                                <a:gd name="T16" fmla="*/ 81 w 316"/>
                                <a:gd name="T17" fmla="*/ 294 h 310"/>
                                <a:gd name="T18" fmla="*/ 106 w 316"/>
                                <a:gd name="T19" fmla="*/ 303 h 310"/>
                                <a:gd name="T20" fmla="*/ 132 w 316"/>
                                <a:gd name="T21" fmla="*/ 309 h 310"/>
                                <a:gd name="T22" fmla="*/ 160 w 316"/>
                                <a:gd name="T23" fmla="*/ 310 h 310"/>
                                <a:gd name="T24" fmla="*/ 186 w 316"/>
                                <a:gd name="T25" fmla="*/ 307 h 310"/>
                                <a:gd name="T26" fmla="*/ 212 w 316"/>
                                <a:gd name="T27" fmla="*/ 299 h 310"/>
                                <a:gd name="T28" fmla="*/ 237 w 316"/>
                                <a:gd name="T29" fmla="*/ 286 h 310"/>
                                <a:gd name="T30" fmla="*/ 258 w 316"/>
                                <a:gd name="T31" fmla="*/ 271 h 310"/>
                                <a:gd name="T32" fmla="*/ 274 w 316"/>
                                <a:gd name="T33" fmla="*/ 256 h 310"/>
                                <a:gd name="T34" fmla="*/ 286 w 316"/>
                                <a:gd name="T35" fmla="*/ 239 h 310"/>
                                <a:gd name="T36" fmla="*/ 297 w 316"/>
                                <a:gd name="T37" fmla="*/ 222 h 310"/>
                                <a:gd name="T38" fmla="*/ 304 w 316"/>
                                <a:gd name="T39" fmla="*/ 202 h 310"/>
                                <a:gd name="T40" fmla="*/ 311 w 316"/>
                                <a:gd name="T41" fmla="*/ 184 h 310"/>
                                <a:gd name="T42" fmla="*/ 315 w 316"/>
                                <a:gd name="T43" fmla="*/ 163 h 310"/>
                                <a:gd name="T44" fmla="*/ 316 w 316"/>
                                <a:gd name="T45" fmla="*/ 144 h 310"/>
                                <a:gd name="T46" fmla="*/ 314 w 316"/>
                                <a:gd name="T47" fmla="*/ 123 h 310"/>
                                <a:gd name="T48" fmla="*/ 310 w 316"/>
                                <a:gd name="T49" fmla="*/ 103 h 310"/>
                                <a:gd name="T50" fmla="*/ 304 w 316"/>
                                <a:gd name="T51" fmla="*/ 84 h 310"/>
                                <a:gd name="T52" fmla="*/ 297 w 316"/>
                                <a:gd name="T53" fmla="*/ 66 h 310"/>
                                <a:gd name="T54" fmla="*/ 286 w 316"/>
                                <a:gd name="T55" fmla="*/ 48 h 310"/>
                                <a:gd name="T56" fmla="*/ 275 w 316"/>
                                <a:gd name="T57" fmla="*/ 32 h 310"/>
                                <a:gd name="T58" fmla="*/ 260 w 316"/>
                                <a:gd name="T59" fmla="*/ 19 h 310"/>
                                <a:gd name="T60" fmla="*/ 243 w 316"/>
                                <a:gd name="T61" fmla="*/ 6 h 310"/>
                                <a:gd name="T62" fmla="*/ 229 w 316"/>
                                <a:gd name="T63" fmla="*/ 14 h 310"/>
                                <a:gd name="T64" fmla="*/ 214 w 316"/>
                                <a:gd name="T65" fmla="*/ 45 h 310"/>
                                <a:gd name="T66" fmla="*/ 218 w 316"/>
                                <a:gd name="T67" fmla="*/ 66 h 310"/>
                                <a:gd name="T68" fmla="*/ 235 w 316"/>
                                <a:gd name="T69" fmla="*/ 84 h 310"/>
                                <a:gd name="T70" fmla="*/ 246 w 316"/>
                                <a:gd name="T71" fmla="*/ 105 h 310"/>
                                <a:gd name="T72" fmla="*/ 253 w 316"/>
                                <a:gd name="T73" fmla="*/ 129 h 310"/>
                                <a:gd name="T74" fmla="*/ 253 w 316"/>
                                <a:gd name="T75" fmla="*/ 153 h 310"/>
                                <a:gd name="T76" fmla="*/ 249 w 316"/>
                                <a:gd name="T77" fmla="*/ 177 h 310"/>
                                <a:gd name="T78" fmla="*/ 238 w 316"/>
                                <a:gd name="T79" fmla="*/ 200 h 310"/>
                                <a:gd name="T80" fmla="*/ 222 w 316"/>
                                <a:gd name="T81" fmla="*/ 219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16" h="310">
                                  <a:moveTo>
                                    <a:pt x="212" y="229"/>
                                  </a:moveTo>
                                  <a:lnTo>
                                    <a:pt x="206" y="232"/>
                                  </a:lnTo>
                                  <a:lnTo>
                                    <a:pt x="199" y="237"/>
                                  </a:lnTo>
                                  <a:lnTo>
                                    <a:pt x="193" y="240"/>
                                  </a:lnTo>
                                  <a:lnTo>
                                    <a:pt x="186" y="242"/>
                                  </a:lnTo>
                                  <a:lnTo>
                                    <a:pt x="171" y="246"/>
                                  </a:lnTo>
                                  <a:lnTo>
                                    <a:pt x="156" y="248"/>
                                  </a:lnTo>
                                  <a:lnTo>
                                    <a:pt x="142" y="248"/>
                                  </a:lnTo>
                                  <a:lnTo>
                                    <a:pt x="128" y="246"/>
                                  </a:lnTo>
                                  <a:lnTo>
                                    <a:pt x="114" y="241"/>
                                  </a:lnTo>
                                  <a:lnTo>
                                    <a:pt x="100" y="234"/>
                                  </a:lnTo>
                                  <a:lnTo>
                                    <a:pt x="150" y="201"/>
                                  </a:lnTo>
                                  <a:lnTo>
                                    <a:pt x="0" y="144"/>
                                  </a:lnTo>
                                  <a:lnTo>
                                    <a:pt x="0" y="303"/>
                                  </a:lnTo>
                                  <a:lnTo>
                                    <a:pt x="47" y="271"/>
                                  </a:lnTo>
                                  <a:lnTo>
                                    <a:pt x="58" y="280"/>
                                  </a:lnTo>
                                  <a:lnTo>
                                    <a:pt x="69" y="287"/>
                                  </a:lnTo>
                                  <a:lnTo>
                                    <a:pt x="81" y="294"/>
                                  </a:lnTo>
                                  <a:lnTo>
                                    <a:pt x="93" y="299"/>
                                  </a:lnTo>
                                  <a:lnTo>
                                    <a:pt x="106" y="303"/>
                                  </a:lnTo>
                                  <a:lnTo>
                                    <a:pt x="120" y="307"/>
                                  </a:lnTo>
                                  <a:lnTo>
                                    <a:pt x="132" y="309"/>
                                  </a:lnTo>
                                  <a:lnTo>
                                    <a:pt x="146" y="310"/>
                                  </a:lnTo>
                                  <a:lnTo>
                                    <a:pt x="160" y="310"/>
                                  </a:lnTo>
                                  <a:lnTo>
                                    <a:pt x="173" y="309"/>
                                  </a:lnTo>
                                  <a:lnTo>
                                    <a:pt x="186" y="307"/>
                                  </a:lnTo>
                                  <a:lnTo>
                                    <a:pt x="199" y="303"/>
                                  </a:lnTo>
                                  <a:lnTo>
                                    <a:pt x="212" y="299"/>
                                  </a:lnTo>
                                  <a:lnTo>
                                    <a:pt x="225" y="293"/>
                                  </a:lnTo>
                                  <a:lnTo>
                                    <a:pt x="237" y="286"/>
                                  </a:lnTo>
                                  <a:lnTo>
                                    <a:pt x="249" y="278"/>
                                  </a:lnTo>
                                  <a:lnTo>
                                    <a:pt x="258" y="271"/>
                                  </a:lnTo>
                                  <a:lnTo>
                                    <a:pt x="266" y="263"/>
                                  </a:lnTo>
                                  <a:lnTo>
                                    <a:pt x="274" y="256"/>
                                  </a:lnTo>
                                  <a:lnTo>
                                    <a:pt x="281" y="248"/>
                                  </a:lnTo>
                                  <a:lnTo>
                                    <a:pt x="286" y="239"/>
                                  </a:lnTo>
                                  <a:lnTo>
                                    <a:pt x="292" y="231"/>
                                  </a:lnTo>
                                  <a:lnTo>
                                    <a:pt x="297" y="222"/>
                                  </a:lnTo>
                                  <a:lnTo>
                                    <a:pt x="301" y="213"/>
                                  </a:lnTo>
                                  <a:lnTo>
                                    <a:pt x="304" y="202"/>
                                  </a:lnTo>
                                  <a:lnTo>
                                    <a:pt x="308" y="193"/>
                                  </a:lnTo>
                                  <a:lnTo>
                                    <a:pt x="311" y="184"/>
                                  </a:lnTo>
                                  <a:lnTo>
                                    <a:pt x="312" y="173"/>
                                  </a:lnTo>
                                  <a:lnTo>
                                    <a:pt x="315" y="163"/>
                                  </a:lnTo>
                                  <a:lnTo>
                                    <a:pt x="315" y="154"/>
                                  </a:lnTo>
                                  <a:lnTo>
                                    <a:pt x="316" y="144"/>
                                  </a:lnTo>
                                  <a:lnTo>
                                    <a:pt x="315" y="133"/>
                                  </a:lnTo>
                                  <a:lnTo>
                                    <a:pt x="314" y="123"/>
                                  </a:lnTo>
                                  <a:lnTo>
                                    <a:pt x="312" y="114"/>
                                  </a:lnTo>
                                  <a:lnTo>
                                    <a:pt x="310" y="103"/>
                                  </a:lnTo>
                                  <a:lnTo>
                                    <a:pt x="308" y="94"/>
                                  </a:lnTo>
                                  <a:lnTo>
                                    <a:pt x="304" y="84"/>
                                  </a:lnTo>
                                  <a:lnTo>
                                    <a:pt x="301" y="75"/>
                                  </a:lnTo>
                                  <a:lnTo>
                                    <a:pt x="297" y="66"/>
                                  </a:lnTo>
                                  <a:lnTo>
                                    <a:pt x="292" y="58"/>
                                  </a:lnTo>
                                  <a:lnTo>
                                    <a:pt x="286" y="48"/>
                                  </a:lnTo>
                                  <a:lnTo>
                                    <a:pt x="281" y="40"/>
                                  </a:lnTo>
                                  <a:lnTo>
                                    <a:pt x="275" y="32"/>
                                  </a:lnTo>
                                  <a:lnTo>
                                    <a:pt x="267" y="25"/>
                                  </a:lnTo>
                                  <a:lnTo>
                                    <a:pt x="260" y="19"/>
                                  </a:lnTo>
                                  <a:lnTo>
                                    <a:pt x="252" y="12"/>
                                  </a:lnTo>
                                  <a:lnTo>
                                    <a:pt x="243" y="6"/>
                                  </a:lnTo>
                                  <a:lnTo>
                                    <a:pt x="234" y="0"/>
                                  </a:lnTo>
                                  <a:lnTo>
                                    <a:pt x="229" y="14"/>
                                  </a:lnTo>
                                  <a:lnTo>
                                    <a:pt x="222" y="30"/>
                                  </a:lnTo>
                                  <a:lnTo>
                                    <a:pt x="214" y="45"/>
                                  </a:lnTo>
                                  <a:lnTo>
                                    <a:pt x="206" y="58"/>
                                  </a:lnTo>
                                  <a:lnTo>
                                    <a:pt x="218" y="66"/>
                                  </a:lnTo>
                                  <a:lnTo>
                                    <a:pt x="227" y="74"/>
                                  </a:lnTo>
                                  <a:lnTo>
                                    <a:pt x="235" y="84"/>
                                  </a:lnTo>
                                  <a:lnTo>
                                    <a:pt x="241" y="94"/>
                                  </a:lnTo>
                                  <a:lnTo>
                                    <a:pt x="246" y="105"/>
                                  </a:lnTo>
                                  <a:lnTo>
                                    <a:pt x="250" y="116"/>
                                  </a:lnTo>
                                  <a:lnTo>
                                    <a:pt x="253" y="129"/>
                                  </a:lnTo>
                                  <a:lnTo>
                                    <a:pt x="254" y="140"/>
                                  </a:lnTo>
                                  <a:lnTo>
                                    <a:pt x="253" y="153"/>
                                  </a:lnTo>
                                  <a:lnTo>
                                    <a:pt x="252" y="165"/>
                                  </a:lnTo>
                                  <a:lnTo>
                                    <a:pt x="249" y="177"/>
                                  </a:lnTo>
                                  <a:lnTo>
                                    <a:pt x="244" y="188"/>
                                  </a:lnTo>
                                  <a:lnTo>
                                    <a:pt x="238" y="200"/>
                                  </a:lnTo>
                                  <a:lnTo>
                                    <a:pt x="231" y="210"/>
                                  </a:lnTo>
                                  <a:lnTo>
                                    <a:pt x="222" y="219"/>
                                  </a:lnTo>
                                  <a:lnTo>
                                    <a:pt x="212" y="229"/>
                                  </a:lnTo>
                                  <a:close/>
                                </a:path>
                              </a:pathLst>
                            </a:custGeom>
                            <a:solidFill>
                              <a:srgbClr val="FFF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3"/>
                          <wps:cNvSpPr>
                            <a:spLocks/>
                          </wps:cNvSpPr>
                          <wps:spPr bwMode="auto">
                            <a:xfrm>
                              <a:off x="2417" y="2118"/>
                              <a:ext cx="105" cy="103"/>
                            </a:xfrm>
                            <a:custGeom>
                              <a:avLst/>
                              <a:gdLst>
                                <a:gd name="T0" fmla="*/ 206 w 316"/>
                                <a:gd name="T1" fmla="*/ 232 h 310"/>
                                <a:gd name="T2" fmla="*/ 193 w 316"/>
                                <a:gd name="T3" fmla="*/ 240 h 310"/>
                                <a:gd name="T4" fmla="*/ 171 w 316"/>
                                <a:gd name="T5" fmla="*/ 246 h 310"/>
                                <a:gd name="T6" fmla="*/ 142 w 316"/>
                                <a:gd name="T7" fmla="*/ 248 h 310"/>
                                <a:gd name="T8" fmla="*/ 114 w 316"/>
                                <a:gd name="T9" fmla="*/ 241 h 310"/>
                                <a:gd name="T10" fmla="*/ 150 w 316"/>
                                <a:gd name="T11" fmla="*/ 201 h 310"/>
                                <a:gd name="T12" fmla="*/ 0 w 316"/>
                                <a:gd name="T13" fmla="*/ 303 h 310"/>
                                <a:gd name="T14" fmla="*/ 58 w 316"/>
                                <a:gd name="T15" fmla="*/ 280 h 310"/>
                                <a:gd name="T16" fmla="*/ 81 w 316"/>
                                <a:gd name="T17" fmla="*/ 294 h 310"/>
                                <a:gd name="T18" fmla="*/ 106 w 316"/>
                                <a:gd name="T19" fmla="*/ 303 h 310"/>
                                <a:gd name="T20" fmla="*/ 132 w 316"/>
                                <a:gd name="T21" fmla="*/ 309 h 310"/>
                                <a:gd name="T22" fmla="*/ 160 w 316"/>
                                <a:gd name="T23" fmla="*/ 310 h 310"/>
                                <a:gd name="T24" fmla="*/ 186 w 316"/>
                                <a:gd name="T25" fmla="*/ 307 h 310"/>
                                <a:gd name="T26" fmla="*/ 212 w 316"/>
                                <a:gd name="T27" fmla="*/ 299 h 310"/>
                                <a:gd name="T28" fmla="*/ 237 w 316"/>
                                <a:gd name="T29" fmla="*/ 286 h 310"/>
                                <a:gd name="T30" fmla="*/ 258 w 316"/>
                                <a:gd name="T31" fmla="*/ 271 h 310"/>
                                <a:gd name="T32" fmla="*/ 274 w 316"/>
                                <a:gd name="T33" fmla="*/ 256 h 310"/>
                                <a:gd name="T34" fmla="*/ 286 w 316"/>
                                <a:gd name="T35" fmla="*/ 239 h 310"/>
                                <a:gd name="T36" fmla="*/ 297 w 316"/>
                                <a:gd name="T37" fmla="*/ 222 h 310"/>
                                <a:gd name="T38" fmla="*/ 304 w 316"/>
                                <a:gd name="T39" fmla="*/ 202 h 310"/>
                                <a:gd name="T40" fmla="*/ 311 w 316"/>
                                <a:gd name="T41" fmla="*/ 184 h 310"/>
                                <a:gd name="T42" fmla="*/ 315 w 316"/>
                                <a:gd name="T43" fmla="*/ 163 h 310"/>
                                <a:gd name="T44" fmla="*/ 316 w 316"/>
                                <a:gd name="T45" fmla="*/ 144 h 310"/>
                                <a:gd name="T46" fmla="*/ 314 w 316"/>
                                <a:gd name="T47" fmla="*/ 123 h 310"/>
                                <a:gd name="T48" fmla="*/ 310 w 316"/>
                                <a:gd name="T49" fmla="*/ 103 h 310"/>
                                <a:gd name="T50" fmla="*/ 304 w 316"/>
                                <a:gd name="T51" fmla="*/ 84 h 310"/>
                                <a:gd name="T52" fmla="*/ 297 w 316"/>
                                <a:gd name="T53" fmla="*/ 66 h 310"/>
                                <a:gd name="T54" fmla="*/ 286 w 316"/>
                                <a:gd name="T55" fmla="*/ 48 h 310"/>
                                <a:gd name="T56" fmla="*/ 275 w 316"/>
                                <a:gd name="T57" fmla="*/ 32 h 310"/>
                                <a:gd name="T58" fmla="*/ 260 w 316"/>
                                <a:gd name="T59" fmla="*/ 19 h 310"/>
                                <a:gd name="T60" fmla="*/ 243 w 316"/>
                                <a:gd name="T61" fmla="*/ 6 h 310"/>
                                <a:gd name="T62" fmla="*/ 229 w 316"/>
                                <a:gd name="T63" fmla="*/ 14 h 310"/>
                                <a:gd name="T64" fmla="*/ 214 w 316"/>
                                <a:gd name="T65" fmla="*/ 45 h 310"/>
                                <a:gd name="T66" fmla="*/ 218 w 316"/>
                                <a:gd name="T67" fmla="*/ 66 h 310"/>
                                <a:gd name="T68" fmla="*/ 235 w 316"/>
                                <a:gd name="T69" fmla="*/ 84 h 310"/>
                                <a:gd name="T70" fmla="*/ 246 w 316"/>
                                <a:gd name="T71" fmla="*/ 105 h 310"/>
                                <a:gd name="T72" fmla="*/ 253 w 316"/>
                                <a:gd name="T73" fmla="*/ 129 h 310"/>
                                <a:gd name="T74" fmla="*/ 253 w 316"/>
                                <a:gd name="T75" fmla="*/ 153 h 310"/>
                                <a:gd name="T76" fmla="*/ 249 w 316"/>
                                <a:gd name="T77" fmla="*/ 177 h 310"/>
                                <a:gd name="T78" fmla="*/ 238 w 316"/>
                                <a:gd name="T79" fmla="*/ 200 h 310"/>
                                <a:gd name="T80" fmla="*/ 222 w 316"/>
                                <a:gd name="T81" fmla="*/ 219 h 3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16" h="310">
                                  <a:moveTo>
                                    <a:pt x="212" y="229"/>
                                  </a:moveTo>
                                  <a:lnTo>
                                    <a:pt x="206" y="232"/>
                                  </a:lnTo>
                                  <a:lnTo>
                                    <a:pt x="199" y="237"/>
                                  </a:lnTo>
                                  <a:lnTo>
                                    <a:pt x="193" y="240"/>
                                  </a:lnTo>
                                  <a:lnTo>
                                    <a:pt x="186" y="242"/>
                                  </a:lnTo>
                                  <a:lnTo>
                                    <a:pt x="171" y="246"/>
                                  </a:lnTo>
                                  <a:lnTo>
                                    <a:pt x="156" y="248"/>
                                  </a:lnTo>
                                  <a:lnTo>
                                    <a:pt x="142" y="248"/>
                                  </a:lnTo>
                                  <a:lnTo>
                                    <a:pt x="128" y="246"/>
                                  </a:lnTo>
                                  <a:lnTo>
                                    <a:pt x="114" y="241"/>
                                  </a:lnTo>
                                  <a:lnTo>
                                    <a:pt x="100" y="234"/>
                                  </a:lnTo>
                                  <a:lnTo>
                                    <a:pt x="150" y="201"/>
                                  </a:lnTo>
                                  <a:lnTo>
                                    <a:pt x="0" y="144"/>
                                  </a:lnTo>
                                  <a:lnTo>
                                    <a:pt x="0" y="303"/>
                                  </a:lnTo>
                                  <a:lnTo>
                                    <a:pt x="47" y="271"/>
                                  </a:lnTo>
                                  <a:lnTo>
                                    <a:pt x="58" y="280"/>
                                  </a:lnTo>
                                  <a:lnTo>
                                    <a:pt x="69" y="287"/>
                                  </a:lnTo>
                                  <a:lnTo>
                                    <a:pt x="81" y="294"/>
                                  </a:lnTo>
                                  <a:lnTo>
                                    <a:pt x="93" y="299"/>
                                  </a:lnTo>
                                  <a:lnTo>
                                    <a:pt x="106" y="303"/>
                                  </a:lnTo>
                                  <a:lnTo>
                                    <a:pt x="120" y="307"/>
                                  </a:lnTo>
                                  <a:lnTo>
                                    <a:pt x="132" y="309"/>
                                  </a:lnTo>
                                  <a:lnTo>
                                    <a:pt x="146" y="310"/>
                                  </a:lnTo>
                                  <a:lnTo>
                                    <a:pt x="160" y="310"/>
                                  </a:lnTo>
                                  <a:lnTo>
                                    <a:pt x="173" y="309"/>
                                  </a:lnTo>
                                  <a:lnTo>
                                    <a:pt x="186" y="307"/>
                                  </a:lnTo>
                                  <a:lnTo>
                                    <a:pt x="199" y="303"/>
                                  </a:lnTo>
                                  <a:lnTo>
                                    <a:pt x="212" y="299"/>
                                  </a:lnTo>
                                  <a:lnTo>
                                    <a:pt x="225" y="293"/>
                                  </a:lnTo>
                                  <a:lnTo>
                                    <a:pt x="237" y="286"/>
                                  </a:lnTo>
                                  <a:lnTo>
                                    <a:pt x="249" y="278"/>
                                  </a:lnTo>
                                  <a:lnTo>
                                    <a:pt x="258" y="271"/>
                                  </a:lnTo>
                                  <a:lnTo>
                                    <a:pt x="266" y="263"/>
                                  </a:lnTo>
                                  <a:lnTo>
                                    <a:pt x="274" y="256"/>
                                  </a:lnTo>
                                  <a:lnTo>
                                    <a:pt x="281" y="248"/>
                                  </a:lnTo>
                                  <a:lnTo>
                                    <a:pt x="286" y="239"/>
                                  </a:lnTo>
                                  <a:lnTo>
                                    <a:pt x="292" y="231"/>
                                  </a:lnTo>
                                  <a:lnTo>
                                    <a:pt x="297" y="222"/>
                                  </a:lnTo>
                                  <a:lnTo>
                                    <a:pt x="301" y="213"/>
                                  </a:lnTo>
                                  <a:lnTo>
                                    <a:pt x="304" y="202"/>
                                  </a:lnTo>
                                  <a:lnTo>
                                    <a:pt x="308" y="193"/>
                                  </a:lnTo>
                                  <a:lnTo>
                                    <a:pt x="311" y="184"/>
                                  </a:lnTo>
                                  <a:lnTo>
                                    <a:pt x="312" y="173"/>
                                  </a:lnTo>
                                  <a:lnTo>
                                    <a:pt x="315" y="163"/>
                                  </a:lnTo>
                                  <a:lnTo>
                                    <a:pt x="315" y="154"/>
                                  </a:lnTo>
                                  <a:lnTo>
                                    <a:pt x="316" y="144"/>
                                  </a:lnTo>
                                  <a:lnTo>
                                    <a:pt x="315" y="133"/>
                                  </a:lnTo>
                                  <a:lnTo>
                                    <a:pt x="314" y="123"/>
                                  </a:lnTo>
                                  <a:lnTo>
                                    <a:pt x="312" y="114"/>
                                  </a:lnTo>
                                  <a:lnTo>
                                    <a:pt x="310" y="103"/>
                                  </a:lnTo>
                                  <a:lnTo>
                                    <a:pt x="308" y="94"/>
                                  </a:lnTo>
                                  <a:lnTo>
                                    <a:pt x="304" y="84"/>
                                  </a:lnTo>
                                  <a:lnTo>
                                    <a:pt x="301" y="75"/>
                                  </a:lnTo>
                                  <a:lnTo>
                                    <a:pt x="297" y="66"/>
                                  </a:lnTo>
                                  <a:lnTo>
                                    <a:pt x="292" y="58"/>
                                  </a:lnTo>
                                  <a:lnTo>
                                    <a:pt x="286" y="48"/>
                                  </a:lnTo>
                                  <a:lnTo>
                                    <a:pt x="281" y="40"/>
                                  </a:lnTo>
                                  <a:lnTo>
                                    <a:pt x="275" y="32"/>
                                  </a:lnTo>
                                  <a:lnTo>
                                    <a:pt x="267" y="25"/>
                                  </a:lnTo>
                                  <a:lnTo>
                                    <a:pt x="260" y="19"/>
                                  </a:lnTo>
                                  <a:lnTo>
                                    <a:pt x="252" y="12"/>
                                  </a:lnTo>
                                  <a:lnTo>
                                    <a:pt x="243" y="6"/>
                                  </a:lnTo>
                                  <a:lnTo>
                                    <a:pt x="234" y="0"/>
                                  </a:lnTo>
                                  <a:lnTo>
                                    <a:pt x="229" y="14"/>
                                  </a:lnTo>
                                  <a:lnTo>
                                    <a:pt x="222" y="30"/>
                                  </a:lnTo>
                                  <a:lnTo>
                                    <a:pt x="214" y="45"/>
                                  </a:lnTo>
                                  <a:lnTo>
                                    <a:pt x="206" y="58"/>
                                  </a:lnTo>
                                  <a:lnTo>
                                    <a:pt x="218" y="66"/>
                                  </a:lnTo>
                                  <a:lnTo>
                                    <a:pt x="227" y="74"/>
                                  </a:lnTo>
                                  <a:lnTo>
                                    <a:pt x="235" y="84"/>
                                  </a:lnTo>
                                  <a:lnTo>
                                    <a:pt x="241" y="94"/>
                                  </a:lnTo>
                                  <a:lnTo>
                                    <a:pt x="246" y="105"/>
                                  </a:lnTo>
                                  <a:lnTo>
                                    <a:pt x="250" y="116"/>
                                  </a:lnTo>
                                  <a:lnTo>
                                    <a:pt x="253" y="129"/>
                                  </a:lnTo>
                                  <a:lnTo>
                                    <a:pt x="254" y="140"/>
                                  </a:lnTo>
                                  <a:lnTo>
                                    <a:pt x="253" y="153"/>
                                  </a:lnTo>
                                  <a:lnTo>
                                    <a:pt x="252" y="165"/>
                                  </a:lnTo>
                                  <a:lnTo>
                                    <a:pt x="249" y="177"/>
                                  </a:lnTo>
                                  <a:lnTo>
                                    <a:pt x="244" y="188"/>
                                  </a:lnTo>
                                  <a:lnTo>
                                    <a:pt x="238" y="200"/>
                                  </a:lnTo>
                                  <a:lnTo>
                                    <a:pt x="231" y="210"/>
                                  </a:lnTo>
                                  <a:lnTo>
                                    <a:pt x="222" y="219"/>
                                  </a:lnTo>
                                  <a:lnTo>
                                    <a:pt x="212" y="229"/>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4"/>
                          <wps:cNvSpPr>
                            <a:spLocks/>
                          </wps:cNvSpPr>
                          <wps:spPr bwMode="auto">
                            <a:xfrm>
                              <a:off x="2356" y="2166"/>
                              <a:ext cx="120" cy="104"/>
                            </a:xfrm>
                            <a:custGeom>
                              <a:avLst/>
                              <a:gdLst>
                                <a:gd name="T0" fmla="*/ 129 w 359"/>
                                <a:gd name="T1" fmla="*/ 224 h 311"/>
                                <a:gd name="T2" fmla="*/ 118 w 359"/>
                                <a:gd name="T3" fmla="*/ 213 h 311"/>
                                <a:gd name="T4" fmla="*/ 105 w 359"/>
                                <a:gd name="T5" fmla="*/ 195 h 311"/>
                                <a:gd name="T6" fmla="*/ 95 w 359"/>
                                <a:gd name="T7" fmla="*/ 167 h 311"/>
                                <a:gd name="T8" fmla="*/ 94 w 359"/>
                                <a:gd name="T9" fmla="*/ 138 h 311"/>
                                <a:gd name="T10" fmla="*/ 143 w 359"/>
                                <a:gd name="T11" fmla="*/ 162 h 311"/>
                                <a:gd name="T12" fmla="*/ 0 w 359"/>
                                <a:gd name="T13" fmla="*/ 47 h 311"/>
                                <a:gd name="T14" fmla="*/ 40 w 359"/>
                                <a:gd name="T15" fmla="*/ 95 h 311"/>
                                <a:gd name="T16" fmla="*/ 33 w 359"/>
                                <a:gd name="T17" fmla="*/ 121 h 311"/>
                                <a:gd name="T18" fmla="*/ 32 w 359"/>
                                <a:gd name="T19" fmla="*/ 149 h 311"/>
                                <a:gd name="T20" fmla="*/ 35 w 359"/>
                                <a:gd name="T21" fmla="*/ 175 h 311"/>
                                <a:gd name="T22" fmla="*/ 41 w 359"/>
                                <a:gd name="T23" fmla="*/ 202 h 311"/>
                                <a:gd name="T24" fmla="*/ 53 w 359"/>
                                <a:gd name="T25" fmla="*/ 227 h 311"/>
                                <a:gd name="T26" fmla="*/ 69 w 359"/>
                                <a:gd name="T27" fmla="*/ 249 h 311"/>
                                <a:gd name="T28" fmla="*/ 87 w 359"/>
                                <a:gd name="T29" fmla="*/ 270 h 311"/>
                                <a:gd name="T30" fmla="*/ 108 w 359"/>
                                <a:gd name="T31" fmla="*/ 284 h 311"/>
                                <a:gd name="T32" fmla="*/ 127 w 359"/>
                                <a:gd name="T33" fmla="*/ 295 h 311"/>
                                <a:gd name="T34" fmla="*/ 146 w 359"/>
                                <a:gd name="T35" fmla="*/ 303 h 311"/>
                                <a:gd name="T36" fmla="*/ 166 w 359"/>
                                <a:gd name="T37" fmla="*/ 307 h 311"/>
                                <a:gd name="T38" fmla="*/ 186 w 359"/>
                                <a:gd name="T39" fmla="*/ 310 h 311"/>
                                <a:gd name="T40" fmla="*/ 207 w 359"/>
                                <a:gd name="T41" fmla="*/ 310 h 311"/>
                                <a:gd name="T42" fmla="*/ 226 w 359"/>
                                <a:gd name="T43" fmla="*/ 307 h 311"/>
                                <a:gd name="T44" fmla="*/ 246 w 359"/>
                                <a:gd name="T45" fmla="*/ 303 h 311"/>
                                <a:gd name="T46" fmla="*/ 264 w 359"/>
                                <a:gd name="T47" fmla="*/ 296 h 311"/>
                                <a:gd name="T48" fmla="*/ 282 w 359"/>
                                <a:gd name="T49" fmla="*/ 287 h 311"/>
                                <a:gd name="T50" fmla="*/ 299 w 359"/>
                                <a:gd name="T51" fmla="*/ 275 h 311"/>
                                <a:gd name="T52" fmla="*/ 314 w 359"/>
                                <a:gd name="T53" fmla="*/ 263 h 311"/>
                                <a:gd name="T54" fmla="*/ 328 w 359"/>
                                <a:gd name="T55" fmla="*/ 248 h 311"/>
                                <a:gd name="T56" fmla="*/ 339 w 359"/>
                                <a:gd name="T57" fmla="*/ 230 h 311"/>
                                <a:gd name="T58" fmla="*/ 349 w 359"/>
                                <a:gd name="T59" fmla="*/ 212 h 311"/>
                                <a:gd name="T60" fmla="*/ 355 w 359"/>
                                <a:gd name="T61" fmla="*/ 193 h 311"/>
                                <a:gd name="T62" fmla="*/ 344 w 359"/>
                                <a:gd name="T63" fmla="*/ 181 h 311"/>
                                <a:gd name="T64" fmla="*/ 310 w 359"/>
                                <a:gd name="T65" fmla="*/ 178 h 311"/>
                                <a:gd name="T66" fmla="*/ 291 w 359"/>
                                <a:gd name="T67" fmla="*/ 186 h 311"/>
                                <a:gd name="T68" fmla="*/ 279 w 359"/>
                                <a:gd name="T69" fmla="*/ 208 h 311"/>
                                <a:gd name="T70" fmla="*/ 262 w 359"/>
                                <a:gd name="T71" fmla="*/ 225 h 311"/>
                                <a:gd name="T72" fmla="*/ 241 w 359"/>
                                <a:gd name="T73" fmla="*/ 239 h 311"/>
                                <a:gd name="T74" fmla="*/ 218 w 359"/>
                                <a:gd name="T75" fmla="*/ 247 h 311"/>
                                <a:gd name="T76" fmla="*/ 194 w 359"/>
                                <a:gd name="T77" fmla="*/ 249 h 311"/>
                                <a:gd name="T78" fmla="*/ 170 w 359"/>
                                <a:gd name="T79" fmla="*/ 245 h 311"/>
                                <a:gd name="T80" fmla="*/ 146 w 359"/>
                                <a:gd name="T81" fmla="*/ 236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9" h="311">
                                  <a:moveTo>
                                    <a:pt x="135" y="229"/>
                                  </a:moveTo>
                                  <a:lnTo>
                                    <a:pt x="129" y="224"/>
                                  </a:lnTo>
                                  <a:lnTo>
                                    <a:pt x="124" y="219"/>
                                  </a:lnTo>
                                  <a:lnTo>
                                    <a:pt x="118" y="213"/>
                                  </a:lnTo>
                                  <a:lnTo>
                                    <a:pt x="113" y="208"/>
                                  </a:lnTo>
                                  <a:lnTo>
                                    <a:pt x="105" y="195"/>
                                  </a:lnTo>
                                  <a:lnTo>
                                    <a:pt x="100" y="181"/>
                                  </a:lnTo>
                                  <a:lnTo>
                                    <a:pt x="95" y="167"/>
                                  </a:lnTo>
                                  <a:lnTo>
                                    <a:pt x="94" y="152"/>
                                  </a:lnTo>
                                  <a:lnTo>
                                    <a:pt x="94" y="138"/>
                                  </a:lnTo>
                                  <a:lnTo>
                                    <a:pt x="96" y="123"/>
                                  </a:lnTo>
                                  <a:lnTo>
                                    <a:pt x="143" y="162"/>
                                  </a:lnTo>
                                  <a:lnTo>
                                    <a:pt x="153" y="0"/>
                                  </a:lnTo>
                                  <a:lnTo>
                                    <a:pt x="0" y="47"/>
                                  </a:lnTo>
                                  <a:lnTo>
                                    <a:pt x="45" y="82"/>
                                  </a:lnTo>
                                  <a:lnTo>
                                    <a:pt x="40" y="95"/>
                                  </a:lnTo>
                                  <a:lnTo>
                                    <a:pt x="37" y="109"/>
                                  </a:lnTo>
                                  <a:lnTo>
                                    <a:pt x="33" y="121"/>
                                  </a:lnTo>
                                  <a:lnTo>
                                    <a:pt x="32" y="135"/>
                                  </a:lnTo>
                                  <a:lnTo>
                                    <a:pt x="32" y="149"/>
                                  </a:lnTo>
                                  <a:lnTo>
                                    <a:pt x="33" y="163"/>
                                  </a:lnTo>
                                  <a:lnTo>
                                    <a:pt x="35" y="175"/>
                                  </a:lnTo>
                                  <a:lnTo>
                                    <a:pt x="38" y="189"/>
                                  </a:lnTo>
                                  <a:lnTo>
                                    <a:pt x="41" y="202"/>
                                  </a:lnTo>
                                  <a:lnTo>
                                    <a:pt x="47" y="214"/>
                                  </a:lnTo>
                                  <a:lnTo>
                                    <a:pt x="53" y="227"/>
                                  </a:lnTo>
                                  <a:lnTo>
                                    <a:pt x="60" y="239"/>
                                  </a:lnTo>
                                  <a:lnTo>
                                    <a:pt x="69" y="249"/>
                                  </a:lnTo>
                                  <a:lnTo>
                                    <a:pt x="78" y="259"/>
                                  </a:lnTo>
                                  <a:lnTo>
                                    <a:pt x="87" y="270"/>
                                  </a:lnTo>
                                  <a:lnTo>
                                    <a:pt x="99" y="279"/>
                                  </a:lnTo>
                                  <a:lnTo>
                                    <a:pt x="108" y="284"/>
                                  </a:lnTo>
                                  <a:lnTo>
                                    <a:pt x="117" y="290"/>
                                  </a:lnTo>
                                  <a:lnTo>
                                    <a:pt x="127" y="295"/>
                                  </a:lnTo>
                                  <a:lnTo>
                                    <a:pt x="136" y="299"/>
                                  </a:lnTo>
                                  <a:lnTo>
                                    <a:pt x="146" y="303"/>
                                  </a:lnTo>
                                  <a:lnTo>
                                    <a:pt x="156" y="306"/>
                                  </a:lnTo>
                                  <a:lnTo>
                                    <a:pt x="166" y="307"/>
                                  </a:lnTo>
                                  <a:lnTo>
                                    <a:pt x="176" y="310"/>
                                  </a:lnTo>
                                  <a:lnTo>
                                    <a:pt x="186" y="310"/>
                                  </a:lnTo>
                                  <a:lnTo>
                                    <a:pt x="197" y="311"/>
                                  </a:lnTo>
                                  <a:lnTo>
                                    <a:pt x="207" y="310"/>
                                  </a:lnTo>
                                  <a:lnTo>
                                    <a:pt x="216" y="310"/>
                                  </a:lnTo>
                                  <a:lnTo>
                                    <a:pt x="226" y="307"/>
                                  </a:lnTo>
                                  <a:lnTo>
                                    <a:pt x="237" y="305"/>
                                  </a:lnTo>
                                  <a:lnTo>
                                    <a:pt x="246" y="303"/>
                                  </a:lnTo>
                                  <a:lnTo>
                                    <a:pt x="255" y="299"/>
                                  </a:lnTo>
                                  <a:lnTo>
                                    <a:pt x="264" y="296"/>
                                  </a:lnTo>
                                  <a:lnTo>
                                    <a:pt x="273" y="291"/>
                                  </a:lnTo>
                                  <a:lnTo>
                                    <a:pt x="282" y="287"/>
                                  </a:lnTo>
                                  <a:lnTo>
                                    <a:pt x="290" y="281"/>
                                  </a:lnTo>
                                  <a:lnTo>
                                    <a:pt x="299" y="275"/>
                                  </a:lnTo>
                                  <a:lnTo>
                                    <a:pt x="306" y="270"/>
                                  </a:lnTo>
                                  <a:lnTo>
                                    <a:pt x="314" y="263"/>
                                  </a:lnTo>
                                  <a:lnTo>
                                    <a:pt x="321" y="255"/>
                                  </a:lnTo>
                                  <a:lnTo>
                                    <a:pt x="328" y="248"/>
                                  </a:lnTo>
                                  <a:lnTo>
                                    <a:pt x="334" y="240"/>
                                  </a:lnTo>
                                  <a:lnTo>
                                    <a:pt x="339" y="230"/>
                                  </a:lnTo>
                                  <a:lnTo>
                                    <a:pt x="344" y="221"/>
                                  </a:lnTo>
                                  <a:lnTo>
                                    <a:pt x="349" y="212"/>
                                  </a:lnTo>
                                  <a:lnTo>
                                    <a:pt x="353" y="203"/>
                                  </a:lnTo>
                                  <a:lnTo>
                                    <a:pt x="355" y="193"/>
                                  </a:lnTo>
                                  <a:lnTo>
                                    <a:pt x="359" y="182"/>
                                  </a:lnTo>
                                  <a:lnTo>
                                    <a:pt x="344" y="181"/>
                                  </a:lnTo>
                                  <a:lnTo>
                                    <a:pt x="327" y="180"/>
                                  </a:lnTo>
                                  <a:lnTo>
                                    <a:pt x="310" y="178"/>
                                  </a:lnTo>
                                  <a:lnTo>
                                    <a:pt x="295" y="173"/>
                                  </a:lnTo>
                                  <a:lnTo>
                                    <a:pt x="291" y="186"/>
                                  </a:lnTo>
                                  <a:lnTo>
                                    <a:pt x="286" y="197"/>
                                  </a:lnTo>
                                  <a:lnTo>
                                    <a:pt x="279" y="208"/>
                                  </a:lnTo>
                                  <a:lnTo>
                                    <a:pt x="271" y="217"/>
                                  </a:lnTo>
                                  <a:lnTo>
                                    <a:pt x="262" y="225"/>
                                  </a:lnTo>
                                  <a:lnTo>
                                    <a:pt x="253" y="232"/>
                                  </a:lnTo>
                                  <a:lnTo>
                                    <a:pt x="241" y="239"/>
                                  </a:lnTo>
                                  <a:lnTo>
                                    <a:pt x="231" y="243"/>
                                  </a:lnTo>
                                  <a:lnTo>
                                    <a:pt x="218" y="247"/>
                                  </a:lnTo>
                                  <a:lnTo>
                                    <a:pt x="207" y="248"/>
                                  </a:lnTo>
                                  <a:lnTo>
                                    <a:pt x="194" y="249"/>
                                  </a:lnTo>
                                  <a:lnTo>
                                    <a:pt x="182" y="248"/>
                                  </a:lnTo>
                                  <a:lnTo>
                                    <a:pt x="170" y="245"/>
                                  </a:lnTo>
                                  <a:lnTo>
                                    <a:pt x="158" y="242"/>
                                  </a:lnTo>
                                  <a:lnTo>
                                    <a:pt x="146" y="236"/>
                                  </a:lnTo>
                                  <a:lnTo>
                                    <a:pt x="135" y="229"/>
                                  </a:lnTo>
                                  <a:close/>
                                </a:path>
                              </a:pathLst>
                            </a:custGeom>
                            <a:solidFill>
                              <a:srgbClr val="E779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5"/>
                          <wps:cNvSpPr>
                            <a:spLocks/>
                          </wps:cNvSpPr>
                          <wps:spPr bwMode="auto">
                            <a:xfrm>
                              <a:off x="2356" y="2166"/>
                              <a:ext cx="120" cy="104"/>
                            </a:xfrm>
                            <a:custGeom>
                              <a:avLst/>
                              <a:gdLst>
                                <a:gd name="T0" fmla="*/ 129 w 359"/>
                                <a:gd name="T1" fmla="*/ 224 h 311"/>
                                <a:gd name="T2" fmla="*/ 118 w 359"/>
                                <a:gd name="T3" fmla="*/ 213 h 311"/>
                                <a:gd name="T4" fmla="*/ 105 w 359"/>
                                <a:gd name="T5" fmla="*/ 195 h 311"/>
                                <a:gd name="T6" fmla="*/ 95 w 359"/>
                                <a:gd name="T7" fmla="*/ 167 h 311"/>
                                <a:gd name="T8" fmla="*/ 94 w 359"/>
                                <a:gd name="T9" fmla="*/ 138 h 311"/>
                                <a:gd name="T10" fmla="*/ 143 w 359"/>
                                <a:gd name="T11" fmla="*/ 162 h 311"/>
                                <a:gd name="T12" fmla="*/ 0 w 359"/>
                                <a:gd name="T13" fmla="*/ 47 h 311"/>
                                <a:gd name="T14" fmla="*/ 40 w 359"/>
                                <a:gd name="T15" fmla="*/ 95 h 311"/>
                                <a:gd name="T16" fmla="*/ 33 w 359"/>
                                <a:gd name="T17" fmla="*/ 121 h 311"/>
                                <a:gd name="T18" fmla="*/ 32 w 359"/>
                                <a:gd name="T19" fmla="*/ 149 h 311"/>
                                <a:gd name="T20" fmla="*/ 35 w 359"/>
                                <a:gd name="T21" fmla="*/ 175 h 311"/>
                                <a:gd name="T22" fmla="*/ 41 w 359"/>
                                <a:gd name="T23" fmla="*/ 202 h 311"/>
                                <a:gd name="T24" fmla="*/ 53 w 359"/>
                                <a:gd name="T25" fmla="*/ 227 h 311"/>
                                <a:gd name="T26" fmla="*/ 69 w 359"/>
                                <a:gd name="T27" fmla="*/ 249 h 311"/>
                                <a:gd name="T28" fmla="*/ 87 w 359"/>
                                <a:gd name="T29" fmla="*/ 270 h 311"/>
                                <a:gd name="T30" fmla="*/ 108 w 359"/>
                                <a:gd name="T31" fmla="*/ 284 h 311"/>
                                <a:gd name="T32" fmla="*/ 127 w 359"/>
                                <a:gd name="T33" fmla="*/ 295 h 311"/>
                                <a:gd name="T34" fmla="*/ 146 w 359"/>
                                <a:gd name="T35" fmla="*/ 303 h 311"/>
                                <a:gd name="T36" fmla="*/ 166 w 359"/>
                                <a:gd name="T37" fmla="*/ 307 h 311"/>
                                <a:gd name="T38" fmla="*/ 186 w 359"/>
                                <a:gd name="T39" fmla="*/ 310 h 311"/>
                                <a:gd name="T40" fmla="*/ 207 w 359"/>
                                <a:gd name="T41" fmla="*/ 310 h 311"/>
                                <a:gd name="T42" fmla="*/ 226 w 359"/>
                                <a:gd name="T43" fmla="*/ 307 h 311"/>
                                <a:gd name="T44" fmla="*/ 246 w 359"/>
                                <a:gd name="T45" fmla="*/ 303 h 311"/>
                                <a:gd name="T46" fmla="*/ 264 w 359"/>
                                <a:gd name="T47" fmla="*/ 296 h 311"/>
                                <a:gd name="T48" fmla="*/ 282 w 359"/>
                                <a:gd name="T49" fmla="*/ 287 h 311"/>
                                <a:gd name="T50" fmla="*/ 299 w 359"/>
                                <a:gd name="T51" fmla="*/ 275 h 311"/>
                                <a:gd name="T52" fmla="*/ 314 w 359"/>
                                <a:gd name="T53" fmla="*/ 263 h 311"/>
                                <a:gd name="T54" fmla="*/ 328 w 359"/>
                                <a:gd name="T55" fmla="*/ 248 h 311"/>
                                <a:gd name="T56" fmla="*/ 339 w 359"/>
                                <a:gd name="T57" fmla="*/ 230 h 311"/>
                                <a:gd name="T58" fmla="*/ 349 w 359"/>
                                <a:gd name="T59" fmla="*/ 212 h 311"/>
                                <a:gd name="T60" fmla="*/ 355 w 359"/>
                                <a:gd name="T61" fmla="*/ 193 h 311"/>
                                <a:gd name="T62" fmla="*/ 344 w 359"/>
                                <a:gd name="T63" fmla="*/ 181 h 311"/>
                                <a:gd name="T64" fmla="*/ 310 w 359"/>
                                <a:gd name="T65" fmla="*/ 178 h 311"/>
                                <a:gd name="T66" fmla="*/ 291 w 359"/>
                                <a:gd name="T67" fmla="*/ 186 h 311"/>
                                <a:gd name="T68" fmla="*/ 279 w 359"/>
                                <a:gd name="T69" fmla="*/ 208 h 311"/>
                                <a:gd name="T70" fmla="*/ 262 w 359"/>
                                <a:gd name="T71" fmla="*/ 225 h 311"/>
                                <a:gd name="T72" fmla="*/ 241 w 359"/>
                                <a:gd name="T73" fmla="*/ 239 h 311"/>
                                <a:gd name="T74" fmla="*/ 218 w 359"/>
                                <a:gd name="T75" fmla="*/ 247 h 311"/>
                                <a:gd name="T76" fmla="*/ 194 w 359"/>
                                <a:gd name="T77" fmla="*/ 249 h 311"/>
                                <a:gd name="T78" fmla="*/ 170 w 359"/>
                                <a:gd name="T79" fmla="*/ 245 h 311"/>
                                <a:gd name="T80" fmla="*/ 146 w 359"/>
                                <a:gd name="T81" fmla="*/ 236 h 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9" h="311">
                                  <a:moveTo>
                                    <a:pt x="135" y="229"/>
                                  </a:moveTo>
                                  <a:lnTo>
                                    <a:pt x="129" y="224"/>
                                  </a:lnTo>
                                  <a:lnTo>
                                    <a:pt x="124" y="219"/>
                                  </a:lnTo>
                                  <a:lnTo>
                                    <a:pt x="118" y="213"/>
                                  </a:lnTo>
                                  <a:lnTo>
                                    <a:pt x="113" y="208"/>
                                  </a:lnTo>
                                  <a:lnTo>
                                    <a:pt x="105" y="195"/>
                                  </a:lnTo>
                                  <a:lnTo>
                                    <a:pt x="100" y="181"/>
                                  </a:lnTo>
                                  <a:lnTo>
                                    <a:pt x="95" y="167"/>
                                  </a:lnTo>
                                  <a:lnTo>
                                    <a:pt x="94" y="152"/>
                                  </a:lnTo>
                                  <a:lnTo>
                                    <a:pt x="94" y="138"/>
                                  </a:lnTo>
                                  <a:lnTo>
                                    <a:pt x="96" y="123"/>
                                  </a:lnTo>
                                  <a:lnTo>
                                    <a:pt x="143" y="162"/>
                                  </a:lnTo>
                                  <a:lnTo>
                                    <a:pt x="153" y="0"/>
                                  </a:lnTo>
                                  <a:lnTo>
                                    <a:pt x="0" y="47"/>
                                  </a:lnTo>
                                  <a:lnTo>
                                    <a:pt x="45" y="82"/>
                                  </a:lnTo>
                                  <a:lnTo>
                                    <a:pt x="40" y="95"/>
                                  </a:lnTo>
                                  <a:lnTo>
                                    <a:pt x="37" y="109"/>
                                  </a:lnTo>
                                  <a:lnTo>
                                    <a:pt x="33" y="121"/>
                                  </a:lnTo>
                                  <a:lnTo>
                                    <a:pt x="32" y="135"/>
                                  </a:lnTo>
                                  <a:lnTo>
                                    <a:pt x="32" y="149"/>
                                  </a:lnTo>
                                  <a:lnTo>
                                    <a:pt x="33" y="163"/>
                                  </a:lnTo>
                                  <a:lnTo>
                                    <a:pt x="35" y="175"/>
                                  </a:lnTo>
                                  <a:lnTo>
                                    <a:pt x="38" y="189"/>
                                  </a:lnTo>
                                  <a:lnTo>
                                    <a:pt x="41" y="202"/>
                                  </a:lnTo>
                                  <a:lnTo>
                                    <a:pt x="47" y="214"/>
                                  </a:lnTo>
                                  <a:lnTo>
                                    <a:pt x="53" y="227"/>
                                  </a:lnTo>
                                  <a:lnTo>
                                    <a:pt x="60" y="239"/>
                                  </a:lnTo>
                                  <a:lnTo>
                                    <a:pt x="69" y="249"/>
                                  </a:lnTo>
                                  <a:lnTo>
                                    <a:pt x="78" y="259"/>
                                  </a:lnTo>
                                  <a:lnTo>
                                    <a:pt x="87" y="270"/>
                                  </a:lnTo>
                                  <a:lnTo>
                                    <a:pt x="99" y="279"/>
                                  </a:lnTo>
                                  <a:lnTo>
                                    <a:pt x="108" y="284"/>
                                  </a:lnTo>
                                  <a:lnTo>
                                    <a:pt x="117" y="290"/>
                                  </a:lnTo>
                                  <a:lnTo>
                                    <a:pt x="127" y="295"/>
                                  </a:lnTo>
                                  <a:lnTo>
                                    <a:pt x="136" y="299"/>
                                  </a:lnTo>
                                  <a:lnTo>
                                    <a:pt x="146" y="303"/>
                                  </a:lnTo>
                                  <a:lnTo>
                                    <a:pt x="156" y="306"/>
                                  </a:lnTo>
                                  <a:lnTo>
                                    <a:pt x="166" y="307"/>
                                  </a:lnTo>
                                  <a:lnTo>
                                    <a:pt x="176" y="310"/>
                                  </a:lnTo>
                                  <a:lnTo>
                                    <a:pt x="186" y="310"/>
                                  </a:lnTo>
                                  <a:lnTo>
                                    <a:pt x="197" y="311"/>
                                  </a:lnTo>
                                  <a:lnTo>
                                    <a:pt x="207" y="310"/>
                                  </a:lnTo>
                                  <a:lnTo>
                                    <a:pt x="216" y="310"/>
                                  </a:lnTo>
                                  <a:lnTo>
                                    <a:pt x="226" y="307"/>
                                  </a:lnTo>
                                  <a:lnTo>
                                    <a:pt x="237" y="305"/>
                                  </a:lnTo>
                                  <a:lnTo>
                                    <a:pt x="246" y="303"/>
                                  </a:lnTo>
                                  <a:lnTo>
                                    <a:pt x="255" y="299"/>
                                  </a:lnTo>
                                  <a:lnTo>
                                    <a:pt x="264" y="296"/>
                                  </a:lnTo>
                                  <a:lnTo>
                                    <a:pt x="273" y="291"/>
                                  </a:lnTo>
                                  <a:lnTo>
                                    <a:pt x="282" y="287"/>
                                  </a:lnTo>
                                  <a:lnTo>
                                    <a:pt x="290" y="281"/>
                                  </a:lnTo>
                                  <a:lnTo>
                                    <a:pt x="299" y="275"/>
                                  </a:lnTo>
                                  <a:lnTo>
                                    <a:pt x="306" y="270"/>
                                  </a:lnTo>
                                  <a:lnTo>
                                    <a:pt x="314" y="263"/>
                                  </a:lnTo>
                                  <a:lnTo>
                                    <a:pt x="321" y="255"/>
                                  </a:lnTo>
                                  <a:lnTo>
                                    <a:pt x="328" y="248"/>
                                  </a:lnTo>
                                  <a:lnTo>
                                    <a:pt x="334" y="240"/>
                                  </a:lnTo>
                                  <a:lnTo>
                                    <a:pt x="339" y="230"/>
                                  </a:lnTo>
                                  <a:lnTo>
                                    <a:pt x="344" y="221"/>
                                  </a:lnTo>
                                  <a:lnTo>
                                    <a:pt x="349" y="212"/>
                                  </a:lnTo>
                                  <a:lnTo>
                                    <a:pt x="353" y="203"/>
                                  </a:lnTo>
                                  <a:lnTo>
                                    <a:pt x="355" y="193"/>
                                  </a:lnTo>
                                  <a:lnTo>
                                    <a:pt x="359" y="182"/>
                                  </a:lnTo>
                                  <a:lnTo>
                                    <a:pt x="344" y="181"/>
                                  </a:lnTo>
                                  <a:lnTo>
                                    <a:pt x="327" y="180"/>
                                  </a:lnTo>
                                  <a:lnTo>
                                    <a:pt x="310" y="178"/>
                                  </a:lnTo>
                                  <a:lnTo>
                                    <a:pt x="295" y="173"/>
                                  </a:lnTo>
                                  <a:lnTo>
                                    <a:pt x="291" y="186"/>
                                  </a:lnTo>
                                  <a:lnTo>
                                    <a:pt x="286" y="197"/>
                                  </a:lnTo>
                                  <a:lnTo>
                                    <a:pt x="279" y="208"/>
                                  </a:lnTo>
                                  <a:lnTo>
                                    <a:pt x="271" y="217"/>
                                  </a:lnTo>
                                  <a:lnTo>
                                    <a:pt x="262" y="225"/>
                                  </a:lnTo>
                                  <a:lnTo>
                                    <a:pt x="253" y="232"/>
                                  </a:lnTo>
                                  <a:lnTo>
                                    <a:pt x="241" y="239"/>
                                  </a:lnTo>
                                  <a:lnTo>
                                    <a:pt x="231" y="243"/>
                                  </a:lnTo>
                                  <a:lnTo>
                                    <a:pt x="218" y="247"/>
                                  </a:lnTo>
                                  <a:lnTo>
                                    <a:pt x="207" y="248"/>
                                  </a:lnTo>
                                  <a:lnTo>
                                    <a:pt x="194" y="249"/>
                                  </a:lnTo>
                                  <a:lnTo>
                                    <a:pt x="182" y="248"/>
                                  </a:lnTo>
                                  <a:lnTo>
                                    <a:pt x="170" y="245"/>
                                  </a:lnTo>
                                  <a:lnTo>
                                    <a:pt x="158" y="242"/>
                                  </a:lnTo>
                                  <a:lnTo>
                                    <a:pt x="146" y="236"/>
                                  </a:lnTo>
                                  <a:lnTo>
                                    <a:pt x="135" y="229"/>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6"/>
                          <wps:cNvSpPr>
                            <a:spLocks/>
                          </wps:cNvSpPr>
                          <wps:spPr bwMode="auto">
                            <a:xfrm>
                              <a:off x="2307" y="2114"/>
                              <a:ext cx="95" cy="128"/>
                            </a:xfrm>
                            <a:custGeom>
                              <a:avLst/>
                              <a:gdLst>
                                <a:gd name="T0" fmla="*/ 68 w 286"/>
                                <a:gd name="T1" fmla="*/ 180 h 384"/>
                                <a:gd name="T2" fmla="*/ 75 w 286"/>
                                <a:gd name="T3" fmla="*/ 166 h 384"/>
                                <a:gd name="T4" fmla="*/ 88 w 286"/>
                                <a:gd name="T5" fmla="*/ 148 h 384"/>
                                <a:gd name="T6" fmla="*/ 111 w 286"/>
                                <a:gd name="T7" fmla="*/ 130 h 384"/>
                                <a:gd name="T8" fmla="*/ 138 w 286"/>
                                <a:gd name="T9" fmla="*/ 118 h 384"/>
                                <a:gd name="T10" fmla="*/ 132 w 286"/>
                                <a:gd name="T11" fmla="*/ 172 h 384"/>
                                <a:gd name="T12" fmla="*/ 193 w 286"/>
                                <a:gd name="T13" fmla="*/ 0 h 384"/>
                                <a:gd name="T14" fmla="*/ 160 w 286"/>
                                <a:gd name="T15" fmla="*/ 53 h 384"/>
                                <a:gd name="T16" fmla="*/ 132 w 286"/>
                                <a:gd name="T17" fmla="*/ 56 h 384"/>
                                <a:gd name="T18" fmla="*/ 107 w 286"/>
                                <a:gd name="T19" fmla="*/ 63 h 384"/>
                                <a:gd name="T20" fmla="*/ 82 w 286"/>
                                <a:gd name="T21" fmla="*/ 74 h 384"/>
                                <a:gd name="T22" fmla="*/ 60 w 286"/>
                                <a:gd name="T23" fmla="*/ 91 h 384"/>
                                <a:gd name="T24" fmla="*/ 41 w 286"/>
                                <a:gd name="T25" fmla="*/ 109 h 384"/>
                                <a:gd name="T26" fmla="*/ 25 w 286"/>
                                <a:gd name="T27" fmla="*/ 131 h 384"/>
                                <a:gd name="T28" fmla="*/ 12 w 286"/>
                                <a:gd name="T29" fmla="*/ 156 h 384"/>
                                <a:gd name="T30" fmla="*/ 4 w 286"/>
                                <a:gd name="T31" fmla="*/ 180 h 384"/>
                                <a:gd name="T32" fmla="*/ 1 w 286"/>
                                <a:gd name="T33" fmla="*/ 202 h 384"/>
                                <a:gd name="T34" fmla="*/ 0 w 286"/>
                                <a:gd name="T35" fmla="*/ 223 h 384"/>
                                <a:gd name="T36" fmla="*/ 2 w 286"/>
                                <a:gd name="T37" fmla="*/ 243 h 384"/>
                                <a:gd name="T38" fmla="*/ 7 w 286"/>
                                <a:gd name="T39" fmla="*/ 263 h 384"/>
                                <a:gd name="T40" fmla="*/ 14 w 286"/>
                                <a:gd name="T41" fmla="*/ 282 h 384"/>
                                <a:gd name="T42" fmla="*/ 23 w 286"/>
                                <a:gd name="T43" fmla="*/ 301 h 384"/>
                                <a:gd name="T44" fmla="*/ 33 w 286"/>
                                <a:gd name="T45" fmla="*/ 317 h 384"/>
                                <a:gd name="T46" fmla="*/ 46 w 286"/>
                                <a:gd name="T47" fmla="*/ 333 h 384"/>
                                <a:gd name="T48" fmla="*/ 60 w 286"/>
                                <a:gd name="T49" fmla="*/ 346 h 384"/>
                                <a:gd name="T50" fmla="*/ 76 w 286"/>
                                <a:gd name="T51" fmla="*/ 358 h 384"/>
                                <a:gd name="T52" fmla="*/ 93 w 286"/>
                                <a:gd name="T53" fmla="*/ 368 h 384"/>
                                <a:gd name="T54" fmla="*/ 113 w 286"/>
                                <a:gd name="T55" fmla="*/ 376 h 384"/>
                                <a:gd name="T56" fmla="*/ 132 w 286"/>
                                <a:gd name="T57" fmla="*/ 382 h 384"/>
                                <a:gd name="T58" fmla="*/ 152 w 286"/>
                                <a:gd name="T59" fmla="*/ 384 h 384"/>
                                <a:gd name="T60" fmla="*/ 173 w 286"/>
                                <a:gd name="T61" fmla="*/ 384 h 384"/>
                                <a:gd name="T62" fmla="*/ 180 w 286"/>
                                <a:gd name="T63" fmla="*/ 369 h 384"/>
                                <a:gd name="T64" fmla="*/ 172 w 286"/>
                                <a:gd name="T65" fmla="*/ 335 h 384"/>
                                <a:gd name="T66" fmla="*/ 159 w 286"/>
                                <a:gd name="T67" fmla="*/ 321 h 384"/>
                                <a:gd name="T68" fmla="*/ 133 w 286"/>
                                <a:gd name="T69" fmla="*/ 317 h 384"/>
                                <a:gd name="T70" fmla="*/ 112 w 286"/>
                                <a:gd name="T71" fmla="*/ 306 h 384"/>
                                <a:gd name="T72" fmla="*/ 92 w 286"/>
                                <a:gd name="T73" fmla="*/ 291 h 384"/>
                                <a:gd name="T74" fmla="*/ 77 w 286"/>
                                <a:gd name="T75" fmla="*/ 273 h 384"/>
                                <a:gd name="T76" fmla="*/ 67 w 286"/>
                                <a:gd name="T77" fmla="*/ 250 h 384"/>
                                <a:gd name="T78" fmla="*/ 61 w 286"/>
                                <a:gd name="T79" fmla="*/ 226 h 384"/>
                                <a:gd name="T80" fmla="*/ 63 w 286"/>
                                <a:gd name="T81" fmla="*/ 201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86" h="384">
                                  <a:moveTo>
                                    <a:pt x="66" y="187"/>
                                  </a:moveTo>
                                  <a:lnTo>
                                    <a:pt x="68" y="180"/>
                                  </a:lnTo>
                                  <a:lnTo>
                                    <a:pt x="72" y="173"/>
                                  </a:lnTo>
                                  <a:lnTo>
                                    <a:pt x="75" y="166"/>
                                  </a:lnTo>
                                  <a:lnTo>
                                    <a:pt x="79" y="159"/>
                                  </a:lnTo>
                                  <a:lnTo>
                                    <a:pt x="88" y="148"/>
                                  </a:lnTo>
                                  <a:lnTo>
                                    <a:pt x="99" y="138"/>
                                  </a:lnTo>
                                  <a:lnTo>
                                    <a:pt x="111" y="130"/>
                                  </a:lnTo>
                                  <a:lnTo>
                                    <a:pt x="124" y="123"/>
                                  </a:lnTo>
                                  <a:lnTo>
                                    <a:pt x="138" y="118"/>
                                  </a:lnTo>
                                  <a:lnTo>
                                    <a:pt x="153" y="116"/>
                                  </a:lnTo>
                                  <a:lnTo>
                                    <a:pt x="132" y="172"/>
                                  </a:lnTo>
                                  <a:lnTo>
                                    <a:pt x="286" y="128"/>
                                  </a:lnTo>
                                  <a:lnTo>
                                    <a:pt x="193" y="0"/>
                                  </a:lnTo>
                                  <a:lnTo>
                                    <a:pt x="173" y="54"/>
                                  </a:lnTo>
                                  <a:lnTo>
                                    <a:pt x="160" y="53"/>
                                  </a:lnTo>
                                  <a:lnTo>
                                    <a:pt x="146" y="54"/>
                                  </a:lnTo>
                                  <a:lnTo>
                                    <a:pt x="132" y="56"/>
                                  </a:lnTo>
                                  <a:lnTo>
                                    <a:pt x="120" y="60"/>
                                  </a:lnTo>
                                  <a:lnTo>
                                    <a:pt x="107" y="63"/>
                                  </a:lnTo>
                                  <a:lnTo>
                                    <a:pt x="95" y="69"/>
                                  </a:lnTo>
                                  <a:lnTo>
                                    <a:pt x="82" y="74"/>
                                  </a:lnTo>
                                  <a:lnTo>
                                    <a:pt x="71" y="82"/>
                                  </a:lnTo>
                                  <a:lnTo>
                                    <a:pt x="60" y="91"/>
                                  </a:lnTo>
                                  <a:lnTo>
                                    <a:pt x="50" y="99"/>
                                  </a:lnTo>
                                  <a:lnTo>
                                    <a:pt x="41" y="109"/>
                                  </a:lnTo>
                                  <a:lnTo>
                                    <a:pt x="32" y="119"/>
                                  </a:lnTo>
                                  <a:lnTo>
                                    <a:pt x="25" y="131"/>
                                  </a:lnTo>
                                  <a:lnTo>
                                    <a:pt x="18" y="143"/>
                                  </a:lnTo>
                                  <a:lnTo>
                                    <a:pt x="12" y="156"/>
                                  </a:lnTo>
                                  <a:lnTo>
                                    <a:pt x="7" y="170"/>
                                  </a:lnTo>
                                  <a:lnTo>
                                    <a:pt x="4" y="180"/>
                                  </a:lnTo>
                                  <a:lnTo>
                                    <a:pt x="2" y="190"/>
                                  </a:lnTo>
                                  <a:lnTo>
                                    <a:pt x="1" y="202"/>
                                  </a:lnTo>
                                  <a:lnTo>
                                    <a:pt x="0" y="212"/>
                                  </a:lnTo>
                                  <a:lnTo>
                                    <a:pt x="0" y="223"/>
                                  </a:lnTo>
                                  <a:lnTo>
                                    <a:pt x="1" y="233"/>
                                  </a:lnTo>
                                  <a:lnTo>
                                    <a:pt x="2" y="243"/>
                                  </a:lnTo>
                                  <a:lnTo>
                                    <a:pt x="4" y="253"/>
                                  </a:lnTo>
                                  <a:lnTo>
                                    <a:pt x="7" y="263"/>
                                  </a:lnTo>
                                  <a:lnTo>
                                    <a:pt x="10" y="273"/>
                                  </a:lnTo>
                                  <a:lnTo>
                                    <a:pt x="14" y="282"/>
                                  </a:lnTo>
                                  <a:lnTo>
                                    <a:pt x="17" y="291"/>
                                  </a:lnTo>
                                  <a:lnTo>
                                    <a:pt x="23" y="301"/>
                                  </a:lnTo>
                                  <a:lnTo>
                                    <a:pt x="27" y="309"/>
                                  </a:lnTo>
                                  <a:lnTo>
                                    <a:pt x="33" y="317"/>
                                  </a:lnTo>
                                  <a:lnTo>
                                    <a:pt x="40" y="325"/>
                                  </a:lnTo>
                                  <a:lnTo>
                                    <a:pt x="46" y="333"/>
                                  </a:lnTo>
                                  <a:lnTo>
                                    <a:pt x="54" y="340"/>
                                  </a:lnTo>
                                  <a:lnTo>
                                    <a:pt x="60" y="346"/>
                                  </a:lnTo>
                                  <a:lnTo>
                                    <a:pt x="68" y="352"/>
                                  </a:lnTo>
                                  <a:lnTo>
                                    <a:pt x="76" y="358"/>
                                  </a:lnTo>
                                  <a:lnTo>
                                    <a:pt x="85" y="364"/>
                                  </a:lnTo>
                                  <a:lnTo>
                                    <a:pt x="93" y="368"/>
                                  </a:lnTo>
                                  <a:lnTo>
                                    <a:pt x="103" y="373"/>
                                  </a:lnTo>
                                  <a:lnTo>
                                    <a:pt x="113" y="376"/>
                                  </a:lnTo>
                                  <a:lnTo>
                                    <a:pt x="122" y="379"/>
                                  </a:lnTo>
                                  <a:lnTo>
                                    <a:pt x="132" y="382"/>
                                  </a:lnTo>
                                  <a:lnTo>
                                    <a:pt x="141" y="383"/>
                                  </a:lnTo>
                                  <a:lnTo>
                                    <a:pt x="152" y="384"/>
                                  </a:lnTo>
                                  <a:lnTo>
                                    <a:pt x="163" y="384"/>
                                  </a:lnTo>
                                  <a:lnTo>
                                    <a:pt x="173" y="384"/>
                                  </a:lnTo>
                                  <a:lnTo>
                                    <a:pt x="184" y="383"/>
                                  </a:lnTo>
                                  <a:lnTo>
                                    <a:pt x="180" y="369"/>
                                  </a:lnTo>
                                  <a:lnTo>
                                    <a:pt x="176" y="352"/>
                                  </a:lnTo>
                                  <a:lnTo>
                                    <a:pt x="172" y="335"/>
                                  </a:lnTo>
                                  <a:lnTo>
                                    <a:pt x="171" y="320"/>
                                  </a:lnTo>
                                  <a:lnTo>
                                    <a:pt x="159" y="321"/>
                                  </a:lnTo>
                                  <a:lnTo>
                                    <a:pt x="146" y="320"/>
                                  </a:lnTo>
                                  <a:lnTo>
                                    <a:pt x="133" y="317"/>
                                  </a:lnTo>
                                  <a:lnTo>
                                    <a:pt x="122" y="312"/>
                                  </a:lnTo>
                                  <a:lnTo>
                                    <a:pt x="112" y="306"/>
                                  </a:lnTo>
                                  <a:lnTo>
                                    <a:pt x="101" y="299"/>
                                  </a:lnTo>
                                  <a:lnTo>
                                    <a:pt x="92" y="291"/>
                                  </a:lnTo>
                                  <a:lnTo>
                                    <a:pt x="84" y="282"/>
                                  </a:lnTo>
                                  <a:lnTo>
                                    <a:pt x="77" y="273"/>
                                  </a:lnTo>
                                  <a:lnTo>
                                    <a:pt x="72" y="262"/>
                                  </a:lnTo>
                                  <a:lnTo>
                                    <a:pt x="67" y="250"/>
                                  </a:lnTo>
                                  <a:lnTo>
                                    <a:pt x="64" y="239"/>
                                  </a:lnTo>
                                  <a:lnTo>
                                    <a:pt x="61" y="226"/>
                                  </a:lnTo>
                                  <a:lnTo>
                                    <a:pt x="61" y="213"/>
                                  </a:lnTo>
                                  <a:lnTo>
                                    <a:pt x="63" y="201"/>
                                  </a:lnTo>
                                  <a:lnTo>
                                    <a:pt x="66" y="18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7"/>
                          <wps:cNvSpPr>
                            <a:spLocks/>
                          </wps:cNvSpPr>
                          <wps:spPr bwMode="auto">
                            <a:xfrm>
                              <a:off x="2307" y="2114"/>
                              <a:ext cx="95" cy="128"/>
                            </a:xfrm>
                            <a:custGeom>
                              <a:avLst/>
                              <a:gdLst>
                                <a:gd name="T0" fmla="*/ 68 w 286"/>
                                <a:gd name="T1" fmla="*/ 180 h 384"/>
                                <a:gd name="T2" fmla="*/ 75 w 286"/>
                                <a:gd name="T3" fmla="*/ 166 h 384"/>
                                <a:gd name="T4" fmla="*/ 88 w 286"/>
                                <a:gd name="T5" fmla="*/ 148 h 384"/>
                                <a:gd name="T6" fmla="*/ 111 w 286"/>
                                <a:gd name="T7" fmla="*/ 130 h 384"/>
                                <a:gd name="T8" fmla="*/ 138 w 286"/>
                                <a:gd name="T9" fmla="*/ 118 h 384"/>
                                <a:gd name="T10" fmla="*/ 132 w 286"/>
                                <a:gd name="T11" fmla="*/ 172 h 384"/>
                                <a:gd name="T12" fmla="*/ 193 w 286"/>
                                <a:gd name="T13" fmla="*/ 0 h 384"/>
                                <a:gd name="T14" fmla="*/ 160 w 286"/>
                                <a:gd name="T15" fmla="*/ 53 h 384"/>
                                <a:gd name="T16" fmla="*/ 132 w 286"/>
                                <a:gd name="T17" fmla="*/ 56 h 384"/>
                                <a:gd name="T18" fmla="*/ 107 w 286"/>
                                <a:gd name="T19" fmla="*/ 63 h 384"/>
                                <a:gd name="T20" fmla="*/ 82 w 286"/>
                                <a:gd name="T21" fmla="*/ 74 h 384"/>
                                <a:gd name="T22" fmla="*/ 60 w 286"/>
                                <a:gd name="T23" fmla="*/ 91 h 384"/>
                                <a:gd name="T24" fmla="*/ 41 w 286"/>
                                <a:gd name="T25" fmla="*/ 109 h 384"/>
                                <a:gd name="T26" fmla="*/ 25 w 286"/>
                                <a:gd name="T27" fmla="*/ 131 h 384"/>
                                <a:gd name="T28" fmla="*/ 12 w 286"/>
                                <a:gd name="T29" fmla="*/ 156 h 384"/>
                                <a:gd name="T30" fmla="*/ 4 w 286"/>
                                <a:gd name="T31" fmla="*/ 180 h 384"/>
                                <a:gd name="T32" fmla="*/ 1 w 286"/>
                                <a:gd name="T33" fmla="*/ 202 h 384"/>
                                <a:gd name="T34" fmla="*/ 0 w 286"/>
                                <a:gd name="T35" fmla="*/ 223 h 384"/>
                                <a:gd name="T36" fmla="*/ 2 w 286"/>
                                <a:gd name="T37" fmla="*/ 243 h 384"/>
                                <a:gd name="T38" fmla="*/ 7 w 286"/>
                                <a:gd name="T39" fmla="*/ 263 h 384"/>
                                <a:gd name="T40" fmla="*/ 14 w 286"/>
                                <a:gd name="T41" fmla="*/ 282 h 384"/>
                                <a:gd name="T42" fmla="*/ 23 w 286"/>
                                <a:gd name="T43" fmla="*/ 301 h 384"/>
                                <a:gd name="T44" fmla="*/ 33 w 286"/>
                                <a:gd name="T45" fmla="*/ 317 h 384"/>
                                <a:gd name="T46" fmla="*/ 46 w 286"/>
                                <a:gd name="T47" fmla="*/ 333 h 384"/>
                                <a:gd name="T48" fmla="*/ 60 w 286"/>
                                <a:gd name="T49" fmla="*/ 346 h 384"/>
                                <a:gd name="T50" fmla="*/ 76 w 286"/>
                                <a:gd name="T51" fmla="*/ 358 h 384"/>
                                <a:gd name="T52" fmla="*/ 93 w 286"/>
                                <a:gd name="T53" fmla="*/ 368 h 384"/>
                                <a:gd name="T54" fmla="*/ 113 w 286"/>
                                <a:gd name="T55" fmla="*/ 376 h 384"/>
                                <a:gd name="T56" fmla="*/ 132 w 286"/>
                                <a:gd name="T57" fmla="*/ 382 h 384"/>
                                <a:gd name="T58" fmla="*/ 152 w 286"/>
                                <a:gd name="T59" fmla="*/ 384 h 384"/>
                                <a:gd name="T60" fmla="*/ 173 w 286"/>
                                <a:gd name="T61" fmla="*/ 384 h 384"/>
                                <a:gd name="T62" fmla="*/ 180 w 286"/>
                                <a:gd name="T63" fmla="*/ 369 h 384"/>
                                <a:gd name="T64" fmla="*/ 172 w 286"/>
                                <a:gd name="T65" fmla="*/ 335 h 384"/>
                                <a:gd name="T66" fmla="*/ 159 w 286"/>
                                <a:gd name="T67" fmla="*/ 321 h 384"/>
                                <a:gd name="T68" fmla="*/ 133 w 286"/>
                                <a:gd name="T69" fmla="*/ 317 h 384"/>
                                <a:gd name="T70" fmla="*/ 112 w 286"/>
                                <a:gd name="T71" fmla="*/ 306 h 384"/>
                                <a:gd name="T72" fmla="*/ 92 w 286"/>
                                <a:gd name="T73" fmla="*/ 291 h 384"/>
                                <a:gd name="T74" fmla="*/ 77 w 286"/>
                                <a:gd name="T75" fmla="*/ 273 h 384"/>
                                <a:gd name="T76" fmla="*/ 67 w 286"/>
                                <a:gd name="T77" fmla="*/ 250 h 384"/>
                                <a:gd name="T78" fmla="*/ 61 w 286"/>
                                <a:gd name="T79" fmla="*/ 226 h 384"/>
                                <a:gd name="T80" fmla="*/ 63 w 286"/>
                                <a:gd name="T81" fmla="*/ 201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86" h="384">
                                  <a:moveTo>
                                    <a:pt x="66" y="187"/>
                                  </a:moveTo>
                                  <a:lnTo>
                                    <a:pt x="68" y="180"/>
                                  </a:lnTo>
                                  <a:lnTo>
                                    <a:pt x="72" y="173"/>
                                  </a:lnTo>
                                  <a:lnTo>
                                    <a:pt x="75" y="166"/>
                                  </a:lnTo>
                                  <a:lnTo>
                                    <a:pt x="79" y="159"/>
                                  </a:lnTo>
                                  <a:lnTo>
                                    <a:pt x="88" y="148"/>
                                  </a:lnTo>
                                  <a:lnTo>
                                    <a:pt x="99" y="138"/>
                                  </a:lnTo>
                                  <a:lnTo>
                                    <a:pt x="111" y="130"/>
                                  </a:lnTo>
                                  <a:lnTo>
                                    <a:pt x="124" y="123"/>
                                  </a:lnTo>
                                  <a:lnTo>
                                    <a:pt x="138" y="118"/>
                                  </a:lnTo>
                                  <a:lnTo>
                                    <a:pt x="153" y="116"/>
                                  </a:lnTo>
                                  <a:lnTo>
                                    <a:pt x="132" y="172"/>
                                  </a:lnTo>
                                  <a:lnTo>
                                    <a:pt x="286" y="128"/>
                                  </a:lnTo>
                                  <a:lnTo>
                                    <a:pt x="193" y="0"/>
                                  </a:lnTo>
                                  <a:lnTo>
                                    <a:pt x="173" y="54"/>
                                  </a:lnTo>
                                  <a:lnTo>
                                    <a:pt x="160" y="53"/>
                                  </a:lnTo>
                                  <a:lnTo>
                                    <a:pt x="146" y="54"/>
                                  </a:lnTo>
                                  <a:lnTo>
                                    <a:pt x="132" y="56"/>
                                  </a:lnTo>
                                  <a:lnTo>
                                    <a:pt x="120" y="60"/>
                                  </a:lnTo>
                                  <a:lnTo>
                                    <a:pt x="107" y="63"/>
                                  </a:lnTo>
                                  <a:lnTo>
                                    <a:pt x="95" y="69"/>
                                  </a:lnTo>
                                  <a:lnTo>
                                    <a:pt x="82" y="74"/>
                                  </a:lnTo>
                                  <a:lnTo>
                                    <a:pt x="71" y="82"/>
                                  </a:lnTo>
                                  <a:lnTo>
                                    <a:pt x="60" y="91"/>
                                  </a:lnTo>
                                  <a:lnTo>
                                    <a:pt x="50" y="99"/>
                                  </a:lnTo>
                                  <a:lnTo>
                                    <a:pt x="41" y="109"/>
                                  </a:lnTo>
                                  <a:lnTo>
                                    <a:pt x="32" y="119"/>
                                  </a:lnTo>
                                  <a:lnTo>
                                    <a:pt x="25" y="131"/>
                                  </a:lnTo>
                                  <a:lnTo>
                                    <a:pt x="18" y="143"/>
                                  </a:lnTo>
                                  <a:lnTo>
                                    <a:pt x="12" y="156"/>
                                  </a:lnTo>
                                  <a:lnTo>
                                    <a:pt x="7" y="170"/>
                                  </a:lnTo>
                                  <a:lnTo>
                                    <a:pt x="4" y="180"/>
                                  </a:lnTo>
                                  <a:lnTo>
                                    <a:pt x="2" y="190"/>
                                  </a:lnTo>
                                  <a:lnTo>
                                    <a:pt x="1" y="202"/>
                                  </a:lnTo>
                                  <a:lnTo>
                                    <a:pt x="0" y="212"/>
                                  </a:lnTo>
                                  <a:lnTo>
                                    <a:pt x="0" y="223"/>
                                  </a:lnTo>
                                  <a:lnTo>
                                    <a:pt x="1" y="233"/>
                                  </a:lnTo>
                                  <a:lnTo>
                                    <a:pt x="2" y="243"/>
                                  </a:lnTo>
                                  <a:lnTo>
                                    <a:pt x="4" y="253"/>
                                  </a:lnTo>
                                  <a:lnTo>
                                    <a:pt x="7" y="263"/>
                                  </a:lnTo>
                                  <a:lnTo>
                                    <a:pt x="10" y="273"/>
                                  </a:lnTo>
                                  <a:lnTo>
                                    <a:pt x="14" y="282"/>
                                  </a:lnTo>
                                  <a:lnTo>
                                    <a:pt x="17" y="291"/>
                                  </a:lnTo>
                                  <a:lnTo>
                                    <a:pt x="23" y="301"/>
                                  </a:lnTo>
                                  <a:lnTo>
                                    <a:pt x="27" y="309"/>
                                  </a:lnTo>
                                  <a:lnTo>
                                    <a:pt x="33" y="317"/>
                                  </a:lnTo>
                                  <a:lnTo>
                                    <a:pt x="40" y="325"/>
                                  </a:lnTo>
                                  <a:lnTo>
                                    <a:pt x="46" y="333"/>
                                  </a:lnTo>
                                  <a:lnTo>
                                    <a:pt x="54" y="340"/>
                                  </a:lnTo>
                                  <a:lnTo>
                                    <a:pt x="60" y="346"/>
                                  </a:lnTo>
                                  <a:lnTo>
                                    <a:pt x="68" y="352"/>
                                  </a:lnTo>
                                  <a:lnTo>
                                    <a:pt x="76" y="358"/>
                                  </a:lnTo>
                                  <a:lnTo>
                                    <a:pt x="85" y="364"/>
                                  </a:lnTo>
                                  <a:lnTo>
                                    <a:pt x="93" y="368"/>
                                  </a:lnTo>
                                  <a:lnTo>
                                    <a:pt x="103" y="373"/>
                                  </a:lnTo>
                                  <a:lnTo>
                                    <a:pt x="113" y="376"/>
                                  </a:lnTo>
                                  <a:lnTo>
                                    <a:pt x="122" y="379"/>
                                  </a:lnTo>
                                  <a:lnTo>
                                    <a:pt x="132" y="382"/>
                                  </a:lnTo>
                                  <a:lnTo>
                                    <a:pt x="141" y="383"/>
                                  </a:lnTo>
                                  <a:lnTo>
                                    <a:pt x="152" y="384"/>
                                  </a:lnTo>
                                  <a:lnTo>
                                    <a:pt x="163" y="384"/>
                                  </a:lnTo>
                                  <a:lnTo>
                                    <a:pt x="173" y="384"/>
                                  </a:lnTo>
                                  <a:lnTo>
                                    <a:pt x="184" y="383"/>
                                  </a:lnTo>
                                  <a:lnTo>
                                    <a:pt x="180" y="369"/>
                                  </a:lnTo>
                                  <a:lnTo>
                                    <a:pt x="176" y="352"/>
                                  </a:lnTo>
                                  <a:lnTo>
                                    <a:pt x="172" y="335"/>
                                  </a:lnTo>
                                  <a:lnTo>
                                    <a:pt x="171" y="320"/>
                                  </a:lnTo>
                                  <a:lnTo>
                                    <a:pt x="159" y="321"/>
                                  </a:lnTo>
                                  <a:lnTo>
                                    <a:pt x="146" y="320"/>
                                  </a:lnTo>
                                  <a:lnTo>
                                    <a:pt x="133" y="317"/>
                                  </a:lnTo>
                                  <a:lnTo>
                                    <a:pt x="122" y="312"/>
                                  </a:lnTo>
                                  <a:lnTo>
                                    <a:pt x="112" y="306"/>
                                  </a:lnTo>
                                  <a:lnTo>
                                    <a:pt x="101" y="299"/>
                                  </a:lnTo>
                                  <a:lnTo>
                                    <a:pt x="92" y="291"/>
                                  </a:lnTo>
                                  <a:lnTo>
                                    <a:pt x="84" y="282"/>
                                  </a:lnTo>
                                  <a:lnTo>
                                    <a:pt x="77" y="273"/>
                                  </a:lnTo>
                                  <a:lnTo>
                                    <a:pt x="72" y="262"/>
                                  </a:lnTo>
                                  <a:lnTo>
                                    <a:pt x="67" y="250"/>
                                  </a:lnTo>
                                  <a:lnTo>
                                    <a:pt x="64" y="239"/>
                                  </a:lnTo>
                                  <a:lnTo>
                                    <a:pt x="61" y="226"/>
                                  </a:lnTo>
                                  <a:lnTo>
                                    <a:pt x="61" y="213"/>
                                  </a:lnTo>
                                  <a:lnTo>
                                    <a:pt x="63" y="201"/>
                                  </a:lnTo>
                                  <a:lnTo>
                                    <a:pt x="66" y="187"/>
                                  </a:lnTo>
                                  <a:close/>
                                </a:path>
                              </a:pathLst>
                            </a:custGeom>
                            <a:noFill/>
                            <a:ln w="0">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38" o:spid="_x0000_s1026" style="position:absolute;left:0;text-align:left;margin-left:6pt;margin-top:-36pt;width:192pt;height:44.5pt;z-index:251659264" coordorigin="1726,320" coordsize="1536,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">
                <v:shapetype id="_x0000_t202" coordsize="21600,21600" o:spt="202" path="m,l,21600r21600,l21600,xe">
                  <v:stroke joinstyle="miter"/>
                  <v:path gradientshapeok="t" o:connecttype="rect"/>
                </v:shapetype>
                <v:shape id="Text Box 3" o:spid="_x0000_s1027" type="#_x0000_t202" style="position:absolute;left:1822;top:330;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LfaMYA&#10;AADbAAAADwAAAGRycy9kb3ducmV2LnhtbESPT2vCQBTE74V+h+UVeqsbFUobXUVEi9SDf5qD3p7Z&#10;Z5I2+zbsrjF+e7dQ6HGYmd8w42lnatGS85VlBf1eAoI4t7riQkH2tXx5A+EDssbaMim4kYfp5PFh&#10;jKm2V95Ruw+FiBD2KSooQ2hSKX1ekkHfsw1x9M7WGQxRukJqh9cIN7UcJMmrNFhxXCixoXlJ+c/+&#10;YhRsz3WW6O+jbz+Gizz7DOuNO5yUen7qZiMQgbrwH/5rr7SC4Tv8fok/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LfaMYAAADbAAAADwAAAAAAAAAAAAAAAACYAgAAZHJz&#10;L2Rvd25yZXYueG1sUEsFBgAAAAAEAAQA9QAAAIsDAAAAAA==&#10;" filled="f" fillcolor="#0c9" stroked="f">
                  <v:textbox>
                    <w:txbxContent>
                      <w:p w:rsidR="00625F2B" w:rsidRDefault="00625F2B" w:rsidP="00625F2B">
                        <w:pPr>
                          <w:autoSpaceDE w:val="0"/>
                          <w:autoSpaceDN w:val="0"/>
                          <w:adjustRightInd w:val="0"/>
                          <w:jc w:val="center"/>
                          <w:rPr>
                            <w:rFonts w:ascii="Goudy Old Style" w:hAnsi="Goudy Old Style"/>
                            <w:color w:val="000000"/>
                            <w:sz w:val="40"/>
                          </w:rPr>
                        </w:pPr>
                        <w:r>
                          <w:rPr>
                            <w:rFonts w:ascii="Goudy Old Style" w:hAnsi="Goudy Old Style"/>
                            <w:color w:val="000000"/>
                            <w:sz w:val="40"/>
                          </w:rPr>
                          <w:t>Gladys Meich</w:t>
                        </w:r>
                      </w:p>
                    </w:txbxContent>
                  </v:textbox>
                </v:shape>
                <v:line id="Line 4" o:spid="_x0000_s1028" style="position:absolute;visibility:visible;mso-wrap-style:square" from="2110,580" to="297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szsQAAADbAAAADwAAAGRycy9kb3ducmV2LnhtbESP0WoCMRRE34X+Q7iFvtXsFil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WzOxAAAANsAAAAPAAAAAAAAAAAA&#10;AAAAAKECAABkcnMvZG93bnJldi54bWxQSwUGAAAAAAQABAD5AAAAkgMAAAAA&#10;" strokeweight="1pt"/>
                <v:group id="Group 5" o:spid="_x0000_s1029" style="position:absolute;left:1726;top:320;width:355;height:356" coordorigin="2231,1982" coordsize="355,3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6" o:spid="_x0000_s1030" style="position:absolute;left:2231;top:1982;width:355;height:356;visibility:visible;mso-wrap-style:square;v-text-anchor:top" coordsize="1064,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N9pMQA&#10;AADbAAAADwAAAGRycy9kb3ducmV2LnhtbESP0UrEMBRE3wX/IVzBF3HTXaWV7qZlWVD0wQVrP+CS&#10;3G2KzU1tYrf+vREEH4eZOcPs6sUNYqYp9J4VrFcZCGLtTc+dgvb98fYBRIjIBgfPpOCbAtTV5cUO&#10;S+PP/EZzEzuRIBxKVGBjHEspg7bkMKz8SJy8k58cxiSnTpoJzwnuBrnJslw67DktWBzpYEl/NF9O&#10;gTy+WN0WG7zJnwrdzrn5XBevSl1fLfstiEhL/A//tZ+Ngvs7+P2SfoC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DfaTEAAAA2wAAAA8AAAAAAAAAAAAAAAAAmAIAAGRycy9k&#10;b3ducmV2LnhtbFBLBQYAAAAABAAEAPUAAACJAwAAAAA=&#10;" path="m,533l532,r532,533l532,1068,,533xe" fillcolor="#aaa9a9" stroked="f">
                    <v:path arrowok="t" o:connecttype="custom" o:connectlocs="0,178;178,0;355,178;178,356;0,178" o:connectangles="0,0,0,0,0"/>
                  </v:shape>
                  <v:shape id="Freeform 7" o:spid="_x0000_s1031" style="position:absolute;left:2231;top:1982;width:355;height:356;visibility:visible;mso-wrap-style:square;v-text-anchor:top" coordsize="1064,1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e1HsMA&#10;AADbAAAADwAAAGRycy9kb3ducmV2LnhtbESPUWvCQBCE3wv+h2MF3+rFIqWNniJC0Qe1VP0BS25N&#10;grm9mD2T+O97QqGPw8x8w8yXvatUS42Ung1Mxgko4szbknMD59PX6wcoCcgWK89k4EECy8XgZY6p&#10;9R3/UHsMuYoQlhQNFCHUqdaSFeRQxr4mjt7FNw5DlE2ubYNdhLtKvyXJu3ZYclwosKZ1Qdn1eHcG&#10;vneHNrnL3j66/eYabp9yOaMYMxr2qxmoQH34D/+1t9bAdArPL/EH6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e1HsMAAADbAAAADwAAAAAAAAAAAAAAAACYAgAAZHJzL2Rv&#10;d25yZXYueG1sUEsFBgAAAAAEAAQA9QAAAIgDAAAAAA==&#10;" path="m,533l532,r532,533l532,1068,,533xe" filled="f" strokecolor="#1f1a17" strokeweight="0">
                    <v:path arrowok="t" o:connecttype="custom" o:connectlocs="0,178;178,0;355,178;178,356;0,178" o:connectangles="0,0,0,0,0"/>
                  </v:shape>
                  <v:shape id="Freeform 8" o:spid="_x0000_s1032" style="position:absolute;left:2316;top:2064;width:127;height:84;visibility:visible;mso-wrap-style:square;v-text-anchor:top" coordsize="380,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4s48MA&#10;AADbAAAADwAAAGRycy9kb3ducmV2LnhtbESPQWvCQBSE74L/YXlCL6KbllgkdZUituixifb8yL4m&#10;odm3IfvUtL/eFQo9DjPzDbPaDK5VF+pD49nA4zwBRVx623Bl4Fi8zZaggiBbbD2TgR8KsFmPRyvM&#10;rL/yB11yqVSEcMjQQC3SZVqHsiaHYe474uh9+d6hRNlX2vZ4jXDX6qckedYOG44LNXa0ran8zs/O&#10;QO5+i8Km0216eE+qkwz2c7cQYx4mw+sLKKFB/sN/7b01kC7g/iX+AL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4s48MAAADbAAAADwAAAAAAAAAAAAAAAACYAgAAZHJzL2Rv&#10;d25yZXYueG1sUEsFBgAAAAAEAAQA9QAAAIgDAAAAAA==&#10;" path="m164,62r6,l178,62r8,2l193,66r14,5l221,77r11,10l242,97r10,11l258,121r-60,-1l289,253,380,123r-57,-1l320,108,314,96,309,84,302,73,293,61,285,51,274,42,264,34,253,26,241,19,230,13,216,9,204,5,190,2,176,,161,,150,2,140,3,129,5,119,7r-10,4l100,14r-9,5l81,25r-8,4l64,36r-7,6l49,49r-6,8l37,65r-7,8l26,81r-6,8l15,98r-3,9l8,118r-3,9l4,136,2,146,,157r,10l,176r2,10l3,197r2,10l7,217r5,10l15,237r13,-8l43,219r14,-8l71,205,67,192,64,181,63,168r,-13l65,144r4,-12l73,121r6,-11l87,100r8,-9l104,83r11,-7l126,71r11,-5l150,64r14,-2xe" fillcolor="#29166f" stroked="f">
                    <v:path arrowok="t" o:connecttype="custom" o:connectlocs="57,21;62,21;69,24;78,29;84,36;66,40;127,41;107,36;103,28;98,20;92,14;85,9;77,4;68,2;59,0;50,1;43,2;36,4;30,6;24,10;19,14;14,19;10,24;7,30;4,36;2,42;1,48;0,55;1,62;2,69;4,75;9,76;19,70;22,64;21,56;22,48;24,40;29,33;35,28;42,24;50,21" o:connectangles="0,0,0,0,0,0,0,0,0,0,0,0,0,0,0,0,0,0,0,0,0,0,0,0,0,0,0,0,0,0,0,0,0,0,0,0,0,0,0,0,0"/>
                  </v:shape>
                  <v:shape id="Freeform 9" o:spid="_x0000_s1033" style="position:absolute;left:2316;top:2064;width:127;height:84;visibility:visible;mso-wrap-style:square;v-text-anchor:top" coordsize="380,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1d8UA&#10;AADbAAAADwAAAGRycy9kb3ducmV2LnhtbESPT2vCQBTE74V+h+UJvRSzUVrRNKu0QqEexL94fmRf&#10;k+ju25Ddavz2rlDwOMzMb5h81lkjztT62rGCQZKCIC6crrlUsN9998cgfEDWaByTgit5mE2fn3LM&#10;tLvwhs7bUIoIYZ+hgiqEJpPSFxVZ9IlriKP361qLIcq2lLrFS4RbI4dpOpIWa44LFTY0r6g4bf+s&#10;gu4wGB53q8nrabmsv97LuVms10apl173+QEiUBce4f/2j1bwNoL7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DV3xQAAANsAAAAPAAAAAAAAAAAAAAAAAJgCAABkcnMv&#10;ZG93bnJldi54bWxQSwUGAAAAAAQABAD1AAAAigMAAAAA&#10;" path="m164,62r6,l178,62r8,2l193,66r14,5l221,77r11,10l242,97r10,11l258,121r-60,-1l289,253,380,123r-57,-1l320,108,314,96,309,84,302,73,293,61,285,51,274,42,264,34,253,26,241,19,230,13,216,9,204,5,190,2,176,,161,,150,2,140,3,129,5,119,7r-10,4l100,14r-9,5l81,25r-8,4l64,36r-7,6l49,49r-6,8l37,65r-7,8l26,81r-6,8l15,98r-3,9l8,118r-3,9l4,136,2,146,,157r,10l,176r2,10l3,197r2,10l7,217r5,10l15,237r13,-8l43,219r14,-8l71,205,67,192,64,181,63,168r,-13l65,144r4,-12l73,121r6,-11l87,100r8,-9l104,83r11,-7l126,71r11,-5l150,64r14,-2xe" filled="f" strokecolor="#1f1a17" strokeweight="0">
                    <v:path arrowok="t" o:connecttype="custom" o:connectlocs="57,21;62,21;69,24;78,29;84,36;66,40;127,41;107,36;103,28;98,20;92,14;85,9;77,4;68,2;59,0;50,1;43,2;36,4;30,6;24,10;19,14;14,19;10,24;7,30;4,36;2,42;1,48;0,55;1,62;2,69;4,75;9,76;19,70;22,64;21,56;22,48;24,40;29,33;35,28;42,24;50,21" o:connectangles="0,0,0,0,0,0,0,0,0,0,0,0,0,0,0,0,0,0,0,0,0,0,0,0,0,0,0,0,0,0,0,0,0,0,0,0,0,0,0,0,0"/>
                  </v:shape>
                  <v:shape id="Freeform 10" o:spid="_x0000_s1034" style="position:absolute;left:2399;top:2052;width:92;height:119;visibility:visible;mso-wrap-style:square;v-text-anchor:top" coordsize="276,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xlbsQA&#10;AADbAAAADwAAAGRycy9kb3ducmV2LnhtbESPQWvCQBSE74L/YXmCN7OxlirRVbS20PakUdDjI/tM&#10;gtm3IbtN4r/vFgo9DjPzDbPa9KYSLTWutKxgGsUgiDOrS84VnE/vkwUI55E1VpZJwYMcbNbDwQoT&#10;bTs+Upv6XAQIuwQVFN7XiZQuK8igi2xNHLybbQz6IJtc6ga7ADeVfIrjF2mw5LBQYE2vBWX39Nso&#10;uO4el7nbHWd02J7f9p9fEmd4U2o86rdLEJ56/x/+a39oBc9z+P0Sf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MZW7EAAAA2wAAAA8AAAAAAAAAAAAAAAAAmAIAAGRycy9k&#10;b3ducmV2LnhtbFBLBQYAAAAABAAEAPUAAACJAwAAAAA=&#10;" path="m209,133r2,7l214,148r1,7l215,163r-1,15l211,192r-4,14l200,219r-9,12l182,242,164,183,64,310r152,49l200,305r11,-8l222,288r10,-9l240,268r8,-11l255,245r6,-11l266,221r5,-12l273,195r2,-13l276,168r,-13l274,141r-2,-14l267,113r-3,-11l259,93,255,83r-6,-9l242,65r-6,-8l228,50r-6,-7l214,36r-8,-5l198,25,188,20r-9,-4l170,11,161,8,151,5,142,3,131,2,121,1,112,,102,,91,1,82,2,72,4,62,7r-9,3l43,13r-9,5l25,23r-9,5l8,35,,42r11,9l24,63,37,74,47,86,57,78,67,72,79,67,91,64r12,-1l115,63r12,1l139,66r12,4l162,75r10,7l182,90r9,8l198,109r6,11l209,133xe" fillcolor="#009240" stroked="f">
                    <v:path arrowok="t" o:connecttype="custom" o:connectlocs="70,46;72,51;71,59;69,68;64,77;55,61;72,119;70,98;77,92;83,85;87,78;90,69;92,60;92,51;91,42;88,34;85,28;81,22;76,17;71,12;66,8;60,5;54,3;47,1;40,0;34,0;27,1;21,2;14,4;8,8;3,12;4,17;12,25;19,26;26,22;34,21;42,21;50,23;57,27;64,32;68,40" o:connectangles="0,0,0,0,0,0,0,0,0,0,0,0,0,0,0,0,0,0,0,0,0,0,0,0,0,0,0,0,0,0,0,0,0,0,0,0,0,0,0,0,0"/>
                  </v:shape>
                  <v:shape id="Freeform 11" o:spid="_x0000_s1035" style="position:absolute;left:2399;top:2052;width:92;height:119;visibility:visible;mso-wrap-style:square;v-text-anchor:top" coordsize="276,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qMEA&#10;AADbAAAADwAAAGRycy9kb3ducmV2LnhtbERPy4rCMBTdC/5DuIIbGVNFdKaaigiCCzc6AzK7S3Pt&#10;w+amNlGrX28WgsvDeS+WranEjRpXWFYwGkYgiFOrC84U/P1uvr5BOI+ssbJMCh7kYJl0OwuMtb3z&#10;nm4Hn4kQwi5GBbn3dSylS3My6Ia2Jg7cyTYGfYBNJnWD9xBuKjmOoqk0WHBoyLGmdU7p+XA1Csrd&#10;OPu5jqY4oH11mW2i5/F/VyrV77WrOQhPrf+I3+6tVjAJY8OX8AN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SxfqjBAAAA2wAAAA8AAAAAAAAAAAAAAAAAmAIAAGRycy9kb3du&#10;cmV2LnhtbFBLBQYAAAAABAAEAPUAAACGAwAAAAA=&#10;" path="m209,133r2,7l214,148r1,7l215,163r-1,15l211,192r-4,14l200,219r-9,12l182,242,164,183,64,310r152,49l200,305r11,-8l222,288r10,-9l240,268r8,-11l255,245r6,-11l266,221r5,-12l273,195r2,-13l276,168r,-13l274,141r-2,-14l267,113r-3,-11l259,93,255,83r-6,-9l242,65r-6,-8l228,50r-6,-7l214,36r-8,-5l198,25,188,20r-9,-4l170,11,161,8,151,5,142,3,131,2,121,1,112,,102,,91,1,82,2,72,4,62,7r-9,3l43,13r-9,5l25,23r-9,5l8,35,,42r11,9l24,63,37,74,47,86,57,78,67,72,79,67,91,64r12,-1l115,63r12,1l139,66r12,4l162,75r10,7l182,90r9,8l198,109r6,11l209,133xe" filled="f" strokecolor="#1f1a17" strokeweight="0">
                    <v:path arrowok="t" o:connecttype="custom" o:connectlocs="70,46;72,51;71,59;69,68;64,77;55,61;72,119;70,98;77,92;83,85;87,78;90,69;92,60;92,51;91,42;88,34;85,28;81,22;76,17;71,12;66,8;60,5;54,3;47,1;40,0;34,0;27,1;21,2;14,4;8,8;3,12;4,17;12,25;19,26;26,22;34,21;42,21;50,23;57,27;64,32;68,40" o:connectangles="0,0,0,0,0,0,0,0,0,0,0,0,0,0,0,0,0,0,0,0,0,0,0,0,0,0,0,0,0,0,0,0,0,0,0,0,0,0,0,0,0"/>
                  </v:shape>
                  <v:shape id="Freeform 12" o:spid="_x0000_s1036" style="position:absolute;left:2417;top:2118;width:105;height:103;visibility:visible;mso-wrap-style:square;v-text-anchor:top" coordsize="3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5U8UA&#10;AADbAAAADwAAAGRycy9kb3ducmV2LnhtbESPUUvDQBCE34X+h2MLvrWbqhRNey1SUBRKwSrFxyW3&#10;zYXm9kLuTGJ/vVco+DjMzDfMcj24WnXchsqLhtk0A8VSeFNJqeHr82XyCCpEEkO1F9bwywHWq9HN&#10;knLje/ngbh9LlSASctJgY2xyxFBYdhSmvmFJ3tG3jmKSbYmmpT7BXY13WTZHR5WkBUsNbywXp/2P&#10;0/CK94f3bl7ucHfAfvu9OR9n9qz17Xh4XoCKPMT/8LX9ZjQ8PMHlS/oBu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DlTxQAAANsAAAAPAAAAAAAAAAAAAAAAAJgCAABkcnMv&#10;ZG93bnJldi54bWxQSwUGAAAAAAQABAD1AAAAigMAAAAA&#10;" path="m212,229r-6,3l199,237r-6,3l186,242r-15,4l156,248r-14,l128,246r-14,-5l100,234r50,-33l,144,,303,47,271r11,9l69,287r12,7l93,299r13,4l120,307r12,2l146,310r14,l173,309r13,-2l199,303r13,-4l225,293r12,-7l249,278r9,-7l266,263r8,-7l281,248r5,-9l292,231r5,-9l301,213r3,-11l308,193r3,-9l312,173r3,-10l315,154r1,-10l315,133r-1,-10l312,114r-2,-11l308,94,304,84r-3,-9l297,66r-5,-8l286,48r-5,-8l275,32r-8,-7l260,19r-8,-7l243,6,234,r-5,14l222,30r-8,15l206,58r12,8l227,74r8,10l241,94r5,11l250,116r3,13l254,140r-1,13l252,165r-3,12l244,188r-6,12l231,210r-9,9l212,229xe" fillcolor="#fff500" stroked="f">
                    <v:path arrowok="t" o:connecttype="custom" o:connectlocs="68,77;64,80;57,82;47,82;38,80;50,67;0,101;19,93;27,98;35,101;44,103;53,103;62,102;70,99;79,95;86,90;91,85;95,79;99,74;101,67;103,61;105,54;105,48;104,41;103,34;101,28;99,22;95,16;91,11;86,6;81,2;76,5;71,15;72,22;78,28;82,35;84,43;84,51;83,59;79,66;74,73" o:connectangles="0,0,0,0,0,0,0,0,0,0,0,0,0,0,0,0,0,0,0,0,0,0,0,0,0,0,0,0,0,0,0,0,0,0,0,0,0,0,0,0,0"/>
                  </v:shape>
                  <v:shape id="Freeform 13" o:spid="_x0000_s1037" style="position:absolute;left:2417;top:2118;width:105;height:103;visibility:visible;mso-wrap-style:square;v-text-anchor:top" coordsize="316,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Du8MA&#10;AADbAAAADwAAAGRycy9kb3ducmV2LnhtbERPz2vCMBS+C/sfwhvsIpo63CadUaYgOjyUVg87vjVv&#10;bVnzUpJYu/9+OQgeP77fy/VgWtGT841lBbNpAoK4tLrhSsH5tJssQPiArLG1TAr+yMN69TBaYqrt&#10;lXPqi1CJGMI+RQV1CF0qpS9rMuintiOO3I91BkOErpLa4TWGm1Y+J8mrNNhwbKixo21N5W9xMQrc&#10;fDY+FG/5/lj0+LVpuuw7+8yUenocPt5BBBrCXXxzH7SCl7g+fo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Du8MAAADbAAAADwAAAAAAAAAAAAAAAACYAgAAZHJzL2Rv&#10;d25yZXYueG1sUEsFBgAAAAAEAAQA9QAAAIgDAAAAAA==&#10;" path="m212,229r-6,3l199,237r-6,3l186,242r-15,4l156,248r-14,l128,246r-14,-5l100,234r50,-33l,144,,303,47,271r11,9l69,287r12,7l93,299r13,4l120,307r12,2l146,310r14,l173,309r13,-2l199,303r13,-4l225,293r12,-7l249,278r9,-7l266,263r8,-7l281,248r5,-9l292,231r5,-9l301,213r3,-11l308,193r3,-9l312,173r3,-10l315,154r1,-10l315,133r-1,-10l312,114r-2,-11l308,94,304,84r-3,-9l297,66r-5,-8l286,48r-5,-8l275,32r-8,-7l260,19r-8,-7l243,6,234,r-5,14l222,30r-8,15l206,58r12,8l227,74r8,10l241,94r5,11l250,116r3,13l254,140r-1,13l252,165r-3,12l244,188r-6,12l231,210r-9,9l212,229xe" filled="f" strokecolor="#1f1a17" strokeweight="0">
                    <v:path arrowok="t" o:connecttype="custom" o:connectlocs="68,77;64,80;57,82;47,82;38,80;50,67;0,101;19,93;27,98;35,101;44,103;53,103;62,102;70,99;79,95;86,90;91,85;95,79;99,74;101,67;103,61;105,54;105,48;104,41;103,34;101,28;99,22;95,16;91,11;86,6;81,2;76,5;71,15;72,22;78,28;82,35;84,43;84,51;83,59;79,66;74,73" o:connectangles="0,0,0,0,0,0,0,0,0,0,0,0,0,0,0,0,0,0,0,0,0,0,0,0,0,0,0,0,0,0,0,0,0,0,0,0,0,0,0,0,0"/>
                  </v:shape>
                  <v:shape id="Freeform 14" o:spid="_x0000_s1038" style="position:absolute;left:2356;top:2166;width:120;height:104;visibility:visible;mso-wrap-style:square;v-text-anchor:top" coordsize="359,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MwMAA&#10;AADbAAAADwAAAGRycy9kb3ducmV2LnhtbESPzQrCMBCE74LvEFbwpmlFRapRRBA8COIPqLelWdti&#10;sylN1Pr2RhA8DjPzDTNbNKYUT6pdYVlB3I9AEKdWF5wpOB3XvQkI55E1lpZJwZscLObt1gwTbV+8&#10;p+fBZyJA2CWoIPe+SqR0aU4GXd9WxMG72dqgD7LOpK7xFeCmlIMoGkuDBYeFHCta5ZTeDw+jYHDm&#10;YTO+TDb+suPimm7javleK9XtNMspCE+N/4d/7Y1WMIrh+yX8AD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ZoMwMAAAADbAAAADwAAAAAAAAAAAAAAAACYAgAAZHJzL2Rvd25y&#10;ZXYueG1sUEsFBgAAAAAEAAQA9QAAAIUDAAAAAA==&#10;" path="m135,229r-6,-5l124,219r-6,-6l113,208r-8,-13l100,181,95,167,94,152r,-14l96,123r47,39l153,,,47,45,82,40,95r-3,14l33,121r-1,14l32,149r1,14l35,175r3,14l41,202r6,12l53,227r7,12l69,249r9,10l87,270r12,9l108,284r9,6l127,295r9,4l146,303r10,3l166,307r10,3l186,310r11,1l207,310r9,l226,307r11,-2l246,303r9,-4l264,296r9,-5l282,287r8,-6l299,275r7,-5l314,263r7,-8l328,248r6,-8l339,230r5,-9l349,212r4,-9l355,193r4,-11l344,181r-17,-1l310,178r-15,-5l291,186r-5,11l279,208r-8,9l262,225r-9,7l241,239r-10,4l218,247r-11,1l194,249r-12,-1l170,245r-12,-3l146,236r-11,-7xe" fillcolor="#e77919" stroked="f">
                    <v:path arrowok="t" o:connecttype="custom" o:connectlocs="43,75;39,71;35,65;32,56;31,46;48,54;0,16;13,32;11,40;11,50;12,59;14,68;18,76;23,83;29,90;36,95;42,99;49,101;55,103;62,104;69,104;76,103;82,101;88,99;94,96;100,92;105,88;110,83;113,77;117,71;119,65;115,61;104,60;97,62;93,70;88,75;81,80;73,83;65,83;57,82;49,79" o:connectangles="0,0,0,0,0,0,0,0,0,0,0,0,0,0,0,0,0,0,0,0,0,0,0,0,0,0,0,0,0,0,0,0,0,0,0,0,0,0,0,0,0"/>
                  </v:shape>
                  <v:shape id="Freeform 15" o:spid="_x0000_s1039" style="position:absolute;left:2356;top:2166;width:120;height:104;visibility:visible;mso-wrap-style:square;v-text-anchor:top" coordsize="359,3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X2bsUA&#10;AADbAAAADwAAAGRycy9kb3ducmV2LnhtbESPQWvCQBSE7wX/w/IEb3WjEpHUVSRYqAet1UJ7fGSf&#10;2WD2bciuMf77bqHQ4zAz3zDLdW9r0VHrK8cKJuMEBHHhdMWlgs/z6/MChA/IGmvHpOBBHtarwdMS&#10;M+3u/EHdKZQiQthnqMCE0GRS+sKQRT92DXH0Lq61GKJsS6lbvEe4reU0SebSYsVxwWBDuaHierpZ&#10;BfludjDHbfd12M/T71mab9539qjUaNhvXkAE6sN/+K/9phWkU/j9En+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BfZuxQAAANsAAAAPAAAAAAAAAAAAAAAAAJgCAABkcnMv&#10;ZG93bnJldi54bWxQSwUGAAAAAAQABAD1AAAAigMAAAAA&#10;" path="m135,229r-6,-5l124,219r-6,-6l113,208r-8,-13l100,181,95,167,94,152r,-14l96,123r47,39l153,,,47,45,82,40,95r-3,14l33,121r-1,14l32,149r1,14l35,175r3,14l41,202r6,12l53,227r7,12l69,249r9,10l87,270r12,9l108,284r9,6l127,295r9,4l146,303r10,3l166,307r10,3l186,310r11,1l207,310r9,l226,307r11,-2l246,303r9,-4l264,296r9,-5l282,287r8,-6l299,275r7,-5l314,263r7,-8l328,248r6,-8l339,230r5,-9l349,212r4,-9l355,193r4,-11l344,181r-17,-1l310,178r-15,-5l291,186r-5,11l279,208r-8,9l262,225r-9,7l241,239r-10,4l218,247r-11,1l194,249r-12,-1l170,245r-12,-3l146,236r-11,-7xe" filled="f" strokecolor="#1f1a17" strokeweight="0">
                    <v:path arrowok="t" o:connecttype="custom" o:connectlocs="43,75;39,71;35,65;32,56;31,46;48,54;0,16;13,32;11,40;11,50;12,59;14,68;18,76;23,83;29,90;36,95;42,99;49,101;55,103;62,104;69,104;76,103;82,101;88,99;94,96;100,92;105,88;110,83;113,77;117,71;119,65;115,61;104,60;97,62;93,70;88,75;81,80;73,83;65,83;57,82;49,79" o:connectangles="0,0,0,0,0,0,0,0,0,0,0,0,0,0,0,0,0,0,0,0,0,0,0,0,0,0,0,0,0,0,0,0,0,0,0,0,0,0,0,0,0"/>
                  </v:shape>
                  <v:shape id="Freeform 16" o:spid="_x0000_s1040" style="position:absolute;left:2307;top:2114;width:95;height:128;visibility:visible;mso-wrap-style:square;v-text-anchor:top" coordsize="28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WHtMQA&#10;AADbAAAADwAAAGRycy9kb3ducmV2LnhtbESP3WrCQBSE7wu+w3IE73RjraLRVVrB+ocX/jzAIXtM&#10;QrNnQ3Y1ydt3C0Ivh5n5hlmsGlOIJ1Uut6xgOIhAECdW55wquF03/SkI55E1FpZJQUsOVsvO2wJj&#10;bWs+0/PiUxEg7GJUkHlfxlK6JCODbmBL4uDdbWXQB1mlUldYB7gp5HsUTaTBnMNChiWtM0p+Lg+j&#10;YHva1l/tbX+etQf8+D6NH8d9Qkr1us3nHISnxv+HX+2dVjAewd+X8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Fh7TEAAAA2wAAAA8AAAAAAAAAAAAAAAAAmAIAAGRycy9k&#10;b3ducmV2LnhtbFBLBQYAAAAABAAEAPUAAACJAwAAAAA=&#10;" path="m66,187r2,-7l72,173r3,-7l79,159r9,-11l99,138r12,-8l124,123r14,-5l153,116r-21,56l286,128,193,,173,54,160,53r-14,1l132,56r-12,4l107,63,95,69,82,74,71,82,60,91,50,99r-9,10l32,119r-7,12l18,143r-6,13l7,170,4,180,2,190,1,202,,212r,11l1,233r1,10l4,253r3,10l10,273r4,9l17,291r6,10l27,309r6,8l40,325r6,8l54,340r6,6l68,352r8,6l85,364r8,4l103,373r10,3l122,379r10,3l141,383r11,1l163,384r10,l184,383r-4,-14l176,352r-4,-17l171,320r-12,1l146,320r-13,-3l122,312r-10,-6l101,299r-9,-8l84,282r-7,-9l72,262,67,250,64,239,61,226r,-13l63,201r3,-14xe" fillcolor="#da251d" stroked="f">
                    <v:path arrowok="t" o:connecttype="custom" o:connectlocs="23,60;25,55;29,49;37,43;46,39;44,57;64,0;53,18;44,19;36,21;27,25;20,30;14,36;8,44;4,52;1,60;0,67;0,74;1,81;2,88;5,94;8,100;11,106;15,111;20,115;25,119;31,123;38,125;44,127;50,128;57,128;60,123;57,112;53,107;44,106;37,102;31,97;26,91;22,83;20,75;21,67" o:connectangles="0,0,0,0,0,0,0,0,0,0,0,0,0,0,0,0,0,0,0,0,0,0,0,0,0,0,0,0,0,0,0,0,0,0,0,0,0,0,0,0,0"/>
                  </v:shape>
                  <v:shape id="Freeform 17" o:spid="_x0000_s1041" style="position:absolute;left:2307;top:2114;width:95;height:128;visibility:visible;mso-wrap-style:square;v-text-anchor:top" coordsize="286,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v2OcMA&#10;AADbAAAADwAAAGRycy9kb3ducmV2LnhtbESPQWsCMRSE7wX/Q3hCb5rVtlK2RhG14LW2en4kr7tb&#10;Ny9rEs22v74pCD0OM/MNM1/2thVX8qFxrGAyLkAQa2carhR8vL+OnkGEiGywdUwKvinAcjG4m2Np&#10;XOI3uu5jJTKEQ4kK6hi7Usqga7IYxq4jzt6n8xZjlr6SxmPKcNvKaVHMpMWG80KNHa1r0qf9xSo4&#10;6HQ8+7TV+mGXeNIdN6ef7ZdS98N+9QIiUh//w7f2zih4eoS/L/k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v2OcMAAADbAAAADwAAAAAAAAAAAAAAAACYAgAAZHJzL2Rv&#10;d25yZXYueG1sUEsFBgAAAAAEAAQA9QAAAIgDAAAAAA==&#10;" path="m66,187r2,-7l72,173r3,-7l79,159r9,-11l99,138r12,-8l124,123r14,-5l153,116r-21,56l286,128,193,,173,54,160,53r-14,1l132,56r-12,4l107,63,95,69,82,74,71,82,60,91,50,99r-9,10l32,119r-7,12l18,143r-6,13l7,170,4,180,2,190,1,202,,212r,11l1,233r1,10l4,253r3,10l10,273r4,9l17,291r6,10l27,309r6,8l40,325r6,8l54,340r6,6l68,352r8,6l85,364r8,4l103,373r10,3l122,379r10,3l141,383r11,1l163,384r10,l184,383r-4,-14l176,352r-4,-17l171,320r-12,1l146,320r-13,-3l122,312r-10,-6l101,299r-9,-8l84,282r-7,-9l72,262,67,250,64,239,61,226r,-13l63,201r3,-14xe" filled="f" strokecolor="#1f1a17" strokeweight="0">
                    <v:path arrowok="t" o:connecttype="custom" o:connectlocs="23,60;25,55;29,49;37,43;46,39;44,57;64,0;53,18;44,19;36,21;27,25;20,30;14,36;8,44;4,52;1,60;0,67;0,74;1,81;2,88;5,94;8,100;11,106;15,111;20,115;25,119;31,123;38,125;44,127;50,128;57,128;60,123;57,112;53,107;44,106;37,102;31,97;26,91;22,83;20,75;21,67" o:connectangles="0,0,0,0,0,0,0,0,0,0,0,0,0,0,0,0,0,0,0,0,0,0,0,0,0,0,0,0,0,0,0,0,0,0,0,0,0,0,0,0,0"/>
                  </v:shape>
                </v:group>
              </v:group>
            </w:pict>
          </mc:Fallback>
        </mc:AlternateContent>
      </w:r>
    </w:p>
    <w:p w:rsidR="00625F2B" w:rsidRDefault="00625F2B" w:rsidP="00625F2B">
      <w:pPr>
        <w:ind w:firstLine="180"/>
        <w:jc w:val="both"/>
        <w:rPr>
          <w:rFonts w:ascii="Tahoma" w:hAnsi="Tahoma"/>
          <w:b/>
          <w:sz w:val="14"/>
        </w:rPr>
      </w:pPr>
      <w:r>
        <w:rPr>
          <w:rFonts w:ascii="Tahoma" w:hAnsi="Tahoma"/>
          <w:b/>
          <w:sz w:val="14"/>
        </w:rPr>
        <w:t xml:space="preserve">Alicia </w:t>
      </w:r>
      <w:proofErr w:type="spellStart"/>
      <w:r>
        <w:rPr>
          <w:rFonts w:ascii="Tahoma" w:hAnsi="Tahoma"/>
          <w:b/>
          <w:sz w:val="14"/>
        </w:rPr>
        <w:t>Moreau</w:t>
      </w:r>
      <w:proofErr w:type="spellEnd"/>
      <w:r>
        <w:rPr>
          <w:rFonts w:ascii="Tahoma" w:hAnsi="Tahoma"/>
          <w:b/>
          <w:sz w:val="14"/>
        </w:rPr>
        <w:t xml:space="preserve"> de  Justo 1150 -  2° Piso - Of. 202</w:t>
      </w:r>
    </w:p>
    <w:p w:rsidR="00625F2B" w:rsidRDefault="00625F2B" w:rsidP="00625F2B">
      <w:pPr>
        <w:ind w:firstLine="180"/>
        <w:rPr>
          <w:rFonts w:ascii="Tahoma" w:hAnsi="Tahoma"/>
          <w:b/>
          <w:sz w:val="14"/>
        </w:rPr>
      </w:pPr>
      <w:r>
        <w:rPr>
          <w:rFonts w:ascii="Tahoma" w:hAnsi="Tahoma"/>
          <w:b/>
          <w:sz w:val="14"/>
        </w:rPr>
        <w:t>(C1107AAX) Ciudad Autónoma de Buenos Aires</w:t>
      </w:r>
    </w:p>
    <w:p w:rsidR="00625F2B" w:rsidRDefault="00625F2B" w:rsidP="00625F2B">
      <w:pPr>
        <w:ind w:firstLine="180"/>
        <w:rPr>
          <w:rFonts w:ascii="Tahoma" w:hAnsi="Tahoma"/>
          <w:b/>
          <w:sz w:val="14"/>
        </w:rPr>
      </w:pPr>
      <w:r>
        <w:rPr>
          <w:rFonts w:ascii="Tahoma" w:hAnsi="Tahoma"/>
          <w:b/>
          <w:sz w:val="14"/>
        </w:rPr>
        <w:t>República Argentina</w:t>
      </w:r>
    </w:p>
    <w:p w:rsidR="00625F2B" w:rsidRDefault="00625F2B" w:rsidP="00625F2B">
      <w:pPr>
        <w:ind w:firstLine="180"/>
        <w:rPr>
          <w:rFonts w:ascii="Tahoma" w:hAnsi="Tahoma"/>
          <w:b/>
          <w:sz w:val="14"/>
        </w:rPr>
      </w:pPr>
      <w:r>
        <w:rPr>
          <w:rFonts w:ascii="Tahoma" w:hAnsi="Tahoma"/>
          <w:b/>
          <w:sz w:val="14"/>
        </w:rPr>
        <w:t>Tel.: (0054 11) 4342-7117</w:t>
      </w:r>
    </w:p>
    <w:p w:rsidR="00625F2B" w:rsidRDefault="00625F2B" w:rsidP="00625F2B">
      <w:pPr>
        <w:pStyle w:val="Ttulo1"/>
        <w:ind w:left="5103" w:firstLine="180"/>
        <w:jc w:val="center"/>
        <w:rPr>
          <w:rFonts w:eastAsia="Arial Unicode MS"/>
          <w:i/>
          <w:sz w:val="20"/>
          <w:lang w:val="es-ES"/>
        </w:rPr>
      </w:pPr>
      <w:r>
        <w:rPr>
          <w:rFonts w:ascii="Arial" w:hAnsi="Arial"/>
          <w:noProof/>
          <w:lang w:eastAsia="es-AR"/>
        </w:rPr>
        <mc:AlternateContent>
          <mc:Choice Requires="wps">
            <w:drawing>
              <wp:anchor distT="0" distB="0" distL="114300" distR="114300" simplePos="0" relativeHeight="251660288" behindDoc="0" locked="0" layoutInCell="1" allowOverlap="1">
                <wp:simplePos x="0" y="0"/>
                <wp:positionH relativeFrom="column">
                  <wp:posOffset>-48895</wp:posOffset>
                </wp:positionH>
                <wp:positionV relativeFrom="paragraph">
                  <wp:posOffset>118745</wp:posOffset>
                </wp:positionV>
                <wp:extent cx="5493385" cy="0"/>
                <wp:effectExtent l="12065" t="13335" r="9525" b="5715"/>
                <wp:wrapNone/>
                <wp:docPr id="37" name="Conector rec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33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1D6C7B" id="Conector recto 3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9.35pt" to="428.7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"/>
            </w:pict>
          </mc:Fallback>
        </mc:AlternateContent>
      </w:r>
      <w:r>
        <w:rPr>
          <w:rFonts w:eastAsia="Arial Unicode MS"/>
          <w:i/>
          <w:sz w:val="20"/>
          <w:lang w:val="es-ES"/>
        </w:rPr>
        <w:t xml:space="preserve">                   </w:t>
      </w:r>
    </w:p>
    <w:p w:rsidR="00625F2B" w:rsidRDefault="00625F2B" w:rsidP="00625F2B">
      <w:pPr>
        <w:pStyle w:val="a"/>
        <w:ind w:right="639" w:firstLine="180"/>
      </w:pPr>
    </w:p>
    <w:p w:rsidR="00B11A68" w:rsidRDefault="00B11A68" w:rsidP="00625F2B">
      <w:pPr>
        <w:jc w:val="center"/>
        <w:rPr>
          <w:rFonts w:ascii="Arial" w:hAnsi="Arial"/>
          <w:b/>
          <w:sz w:val="22"/>
          <w:u w:val="single"/>
        </w:rPr>
      </w:pPr>
    </w:p>
    <w:p w:rsidR="00625F2B" w:rsidRDefault="00D659C4" w:rsidP="00625F2B">
      <w:pPr>
        <w:jc w:val="center"/>
        <w:rPr>
          <w:rFonts w:ascii="Arial" w:hAnsi="Arial"/>
          <w:b/>
          <w:sz w:val="22"/>
          <w:u w:val="single"/>
        </w:rPr>
      </w:pPr>
      <w:r>
        <w:rPr>
          <w:rFonts w:ascii="Arial" w:hAnsi="Arial"/>
          <w:b/>
          <w:sz w:val="22"/>
          <w:u w:val="single"/>
        </w:rPr>
        <w:t>INFORME DEL AUDITOR INDEPENDIENTE</w:t>
      </w:r>
    </w:p>
    <w:p w:rsidR="00625F2B" w:rsidRDefault="00625F2B" w:rsidP="00625F2B">
      <w:pPr>
        <w:jc w:val="center"/>
        <w:rPr>
          <w:rFonts w:ascii="Arial" w:hAnsi="Arial"/>
          <w:b/>
          <w:sz w:val="22"/>
          <w:u w:val="single"/>
        </w:rPr>
      </w:pPr>
      <w:r>
        <w:rPr>
          <w:rFonts w:ascii="Arial" w:hAnsi="Arial"/>
          <w:b/>
          <w:sz w:val="22"/>
          <w:u w:val="single"/>
        </w:rPr>
        <w:t xml:space="preserve">SOBRE ESTADOS CONTABLES DE PERIODO INTERMEDIO </w:t>
      </w:r>
    </w:p>
    <w:p w:rsidR="00625F2B" w:rsidRDefault="00625F2B" w:rsidP="00625F2B">
      <w:pPr>
        <w:ind w:right="639" w:firstLine="180"/>
        <w:rPr>
          <w:rFonts w:ascii="Arial" w:hAnsi="Arial" w:cs="Arial"/>
          <w:sz w:val="22"/>
        </w:rPr>
      </w:pPr>
    </w:p>
    <w:p w:rsidR="00625F2B" w:rsidRDefault="00625F2B" w:rsidP="00625F2B">
      <w:pPr>
        <w:ind w:right="639"/>
        <w:rPr>
          <w:sz w:val="22"/>
        </w:rPr>
      </w:pPr>
      <w:r>
        <w:rPr>
          <w:rFonts w:ascii="Arial" w:hAnsi="Arial" w:cs="Arial"/>
          <w:sz w:val="22"/>
        </w:rPr>
        <w:t>A los Señores Directores de</w:t>
      </w:r>
      <w:r>
        <w:rPr>
          <w:sz w:val="22"/>
        </w:rPr>
        <w:t xml:space="preserve"> </w:t>
      </w:r>
    </w:p>
    <w:p w:rsidR="00625F2B" w:rsidRPr="00825924" w:rsidRDefault="00625F2B" w:rsidP="00625F2B">
      <w:pPr>
        <w:spacing w:line="240" w:lineRule="exact"/>
        <w:jc w:val="both"/>
        <w:rPr>
          <w:rFonts w:ascii="Arial" w:hAnsi="Arial" w:cs="Arial"/>
          <w:b/>
          <w:sz w:val="22"/>
          <w:szCs w:val="22"/>
          <w:lang w:val="es-MX"/>
        </w:rPr>
      </w:pPr>
      <w:r w:rsidRPr="00825924">
        <w:rPr>
          <w:rFonts w:ascii="Arial" w:hAnsi="Arial" w:cs="Arial"/>
          <w:b/>
          <w:sz w:val="22"/>
          <w:szCs w:val="22"/>
          <w:lang w:val="es-MX"/>
        </w:rPr>
        <w:t xml:space="preserve">LEDESMA FRUTAS S.A.U. </w:t>
      </w:r>
    </w:p>
    <w:p w:rsidR="00625F2B" w:rsidRPr="00825924" w:rsidRDefault="00625F2B" w:rsidP="00625F2B">
      <w:pPr>
        <w:spacing w:line="240" w:lineRule="exact"/>
        <w:jc w:val="both"/>
        <w:rPr>
          <w:rFonts w:ascii="Arial" w:hAnsi="Arial" w:cs="Arial"/>
          <w:sz w:val="22"/>
          <w:szCs w:val="22"/>
          <w:lang w:val="es-MX"/>
        </w:rPr>
      </w:pPr>
      <w:r w:rsidRPr="00825924">
        <w:rPr>
          <w:rFonts w:ascii="Arial" w:hAnsi="Arial" w:cs="Arial"/>
          <w:b/>
          <w:bCs/>
          <w:sz w:val="22"/>
          <w:szCs w:val="22"/>
          <w:lang w:val="es-MX"/>
        </w:rPr>
        <w:t>CUIT:</w:t>
      </w:r>
      <w:r w:rsidRPr="00825924">
        <w:rPr>
          <w:rFonts w:ascii="Arial" w:hAnsi="Arial" w:cs="Arial"/>
          <w:sz w:val="22"/>
          <w:szCs w:val="22"/>
          <w:lang w:val="es-MX"/>
        </w:rPr>
        <w:t xml:space="preserve"> 30-54923166-3</w:t>
      </w:r>
    </w:p>
    <w:p w:rsidR="00625F2B" w:rsidRPr="00825924" w:rsidRDefault="00625F2B" w:rsidP="00625F2B">
      <w:pPr>
        <w:spacing w:line="240" w:lineRule="exact"/>
        <w:jc w:val="both"/>
        <w:rPr>
          <w:rFonts w:ascii="Arial" w:hAnsi="Arial" w:cs="Arial"/>
          <w:lang w:val="es-MX"/>
        </w:rPr>
      </w:pPr>
      <w:r w:rsidRPr="00825924">
        <w:rPr>
          <w:rFonts w:ascii="Arial" w:hAnsi="Arial" w:cs="Arial"/>
          <w:b/>
          <w:bCs/>
          <w:sz w:val="22"/>
          <w:szCs w:val="22"/>
          <w:lang w:val="es-MX"/>
        </w:rPr>
        <w:t>Domicilio Legal:</w:t>
      </w:r>
      <w:r w:rsidRPr="00825924">
        <w:rPr>
          <w:rFonts w:ascii="Arial" w:hAnsi="Arial" w:cs="Arial"/>
          <w:sz w:val="22"/>
          <w:szCs w:val="22"/>
          <w:lang w:val="es-MX"/>
        </w:rPr>
        <w:t xml:space="preserve"> Av. Corrientes 415 - 8° Piso - Ciudad Autónoma de Buenos Aires</w:t>
      </w:r>
    </w:p>
    <w:p w:rsidR="00625F2B" w:rsidRPr="00625F2B" w:rsidRDefault="00625F2B" w:rsidP="00625F2B">
      <w:pPr>
        <w:ind w:right="639" w:firstLine="180"/>
        <w:rPr>
          <w:rFonts w:ascii="Arial" w:hAnsi="Arial" w:cs="Arial"/>
          <w:sz w:val="22"/>
          <w:lang w:val="es-MX"/>
        </w:rPr>
      </w:pPr>
    </w:p>
    <w:p w:rsidR="00625F2B" w:rsidRPr="00330AB0" w:rsidRDefault="00625F2B" w:rsidP="00625F2B">
      <w:pPr>
        <w:spacing w:line="240" w:lineRule="exact"/>
        <w:ind w:left="142"/>
        <w:jc w:val="both"/>
        <w:rPr>
          <w:rFonts w:ascii="Arial" w:hAnsi="Arial" w:cs="Arial"/>
          <w:b/>
          <w:sz w:val="22"/>
          <w:szCs w:val="22"/>
          <w:u w:val="single"/>
          <w:lang w:val="es-MX"/>
        </w:rPr>
      </w:pPr>
      <w:r w:rsidRPr="00330AB0">
        <w:rPr>
          <w:rFonts w:ascii="Arial" w:hAnsi="Arial" w:cs="Arial"/>
          <w:b/>
          <w:sz w:val="22"/>
          <w:szCs w:val="22"/>
          <w:u w:val="single"/>
          <w:lang w:val="es-MX"/>
        </w:rPr>
        <w:t xml:space="preserve">I - Informe sobre </w:t>
      </w:r>
      <w:r>
        <w:rPr>
          <w:rFonts w:ascii="Arial" w:hAnsi="Arial" w:cs="Arial"/>
          <w:b/>
          <w:sz w:val="22"/>
          <w:szCs w:val="22"/>
          <w:u w:val="single"/>
          <w:lang w:val="es-MX"/>
        </w:rPr>
        <w:t xml:space="preserve">los </w:t>
      </w:r>
      <w:r w:rsidRPr="00330AB0">
        <w:rPr>
          <w:rFonts w:ascii="Arial" w:hAnsi="Arial" w:cs="Arial"/>
          <w:b/>
          <w:sz w:val="22"/>
          <w:szCs w:val="22"/>
          <w:u w:val="single"/>
          <w:lang w:val="es-MX"/>
        </w:rPr>
        <w:t>estad</w:t>
      </w:r>
      <w:r>
        <w:rPr>
          <w:rFonts w:ascii="Arial" w:hAnsi="Arial" w:cs="Arial"/>
          <w:b/>
          <w:sz w:val="22"/>
          <w:szCs w:val="22"/>
          <w:u w:val="single"/>
          <w:lang w:val="es-MX"/>
        </w:rPr>
        <w:t>os contables de período</w:t>
      </w:r>
      <w:r w:rsidRPr="00317E23">
        <w:rPr>
          <w:rFonts w:ascii="Arial" w:hAnsi="Arial" w:cs="Arial"/>
          <w:b/>
          <w:sz w:val="22"/>
          <w:szCs w:val="22"/>
          <w:u w:val="single"/>
          <w:lang w:val="es-MX"/>
        </w:rPr>
        <w:t xml:space="preserve"> intermedio</w:t>
      </w:r>
    </w:p>
    <w:p w:rsidR="00625F2B" w:rsidRPr="00330AB0" w:rsidRDefault="00625F2B" w:rsidP="00625F2B">
      <w:pPr>
        <w:spacing w:line="240" w:lineRule="exact"/>
        <w:ind w:left="142"/>
        <w:jc w:val="both"/>
        <w:rPr>
          <w:rFonts w:ascii="Arial" w:hAnsi="Arial" w:cs="Arial"/>
          <w:b/>
          <w:sz w:val="22"/>
          <w:szCs w:val="22"/>
          <w:u w:val="single"/>
          <w:lang w:val="es-MX"/>
        </w:rPr>
      </w:pPr>
    </w:p>
    <w:p w:rsidR="00625F2B" w:rsidRPr="00330AB0" w:rsidRDefault="00625F2B" w:rsidP="00625F2B">
      <w:pPr>
        <w:numPr>
          <w:ilvl w:val="1"/>
          <w:numId w:val="6"/>
        </w:numPr>
        <w:tabs>
          <w:tab w:val="clear" w:pos="1647"/>
          <w:tab w:val="num" w:pos="142"/>
        </w:tabs>
        <w:spacing w:line="240" w:lineRule="exact"/>
        <w:ind w:left="426"/>
        <w:jc w:val="both"/>
        <w:rPr>
          <w:rFonts w:ascii="Arial" w:hAnsi="Arial" w:cs="Arial"/>
          <w:b/>
          <w:sz w:val="22"/>
          <w:szCs w:val="22"/>
          <w:lang w:val="es-MX"/>
        </w:rPr>
      </w:pPr>
      <w:r w:rsidRPr="00330AB0">
        <w:rPr>
          <w:rFonts w:ascii="Arial" w:hAnsi="Arial" w:cs="Arial"/>
          <w:b/>
          <w:sz w:val="22"/>
          <w:szCs w:val="22"/>
          <w:lang w:val="es-MX"/>
        </w:rPr>
        <w:t>Introducción</w:t>
      </w:r>
    </w:p>
    <w:p w:rsidR="00625F2B" w:rsidRPr="00E46B8D" w:rsidRDefault="00625F2B" w:rsidP="00625F2B">
      <w:pPr>
        <w:ind w:right="639" w:firstLine="180"/>
        <w:rPr>
          <w:rFonts w:ascii="Arial" w:hAnsi="Arial" w:cs="Arial"/>
          <w:sz w:val="22"/>
          <w:szCs w:val="22"/>
        </w:rPr>
      </w:pPr>
    </w:p>
    <w:p w:rsidR="00625F2B" w:rsidRPr="00767651" w:rsidRDefault="00A36A63" w:rsidP="00625F2B">
      <w:pPr>
        <w:ind w:left="360"/>
        <w:jc w:val="both"/>
        <w:rPr>
          <w:rFonts w:ascii="Arial" w:hAnsi="Arial" w:cs="Arial"/>
          <w:sz w:val="22"/>
          <w:szCs w:val="22"/>
        </w:rPr>
      </w:pPr>
      <w:r>
        <w:rPr>
          <w:rFonts w:ascii="Arial" w:hAnsi="Arial" w:cs="Arial"/>
          <w:sz w:val="22"/>
          <w:szCs w:val="22"/>
        </w:rPr>
        <w:t>He auditado el estado de situación patrimonial de LEDESMA FRUTAS S.A.U. al 31 de mayo de 2019 y los correspondientes estados de resultados, de evolución del patrimonio neto y de flujo de efectivo por el</w:t>
      </w:r>
      <w:r w:rsidR="00625F2B">
        <w:rPr>
          <w:rFonts w:ascii="Arial" w:hAnsi="Arial" w:cs="Arial"/>
          <w:sz w:val="22"/>
          <w:szCs w:val="22"/>
        </w:rPr>
        <w:t xml:space="preserve"> período</w:t>
      </w:r>
      <w:r>
        <w:rPr>
          <w:rFonts w:ascii="Arial" w:hAnsi="Arial" w:cs="Arial"/>
          <w:sz w:val="22"/>
          <w:szCs w:val="22"/>
        </w:rPr>
        <w:t xml:space="preserve"> de cuatro meses finalizado en dicha fecha</w:t>
      </w:r>
      <w:r w:rsidR="00625F2B" w:rsidRPr="00330AB0">
        <w:rPr>
          <w:rFonts w:ascii="Arial" w:hAnsi="Arial" w:cs="Arial"/>
          <w:sz w:val="22"/>
          <w:szCs w:val="22"/>
        </w:rPr>
        <w:t>, así como un resumen de las políticas contables significativas y otra información explicat</w:t>
      </w:r>
      <w:r w:rsidR="00625F2B">
        <w:rPr>
          <w:rFonts w:ascii="Arial" w:hAnsi="Arial" w:cs="Arial"/>
          <w:sz w:val="22"/>
          <w:szCs w:val="22"/>
        </w:rPr>
        <w:t xml:space="preserve">iva incluida </w:t>
      </w:r>
      <w:r w:rsidR="00625F2B" w:rsidRPr="00767651">
        <w:rPr>
          <w:rFonts w:ascii="Arial" w:hAnsi="Arial" w:cs="Arial"/>
          <w:sz w:val="22"/>
          <w:szCs w:val="22"/>
        </w:rPr>
        <w:t xml:space="preserve">en las notas 1 a </w:t>
      </w:r>
      <w:r>
        <w:rPr>
          <w:rFonts w:ascii="Arial" w:hAnsi="Arial" w:cs="Arial"/>
          <w:sz w:val="22"/>
          <w:szCs w:val="22"/>
        </w:rPr>
        <w:t>9</w:t>
      </w:r>
      <w:r w:rsidR="00625F2B">
        <w:rPr>
          <w:rFonts w:ascii="Arial" w:hAnsi="Arial" w:cs="Arial"/>
          <w:sz w:val="22"/>
          <w:szCs w:val="22"/>
        </w:rPr>
        <w:t xml:space="preserve"> y los anexos A, D, E, F, G</w:t>
      </w:r>
      <w:r w:rsidR="00625F2B" w:rsidRPr="00767651">
        <w:rPr>
          <w:rFonts w:ascii="Arial" w:hAnsi="Arial" w:cs="Arial"/>
          <w:sz w:val="22"/>
          <w:szCs w:val="22"/>
        </w:rPr>
        <w:t xml:space="preserve"> y H.</w:t>
      </w:r>
    </w:p>
    <w:p w:rsidR="00625F2B" w:rsidRPr="00E46B8D" w:rsidRDefault="00625F2B" w:rsidP="00625F2B">
      <w:pPr>
        <w:ind w:left="360"/>
        <w:jc w:val="both"/>
        <w:rPr>
          <w:rFonts w:ascii="Arial" w:hAnsi="Arial" w:cs="Arial"/>
          <w:sz w:val="22"/>
          <w:szCs w:val="22"/>
        </w:rPr>
      </w:pPr>
    </w:p>
    <w:p w:rsidR="00625F2B" w:rsidRPr="00767651" w:rsidRDefault="00157F3E" w:rsidP="00625F2B">
      <w:pPr>
        <w:ind w:left="360"/>
        <w:jc w:val="both"/>
        <w:rPr>
          <w:rFonts w:ascii="Arial" w:hAnsi="Arial" w:cs="Arial"/>
          <w:sz w:val="22"/>
          <w:szCs w:val="22"/>
        </w:rPr>
      </w:pPr>
      <w:r>
        <w:rPr>
          <w:rFonts w:ascii="Arial" w:hAnsi="Arial" w:cs="Arial"/>
          <w:sz w:val="22"/>
          <w:szCs w:val="22"/>
        </w:rPr>
        <w:t>La</w:t>
      </w:r>
      <w:r w:rsidR="00625F2B" w:rsidRPr="00767651">
        <w:rPr>
          <w:rFonts w:ascii="Arial" w:hAnsi="Arial" w:cs="Arial"/>
          <w:sz w:val="22"/>
          <w:szCs w:val="22"/>
        </w:rPr>
        <w:t xml:space="preserve">s </w:t>
      </w:r>
      <w:r>
        <w:rPr>
          <w:rFonts w:ascii="Arial" w:hAnsi="Arial" w:cs="Arial"/>
          <w:sz w:val="22"/>
          <w:szCs w:val="22"/>
        </w:rPr>
        <w:t>cifras</w:t>
      </w:r>
      <w:r w:rsidR="00625F2B" w:rsidRPr="00767651">
        <w:rPr>
          <w:rFonts w:ascii="Arial" w:hAnsi="Arial" w:cs="Arial"/>
          <w:sz w:val="22"/>
          <w:szCs w:val="22"/>
        </w:rPr>
        <w:t xml:space="preserve"> y otra información correspondiente</w:t>
      </w:r>
      <w:r w:rsidR="00625F2B">
        <w:rPr>
          <w:rFonts w:ascii="Arial" w:hAnsi="Arial" w:cs="Arial"/>
          <w:sz w:val="22"/>
          <w:szCs w:val="22"/>
        </w:rPr>
        <w:t>s</w:t>
      </w:r>
      <w:r w:rsidR="00625F2B" w:rsidRPr="00767651">
        <w:rPr>
          <w:rFonts w:ascii="Arial" w:hAnsi="Arial" w:cs="Arial"/>
          <w:sz w:val="22"/>
          <w:szCs w:val="22"/>
        </w:rPr>
        <w:t xml:space="preserve"> al </w:t>
      </w:r>
      <w:r>
        <w:rPr>
          <w:rFonts w:ascii="Arial" w:hAnsi="Arial" w:cs="Arial"/>
          <w:sz w:val="22"/>
          <w:szCs w:val="22"/>
        </w:rPr>
        <w:t>ejercicio económico finalizado e</w:t>
      </w:r>
      <w:r w:rsidR="00625F2B" w:rsidRPr="00767651">
        <w:rPr>
          <w:rFonts w:ascii="Arial" w:hAnsi="Arial" w:cs="Arial"/>
          <w:sz w:val="22"/>
          <w:szCs w:val="22"/>
        </w:rPr>
        <w:t xml:space="preserve">l 31 de </w:t>
      </w:r>
      <w:r w:rsidR="00A41A0D">
        <w:rPr>
          <w:rFonts w:ascii="Arial" w:hAnsi="Arial" w:cs="Arial"/>
          <w:sz w:val="22"/>
          <w:szCs w:val="22"/>
        </w:rPr>
        <w:t>enero </w:t>
      </w:r>
      <w:r w:rsidR="00625F2B" w:rsidRPr="00767651">
        <w:rPr>
          <w:rFonts w:ascii="Arial" w:hAnsi="Arial" w:cs="Arial"/>
          <w:sz w:val="22"/>
          <w:szCs w:val="22"/>
        </w:rPr>
        <w:t xml:space="preserve">de </w:t>
      </w:r>
      <w:r w:rsidR="00625F2B">
        <w:rPr>
          <w:rFonts w:ascii="Arial" w:hAnsi="Arial" w:cs="Arial"/>
          <w:sz w:val="22"/>
          <w:szCs w:val="22"/>
        </w:rPr>
        <w:t>201</w:t>
      </w:r>
      <w:r w:rsidR="00A41A0D">
        <w:rPr>
          <w:rFonts w:ascii="Arial" w:hAnsi="Arial" w:cs="Arial"/>
          <w:sz w:val="22"/>
          <w:szCs w:val="22"/>
        </w:rPr>
        <w:t>9</w:t>
      </w:r>
      <w:r w:rsidR="003F59EE">
        <w:rPr>
          <w:rFonts w:ascii="Arial" w:hAnsi="Arial" w:cs="Arial"/>
          <w:sz w:val="22"/>
          <w:szCs w:val="22"/>
        </w:rPr>
        <w:t xml:space="preserve"> y al período de cuatro meses finalizado el 31 de mayo de 2018</w:t>
      </w:r>
      <w:r>
        <w:rPr>
          <w:rFonts w:ascii="Arial" w:hAnsi="Arial" w:cs="Arial"/>
          <w:sz w:val="22"/>
          <w:szCs w:val="22"/>
        </w:rPr>
        <w:t>,</w:t>
      </w:r>
      <w:r w:rsidR="003F59EE">
        <w:rPr>
          <w:rFonts w:ascii="Arial" w:hAnsi="Arial" w:cs="Arial"/>
          <w:sz w:val="22"/>
          <w:szCs w:val="22"/>
        </w:rPr>
        <w:t xml:space="preserve"> </w:t>
      </w:r>
      <w:r w:rsidR="00CD138C" w:rsidRPr="00767651">
        <w:rPr>
          <w:rFonts w:ascii="Arial" w:hAnsi="Arial" w:cs="Arial"/>
          <w:sz w:val="22"/>
          <w:szCs w:val="22"/>
        </w:rPr>
        <w:t>presentados con fines</w:t>
      </w:r>
      <w:r w:rsidR="00CD138C">
        <w:rPr>
          <w:rFonts w:ascii="Arial" w:hAnsi="Arial" w:cs="Arial"/>
          <w:sz w:val="22"/>
          <w:szCs w:val="22"/>
        </w:rPr>
        <w:t xml:space="preserve"> comparativos</w:t>
      </w:r>
      <w:r w:rsidR="00CD138C" w:rsidRPr="00767651">
        <w:rPr>
          <w:rFonts w:ascii="Arial" w:hAnsi="Arial" w:cs="Arial"/>
          <w:sz w:val="22"/>
          <w:szCs w:val="22"/>
        </w:rPr>
        <w:t>, son parte integrante de los estados conta</w:t>
      </w:r>
      <w:r w:rsidR="00CD138C">
        <w:rPr>
          <w:rFonts w:ascii="Arial" w:hAnsi="Arial" w:cs="Arial"/>
          <w:sz w:val="22"/>
          <w:szCs w:val="22"/>
        </w:rPr>
        <w:t>bles de LEDESMA FRUTAS S.A.U. mencionados precedentemente y se los presenta con</w:t>
      </w:r>
      <w:r w:rsidR="00CD138C" w:rsidRPr="00767651">
        <w:rPr>
          <w:rFonts w:ascii="Arial" w:hAnsi="Arial" w:cs="Arial"/>
          <w:sz w:val="22"/>
          <w:szCs w:val="22"/>
        </w:rPr>
        <w:t xml:space="preserve"> el propósito de</w:t>
      </w:r>
      <w:r w:rsidR="00CD138C">
        <w:rPr>
          <w:rFonts w:ascii="Arial" w:hAnsi="Arial" w:cs="Arial"/>
          <w:sz w:val="22"/>
          <w:szCs w:val="22"/>
        </w:rPr>
        <w:t xml:space="preserve"> que se interpreten exclusivamente</w:t>
      </w:r>
      <w:r w:rsidR="00CD138C" w:rsidRPr="00767651">
        <w:rPr>
          <w:rFonts w:ascii="Arial" w:hAnsi="Arial" w:cs="Arial"/>
          <w:sz w:val="22"/>
          <w:szCs w:val="22"/>
        </w:rPr>
        <w:t xml:space="preserve"> en relación con </w:t>
      </w:r>
      <w:r w:rsidR="00CD138C">
        <w:rPr>
          <w:rFonts w:ascii="Arial" w:hAnsi="Arial" w:cs="Arial"/>
          <w:sz w:val="22"/>
          <w:szCs w:val="22"/>
        </w:rPr>
        <w:t xml:space="preserve">las cifras y con </w:t>
      </w:r>
      <w:r>
        <w:rPr>
          <w:rFonts w:ascii="Arial" w:hAnsi="Arial" w:cs="Arial"/>
          <w:sz w:val="22"/>
          <w:szCs w:val="22"/>
        </w:rPr>
        <w:t>la información del periodo</w:t>
      </w:r>
      <w:r w:rsidR="00CD138C">
        <w:rPr>
          <w:rFonts w:ascii="Arial" w:hAnsi="Arial" w:cs="Arial"/>
          <w:sz w:val="22"/>
          <w:szCs w:val="22"/>
        </w:rPr>
        <w:t xml:space="preserve"> actual.</w:t>
      </w:r>
    </w:p>
    <w:p w:rsidR="00625F2B" w:rsidRPr="009D33E2" w:rsidRDefault="00625F2B" w:rsidP="00625F2B">
      <w:pPr>
        <w:spacing w:line="240" w:lineRule="exact"/>
        <w:ind w:left="426"/>
        <w:jc w:val="both"/>
        <w:rPr>
          <w:rFonts w:ascii="Arial" w:hAnsi="Arial" w:cs="Arial"/>
          <w:b/>
          <w:sz w:val="22"/>
          <w:szCs w:val="22"/>
        </w:rPr>
      </w:pPr>
    </w:p>
    <w:p w:rsidR="00625F2B" w:rsidRDefault="00625F2B" w:rsidP="00625F2B">
      <w:pPr>
        <w:numPr>
          <w:ilvl w:val="1"/>
          <w:numId w:val="6"/>
        </w:numPr>
        <w:tabs>
          <w:tab w:val="clear" w:pos="1647"/>
          <w:tab w:val="num" w:pos="142"/>
        </w:tabs>
        <w:spacing w:line="240" w:lineRule="exact"/>
        <w:ind w:left="426"/>
        <w:jc w:val="both"/>
        <w:rPr>
          <w:rFonts w:ascii="Arial" w:hAnsi="Arial" w:cs="Arial"/>
          <w:b/>
          <w:sz w:val="22"/>
          <w:szCs w:val="22"/>
          <w:lang w:val="es-MX"/>
        </w:rPr>
      </w:pPr>
      <w:r w:rsidRPr="00330AB0">
        <w:rPr>
          <w:rFonts w:ascii="Arial" w:hAnsi="Arial" w:cs="Arial"/>
          <w:b/>
          <w:sz w:val="22"/>
          <w:szCs w:val="22"/>
          <w:lang w:val="es-MX"/>
        </w:rPr>
        <w:t>Responsabilidad del Directorio en relación con los estados contables</w:t>
      </w:r>
    </w:p>
    <w:p w:rsidR="00CD138C" w:rsidRPr="00330AB0" w:rsidRDefault="00CD138C" w:rsidP="00CD138C">
      <w:pPr>
        <w:spacing w:line="240" w:lineRule="exact"/>
        <w:jc w:val="both"/>
        <w:rPr>
          <w:rFonts w:ascii="Arial" w:hAnsi="Arial" w:cs="Arial"/>
          <w:b/>
          <w:sz w:val="22"/>
          <w:szCs w:val="22"/>
          <w:lang w:val="es-MX"/>
        </w:rPr>
      </w:pPr>
    </w:p>
    <w:p w:rsidR="00A41A0D" w:rsidRPr="00767651" w:rsidRDefault="00CD138C" w:rsidP="00A41A0D">
      <w:pPr>
        <w:ind w:left="360"/>
        <w:jc w:val="both"/>
        <w:rPr>
          <w:rFonts w:ascii="Arial" w:hAnsi="Arial" w:cs="Arial"/>
          <w:sz w:val="22"/>
          <w:szCs w:val="22"/>
        </w:rPr>
      </w:pPr>
      <w:r w:rsidRPr="00767651">
        <w:rPr>
          <w:rFonts w:ascii="Arial" w:hAnsi="Arial" w:cs="Arial"/>
          <w:sz w:val="22"/>
          <w:szCs w:val="22"/>
        </w:rPr>
        <w:t>El Directorio d</w:t>
      </w:r>
      <w:r>
        <w:rPr>
          <w:rFonts w:ascii="Arial" w:hAnsi="Arial" w:cs="Arial"/>
          <w:sz w:val="22"/>
          <w:szCs w:val="22"/>
        </w:rPr>
        <w:t>e la Sociedad es responsable de</w:t>
      </w:r>
      <w:r w:rsidRPr="00767651">
        <w:rPr>
          <w:rFonts w:ascii="Arial" w:hAnsi="Arial" w:cs="Arial"/>
          <w:sz w:val="22"/>
          <w:szCs w:val="22"/>
        </w:rPr>
        <w:t xml:space="preserve"> la preparación y presentación razonable de los estados contables de acuerdo con las normas contables</w:t>
      </w:r>
      <w:r>
        <w:rPr>
          <w:rFonts w:ascii="Arial" w:hAnsi="Arial" w:cs="Arial"/>
          <w:sz w:val="22"/>
          <w:szCs w:val="22"/>
        </w:rPr>
        <w:t xml:space="preserve"> profesionales</w:t>
      </w:r>
      <w:r w:rsidRPr="00767651">
        <w:rPr>
          <w:rFonts w:ascii="Arial" w:hAnsi="Arial" w:cs="Arial"/>
          <w:sz w:val="22"/>
          <w:szCs w:val="22"/>
        </w:rPr>
        <w:t xml:space="preserve"> vigentes en la </w:t>
      </w:r>
      <w:r w:rsidRPr="00330AB0">
        <w:rPr>
          <w:rFonts w:ascii="Arial" w:hAnsi="Arial" w:cs="Arial"/>
          <w:sz w:val="22"/>
          <w:szCs w:val="22"/>
        </w:rPr>
        <w:t>Ciudad Autónoma de Buenos Aires</w:t>
      </w:r>
      <w:r w:rsidRPr="00767651">
        <w:rPr>
          <w:rFonts w:ascii="Arial" w:hAnsi="Arial" w:cs="Arial"/>
          <w:sz w:val="22"/>
          <w:szCs w:val="22"/>
        </w:rPr>
        <w:t xml:space="preserve"> para empresas no incluidas en el régimen de oferta pública</w:t>
      </w:r>
      <w:r w:rsidR="00157F3E">
        <w:rPr>
          <w:rFonts w:ascii="Arial" w:hAnsi="Arial" w:cs="Arial"/>
          <w:sz w:val="22"/>
          <w:szCs w:val="22"/>
        </w:rPr>
        <w:t>,</w:t>
      </w:r>
      <w:r w:rsidRPr="00767651">
        <w:rPr>
          <w:rFonts w:ascii="Arial" w:hAnsi="Arial" w:cs="Arial"/>
          <w:sz w:val="22"/>
          <w:szCs w:val="22"/>
        </w:rPr>
        <w:t xml:space="preserve"> y las normas pertinentes de la Ley General de Sociedades. Esta responsabilidad incluye diseñar, implementar y mantener un sistema de control interno adecuado, para que dichos estados contables no incluyan distorsiones significativas originadas en errores o irregularidades; seleccionar y aplicar políticas contables apropiadas</w:t>
      </w:r>
      <w:r w:rsidR="00157F3E">
        <w:rPr>
          <w:rFonts w:ascii="Arial" w:hAnsi="Arial" w:cs="Arial"/>
          <w:sz w:val="22"/>
          <w:szCs w:val="22"/>
        </w:rPr>
        <w:t>,</w:t>
      </w:r>
      <w:r w:rsidRPr="00767651">
        <w:rPr>
          <w:rFonts w:ascii="Arial" w:hAnsi="Arial" w:cs="Arial"/>
          <w:sz w:val="22"/>
          <w:szCs w:val="22"/>
        </w:rPr>
        <w:t xml:space="preserve"> y efectuar las estimaciones que resulten razonables según las circunstancia</w:t>
      </w:r>
      <w:bookmarkStart w:id="0" w:name="_GoBack"/>
      <w:bookmarkEnd w:id="0"/>
      <w:r w:rsidRPr="00767651">
        <w:rPr>
          <w:rFonts w:ascii="Arial" w:hAnsi="Arial" w:cs="Arial"/>
          <w:sz w:val="22"/>
          <w:szCs w:val="22"/>
        </w:rPr>
        <w:t>s.</w:t>
      </w:r>
    </w:p>
    <w:p w:rsidR="00A41A0D" w:rsidRDefault="00A41A0D" w:rsidP="00625F2B">
      <w:pPr>
        <w:ind w:left="360"/>
        <w:jc w:val="both"/>
        <w:rPr>
          <w:rFonts w:ascii="Arial" w:hAnsi="Arial" w:cs="Arial"/>
          <w:sz w:val="22"/>
          <w:szCs w:val="22"/>
        </w:rPr>
      </w:pPr>
    </w:p>
    <w:p w:rsidR="00625F2B" w:rsidRPr="00330AB0" w:rsidRDefault="00157F3E" w:rsidP="00625F2B">
      <w:pPr>
        <w:numPr>
          <w:ilvl w:val="1"/>
          <w:numId w:val="6"/>
        </w:numPr>
        <w:tabs>
          <w:tab w:val="clear" w:pos="1647"/>
          <w:tab w:val="num" w:pos="142"/>
        </w:tabs>
        <w:spacing w:line="240" w:lineRule="exact"/>
        <w:ind w:left="426"/>
        <w:jc w:val="both"/>
        <w:rPr>
          <w:rFonts w:ascii="Arial" w:hAnsi="Arial" w:cs="Arial"/>
          <w:b/>
          <w:sz w:val="22"/>
          <w:szCs w:val="22"/>
          <w:lang w:val="es-MX"/>
        </w:rPr>
      </w:pPr>
      <w:r>
        <w:rPr>
          <w:rFonts w:ascii="Arial" w:hAnsi="Arial" w:cs="Arial"/>
          <w:b/>
          <w:sz w:val="22"/>
          <w:szCs w:val="22"/>
          <w:lang w:val="es-MX"/>
        </w:rPr>
        <w:t>Responsabilidad del a</w:t>
      </w:r>
      <w:r w:rsidR="00625F2B" w:rsidRPr="00330AB0">
        <w:rPr>
          <w:rFonts w:ascii="Arial" w:hAnsi="Arial" w:cs="Arial"/>
          <w:b/>
          <w:sz w:val="22"/>
          <w:szCs w:val="22"/>
          <w:lang w:val="es-MX"/>
        </w:rPr>
        <w:t>uditor</w:t>
      </w:r>
    </w:p>
    <w:p w:rsidR="00625F2B" w:rsidRPr="00E46B8D" w:rsidRDefault="00625F2B" w:rsidP="00625F2B">
      <w:pPr>
        <w:ind w:right="639" w:firstLine="180"/>
        <w:rPr>
          <w:rFonts w:ascii="Arial" w:hAnsi="Arial" w:cs="Arial"/>
          <w:b/>
          <w:sz w:val="22"/>
          <w:szCs w:val="22"/>
          <w:lang w:val="es-MX"/>
        </w:rPr>
      </w:pPr>
    </w:p>
    <w:p w:rsidR="00CD138C" w:rsidRDefault="00CD138C" w:rsidP="00CD138C">
      <w:pPr>
        <w:ind w:left="360"/>
        <w:jc w:val="both"/>
        <w:rPr>
          <w:rFonts w:ascii="Arial" w:hAnsi="Arial" w:cs="Arial"/>
          <w:sz w:val="22"/>
          <w:szCs w:val="22"/>
        </w:rPr>
      </w:pPr>
      <w:r w:rsidRPr="00767651">
        <w:rPr>
          <w:rFonts w:ascii="Arial" w:hAnsi="Arial" w:cs="Arial"/>
          <w:sz w:val="22"/>
          <w:szCs w:val="22"/>
        </w:rPr>
        <w:t>Mi responsabilidad consiste en expresar una opinión sobre los estados contables</w:t>
      </w:r>
      <w:r>
        <w:rPr>
          <w:rFonts w:ascii="Arial" w:hAnsi="Arial" w:cs="Arial"/>
          <w:sz w:val="22"/>
          <w:szCs w:val="22"/>
        </w:rPr>
        <w:t xml:space="preserve"> mencionados </w:t>
      </w:r>
      <w:r w:rsidRPr="00767651">
        <w:rPr>
          <w:rFonts w:ascii="Arial" w:hAnsi="Arial" w:cs="Arial"/>
          <w:sz w:val="22"/>
          <w:szCs w:val="22"/>
        </w:rPr>
        <w:t>en el párrafo 1.</w:t>
      </w:r>
      <w:r>
        <w:rPr>
          <w:rFonts w:ascii="Arial" w:hAnsi="Arial" w:cs="Arial"/>
          <w:sz w:val="22"/>
          <w:szCs w:val="22"/>
        </w:rPr>
        <w:t xml:space="preserve"> </w:t>
      </w:r>
      <w:r w:rsidRPr="00767651">
        <w:rPr>
          <w:rFonts w:ascii="Arial" w:hAnsi="Arial" w:cs="Arial"/>
          <w:sz w:val="22"/>
          <w:szCs w:val="22"/>
        </w:rPr>
        <w:t>basada en la auditoría efectuada</w:t>
      </w:r>
      <w:r>
        <w:rPr>
          <w:rFonts w:ascii="Arial" w:hAnsi="Arial" w:cs="Arial"/>
          <w:sz w:val="22"/>
          <w:szCs w:val="22"/>
        </w:rPr>
        <w:t xml:space="preserve">. He llevado a cabo mi </w:t>
      </w:r>
      <w:r w:rsidR="00157F3E">
        <w:rPr>
          <w:rFonts w:ascii="Arial" w:hAnsi="Arial" w:cs="Arial"/>
          <w:sz w:val="22"/>
          <w:szCs w:val="22"/>
        </w:rPr>
        <w:t>examen</w:t>
      </w:r>
      <w:r>
        <w:rPr>
          <w:rFonts w:ascii="Arial" w:hAnsi="Arial" w:cs="Arial"/>
          <w:sz w:val="22"/>
          <w:szCs w:val="22"/>
        </w:rPr>
        <w:t xml:space="preserve"> </w:t>
      </w:r>
      <w:r w:rsidRPr="00767651">
        <w:rPr>
          <w:rFonts w:ascii="Arial" w:hAnsi="Arial" w:cs="Arial"/>
          <w:sz w:val="22"/>
          <w:szCs w:val="22"/>
        </w:rPr>
        <w:t>de conformidad con las normas de auditoría</w:t>
      </w:r>
      <w:r>
        <w:rPr>
          <w:rFonts w:ascii="Arial" w:hAnsi="Arial" w:cs="Arial"/>
          <w:sz w:val="22"/>
          <w:szCs w:val="22"/>
        </w:rPr>
        <w:t xml:space="preserve"> </w:t>
      </w:r>
      <w:r w:rsidRPr="00767651">
        <w:rPr>
          <w:rFonts w:ascii="Arial" w:hAnsi="Arial" w:cs="Arial"/>
          <w:sz w:val="22"/>
          <w:szCs w:val="22"/>
        </w:rPr>
        <w:t>estab</w:t>
      </w:r>
      <w:r>
        <w:rPr>
          <w:rFonts w:ascii="Arial" w:hAnsi="Arial" w:cs="Arial"/>
          <w:sz w:val="22"/>
          <w:szCs w:val="22"/>
        </w:rPr>
        <w:t xml:space="preserve">lecidas en la Resolución </w:t>
      </w:r>
      <w:r w:rsidRPr="00767651">
        <w:rPr>
          <w:rFonts w:ascii="Arial" w:hAnsi="Arial" w:cs="Arial"/>
          <w:sz w:val="22"/>
          <w:szCs w:val="22"/>
        </w:rPr>
        <w:t>Técnica N° 37 de la Federación Argentina de Consejos Profesionales de Ciencias Económicas</w:t>
      </w:r>
      <w:r w:rsidR="00157F3E">
        <w:rPr>
          <w:rFonts w:ascii="Arial" w:hAnsi="Arial" w:cs="Arial"/>
          <w:sz w:val="22"/>
          <w:szCs w:val="22"/>
        </w:rPr>
        <w:t xml:space="preserve"> (FACPCE)</w:t>
      </w:r>
      <w:r w:rsidRPr="00767651">
        <w:rPr>
          <w:rFonts w:ascii="Arial" w:hAnsi="Arial" w:cs="Arial"/>
          <w:sz w:val="22"/>
          <w:szCs w:val="22"/>
        </w:rPr>
        <w:t>. Dichas normas exigen que cumpla con los requerimientos de ética, así como que planifique y ejecute la auditoría con el fin de obtener seguridad razonable de que los estados contables están libres de incorrecciones significativas.</w:t>
      </w:r>
    </w:p>
    <w:p w:rsidR="00CD138C" w:rsidRDefault="00CD138C" w:rsidP="00CD138C">
      <w:pPr>
        <w:ind w:left="360"/>
        <w:jc w:val="both"/>
        <w:rPr>
          <w:rFonts w:ascii="Arial" w:hAnsi="Arial" w:cs="Arial"/>
          <w:sz w:val="22"/>
          <w:szCs w:val="22"/>
        </w:rPr>
      </w:pPr>
    </w:p>
    <w:p w:rsidR="003E54B0" w:rsidRDefault="00CD138C" w:rsidP="00CD138C">
      <w:pPr>
        <w:ind w:left="360"/>
        <w:jc w:val="both"/>
        <w:rPr>
          <w:rFonts w:ascii="Arial" w:hAnsi="Arial" w:cs="Arial"/>
          <w:sz w:val="22"/>
          <w:szCs w:val="22"/>
        </w:rPr>
      </w:pPr>
      <w:r w:rsidRPr="00767651">
        <w:rPr>
          <w:rFonts w:ascii="Arial" w:hAnsi="Arial" w:cs="Arial"/>
          <w:sz w:val="22"/>
          <w:szCs w:val="22"/>
        </w:rPr>
        <w:lastRenderedPageBreak/>
        <w:t xml:space="preserve">Una auditoría conlleva la aplicación de procedimientos para obtener elementos de juicio sobre las cifras y la información presentada en los estados contables. Los </w:t>
      </w:r>
    </w:p>
    <w:p w:rsidR="00CD138C" w:rsidRDefault="00CD138C" w:rsidP="00CD138C">
      <w:pPr>
        <w:ind w:left="360"/>
        <w:jc w:val="both"/>
        <w:rPr>
          <w:rFonts w:ascii="Arial" w:hAnsi="Arial" w:cs="Arial"/>
          <w:sz w:val="22"/>
          <w:szCs w:val="22"/>
        </w:rPr>
      </w:pPr>
      <w:r w:rsidRPr="00767651">
        <w:rPr>
          <w:rFonts w:ascii="Arial" w:hAnsi="Arial" w:cs="Arial"/>
          <w:sz w:val="22"/>
          <w:szCs w:val="22"/>
        </w:rPr>
        <w:t xml:space="preserve">procedimientos seleccionados dependen del juicio del auditor, incluida la valoración de los riesgos de incorrecciones significativas en los estados contables. Al efectuar dichas valoraciones del riesgo, el auditor tiene en cuenta el control interno pertinente para la preparación y presentación razonable por parte de la entidad de los estados contables, con el fin de diseñar los procedimientos de auditoría que sean adecuados en función de las circunstancias y no con la finalidad de expresar una opinión sobre la eficacia del control interno de la entidad. Una auditoría también incluye la evaluación de la adecuación de las políticas contables aplicadas y de la razonabilidad de las estimaciones contables realizadas por la </w:t>
      </w:r>
      <w:r w:rsidR="00157F3E">
        <w:rPr>
          <w:rFonts w:ascii="Arial" w:hAnsi="Arial" w:cs="Arial"/>
          <w:sz w:val="22"/>
          <w:szCs w:val="22"/>
        </w:rPr>
        <w:t>D</w:t>
      </w:r>
      <w:r w:rsidRPr="00767651">
        <w:rPr>
          <w:rFonts w:ascii="Arial" w:hAnsi="Arial" w:cs="Arial"/>
          <w:sz w:val="22"/>
          <w:szCs w:val="22"/>
        </w:rPr>
        <w:t>irección de la entidad, así como la evaluación de la presentación de los estados contables en su conjunto.</w:t>
      </w:r>
    </w:p>
    <w:p w:rsidR="00625F2B" w:rsidRDefault="00625F2B" w:rsidP="00625F2B">
      <w:pPr>
        <w:ind w:left="360"/>
        <w:jc w:val="both"/>
        <w:rPr>
          <w:rFonts w:ascii="Arial" w:hAnsi="Arial" w:cs="Arial"/>
          <w:sz w:val="22"/>
          <w:szCs w:val="22"/>
        </w:rPr>
      </w:pPr>
    </w:p>
    <w:p w:rsidR="005B6BB1" w:rsidRDefault="00CD138C" w:rsidP="005B6BB1">
      <w:pPr>
        <w:ind w:left="360"/>
        <w:jc w:val="both"/>
        <w:rPr>
          <w:rFonts w:ascii="Arial" w:hAnsi="Arial" w:cs="Arial"/>
          <w:sz w:val="22"/>
          <w:szCs w:val="22"/>
        </w:rPr>
      </w:pPr>
      <w:r>
        <w:rPr>
          <w:rFonts w:ascii="Arial" w:hAnsi="Arial" w:cs="Arial"/>
          <w:sz w:val="22"/>
          <w:szCs w:val="22"/>
        </w:rPr>
        <w:t>Considero que los elementos de juicio obtenidos brindan una base suficiente y adecuada para fundamentar mi opinión de auditoría</w:t>
      </w:r>
      <w:r w:rsidRPr="00767651">
        <w:rPr>
          <w:rFonts w:ascii="Arial" w:hAnsi="Arial" w:cs="Arial"/>
          <w:sz w:val="22"/>
          <w:szCs w:val="22"/>
        </w:rPr>
        <w:t>.</w:t>
      </w:r>
    </w:p>
    <w:p w:rsidR="005B6BB1" w:rsidRDefault="005B6BB1" w:rsidP="005B6BB1">
      <w:pPr>
        <w:ind w:left="360"/>
        <w:jc w:val="both"/>
        <w:rPr>
          <w:rFonts w:ascii="Arial" w:hAnsi="Arial" w:cs="Arial"/>
          <w:sz w:val="22"/>
          <w:szCs w:val="22"/>
        </w:rPr>
      </w:pPr>
    </w:p>
    <w:p w:rsidR="00D31BBD" w:rsidRPr="00D31BBD" w:rsidRDefault="00D31BBD" w:rsidP="00D31BBD">
      <w:pPr>
        <w:numPr>
          <w:ilvl w:val="1"/>
          <w:numId w:val="6"/>
        </w:numPr>
        <w:tabs>
          <w:tab w:val="clear" w:pos="1647"/>
          <w:tab w:val="num" w:pos="142"/>
        </w:tabs>
        <w:spacing w:line="240" w:lineRule="exact"/>
        <w:ind w:left="426"/>
        <w:jc w:val="both"/>
        <w:rPr>
          <w:rFonts w:ascii="Arial" w:hAnsi="Arial" w:cs="Arial"/>
          <w:b/>
          <w:sz w:val="22"/>
          <w:szCs w:val="22"/>
          <w:lang w:val="es-MX"/>
        </w:rPr>
      </w:pPr>
      <w:r w:rsidRPr="00D31BBD">
        <w:rPr>
          <w:rFonts w:ascii="Arial" w:hAnsi="Arial" w:cs="Arial"/>
          <w:b/>
          <w:sz w:val="22"/>
          <w:szCs w:val="22"/>
          <w:lang w:val="es-MX"/>
        </w:rPr>
        <w:t>Fundamentos de la opinión con salvedades</w:t>
      </w:r>
    </w:p>
    <w:p w:rsidR="00D31BBD" w:rsidRDefault="00D31BBD" w:rsidP="005B6BB1">
      <w:pPr>
        <w:ind w:left="360"/>
        <w:jc w:val="both"/>
        <w:rPr>
          <w:rFonts w:ascii="Arial" w:hAnsi="Arial" w:cs="Arial"/>
          <w:sz w:val="22"/>
          <w:szCs w:val="22"/>
        </w:rPr>
      </w:pPr>
    </w:p>
    <w:p w:rsidR="005B6BB1" w:rsidRPr="005B6BB1" w:rsidRDefault="005B6BB1" w:rsidP="005B6BB1">
      <w:pPr>
        <w:ind w:left="360"/>
        <w:jc w:val="both"/>
        <w:rPr>
          <w:rFonts w:ascii="Arial" w:hAnsi="Arial" w:cs="Arial"/>
          <w:sz w:val="22"/>
          <w:szCs w:val="22"/>
        </w:rPr>
      </w:pPr>
      <w:r w:rsidRPr="005B6BB1">
        <w:rPr>
          <w:rFonts w:ascii="Arial" w:hAnsi="Arial" w:cs="Arial"/>
          <w:sz w:val="22"/>
          <w:szCs w:val="22"/>
        </w:rPr>
        <w:t>T</w:t>
      </w:r>
      <w:r w:rsidR="0079543B">
        <w:rPr>
          <w:rFonts w:ascii="Arial" w:hAnsi="Arial" w:cs="Arial"/>
          <w:sz w:val="22"/>
          <w:szCs w:val="22"/>
        </w:rPr>
        <w:t>al como se menciona en la Nota 5</w:t>
      </w:r>
      <w:r w:rsidRPr="005B6BB1">
        <w:rPr>
          <w:rFonts w:ascii="Arial" w:hAnsi="Arial" w:cs="Arial"/>
          <w:sz w:val="22"/>
          <w:szCs w:val="22"/>
        </w:rPr>
        <w:t xml:space="preserve"> a los estados</w:t>
      </w:r>
      <w:r w:rsidR="00DA122D">
        <w:rPr>
          <w:rFonts w:ascii="Arial" w:hAnsi="Arial" w:cs="Arial"/>
          <w:sz w:val="22"/>
          <w:szCs w:val="22"/>
        </w:rPr>
        <w:t xml:space="preserve"> contables al 31 de mayo de 2019</w:t>
      </w:r>
      <w:r w:rsidRPr="005B6BB1">
        <w:rPr>
          <w:rFonts w:ascii="Arial" w:hAnsi="Arial" w:cs="Arial"/>
          <w:sz w:val="22"/>
          <w:szCs w:val="22"/>
        </w:rPr>
        <w:t>, la Sociedad se encuentra negociando con Ledesma S.A.A.I. los volúmenes y precios de la f</w:t>
      </w:r>
      <w:r w:rsidR="00DA122D">
        <w:rPr>
          <w:rFonts w:ascii="Arial" w:hAnsi="Arial" w:cs="Arial"/>
          <w:sz w:val="22"/>
          <w:szCs w:val="22"/>
        </w:rPr>
        <w:t>ruta asociados a la campaña 2019</w:t>
      </w:r>
      <w:r w:rsidRPr="005B6BB1">
        <w:rPr>
          <w:rFonts w:ascii="Arial" w:hAnsi="Arial" w:cs="Arial"/>
          <w:sz w:val="22"/>
          <w:szCs w:val="22"/>
        </w:rPr>
        <w:t xml:space="preserve">. Por consiguiente y sujeto al cierre de la mencionada negociación, los importes registrados en ventas, en el costo de mercaderías vendidas y en bienes de cambio al cierre del período de cuatro meses finalizado </w:t>
      </w:r>
      <w:r w:rsidR="00DA122D">
        <w:rPr>
          <w:rFonts w:ascii="Arial" w:hAnsi="Arial" w:cs="Arial"/>
          <w:sz w:val="22"/>
          <w:szCs w:val="22"/>
        </w:rPr>
        <w:t>el 31 de mayo de 2019</w:t>
      </w:r>
      <w:r w:rsidRPr="005B6BB1">
        <w:rPr>
          <w:rFonts w:ascii="Arial" w:hAnsi="Arial" w:cs="Arial"/>
          <w:sz w:val="22"/>
          <w:szCs w:val="22"/>
        </w:rPr>
        <w:t>, podrían requerir ser ajustados.</w:t>
      </w:r>
    </w:p>
    <w:p w:rsidR="00CD138C" w:rsidRDefault="00CD138C" w:rsidP="00625F2B">
      <w:pPr>
        <w:ind w:left="360"/>
        <w:jc w:val="both"/>
        <w:rPr>
          <w:rFonts w:ascii="Arial" w:hAnsi="Arial" w:cs="Arial"/>
          <w:sz w:val="22"/>
          <w:szCs w:val="22"/>
        </w:rPr>
      </w:pPr>
    </w:p>
    <w:p w:rsidR="00A41A0D" w:rsidRPr="00330AB0" w:rsidRDefault="001F5DCC" w:rsidP="00A41A0D">
      <w:pPr>
        <w:numPr>
          <w:ilvl w:val="1"/>
          <w:numId w:val="6"/>
        </w:numPr>
        <w:tabs>
          <w:tab w:val="clear" w:pos="1647"/>
          <w:tab w:val="num" w:pos="142"/>
        </w:tabs>
        <w:spacing w:line="240" w:lineRule="exact"/>
        <w:ind w:left="426"/>
        <w:jc w:val="both"/>
        <w:rPr>
          <w:rFonts w:ascii="Arial" w:hAnsi="Arial" w:cs="Arial"/>
          <w:b/>
          <w:sz w:val="22"/>
          <w:szCs w:val="22"/>
          <w:lang w:val="es-MX"/>
        </w:rPr>
      </w:pPr>
      <w:r>
        <w:rPr>
          <w:rFonts w:ascii="Arial" w:hAnsi="Arial" w:cs="Arial"/>
          <w:b/>
          <w:sz w:val="22"/>
          <w:szCs w:val="22"/>
          <w:lang w:val="es-MX"/>
        </w:rPr>
        <w:t>Opinión</w:t>
      </w:r>
      <w:r w:rsidR="005E5153">
        <w:rPr>
          <w:rFonts w:ascii="Arial" w:hAnsi="Arial" w:cs="Arial"/>
          <w:b/>
          <w:sz w:val="22"/>
          <w:szCs w:val="22"/>
          <w:lang w:val="es-MX"/>
        </w:rPr>
        <w:t xml:space="preserve"> con salvedades</w:t>
      </w:r>
    </w:p>
    <w:p w:rsidR="00A41A0D" w:rsidRPr="00E46B8D" w:rsidRDefault="00A41A0D" w:rsidP="00A41A0D">
      <w:pPr>
        <w:ind w:right="639" w:firstLine="180"/>
        <w:rPr>
          <w:rFonts w:ascii="Arial" w:hAnsi="Arial" w:cs="Arial"/>
          <w:b/>
          <w:sz w:val="22"/>
          <w:szCs w:val="22"/>
          <w:lang w:val="es-MX"/>
        </w:rPr>
      </w:pPr>
    </w:p>
    <w:p w:rsidR="00625F2B" w:rsidRDefault="001F5DCC" w:rsidP="00625F2B">
      <w:pPr>
        <w:ind w:left="360"/>
        <w:jc w:val="both"/>
        <w:rPr>
          <w:rFonts w:ascii="Arial" w:hAnsi="Arial" w:cs="Arial"/>
          <w:sz w:val="22"/>
          <w:szCs w:val="22"/>
        </w:rPr>
      </w:pPr>
      <w:r w:rsidRPr="009266B3">
        <w:rPr>
          <w:rFonts w:ascii="Arial" w:hAnsi="Arial" w:cs="Arial"/>
          <w:sz w:val="22"/>
          <w:szCs w:val="22"/>
        </w:rPr>
        <w:t xml:space="preserve">En mi opinión, basada en la auditoría </w:t>
      </w:r>
      <w:r>
        <w:rPr>
          <w:rFonts w:ascii="Arial" w:hAnsi="Arial" w:cs="Arial"/>
          <w:sz w:val="22"/>
          <w:szCs w:val="22"/>
        </w:rPr>
        <w:t>efectuada</w:t>
      </w:r>
      <w:r w:rsidRPr="009266B3">
        <w:rPr>
          <w:rFonts w:ascii="Arial" w:hAnsi="Arial" w:cs="Arial"/>
          <w:sz w:val="22"/>
          <w:szCs w:val="22"/>
        </w:rPr>
        <w:t>,</w:t>
      </w:r>
      <w:r w:rsidR="00021649">
        <w:rPr>
          <w:rFonts w:ascii="Arial" w:hAnsi="Arial" w:cs="Arial"/>
          <w:sz w:val="22"/>
          <w:szCs w:val="22"/>
        </w:rPr>
        <w:t xml:space="preserve"> con el alcance mencionado en el párrafo 3, y sujeto a la resolución de la situación descripta en el párrafo 4,</w:t>
      </w:r>
      <w:r w:rsidRPr="009266B3">
        <w:rPr>
          <w:rFonts w:ascii="Arial" w:hAnsi="Arial" w:cs="Arial"/>
          <w:sz w:val="22"/>
          <w:szCs w:val="22"/>
        </w:rPr>
        <w:t xml:space="preserve"> los estados contables mencionados en el párrafo 1. </w:t>
      </w:r>
      <w:proofErr w:type="gramStart"/>
      <w:r w:rsidRPr="009266B3">
        <w:rPr>
          <w:rFonts w:ascii="Arial" w:hAnsi="Arial" w:cs="Arial"/>
          <w:sz w:val="22"/>
          <w:szCs w:val="22"/>
        </w:rPr>
        <w:t>presentan</w:t>
      </w:r>
      <w:proofErr w:type="gramEnd"/>
      <w:r w:rsidRPr="009266B3">
        <w:rPr>
          <w:rFonts w:ascii="Arial" w:hAnsi="Arial" w:cs="Arial"/>
          <w:sz w:val="22"/>
          <w:szCs w:val="22"/>
        </w:rPr>
        <w:t xml:space="preserve"> razonablemente, en todos sus aspectos significativos, la situación patrimonial</w:t>
      </w:r>
      <w:r>
        <w:rPr>
          <w:rFonts w:ascii="Arial" w:hAnsi="Arial" w:cs="Arial"/>
          <w:sz w:val="22"/>
          <w:szCs w:val="22"/>
        </w:rPr>
        <w:t xml:space="preserve"> de Ledesma Frutas S.A.U. al 31 de mayo de 2019</w:t>
      </w:r>
      <w:r w:rsidRPr="009266B3">
        <w:rPr>
          <w:rFonts w:ascii="Arial" w:hAnsi="Arial" w:cs="Arial"/>
          <w:sz w:val="22"/>
          <w:szCs w:val="22"/>
        </w:rPr>
        <w:t xml:space="preserve">, </w:t>
      </w:r>
      <w:r>
        <w:rPr>
          <w:rFonts w:ascii="Arial" w:hAnsi="Arial" w:cs="Arial"/>
          <w:sz w:val="22"/>
          <w:szCs w:val="22"/>
        </w:rPr>
        <w:t xml:space="preserve">así como sus resultados, la evolución de su patrimonio neto y el flujo de su efectivo correspondientes al </w:t>
      </w:r>
      <w:r w:rsidR="00157F3E">
        <w:rPr>
          <w:rFonts w:ascii="Arial" w:hAnsi="Arial" w:cs="Arial"/>
          <w:sz w:val="22"/>
          <w:szCs w:val="22"/>
        </w:rPr>
        <w:t>periodo de cuatro meses finalizado en esa fecha</w:t>
      </w:r>
      <w:r>
        <w:rPr>
          <w:rFonts w:ascii="Arial" w:hAnsi="Arial" w:cs="Arial"/>
          <w:sz w:val="22"/>
          <w:szCs w:val="22"/>
        </w:rPr>
        <w:t xml:space="preserve">, de </w:t>
      </w:r>
      <w:r w:rsidRPr="009266B3">
        <w:rPr>
          <w:rFonts w:ascii="Arial" w:hAnsi="Arial" w:cs="Arial"/>
          <w:sz w:val="22"/>
          <w:szCs w:val="22"/>
        </w:rPr>
        <w:t>conformidad con las normas contables profesionales</w:t>
      </w:r>
      <w:r>
        <w:rPr>
          <w:rFonts w:ascii="Arial" w:hAnsi="Arial" w:cs="Arial"/>
          <w:sz w:val="22"/>
          <w:szCs w:val="22"/>
        </w:rPr>
        <w:t xml:space="preserve"> argentinas</w:t>
      </w:r>
      <w:r w:rsidRPr="009266B3">
        <w:rPr>
          <w:rFonts w:ascii="Arial" w:hAnsi="Arial" w:cs="Arial"/>
          <w:sz w:val="22"/>
          <w:szCs w:val="22"/>
        </w:rPr>
        <w:t xml:space="preserve"> vigentes en la Ciudad Autónoma de Buenos Aires, República Argentina.</w:t>
      </w:r>
    </w:p>
    <w:p w:rsidR="00961152" w:rsidRDefault="00961152" w:rsidP="00625F2B">
      <w:pPr>
        <w:ind w:left="360"/>
        <w:jc w:val="both"/>
        <w:rPr>
          <w:rFonts w:ascii="Arial" w:hAnsi="Arial" w:cs="Arial"/>
          <w:sz w:val="22"/>
          <w:szCs w:val="22"/>
        </w:rPr>
      </w:pPr>
    </w:p>
    <w:p w:rsidR="00961152" w:rsidRPr="00961152" w:rsidRDefault="00961152" w:rsidP="00961152">
      <w:pPr>
        <w:numPr>
          <w:ilvl w:val="1"/>
          <w:numId w:val="6"/>
        </w:numPr>
        <w:tabs>
          <w:tab w:val="clear" w:pos="1647"/>
          <w:tab w:val="num" w:pos="142"/>
        </w:tabs>
        <w:spacing w:line="240" w:lineRule="exact"/>
        <w:ind w:left="426"/>
        <w:jc w:val="both"/>
        <w:rPr>
          <w:rFonts w:ascii="Arial" w:hAnsi="Arial" w:cs="Arial"/>
          <w:b/>
          <w:sz w:val="22"/>
          <w:szCs w:val="22"/>
          <w:lang w:val="es-MX"/>
        </w:rPr>
      </w:pPr>
      <w:r w:rsidRPr="00961152">
        <w:rPr>
          <w:rFonts w:ascii="Arial" w:hAnsi="Arial" w:cs="Arial"/>
          <w:b/>
          <w:sz w:val="22"/>
          <w:szCs w:val="22"/>
          <w:lang w:val="es-MX"/>
        </w:rPr>
        <w:t>Párrafo</w:t>
      </w:r>
      <w:r w:rsidRPr="00961152">
        <w:rPr>
          <w:rFonts w:ascii="Arial" w:hAnsi="Arial" w:cs="Arial"/>
          <w:b/>
          <w:sz w:val="22"/>
          <w:szCs w:val="22"/>
        </w:rPr>
        <w:t xml:space="preserve"> de énfasis sobre unidad de medida</w:t>
      </w:r>
    </w:p>
    <w:p w:rsidR="00961152" w:rsidRPr="00E46B8D" w:rsidRDefault="00961152" w:rsidP="00961152">
      <w:pPr>
        <w:ind w:left="360"/>
        <w:jc w:val="both"/>
        <w:rPr>
          <w:rFonts w:ascii="Arial" w:hAnsi="Arial" w:cs="Arial"/>
          <w:sz w:val="22"/>
          <w:szCs w:val="22"/>
        </w:rPr>
      </w:pPr>
    </w:p>
    <w:p w:rsidR="00961152" w:rsidRDefault="00961152" w:rsidP="00961152">
      <w:pPr>
        <w:ind w:left="360"/>
        <w:jc w:val="both"/>
        <w:rPr>
          <w:rFonts w:ascii="Arial" w:hAnsi="Arial" w:cs="Arial"/>
          <w:sz w:val="22"/>
          <w:szCs w:val="22"/>
        </w:rPr>
      </w:pPr>
      <w:r w:rsidRPr="008F56F8">
        <w:rPr>
          <w:rFonts w:ascii="Arial" w:hAnsi="Arial" w:cs="Arial"/>
          <w:sz w:val="22"/>
          <w:szCs w:val="22"/>
        </w:rPr>
        <w:t xml:space="preserve">Sin modificar mi opinión, quiero enfatizar la información contenida en la nota </w:t>
      </w:r>
      <w:r>
        <w:rPr>
          <w:rFonts w:ascii="Arial" w:hAnsi="Arial" w:cs="Arial"/>
          <w:sz w:val="22"/>
          <w:szCs w:val="22"/>
        </w:rPr>
        <w:t>2.b) a los estados contables adjuntos donde se describe que la Sociedad ha realizado el ajuste por inflación en el presente ejercicio, según lo establec</w:t>
      </w:r>
      <w:r w:rsidR="001A1C15">
        <w:rPr>
          <w:rFonts w:ascii="Arial" w:hAnsi="Arial" w:cs="Arial"/>
          <w:sz w:val="22"/>
          <w:szCs w:val="22"/>
        </w:rPr>
        <w:t xml:space="preserve">ido en la RT N° 6 de la </w:t>
      </w:r>
      <w:r w:rsidR="0099774F">
        <w:rPr>
          <w:rFonts w:ascii="Arial" w:hAnsi="Arial" w:cs="Arial"/>
          <w:sz w:val="22"/>
          <w:szCs w:val="22"/>
        </w:rPr>
        <w:t>Federación</w:t>
      </w:r>
      <w:r w:rsidR="00F428FE">
        <w:rPr>
          <w:rFonts w:ascii="Arial" w:hAnsi="Arial" w:cs="Arial"/>
          <w:sz w:val="22"/>
          <w:szCs w:val="22"/>
        </w:rPr>
        <w:t xml:space="preserve"> Argentina</w:t>
      </w:r>
      <w:r w:rsidR="0099774F">
        <w:rPr>
          <w:rFonts w:ascii="Arial" w:hAnsi="Arial" w:cs="Arial"/>
          <w:sz w:val="22"/>
          <w:szCs w:val="22"/>
        </w:rPr>
        <w:t xml:space="preserve"> de Consejos Profesionales de Ciencias Económicas (</w:t>
      </w:r>
      <w:r w:rsidR="001A1C15">
        <w:rPr>
          <w:rFonts w:ascii="Arial" w:hAnsi="Arial" w:cs="Arial"/>
          <w:sz w:val="22"/>
          <w:szCs w:val="22"/>
        </w:rPr>
        <w:t>FACPCE</w:t>
      </w:r>
      <w:r w:rsidR="0099774F">
        <w:rPr>
          <w:rFonts w:ascii="Arial" w:hAnsi="Arial" w:cs="Arial"/>
          <w:sz w:val="22"/>
          <w:szCs w:val="22"/>
        </w:rPr>
        <w:t>)</w:t>
      </w:r>
      <w:r w:rsidR="001A1C15">
        <w:rPr>
          <w:rFonts w:ascii="Arial" w:hAnsi="Arial" w:cs="Arial"/>
          <w:sz w:val="22"/>
          <w:szCs w:val="22"/>
        </w:rPr>
        <w:t>.</w:t>
      </w:r>
    </w:p>
    <w:p w:rsidR="00961152" w:rsidRDefault="00961152" w:rsidP="00625F2B">
      <w:pPr>
        <w:ind w:left="360"/>
        <w:jc w:val="both"/>
        <w:rPr>
          <w:rFonts w:ascii="Arial" w:hAnsi="Arial" w:cs="Arial"/>
          <w:sz w:val="22"/>
          <w:szCs w:val="22"/>
        </w:rPr>
      </w:pPr>
    </w:p>
    <w:p w:rsidR="00625F2B" w:rsidRPr="00D01075" w:rsidRDefault="00625F2B" w:rsidP="00625F2B">
      <w:pPr>
        <w:numPr>
          <w:ilvl w:val="1"/>
          <w:numId w:val="6"/>
        </w:numPr>
        <w:tabs>
          <w:tab w:val="clear" w:pos="1647"/>
          <w:tab w:val="num" w:pos="142"/>
        </w:tabs>
        <w:spacing w:line="240" w:lineRule="exact"/>
        <w:ind w:left="426"/>
        <w:jc w:val="both"/>
        <w:rPr>
          <w:rFonts w:ascii="Arial" w:hAnsi="Arial" w:cs="Arial"/>
          <w:b/>
          <w:sz w:val="22"/>
          <w:szCs w:val="22"/>
          <w:lang w:val="es-MX"/>
        </w:rPr>
      </w:pPr>
      <w:r w:rsidRPr="00D01075">
        <w:rPr>
          <w:rFonts w:ascii="Arial" w:hAnsi="Arial" w:cs="Arial"/>
          <w:b/>
          <w:sz w:val="22"/>
          <w:szCs w:val="22"/>
          <w:lang w:val="es-MX"/>
        </w:rPr>
        <w:t>Otras cuestiones</w:t>
      </w:r>
    </w:p>
    <w:p w:rsidR="00625F2B" w:rsidRPr="00E46B8D" w:rsidRDefault="00625F2B" w:rsidP="00625F2B">
      <w:pPr>
        <w:pStyle w:val="Prrafodelista"/>
        <w:ind w:left="0"/>
        <w:rPr>
          <w:rFonts w:ascii="Arial" w:hAnsi="Arial" w:cs="Arial"/>
          <w:sz w:val="22"/>
          <w:szCs w:val="22"/>
        </w:rPr>
      </w:pPr>
    </w:p>
    <w:p w:rsidR="00625F2B" w:rsidRDefault="00625F2B" w:rsidP="00625F2B">
      <w:pPr>
        <w:ind w:left="360"/>
        <w:jc w:val="both"/>
        <w:rPr>
          <w:rFonts w:ascii="Arial" w:hAnsi="Arial" w:cs="Arial"/>
          <w:sz w:val="22"/>
          <w:szCs w:val="22"/>
        </w:rPr>
      </w:pPr>
      <w:r w:rsidRPr="00EF09FC">
        <w:rPr>
          <w:rFonts w:ascii="Arial" w:hAnsi="Arial" w:cs="Arial"/>
          <w:sz w:val="22"/>
          <w:szCs w:val="22"/>
        </w:rPr>
        <w:t xml:space="preserve">Tal como se indica en la nota </w:t>
      </w:r>
      <w:r w:rsidR="00B22ECA">
        <w:rPr>
          <w:rFonts w:ascii="Arial" w:hAnsi="Arial" w:cs="Arial"/>
          <w:sz w:val="22"/>
          <w:szCs w:val="22"/>
        </w:rPr>
        <w:t>1.</w:t>
      </w:r>
      <w:r w:rsidRPr="00EF09FC">
        <w:rPr>
          <w:rFonts w:ascii="Arial" w:hAnsi="Arial" w:cs="Arial"/>
          <w:sz w:val="22"/>
          <w:szCs w:val="22"/>
        </w:rPr>
        <w:t xml:space="preserve"> </w:t>
      </w:r>
      <w:proofErr w:type="gramStart"/>
      <w:r w:rsidRPr="00EF09FC">
        <w:rPr>
          <w:rFonts w:ascii="Arial" w:hAnsi="Arial" w:cs="Arial"/>
          <w:sz w:val="22"/>
          <w:szCs w:val="22"/>
        </w:rPr>
        <w:t>a</w:t>
      </w:r>
      <w:proofErr w:type="gramEnd"/>
      <w:r w:rsidRPr="00EF09FC">
        <w:rPr>
          <w:rFonts w:ascii="Arial" w:hAnsi="Arial" w:cs="Arial"/>
          <w:sz w:val="22"/>
          <w:szCs w:val="22"/>
        </w:rPr>
        <w:t xml:space="preserve"> los estados contables al </w:t>
      </w:r>
      <w:r w:rsidR="00B22ECA">
        <w:rPr>
          <w:rFonts w:ascii="Arial" w:hAnsi="Arial" w:cs="Arial"/>
          <w:sz w:val="22"/>
          <w:szCs w:val="22"/>
        </w:rPr>
        <w:t>31</w:t>
      </w:r>
      <w:r>
        <w:rPr>
          <w:rFonts w:ascii="Arial" w:hAnsi="Arial" w:cs="Arial"/>
          <w:sz w:val="22"/>
          <w:szCs w:val="22"/>
        </w:rPr>
        <w:t xml:space="preserve"> de </w:t>
      </w:r>
      <w:r w:rsidR="00B22ECA">
        <w:rPr>
          <w:rFonts w:ascii="Arial" w:hAnsi="Arial" w:cs="Arial"/>
          <w:sz w:val="22"/>
          <w:szCs w:val="22"/>
        </w:rPr>
        <w:t xml:space="preserve">mayo </w:t>
      </w:r>
      <w:r>
        <w:rPr>
          <w:rFonts w:ascii="Arial" w:hAnsi="Arial" w:cs="Arial"/>
          <w:sz w:val="22"/>
          <w:szCs w:val="22"/>
        </w:rPr>
        <w:t>de 2019</w:t>
      </w:r>
      <w:r w:rsidRPr="00EF09FC">
        <w:rPr>
          <w:rFonts w:ascii="Arial" w:hAnsi="Arial" w:cs="Arial"/>
          <w:sz w:val="22"/>
          <w:szCs w:val="22"/>
        </w:rPr>
        <w:t xml:space="preserve">, los mismos han sido preparados al solo efecto </w:t>
      </w:r>
      <w:r w:rsidRPr="000E41BC">
        <w:rPr>
          <w:rFonts w:ascii="Arial" w:hAnsi="Arial" w:cs="Arial"/>
          <w:sz w:val="22"/>
          <w:szCs w:val="22"/>
        </w:rPr>
        <w:t>de ser utilizados por su</w:t>
      </w:r>
      <w:r>
        <w:rPr>
          <w:rFonts w:ascii="Arial" w:hAnsi="Arial" w:cs="Arial"/>
          <w:sz w:val="22"/>
          <w:szCs w:val="22"/>
        </w:rPr>
        <w:t xml:space="preserve"> </w:t>
      </w:r>
      <w:r w:rsidRPr="000E41BC">
        <w:rPr>
          <w:rFonts w:ascii="Arial" w:hAnsi="Arial" w:cs="Arial"/>
          <w:sz w:val="22"/>
          <w:szCs w:val="22"/>
        </w:rPr>
        <w:t>sociedad controlante Ledesma S.A.A.I., en la preparación de sus estados contables</w:t>
      </w:r>
      <w:r>
        <w:rPr>
          <w:rFonts w:ascii="Arial" w:hAnsi="Arial" w:cs="Arial"/>
          <w:sz w:val="22"/>
          <w:szCs w:val="22"/>
        </w:rPr>
        <w:t xml:space="preserve"> </w:t>
      </w:r>
      <w:r w:rsidRPr="000E41BC">
        <w:rPr>
          <w:rFonts w:ascii="Arial" w:hAnsi="Arial" w:cs="Arial"/>
          <w:sz w:val="22"/>
          <w:szCs w:val="22"/>
        </w:rPr>
        <w:t xml:space="preserve">al </w:t>
      </w:r>
      <w:r w:rsidR="00B22ECA">
        <w:rPr>
          <w:rFonts w:ascii="Arial" w:hAnsi="Arial" w:cs="Arial"/>
          <w:sz w:val="22"/>
          <w:szCs w:val="22"/>
        </w:rPr>
        <w:t>31</w:t>
      </w:r>
      <w:r>
        <w:rPr>
          <w:rFonts w:ascii="Arial" w:hAnsi="Arial" w:cs="Arial"/>
          <w:sz w:val="22"/>
          <w:szCs w:val="22"/>
        </w:rPr>
        <w:t xml:space="preserve"> de </w:t>
      </w:r>
      <w:r w:rsidR="00B22ECA">
        <w:rPr>
          <w:rFonts w:ascii="Arial" w:hAnsi="Arial" w:cs="Arial"/>
          <w:sz w:val="22"/>
          <w:szCs w:val="22"/>
        </w:rPr>
        <w:t xml:space="preserve">mayo </w:t>
      </w:r>
      <w:r>
        <w:rPr>
          <w:rFonts w:ascii="Arial" w:hAnsi="Arial" w:cs="Arial"/>
          <w:sz w:val="22"/>
          <w:szCs w:val="22"/>
        </w:rPr>
        <w:t>de 2019</w:t>
      </w:r>
      <w:r w:rsidRPr="000E41BC">
        <w:rPr>
          <w:rFonts w:ascii="Arial" w:hAnsi="Arial" w:cs="Arial"/>
          <w:sz w:val="22"/>
          <w:szCs w:val="22"/>
        </w:rPr>
        <w:t>, y pueden no ser apropiados para otros usos</w:t>
      </w:r>
      <w:r w:rsidRPr="00330AB0">
        <w:rPr>
          <w:rFonts w:ascii="Arial" w:hAnsi="Arial" w:cs="Arial"/>
          <w:sz w:val="22"/>
          <w:szCs w:val="22"/>
        </w:rPr>
        <w:t>.</w:t>
      </w:r>
    </w:p>
    <w:p w:rsidR="00625F2B" w:rsidRDefault="00625F2B" w:rsidP="00F152B4">
      <w:pPr>
        <w:jc w:val="both"/>
        <w:rPr>
          <w:rFonts w:ascii="Arial" w:hAnsi="Arial" w:cs="Arial"/>
          <w:sz w:val="22"/>
          <w:szCs w:val="22"/>
        </w:rPr>
      </w:pPr>
    </w:p>
    <w:p w:rsidR="00625F2B" w:rsidRDefault="00625F2B" w:rsidP="00F152B4">
      <w:pPr>
        <w:spacing w:line="240" w:lineRule="exact"/>
        <w:jc w:val="both"/>
        <w:rPr>
          <w:rFonts w:ascii="Arial" w:eastAsia="SimSun" w:hAnsi="Arial" w:cs="Arial"/>
          <w:b/>
          <w:sz w:val="22"/>
          <w:szCs w:val="22"/>
          <w:u w:val="single"/>
        </w:rPr>
      </w:pPr>
      <w:r w:rsidRPr="00330AB0">
        <w:rPr>
          <w:rFonts w:ascii="Arial" w:hAnsi="Arial" w:cs="Arial"/>
          <w:b/>
          <w:sz w:val="22"/>
          <w:szCs w:val="22"/>
          <w:u w:val="single"/>
          <w:lang w:val="es-MX"/>
        </w:rPr>
        <w:t>II - Informe</w:t>
      </w:r>
      <w:r w:rsidRPr="00330AB0">
        <w:rPr>
          <w:rFonts w:ascii="Arial" w:hAnsi="Arial" w:cs="Arial"/>
          <w:b/>
          <w:i/>
          <w:sz w:val="22"/>
          <w:szCs w:val="22"/>
          <w:u w:val="single"/>
          <w:lang w:val="es-MX"/>
        </w:rPr>
        <w:t xml:space="preserve"> </w:t>
      </w:r>
      <w:r w:rsidRPr="00330AB0">
        <w:rPr>
          <w:rFonts w:ascii="Arial" w:hAnsi="Arial" w:cs="Arial"/>
          <w:b/>
          <w:sz w:val="22"/>
          <w:szCs w:val="22"/>
          <w:u w:val="single"/>
          <w:lang w:val="es-MX"/>
        </w:rPr>
        <w:t xml:space="preserve">sobre </w:t>
      </w:r>
      <w:r w:rsidRPr="00330AB0">
        <w:rPr>
          <w:rFonts w:ascii="Arial" w:eastAsia="SimSun" w:hAnsi="Arial" w:cs="Arial"/>
          <w:b/>
          <w:sz w:val="22"/>
          <w:szCs w:val="22"/>
          <w:u w:val="single"/>
        </w:rPr>
        <w:t>otros requerimientos legales y regulatorios</w:t>
      </w:r>
    </w:p>
    <w:p w:rsidR="00F152B4" w:rsidRPr="00E46B8D" w:rsidRDefault="00F152B4" w:rsidP="00F152B4">
      <w:pPr>
        <w:spacing w:line="240" w:lineRule="exact"/>
        <w:jc w:val="both"/>
        <w:rPr>
          <w:rFonts w:ascii="Arial" w:hAnsi="Arial" w:cs="Arial"/>
          <w:sz w:val="22"/>
          <w:szCs w:val="22"/>
        </w:rPr>
      </w:pPr>
    </w:p>
    <w:p w:rsidR="00625F2B" w:rsidRDefault="00625F2B" w:rsidP="00625F2B">
      <w:pPr>
        <w:spacing w:line="240" w:lineRule="exact"/>
        <w:ind w:left="360"/>
        <w:jc w:val="both"/>
        <w:rPr>
          <w:rFonts w:ascii="Arial" w:hAnsi="Arial" w:cs="Arial"/>
          <w:sz w:val="22"/>
          <w:szCs w:val="22"/>
          <w:lang w:val="es-MX"/>
        </w:rPr>
      </w:pPr>
      <w:r w:rsidRPr="00330AB0">
        <w:rPr>
          <w:rFonts w:ascii="Arial" w:hAnsi="Arial" w:cs="Arial"/>
          <w:sz w:val="22"/>
          <w:szCs w:val="22"/>
          <w:lang w:val="es-MX"/>
        </w:rPr>
        <w:t>Informo además, en cumplimiento de disposiciones vigentes, que:</w:t>
      </w:r>
    </w:p>
    <w:p w:rsidR="00F152B4" w:rsidRDefault="00F152B4" w:rsidP="00625F2B">
      <w:pPr>
        <w:spacing w:line="240" w:lineRule="exact"/>
        <w:ind w:left="360"/>
        <w:jc w:val="both"/>
        <w:rPr>
          <w:rFonts w:ascii="Arial" w:hAnsi="Arial" w:cs="Arial"/>
          <w:sz w:val="22"/>
          <w:szCs w:val="22"/>
          <w:lang w:val="es-MX"/>
        </w:rPr>
      </w:pPr>
    </w:p>
    <w:p w:rsidR="00F152B4" w:rsidRDefault="00F152B4" w:rsidP="00F152B4">
      <w:pPr>
        <w:spacing w:line="240" w:lineRule="exact"/>
        <w:jc w:val="center"/>
        <w:rPr>
          <w:rFonts w:ascii="Arial" w:hAnsi="Arial" w:cs="Arial"/>
          <w:sz w:val="22"/>
          <w:szCs w:val="22"/>
          <w:lang w:val="es-MX"/>
        </w:rPr>
      </w:pPr>
    </w:p>
    <w:p w:rsidR="00F152B4" w:rsidRPr="00F152B4" w:rsidRDefault="00F152B4" w:rsidP="00F152B4">
      <w:pPr>
        <w:spacing w:line="240" w:lineRule="exact"/>
        <w:jc w:val="center"/>
        <w:rPr>
          <w:rFonts w:ascii="Arial" w:hAnsi="Arial" w:cs="Arial"/>
          <w:sz w:val="16"/>
          <w:szCs w:val="16"/>
          <w:lang w:val="es-MX"/>
        </w:rPr>
      </w:pPr>
      <w:r w:rsidRPr="00F152B4">
        <w:rPr>
          <w:rFonts w:ascii="Arial" w:hAnsi="Arial" w:cs="Arial"/>
          <w:sz w:val="16"/>
          <w:szCs w:val="16"/>
          <w:lang w:val="es-MX"/>
        </w:rPr>
        <w:t>- 2 -</w:t>
      </w:r>
    </w:p>
    <w:p w:rsidR="00625F2B" w:rsidRPr="00222223" w:rsidRDefault="00625F2B" w:rsidP="00625F2B">
      <w:pPr>
        <w:pStyle w:val="Prrafodelista"/>
        <w:ind w:left="0"/>
        <w:rPr>
          <w:rFonts w:ascii="Arial" w:hAnsi="Arial" w:cs="Arial"/>
          <w:sz w:val="10"/>
          <w:szCs w:val="10"/>
          <w:lang w:val="es-MX"/>
        </w:rPr>
      </w:pPr>
    </w:p>
    <w:p w:rsidR="00625F2B" w:rsidRDefault="00B11A68" w:rsidP="00625F2B">
      <w:pPr>
        <w:numPr>
          <w:ilvl w:val="0"/>
          <w:numId w:val="7"/>
        </w:numPr>
        <w:tabs>
          <w:tab w:val="clear" w:pos="870"/>
          <w:tab w:val="num" w:pos="709"/>
        </w:tabs>
        <w:ind w:left="709" w:hanging="283"/>
        <w:jc w:val="both"/>
        <w:rPr>
          <w:rFonts w:ascii="Arial" w:hAnsi="Arial" w:cs="Arial"/>
          <w:sz w:val="22"/>
          <w:szCs w:val="22"/>
        </w:rPr>
      </w:pPr>
      <w:r>
        <w:rPr>
          <w:rFonts w:ascii="Arial" w:hAnsi="Arial" w:cs="Arial"/>
          <w:sz w:val="22"/>
          <w:szCs w:val="22"/>
        </w:rPr>
        <w:lastRenderedPageBreak/>
        <w:t xml:space="preserve">Sobre la base de la auditoría efectuada y excepto por lo mencionado en la nota 9 a los estados contables al 31 de mayo de 2019, los saldos expuestos en los estados contables de Ledesma Frutas S.A.U. correspondientes al </w:t>
      </w:r>
      <w:r w:rsidR="00157F3E">
        <w:rPr>
          <w:rFonts w:ascii="Arial" w:hAnsi="Arial" w:cs="Arial"/>
          <w:sz w:val="22"/>
          <w:szCs w:val="22"/>
        </w:rPr>
        <w:t xml:space="preserve">periodo de cuatro meses finalizado en </w:t>
      </w:r>
      <w:r w:rsidR="00E46B8D">
        <w:rPr>
          <w:rFonts w:ascii="Arial" w:hAnsi="Arial" w:cs="Arial"/>
          <w:sz w:val="22"/>
          <w:szCs w:val="22"/>
        </w:rPr>
        <w:t>es</w:t>
      </w:r>
      <w:r>
        <w:rPr>
          <w:rFonts w:ascii="Arial" w:hAnsi="Arial" w:cs="Arial"/>
          <w:sz w:val="22"/>
          <w:szCs w:val="22"/>
        </w:rPr>
        <w:t xml:space="preserve">a fecha, surgen de registros contables llevados, en sus aspectos formales, </w:t>
      </w:r>
      <w:r w:rsidRPr="00D27631">
        <w:rPr>
          <w:rFonts w:ascii="Arial" w:hAnsi="Arial" w:cs="Arial"/>
          <w:sz w:val="22"/>
          <w:szCs w:val="22"/>
        </w:rPr>
        <w:t xml:space="preserve">de conformidad con las </w:t>
      </w:r>
      <w:r>
        <w:rPr>
          <w:rFonts w:ascii="Arial" w:hAnsi="Arial" w:cs="Arial"/>
          <w:sz w:val="22"/>
          <w:szCs w:val="22"/>
        </w:rPr>
        <w:t>normas legales vigentes</w:t>
      </w:r>
      <w:r w:rsidR="00625F2B" w:rsidRPr="00330AB0">
        <w:rPr>
          <w:rFonts w:ascii="Arial" w:hAnsi="Arial" w:cs="Arial"/>
          <w:sz w:val="22"/>
          <w:szCs w:val="22"/>
        </w:rPr>
        <w:t>.</w:t>
      </w:r>
    </w:p>
    <w:p w:rsidR="00625F2B" w:rsidRPr="00E46B8D" w:rsidRDefault="00625F2B" w:rsidP="00625F2B">
      <w:pPr>
        <w:tabs>
          <w:tab w:val="num" w:pos="709"/>
        </w:tabs>
        <w:ind w:left="709" w:hanging="283"/>
        <w:jc w:val="center"/>
        <w:rPr>
          <w:rFonts w:ascii="Arial" w:hAnsi="Arial" w:cs="Arial"/>
          <w:sz w:val="22"/>
          <w:szCs w:val="22"/>
        </w:rPr>
      </w:pPr>
    </w:p>
    <w:p w:rsidR="00625F2B" w:rsidRDefault="00625F2B" w:rsidP="00625F2B">
      <w:pPr>
        <w:numPr>
          <w:ilvl w:val="0"/>
          <w:numId w:val="7"/>
        </w:numPr>
        <w:tabs>
          <w:tab w:val="clear" w:pos="870"/>
          <w:tab w:val="num" w:pos="709"/>
        </w:tabs>
        <w:ind w:left="709" w:hanging="283"/>
        <w:jc w:val="both"/>
        <w:rPr>
          <w:rFonts w:ascii="Arial" w:hAnsi="Arial" w:cs="Arial"/>
          <w:sz w:val="22"/>
          <w:szCs w:val="22"/>
        </w:rPr>
      </w:pPr>
      <w:r w:rsidRPr="00330AB0">
        <w:rPr>
          <w:rFonts w:ascii="Arial" w:hAnsi="Arial" w:cs="Arial"/>
          <w:sz w:val="22"/>
          <w:szCs w:val="22"/>
        </w:rPr>
        <w:t xml:space="preserve">Al </w:t>
      </w:r>
      <w:r w:rsidR="00B22ECA">
        <w:rPr>
          <w:rFonts w:ascii="Arial" w:hAnsi="Arial" w:cs="Arial"/>
          <w:sz w:val="22"/>
          <w:szCs w:val="22"/>
        </w:rPr>
        <w:t>31 de mayo </w:t>
      </w:r>
      <w:r>
        <w:rPr>
          <w:rFonts w:ascii="Arial" w:hAnsi="Arial" w:cs="Arial"/>
          <w:sz w:val="22"/>
          <w:szCs w:val="22"/>
        </w:rPr>
        <w:t>de 2019</w:t>
      </w:r>
      <w:r w:rsidRPr="00330AB0">
        <w:rPr>
          <w:rFonts w:ascii="Arial" w:hAnsi="Arial" w:cs="Arial"/>
          <w:sz w:val="22"/>
          <w:szCs w:val="22"/>
        </w:rPr>
        <w:t xml:space="preserve"> las deudas devengadas en concepto de aportes y contribuciones con destino al Sistema Integrado Previsional Argentino que surgen de los registros contables de </w:t>
      </w:r>
      <w:smartTag w:uri="urn:schemas-microsoft-com:office:smarttags" w:element="PersonName">
        <w:smartTagPr>
          <w:attr w:name="ProductID" w:val="la Sociedad"/>
        </w:smartTagPr>
        <w:r w:rsidRPr="00330AB0">
          <w:rPr>
            <w:rFonts w:ascii="Arial" w:hAnsi="Arial" w:cs="Arial"/>
            <w:sz w:val="22"/>
            <w:szCs w:val="22"/>
          </w:rPr>
          <w:t>la Sociedad</w:t>
        </w:r>
      </w:smartTag>
      <w:r w:rsidRPr="00330AB0">
        <w:rPr>
          <w:rFonts w:ascii="Arial" w:hAnsi="Arial" w:cs="Arial"/>
          <w:sz w:val="22"/>
          <w:szCs w:val="22"/>
        </w:rPr>
        <w:t xml:space="preserve"> ascienden </w:t>
      </w:r>
      <w:r w:rsidRPr="006947DA">
        <w:rPr>
          <w:rFonts w:ascii="Arial" w:hAnsi="Arial" w:cs="Arial"/>
          <w:sz w:val="22"/>
          <w:szCs w:val="22"/>
        </w:rPr>
        <w:t xml:space="preserve">a </w:t>
      </w:r>
      <w:r w:rsidRPr="00EF09FC">
        <w:rPr>
          <w:rFonts w:ascii="Arial" w:hAnsi="Arial" w:cs="Arial"/>
          <w:sz w:val="22"/>
          <w:szCs w:val="22"/>
        </w:rPr>
        <w:t>$</w:t>
      </w:r>
      <w:r>
        <w:rPr>
          <w:rFonts w:ascii="Arial" w:hAnsi="Arial" w:cs="Arial"/>
          <w:sz w:val="22"/>
          <w:szCs w:val="22"/>
        </w:rPr>
        <w:t xml:space="preserve"> </w:t>
      </w:r>
      <w:r w:rsidR="00B22ECA">
        <w:rPr>
          <w:rFonts w:ascii="Arial" w:hAnsi="Arial" w:cs="Arial"/>
          <w:sz w:val="22"/>
          <w:szCs w:val="22"/>
        </w:rPr>
        <w:t>4</w:t>
      </w:r>
      <w:r>
        <w:rPr>
          <w:rFonts w:ascii="Arial" w:hAnsi="Arial" w:cs="Arial"/>
          <w:sz w:val="22"/>
          <w:szCs w:val="22"/>
        </w:rPr>
        <w:t>61</w:t>
      </w:r>
      <w:r w:rsidR="00B22ECA">
        <w:rPr>
          <w:rFonts w:ascii="Arial" w:hAnsi="Arial" w:cs="Arial"/>
          <w:sz w:val="22"/>
          <w:szCs w:val="22"/>
        </w:rPr>
        <w:t>.074</w:t>
      </w:r>
      <w:r w:rsidRPr="00EF09FC">
        <w:rPr>
          <w:rFonts w:ascii="Arial" w:hAnsi="Arial" w:cs="Arial"/>
          <w:sz w:val="22"/>
          <w:szCs w:val="22"/>
        </w:rPr>
        <w:t>,</w:t>
      </w:r>
      <w:r w:rsidRPr="00330AB0">
        <w:rPr>
          <w:rFonts w:ascii="Arial" w:hAnsi="Arial" w:cs="Arial"/>
          <w:sz w:val="22"/>
          <w:szCs w:val="22"/>
        </w:rPr>
        <w:t xml:space="preserve"> no existiendo deudas exigibles a esa fecha.</w:t>
      </w:r>
    </w:p>
    <w:p w:rsidR="00B11A68" w:rsidRDefault="00B11A68" w:rsidP="00B11A68">
      <w:pPr>
        <w:pStyle w:val="Prrafodelista"/>
        <w:rPr>
          <w:rFonts w:ascii="Arial" w:hAnsi="Arial" w:cs="Arial"/>
          <w:sz w:val="22"/>
          <w:szCs w:val="22"/>
        </w:rPr>
      </w:pPr>
    </w:p>
    <w:p w:rsidR="00B11A68" w:rsidRPr="00E46B8D" w:rsidRDefault="00B11A68" w:rsidP="001A18EF">
      <w:pPr>
        <w:numPr>
          <w:ilvl w:val="0"/>
          <w:numId w:val="7"/>
        </w:numPr>
        <w:tabs>
          <w:tab w:val="clear" w:pos="870"/>
          <w:tab w:val="num" w:pos="709"/>
        </w:tabs>
        <w:ind w:left="709" w:hanging="283"/>
        <w:jc w:val="both"/>
        <w:rPr>
          <w:rFonts w:ascii="Arial" w:hAnsi="Arial" w:cs="Arial"/>
          <w:sz w:val="22"/>
          <w:szCs w:val="22"/>
        </w:rPr>
      </w:pPr>
      <w:r w:rsidRPr="00E46B8D">
        <w:rPr>
          <w:rFonts w:ascii="Arial" w:hAnsi="Arial" w:cs="Arial"/>
          <w:sz w:val="22"/>
          <w:szCs w:val="22"/>
        </w:rPr>
        <w:t>He aplicado los procedimientos sobre prevención de lavado de activos y financiación del terrorismo previstos en la Resolución J.G. 420/2011 de La Federación Argentina de Consejos Profesionales de Ciencias Económicas, adoptada por la Resolución C.D.</w:t>
      </w:r>
      <w:r w:rsidR="00E46B8D">
        <w:rPr>
          <w:rFonts w:ascii="Arial" w:hAnsi="Arial" w:cs="Arial"/>
          <w:sz w:val="22"/>
          <w:szCs w:val="22"/>
        </w:rPr>
        <w:t xml:space="preserve"> </w:t>
      </w:r>
      <w:r w:rsidRPr="00E46B8D">
        <w:rPr>
          <w:rFonts w:ascii="Arial" w:hAnsi="Arial" w:cs="Arial"/>
          <w:sz w:val="22"/>
          <w:szCs w:val="22"/>
        </w:rPr>
        <w:t>N° 77/2011 del Consejo Profesional de Ciencias Económicas de la Ciudad Autónoma de Buenos Aires (CPCECABA).</w:t>
      </w:r>
    </w:p>
    <w:p w:rsidR="00625F2B" w:rsidRDefault="00625F2B" w:rsidP="00625F2B">
      <w:pPr>
        <w:tabs>
          <w:tab w:val="num" w:pos="851"/>
        </w:tabs>
        <w:ind w:left="851"/>
        <w:jc w:val="both"/>
        <w:rPr>
          <w:rFonts w:ascii="Arial" w:hAnsi="Arial" w:cs="Arial"/>
          <w:sz w:val="22"/>
          <w:szCs w:val="22"/>
        </w:rPr>
      </w:pPr>
    </w:p>
    <w:p w:rsidR="00625F2B" w:rsidRDefault="00625F2B" w:rsidP="00625F2B">
      <w:pPr>
        <w:rPr>
          <w:rFonts w:ascii="Arial" w:hAnsi="Arial" w:cs="Arial"/>
          <w:sz w:val="22"/>
          <w:szCs w:val="22"/>
        </w:rPr>
      </w:pPr>
      <w:r w:rsidRPr="00330AB0">
        <w:rPr>
          <w:rFonts w:ascii="Arial" w:hAnsi="Arial" w:cs="Arial"/>
          <w:sz w:val="22"/>
          <w:szCs w:val="22"/>
        </w:rPr>
        <w:t xml:space="preserve">Ciudad Autónoma de Buenos </w:t>
      </w:r>
      <w:r w:rsidRPr="00775016">
        <w:rPr>
          <w:rFonts w:ascii="Arial" w:hAnsi="Arial" w:cs="Arial"/>
          <w:sz w:val="22"/>
          <w:szCs w:val="22"/>
        </w:rPr>
        <w:t xml:space="preserve">Aires, </w:t>
      </w:r>
      <w:r w:rsidR="00775016" w:rsidRPr="00775016">
        <w:rPr>
          <w:rFonts w:ascii="Arial" w:hAnsi="Arial" w:cs="Arial"/>
          <w:sz w:val="22"/>
          <w:szCs w:val="22"/>
        </w:rPr>
        <w:t>5</w:t>
      </w:r>
      <w:r w:rsidR="00B22ECA" w:rsidRPr="00775016">
        <w:rPr>
          <w:rFonts w:ascii="Arial" w:hAnsi="Arial" w:cs="Arial"/>
          <w:sz w:val="22"/>
          <w:szCs w:val="22"/>
        </w:rPr>
        <w:t xml:space="preserve"> d</w:t>
      </w:r>
      <w:r w:rsidRPr="00775016">
        <w:rPr>
          <w:rFonts w:ascii="Arial" w:hAnsi="Arial" w:cs="Arial"/>
          <w:sz w:val="22"/>
          <w:szCs w:val="22"/>
        </w:rPr>
        <w:t>e a</w:t>
      </w:r>
      <w:r w:rsidR="00B22ECA" w:rsidRPr="00775016">
        <w:rPr>
          <w:rFonts w:ascii="Arial" w:hAnsi="Arial" w:cs="Arial"/>
          <w:sz w:val="22"/>
          <w:szCs w:val="22"/>
        </w:rPr>
        <w:t xml:space="preserve">gosto </w:t>
      </w:r>
      <w:r w:rsidRPr="00775016">
        <w:rPr>
          <w:rFonts w:ascii="Arial" w:hAnsi="Arial" w:cs="Arial"/>
          <w:sz w:val="22"/>
          <w:szCs w:val="22"/>
        </w:rPr>
        <w:t>de 2019.</w:t>
      </w:r>
    </w:p>
    <w:p w:rsidR="00906222" w:rsidRDefault="00906222" w:rsidP="00625F2B">
      <w:pPr>
        <w:rPr>
          <w:rFonts w:ascii="Arial" w:hAnsi="Arial" w:cs="Arial"/>
          <w:sz w:val="22"/>
          <w:szCs w:val="22"/>
        </w:rPr>
      </w:pPr>
    </w:p>
    <w:p w:rsidR="00906222" w:rsidRPr="00330AB0" w:rsidRDefault="00906222" w:rsidP="00625F2B">
      <w:pPr>
        <w:rPr>
          <w:rFonts w:ascii="Arial" w:hAnsi="Arial" w:cs="Arial"/>
          <w:sz w:val="22"/>
          <w:szCs w:val="22"/>
        </w:rPr>
      </w:pPr>
    </w:p>
    <w:p w:rsidR="00625F2B" w:rsidRDefault="00625F2B" w:rsidP="00625F2B">
      <w:pPr>
        <w:ind w:left="5529" w:right="639" w:firstLine="180"/>
        <w:jc w:val="center"/>
        <w:rPr>
          <w:rFonts w:ascii="Arial" w:hAnsi="Arial" w:cs="Arial"/>
          <w:sz w:val="22"/>
          <w:szCs w:val="22"/>
        </w:rPr>
      </w:pPr>
    </w:p>
    <w:p w:rsidR="00625F2B" w:rsidRPr="00330AB0" w:rsidRDefault="00625F2B" w:rsidP="00625F2B">
      <w:pPr>
        <w:ind w:left="5529" w:right="639" w:firstLine="180"/>
        <w:jc w:val="center"/>
        <w:rPr>
          <w:rFonts w:ascii="Arial" w:hAnsi="Arial" w:cs="Arial"/>
          <w:sz w:val="22"/>
          <w:szCs w:val="22"/>
        </w:rPr>
      </w:pPr>
    </w:p>
    <w:p w:rsidR="00625F2B" w:rsidRPr="00330AB0" w:rsidRDefault="00625F2B" w:rsidP="00625F2B">
      <w:pPr>
        <w:ind w:left="5040" w:right="279" w:hanging="360"/>
        <w:jc w:val="center"/>
        <w:rPr>
          <w:rFonts w:ascii="Arial" w:hAnsi="Arial" w:cs="Arial"/>
          <w:sz w:val="22"/>
          <w:szCs w:val="22"/>
          <w:lang w:val="pt-PT"/>
        </w:rPr>
      </w:pPr>
      <w:r w:rsidRPr="00330AB0">
        <w:rPr>
          <w:rFonts w:ascii="Arial" w:hAnsi="Arial" w:cs="Arial"/>
          <w:sz w:val="22"/>
          <w:szCs w:val="22"/>
          <w:lang w:val="pt-PT"/>
        </w:rPr>
        <w:t>Gladys E. Meich</w:t>
      </w:r>
    </w:p>
    <w:p w:rsidR="00625F2B" w:rsidRPr="00330AB0" w:rsidRDefault="00625F2B" w:rsidP="00625F2B">
      <w:pPr>
        <w:ind w:left="5040" w:right="279" w:hanging="360"/>
        <w:jc w:val="center"/>
        <w:rPr>
          <w:rFonts w:ascii="Arial" w:hAnsi="Arial" w:cs="Arial"/>
          <w:sz w:val="22"/>
          <w:szCs w:val="22"/>
          <w:lang w:val="pt-PT"/>
        </w:rPr>
      </w:pPr>
      <w:r w:rsidRPr="00330AB0">
        <w:rPr>
          <w:rFonts w:ascii="Arial" w:hAnsi="Arial" w:cs="Arial"/>
          <w:sz w:val="22"/>
          <w:szCs w:val="22"/>
          <w:lang w:val="pt-PT"/>
        </w:rPr>
        <w:t>Contadora Pública U.B.A.</w:t>
      </w:r>
    </w:p>
    <w:p w:rsidR="00625F2B" w:rsidRDefault="00625F2B" w:rsidP="00625F2B">
      <w:pPr>
        <w:pStyle w:val="Textodebloque"/>
        <w:ind w:left="5040" w:right="279" w:hanging="360"/>
        <w:rPr>
          <w:rFonts w:cs="Arial"/>
          <w:szCs w:val="22"/>
        </w:rPr>
      </w:pPr>
      <w:r w:rsidRPr="00330AB0">
        <w:rPr>
          <w:rFonts w:cs="Arial"/>
          <w:szCs w:val="22"/>
        </w:rPr>
        <w:t>C.P.C.E.C.A.B.A. Tº 129 – Fº 184</w:t>
      </w: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Default="00F152B4" w:rsidP="00625F2B">
      <w:pPr>
        <w:pStyle w:val="Textodebloque"/>
        <w:ind w:left="5040" w:right="279" w:hanging="360"/>
        <w:rPr>
          <w:rFonts w:cs="Arial"/>
          <w:szCs w:val="22"/>
        </w:rPr>
      </w:pPr>
    </w:p>
    <w:p w:rsidR="00F152B4" w:rsidRPr="00F152B4" w:rsidRDefault="00F152B4" w:rsidP="00F152B4">
      <w:pPr>
        <w:spacing w:line="240" w:lineRule="exact"/>
        <w:jc w:val="center"/>
        <w:rPr>
          <w:rFonts w:ascii="Arial" w:hAnsi="Arial" w:cs="Arial"/>
          <w:sz w:val="16"/>
          <w:szCs w:val="16"/>
          <w:lang w:val="es-MX"/>
        </w:rPr>
      </w:pPr>
      <w:r w:rsidRPr="00F152B4">
        <w:rPr>
          <w:rFonts w:ascii="Arial" w:hAnsi="Arial" w:cs="Arial"/>
          <w:sz w:val="16"/>
          <w:szCs w:val="16"/>
          <w:lang w:val="es-MX"/>
        </w:rPr>
        <w:t xml:space="preserve">- </w:t>
      </w:r>
      <w:r>
        <w:rPr>
          <w:rFonts w:ascii="Arial" w:hAnsi="Arial" w:cs="Arial"/>
          <w:sz w:val="16"/>
          <w:szCs w:val="16"/>
          <w:lang w:val="es-MX"/>
        </w:rPr>
        <w:t>3</w:t>
      </w:r>
      <w:r w:rsidRPr="00F152B4">
        <w:rPr>
          <w:rFonts w:ascii="Arial" w:hAnsi="Arial" w:cs="Arial"/>
          <w:sz w:val="16"/>
          <w:szCs w:val="16"/>
          <w:lang w:val="es-MX"/>
        </w:rPr>
        <w:t xml:space="preserve"> -</w:t>
      </w:r>
    </w:p>
    <w:p w:rsidR="00F152B4" w:rsidRPr="00330AB0" w:rsidRDefault="00F152B4" w:rsidP="00625F2B">
      <w:pPr>
        <w:pStyle w:val="Textodebloque"/>
        <w:ind w:left="5040" w:right="279" w:hanging="360"/>
        <w:rPr>
          <w:rFonts w:cs="Arial"/>
          <w:szCs w:val="22"/>
        </w:rPr>
      </w:pPr>
    </w:p>
    <w:p w:rsidR="00625F2B" w:rsidRPr="008D76F9" w:rsidRDefault="00625F2B" w:rsidP="00625F2B">
      <w:pPr>
        <w:ind w:firstLine="180"/>
        <w:jc w:val="center"/>
        <w:rPr>
          <w:rFonts w:ascii="Arial" w:hAnsi="Arial" w:cs="Arial"/>
          <w:sz w:val="18"/>
          <w:szCs w:val="18"/>
          <w:lang w:val="pt-PT"/>
        </w:rPr>
      </w:pPr>
    </w:p>
    <w:p w:rsidR="00625F2B" w:rsidRPr="001553A6" w:rsidRDefault="00625F2B" w:rsidP="00625F2B">
      <w:pPr>
        <w:ind w:left="993"/>
        <w:jc w:val="center"/>
        <w:rPr>
          <w:rFonts w:ascii="Arial" w:hAnsi="Arial"/>
          <w:sz w:val="18"/>
          <w:szCs w:val="18"/>
          <w:lang w:val="pt-PT"/>
        </w:rPr>
      </w:pPr>
    </w:p>
    <w:p w:rsidR="00822CD3" w:rsidRPr="001553A6" w:rsidRDefault="00822CD3" w:rsidP="00625F2B">
      <w:pPr>
        <w:tabs>
          <w:tab w:val="left" w:pos="1118"/>
          <w:tab w:val="left" w:pos="8177"/>
        </w:tabs>
        <w:ind w:left="284"/>
        <w:rPr>
          <w:noProof/>
          <w:lang w:val="pt-PT" w:eastAsia="es-AR"/>
        </w:rPr>
      </w:pPr>
    </w:p>
    <w:sectPr w:rsidR="00822CD3" w:rsidRPr="001553A6" w:rsidSect="00D30025">
      <w:headerReference w:type="default" r:id="rId36"/>
      <w:footerReference w:type="default" r:id="rId37"/>
      <w:pgSz w:w="11907" w:h="16840" w:code="9"/>
      <w:pgMar w:top="958" w:right="1644"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6CFA" w:rsidRDefault="004E6CFA" w:rsidP="004E6CFA">
      <w:r>
        <w:separator/>
      </w:r>
    </w:p>
  </w:endnote>
  <w:endnote w:type="continuationSeparator" w:id="0">
    <w:p w:rsidR="004E6CFA" w:rsidRDefault="004E6CFA" w:rsidP="004E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Goudy Old Style">
    <w:altName w:val="Georg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CFA" w:rsidRDefault="004E6CFA">
    <w:pPr>
      <w:pStyle w:val="Piedepgina"/>
      <w:jc w:val="center"/>
    </w:pPr>
  </w:p>
  <w:tbl>
    <w:tblPr>
      <w:tblW w:w="8260" w:type="dxa"/>
      <w:jc w:val="center"/>
      <w:tblCellMar>
        <w:left w:w="70" w:type="dxa"/>
        <w:right w:w="70" w:type="dxa"/>
      </w:tblCellMar>
      <w:tblLook w:val="04A0" w:firstRow="1" w:lastRow="0" w:firstColumn="1" w:lastColumn="0" w:noHBand="0" w:noVBand="1"/>
    </w:tblPr>
    <w:tblGrid>
      <w:gridCol w:w="2520"/>
      <w:gridCol w:w="3220"/>
      <w:gridCol w:w="2520"/>
    </w:tblGrid>
    <w:tr w:rsidR="004E6CFA" w:rsidRPr="004E6CFA"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Por Comisión Fiscalizadora</w:t>
          </w: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Firmado a efectos de su identificación con</w:t>
          </w: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p>
      </w:tc>
    </w:tr>
    <w:tr w:rsidR="004E6CFA" w:rsidRPr="004E6CFA"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rPr>
              <w:lang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mi informe de fecha 06/08/2018</w:t>
          </w: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p>
      </w:tc>
    </w:tr>
    <w:tr w:rsidR="004E6CFA" w:rsidRPr="004E6CFA"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rPr>
              <w:lang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r>
    <w:tr w:rsidR="004E6CFA" w:rsidRPr="004E6CFA"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rPr>
              <w:lang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r>
    <w:tr w:rsidR="004E6CFA" w:rsidRPr="004E6CFA"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lang w:eastAsia="es-AR"/>
            </w:rPr>
          </w:pPr>
        </w:p>
      </w:tc>
    </w:tr>
    <w:tr w:rsidR="004E6CFA" w:rsidRPr="00157F3E" w:rsidTr="004E6CFA">
      <w:trPr>
        <w:trHeight w:val="210"/>
        <w:jc w:val="center"/>
      </w:trPr>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María Fraguas</w:t>
          </w: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Gladys E. Meich</w:t>
          </w: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val="en-US" w:eastAsia="es-AR"/>
            </w:rPr>
          </w:pPr>
          <w:r w:rsidRPr="004E6CFA">
            <w:rPr>
              <w:rFonts w:ascii="Arial" w:hAnsi="Arial" w:cs="Arial"/>
              <w:color w:val="000000"/>
              <w:sz w:val="16"/>
              <w:szCs w:val="16"/>
              <w:lang w:val="en-US" w:eastAsia="es-AR"/>
            </w:rPr>
            <w:t xml:space="preserve"> </w:t>
          </w:r>
          <w:proofErr w:type="spellStart"/>
          <w:r w:rsidRPr="004E6CFA">
            <w:rPr>
              <w:rFonts w:ascii="Arial" w:hAnsi="Arial" w:cs="Arial"/>
              <w:color w:val="000000"/>
              <w:sz w:val="16"/>
              <w:szCs w:val="16"/>
              <w:lang w:val="en-US" w:eastAsia="es-AR"/>
            </w:rPr>
            <w:t>Lic</w:t>
          </w:r>
          <w:proofErr w:type="spellEnd"/>
          <w:r w:rsidRPr="004E6CFA">
            <w:rPr>
              <w:rFonts w:ascii="Arial" w:hAnsi="Arial" w:cs="Arial"/>
              <w:color w:val="000000"/>
              <w:sz w:val="16"/>
              <w:szCs w:val="16"/>
              <w:lang w:val="en-US" w:eastAsia="es-AR"/>
            </w:rPr>
            <w:t xml:space="preserve">. Javier E.E. </w:t>
          </w:r>
          <w:proofErr w:type="spellStart"/>
          <w:r w:rsidRPr="004E6CFA">
            <w:rPr>
              <w:rFonts w:ascii="Arial" w:hAnsi="Arial" w:cs="Arial"/>
              <w:color w:val="000000"/>
              <w:sz w:val="16"/>
              <w:szCs w:val="16"/>
              <w:lang w:val="en-US" w:eastAsia="es-AR"/>
            </w:rPr>
            <w:t>Crotto</w:t>
          </w:r>
          <w:proofErr w:type="spellEnd"/>
        </w:p>
      </w:tc>
    </w:tr>
    <w:tr w:rsidR="004E6CFA" w:rsidRPr="004E6CFA" w:rsidTr="004E6CFA">
      <w:trPr>
        <w:trHeight w:val="210"/>
        <w:jc w:val="center"/>
      </w:trPr>
      <w:tc>
        <w:tcPr>
          <w:tcW w:w="2520" w:type="dxa"/>
          <w:tcBorders>
            <w:top w:val="nil"/>
            <w:left w:val="nil"/>
            <w:bottom w:val="nil"/>
            <w:right w:val="nil"/>
          </w:tcBorders>
          <w:shd w:val="clear" w:color="auto" w:fill="auto"/>
          <w:noWrap/>
          <w:hideMark/>
        </w:tcPr>
        <w:p w:rsidR="004E6CFA" w:rsidRPr="004E6CFA" w:rsidRDefault="004E6CFA" w:rsidP="004E6CFA">
          <w:pPr>
            <w:jc w:val="center"/>
            <w:rPr>
              <w:rFonts w:ascii="Arial" w:hAnsi="Arial" w:cs="Arial"/>
              <w:color w:val="000000"/>
              <w:sz w:val="16"/>
              <w:szCs w:val="16"/>
              <w:lang w:val="en-US"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Contadora Pública U.B.A.</w:t>
          </w:r>
        </w:p>
      </w:tc>
      <w:tc>
        <w:tcPr>
          <w:tcW w:w="25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Vicepresidente</w:t>
          </w:r>
        </w:p>
      </w:tc>
    </w:tr>
    <w:tr w:rsidR="004E6CFA" w:rsidRPr="004E6CFA" w:rsidTr="004E6CFA">
      <w:trPr>
        <w:trHeight w:val="210"/>
        <w:jc w:val="center"/>
      </w:trPr>
      <w:tc>
        <w:tcPr>
          <w:tcW w:w="2520" w:type="dxa"/>
          <w:tcBorders>
            <w:top w:val="nil"/>
            <w:left w:val="nil"/>
            <w:bottom w:val="nil"/>
            <w:right w:val="nil"/>
          </w:tcBorders>
          <w:shd w:val="clear" w:color="auto" w:fill="auto"/>
          <w:noWrap/>
          <w:hideMark/>
        </w:tcPr>
        <w:p w:rsidR="004E6CFA" w:rsidRPr="004E6CFA" w:rsidRDefault="004E6CFA" w:rsidP="004E6CFA">
          <w:pPr>
            <w:jc w:val="center"/>
            <w:rPr>
              <w:rFonts w:ascii="Arial" w:hAnsi="Arial" w:cs="Arial"/>
              <w:color w:val="000000"/>
              <w:sz w:val="16"/>
              <w:szCs w:val="16"/>
              <w:lang w:eastAsia="es-AR"/>
            </w:rPr>
          </w:pPr>
        </w:p>
      </w:tc>
      <w:tc>
        <w:tcPr>
          <w:tcW w:w="3220" w:type="dxa"/>
          <w:tcBorders>
            <w:top w:val="nil"/>
            <w:left w:val="nil"/>
            <w:bottom w:val="nil"/>
            <w:right w:val="nil"/>
          </w:tcBorders>
          <w:shd w:val="clear" w:color="auto" w:fill="auto"/>
          <w:noWrap/>
          <w:vAlign w:val="center"/>
          <w:hideMark/>
        </w:tcPr>
        <w:p w:rsidR="004E6CFA" w:rsidRPr="004E6CFA" w:rsidRDefault="004E6CFA" w:rsidP="004E6CFA">
          <w:pPr>
            <w:jc w:val="center"/>
            <w:rPr>
              <w:rFonts w:ascii="Arial" w:hAnsi="Arial" w:cs="Arial"/>
              <w:color w:val="000000"/>
              <w:sz w:val="16"/>
              <w:szCs w:val="16"/>
              <w:lang w:eastAsia="es-AR"/>
            </w:rPr>
          </w:pPr>
          <w:r w:rsidRPr="004E6CFA">
            <w:rPr>
              <w:rFonts w:ascii="Arial" w:hAnsi="Arial" w:cs="Arial"/>
              <w:color w:val="000000"/>
              <w:sz w:val="16"/>
              <w:szCs w:val="16"/>
              <w:lang w:eastAsia="es-AR"/>
            </w:rPr>
            <w:t xml:space="preserve">C.P.C.E.C.A.B.A. </w:t>
          </w:r>
          <w:proofErr w:type="spellStart"/>
          <w:r w:rsidRPr="004E6CFA">
            <w:rPr>
              <w:rFonts w:ascii="Arial" w:hAnsi="Arial" w:cs="Arial"/>
              <w:color w:val="000000"/>
              <w:sz w:val="16"/>
              <w:szCs w:val="16"/>
              <w:lang w:eastAsia="es-AR"/>
            </w:rPr>
            <w:t>T°</w:t>
          </w:r>
          <w:proofErr w:type="spellEnd"/>
          <w:r w:rsidRPr="004E6CFA">
            <w:rPr>
              <w:rFonts w:ascii="Arial" w:hAnsi="Arial" w:cs="Arial"/>
              <w:color w:val="000000"/>
              <w:sz w:val="16"/>
              <w:szCs w:val="16"/>
              <w:lang w:eastAsia="es-AR"/>
            </w:rPr>
            <w:t xml:space="preserve"> 129 – </w:t>
          </w:r>
          <w:proofErr w:type="spellStart"/>
          <w:r w:rsidRPr="004E6CFA">
            <w:rPr>
              <w:rFonts w:ascii="Arial" w:hAnsi="Arial" w:cs="Arial"/>
              <w:color w:val="000000"/>
              <w:sz w:val="16"/>
              <w:szCs w:val="16"/>
              <w:lang w:eastAsia="es-AR"/>
            </w:rPr>
            <w:t>F°</w:t>
          </w:r>
          <w:proofErr w:type="spellEnd"/>
          <w:r w:rsidRPr="004E6CFA">
            <w:rPr>
              <w:rFonts w:ascii="Arial" w:hAnsi="Arial" w:cs="Arial"/>
              <w:color w:val="000000"/>
              <w:sz w:val="16"/>
              <w:szCs w:val="16"/>
              <w:lang w:eastAsia="es-AR"/>
            </w:rPr>
            <w:t xml:space="preserve"> 184</w:t>
          </w:r>
        </w:p>
      </w:tc>
      <w:tc>
        <w:tcPr>
          <w:tcW w:w="2520" w:type="dxa"/>
          <w:tcBorders>
            <w:top w:val="nil"/>
            <w:left w:val="nil"/>
            <w:bottom w:val="nil"/>
            <w:right w:val="nil"/>
          </w:tcBorders>
          <w:shd w:val="clear" w:color="auto" w:fill="auto"/>
          <w:noWrap/>
          <w:hideMark/>
        </w:tcPr>
        <w:p w:rsidR="004E6CFA" w:rsidRPr="004E6CFA" w:rsidRDefault="004E6CFA" w:rsidP="004E6CFA">
          <w:pPr>
            <w:jc w:val="center"/>
            <w:rPr>
              <w:rFonts w:ascii="Arial" w:hAnsi="Arial" w:cs="Arial"/>
              <w:color w:val="000000"/>
              <w:sz w:val="16"/>
              <w:szCs w:val="16"/>
              <w:lang w:eastAsia="es-AR"/>
            </w:rPr>
          </w:pPr>
        </w:p>
      </w:tc>
    </w:tr>
  </w:tbl>
  <w:p w:rsidR="004E6CFA" w:rsidRDefault="004E6CFA">
    <w:pPr>
      <w:pStyle w:val="Piedepgina"/>
      <w:jc w:val="center"/>
    </w:pPr>
  </w:p>
  <w:p w:rsidR="004E6CFA" w:rsidRDefault="000705A6">
    <w:pPr>
      <w:pStyle w:val="Piedepgina"/>
      <w:jc w:val="center"/>
    </w:pPr>
    <w:sdt>
      <w:sdtPr>
        <w:id w:val="1716853224"/>
        <w:docPartObj>
          <w:docPartGallery w:val="Page Numbers (Bottom of Page)"/>
          <w:docPartUnique/>
        </w:docPartObj>
      </w:sdtPr>
      <w:sdtEndPr/>
      <w:sdtContent>
        <w:r w:rsidR="004E6CFA">
          <w:fldChar w:fldCharType="begin"/>
        </w:r>
        <w:r w:rsidR="004E6CFA">
          <w:instrText>PAGE   \* MERGEFORMAT</w:instrText>
        </w:r>
        <w:r w:rsidR="004E6CFA">
          <w:fldChar w:fldCharType="separate"/>
        </w:r>
        <w:r w:rsidR="00BD4AE2" w:rsidRPr="00BD4AE2">
          <w:rPr>
            <w:noProof/>
            <w:lang w:val="es-ES"/>
          </w:rPr>
          <w:t>2</w:t>
        </w:r>
        <w:r w:rsidR="004E6CFA">
          <w:fldChar w:fldCharType="end"/>
        </w:r>
      </w:sdtContent>
    </w:sdt>
  </w:p>
  <w:p w:rsidR="004E6CFA" w:rsidRDefault="004E6C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AE2" w:rsidRPr="00015418" w:rsidRDefault="00BD4AE2">
    <w:pPr>
      <w:jc w:val="center"/>
      <w:rPr>
        <w:rFonts w:ascii="Arial" w:hAnsi="Arial" w:cs="Arial"/>
        <w:sz w:val="18"/>
        <w:szCs w:val="18"/>
      </w:rPr>
    </w:pPr>
    <w:r w:rsidRPr="00015418">
      <w:rPr>
        <w:rStyle w:val="Nmerodepgina"/>
        <w:rFonts w:ascii="Arial" w:eastAsiaTheme="majorEastAsia" w:hAnsi="Arial" w:cs="Arial"/>
        <w:sz w:val="18"/>
        <w:szCs w:val="18"/>
      </w:rPr>
      <w:fldChar w:fldCharType="begin"/>
    </w:r>
    <w:r w:rsidRPr="00015418">
      <w:rPr>
        <w:rStyle w:val="Nmerodepgina"/>
        <w:rFonts w:ascii="Arial" w:eastAsiaTheme="majorEastAsia" w:hAnsi="Arial" w:cs="Arial"/>
        <w:sz w:val="18"/>
        <w:szCs w:val="18"/>
      </w:rPr>
      <w:instrText xml:space="preserve"> PAGE </w:instrText>
    </w:r>
    <w:r w:rsidRPr="00015418">
      <w:rPr>
        <w:rStyle w:val="Nmerodepgina"/>
        <w:rFonts w:ascii="Arial" w:eastAsiaTheme="majorEastAsia" w:hAnsi="Arial" w:cs="Arial"/>
        <w:sz w:val="18"/>
        <w:szCs w:val="18"/>
      </w:rPr>
      <w:fldChar w:fldCharType="separate"/>
    </w:r>
    <w:r w:rsidR="000705A6">
      <w:rPr>
        <w:rStyle w:val="Nmerodepgina"/>
        <w:rFonts w:ascii="Arial" w:eastAsiaTheme="majorEastAsia" w:hAnsi="Arial" w:cs="Arial"/>
        <w:noProof/>
        <w:sz w:val="18"/>
        <w:szCs w:val="18"/>
      </w:rPr>
      <w:t>1</w:t>
    </w:r>
    <w:r w:rsidRPr="00015418">
      <w:rPr>
        <w:rStyle w:val="Nmerodepgina"/>
        <w:rFonts w:ascii="Arial" w:eastAsiaTheme="majorEastAsia" w:hAnsi="Arial" w:cs="Arial"/>
        <w:sz w:val="18"/>
        <w:szCs w:val="18"/>
      </w:rPr>
      <w:fldChar w:fldCharType="end"/>
    </w:r>
  </w:p>
  <w:p w:rsidR="00BD4AE2" w:rsidRDefault="00BD4AE2">
    <w:pPr>
      <w:pStyle w:val="Piedepgina"/>
      <w:ind w:right="360"/>
      <w:jc w:val="center"/>
      <w:rPr>
        <w:lang w:val="es-MX"/>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45B" w:rsidRDefault="00E6745B"/>
  <w:tbl>
    <w:tblPr>
      <w:tblW w:w="8260" w:type="dxa"/>
      <w:jc w:val="center"/>
      <w:tblCellMar>
        <w:left w:w="70" w:type="dxa"/>
        <w:right w:w="70" w:type="dxa"/>
      </w:tblCellMar>
      <w:tblLook w:val="04A0" w:firstRow="1" w:lastRow="0" w:firstColumn="1" w:lastColumn="0" w:noHBand="0" w:noVBand="1"/>
    </w:tblPr>
    <w:tblGrid>
      <w:gridCol w:w="2520"/>
      <w:gridCol w:w="3220"/>
      <w:gridCol w:w="2520"/>
    </w:tblGrid>
    <w:tr w:rsidR="00BD4AE2" w:rsidRPr="00BD4AE2"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r w:rsidRPr="00BD4AE2">
            <w:rPr>
              <w:rFonts w:ascii="Arial" w:hAnsi="Arial" w:cs="Arial"/>
              <w:color w:val="000000"/>
              <w:sz w:val="16"/>
              <w:szCs w:val="16"/>
              <w:lang w:eastAsia="es-AR"/>
            </w:rPr>
            <w:t>Por Comisión Fiscalizadora</w:t>
          </w: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r w:rsidRPr="00BD4AE2">
            <w:rPr>
              <w:rFonts w:ascii="Arial" w:hAnsi="Arial" w:cs="Arial"/>
              <w:color w:val="000000"/>
              <w:sz w:val="16"/>
              <w:szCs w:val="16"/>
              <w:lang w:eastAsia="es-AR"/>
            </w:rPr>
            <w:t>Firmado a efectos de su identificación con</w:t>
          </w:r>
        </w:p>
      </w:tc>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p>
      </w:tc>
    </w:tr>
    <w:tr w:rsidR="00BD4AE2" w:rsidRPr="00BD4AE2"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BD4AE2" w:rsidP="00BD4AE2">
          <w:pPr>
            <w:rPr>
              <w:lang w:eastAsia="es-AR"/>
            </w:rPr>
          </w:pPr>
        </w:p>
      </w:tc>
      <w:tc>
        <w:tcPr>
          <w:tcW w:w="3220" w:type="dxa"/>
          <w:tcBorders>
            <w:top w:val="nil"/>
            <w:left w:val="nil"/>
            <w:bottom w:val="nil"/>
            <w:right w:val="nil"/>
          </w:tcBorders>
          <w:shd w:val="clear" w:color="auto" w:fill="auto"/>
          <w:noWrap/>
          <w:vAlign w:val="center"/>
          <w:hideMark/>
        </w:tcPr>
        <w:p w:rsidR="00BD4AE2" w:rsidRPr="00BD4AE2" w:rsidRDefault="00775016" w:rsidP="00BD4AE2">
          <w:pPr>
            <w:jc w:val="center"/>
            <w:rPr>
              <w:rFonts w:ascii="Arial" w:hAnsi="Arial" w:cs="Arial"/>
              <w:color w:val="000000"/>
              <w:sz w:val="16"/>
              <w:szCs w:val="16"/>
              <w:lang w:eastAsia="es-AR"/>
            </w:rPr>
          </w:pPr>
          <w:r>
            <w:rPr>
              <w:rFonts w:ascii="Arial" w:hAnsi="Arial" w:cs="Arial"/>
              <w:color w:val="000000"/>
              <w:sz w:val="16"/>
              <w:szCs w:val="16"/>
              <w:lang w:eastAsia="es-AR"/>
            </w:rPr>
            <w:t>mi informe de fecha 05/08/2019</w:t>
          </w:r>
        </w:p>
      </w:tc>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p>
      </w:tc>
    </w:tr>
    <w:tr w:rsidR="00BD4AE2" w:rsidRPr="00BD4AE2"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BD4AE2" w:rsidP="00BD4AE2">
          <w:pPr>
            <w:rPr>
              <w:lang w:eastAsia="es-AR"/>
            </w:rPr>
          </w:pP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r>
    <w:tr w:rsidR="00BD4AE2" w:rsidRPr="00BD4AE2"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BD4AE2" w:rsidP="00BD4AE2">
          <w:pPr>
            <w:rPr>
              <w:lang w:eastAsia="es-AR"/>
            </w:rPr>
          </w:pP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r>
    <w:tr w:rsidR="00BD4AE2" w:rsidRPr="00BD4AE2"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c>
        <w:tcPr>
          <w:tcW w:w="2520" w:type="dxa"/>
          <w:tcBorders>
            <w:top w:val="nil"/>
            <w:left w:val="nil"/>
            <w:bottom w:val="nil"/>
            <w:right w:val="nil"/>
          </w:tcBorders>
          <w:shd w:val="clear" w:color="auto" w:fill="auto"/>
          <w:noWrap/>
          <w:vAlign w:val="center"/>
          <w:hideMark/>
        </w:tcPr>
        <w:p w:rsidR="00BD4AE2" w:rsidRPr="00BD4AE2" w:rsidRDefault="00BD4AE2" w:rsidP="00BD4AE2">
          <w:pPr>
            <w:jc w:val="center"/>
            <w:rPr>
              <w:lang w:eastAsia="es-AR"/>
            </w:rPr>
          </w:pPr>
        </w:p>
      </w:tc>
    </w:tr>
    <w:tr w:rsidR="00BD4AE2" w:rsidRPr="00366BBA" w:rsidTr="00BD4AE2">
      <w:trPr>
        <w:trHeight w:val="210"/>
        <w:jc w:val="center"/>
      </w:trPr>
      <w:tc>
        <w:tcPr>
          <w:tcW w:w="2520" w:type="dxa"/>
          <w:tcBorders>
            <w:top w:val="nil"/>
            <w:left w:val="nil"/>
            <w:bottom w:val="nil"/>
            <w:right w:val="nil"/>
          </w:tcBorders>
          <w:shd w:val="clear" w:color="auto" w:fill="auto"/>
          <w:noWrap/>
          <w:vAlign w:val="center"/>
          <w:hideMark/>
        </w:tcPr>
        <w:p w:rsidR="00BD4AE2" w:rsidRPr="00BD4AE2" w:rsidRDefault="00775016" w:rsidP="00BD4AE2">
          <w:pPr>
            <w:jc w:val="center"/>
            <w:rPr>
              <w:rFonts w:ascii="Arial" w:hAnsi="Arial" w:cs="Arial"/>
              <w:color w:val="000000"/>
              <w:sz w:val="16"/>
              <w:szCs w:val="16"/>
              <w:lang w:eastAsia="es-AR"/>
            </w:rPr>
          </w:pPr>
          <w:r>
            <w:rPr>
              <w:rFonts w:ascii="Arial" w:hAnsi="Arial" w:cs="Arial"/>
              <w:color w:val="000000"/>
              <w:sz w:val="16"/>
              <w:szCs w:val="16"/>
              <w:lang w:eastAsia="es-AR"/>
            </w:rPr>
            <w:t xml:space="preserve">Dr. Enrique </w:t>
          </w:r>
          <w:proofErr w:type="spellStart"/>
          <w:r>
            <w:rPr>
              <w:rFonts w:ascii="Arial" w:hAnsi="Arial" w:cs="Arial"/>
              <w:color w:val="000000"/>
              <w:sz w:val="16"/>
              <w:szCs w:val="16"/>
              <w:lang w:eastAsia="es-AR"/>
            </w:rPr>
            <w:t>Sbértoli</w:t>
          </w:r>
          <w:proofErr w:type="spellEnd"/>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r w:rsidRPr="00BD4AE2">
            <w:rPr>
              <w:rFonts w:ascii="Arial" w:hAnsi="Arial" w:cs="Arial"/>
              <w:color w:val="000000"/>
              <w:sz w:val="16"/>
              <w:szCs w:val="16"/>
              <w:lang w:eastAsia="es-AR"/>
            </w:rPr>
            <w:t>Gladys E. Meich</w:t>
          </w:r>
        </w:p>
      </w:tc>
      <w:tc>
        <w:tcPr>
          <w:tcW w:w="2520" w:type="dxa"/>
          <w:tcBorders>
            <w:top w:val="nil"/>
            <w:left w:val="nil"/>
            <w:bottom w:val="nil"/>
            <w:right w:val="nil"/>
          </w:tcBorders>
          <w:shd w:val="clear" w:color="auto" w:fill="auto"/>
          <w:noWrap/>
          <w:vAlign w:val="center"/>
          <w:hideMark/>
        </w:tcPr>
        <w:p w:rsidR="00BD4AE2" w:rsidRPr="00BD4AE2" w:rsidRDefault="00BD4AE2" w:rsidP="00775016">
          <w:pPr>
            <w:jc w:val="center"/>
            <w:rPr>
              <w:rFonts w:ascii="Arial" w:hAnsi="Arial" w:cs="Arial"/>
              <w:color w:val="000000"/>
              <w:sz w:val="16"/>
              <w:szCs w:val="16"/>
              <w:lang w:val="en-US" w:eastAsia="es-AR"/>
            </w:rPr>
          </w:pPr>
          <w:r w:rsidRPr="00BD4AE2">
            <w:rPr>
              <w:rFonts w:ascii="Arial" w:hAnsi="Arial" w:cs="Arial"/>
              <w:color w:val="000000"/>
              <w:sz w:val="16"/>
              <w:szCs w:val="16"/>
              <w:lang w:val="en-US" w:eastAsia="es-AR"/>
            </w:rPr>
            <w:t xml:space="preserve"> </w:t>
          </w:r>
          <w:proofErr w:type="spellStart"/>
          <w:r w:rsidRPr="00BD4AE2">
            <w:rPr>
              <w:rFonts w:ascii="Arial" w:hAnsi="Arial" w:cs="Arial"/>
              <w:color w:val="000000"/>
              <w:sz w:val="16"/>
              <w:szCs w:val="16"/>
              <w:lang w:val="en-US" w:eastAsia="es-AR"/>
            </w:rPr>
            <w:t>Lic</w:t>
          </w:r>
          <w:proofErr w:type="spellEnd"/>
          <w:r w:rsidRPr="00BD4AE2">
            <w:rPr>
              <w:rFonts w:ascii="Arial" w:hAnsi="Arial" w:cs="Arial"/>
              <w:color w:val="000000"/>
              <w:sz w:val="16"/>
              <w:szCs w:val="16"/>
              <w:lang w:val="en-US" w:eastAsia="es-AR"/>
            </w:rPr>
            <w:t xml:space="preserve">. </w:t>
          </w:r>
          <w:r w:rsidR="00775016">
            <w:rPr>
              <w:rFonts w:ascii="Arial" w:hAnsi="Arial" w:cs="Arial"/>
              <w:color w:val="000000"/>
              <w:sz w:val="16"/>
              <w:szCs w:val="16"/>
              <w:lang w:val="en-US" w:eastAsia="es-AR"/>
            </w:rPr>
            <w:t xml:space="preserve">Santiago </w:t>
          </w:r>
          <w:proofErr w:type="spellStart"/>
          <w:r w:rsidR="00775016">
            <w:rPr>
              <w:rFonts w:ascii="Arial" w:hAnsi="Arial" w:cs="Arial"/>
              <w:color w:val="000000"/>
              <w:sz w:val="16"/>
              <w:szCs w:val="16"/>
              <w:lang w:val="en-US" w:eastAsia="es-AR"/>
            </w:rPr>
            <w:t>Blaquier</w:t>
          </w:r>
          <w:proofErr w:type="spellEnd"/>
        </w:p>
      </w:tc>
    </w:tr>
    <w:tr w:rsidR="00BD4AE2" w:rsidRPr="00BD4AE2" w:rsidTr="00BD4AE2">
      <w:trPr>
        <w:trHeight w:val="210"/>
        <w:jc w:val="center"/>
      </w:trPr>
      <w:tc>
        <w:tcPr>
          <w:tcW w:w="2520" w:type="dxa"/>
          <w:tcBorders>
            <w:top w:val="nil"/>
            <w:left w:val="nil"/>
            <w:bottom w:val="nil"/>
            <w:right w:val="nil"/>
          </w:tcBorders>
          <w:shd w:val="clear" w:color="auto" w:fill="auto"/>
          <w:noWrap/>
          <w:hideMark/>
        </w:tcPr>
        <w:p w:rsidR="00BD4AE2" w:rsidRPr="00997103" w:rsidRDefault="00775016" w:rsidP="00BD4AE2">
          <w:pPr>
            <w:jc w:val="center"/>
            <w:rPr>
              <w:rFonts w:ascii="Arial" w:hAnsi="Arial" w:cs="Arial"/>
              <w:color w:val="000000"/>
              <w:sz w:val="16"/>
              <w:szCs w:val="16"/>
              <w:lang w:eastAsia="es-AR"/>
            </w:rPr>
          </w:pPr>
          <w:r w:rsidRPr="00997103">
            <w:rPr>
              <w:rFonts w:ascii="Arial" w:hAnsi="Arial" w:cs="Arial"/>
              <w:color w:val="000000"/>
              <w:sz w:val="16"/>
              <w:szCs w:val="16"/>
              <w:lang w:eastAsia="es-AR"/>
            </w:rPr>
            <w:t>Contador Público U.B.A.</w:t>
          </w: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r w:rsidRPr="00BD4AE2">
            <w:rPr>
              <w:rFonts w:ascii="Arial" w:hAnsi="Arial" w:cs="Arial"/>
              <w:color w:val="000000"/>
              <w:sz w:val="16"/>
              <w:szCs w:val="16"/>
              <w:lang w:eastAsia="es-AR"/>
            </w:rPr>
            <w:t>Contadora Pública U.B.A.</w:t>
          </w:r>
        </w:p>
      </w:tc>
      <w:tc>
        <w:tcPr>
          <w:tcW w:w="2520" w:type="dxa"/>
          <w:tcBorders>
            <w:top w:val="nil"/>
            <w:left w:val="nil"/>
            <w:bottom w:val="nil"/>
            <w:right w:val="nil"/>
          </w:tcBorders>
          <w:shd w:val="clear" w:color="auto" w:fill="auto"/>
          <w:noWrap/>
          <w:vAlign w:val="center"/>
          <w:hideMark/>
        </w:tcPr>
        <w:p w:rsidR="00BD4AE2" w:rsidRPr="00BD4AE2" w:rsidRDefault="00775016" w:rsidP="00BD4AE2">
          <w:pPr>
            <w:jc w:val="center"/>
            <w:rPr>
              <w:rFonts w:ascii="Arial" w:hAnsi="Arial" w:cs="Arial"/>
              <w:color w:val="000000"/>
              <w:sz w:val="16"/>
              <w:szCs w:val="16"/>
              <w:lang w:eastAsia="es-AR"/>
            </w:rPr>
          </w:pPr>
          <w:r>
            <w:rPr>
              <w:rFonts w:ascii="Arial" w:hAnsi="Arial" w:cs="Arial"/>
              <w:color w:val="000000"/>
              <w:sz w:val="16"/>
              <w:szCs w:val="16"/>
              <w:lang w:eastAsia="es-AR"/>
            </w:rPr>
            <w:t>Director</w:t>
          </w:r>
        </w:p>
      </w:tc>
    </w:tr>
    <w:tr w:rsidR="00BD4AE2" w:rsidRPr="00BD4AE2" w:rsidTr="00BD4AE2">
      <w:trPr>
        <w:trHeight w:val="210"/>
        <w:jc w:val="center"/>
      </w:trPr>
      <w:tc>
        <w:tcPr>
          <w:tcW w:w="2520" w:type="dxa"/>
          <w:tcBorders>
            <w:top w:val="nil"/>
            <w:left w:val="nil"/>
            <w:bottom w:val="nil"/>
            <w:right w:val="nil"/>
          </w:tcBorders>
          <w:shd w:val="clear" w:color="auto" w:fill="auto"/>
          <w:noWrap/>
          <w:hideMark/>
        </w:tcPr>
        <w:p w:rsidR="00BD4AE2" w:rsidRPr="00BD4AE2" w:rsidRDefault="00775016" w:rsidP="00775016">
          <w:pPr>
            <w:jc w:val="center"/>
            <w:rPr>
              <w:rFonts w:ascii="Arial" w:hAnsi="Arial" w:cs="Arial"/>
              <w:color w:val="000000"/>
              <w:sz w:val="16"/>
              <w:szCs w:val="16"/>
              <w:lang w:eastAsia="es-AR"/>
            </w:rPr>
          </w:pPr>
          <w:r>
            <w:rPr>
              <w:rFonts w:ascii="Arial" w:hAnsi="Arial" w:cs="Arial"/>
              <w:color w:val="000000"/>
              <w:sz w:val="16"/>
              <w:szCs w:val="16"/>
              <w:lang w:eastAsia="es-AR"/>
            </w:rPr>
            <w:t xml:space="preserve">C.P.C.E.C.A.B.A. </w:t>
          </w:r>
          <w:proofErr w:type="spellStart"/>
          <w:r>
            <w:rPr>
              <w:rFonts w:ascii="Arial" w:hAnsi="Arial" w:cs="Arial"/>
              <w:color w:val="000000"/>
              <w:sz w:val="16"/>
              <w:szCs w:val="16"/>
              <w:lang w:eastAsia="es-AR"/>
            </w:rPr>
            <w:t>T°</w:t>
          </w:r>
          <w:proofErr w:type="spellEnd"/>
          <w:r>
            <w:rPr>
              <w:rFonts w:ascii="Arial" w:hAnsi="Arial" w:cs="Arial"/>
              <w:color w:val="000000"/>
              <w:sz w:val="16"/>
              <w:szCs w:val="16"/>
              <w:lang w:eastAsia="es-AR"/>
            </w:rPr>
            <w:t xml:space="preserve"> 57</w:t>
          </w:r>
          <w:r w:rsidRPr="00BD4AE2">
            <w:rPr>
              <w:rFonts w:ascii="Arial" w:hAnsi="Arial" w:cs="Arial"/>
              <w:color w:val="000000"/>
              <w:sz w:val="16"/>
              <w:szCs w:val="16"/>
              <w:lang w:eastAsia="es-AR"/>
            </w:rPr>
            <w:t xml:space="preserve"> – </w:t>
          </w:r>
          <w:proofErr w:type="spellStart"/>
          <w:r w:rsidRPr="00BD4AE2">
            <w:rPr>
              <w:rFonts w:ascii="Arial" w:hAnsi="Arial" w:cs="Arial"/>
              <w:color w:val="000000"/>
              <w:sz w:val="16"/>
              <w:szCs w:val="16"/>
              <w:lang w:eastAsia="es-AR"/>
            </w:rPr>
            <w:t>F°</w:t>
          </w:r>
          <w:proofErr w:type="spellEnd"/>
          <w:r w:rsidRPr="00BD4AE2">
            <w:rPr>
              <w:rFonts w:ascii="Arial" w:hAnsi="Arial" w:cs="Arial"/>
              <w:color w:val="000000"/>
              <w:sz w:val="16"/>
              <w:szCs w:val="16"/>
              <w:lang w:eastAsia="es-AR"/>
            </w:rPr>
            <w:t xml:space="preserve"> 1</w:t>
          </w:r>
          <w:r>
            <w:rPr>
              <w:rFonts w:ascii="Arial" w:hAnsi="Arial" w:cs="Arial"/>
              <w:color w:val="000000"/>
              <w:sz w:val="16"/>
              <w:szCs w:val="16"/>
              <w:lang w:eastAsia="es-AR"/>
            </w:rPr>
            <w:t>61</w:t>
          </w:r>
        </w:p>
      </w:tc>
      <w:tc>
        <w:tcPr>
          <w:tcW w:w="3220" w:type="dxa"/>
          <w:tcBorders>
            <w:top w:val="nil"/>
            <w:left w:val="nil"/>
            <w:bottom w:val="nil"/>
            <w:right w:val="nil"/>
          </w:tcBorders>
          <w:shd w:val="clear" w:color="auto" w:fill="auto"/>
          <w:noWrap/>
          <w:vAlign w:val="center"/>
          <w:hideMark/>
        </w:tcPr>
        <w:p w:rsidR="00BD4AE2" w:rsidRPr="00BD4AE2" w:rsidRDefault="00BD4AE2" w:rsidP="00BD4AE2">
          <w:pPr>
            <w:jc w:val="center"/>
            <w:rPr>
              <w:rFonts w:ascii="Arial" w:hAnsi="Arial" w:cs="Arial"/>
              <w:color w:val="000000"/>
              <w:sz w:val="16"/>
              <w:szCs w:val="16"/>
              <w:lang w:eastAsia="es-AR"/>
            </w:rPr>
          </w:pPr>
          <w:r w:rsidRPr="00BD4AE2">
            <w:rPr>
              <w:rFonts w:ascii="Arial" w:hAnsi="Arial" w:cs="Arial"/>
              <w:color w:val="000000"/>
              <w:sz w:val="16"/>
              <w:szCs w:val="16"/>
              <w:lang w:eastAsia="es-AR"/>
            </w:rPr>
            <w:t xml:space="preserve">C.P.C.E.C.A.B.A. </w:t>
          </w:r>
          <w:proofErr w:type="spellStart"/>
          <w:r w:rsidRPr="00BD4AE2">
            <w:rPr>
              <w:rFonts w:ascii="Arial" w:hAnsi="Arial" w:cs="Arial"/>
              <w:color w:val="000000"/>
              <w:sz w:val="16"/>
              <w:szCs w:val="16"/>
              <w:lang w:eastAsia="es-AR"/>
            </w:rPr>
            <w:t>T°</w:t>
          </w:r>
          <w:proofErr w:type="spellEnd"/>
          <w:r w:rsidRPr="00BD4AE2">
            <w:rPr>
              <w:rFonts w:ascii="Arial" w:hAnsi="Arial" w:cs="Arial"/>
              <w:color w:val="000000"/>
              <w:sz w:val="16"/>
              <w:szCs w:val="16"/>
              <w:lang w:eastAsia="es-AR"/>
            </w:rPr>
            <w:t xml:space="preserve"> 129 – </w:t>
          </w:r>
          <w:proofErr w:type="spellStart"/>
          <w:r w:rsidRPr="00BD4AE2">
            <w:rPr>
              <w:rFonts w:ascii="Arial" w:hAnsi="Arial" w:cs="Arial"/>
              <w:color w:val="000000"/>
              <w:sz w:val="16"/>
              <w:szCs w:val="16"/>
              <w:lang w:eastAsia="es-AR"/>
            </w:rPr>
            <w:t>F°</w:t>
          </w:r>
          <w:proofErr w:type="spellEnd"/>
          <w:r w:rsidRPr="00BD4AE2">
            <w:rPr>
              <w:rFonts w:ascii="Arial" w:hAnsi="Arial" w:cs="Arial"/>
              <w:color w:val="000000"/>
              <w:sz w:val="16"/>
              <w:szCs w:val="16"/>
              <w:lang w:eastAsia="es-AR"/>
            </w:rPr>
            <w:t xml:space="preserve"> 184</w:t>
          </w:r>
        </w:p>
      </w:tc>
      <w:tc>
        <w:tcPr>
          <w:tcW w:w="2520" w:type="dxa"/>
          <w:tcBorders>
            <w:top w:val="nil"/>
            <w:left w:val="nil"/>
            <w:bottom w:val="nil"/>
            <w:right w:val="nil"/>
          </w:tcBorders>
          <w:shd w:val="clear" w:color="auto" w:fill="auto"/>
          <w:noWrap/>
          <w:hideMark/>
        </w:tcPr>
        <w:p w:rsidR="00BD4AE2" w:rsidRPr="00BD4AE2" w:rsidRDefault="00BD4AE2" w:rsidP="00BD4AE2">
          <w:pPr>
            <w:jc w:val="center"/>
            <w:rPr>
              <w:rFonts w:ascii="Arial" w:hAnsi="Arial" w:cs="Arial"/>
              <w:color w:val="000000"/>
              <w:sz w:val="16"/>
              <w:szCs w:val="16"/>
              <w:lang w:eastAsia="es-AR"/>
            </w:rPr>
          </w:pPr>
        </w:p>
      </w:tc>
    </w:tr>
  </w:tbl>
  <w:p w:rsidR="00BD4AE2" w:rsidRDefault="00BD4AE2">
    <w:pPr>
      <w:pStyle w:val="Piedepgina"/>
      <w:jc w:val="center"/>
    </w:pPr>
  </w:p>
  <w:p w:rsidR="00BD4AE2" w:rsidRDefault="000705A6">
    <w:pPr>
      <w:pStyle w:val="Piedepgina"/>
      <w:jc w:val="center"/>
    </w:pPr>
    <w:sdt>
      <w:sdtPr>
        <w:id w:val="1551874655"/>
        <w:docPartObj>
          <w:docPartGallery w:val="Page Numbers (Bottom of Page)"/>
          <w:docPartUnique/>
        </w:docPartObj>
      </w:sdtPr>
      <w:sdtEndPr/>
      <w:sdtContent>
        <w:r w:rsidR="00BD4AE2">
          <w:fldChar w:fldCharType="begin"/>
        </w:r>
        <w:r w:rsidR="00BD4AE2">
          <w:instrText>PAGE   \* MERGEFORMAT</w:instrText>
        </w:r>
        <w:r w:rsidR="00BD4AE2">
          <w:fldChar w:fldCharType="separate"/>
        </w:r>
        <w:r w:rsidRPr="000705A6">
          <w:rPr>
            <w:noProof/>
            <w:lang w:val="es-ES"/>
          </w:rPr>
          <w:t>18</w:t>
        </w:r>
        <w:r w:rsidR="00BD4AE2">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CD3" w:rsidRDefault="00822CD3"/>
  <w:p w:rsidR="00822CD3" w:rsidRDefault="00822CD3">
    <w:pPr>
      <w:pStyle w:val="Piedepgina"/>
      <w:jc w:val="center"/>
    </w:pPr>
  </w:p>
  <w:p w:rsidR="00822CD3" w:rsidRDefault="000705A6">
    <w:pPr>
      <w:pStyle w:val="Piedepgina"/>
      <w:jc w:val="center"/>
    </w:pPr>
    <w:sdt>
      <w:sdtPr>
        <w:id w:val="1265958046"/>
        <w:docPartObj>
          <w:docPartGallery w:val="Page Numbers (Bottom of Page)"/>
          <w:docPartUnique/>
        </w:docPartObj>
      </w:sdtPr>
      <w:sdtEndPr/>
      <w:sdtContent>
        <w:r w:rsidR="00822CD3">
          <w:fldChar w:fldCharType="begin"/>
        </w:r>
        <w:r w:rsidR="00822CD3">
          <w:instrText>PAGE   \* MERGEFORMAT</w:instrText>
        </w:r>
        <w:r w:rsidR="00822CD3">
          <w:fldChar w:fldCharType="separate"/>
        </w:r>
        <w:r w:rsidRPr="000705A6">
          <w:rPr>
            <w:noProof/>
            <w:lang w:val="es-ES"/>
          </w:rPr>
          <w:t>19</w:t>
        </w:r>
        <w:r w:rsidR="00822CD3">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CD3" w:rsidRDefault="00822CD3"/>
  <w:tbl>
    <w:tblPr>
      <w:tblW w:w="8260" w:type="dxa"/>
      <w:jc w:val="center"/>
      <w:tblCellMar>
        <w:left w:w="70" w:type="dxa"/>
        <w:right w:w="70" w:type="dxa"/>
      </w:tblCellMar>
      <w:tblLook w:val="04A0" w:firstRow="1" w:lastRow="0" w:firstColumn="1" w:lastColumn="0" w:noHBand="0" w:noVBand="1"/>
    </w:tblPr>
    <w:tblGrid>
      <w:gridCol w:w="2520"/>
      <w:gridCol w:w="3220"/>
      <w:gridCol w:w="2520"/>
    </w:tblGrid>
    <w:tr w:rsidR="00D10B35" w:rsidRPr="00BD4AE2" w:rsidTr="00331F8F">
      <w:trPr>
        <w:trHeight w:val="210"/>
        <w:jc w:val="center"/>
      </w:trPr>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rFonts w:ascii="Arial" w:hAnsi="Arial" w:cs="Arial"/>
              <w:color w:val="000000"/>
              <w:sz w:val="16"/>
              <w:szCs w:val="16"/>
              <w:lang w:eastAsia="es-AR"/>
            </w:rPr>
          </w:pPr>
          <w:r w:rsidRPr="00BD4AE2">
            <w:rPr>
              <w:rFonts w:ascii="Arial" w:hAnsi="Arial" w:cs="Arial"/>
              <w:color w:val="000000"/>
              <w:sz w:val="16"/>
              <w:szCs w:val="16"/>
              <w:lang w:eastAsia="es-AR"/>
            </w:rPr>
            <w:t>Por Comisión Fiscalizadora</w:t>
          </w:r>
        </w:p>
      </w:tc>
      <w:tc>
        <w:tcPr>
          <w:tcW w:w="3220" w:type="dxa"/>
          <w:tcBorders>
            <w:top w:val="nil"/>
            <w:left w:val="nil"/>
            <w:bottom w:val="nil"/>
            <w:right w:val="nil"/>
          </w:tcBorders>
          <w:shd w:val="clear" w:color="auto" w:fill="auto"/>
          <w:noWrap/>
          <w:vAlign w:val="center"/>
          <w:hideMark/>
        </w:tcPr>
        <w:p w:rsidR="00D10B35" w:rsidRPr="00BD4AE2" w:rsidRDefault="00D10B35" w:rsidP="00D10B35">
          <w:pPr>
            <w:jc w:val="center"/>
            <w:rPr>
              <w:rFonts w:ascii="Arial" w:hAnsi="Arial" w:cs="Arial"/>
              <w:color w:val="000000"/>
              <w:sz w:val="16"/>
              <w:szCs w:val="16"/>
              <w:lang w:eastAsia="es-AR"/>
            </w:rPr>
          </w:pPr>
          <w:r w:rsidRPr="00BD4AE2">
            <w:rPr>
              <w:rFonts w:ascii="Arial" w:hAnsi="Arial" w:cs="Arial"/>
              <w:color w:val="000000"/>
              <w:sz w:val="16"/>
              <w:szCs w:val="16"/>
              <w:lang w:eastAsia="es-AR"/>
            </w:rPr>
            <w:t>Firmado a efectos de su identificación con</w:t>
          </w:r>
        </w:p>
      </w:tc>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rFonts w:ascii="Arial" w:hAnsi="Arial" w:cs="Arial"/>
              <w:color w:val="000000"/>
              <w:sz w:val="16"/>
              <w:szCs w:val="16"/>
              <w:lang w:eastAsia="es-AR"/>
            </w:rPr>
          </w:pPr>
        </w:p>
      </w:tc>
    </w:tr>
    <w:tr w:rsidR="00D10B35" w:rsidRPr="00BD4AE2" w:rsidTr="00331F8F">
      <w:trPr>
        <w:trHeight w:val="210"/>
        <w:jc w:val="center"/>
      </w:trPr>
      <w:tc>
        <w:tcPr>
          <w:tcW w:w="2520" w:type="dxa"/>
          <w:tcBorders>
            <w:top w:val="nil"/>
            <w:left w:val="nil"/>
            <w:bottom w:val="nil"/>
            <w:right w:val="nil"/>
          </w:tcBorders>
          <w:shd w:val="clear" w:color="auto" w:fill="auto"/>
          <w:noWrap/>
          <w:vAlign w:val="center"/>
          <w:hideMark/>
        </w:tcPr>
        <w:p w:rsidR="00D10B35" w:rsidRPr="00BD4AE2" w:rsidRDefault="00D10B35" w:rsidP="00D10B35">
          <w:pPr>
            <w:rPr>
              <w:lang w:eastAsia="es-AR"/>
            </w:rPr>
          </w:pPr>
        </w:p>
      </w:tc>
      <w:tc>
        <w:tcPr>
          <w:tcW w:w="3220" w:type="dxa"/>
          <w:tcBorders>
            <w:top w:val="nil"/>
            <w:left w:val="nil"/>
            <w:bottom w:val="nil"/>
            <w:right w:val="nil"/>
          </w:tcBorders>
          <w:shd w:val="clear" w:color="auto" w:fill="auto"/>
          <w:noWrap/>
          <w:vAlign w:val="center"/>
          <w:hideMark/>
        </w:tcPr>
        <w:p w:rsidR="00D10B35" w:rsidRPr="00BD4AE2" w:rsidRDefault="00775016" w:rsidP="00D10B35">
          <w:pPr>
            <w:jc w:val="center"/>
            <w:rPr>
              <w:rFonts w:ascii="Arial" w:hAnsi="Arial" w:cs="Arial"/>
              <w:color w:val="000000"/>
              <w:sz w:val="16"/>
              <w:szCs w:val="16"/>
              <w:lang w:eastAsia="es-AR"/>
            </w:rPr>
          </w:pPr>
          <w:r>
            <w:rPr>
              <w:rFonts w:ascii="Arial" w:hAnsi="Arial" w:cs="Arial"/>
              <w:color w:val="000000"/>
              <w:sz w:val="16"/>
              <w:szCs w:val="16"/>
              <w:lang w:eastAsia="es-AR"/>
            </w:rPr>
            <w:t>mi informe de fecha 05/08/2019</w:t>
          </w:r>
        </w:p>
      </w:tc>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rFonts w:ascii="Arial" w:hAnsi="Arial" w:cs="Arial"/>
              <w:color w:val="000000"/>
              <w:sz w:val="16"/>
              <w:szCs w:val="16"/>
              <w:lang w:eastAsia="es-AR"/>
            </w:rPr>
          </w:pPr>
        </w:p>
      </w:tc>
    </w:tr>
    <w:tr w:rsidR="00D10B35" w:rsidRPr="00BD4AE2" w:rsidTr="00331F8F">
      <w:trPr>
        <w:trHeight w:val="210"/>
        <w:jc w:val="center"/>
      </w:trPr>
      <w:tc>
        <w:tcPr>
          <w:tcW w:w="2520" w:type="dxa"/>
          <w:tcBorders>
            <w:top w:val="nil"/>
            <w:left w:val="nil"/>
            <w:bottom w:val="nil"/>
            <w:right w:val="nil"/>
          </w:tcBorders>
          <w:shd w:val="clear" w:color="auto" w:fill="auto"/>
          <w:noWrap/>
          <w:vAlign w:val="center"/>
          <w:hideMark/>
        </w:tcPr>
        <w:p w:rsidR="00D10B35" w:rsidRPr="00BD4AE2" w:rsidRDefault="00D10B35" w:rsidP="00D10B35">
          <w:pPr>
            <w:rPr>
              <w:lang w:eastAsia="es-AR"/>
            </w:rPr>
          </w:pPr>
        </w:p>
      </w:tc>
      <w:tc>
        <w:tcPr>
          <w:tcW w:w="32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r>
    <w:tr w:rsidR="00D10B35" w:rsidRPr="00BD4AE2" w:rsidTr="00331F8F">
      <w:trPr>
        <w:trHeight w:val="210"/>
        <w:jc w:val="center"/>
      </w:trPr>
      <w:tc>
        <w:tcPr>
          <w:tcW w:w="2520" w:type="dxa"/>
          <w:tcBorders>
            <w:top w:val="nil"/>
            <w:left w:val="nil"/>
            <w:bottom w:val="nil"/>
            <w:right w:val="nil"/>
          </w:tcBorders>
          <w:shd w:val="clear" w:color="auto" w:fill="auto"/>
          <w:noWrap/>
          <w:vAlign w:val="center"/>
          <w:hideMark/>
        </w:tcPr>
        <w:p w:rsidR="00D10B35" w:rsidRPr="00BD4AE2" w:rsidRDefault="00D10B35" w:rsidP="00D10B35">
          <w:pPr>
            <w:rPr>
              <w:lang w:eastAsia="es-AR"/>
            </w:rPr>
          </w:pPr>
        </w:p>
      </w:tc>
      <w:tc>
        <w:tcPr>
          <w:tcW w:w="32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r>
    <w:tr w:rsidR="00D10B35" w:rsidRPr="00BD4AE2" w:rsidTr="00331F8F">
      <w:trPr>
        <w:trHeight w:val="210"/>
        <w:jc w:val="center"/>
      </w:trPr>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c>
        <w:tcPr>
          <w:tcW w:w="32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c>
        <w:tcPr>
          <w:tcW w:w="2520" w:type="dxa"/>
          <w:tcBorders>
            <w:top w:val="nil"/>
            <w:left w:val="nil"/>
            <w:bottom w:val="nil"/>
            <w:right w:val="nil"/>
          </w:tcBorders>
          <w:shd w:val="clear" w:color="auto" w:fill="auto"/>
          <w:noWrap/>
          <w:vAlign w:val="center"/>
          <w:hideMark/>
        </w:tcPr>
        <w:p w:rsidR="00D10B35" w:rsidRPr="00BD4AE2" w:rsidRDefault="00D10B35" w:rsidP="00D10B35">
          <w:pPr>
            <w:jc w:val="center"/>
            <w:rPr>
              <w:lang w:eastAsia="es-AR"/>
            </w:rPr>
          </w:pPr>
        </w:p>
      </w:tc>
    </w:tr>
    <w:tr w:rsidR="00775016" w:rsidRPr="00366BBA" w:rsidTr="00331F8F">
      <w:trPr>
        <w:trHeight w:val="210"/>
        <w:jc w:val="center"/>
      </w:trPr>
      <w:tc>
        <w:tcPr>
          <w:tcW w:w="25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eastAsia="es-AR"/>
            </w:rPr>
          </w:pPr>
          <w:r>
            <w:rPr>
              <w:rFonts w:ascii="Arial" w:hAnsi="Arial" w:cs="Arial"/>
              <w:color w:val="000000"/>
              <w:sz w:val="16"/>
              <w:szCs w:val="16"/>
              <w:lang w:eastAsia="es-AR"/>
            </w:rPr>
            <w:t xml:space="preserve">Dr. Enrique </w:t>
          </w:r>
          <w:proofErr w:type="spellStart"/>
          <w:r>
            <w:rPr>
              <w:rFonts w:ascii="Arial" w:hAnsi="Arial" w:cs="Arial"/>
              <w:color w:val="000000"/>
              <w:sz w:val="16"/>
              <w:szCs w:val="16"/>
              <w:lang w:eastAsia="es-AR"/>
            </w:rPr>
            <w:t>Sbértoli</w:t>
          </w:r>
          <w:proofErr w:type="spellEnd"/>
        </w:p>
      </w:tc>
      <w:tc>
        <w:tcPr>
          <w:tcW w:w="32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eastAsia="es-AR"/>
            </w:rPr>
          </w:pPr>
          <w:r w:rsidRPr="00BD4AE2">
            <w:rPr>
              <w:rFonts w:ascii="Arial" w:hAnsi="Arial" w:cs="Arial"/>
              <w:color w:val="000000"/>
              <w:sz w:val="16"/>
              <w:szCs w:val="16"/>
              <w:lang w:eastAsia="es-AR"/>
            </w:rPr>
            <w:t>Gladys E. Meich</w:t>
          </w:r>
        </w:p>
      </w:tc>
      <w:tc>
        <w:tcPr>
          <w:tcW w:w="25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val="en-US" w:eastAsia="es-AR"/>
            </w:rPr>
          </w:pPr>
          <w:r w:rsidRPr="00BD4AE2">
            <w:rPr>
              <w:rFonts w:ascii="Arial" w:hAnsi="Arial" w:cs="Arial"/>
              <w:color w:val="000000"/>
              <w:sz w:val="16"/>
              <w:szCs w:val="16"/>
              <w:lang w:val="en-US" w:eastAsia="es-AR"/>
            </w:rPr>
            <w:t xml:space="preserve"> </w:t>
          </w:r>
          <w:proofErr w:type="spellStart"/>
          <w:r w:rsidRPr="00BD4AE2">
            <w:rPr>
              <w:rFonts w:ascii="Arial" w:hAnsi="Arial" w:cs="Arial"/>
              <w:color w:val="000000"/>
              <w:sz w:val="16"/>
              <w:szCs w:val="16"/>
              <w:lang w:val="en-US" w:eastAsia="es-AR"/>
            </w:rPr>
            <w:t>Lic</w:t>
          </w:r>
          <w:proofErr w:type="spellEnd"/>
          <w:r w:rsidRPr="00BD4AE2">
            <w:rPr>
              <w:rFonts w:ascii="Arial" w:hAnsi="Arial" w:cs="Arial"/>
              <w:color w:val="000000"/>
              <w:sz w:val="16"/>
              <w:szCs w:val="16"/>
              <w:lang w:val="en-US" w:eastAsia="es-AR"/>
            </w:rPr>
            <w:t xml:space="preserve">. </w:t>
          </w:r>
          <w:r>
            <w:rPr>
              <w:rFonts w:ascii="Arial" w:hAnsi="Arial" w:cs="Arial"/>
              <w:color w:val="000000"/>
              <w:sz w:val="16"/>
              <w:szCs w:val="16"/>
              <w:lang w:val="en-US" w:eastAsia="es-AR"/>
            </w:rPr>
            <w:t xml:space="preserve">Santiago </w:t>
          </w:r>
          <w:proofErr w:type="spellStart"/>
          <w:r>
            <w:rPr>
              <w:rFonts w:ascii="Arial" w:hAnsi="Arial" w:cs="Arial"/>
              <w:color w:val="000000"/>
              <w:sz w:val="16"/>
              <w:szCs w:val="16"/>
              <w:lang w:val="en-US" w:eastAsia="es-AR"/>
            </w:rPr>
            <w:t>Blaquier</w:t>
          </w:r>
          <w:proofErr w:type="spellEnd"/>
        </w:p>
      </w:tc>
    </w:tr>
    <w:tr w:rsidR="00775016" w:rsidRPr="00BD4AE2" w:rsidTr="00331F8F">
      <w:trPr>
        <w:trHeight w:val="210"/>
        <w:jc w:val="center"/>
      </w:trPr>
      <w:tc>
        <w:tcPr>
          <w:tcW w:w="2520" w:type="dxa"/>
          <w:tcBorders>
            <w:top w:val="nil"/>
            <w:left w:val="nil"/>
            <w:bottom w:val="nil"/>
            <w:right w:val="nil"/>
          </w:tcBorders>
          <w:shd w:val="clear" w:color="auto" w:fill="auto"/>
          <w:noWrap/>
          <w:hideMark/>
        </w:tcPr>
        <w:p w:rsidR="00775016" w:rsidRPr="00997103" w:rsidRDefault="00775016" w:rsidP="00775016">
          <w:pPr>
            <w:jc w:val="center"/>
            <w:rPr>
              <w:rFonts w:ascii="Arial" w:hAnsi="Arial" w:cs="Arial"/>
              <w:color w:val="000000"/>
              <w:sz w:val="16"/>
              <w:szCs w:val="16"/>
              <w:lang w:eastAsia="es-AR"/>
            </w:rPr>
          </w:pPr>
          <w:r w:rsidRPr="00997103">
            <w:rPr>
              <w:rFonts w:ascii="Arial" w:hAnsi="Arial" w:cs="Arial"/>
              <w:color w:val="000000"/>
              <w:sz w:val="16"/>
              <w:szCs w:val="16"/>
              <w:lang w:eastAsia="es-AR"/>
            </w:rPr>
            <w:t>Contador Público U.B.A.</w:t>
          </w:r>
        </w:p>
      </w:tc>
      <w:tc>
        <w:tcPr>
          <w:tcW w:w="32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eastAsia="es-AR"/>
            </w:rPr>
          </w:pPr>
          <w:r w:rsidRPr="00BD4AE2">
            <w:rPr>
              <w:rFonts w:ascii="Arial" w:hAnsi="Arial" w:cs="Arial"/>
              <w:color w:val="000000"/>
              <w:sz w:val="16"/>
              <w:szCs w:val="16"/>
              <w:lang w:eastAsia="es-AR"/>
            </w:rPr>
            <w:t>Contadora Pública U.B.A.</w:t>
          </w:r>
        </w:p>
      </w:tc>
      <w:tc>
        <w:tcPr>
          <w:tcW w:w="25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eastAsia="es-AR"/>
            </w:rPr>
          </w:pPr>
          <w:r>
            <w:rPr>
              <w:rFonts w:ascii="Arial" w:hAnsi="Arial" w:cs="Arial"/>
              <w:color w:val="000000"/>
              <w:sz w:val="16"/>
              <w:szCs w:val="16"/>
              <w:lang w:eastAsia="es-AR"/>
            </w:rPr>
            <w:t>Director</w:t>
          </w:r>
        </w:p>
      </w:tc>
    </w:tr>
    <w:tr w:rsidR="00775016" w:rsidRPr="00BD4AE2" w:rsidTr="00331F8F">
      <w:trPr>
        <w:trHeight w:val="210"/>
        <w:jc w:val="center"/>
      </w:trPr>
      <w:tc>
        <w:tcPr>
          <w:tcW w:w="2520" w:type="dxa"/>
          <w:tcBorders>
            <w:top w:val="nil"/>
            <w:left w:val="nil"/>
            <w:bottom w:val="nil"/>
            <w:right w:val="nil"/>
          </w:tcBorders>
          <w:shd w:val="clear" w:color="auto" w:fill="auto"/>
          <w:noWrap/>
          <w:hideMark/>
        </w:tcPr>
        <w:p w:rsidR="00775016" w:rsidRPr="00BD4AE2" w:rsidRDefault="00775016" w:rsidP="00775016">
          <w:pPr>
            <w:jc w:val="center"/>
            <w:rPr>
              <w:rFonts w:ascii="Arial" w:hAnsi="Arial" w:cs="Arial"/>
              <w:color w:val="000000"/>
              <w:sz w:val="16"/>
              <w:szCs w:val="16"/>
              <w:lang w:eastAsia="es-AR"/>
            </w:rPr>
          </w:pPr>
          <w:r>
            <w:rPr>
              <w:rFonts w:ascii="Arial" w:hAnsi="Arial" w:cs="Arial"/>
              <w:color w:val="000000"/>
              <w:sz w:val="16"/>
              <w:szCs w:val="16"/>
              <w:lang w:eastAsia="es-AR"/>
            </w:rPr>
            <w:t xml:space="preserve">C.P.C.E.C.A.B.A. </w:t>
          </w:r>
          <w:proofErr w:type="spellStart"/>
          <w:r>
            <w:rPr>
              <w:rFonts w:ascii="Arial" w:hAnsi="Arial" w:cs="Arial"/>
              <w:color w:val="000000"/>
              <w:sz w:val="16"/>
              <w:szCs w:val="16"/>
              <w:lang w:eastAsia="es-AR"/>
            </w:rPr>
            <w:t>T°</w:t>
          </w:r>
          <w:proofErr w:type="spellEnd"/>
          <w:r>
            <w:rPr>
              <w:rFonts w:ascii="Arial" w:hAnsi="Arial" w:cs="Arial"/>
              <w:color w:val="000000"/>
              <w:sz w:val="16"/>
              <w:szCs w:val="16"/>
              <w:lang w:eastAsia="es-AR"/>
            </w:rPr>
            <w:t xml:space="preserve"> 57</w:t>
          </w:r>
          <w:r w:rsidRPr="00BD4AE2">
            <w:rPr>
              <w:rFonts w:ascii="Arial" w:hAnsi="Arial" w:cs="Arial"/>
              <w:color w:val="000000"/>
              <w:sz w:val="16"/>
              <w:szCs w:val="16"/>
              <w:lang w:eastAsia="es-AR"/>
            </w:rPr>
            <w:t xml:space="preserve"> – </w:t>
          </w:r>
          <w:proofErr w:type="spellStart"/>
          <w:r w:rsidRPr="00BD4AE2">
            <w:rPr>
              <w:rFonts w:ascii="Arial" w:hAnsi="Arial" w:cs="Arial"/>
              <w:color w:val="000000"/>
              <w:sz w:val="16"/>
              <w:szCs w:val="16"/>
              <w:lang w:eastAsia="es-AR"/>
            </w:rPr>
            <w:t>F°</w:t>
          </w:r>
          <w:proofErr w:type="spellEnd"/>
          <w:r w:rsidRPr="00BD4AE2">
            <w:rPr>
              <w:rFonts w:ascii="Arial" w:hAnsi="Arial" w:cs="Arial"/>
              <w:color w:val="000000"/>
              <w:sz w:val="16"/>
              <w:szCs w:val="16"/>
              <w:lang w:eastAsia="es-AR"/>
            </w:rPr>
            <w:t xml:space="preserve"> 1</w:t>
          </w:r>
          <w:r>
            <w:rPr>
              <w:rFonts w:ascii="Arial" w:hAnsi="Arial" w:cs="Arial"/>
              <w:color w:val="000000"/>
              <w:sz w:val="16"/>
              <w:szCs w:val="16"/>
              <w:lang w:eastAsia="es-AR"/>
            </w:rPr>
            <w:t>61</w:t>
          </w:r>
        </w:p>
      </w:tc>
      <w:tc>
        <w:tcPr>
          <w:tcW w:w="3220" w:type="dxa"/>
          <w:tcBorders>
            <w:top w:val="nil"/>
            <w:left w:val="nil"/>
            <w:bottom w:val="nil"/>
            <w:right w:val="nil"/>
          </w:tcBorders>
          <w:shd w:val="clear" w:color="auto" w:fill="auto"/>
          <w:noWrap/>
          <w:vAlign w:val="center"/>
          <w:hideMark/>
        </w:tcPr>
        <w:p w:rsidR="00775016" w:rsidRPr="00BD4AE2" w:rsidRDefault="00775016" w:rsidP="00775016">
          <w:pPr>
            <w:jc w:val="center"/>
            <w:rPr>
              <w:rFonts w:ascii="Arial" w:hAnsi="Arial" w:cs="Arial"/>
              <w:color w:val="000000"/>
              <w:sz w:val="16"/>
              <w:szCs w:val="16"/>
              <w:lang w:eastAsia="es-AR"/>
            </w:rPr>
          </w:pPr>
          <w:r w:rsidRPr="00BD4AE2">
            <w:rPr>
              <w:rFonts w:ascii="Arial" w:hAnsi="Arial" w:cs="Arial"/>
              <w:color w:val="000000"/>
              <w:sz w:val="16"/>
              <w:szCs w:val="16"/>
              <w:lang w:eastAsia="es-AR"/>
            </w:rPr>
            <w:t xml:space="preserve">C.P.C.E.C.A.B.A. </w:t>
          </w:r>
          <w:proofErr w:type="spellStart"/>
          <w:r w:rsidRPr="00BD4AE2">
            <w:rPr>
              <w:rFonts w:ascii="Arial" w:hAnsi="Arial" w:cs="Arial"/>
              <w:color w:val="000000"/>
              <w:sz w:val="16"/>
              <w:szCs w:val="16"/>
              <w:lang w:eastAsia="es-AR"/>
            </w:rPr>
            <w:t>T°</w:t>
          </w:r>
          <w:proofErr w:type="spellEnd"/>
          <w:r w:rsidRPr="00BD4AE2">
            <w:rPr>
              <w:rFonts w:ascii="Arial" w:hAnsi="Arial" w:cs="Arial"/>
              <w:color w:val="000000"/>
              <w:sz w:val="16"/>
              <w:szCs w:val="16"/>
              <w:lang w:eastAsia="es-AR"/>
            </w:rPr>
            <w:t xml:space="preserve"> 129 – </w:t>
          </w:r>
          <w:proofErr w:type="spellStart"/>
          <w:r w:rsidRPr="00BD4AE2">
            <w:rPr>
              <w:rFonts w:ascii="Arial" w:hAnsi="Arial" w:cs="Arial"/>
              <w:color w:val="000000"/>
              <w:sz w:val="16"/>
              <w:szCs w:val="16"/>
              <w:lang w:eastAsia="es-AR"/>
            </w:rPr>
            <w:t>F°</w:t>
          </w:r>
          <w:proofErr w:type="spellEnd"/>
          <w:r w:rsidRPr="00BD4AE2">
            <w:rPr>
              <w:rFonts w:ascii="Arial" w:hAnsi="Arial" w:cs="Arial"/>
              <w:color w:val="000000"/>
              <w:sz w:val="16"/>
              <w:szCs w:val="16"/>
              <w:lang w:eastAsia="es-AR"/>
            </w:rPr>
            <w:t xml:space="preserve"> 184</w:t>
          </w:r>
        </w:p>
      </w:tc>
      <w:tc>
        <w:tcPr>
          <w:tcW w:w="2520" w:type="dxa"/>
          <w:tcBorders>
            <w:top w:val="nil"/>
            <w:left w:val="nil"/>
            <w:bottom w:val="nil"/>
            <w:right w:val="nil"/>
          </w:tcBorders>
          <w:shd w:val="clear" w:color="auto" w:fill="auto"/>
          <w:noWrap/>
          <w:hideMark/>
        </w:tcPr>
        <w:p w:rsidR="00775016" w:rsidRPr="00BD4AE2" w:rsidRDefault="00775016" w:rsidP="00775016">
          <w:pPr>
            <w:jc w:val="center"/>
            <w:rPr>
              <w:rFonts w:ascii="Arial" w:hAnsi="Arial" w:cs="Arial"/>
              <w:color w:val="000000"/>
              <w:sz w:val="16"/>
              <w:szCs w:val="16"/>
              <w:lang w:eastAsia="es-AR"/>
            </w:rPr>
          </w:pPr>
        </w:p>
      </w:tc>
    </w:tr>
  </w:tbl>
  <w:p w:rsidR="00822CD3" w:rsidRDefault="00822CD3">
    <w:pPr>
      <w:pStyle w:val="Piedepgina"/>
      <w:jc w:val="center"/>
    </w:pPr>
  </w:p>
  <w:p w:rsidR="00822CD3" w:rsidRDefault="000705A6">
    <w:pPr>
      <w:pStyle w:val="Piedepgina"/>
      <w:jc w:val="center"/>
    </w:pPr>
    <w:sdt>
      <w:sdtPr>
        <w:id w:val="1181164449"/>
        <w:docPartObj>
          <w:docPartGallery w:val="Page Numbers (Bottom of Page)"/>
          <w:docPartUnique/>
        </w:docPartObj>
      </w:sdtPr>
      <w:sdtEndPr/>
      <w:sdtContent>
        <w:r w:rsidR="00822CD3">
          <w:fldChar w:fldCharType="begin"/>
        </w:r>
        <w:r w:rsidR="00822CD3">
          <w:instrText>PAGE   \* MERGEFORMAT</w:instrText>
        </w:r>
        <w:r w:rsidR="00822CD3">
          <w:fldChar w:fldCharType="separate"/>
        </w:r>
        <w:r w:rsidRPr="000705A6">
          <w:rPr>
            <w:noProof/>
            <w:lang w:val="es-ES"/>
          </w:rPr>
          <w:t>25</w:t>
        </w:r>
        <w:r w:rsidR="00822CD3">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2B4" w:rsidRDefault="00F152B4"/>
  <w:p w:rsidR="00F152B4" w:rsidRDefault="00F152B4">
    <w:pPr>
      <w:pStyle w:val="Piedepgina"/>
      <w:jc w:val="center"/>
    </w:pPr>
  </w:p>
  <w:p w:rsidR="00F152B4" w:rsidRDefault="00F152B4">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6CFA" w:rsidRDefault="004E6CFA" w:rsidP="004E6CFA">
      <w:r>
        <w:separator/>
      </w:r>
    </w:p>
  </w:footnote>
  <w:footnote w:type="continuationSeparator" w:id="0">
    <w:p w:rsidR="004E6CFA" w:rsidRDefault="004E6CFA" w:rsidP="004E6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CFA" w:rsidRPr="004E6CFA" w:rsidRDefault="004E6CFA" w:rsidP="004E6CFA">
    <w:pPr>
      <w:pStyle w:val="Encabezado"/>
      <w:tabs>
        <w:tab w:val="clear" w:pos="4419"/>
        <w:tab w:val="clear" w:pos="8838"/>
      </w:tabs>
      <w:ind w:right="157"/>
      <w:rPr>
        <w:rFonts w:ascii="Arial" w:hAnsi="Arial"/>
        <w:b/>
        <w:kern w:val="24"/>
        <w:sz w:val="24"/>
        <w:szCs w:val="24"/>
      </w:rPr>
    </w:pPr>
    <w:r w:rsidRPr="004E6CFA">
      <w:rPr>
        <w:rFonts w:ascii="Arial" w:hAnsi="Arial"/>
        <w:b/>
        <w:kern w:val="24"/>
        <w:sz w:val="24"/>
        <w:szCs w:val="24"/>
      </w:rPr>
      <w:t>LEDESMA FRUTAS S.A.U.</w:t>
    </w:r>
  </w:p>
  <w:p w:rsidR="004E6CFA" w:rsidRPr="004E6CFA" w:rsidRDefault="004E6CFA" w:rsidP="004E6CFA">
    <w:pPr>
      <w:pStyle w:val="Encabezado"/>
      <w:pBdr>
        <w:bottom w:val="single" w:sz="4" w:space="1" w:color="auto"/>
      </w:pBdr>
      <w:tabs>
        <w:tab w:val="clear" w:pos="4419"/>
        <w:tab w:val="clear" w:pos="8838"/>
      </w:tabs>
      <w:ind w:right="157"/>
      <w:rPr>
        <w:rFonts w:ascii="Arial" w:hAnsi="Arial"/>
        <w:b/>
        <w:sz w:val="24"/>
        <w:szCs w:val="24"/>
      </w:rPr>
    </w:pPr>
    <w:r w:rsidRPr="004E6CFA">
      <w:rPr>
        <w:rFonts w:ascii="Arial" w:hAnsi="Arial"/>
        <w:b/>
        <w:sz w:val="24"/>
        <w:szCs w:val="24"/>
      </w:rPr>
      <w:t>Estados Contables al 31 de mayo de 2019</w:t>
    </w:r>
  </w:p>
  <w:p w:rsidR="004E6CFA" w:rsidRPr="004E6CFA" w:rsidRDefault="004E6CFA" w:rsidP="004E6C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AE2" w:rsidRDefault="00BD4AE2" w:rsidP="00D10B35">
    <w:pPr>
      <w:pStyle w:val="Encabezado"/>
      <w:tabs>
        <w:tab w:val="clear" w:pos="4419"/>
        <w:tab w:val="clear" w:pos="8838"/>
      </w:tabs>
      <w:ind w:left="-142" w:right="-81"/>
      <w:rPr>
        <w:rFonts w:ascii="Arial" w:hAnsi="Arial"/>
        <w:b/>
        <w:kern w:val="24"/>
      </w:rPr>
    </w:pPr>
    <w:r>
      <w:rPr>
        <w:rFonts w:ascii="Arial" w:hAnsi="Arial"/>
        <w:b/>
        <w:kern w:val="24"/>
      </w:rPr>
      <w:t>LEDESMA FRUTAS S.A.U.</w:t>
    </w:r>
  </w:p>
  <w:p w:rsidR="00BD4AE2" w:rsidRDefault="00BD4AE2" w:rsidP="00D10B35">
    <w:pPr>
      <w:pStyle w:val="Encabezado"/>
      <w:pBdr>
        <w:bottom w:val="single" w:sz="4" w:space="1" w:color="auto"/>
      </w:pBdr>
      <w:tabs>
        <w:tab w:val="clear" w:pos="4419"/>
        <w:tab w:val="clear" w:pos="8838"/>
      </w:tabs>
      <w:ind w:left="-142" w:right="-81"/>
      <w:rPr>
        <w:rFonts w:ascii="Arial" w:hAnsi="Arial"/>
        <w:b/>
      </w:rPr>
    </w:pPr>
    <w:r>
      <w:rPr>
        <w:rFonts w:ascii="Arial" w:hAnsi="Arial"/>
        <w:b/>
      </w:rPr>
      <w:t>Estados Contables al 31 de mayo de 2019</w:t>
    </w:r>
  </w:p>
  <w:p w:rsidR="00BD4AE2" w:rsidRPr="005F4372" w:rsidRDefault="00BD4AE2" w:rsidP="009B36C2">
    <w:pPr>
      <w:pStyle w:val="Encabezado"/>
      <w:ind w:left="-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2B4" w:rsidRPr="005F4372" w:rsidRDefault="00F152B4" w:rsidP="009B36C2">
    <w:pPr>
      <w:pStyle w:val="Encabezado"/>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B5754"/>
    <w:multiLevelType w:val="hybridMultilevel"/>
    <w:tmpl w:val="08AE4F70"/>
    <w:lvl w:ilvl="0" w:tplc="AD005B12">
      <w:numFmt w:val="bullet"/>
      <w:lvlText w:val="-"/>
      <w:lvlJc w:val="left"/>
      <w:pPr>
        <w:ind w:left="1364" w:hanging="360"/>
      </w:pPr>
      <w:rPr>
        <w:rFonts w:ascii="Arial" w:eastAsia="Times New Roman" w:hAnsi="Arial" w:cs="Arial" w:hint="default"/>
      </w:rPr>
    </w:lvl>
    <w:lvl w:ilvl="1" w:tplc="FFFFFFFF">
      <w:start w:val="2"/>
      <w:numFmt w:val="bullet"/>
      <w:lvlText w:val="-"/>
      <w:lvlJc w:val="left"/>
      <w:pPr>
        <w:ind w:left="2084" w:hanging="360"/>
      </w:pPr>
      <w:rPr>
        <w:rFonts w:ascii="Times New Roman" w:eastAsia="Times New Roman" w:hAnsi="Times New Roman" w:cs="Times New Roman" w:hint="default"/>
      </w:rPr>
    </w:lvl>
    <w:lvl w:ilvl="2" w:tplc="2C0A0005" w:tentative="1">
      <w:start w:val="1"/>
      <w:numFmt w:val="bullet"/>
      <w:lvlText w:val=""/>
      <w:lvlJc w:val="left"/>
      <w:pPr>
        <w:ind w:left="2804" w:hanging="360"/>
      </w:pPr>
      <w:rPr>
        <w:rFonts w:ascii="Wingdings" w:hAnsi="Wingdings" w:hint="default"/>
      </w:rPr>
    </w:lvl>
    <w:lvl w:ilvl="3" w:tplc="2C0A0001" w:tentative="1">
      <w:start w:val="1"/>
      <w:numFmt w:val="bullet"/>
      <w:lvlText w:val=""/>
      <w:lvlJc w:val="left"/>
      <w:pPr>
        <w:ind w:left="3524" w:hanging="360"/>
      </w:pPr>
      <w:rPr>
        <w:rFonts w:ascii="Symbol" w:hAnsi="Symbol" w:hint="default"/>
      </w:rPr>
    </w:lvl>
    <w:lvl w:ilvl="4" w:tplc="2C0A0003" w:tentative="1">
      <w:start w:val="1"/>
      <w:numFmt w:val="bullet"/>
      <w:lvlText w:val="o"/>
      <w:lvlJc w:val="left"/>
      <w:pPr>
        <w:ind w:left="4244" w:hanging="360"/>
      </w:pPr>
      <w:rPr>
        <w:rFonts w:ascii="Courier New" w:hAnsi="Courier New" w:cs="Courier New" w:hint="default"/>
      </w:rPr>
    </w:lvl>
    <w:lvl w:ilvl="5" w:tplc="2C0A0005" w:tentative="1">
      <w:start w:val="1"/>
      <w:numFmt w:val="bullet"/>
      <w:lvlText w:val=""/>
      <w:lvlJc w:val="left"/>
      <w:pPr>
        <w:ind w:left="4964" w:hanging="360"/>
      </w:pPr>
      <w:rPr>
        <w:rFonts w:ascii="Wingdings" w:hAnsi="Wingdings" w:hint="default"/>
      </w:rPr>
    </w:lvl>
    <w:lvl w:ilvl="6" w:tplc="2C0A0001" w:tentative="1">
      <w:start w:val="1"/>
      <w:numFmt w:val="bullet"/>
      <w:lvlText w:val=""/>
      <w:lvlJc w:val="left"/>
      <w:pPr>
        <w:ind w:left="5684" w:hanging="360"/>
      </w:pPr>
      <w:rPr>
        <w:rFonts w:ascii="Symbol" w:hAnsi="Symbol" w:hint="default"/>
      </w:rPr>
    </w:lvl>
    <w:lvl w:ilvl="7" w:tplc="2C0A0003" w:tentative="1">
      <w:start w:val="1"/>
      <w:numFmt w:val="bullet"/>
      <w:lvlText w:val="o"/>
      <w:lvlJc w:val="left"/>
      <w:pPr>
        <w:ind w:left="6404" w:hanging="360"/>
      </w:pPr>
      <w:rPr>
        <w:rFonts w:ascii="Courier New" w:hAnsi="Courier New" w:cs="Courier New" w:hint="default"/>
      </w:rPr>
    </w:lvl>
    <w:lvl w:ilvl="8" w:tplc="2C0A0005" w:tentative="1">
      <w:start w:val="1"/>
      <w:numFmt w:val="bullet"/>
      <w:lvlText w:val=""/>
      <w:lvlJc w:val="left"/>
      <w:pPr>
        <w:ind w:left="7124" w:hanging="360"/>
      </w:pPr>
      <w:rPr>
        <w:rFonts w:ascii="Wingdings" w:hAnsi="Wingdings" w:hint="default"/>
      </w:rPr>
    </w:lvl>
  </w:abstractNum>
  <w:abstractNum w:abstractNumId="1" w15:restartNumberingAfterBreak="0">
    <w:nsid w:val="1EB23F71"/>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DCE732D"/>
    <w:multiLevelType w:val="hybridMultilevel"/>
    <w:tmpl w:val="949A664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3C0787B"/>
    <w:multiLevelType w:val="hybridMultilevel"/>
    <w:tmpl w:val="4498D096"/>
    <w:lvl w:ilvl="0" w:tplc="993E8D96">
      <w:start w:val="1"/>
      <w:numFmt w:val="upp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 w15:restartNumberingAfterBreak="0">
    <w:nsid w:val="3A760FE3"/>
    <w:multiLevelType w:val="hybridMultilevel"/>
    <w:tmpl w:val="56E280C2"/>
    <w:lvl w:ilvl="0" w:tplc="530A14F6">
      <w:start w:val="1"/>
      <w:numFmt w:val="lowerLetter"/>
      <w:lvlText w:val="%1)"/>
      <w:lvlJc w:val="left"/>
      <w:pPr>
        <w:tabs>
          <w:tab w:val="num" w:pos="870"/>
        </w:tabs>
        <w:ind w:left="794" w:hanging="28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4A601C5D"/>
    <w:multiLevelType w:val="multilevel"/>
    <w:tmpl w:val="3376AFE0"/>
    <w:lvl w:ilvl="0">
      <w:start w:val="1"/>
      <w:numFmt w:val="lowerLetter"/>
      <w:lvlText w:val="%1)"/>
      <w:lvlJc w:val="left"/>
      <w:pPr>
        <w:tabs>
          <w:tab w:val="num" w:pos="502"/>
        </w:tabs>
        <w:ind w:left="502" w:hanging="360"/>
      </w:pPr>
      <w:rPr>
        <w:rFonts w:ascii="Arial" w:hAnsi="Arial" w:hint="default"/>
        <w:b w:val="0"/>
        <w:i w:val="0"/>
      </w:rPr>
    </w:lvl>
    <w:lvl w:ilvl="1">
      <w:start w:val="1"/>
      <w:numFmt w:val="lowerLetter"/>
      <w:lvlText w:val="%2."/>
      <w:lvlJc w:val="left"/>
      <w:pPr>
        <w:tabs>
          <w:tab w:val="num" w:pos="1222"/>
        </w:tabs>
        <w:ind w:left="1222" w:hanging="360"/>
      </w:pPr>
      <w:rPr>
        <w:rFonts w:hint="default"/>
      </w:rPr>
    </w:lvl>
    <w:lvl w:ilvl="2">
      <w:start w:val="1"/>
      <w:numFmt w:val="lowerRoman"/>
      <w:lvlText w:val="%3."/>
      <w:lvlJc w:val="right"/>
      <w:pPr>
        <w:tabs>
          <w:tab w:val="num" w:pos="1942"/>
        </w:tabs>
        <w:ind w:left="1942" w:hanging="180"/>
      </w:pPr>
      <w:rPr>
        <w:rFonts w:hint="default"/>
      </w:rPr>
    </w:lvl>
    <w:lvl w:ilvl="3">
      <w:start w:val="1"/>
      <w:numFmt w:val="decimal"/>
      <w:lvlText w:val="%4."/>
      <w:lvlJc w:val="left"/>
      <w:pPr>
        <w:tabs>
          <w:tab w:val="num" w:pos="2662"/>
        </w:tabs>
        <w:ind w:left="2662" w:hanging="360"/>
      </w:pPr>
      <w:rPr>
        <w:rFonts w:hint="default"/>
      </w:rPr>
    </w:lvl>
    <w:lvl w:ilvl="4">
      <w:start w:val="1"/>
      <w:numFmt w:val="lowerLetter"/>
      <w:lvlText w:val="%5."/>
      <w:lvlJc w:val="left"/>
      <w:pPr>
        <w:tabs>
          <w:tab w:val="num" w:pos="3382"/>
        </w:tabs>
        <w:ind w:left="3382" w:hanging="360"/>
      </w:pPr>
      <w:rPr>
        <w:rFonts w:hint="default"/>
      </w:rPr>
    </w:lvl>
    <w:lvl w:ilvl="5">
      <w:start w:val="1"/>
      <w:numFmt w:val="lowerRoman"/>
      <w:lvlText w:val="%6."/>
      <w:lvlJc w:val="right"/>
      <w:pPr>
        <w:tabs>
          <w:tab w:val="num" w:pos="4102"/>
        </w:tabs>
        <w:ind w:left="4102" w:hanging="180"/>
      </w:pPr>
      <w:rPr>
        <w:rFonts w:hint="default"/>
      </w:rPr>
    </w:lvl>
    <w:lvl w:ilvl="6">
      <w:start w:val="1"/>
      <w:numFmt w:val="decimal"/>
      <w:lvlText w:val="%7."/>
      <w:lvlJc w:val="left"/>
      <w:pPr>
        <w:tabs>
          <w:tab w:val="num" w:pos="4822"/>
        </w:tabs>
        <w:ind w:left="4822" w:hanging="360"/>
      </w:pPr>
      <w:rPr>
        <w:rFonts w:hint="default"/>
      </w:rPr>
    </w:lvl>
    <w:lvl w:ilvl="7">
      <w:start w:val="1"/>
      <w:numFmt w:val="lowerLetter"/>
      <w:lvlText w:val="%8."/>
      <w:lvlJc w:val="left"/>
      <w:pPr>
        <w:tabs>
          <w:tab w:val="num" w:pos="5542"/>
        </w:tabs>
        <w:ind w:left="5542" w:hanging="360"/>
      </w:pPr>
      <w:rPr>
        <w:rFonts w:hint="default"/>
      </w:rPr>
    </w:lvl>
    <w:lvl w:ilvl="8">
      <w:start w:val="1"/>
      <w:numFmt w:val="lowerRoman"/>
      <w:lvlText w:val="%9."/>
      <w:lvlJc w:val="right"/>
      <w:pPr>
        <w:tabs>
          <w:tab w:val="num" w:pos="6262"/>
        </w:tabs>
        <w:ind w:left="6262" w:hanging="180"/>
      </w:pPr>
      <w:rPr>
        <w:rFonts w:hint="default"/>
      </w:rPr>
    </w:lvl>
  </w:abstractNum>
  <w:abstractNum w:abstractNumId="6" w15:restartNumberingAfterBreak="0">
    <w:nsid w:val="4AF72AC0"/>
    <w:multiLevelType w:val="hybridMultilevel"/>
    <w:tmpl w:val="9834859A"/>
    <w:lvl w:ilvl="0" w:tplc="948AEF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35B56BA"/>
    <w:multiLevelType w:val="hybridMultilevel"/>
    <w:tmpl w:val="0AEC634C"/>
    <w:lvl w:ilvl="0" w:tplc="FFFFFFFF">
      <w:start w:val="2"/>
      <w:numFmt w:val="bullet"/>
      <w:lvlText w:val="-"/>
      <w:lvlJc w:val="left"/>
      <w:pPr>
        <w:tabs>
          <w:tab w:val="num" w:pos="927"/>
        </w:tabs>
        <w:ind w:left="927" w:hanging="360"/>
      </w:pPr>
      <w:rPr>
        <w:rFonts w:ascii="Times New Roman" w:eastAsia="Times New Roman" w:hAnsi="Times New Roman" w:cs="Times New Roman" w:hint="default"/>
      </w:rPr>
    </w:lvl>
    <w:lvl w:ilvl="1" w:tplc="B10C97DA">
      <w:start w:val="1"/>
      <w:numFmt w:val="decimal"/>
      <w:lvlText w:val="%2."/>
      <w:lvlJc w:val="left"/>
      <w:pPr>
        <w:tabs>
          <w:tab w:val="num" w:pos="1647"/>
        </w:tabs>
        <w:ind w:left="1647" w:hanging="360"/>
      </w:pPr>
      <w:rPr>
        <w:b/>
      </w:rPr>
    </w:lvl>
    <w:lvl w:ilvl="2" w:tplc="FFFFFFFF">
      <w:start w:val="1"/>
      <w:numFmt w:val="lowerLetter"/>
      <w:lvlText w:val="(%3)"/>
      <w:lvlJc w:val="left"/>
      <w:pPr>
        <w:tabs>
          <w:tab w:val="num" w:pos="2367"/>
        </w:tabs>
        <w:ind w:left="2367" w:hanging="360"/>
      </w:pPr>
      <w:rPr>
        <w:rFont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8" w15:restartNumberingAfterBreak="0">
    <w:nsid w:val="66CD09FD"/>
    <w:multiLevelType w:val="multilevel"/>
    <w:tmpl w:val="6E6A5FE4"/>
    <w:lvl w:ilvl="0">
      <w:start w:val="1"/>
      <w:numFmt w:val="lowerLetter"/>
      <w:lvlText w:val="%1)"/>
      <w:lvlJc w:val="left"/>
      <w:pPr>
        <w:tabs>
          <w:tab w:val="num" w:pos="502"/>
        </w:tabs>
        <w:ind w:left="502" w:hanging="360"/>
      </w:pPr>
      <w:rPr>
        <w:rFonts w:ascii="Arial" w:hAnsi="Arial" w:cs="Times New Roman" w:hint="default"/>
        <w:b w:val="0"/>
        <w:i w:val="0"/>
      </w:rPr>
    </w:lvl>
    <w:lvl w:ilvl="1" w:tentative="1">
      <w:start w:val="1"/>
      <w:numFmt w:val="lowerLetter"/>
      <w:lvlText w:val="%2."/>
      <w:lvlJc w:val="left"/>
      <w:pPr>
        <w:tabs>
          <w:tab w:val="num" w:pos="1222"/>
        </w:tabs>
        <w:ind w:left="1222" w:hanging="360"/>
      </w:pPr>
      <w:rPr>
        <w:rFonts w:cs="Times New Roman"/>
      </w:rPr>
    </w:lvl>
    <w:lvl w:ilvl="2" w:tentative="1">
      <w:start w:val="1"/>
      <w:numFmt w:val="lowerRoman"/>
      <w:lvlText w:val="%3."/>
      <w:lvlJc w:val="right"/>
      <w:pPr>
        <w:tabs>
          <w:tab w:val="num" w:pos="1942"/>
        </w:tabs>
        <w:ind w:left="1942" w:hanging="180"/>
      </w:pPr>
      <w:rPr>
        <w:rFonts w:cs="Times New Roman"/>
      </w:rPr>
    </w:lvl>
    <w:lvl w:ilvl="3" w:tentative="1">
      <w:start w:val="1"/>
      <w:numFmt w:val="decimal"/>
      <w:lvlText w:val="%4."/>
      <w:lvlJc w:val="left"/>
      <w:pPr>
        <w:tabs>
          <w:tab w:val="num" w:pos="2662"/>
        </w:tabs>
        <w:ind w:left="2662" w:hanging="360"/>
      </w:pPr>
      <w:rPr>
        <w:rFonts w:cs="Times New Roman"/>
      </w:rPr>
    </w:lvl>
    <w:lvl w:ilvl="4" w:tentative="1">
      <w:start w:val="1"/>
      <w:numFmt w:val="lowerLetter"/>
      <w:lvlText w:val="%5."/>
      <w:lvlJc w:val="left"/>
      <w:pPr>
        <w:tabs>
          <w:tab w:val="num" w:pos="3382"/>
        </w:tabs>
        <w:ind w:left="3382" w:hanging="360"/>
      </w:pPr>
      <w:rPr>
        <w:rFonts w:cs="Times New Roman"/>
      </w:rPr>
    </w:lvl>
    <w:lvl w:ilvl="5" w:tentative="1">
      <w:start w:val="1"/>
      <w:numFmt w:val="lowerRoman"/>
      <w:lvlText w:val="%6."/>
      <w:lvlJc w:val="right"/>
      <w:pPr>
        <w:tabs>
          <w:tab w:val="num" w:pos="4102"/>
        </w:tabs>
        <w:ind w:left="4102" w:hanging="180"/>
      </w:pPr>
      <w:rPr>
        <w:rFonts w:cs="Times New Roman"/>
      </w:rPr>
    </w:lvl>
    <w:lvl w:ilvl="6" w:tentative="1">
      <w:start w:val="1"/>
      <w:numFmt w:val="decimal"/>
      <w:lvlText w:val="%7."/>
      <w:lvlJc w:val="left"/>
      <w:pPr>
        <w:tabs>
          <w:tab w:val="num" w:pos="4822"/>
        </w:tabs>
        <w:ind w:left="4822" w:hanging="360"/>
      </w:pPr>
      <w:rPr>
        <w:rFonts w:cs="Times New Roman"/>
      </w:rPr>
    </w:lvl>
    <w:lvl w:ilvl="7" w:tentative="1">
      <w:start w:val="1"/>
      <w:numFmt w:val="lowerLetter"/>
      <w:lvlText w:val="%8."/>
      <w:lvlJc w:val="left"/>
      <w:pPr>
        <w:tabs>
          <w:tab w:val="num" w:pos="5542"/>
        </w:tabs>
        <w:ind w:left="5542" w:hanging="360"/>
      </w:pPr>
      <w:rPr>
        <w:rFonts w:cs="Times New Roman"/>
      </w:rPr>
    </w:lvl>
    <w:lvl w:ilvl="8" w:tentative="1">
      <w:start w:val="1"/>
      <w:numFmt w:val="lowerRoman"/>
      <w:lvlText w:val="%9."/>
      <w:lvlJc w:val="right"/>
      <w:pPr>
        <w:tabs>
          <w:tab w:val="num" w:pos="6262"/>
        </w:tabs>
        <w:ind w:left="6262" w:hanging="180"/>
      </w:pPr>
      <w:rPr>
        <w:rFonts w:cs="Times New Roman"/>
      </w:rPr>
    </w:lvl>
  </w:abstractNum>
  <w:abstractNum w:abstractNumId="9" w15:restartNumberingAfterBreak="0">
    <w:nsid w:val="6D0E7AC9"/>
    <w:multiLevelType w:val="multilevel"/>
    <w:tmpl w:val="FF9252BE"/>
    <w:lvl w:ilvl="0">
      <w:start w:val="1"/>
      <w:numFmt w:val="lowerLetter"/>
      <w:lvlText w:val="%1)"/>
      <w:lvlJc w:val="left"/>
      <w:pPr>
        <w:tabs>
          <w:tab w:val="num" w:pos="502"/>
        </w:tabs>
        <w:ind w:left="502" w:hanging="360"/>
      </w:pPr>
      <w:rPr>
        <w:rFonts w:ascii="Arial" w:hAnsi="Arial" w:cs="Times New Roman" w:hint="default"/>
        <w:b w:val="0"/>
        <w:i w:val="0"/>
      </w:rPr>
    </w:lvl>
    <w:lvl w:ilvl="1">
      <w:start w:val="1"/>
      <w:numFmt w:val="lowerLetter"/>
      <w:lvlText w:val="%2."/>
      <w:lvlJc w:val="left"/>
      <w:pPr>
        <w:tabs>
          <w:tab w:val="num" w:pos="1222"/>
        </w:tabs>
        <w:ind w:left="1222" w:hanging="360"/>
      </w:pPr>
      <w:rPr>
        <w:rFonts w:cs="Times New Roman" w:hint="default"/>
      </w:rPr>
    </w:lvl>
    <w:lvl w:ilvl="2">
      <w:start w:val="1"/>
      <w:numFmt w:val="lowerRoman"/>
      <w:lvlText w:val="%3."/>
      <w:lvlJc w:val="right"/>
      <w:pPr>
        <w:tabs>
          <w:tab w:val="num" w:pos="1942"/>
        </w:tabs>
        <w:ind w:left="1942" w:hanging="180"/>
      </w:pPr>
      <w:rPr>
        <w:rFonts w:cs="Times New Roman" w:hint="default"/>
      </w:rPr>
    </w:lvl>
    <w:lvl w:ilvl="3">
      <w:start w:val="1"/>
      <w:numFmt w:val="decimal"/>
      <w:lvlText w:val="%4."/>
      <w:lvlJc w:val="left"/>
      <w:pPr>
        <w:tabs>
          <w:tab w:val="num" w:pos="2662"/>
        </w:tabs>
        <w:ind w:left="2662" w:hanging="360"/>
      </w:pPr>
      <w:rPr>
        <w:rFonts w:cs="Times New Roman" w:hint="default"/>
      </w:rPr>
    </w:lvl>
    <w:lvl w:ilvl="4">
      <w:start w:val="1"/>
      <w:numFmt w:val="lowerLetter"/>
      <w:lvlText w:val="%5."/>
      <w:lvlJc w:val="left"/>
      <w:pPr>
        <w:tabs>
          <w:tab w:val="num" w:pos="3382"/>
        </w:tabs>
        <w:ind w:left="3382" w:hanging="360"/>
      </w:pPr>
      <w:rPr>
        <w:rFonts w:cs="Times New Roman" w:hint="default"/>
      </w:rPr>
    </w:lvl>
    <w:lvl w:ilvl="5">
      <w:start w:val="1"/>
      <w:numFmt w:val="lowerRoman"/>
      <w:lvlText w:val="%6."/>
      <w:lvlJc w:val="right"/>
      <w:pPr>
        <w:tabs>
          <w:tab w:val="num" w:pos="4102"/>
        </w:tabs>
        <w:ind w:left="4102" w:hanging="180"/>
      </w:pPr>
      <w:rPr>
        <w:rFonts w:cs="Times New Roman" w:hint="default"/>
      </w:rPr>
    </w:lvl>
    <w:lvl w:ilvl="6">
      <w:start w:val="1"/>
      <w:numFmt w:val="decimal"/>
      <w:lvlText w:val="%7."/>
      <w:lvlJc w:val="left"/>
      <w:pPr>
        <w:tabs>
          <w:tab w:val="num" w:pos="4822"/>
        </w:tabs>
        <w:ind w:left="4822" w:hanging="360"/>
      </w:pPr>
      <w:rPr>
        <w:rFonts w:cs="Times New Roman" w:hint="default"/>
      </w:rPr>
    </w:lvl>
    <w:lvl w:ilvl="7">
      <w:start w:val="1"/>
      <w:numFmt w:val="lowerLetter"/>
      <w:lvlText w:val="%8."/>
      <w:lvlJc w:val="left"/>
      <w:pPr>
        <w:tabs>
          <w:tab w:val="num" w:pos="5542"/>
        </w:tabs>
        <w:ind w:left="5542" w:hanging="360"/>
      </w:pPr>
      <w:rPr>
        <w:rFonts w:cs="Times New Roman" w:hint="default"/>
      </w:rPr>
    </w:lvl>
    <w:lvl w:ilvl="8">
      <w:start w:val="1"/>
      <w:numFmt w:val="lowerRoman"/>
      <w:lvlText w:val="%9."/>
      <w:lvlJc w:val="right"/>
      <w:pPr>
        <w:tabs>
          <w:tab w:val="num" w:pos="6262"/>
        </w:tabs>
        <w:ind w:left="6262" w:hanging="180"/>
      </w:pPr>
      <w:rPr>
        <w:rFonts w:cs="Times New Roman" w:hint="default"/>
      </w:rPr>
    </w:lvl>
  </w:abstractNum>
  <w:abstractNum w:abstractNumId="10" w15:restartNumberingAfterBreak="0">
    <w:nsid w:val="778A4B35"/>
    <w:multiLevelType w:val="hybridMultilevel"/>
    <w:tmpl w:val="EACC10F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8"/>
  </w:num>
  <w:num w:numId="2">
    <w:abstractNumId w:val="0"/>
  </w:num>
  <w:num w:numId="3">
    <w:abstractNumId w:val="9"/>
  </w:num>
  <w:num w:numId="4">
    <w:abstractNumId w:val="5"/>
  </w:num>
  <w:num w:numId="5">
    <w:abstractNumId w:val="3"/>
  </w:num>
  <w:num w:numId="6">
    <w:abstractNumId w:val="7"/>
  </w:num>
  <w:num w:numId="7">
    <w:abstractNumId w:val="4"/>
  </w:num>
  <w:num w:numId="8">
    <w:abstractNumId w:val="1"/>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CFA"/>
    <w:rsid w:val="00017335"/>
    <w:rsid w:val="00021649"/>
    <w:rsid w:val="000321FE"/>
    <w:rsid w:val="000705A6"/>
    <w:rsid w:val="000A1315"/>
    <w:rsid w:val="000A7E9A"/>
    <w:rsid w:val="00147E49"/>
    <w:rsid w:val="001553A6"/>
    <w:rsid w:val="00157F3E"/>
    <w:rsid w:val="001626EA"/>
    <w:rsid w:val="00197FF5"/>
    <w:rsid w:val="001A1C15"/>
    <w:rsid w:val="001A2030"/>
    <w:rsid w:val="001B104C"/>
    <w:rsid w:val="001D0DC0"/>
    <w:rsid w:val="001E3F19"/>
    <w:rsid w:val="001E634D"/>
    <w:rsid w:val="001F5DCC"/>
    <w:rsid w:val="00247B28"/>
    <w:rsid w:val="0025375F"/>
    <w:rsid w:val="002561D2"/>
    <w:rsid w:val="002A3079"/>
    <w:rsid w:val="002B52CC"/>
    <w:rsid w:val="002B5F90"/>
    <w:rsid w:val="002C2043"/>
    <w:rsid w:val="002C7C41"/>
    <w:rsid w:val="00307E42"/>
    <w:rsid w:val="00311337"/>
    <w:rsid w:val="00321C81"/>
    <w:rsid w:val="00353649"/>
    <w:rsid w:val="00355045"/>
    <w:rsid w:val="00366BBA"/>
    <w:rsid w:val="00391B80"/>
    <w:rsid w:val="003D07E3"/>
    <w:rsid w:val="003E54B0"/>
    <w:rsid w:val="003F59EE"/>
    <w:rsid w:val="0041147D"/>
    <w:rsid w:val="0042207F"/>
    <w:rsid w:val="004309DF"/>
    <w:rsid w:val="004310BB"/>
    <w:rsid w:val="00437F83"/>
    <w:rsid w:val="0047249E"/>
    <w:rsid w:val="00472D80"/>
    <w:rsid w:val="004A04FB"/>
    <w:rsid w:val="004B2AF3"/>
    <w:rsid w:val="004C3072"/>
    <w:rsid w:val="004E6CFA"/>
    <w:rsid w:val="00530709"/>
    <w:rsid w:val="00585EA9"/>
    <w:rsid w:val="005B6BB1"/>
    <w:rsid w:val="005C2C97"/>
    <w:rsid w:val="005C3B43"/>
    <w:rsid w:val="005E5153"/>
    <w:rsid w:val="00624BC2"/>
    <w:rsid w:val="00625F2B"/>
    <w:rsid w:val="00671F52"/>
    <w:rsid w:val="006D4485"/>
    <w:rsid w:val="006E75AA"/>
    <w:rsid w:val="006F24A0"/>
    <w:rsid w:val="007237E0"/>
    <w:rsid w:val="00775016"/>
    <w:rsid w:val="0079543B"/>
    <w:rsid w:val="007A02E4"/>
    <w:rsid w:val="00817105"/>
    <w:rsid w:val="00822CD3"/>
    <w:rsid w:val="00867174"/>
    <w:rsid w:val="008A6560"/>
    <w:rsid w:val="00906222"/>
    <w:rsid w:val="00915289"/>
    <w:rsid w:val="009224C3"/>
    <w:rsid w:val="00922F4B"/>
    <w:rsid w:val="00940CCD"/>
    <w:rsid w:val="009413DE"/>
    <w:rsid w:val="00947950"/>
    <w:rsid w:val="00950762"/>
    <w:rsid w:val="00952E09"/>
    <w:rsid w:val="00961152"/>
    <w:rsid w:val="00970E2E"/>
    <w:rsid w:val="0097732D"/>
    <w:rsid w:val="00997103"/>
    <w:rsid w:val="0099774F"/>
    <w:rsid w:val="009A1D51"/>
    <w:rsid w:val="009A63F8"/>
    <w:rsid w:val="009F1200"/>
    <w:rsid w:val="00A1203E"/>
    <w:rsid w:val="00A258F6"/>
    <w:rsid w:val="00A36A63"/>
    <w:rsid w:val="00A41A0D"/>
    <w:rsid w:val="00A4668F"/>
    <w:rsid w:val="00A64280"/>
    <w:rsid w:val="00A8607A"/>
    <w:rsid w:val="00AA4F8C"/>
    <w:rsid w:val="00AB0CE4"/>
    <w:rsid w:val="00AB65DC"/>
    <w:rsid w:val="00AC147A"/>
    <w:rsid w:val="00AD5708"/>
    <w:rsid w:val="00AD6DDA"/>
    <w:rsid w:val="00AD7B7E"/>
    <w:rsid w:val="00B11A68"/>
    <w:rsid w:val="00B11E8D"/>
    <w:rsid w:val="00B15395"/>
    <w:rsid w:val="00B22ECA"/>
    <w:rsid w:val="00B45384"/>
    <w:rsid w:val="00B66CA7"/>
    <w:rsid w:val="00B87AD0"/>
    <w:rsid w:val="00B922D1"/>
    <w:rsid w:val="00BB5252"/>
    <w:rsid w:val="00BB74CA"/>
    <w:rsid w:val="00BD0E12"/>
    <w:rsid w:val="00BD4AE2"/>
    <w:rsid w:val="00BE2C29"/>
    <w:rsid w:val="00C03E04"/>
    <w:rsid w:val="00C17435"/>
    <w:rsid w:val="00C23B45"/>
    <w:rsid w:val="00C526BB"/>
    <w:rsid w:val="00C65D75"/>
    <w:rsid w:val="00C70CD2"/>
    <w:rsid w:val="00C71D8E"/>
    <w:rsid w:val="00C90833"/>
    <w:rsid w:val="00CA5902"/>
    <w:rsid w:val="00CB3872"/>
    <w:rsid w:val="00CB49F0"/>
    <w:rsid w:val="00CC01CC"/>
    <w:rsid w:val="00CD138C"/>
    <w:rsid w:val="00CE46A9"/>
    <w:rsid w:val="00D10B35"/>
    <w:rsid w:val="00D17A54"/>
    <w:rsid w:val="00D20E9B"/>
    <w:rsid w:val="00D30025"/>
    <w:rsid w:val="00D31BBD"/>
    <w:rsid w:val="00D41490"/>
    <w:rsid w:val="00D659C4"/>
    <w:rsid w:val="00DA122D"/>
    <w:rsid w:val="00DD6CAF"/>
    <w:rsid w:val="00E04844"/>
    <w:rsid w:val="00E46382"/>
    <w:rsid w:val="00E46B8D"/>
    <w:rsid w:val="00E47AF7"/>
    <w:rsid w:val="00E6745B"/>
    <w:rsid w:val="00E8214E"/>
    <w:rsid w:val="00E941A9"/>
    <w:rsid w:val="00ED1F00"/>
    <w:rsid w:val="00EE2EA1"/>
    <w:rsid w:val="00F152B4"/>
    <w:rsid w:val="00F428FE"/>
    <w:rsid w:val="00F84461"/>
    <w:rsid w:val="00FC0EE8"/>
    <w:rsid w:val="00FD40E5"/>
    <w:rsid w:val="00FD508C"/>
    <w:rsid w:val="00FE0941"/>
    <w:rsid w:val="00FE56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69633"/>
    <o:shapelayout v:ext="edit">
      <o:idmap v:ext="edit" data="1"/>
    </o:shapelayout>
  </w:shapeDefaults>
  <w:decimalSymbol w:val=","/>
  <w:listSeparator w:val=","/>
  <w15:chartTrackingRefBased/>
  <w15:docId w15:val="{28C88552-4215-4E7E-8391-14DDFA480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FA"/>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625F2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7">
    <w:name w:val="heading 7"/>
    <w:basedOn w:val="Normal"/>
    <w:next w:val="Normal"/>
    <w:link w:val="Ttulo7Car"/>
    <w:uiPriority w:val="99"/>
    <w:qFormat/>
    <w:rsid w:val="00E6745B"/>
    <w:pPr>
      <w:keepNext/>
      <w:tabs>
        <w:tab w:val="left" w:pos="621"/>
        <w:tab w:val="left" w:pos="1118"/>
        <w:tab w:val="left" w:pos="1615"/>
        <w:tab w:val="left" w:pos="5083"/>
        <w:tab w:val="left" w:pos="6630"/>
        <w:tab w:val="left" w:pos="8177"/>
        <w:tab w:val="left" w:pos="9874"/>
        <w:tab w:val="left" w:pos="10144"/>
        <w:tab w:val="left" w:pos="12021"/>
        <w:tab w:val="left" w:pos="13704"/>
        <w:tab w:val="left" w:pos="15251"/>
      </w:tabs>
      <w:jc w:val="center"/>
      <w:outlineLvl w:val="6"/>
    </w:pPr>
    <w:rPr>
      <w:b/>
      <w:bCs/>
      <w:sz w:val="24"/>
      <w:lang w:val="es-ES"/>
    </w:rPr>
  </w:style>
  <w:style w:type="paragraph" w:styleId="Ttulo8">
    <w:name w:val="heading 8"/>
    <w:basedOn w:val="Normal"/>
    <w:next w:val="Normal"/>
    <w:link w:val="Ttulo8Car"/>
    <w:unhideWhenUsed/>
    <w:qFormat/>
    <w:rsid w:val="00437F8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6CFA"/>
    <w:pPr>
      <w:tabs>
        <w:tab w:val="center" w:pos="4419"/>
        <w:tab w:val="right" w:pos="8838"/>
      </w:tabs>
    </w:pPr>
  </w:style>
  <w:style w:type="character" w:customStyle="1" w:styleId="EncabezadoCar">
    <w:name w:val="Encabezado Car"/>
    <w:basedOn w:val="Fuentedeprrafopredeter"/>
    <w:link w:val="Encabezado"/>
    <w:uiPriority w:val="99"/>
    <w:rsid w:val="004E6CFA"/>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4E6CFA"/>
    <w:pPr>
      <w:tabs>
        <w:tab w:val="center" w:pos="4419"/>
        <w:tab w:val="right" w:pos="8838"/>
      </w:tabs>
    </w:pPr>
  </w:style>
  <w:style w:type="character" w:customStyle="1" w:styleId="PiedepginaCar">
    <w:name w:val="Pie de página Car"/>
    <w:basedOn w:val="Fuentedeprrafopredeter"/>
    <w:link w:val="Piedepgina"/>
    <w:uiPriority w:val="99"/>
    <w:rsid w:val="004E6CFA"/>
    <w:rPr>
      <w:rFonts w:ascii="Times New Roman" w:eastAsia="Times New Roman" w:hAnsi="Times New Roman" w:cs="Times New Roman"/>
      <w:sz w:val="20"/>
      <w:szCs w:val="20"/>
      <w:lang w:eastAsia="es-ES"/>
    </w:rPr>
  </w:style>
  <w:style w:type="character" w:styleId="Nmerodepgina">
    <w:name w:val="page number"/>
    <w:basedOn w:val="Fuentedeprrafopredeter"/>
    <w:rsid w:val="00BD4AE2"/>
  </w:style>
  <w:style w:type="character" w:customStyle="1" w:styleId="Ttulo7Car">
    <w:name w:val="Título 7 Car"/>
    <w:basedOn w:val="Fuentedeprrafopredeter"/>
    <w:link w:val="Ttulo7"/>
    <w:uiPriority w:val="99"/>
    <w:rsid w:val="00E6745B"/>
    <w:rPr>
      <w:rFonts w:ascii="Times New Roman" w:eastAsia="Times New Roman" w:hAnsi="Times New Roman" w:cs="Times New Roman"/>
      <w:b/>
      <w:bCs/>
      <w:sz w:val="24"/>
      <w:szCs w:val="20"/>
      <w:lang w:val="es-ES" w:eastAsia="es-ES"/>
    </w:rPr>
  </w:style>
  <w:style w:type="paragraph" w:styleId="Prrafodelista">
    <w:name w:val="List Paragraph"/>
    <w:basedOn w:val="Normal"/>
    <w:uiPriority w:val="99"/>
    <w:qFormat/>
    <w:rsid w:val="005C2C97"/>
    <w:pPr>
      <w:ind w:left="720"/>
      <w:contextualSpacing/>
    </w:pPr>
  </w:style>
  <w:style w:type="character" w:customStyle="1" w:styleId="Ttulo8Car">
    <w:name w:val="Título 8 Car"/>
    <w:basedOn w:val="Fuentedeprrafopredeter"/>
    <w:link w:val="Ttulo8"/>
    <w:rsid w:val="00437F83"/>
    <w:rPr>
      <w:rFonts w:asciiTheme="majorHAnsi" w:eastAsiaTheme="majorEastAsia" w:hAnsiTheme="majorHAnsi" w:cstheme="majorBidi"/>
      <w:color w:val="272727" w:themeColor="text1" w:themeTint="D8"/>
      <w:sz w:val="21"/>
      <w:szCs w:val="21"/>
      <w:lang w:eastAsia="es-ES"/>
    </w:rPr>
  </w:style>
  <w:style w:type="paragraph" w:styleId="Sangra3detindependiente">
    <w:name w:val="Body Text Indent 3"/>
    <w:basedOn w:val="Normal"/>
    <w:link w:val="Sangra3detindependienteCar"/>
    <w:rsid w:val="00437F83"/>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snapToGrid w:val="0"/>
      <w:lang w:val="es-ES_tradnl"/>
    </w:rPr>
  </w:style>
  <w:style w:type="character" w:customStyle="1" w:styleId="Sangra3detindependienteCar">
    <w:name w:val="Sangría 3 de t. independiente Car"/>
    <w:basedOn w:val="Fuentedeprrafopredeter"/>
    <w:link w:val="Sangra3detindependiente"/>
    <w:rsid w:val="00437F83"/>
    <w:rPr>
      <w:rFonts w:ascii="Times New Roman" w:eastAsia="Times New Roman" w:hAnsi="Times New Roman" w:cs="Times New Roman"/>
      <w:snapToGrid w:val="0"/>
      <w:sz w:val="20"/>
      <w:szCs w:val="20"/>
      <w:lang w:val="es-ES_tradnl" w:eastAsia="es-ES"/>
    </w:rPr>
  </w:style>
  <w:style w:type="character" w:customStyle="1" w:styleId="Ttulo1Car">
    <w:name w:val="Título 1 Car"/>
    <w:basedOn w:val="Fuentedeprrafopredeter"/>
    <w:link w:val="Ttulo1"/>
    <w:uiPriority w:val="9"/>
    <w:rsid w:val="00625F2B"/>
    <w:rPr>
      <w:rFonts w:asciiTheme="majorHAnsi" w:eastAsiaTheme="majorEastAsia" w:hAnsiTheme="majorHAnsi" w:cstheme="majorBidi"/>
      <w:color w:val="2E74B5" w:themeColor="accent1" w:themeShade="BF"/>
      <w:sz w:val="32"/>
      <w:szCs w:val="32"/>
      <w:lang w:eastAsia="es-ES"/>
    </w:rPr>
  </w:style>
  <w:style w:type="paragraph" w:customStyle="1" w:styleId="a">
    <w:basedOn w:val="Normal"/>
    <w:next w:val="Puesto"/>
    <w:qFormat/>
    <w:rsid w:val="00625F2B"/>
    <w:pPr>
      <w:jc w:val="center"/>
    </w:pPr>
    <w:rPr>
      <w:b/>
      <w:bCs/>
      <w:szCs w:val="24"/>
      <w:lang w:val="es-ES"/>
    </w:rPr>
  </w:style>
  <w:style w:type="paragraph" w:styleId="Textodebloque">
    <w:name w:val="Block Text"/>
    <w:basedOn w:val="Normal"/>
    <w:rsid w:val="00625F2B"/>
    <w:pPr>
      <w:widowControl w:val="0"/>
      <w:ind w:left="5954" w:right="-91"/>
      <w:jc w:val="center"/>
    </w:pPr>
    <w:rPr>
      <w:rFonts w:ascii="Arial" w:hAnsi="Arial"/>
      <w:sz w:val="22"/>
      <w:lang w:val="pt-PT"/>
    </w:rPr>
  </w:style>
  <w:style w:type="paragraph" w:styleId="Puesto">
    <w:name w:val="Title"/>
    <w:basedOn w:val="Normal"/>
    <w:next w:val="Normal"/>
    <w:link w:val="PuestoCar"/>
    <w:uiPriority w:val="10"/>
    <w:qFormat/>
    <w:rsid w:val="00625F2B"/>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25F2B"/>
    <w:rPr>
      <w:rFonts w:asciiTheme="majorHAnsi" w:eastAsiaTheme="majorEastAsia" w:hAnsiTheme="majorHAnsi" w:cstheme="majorBidi"/>
      <w:spacing w:val="-10"/>
      <w:kern w:val="28"/>
      <w:sz w:val="56"/>
      <w:szCs w:val="56"/>
      <w:lang w:eastAsia="es-ES"/>
    </w:rPr>
  </w:style>
  <w:style w:type="paragraph" w:styleId="Textodeglobo">
    <w:name w:val="Balloon Text"/>
    <w:basedOn w:val="Normal"/>
    <w:link w:val="TextodegloboCar"/>
    <w:uiPriority w:val="99"/>
    <w:semiHidden/>
    <w:unhideWhenUsed/>
    <w:rsid w:val="004309D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09DF"/>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387181">
      <w:bodyDiv w:val="1"/>
      <w:marLeft w:val="0"/>
      <w:marRight w:val="0"/>
      <w:marTop w:val="0"/>
      <w:marBottom w:val="0"/>
      <w:divBdr>
        <w:top w:val="none" w:sz="0" w:space="0" w:color="auto"/>
        <w:left w:val="none" w:sz="0" w:space="0" w:color="auto"/>
        <w:bottom w:val="none" w:sz="0" w:space="0" w:color="auto"/>
        <w:right w:val="none" w:sz="0" w:space="0" w:color="auto"/>
      </w:divBdr>
    </w:div>
    <w:div w:id="633949730">
      <w:bodyDiv w:val="1"/>
      <w:marLeft w:val="0"/>
      <w:marRight w:val="0"/>
      <w:marTop w:val="0"/>
      <w:marBottom w:val="0"/>
      <w:divBdr>
        <w:top w:val="none" w:sz="0" w:space="0" w:color="auto"/>
        <w:left w:val="none" w:sz="0" w:space="0" w:color="auto"/>
        <w:bottom w:val="none" w:sz="0" w:space="0" w:color="auto"/>
        <w:right w:val="none" w:sz="0" w:space="0" w:color="auto"/>
      </w:divBdr>
    </w:div>
    <w:div w:id="727070560">
      <w:bodyDiv w:val="1"/>
      <w:marLeft w:val="0"/>
      <w:marRight w:val="0"/>
      <w:marTop w:val="0"/>
      <w:marBottom w:val="0"/>
      <w:divBdr>
        <w:top w:val="none" w:sz="0" w:space="0" w:color="auto"/>
        <w:left w:val="none" w:sz="0" w:space="0" w:color="auto"/>
        <w:bottom w:val="none" w:sz="0" w:space="0" w:color="auto"/>
        <w:right w:val="none" w:sz="0" w:space="0" w:color="auto"/>
      </w:divBdr>
    </w:div>
    <w:div w:id="811557685">
      <w:bodyDiv w:val="1"/>
      <w:marLeft w:val="0"/>
      <w:marRight w:val="0"/>
      <w:marTop w:val="0"/>
      <w:marBottom w:val="0"/>
      <w:divBdr>
        <w:top w:val="none" w:sz="0" w:space="0" w:color="auto"/>
        <w:left w:val="none" w:sz="0" w:space="0" w:color="auto"/>
        <w:bottom w:val="none" w:sz="0" w:space="0" w:color="auto"/>
        <w:right w:val="none" w:sz="0" w:space="0" w:color="auto"/>
      </w:divBdr>
    </w:div>
    <w:div w:id="1207907902">
      <w:bodyDiv w:val="1"/>
      <w:marLeft w:val="0"/>
      <w:marRight w:val="0"/>
      <w:marTop w:val="0"/>
      <w:marBottom w:val="0"/>
      <w:divBdr>
        <w:top w:val="none" w:sz="0" w:space="0" w:color="auto"/>
        <w:left w:val="none" w:sz="0" w:space="0" w:color="auto"/>
        <w:bottom w:val="none" w:sz="0" w:space="0" w:color="auto"/>
        <w:right w:val="none" w:sz="0" w:space="0" w:color="auto"/>
      </w:divBdr>
    </w:div>
    <w:div w:id="1357384498">
      <w:bodyDiv w:val="1"/>
      <w:marLeft w:val="0"/>
      <w:marRight w:val="0"/>
      <w:marTop w:val="0"/>
      <w:marBottom w:val="0"/>
      <w:divBdr>
        <w:top w:val="none" w:sz="0" w:space="0" w:color="auto"/>
        <w:left w:val="none" w:sz="0" w:space="0" w:color="auto"/>
        <w:bottom w:val="none" w:sz="0" w:space="0" w:color="auto"/>
        <w:right w:val="none" w:sz="0" w:space="0" w:color="auto"/>
      </w:divBdr>
    </w:div>
    <w:div w:id="1424692188">
      <w:bodyDiv w:val="1"/>
      <w:marLeft w:val="0"/>
      <w:marRight w:val="0"/>
      <w:marTop w:val="0"/>
      <w:marBottom w:val="0"/>
      <w:divBdr>
        <w:top w:val="none" w:sz="0" w:space="0" w:color="auto"/>
        <w:left w:val="none" w:sz="0" w:space="0" w:color="auto"/>
        <w:bottom w:val="none" w:sz="0" w:space="0" w:color="auto"/>
        <w:right w:val="none" w:sz="0" w:space="0" w:color="auto"/>
      </w:divBdr>
    </w:div>
    <w:div w:id="1542783200">
      <w:bodyDiv w:val="1"/>
      <w:marLeft w:val="0"/>
      <w:marRight w:val="0"/>
      <w:marTop w:val="0"/>
      <w:marBottom w:val="0"/>
      <w:divBdr>
        <w:top w:val="none" w:sz="0" w:space="0" w:color="auto"/>
        <w:left w:val="none" w:sz="0" w:space="0" w:color="auto"/>
        <w:bottom w:val="none" w:sz="0" w:space="0" w:color="auto"/>
        <w:right w:val="none" w:sz="0" w:space="0" w:color="auto"/>
      </w:divBdr>
    </w:div>
    <w:div w:id="1923830350">
      <w:bodyDiv w:val="1"/>
      <w:marLeft w:val="0"/>
      <w:marRight w:val="0"/>
      <w:marTop w:val="0"/>
      <w:marBottom w:val="0"/>
      <w:divBdr>
        <w:top w:val="none" w:sz="0" w:space="0" w:color="auto"/>
        <w:left w:val="none" w:sz="0" w:space="0" w:color="auto"/>
        <w:bottom w:val="none" w:sz="0" w:space="0" w:color="auto"/>
        <w:right w:val="none" w:sz="0" w:space="0" w:color="auto"/>
      </w:divBdr>
    </w:div>
    <w:div w:id="206244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image" Target="media/image14.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emf"/><Relationship Id="rId32" Type="http://schemas.openxmlformats.org/officeDocument/2006/relationships/image" Target="media/image19.emf"/><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footer" Target="footer4.xml"/><Relationship Id="rId36" Type="http://schemas.openxmlformats.org/officeDocument/2006/relationships/header" Target="header3.xml"/><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image" Target="media/image17.emf"/><Relationship Id="rId35" Type="http://schemas.openxmlformats.org/officeDocument/2006/relationships/footer" Target="footer5.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39BE3-88FB-488E-AEFD-8EE323DCA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30</Pages>
  <Words>5174</Words>
  <Characters>28457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Meich Meich</dc:creator>
  <cp:keywords/>
  <dc:description/>
  <cp:lastModifiedBy>Meich Meich</cp:lastModifiedBy>
  <cp:revision>93</cp:revision>
  <cp:lastPrinted>2019-08-06T23:54:00Z</cp:lastPrinted>
  <dcterms:created xsi:type="dcterms:W3CDTF">2019-07-14T15:49:00Z</dcterms:created>
  <dcterms:modified xsi:type="dcterms:W3CDTF">2019-08-06T23:57:00Z</dcterms:modified>
</cp:coreProperties>
</file>