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414BD" w14:textId="5C9B9420" w:rsidR="00562C75" w:rsidRDefault="00562C75" w:rsidP="00DB1CC3">
      <w:pPr>
        <w:pStyle w:val="Ttulo1"/>
        <w:spacing w:after="0"/>
        <w:rPr>
          <w:rFonts w:ascii="Arial" w:hAnsi="Arial" w:cs="Arial"/>
          <w:b/>
          <w:sz w:val="22"/>
          <w:szCs w:val="22"/>
          <w:u w:val="none"/>
        </w:rPr>
      </w:pPr>
      <w:r w:rsidRPr="00562C75">
        <w:rPr>
          <w:rFonts w:ascii="Arial" w:hAnsi="Arial" w:cs="Arial"/>
          <w:b/>
          <w:sz w:val="22"/>
          <w:szCs w:val="22"/>
          <w:u w:val="none"/>
        </w:rPr>
        <w:t>Informe de la Comisión Fiscalizadora</w:t>
      </w:r>
    </w:p>
    <w:p w14:paraId="0EFC8362" w14:textId="77777777" w:rsidR="00562C75" w:rsidRDefault="00562C75" w:rsidP="00DB1CC3">
      <w:pPr>
        <w:pStyle w:val="Ttulo1"/>
        <w:spacing w:after="0"/>
        <w:rPr>
          <w:rFonts w:ascii="Arial" w:hAnsi="Arial" w:cs="Arial"/>
          <w:b/>
          <w:sz w:val="22"/>
          <w:szCs w:val="22"/>
          <w:u w:val="none"/>
        </w:rPr>
      </w:pPr>
    </w:p>
    <w:p w14:paraId="08490FA9" w14:textId="77777777" w:rsidR="00DB1CC3" w:rsidRPr="00A301E0" w:rsidRDefault="00DB1CC3" w:rsidP="00DB1CC3">
      <w:pPr>
        <w:pStyle w:val="Ttulo1"/>
        <w:spacing w:after="0"/>
        <w:rPr>
          <w:rFonts w:ascii="Arial" w:hAnsi="Arial" w:cs="Arial"/>
          <w:b/>
          <w:sz w:val="22"/>
          <w:szCs w:val="22"/>
          <w:u w:val="none"/>
        </w:rPr>
      </w:pPr>
      <w:r w:rsidRPr="00A301E0">
        <w:rPr>
          <w:rFonts w:ascii="Arial" w:hAnsi="Arial" w:cs="Arial"/>
          <w:b/>
          <w:sz w:val="22"/>
          <w:szCs w:val="22"/>
          <w:u w:val="none"/>
        </w:rPr>
        <w:t>Señores Accionistas de</w:t>
      </w:r>
    </w:p>
    <w:p w14:paraId="75EA7DB0" w14:textId="77777777" w:rsidR="00DB1CC3" w:rsidRPr="00A301E0" w:rsidRDefault="00DB1CC3" w:rsidP="00DB1CC3">
      <w:pPr>
        <w:pStyle w:val="Ttulo1"/>
        <w:spacing w:after="0"/>
        <w:rPr>
          <w:rFonts w:ascii="Arial" w:hAnsi="Arial" w:cs="Arial"/>
          <w:b/>
          <w:sz w:val="22"/>
          <w:szCs w:val="22"/>
          <w:u w:val="none"/>
        </w:rPr>
      </w:pPr>
      <w:r w:rsidRPr="00A301E0">
        <w:rPr>
          <w:rFonts w:ascii="Arial" w:hAnsi="Arial" w:cs="Arial"/>
          <w:b/>
          <w:sz w:val="22"/>
          <w:szCs w:val="22"/>
          <w:u w:val="none"/>
        </w:rPr>
        <w:t>Ledesma S.A.A.I.,</w:t>
      </w:r>
    </w:p>
    <w:p w14:paraId="3FE4CB17" w14:textId="77777777" w:rsidR="00DB1CC3" w:rsidRPr="00A301E0" w:rsidRDefault="00DB1CC3" w:rsidP="00DB1CC3">
      <w:pPr>
        <w:pStyle w:val="Ttulo1"/>
        <w:rPr>
          <w:rFonts w:ascii="Arial" w:hAnsi="Arial" w:cs="Arial"/>
          <w:sz w:val="22"/>
          <w:szCs w:val="22"/>
          <w:u w:val="none"/>
        </w:rPr>
      </w:pPr>
      <w:r w:rsidRPr="00A301E0">
        <w:rPr>
          <w:rFonts w:ascii="Arial" w:hAnsi="Arial" w:cs="Arial"/>
          <w:b/>
          <w:sz w:val="22"/>
          <w:szCs w:val="22"/>
        </w:rPr>
        <w:t>Presente</w:t>
      </w:r>
      <w:r w:rsidRPr="00A301E0">
        <w:rPr>
          <w:rFonts w:ascii="Arial" w:hAnsi="Arial" w:cs="Arial"/>
          <w:b/>
          <w:sz w:val="22"/>
          <w:szCs w:val="22"/>
          <w:u w:val="none"/>
        </w:rPr>
        <w:t>.</w:t>
      </w:r>
    </w:p>
    <w:p w14:paraId="474FF876" w14:textId="77777777" w:rsidR="006C376D" w:rsidRDefault="00DB1CC3" w:rsidP="00DB1CC3">
      <w:pPr>
        <w:ind w:firstLine="0"/>
        <w:rPr>
          <w:rFonts w:ascii="Arial" w:hAnsi="Arial" w:cs="Arial"/>
          <w:sz w:val="22"/>
          <w:szCs w:val="22"/>
        </w:rPr>
      </w:pPr>
      <w:r w:rsidRPr="00A301E0">
        <w:rPr>
          <w:rFonts w:ascii="Arial" w:hAnsi="Arial" w:cs="Arial"/>
          <w:sz w:val="22"/>
          <w:szCs w:val="22"/>
        </w:rPr>
        <w:t>De nuestra consideración:</w:t>
      </w:r>
    </w:p>
    <w:p w14:paraId="61FBAF2A" w14:textId="77777777" w:rsidR="006C376D" w:rsidRPr="006C376D" w:rsidRDefault="006C376D" w:rsidP="006C376D">
      <w:pPr>
        <w:ind w:firstLine="0"/>
        <w:rPr>
          <w:rFonts w:ascii="Arial" w:hAnsi="Arial" w:cs="Arial"/>
          <w:sz w:val="22"/>
          <w:szCs w:val="22"/>
          <w:lang w:val="es-ES"/>
        </w:rPr>
      </w:pPr>
      <w:r>
        <w:rPr>
          <w:rFonts w:ascii="Arial" w:hAnsi="Arial" w:cs="Arial"/>
          <w:sz w:val="22"/>
          <w:szCs w:val="22"/>
          <w:lang w:val="es-ES"/>
        </w:rPr>
        <w:tab/>
      </w:r>
      <w:r>
        <w:rPr>
          <w:rFonts w:ascii="Arial" w:hAnsi="Arial" w:cs="Arial"/>
          <w:sz w:val="22"/>
          <w:szCs w:val="22"/>
          <w:lang w:val="es-ES"/>
        </w:rPr>
        <w:tab/>
      </w:r>
      <w:r>
        <w:rPr>
          <w:rFonts w:ascii="Arial" w:hAnsi="Arial" w:cs="Arial"/>
          <w:sz w:val="22"/>
          <w:szCs w:val="22"/>
          <w:lang w:val="es-ES"/>
        </w:rPr>
        <w:tab/>
      </w:r>
      <w:r w:rsidRPr="006C376D">
        <w:rPr>
          <w:rFonts w:ascii="Arial" w:hAnsi="Arial" w:cs="Arial"/>
          <w:sz w:val="22"/>
          <w:szCs w:val="22"/>
          <w:lang w:val="es-ES"/>
        </w:rPr>
        <w:t xml:space="preserve">En nuestro carácter de miembros de la Comisión Fiscalizadora de </w:t>
      </w:r>
      <w:r w:rsidRPr="006C376D">
        <w:rPr>
          <w:rFonts w:ascii="Arial" w:hAnsi="Arial" w:cs="Arial"/>
          <w:b/>
          <w:sz w:val="22"/>
          <w:szCs w:val="22"/>
          <w:lang w:val="es-ES"/>
        </w:rPr>
        <w:t>LEDESMA S.A.A.I.</w:t>
      </w:r>
      <w:r w:rsidRPr="006C376D">
        <w:rPr>
          <w:rFonts w:ascii="Arial" w:hAnsi="Arial" w:cs="Arial"/>
          <w:sz w:val="22"/>
          <w:szCs w:val="22"/>
          <w:lang w:val="es-ES"/>
        </w:rPr>
        <w:t xml:space="preserve"> (en adelante, la “Sociedad”), hemos efectuado una revisión de los documentos detallados en el párrafo 1 siguiente. La preparación de los documentos citados es responsabilidad del Directorio de la Sociedad.</w:t>
      </w:r>
    </w:p>
    <w:p w14:paraId="0F7BD878" w14:textId="77777777" w:rsidR="006C376D" w:rsidRPr="006C376D" w:rsidRDefault="006C376D" w:rsidP="006C376D">
      <w:pPr>
        <w:numPr>
          <w:ilvl w:val="0"/>
          <w:numId w:val="6"/>
        </w:numPr>
        <w:rPr>
          <w:rFonts w:ascii="Arial" w:hAnsi="Arial" w:cs="Arial"/>
          <w:b/>
          <w:bCs/>
          <w:sz w:val="22"/>
          <w:szCs w:val="22"/>
          <w:lang w:val="es-ES"/>
        </w:rPr>
      </w:pPr>
      <w:r w:rsidRPr="006C376D">
        <w:rPr>
          <w:rFonts w:ascii="Arial" w:hAnsi="Arial" w:cs="Arial"/>
          <w:b/>
          <w:bCs/>
          <w:sz w:val="22"/>
          <w:szCs w:val="22"/>
          <w:lang w:val="es-ES"/>
        </w:rPr>
        <w:t>DOCUMENTOS OBJETO DE LA REVISIÓN:</w:t>
      </w:r>
    </w:p>
    <w:p w14:paraId="1D2C30E3" w14:textId="77777777" w:rsidR="006C376D" w:rsidRPr="006C376D" w:rsidRDefault="006C376D" w:rsidP="006C376D">
      <w:pPr>
        <w:numPr>
          <w:ilvl w:val="1"/>
          <w:numId w:val="6"/>
        </w:numPr>
        <w:rPr>
          <w:rFonts w:ascii="Arial" w:hAnsi="Arial" w:cs="Arial"/>
          <w:sz w:val="22"/>
          <w:szCs w:val="22"/>
          <w:lang w:val="es-ES"/>
        </w:rPr>
      </w:pPr>
      <w:r w:rsidRPr="006C376D">
        <w:rPr>
          <w:rFonts w:ascii="Arial" w:hAnsi="Arial" w:cs="Arial"/>
          <w:sz w:val="22"/>
          <w:szCs w:val="22"/>
          <w:lang w:val="es-ES"/>
        </w:rPr>
        <w:t>Estados financieros separados condensados de período intermedio de la Sociedad</w:t>
      </w:r>
    </w:p>
    <w:p w14:paraId="435C3E45" w14:textId="77777777" w:rsidR="006C376D" w:rsidRPr="006C376D" w:rsidRDefault="006C376D" w:rsidP="006C376D">
      <w:pPr>
        <w:numPr>
          <w:ilvl w:val="2"/>
          <w:numId w:val="6"/>
        </w:numPr>
        <w:rPr>
          <w:rFonts w:ascii="Arial" w:hAnsi="Arial" w:cs="Arial"/>
          <w:sz w:val="22"/>
          <w:szCs w:val="22"/>
          <w:lang w:val="es-ES"/>
        </w:rPr>
      </w:pPr>
      <w:r w:rsidRPr="006C376D">
        <w:rPr>
          <w:rFonts w:ascii="Arial" w:hAnsi="Arial" w:cs="Arial"/>
          <w:sz w:val="22"/>
          <w:szCs w:val="22"/>
          <w:lang w:val="es-ES"/>
        </w:rPr>
        <w:t>Estado separado de situación financiera al 29 de febrero de 2020.</w:t>
      </w:r>
    </w:p>
    <w:p w14:paraId="44CDB3AF" w14:textId="71E9E12D" w:rsidR="006C376D" w:rsidRPr="006C376D" w:rsidRDefault="006C376D" w:rsidP="006C376D">
      <w:pPr>
        <w:numPr>
          <w:ilvl w:val="2"/>
          <w:numId w:val="6"/>
        </w:numPr>
        <w:rPr>
          <w:rFonts w:ascii="Arial" w:hAnsi="Arial" w:cs="Arial"/>
          <w:sz w:val="22"/>
          <w:szCs w:val="22"/>
          <w:lang w:val="es-ES"/>
        </w:rPr>
      </w:pPr>
      <w:r w:rsidRPr="006C376D">
        <w:rPr>
          <w:rFonts w:ascii="Arial" w:hAnsi="Arial" w:cs="Arial"/>
          <w:sz w:val="22"/>
          <w:szCs w:val="22"/>
          <w:lang w:val="es-ES"/>
        </w:rPr>
        <w:t xml:space="preserve">Estado separado del resultado integral por los períodos de </w:t>
      </w:r>
      <w:r w:rsidR="003A1AC0">
        <w:rPr>
          <w:rFonts w:ascii="Arial" w:hAnsi="Arial" w:cs="Arial"/>
          <w:sz w:val="22"/>
          <w:szCs w:val="22"/>
          <w:lang w:val="es-ES"/>
        </w:rPr>
        <w:t>nueve</w:t>
      </w:r>
      <w:r w:rsidR="003A1AC0" w:rsidRPr="006C376D">
        <w:rPr>
          <w:rFonts w:ascii="Arial" w:hAnsi="Arial" w:cs="Arial"/>
          <w:sz w:val="22"/>
          <w:szCs w:val="22"/>
          <w:lang w:val="es-ES"/>
        </w:rPr>
        <w:t xml:space="preserve"> </w:t>
      </w:r>
      <w:r w:rsidRPr="006C376D">
        <w:rPr>
          <w:rFonts w:ascii="Arial" w:hAnsi="Arial" w:cs="Arial"/>
          <w:sz w:val="22"/>
          <w:szCs w:val="22"/>
          <w:lang w:val="es-ES"/>
        </w:rPr>
        <w:t xml:space="preserve">y tres meses finalizado el 29 de febrero de 2020, y el estado de cambios en el patrimonio y de flujos de efectivo por el período de </w:t>
      </w:r>
      <w:r w:rsidR="003A1AC0">
        <w:rPr>
          <w:rFonts w:ascii="Arial" w:hAnsi="Arial" w:cs="Arial"/>
          <w:sz w:val="22"/>
          <w:szCs w:val="22"/>
          <w:lang w:val="es-ES"/>
        </w:rPr>
        <w:t>nueve</w:t>
      </w:r>
      <w:r w:rsidR="003A1AC0" w:rsidRPr="006C376D">
        <w:rPr>
          <w:rFonts w:ascii="Arial" w:hAnsi="Arial" w:cs="Arial"/>
          <w:sz w:val="22"/>
          <w:szCs w:val="22"/>
          <w:lang w:val="es-ES"/>
        </w:rPr>
        <w:t xml:space="preserve"> </w:t>
      </w:r>
      <w:r w:rsidRPr="006C376D">
        <w:rPr>
          <w:rFonts w:ascii="Arial" w:hAnsi="Arial" w:cs="Arial"/>
          <w:sz w:val="22"/>
          <w:szCs w:val="22"/>
          <w:lang w:val="es-ES"/>
        </w:rPr>
        <w:t>meses finalizado en esa fecha.</w:t>
      </w:r>
    </w:p>
    <w:p w14:paraId="22731984" w14:textId="77777777" w:rsidR="006C376D" w:rsidRPr="006C376D" w:rsidRDefault="006C376D" w:rsidP="006C376D">
      <w:pPr>
        <w:numPr>
          <w:ilvl w:val="2"/>
          <w:numId w:val="6"/>
        </w:numPr>
        <w:rPr>
          <w:rFonts w:ascii="Arial" w:hAnsi="Arial" w:cs="Arial"/>
          <w:sz w:val="22"/>
          <w:szCs w:val="22"/>
          <w:lang w:val="es-ES"/>
        </w:rPr>
      </w:pPr>
      <w:r w:rsidRPr="006C376D">
        <w:rPr>
          <w:rFonts w:ascii="Arial" w:hAnsi="Arial" w:cs="Arial"/>
          <w:sz w:val="22"/>
          <w:szCs w:val="22"/>
          <w:lang w:val="es-ES"/>
        </w:rPr>
        <w:t>Notas explicativas seleccionadas.</w:t>
      </w:r>
    </w:p>
    <w:p w14:paraId="34A6A7BC" w14:textId="77777777" w:rsidR="006C376D" w:rsidRPr="006C376D" w:rsidRDefault="006C376D" w:rsidP="006C376D">
      <w:pPr>
        <w:numPr>
          <w:ilvl w:val="1"/>
          <w:numId w:val="6"/>
        </w:numPr>
        <w:rPr>
          <w:rFonts w:ascii="Arial" w:hAnsi="Arial" w:cs="Arial"/>
          <w:sz w:val="22"/>
          <w:szCs w:val="22"/>
          <w:lang w:val="es-ES"/>
        </w:rPr>
      </w:pPr>
      <w:r w:rsidRPr="006C376D">
        <w:rPr>
          <w:rFonts w:ascii="Arial" w:hAnsi="Arial" w:cs="Arial"/>
          <w:sz w:val="22"/>
          <w:szCs w:val="22"/>
          <w:lang w:val="es-ES"/>
        </w:rPr>
        <w:t>Estados financieros consolidados condensados de período intermedio de la Sociedad.</w:t>
      </w:r>
    </w:p>
    <w:p w14:paraId="787D9569" w14:textId="77777777" w:rsidR="006C376D" w:rsidRPr="006C376D" w:rsidRDefault="006C376D" w:rsidP="006C376D">
      <w:pPr>
        <w:numPr>
          <w:ilvl w:val="2"/>
          <w:numId w:val="6"/>
        </w:numPr>
        <w:rPr>
          <w:rFonts w:ascii="Arial" w:hAnsi="Arial" w:cs="Arial"/>
          <w:sz w:val="22"/>
          <w:szCs w:val="22"/>
          <w:lang w:val="es-ES"/>
        </w:rPr>
      </w:pPr>
      <w:r w:rsidRPr="006C376D">
        <w:rPr>
          <w:rFonts w:ascii="Arial" w:hAnsi="Arial" w:cs="Arial"/>
          <w:sz w:val="22"/>
          <w:szCs w:val="22"/>
          <w:lang w:val="es-ES"/>
        </w:rPr>
        <w:t>Estado consolidado de situación financiera al 29 de febrero de 2020.</w:t>
      </w:r>
    </w:p>
    <w:p w14:paraId="04D9CD3E" w14:textId="5A5A80BB" w:rsidR="006C376D" w:rsidRPr="006C376D" w:rsidRDefault="006C376D" w:rsidP="006C376D">
      <w:pPr>
        <w:numPr>
          <w:ilvl w:val="2"/>
          <w:numId w:val="6"/>
        </w:numPr>
        <w:rPr>
          <w:rFonts w:ascii="Arial" w:hAnsi="Arial" w:cs="Arial"/>
          <w:sz w:val="22"/>
          <w:szCs w:val="22"/>
          <w:lang w:val="es-ES"/>
        </w:rPr>
      </w:pPr>
      <w:r w:rsidRPr="006C376D">
        <w:rPr>
          <w:rFonts w:ascii="Arial" w:hAnsi="Arial" w:cs="Arial"/>
          <w:sz w:val="22"/>
          <w:szCs w:val="22"/>
          <w:lang w:val="es-ES"/>
        </w:rPr>
        <w:t xml:space="preserve">Estado consolidado del resultado integral por los períodos de </w:t>
      </w:r>
      <w:r w:rsidR="003A1AC0">
        <w:rPr>
          <w:rFonts w:ascii="Arial" w:hAnsi="Arial" w:cs="Arial"/>
          <w:sz w:val="22"/>
          <w:szCs w:val="22"/>
          <w:lang w:val="es-ES"/>
        </w:rPr>
        <w:t>nueve</w:t>
      </w:r>
      <w:r w:rsidR="003A1AC0" w:rsidRPr="006C376D">
        <w:rPr>
          <w:rFonts w:ascii="Arial" w:hAnsi="Arial" w:cs="Arial"/>
          <w:sz w:val="22"/>
          <w:szCs w:val="22"/>
          <w:lang w:val="es-ES"/>
        </w:rPr>
        <w:t xml:space="preserve"> </w:t>
      </w:r>
      <w:r w:rsidRPr="006C376D">
        <w:rPr>
          <w:rFonts w:ascii="Arial" w:hAnsi="Arial" w:cs="Arial"/>
          <w:sz w:val="22"/>
          <w:szCs w:val="22"/>
          <w:lang w:val="es-ES"/>
        </w:rPr>
        <w:t xml:space="preserve">y tres meses finalizados el 29 de febrero de 2020, y el estado consolidado de cambios en el patrimonio y de flujos de efectivo por el período de </w:t>
      </w:r>
      <w:r w:rsidR="003A1AC0">
        <w:rPr>
          <w:rFonts w:ascii="Arial" w:hAnsi="Arial" w:cs="Arial"/>
          <w:sz w:val="22"/>
          <w:szCs w:val="22"/>
          <w:lang w:val="es-ES"/>
        </w:rPr>
        <w:t>nueve</w:t>
      </w:r>
      <w:r w:rsidR="003A1AC0" w:rsidRPr="006C376D">
        <w:rPr>
          <w:rFonts w:ascii="Arial" w:hAnsi="Arial" w:cs="Arial"/>
          <w:sz w:val="22"/>
          <w:szCs w:val="22"/>
          <w:lang w:val="es-ES"/>
        </w:rPr>
        <w:t xml:space="preserve"> </w:t>
      </w:r>
      <w:r w:rsidRPr="006C376D">
        <w:rPr>
          <w:rFonts w:ascii="Arial" w:hAnsi="Arial" w:cs="Arial"/>
          <w:sz w:val="22"/>
          <w:szCs w:val="22"/>
          <w:lang w:val="es-ES"/>
        </w:rPr>
        <w:t>meses finalizado en esa fecha.</w:t>
      </w:r>
    </w:p>
    <w:p w14:paraId="32A36CCF" w14:textId="77777777" w:rsidR="006C376D" w:rsidRPr="006C376D" w:rsidRDefault="006C376D" w:rsidP="006C376D">
      <w:pPr>
        <w:numPr>
          <w:ilvl w:val="2"/>
          <w:numId w:val="6"/>
        </w:numPr>
        <w:rPr>
          <w:rFonts w:ascii="Arial" w:hAnsi="Arial" w:cs="Arial"/>
          <w:sz w:val="22"/>
          <w:szCs w:val="22"/>
          <w:lang w:val="es-ES"/>
        </w:rPr>
      </w:pPr>
      <w:r w:rsidRPr="006C376D">
        <w:rPr>
          <w:rFonts w:ascii="Arial" w:hAnsi="Arial" w:cs="Arial"/>
          <w:sz w:val="22"/>
          <w:szCs w:val="22"/>
          <w:lang w:val="es-ES"/>
        </w:rPr>
        <w:t>Notas explicativas seleccionadas.</w:t>
      </w:r>
    </w:p>
    <w:p w14:paraId="42921E43" w14:textId="77777777" w:rsidR="006C376D" w:rsidRPr="006C376D" w:rsidRDefault="006C376D" w:rsidP="006C376D">
      <w:pPr>
        <w:ind w:firstLine="0"/>
        <w:rPr>
          <w:rFonts w:ascii="Arial" w:hAnsi="Arial" w:cs="Arial"/>
          <w:sz w:val="22"/>
          <w:szCs w:val="22"/>
          <w:lang w:val="es-ES"/>
        </w:rPr>
      </w:pPr>
    </w:p>
    <w:p w14:paraId="7A9FBABE" w14:textId="77777777" w:rsidR="006C376D" w:rsidRPr="006C376D" w:rsidRDefault="006C376D" w:rsidP="006C376D">
      <w:pPr>
        <w:ind w:firstLine="0"/>
        <w:rPr>
          <w:rFonts w:ascii="Arial" w:hAnsi="Arial" w:cs="Arial"/>
          <w:sz w:val="22"/>
          <w:szCs w:val="22"/>
          <w:lang w:val="es-ES"/>
        </w:rPr>
      </w:pPr>
    </w:p>
    <w:p w14:paraId="5CCBF306" w14:textId="77777777" w:rsidR="006C376D" w:rsidRPr="006C376D" w:rsidRDefault="006C376D" w:rsidP="006C376D">
      <w:pPr>
        <w:numPr>
          <w:ilvl w:val="0"/>
          <w:numId w:val="6"/>
        </w:numPr>
        <w:rPr>
          <w:rFonts w:ascii="Arial" w:hAnsi="Arial" w:cs="Arial"/>
          <w:b/>
          <w:bCs/>
          <w:sz w:val="22"/>
          <w:szCs w:val="22"/>
          <w:lang w:val="es-ES"/>
        </w:rPr>
      </w:pPr>
      <w:r w:rsidRPr="006C376D">
        <w:rPr>
          <w:rFonts w:ascii="Arial" w:hAnsi="Arial" w:cs="Arial"/>
          <w:b/>
          <w:bCs/>
          <w:sz w:val="22"/>
          <w:szCs w:val="22"/>
          <w:lang w:val="es-ES"/>
        </w:rPr>
        <w:t>ALCANCE DE LA REVISIÓN</w:t>
      </w:r>
    </w:p>
    <w:p w14:paraId="17370B84" w14:textId="77777777" w:rsidR="006C376D" w:rsidRPr="006C376D" w:rsidRDefault="006C376D" w:rsidP="006C376D">
      <w:pPr>
        <w:ind w:firstLine="0"/>
        <w:rPr>
          <w:rFonts w:ascii="Arial" w:hAnsi="Arial" w:cs="Arial"/>
          <w:sz w:val="22"/>
          <w:szCs w:val="22"/>
          <w:lang w:val="es-ES"/>
        </w:rPr>
      </w:pPr>
      <w:r w:rsidRPr="006C376D">
        <w:rPr>
          <w:rFonts w:ascii="Arial" w:hAnsi="Arial" w:cs="Arial"/>
          <w:sz w:val="22"/>
          <w:szCs w:val="22"/>
          <w:lang w:val="es-ES"/>
        </w:rPr>
        <w:t>Nuestro trabajo fue realizado de acuerdo con las normas de sindicatura vigentes. Dichas normas requieren que la revisión de los documentos detallados en el párrafo 1 se efectúe de acuerdo con la Norma Internacional sobre Encargos de Revisión 2410, adoptadas por la FACPCE a través de la Resolución Técnica N° 33, tal como fueron aprobadas por el Consejo de Normas Internacionales de Auditoría y Aseguramiento (“IAASB”, por sus siglas en inglés), e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35C194BB" w14:textId="5D096098" w:rsidR="006C376D" w:rsidRDefault="006C376D" w:rsidP="006C376D">
      <w:pPr>
        <w:ind w:firstLine="0"/>
        <w:rPr>
          <w:rFonts w:ascii="Arial" w:hAnsi="Arial" w:cs="Arial"/>
          <w:sz w:val="22"/>
          <w:szCs w:val="22"/>
          <w:lang w:val="es-ES"/>
        </w:rPr>
      </w:pPr>
      <w:r w:rsidRPr="006C376D">
        <w:rPr>
          <w:rFonts w:ascii="Arial" w:hAnsi="Arial" w:cs="Arial"/>
          <w:sz w:val="22"/>
          <w:szCs w:val="22"/>
          <w:lang w:val="es-ES"/>
        </w:rPr>
        <w:t xml:space="preserve">Para realizar nuestra tarea profesional sobre los documentos detallados en el párrafo 1, hemos revisado el trabajo efectuado por el auditor externo quien emitió sus informes con fecha </w:t>
      </w:r>
      <w:r w:rsidR="00417042">
        <w:rPr>
          <w:rFonts w:ascii="Arial" w:hAnsi="Arial" w:cs="Arial"/>
          <w:sz w:val="22"/>
          <w:szCs w:val="22"/>
          <w:lang w:val="es-ES"/>
        </w:rPr>
        <w:t>7 de mayo de 2020</w:t>
      </w:r>
      <w:r w:rsidRPr="006C376D">
        <w:rPr>
          <w:rFonts w:ascii="Arial" w:hAnsi="Arial" w:cs="Arial"/>
          <w:sz w:val="22"/>
          <w:szCs w:val="22"/>
          <w:lang w:val="es-ES"/>
        </w:rPr>
        <w:t xml:space="preserve"> de acuerdo con la Norma Internacional sobre Encargos de Revisión 2410, adoptadas por la FACPCE a través de la Resolución Técnica N° 33, tal como fueron aprobadas por el IAASB.</w:t>
      </w:r>
    </w:p>
    <w:p w14:paraId="5E73923D" w14:textId="77777777" w:rsidR="006C376D" w:rsidRPr="006C376D" w:rsidRDefault="006C376D" w:rsidP="006C376D">
      <w:pPr>
        <w:ind w:firstLine="0"/>
        <w:rPr>
          <w:rFonts w:ascii="Arial" w:hAnsi="Arial" w:cs="Arial"/>
          <w:sz w:val="22"/>
          <w:szCs w:val="22"/>
          <w:lang w:val="es-ES"/>
        </w:rPr>
      </w:pPr>
      <w:r w:rsidRPr="006C376D">
        <w:rPr>
          <w:rFonts w:ascii="Arial" w:hAnsi="Arial" w:cs="Arial"/>
          <w:sz w:val="22"/>
          <w:szCs w:val="22"/>
          <w:lang w:val="es-ES"/>
        </w:rPr>
        <w:t>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permite obtener seguridad de que se tomará conocimiento de todas las cuestiones significativas que podrían identificarse en una auditoría. Por lo tanto, no se ha expresado tal opinión. Dado que no es responsabilidad de la Comisión Fiscalizadora efectuar un control de gestión, la revisión no se extendió a los criterios y decisiones empresarias de las diversas áreas de la Sociedad, cuestiones que son de responsabilidad exclusiva del Directorio.</w:t>
      </w:r>
    </w:p>
    <w:p w14:paraId="12BE12DE" w14:textId="77777777" w:rsidR="006C376D" w:rsidRPr="006C376D" w:rsidRDefault="006C376D" w:rsidP="006C376D">
      <w:pPr>
        <w:ind w:firstLine="0"/>
        <w:rPr>
          <w:rFonts w:ascii="Arial" w:hAnsi="Arial" w:cs="Arial"/>
          <w:sz w:val="22"/>
          <w:szCs w:val="22"/>
          <w:lang w:val="es-ES"/>
        </w:rPr>
      </w:pPr>
      <w:r w:rsidRPr="006C376D">
        <w:rPr>
          <w:rFonts w:ascii="Arial" w:hAnsi="Arial" w:cs="Arial"/>
          <w:sz w:val="22"/>
          <w:szCs w:val="22"/>
          <w:lang w:val="es-ES"/>
        </w:rPr>
        <w:t>El informe de revisión a los estados financieros separados condensados de período intermedio contiene las siguientes aclaraciones previas:</w:t>
      </w:r>
    </w:p>
    <w:p w14:paraId="20E686EC" w14:textId="5C57E747"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lastRenderedPageBreak/>
        <w:t xml:space="preserve">Los estados financieros de la Sociedad correspondientes al ejercicio finalizado el 31 de mayo de 2019 y al período intermedio de </w:t>
      </w:r>
      <w:r w:rsidR="004628F9">
        <w:rPr>
          <w:rFonts w:ascii="Arial" w:hAnsi="Arial" w:cs="Arial"/>
          <w:sz w:val="22"/>
          <w:szCs w:val="22"/>
          <w:lang w:val="es-ES"/>
        </w:rPr>
        <w:t>nueve</w:t>
      </w:r>
      <w:r w:rsidRPr="006C376D">
        <w:rPr>
          <w:rFonts w:ascii="Arial" w:hAnsi="Arial" w:cs="Arial"/>
          <w:sz w:val="22"/>
          <w:szCs w:val="22"/>
          <w:lang w:val="es-ES"/>
        </w:rPr>
        <w:t xml:space="preserve"> meses finalizado el </w:t>
      </w:r>
      <w:r w:rsidR="00417042">
        <w:rPr>
          <w:rFonts w:ascii="Arial" w:hAnsi="Arial" w:cs="Arial"/>
          <w:sz w:val="22"/>
          <w:szCs w:val="22"/>
          <w:lang w:val="es-ES"/>
        </w:rPr>
        <w:t>28</w:t>
      </w:r>
      <w:r w:rsidR="00417042" w:rsidRPr="006C376D">
        <w:rPr>
          <w:rFonts w:ascii="Arial" w:hAnsi="Arial" w:cs="Arial"/>
          <w:sz w:val="22"/>
          <w:szCs w:val="22"/>
          <w:lang w:val="es-ES"/>
        </w:rPr>
        <w:t xml:space="preserve"> </w:t>
      </w:r>
      <w:r w:rsidRPr="006C376D">
        <w:rPr>
          <w:rFonts w:ascii="Arial" w:hAnsi="Arial" w:cs="Arial"/>
          <w:sz w:val="22"/>
          <w:szCs w:val="22"/>
          <w:lang w:val="es-ES"/>
        </w:rPr>
        <w:t xml:space="preserve">de </w:t>
      </w:r>
      <w:r w:rsidR="00417042">
        <w:rPr>
          <w:rFonts w:ascii="Arial" w:hAnsi="Arial" w:cs="Arial"/>
          <w:sz w:val="22"/>
          <w:szCs w:val="22"/>
          <w:lang w:val="es-ES"/>
        </w:rPr>
        <w:t>febrero</w:t>
      </w:r>
      <w:r w:rsidR="00417042" w:rsidRPr="006C376D">
        <w:rPr>
          <w:rFonts w:ascii="Arial" w:hAnsi="Arial" w:cs="Arial"/>
          <w:sz w:val="22"/>
          <w:szCs w:val="22"/>
          <w:lang w:val="es-ES"/>
        </w:rPr>
        <w:t xml:space="preserve"> </w:t>
      </w:r>
      <w:r w:rsidRPr="006C376D">
        <w:rPr>
          <w:rFonts w:ascii="Arial" w:hAnsi="Arial" w:cs="Arial"/>
          <w:sz w:val="22"/>
          <w:szCs w:val="22"/>
          <w:lang w:val="es-ES"/>
        </w:rPr>
        <w:t xml:space="preserve">de </w:t>
      </w:r>
      <w:r w:rsidR="00417042">
        <w:rPr>
          <w:rFonts w:ascii="Arial" w:hAnsi="Arial" w:cs="Arial"/>
          <w:sz w:val="22"/>
          <w:szCs w:val="22"/>
          <w:lang w:val="es-ES"/>
        </w:rPr>
        <w:t>2019</w:t>
      </w:r>
      <w:r w:rsidR="00417042" w:rsidRPr="006C376D">
        <w:rPr>
          <w:rFonts w:ascii="Arial" w:hAnsi="Arial" w:cs="Arial"/>
          <w:sz w:val="22"/>
          <w:szCs w:val="22"/>
          <w:lang w:val="es-ES"/>
        </w:rPr>
        <w:t xml:space="preserve"> </w:t>
      </w:r>
      <w:r w:rsidRPr="006C376D">
        <w:rPr>
          <w:rFonts w:ascii="Arial" w:hAnsi="Arial" w:cs="Arial"/>
          <w:sz w:val="22"/>
          <w:szCs w:val="22"/>
          <w:lang w:val="es-ES"/>
        </w:rPr>
        <w:t xml:space="preserve">fueron auditados y revisados, respectivamente, por otros auditores, quienes con fechas 8 de agosto de 2019 y </w:t>
      </w:r>
      <w:r w:rsidR="00417042">
        <w:rPr>
          <w:rFonts w:ascii="Arial" w:hAnsi="Arial" w:cs="Arial"/>
          <w:sz w:val="22"/>
          <w:szCs w:val="22"/>
          <w:lang w:val="es-ES"/>
        </w:rPr>
        <w:t>15 de abril de 2019</w:t>
      </w:r>
      <w:r w:rsidRPr="00417042">
        <w:rPr>
          <w:rFonts w:ascii="Arial" w:hAnsi="Arial" w:cs="Arial"/>
          <w:sz w:val="22"/>
          <w:szCs w:val="22"/>
          <w:lang w:val="es-ES"/>
        </w:rPr>
        <w:t>,</w:t>
      </w:r>
      <w:r w:rsidRPr="006C376D">
        <w:rPr>
          <w:rFonts w:ascii="Arial" w:hAnsi="Arial" w:cs="Arial"/>
          <w:sz w:val="22"/>
          <w:szCs w:val="22"/>
          <w:lang w:val="es-ES"/>
        </w:rPr>
        <w:t xml:space="preserve"> respectivamente, han emitido sus informes de auditoría y revisión, ambos con una salvedad indeterminada.</w:t>
      </w:r>
    </w:p>
    <w:p w14:paraId="46D2CF05" w14:textId="77777777"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Los estados financieros mencionados, y, en el punto 1.1. del 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w:t>
      </w:r>
    </w:p>
    <w:p w14:paraId="205CD101" w14:textId="77777777"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Excepto por lo mencionado en la Nota 21 a los estados financieros mencionados en el punto 1.1. del párrafo 1, los mismos surgen de registros contables llevados, en sus aspectos formales, de conformidad con las normas legales vigentes.</w:t>
      </w:r>
    </w:p>
    <w:p w14:paraId="23CAD334" w14:textId="77777777"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La información contenida en la “Información adicional a las notas a los estados financieros requerida por el artículo 12, Capítulo III, Título IV, de las Normas (n.t. 2013) de la CNV”, es presentada por la Sociedad para cumplimentar las normas de la CNV. Dicha información, excepto por los datos indicados como “No cubiertos por el Informe de Revisión”, surge de los estados financieros mencionados en el punto 1.1. del párrafo 1.</w:t>
      </w:r>
    </w:p>
    <w:p w14:paraId="37154270" w14:textId="33508448"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 xml:space="preserve">Al 29 de febrero de 2020, la deuda devengada en concepto de aportes y contribuciones con destino al Sistema Integrado Previsional Argentino, que surge de los registros contables de la Sociedad, asciende a $ </w:t>
      </w:r>
      <w:r w:rsidR="00417042">
        <w:rPr>
          <w:rFonts w:ascii="Arial" w:hAnsi="Arial" w:cs="Arial"/>
          <w:sz w:val="22"/>
          <w:szCs w:val="22"/>
          <w:lang w:val="es-ES"/>
        </w:rPr>
        <w:t>57.867.057</w:t>
      </w:r>
      <w:r w:rsidRPr="006C376D">
        <w:rPr>
          <w:rFonts w:ascii="Arial" w:hAnsi="Arial" w:cs="Arial"/>
          <w:sz w:val="22"/>
          <w:szCs w:val="22"/>
          <w:lang w:val="es-ES"/>
        </w:rPr>
        <w:t>, no siendo exigible a esa fecha.</w:t>
      </w:r>
    </w:p>
    <w:p w14:paraId="45A2A6A4" w14:textId="77777777" w:rsidR="006C376D" w:rsidRPr="006C376D" w:rsidRDefault="006C376D" w:rsidP="006C376D">
      <w:pPr>
        <w:ind w:firstLine="0"/>
        <w:rPr>
          <w:rFonts w:ascii="Arial" w:hAnsi="Arial" w:cs="Arial"/>
          <w:sz w:val="22"/>
          <w:szCs w:val="22"/>
          <w:lang w:val="es-ES"/>
        </w:rPr>
      </w:pPr>
      <w:r w:rsidRPr="006C376D">
        <w:rPr>
          <w:rFonts w:ascii="Arial" w:hAnsi="Arial" w:cs="Arial"/>
          <w:sz w:val="22"/>
          <w:szCs w:val="22"/>
          <w:lang w:val="es-ES"/>
        </w:rPr>
        <w:t>El informe de revisión a los estados financieros consolidados condensados de período intermedio contiene las siguientes aclaraciones previas:</w:t>
      </w:r>
    </w:p>
    <w:p w14:paraId="0BDFC742" w14:textId="07263B76"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 xml:space="preserve">Los estados financieros de la Sociedad correspondientes al ejercicio finalizado el 31 de mayo de 2019 y al período intermedio de </w:t>
      </w:r>
      <w:r w:rsidR="004628F9">
        <w:rPr>
          <w:rFonts w:ascii="Arial" w:hAnsi="Arial" w:cs="Arial"/>
          <w:sz w:val="22"/>
          <w:szCs w:val="22"/>
          <w:lang w:val="es-ES"/>
        </w:rPr>
        <w:t>nueve</w:t>
      </w:r>
      <w:r w:rsidRPr="006C376D">
        <w:rPr>
          <w:rFonts w:ascii="Arial" w:hAnsi="Arial" w:cs="Arial"/>
          <w:sz w:val="22"/>
          <w:szCs w:val="22"/>
          <w:lang w:val="es-ES"/>
        </w:rPr>
        <w:t xml:space="preserve"> meses finalizado el </w:t>
      </w:r>
      <w:r w:rsidR="00417042">
        <w:rPr>
          <w:rFonts w:ascii="Arial" w:hAnsi="Arial" w:cs="Arial"/>
          <w:sz w:val="22"/>
          <w:szCs w:val="22"/>
          <w:lang w:val="es-ES"/>
        </w:rPr>
        <w:t>28</w:t>
      </w:r>
      <w:r w:rsidR="00417042" w:rsidRPr="006C376D">
        <w:rPr>
          <w:rFonts w:ascii="Arial" w:hAnsi="Arial" w:cs="Arial"/>
          <w:sz w:val="22"/>
          <w:szCs w:val="22"/>
          <w:lang w:val="es-ES"/>
        </w:rPr>
        <w:t xml:space="preserve"> </w:t>
      </w:r>
      <w:r w:rsidRPr="006C376D">
        <w:rPr>
          <w:rFonts w:ascii="Arial" w:hAnsi="Arial" w:cs="Arial"/>
          <w:sz w:val="22"/>
          <w:szCs w:val="22"/>
          <w:lang w:val="es-ES"/>
        </w:rPr>
        <w:t xml:space="preserve">de </w:t>
      </w:r>
      <w:r w:rsidR="00417042">
        <w:rPr>
          <w:rFonts w:ascii="Arial" w:hAnsi="Arial" w:cs="Arial"/>
          <w:sz w:val="22"/>
          <w:szCs w:val="22"/>
          <w:lang w:val="es-ES"/>
        </w:rPr>
        <w:t>febrero</w:t>
      </w:r>
      <w:r w:rsidR="00417042" w:rsidRPr="006C376D">
        <w:rPr>
          <w:rFonts w:ascii="Arial" w:hAnsi="Arial" w:cs="Arial"/>
          <w:sz w:val="22"/>
          <w:szCs w:val="22"/>
          <w:lang w:val="es-ES"/>
        </w:rPr>
        <w:t xml:space="preserve"> </w:t>
      </w:r>
      <w:r w:rsidRPr="006C376D">
        <w:rPr>
          <w:rFonts w:ascii="Arial" w:hAnsi="Arial" w:cs="Arial"/>
          <w:sz w:val="22"/>
          <w:szCs w:val="22"/>
          <w:lang w:val="es-ES"/>
        </w:rPr>
        <w:t xml:space="preserve">de </w:t>
      </w:r>
      <w:r w:rsidR="00417042">
        <w:rPr>
          <w:rFonts w:ascii="Arial" w:hAnsi="Arial" w:cs="Arial"/>
          <w:sz w:val="22"/>
          <w:szCs w:val="22"/>
          <w:lang w:val="es-ES"/>
        </w:rPr>
        <w:t>2019</w:t>
      </w:r>
      <w:r w:rsidR="00417042" w:rsidRPr="006C376D">
        <w:rPr>
          <w:rFonts w:ascii="Arial" w:hAnsi="Arial" w:cs="Arial"/>
          <w:sz w:val="22"/>
          <w:szCs w:val="22"/>
          <w:lang w:val="es-ES"/>
        </w:rPr>
        <w:t xml:space="preserve"> </w:t>
      </w:r>
      <w:r w:rsidRPr="006C376D">
        <w:rPr>
          <w:rFonts w:ascii="Arial" w:hAnsi="Arial" w:cs="Arial"/>
          <w:sz w:val="22"/>
          <w:szCs w:val="22"/>
          <w:lang w:val="es-ES"/>
        </w:rPr>
        <w:t xml:space="preserve">fueron auditados y revisados, respectivamente, por otros auditores, quienes con fechas 8 de agosto de 2019 y </w:t>
      </w:r>
      <w:r w:rsidR="00B4237C">
        <w:rPr>
          <w:rFonts w:ascii="Arial" w:hAnsi="Arial" w:cs="Arial"/>
          <w:sz w:val="22"/>
          <w:szCs w:val="22"/>
          <w:lang w:val="es-ES"/>
        </w:rPr>
        <w:t>15</w:t>
      </w:r>
      <w:r w:rsidR="00B4237C" w:rsidRPr="006C376D">
        <w:rPr>
          <w:rFonts w:ascii="Arial" w:hAnsi="Arial" w:cs="Arial"/>
          <w:sz w:val="22"/>
          <w:szCs w:val="22"/>
          <w:lang w:val="es-ES"/>
        </w:rPr>
        <w:t xml:space="preserve"> </w:t>
      </w:r>
      <w:r w:rsidRPr="006C376D">
        <w:rPr>
          <w:rFonts w:ascii="Arial" w:hAnsi="Arial" w:cs="Arial"/>
          <w:sz w:val="22"/>
          <w:szCs w:val="22"/>
          <w:lang w:val="es-ES"/>
        </w:rPr>
        <w:t xml:space="preserve">de </w:t>
      </w:r>
      <w:r w:rsidR="00B4237C">
        <w:rPr>
          <w:rFonts w:ascii="Arial" w:hAnsi="Arial" w:cs="Arial"/>
          <w:sz w:val="22"/>
          <w:szCs w:val="22"/>
          <w:lang w:val="es-ES"/>
        </w:rPr>
        <w:t>abril</w:t>
      </w:r>
      <w:r w:rsidR="00B4237C" w:rsidRPr="006C376D">
        <w:rPr>
          <w:rFonts w:ascii="Arial" w:hAnsi="Arial" w:cs="Arial"/>
          <w:sz w:val="22"/>
          <w:szCs w:val="22"/>
          <w:lang w:val="es-ES"/>
        </w:rPr>
        <w:t xml:space="preserve"> </w:t>
      </w:r>
      <w:r w:rsidRPr="006C376D">
        <w:rPr>
          <w:rFonts w:ascii="Arial" w:hAnsi="Arial" w:cs="Arial"/>
          <w:sz w:val="22"/>
          <w:szCs w:val="22"/>
          <w:lang w:val="es-ES"/>
        </w:rPr>
        <w:t>de 2019, respectivamente, han emitido sus informes de auditoría y revisión, ambos con una salvedad indeterminada.</w:t>
      </w:r>
    </w:p>
    <w:p w14:paraId="22EBF51D" w14:textId="77777777"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Los estados financieros mencionados en el punto 1.2. del 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w:t>
      </w:r>
    </w:p>
    <w:p w14:paraId="51270D9C" w14:textId="77777777"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Excepto por lo mencionado en la Nota 21. a los estados financieros separados, los mismos surgen de registros contables llevados, en sus aspectos formales, de conformidad con las normas legales vigentes.</w:t>
      </w:r>
    </w:p>
    <w:p w14:paraId="6241FCBA" w14:textId="546B1850"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 xml:space="preserve">La información contenida en la “Reseña Informativa” por los períodos intermedios finalizados del 29 de febrero de 2020 y </w:t>
      </w:r>
      <w:r w:rsidR="00B4237C">
        <w:rPr>
          <w:rFonts w:ascii="Arial" w:hAnsi="Arial" w:cs="Arial"/>
          <w:sz w:val="22"/>
          <w:szCs w:val="22"/>
          <w:lang w:val="es-ES"/>
        </w:rPr>
        <w:t>el 28 de febrero</w:t>
      </w:r>
      <w:r w:rsidR="00921C4A">
        <w:rPr>
          <w:rFonts w:ascii="Arial" w:hAnsi="Arial" w:cs="Arial"/>
          <w:sz w:val="22"/>
          <w:szCs w:val="22"/>
          <w:lang w:val="es-ES"/>
        </w:rPr>
        <w:t xml:space="preserve"> </w:t>
      </w:r>
      <w:r w:rsidR="00B4237C">
        <w:rPr>
          <w:rFonts w:ascii="Arial" w:hAnsi="Arial" w:cs="Arial"/>
          <w:sz w:val="22"/>
          <w:szCs w:val="22"/>
          <w:lang w:val="es-ES"/>
        </w:rPr>
        <w:t>2019</w:t>
      </w:r>
      <w:r w:rsidR="00B4237C" w:rsidRPr="006C376D">
        <w:rPr>
          <w:rFonts w:ascii="Arial" w:hAnsi="Arial" w:cs="Arial"/>
          <w:sz w:val="22"/>
          <w:szCs w:val="22"/>
          <w:lang w:val="es-ES"/>
        </w:rPr>
        <w:t xml:space="preserve"> </w:t>
      </w:r>
      <w:r w:rsidRPr="006C376D">
        <w:rPr>
          <w:rFonts w:ascii="Arial" w:hAnsi="Arial" w:cs="Arial"/>
          <w:sz w:val="22"/>
          <w:szCs w:val="22"/>
          <w:lang w:val="es-ES"/>
        </w:rPr>
        <w:t>es presentada por la Sociedad juntamente con los estados financieros para cumplimentar con las normas de la CNV. Dicha información, excepto por los datos indicados como “No cubiertos en el informe de Revisión”, surge de los estados financieros mencionados en el punto 1.2. del párrafo 1.</w:t>
      </w:r>
    </w:p>
    <w:p w14:paraId="18894A5B" w14:textId="2B9099FE" w:rsidR="006C376D" w:rsidRPr="006C376D" w:rsidRDefault="006C376D" w:rsidP="006C376D">
      <w:pPr>
        <w:numPr>
          <w:ilvl w:val="0"/>
          <w:numId w:val="7"/>
        </w:numPr>
        <w:rPr>
          <w:rFonts w:ascii="Arial" w:hAnsi="Arial" w:cs="Arial"/>
          <w:sz w:val="22"/>
          <w:szCs w:val="22"/>
          <w:lang w:val="es-ES"/>
        </w:rPr>
      </w:pPr>
      <w:r w:rsidRPr="006C376D">
        <w:rPr>
          <w:rFonts w:ascii="Arial" w:hAnsi="Arial" w:cs="Arial"/>
          <w:sz w:val="22"/>
          <w:szCs w:val="22"/>
          <w:lang w:val="es-ES"/>
        </w:rPr>
        <w:t xml:space="preserve">Al 29 de febrero de 2020, la deuda devengada en concepto de aportes y contribuciones con destino al Sistema Integrado Previsional Argentino, que surge de los registros contables de la Sociedad, asciende a $ </w:t>
      </w:r>
      <w:r w:rsidR="00B4237C">
        <w:rPr>
          <w:rFonts w:ascii="Arial" w:hAnsi="Arial" w:cs="Arial"/>
          <w:sz w:val="22"/>
          <w:szCs w:val="22"/>
          <w:lang w:val="es-ES"/>
        </w:rPr>
        <w:t>57.867.057</w:t>
      </w:r>
      <w:r w:rsidRPr="006C376D">
        <w:rPr>
          <w:rFonts w:ascii="Arial" w:hAnsi="Arial" w:cs="Arial"/>
          <w:sz w:val="22"/>
          <w:szCs w:val="22"/>
          <w:lang w:val="es-ES"/>
        </w:rPr>
        <w:t>, no siendo exigible a esa fecha.</w:t>
      </w:r>
    </w:p>
    <w:p w14:paraId="65F65647" w14:textId="77777777" w:rsidR="006C376D" w:rsidRPr="006C376D" w:rsidRDefault="006C376D" w:rsidP="006C376D">
      <w:pPr>
        <w:ind w:firstLine="0"/>
        <w:rPr>
          <w:rFonts w:ascii="Arial" w:hAnsi="Arial" w:cs="Arial"/>
          <w:sz w:val="22"/>
          <w:szCs w:val="22"/>
          <w:lang w:val="es-ES"/>
        </w:rPr>
      </w:pPr>
      <w:r w:rsidRPr="006C376D">
        <w:rPr>
          <w:rFonts w:ascii="Arial" w:hAnsi="Arial" w:cs="Arial"/>
          <w:sz w:val="22"/>
          <w:szCs w:val="22"/>
          <w:lang w:val="es-ES"/>
        </w:rPr>
        <w:t xml:space="preserve">Asimismo, durante el período hemos dado cumplimiento a lo establecido por el artículo N° 294 </w:t>
      </w:r>
      <w:proofErr w:type="gramStart"/>
      <w:r w:rsidRPr="006C376D">
        <w:rPr>
          <w:rFonts w:ascii="Arial" w:hAnsi="Arial" w:cs="Arial"/>
          <w:sz w:val="22"/>
          <w:szCs w:val="22"/>
          <w:lang w:val="es-ES"/>
        </w:rPr>
        <w:t>inc.</w:t>
      </w:r>
      <w:proofErr w:type="gramEnd"/>
      <w:r w:rsidRPr="006C376D">
        <w:rPr>
          <w:rFonts w:ascii="Arial" w:hAnsi="Arial" w:cs="Arial"/>
          <w:sz w:val="22"/>
          <w:szCs w:val="22"/>
          <w:lang w:val="es-ES"/>
        </w:rPr>
        <w:t xml:space="preserve"> 1, 2, 3, 4 y 9 de la Ley General de Sociedades N° 19.550, no habiéndose presentado ninguna de las situaciones contempladas en </w:t>
      </w:r>
      <w:proofErr w:type="gramStart"/>
      <w:r w:rsidRPr="006C376D">
        <w:rPr>
          <w:rFonts w:ascii="Arial" w:hAnsi="Arial" w:cs="Arial"/>
          <w:sz w:val="22"/>
          <w:szCs w:val="22"/>
          <w:lang w:val="es-ES"/>
        </w:rPr>
        <w:t>los inc.</w:t>
      </w:r>
      <w:proofErr w:type="gramEnd"/>
      <w:r w:rsidRPr="006C376D">
        <w:rPr>
          <w:rFonts w:ascii="Arial" w:hAnsi="Arial" w:cs="Arial"/>
          <w:sz w:val="22"/>
          <w:szCs w:val="22"/>
          <w:lang w:val="es-ES"/>
        </w:rPr>
        <w:t xml:space="preserve"> </w:t>
      </w:r>
      <w:r w:rsidRPr="00921C4A">
        <w:rPr>
          <w:rFonts w:ascii="Arial" w:hAnsi="Arial" w:cs="Arial"/>
          <w:sz w:val="22"/>
          <w:szCs w:val="22"/>
          <w:lang w:val="es-ES"/>
        </w:rPr>
        <w:t>5</w:t>
      </w:r>
      <w:r w:rsidRPr="00B4237C">
        <w:rPr>
          <w:rFonts w:ascii="Arial" w:hAnsi="Arial" w:cs="Arial"/>
          <w:sz w:val="22"/>
          <w:szCs w:val="22"/>
          <w:lang w:val="es-ES"/>
        </w:rPr>
        <w:t>,</w:t>
      </w:r>
      <w:r w:rsidRPr="006C376D">
        <w:rPr>
          <w:rFonts w:ascii="Arial" w:hAnsi="Arial" w:cs="Arial"/>
          <w:sz w:val="22"/>
          <w:szCs w:val="22"/>
          <w:lang w:val="es-ES"/>
        </w:rPr>
        <w:t xml:space="preserve"> 6, 7, 8, 10 y 11 de la citada ley.</w:t>
      </w:r>
    </w:p>
    <w:p w14:paraId="3658DE1A" w14:textId="77777777" w:rsidR="006C376D" w:rsidRPr="006C376D" w:rsidRDefault="006C376D" w:rsidP="006C376D">
      <w:pPr>
        <w:numPr>
          <w:ilvl w:val="0"/>
          <w:numId w:val="6"/>
        </w:numPr>
        <w:rPr>
          <w:rFonts w:ascii="Arial" w:hAnsi="Arial" w:cs="Arial"/>
          <w:b/>
          <w:bCs/>
          <w:sz w:val="22"/>
          <w:szCs w:val="22"/>
          <w:lang w:val="es-ES"/>
        </w:rPr>
      </w:pPr>
      <w:r w:rsidRPr="006C376D">
        <w:rPr>
          <w:rFonts w:ascii="Arial" w:hAnsi="Arial" w:cs="Arial"/>
          <w:b/>
          <w:bCs/>
          <w:sz w:val="22"/>
          <w:szCs w:val="22"/>
          <w:lang w:val="es-ES"/>
        </w:rPr>
        <w:t>CONCLUSIÓN</w:t>
      </w:r>
    </w:p>
    <w:p w14:paraId="0A4D4C09" w14:textId="77777777" w:rsidR="006C376D" w:rsidRDefault="006C376D" w:rsidP="006C376D">
      <w:pPr>
        <w:ind w:firstLine="0"/>
        <w:rPr>
          <w:rFonts w:ascii="Arial" w:hAnsi="Arial" w:cs="Arial"/>
          <w:sz w:val="22"/>
          <w:szCs w:val="22"/>
          <w:lang w:val="es-ES"/>
        </w:rPr>
      </w:pPr>
      <w:r w:rsidRPr="006C376D">
        <w:rPr>
          <w:rFonts w:ascii="Arial" w:hAnsi="Arial" w:cs="Arial"/>
          <w:sz w:val="22"/>
          <w:szCs w:val="22"/>
          <w:lang w:val="es-ES"/>
        </w:rPr>
        <w:t xml:space="preserve">Basados en nuestra revisión, con las aclaraciones descriptas en el párrafo 2, no hemos tomado conocimiento de ninguna modificación importante que deba hacerse a los estados </w:t>
      </w:r>
      <w:r w:rsidRPr="006C376D">
        <w:rPr>
          <w:rFonts w:ascii="Arial" w:hAnsi="Arial" w:cs="Arial"/>
          <w:sz w:val="22"/>
          <w:szCs w:val="22"/>
          <w:lang w:val="es-ES"/>
        </w:rPr>
        <w:lastRenderedPageBreak/>
        <w:t>financieros adjuntos para que los mismos estén presentados de conformidad con las normas contables profesionales.</w:t>
      </w:r>
    </w:p>
    <w:p w14:paraId="526ABEC6" w14:textId="77777777" w:rsidR="00417042" w:rsidRPr="00921C4A" w:rsidRDefault="00417042" w:rsidP="006C376D">
      <w:pPr>
        <w:ind w:firstLine="0"/>
        <w:rPr>
          <w:rFonts w:ascii="Arial" w:hAnsi="Arial" w:cs="Arial"/>
          <w:sz w:val="22"/>
          <w:szCs w:val="22"/>
        </w:rPr>
      </w:pPr>
      <w:r w:rsidRPr="00417042">
        <w:rPr>
          <w:rFonts w:ascii="Arial" w:hAnsi="Arial" w:cs="Arial"/>
          <w:sz w:val="22"/>
          <w:szCs w:val="22"/>
        </w:rPr>
        <w:t>Hemos tenido a la vista la información requerida por el art. 63, apartado a), inciso 6) del Reglamento de Listado de Bolsas y Mercados Argentinos S.A. y por artículo 12°, Capítulo III, del Título IV de la normativa de la Comisión Nacional de Valores, sobre la cual, en materia de nuestra competencia, no tenemos observaciones que formular.</w:t>
      </w:r>
    </w:p>
    <w:p w14:paraId="64259309" w14:textId="77777777" w:rsidR="006C376D" w:rsidRPr="006C376D" w:rsidRDefault="006C376D" w:rsidP="006C376D">
      <w:pPr>
        <w:ind w:firstLine="0"/>
        <w:rPr>
          <w:rFonts w:ascii="Arial" w:hAnsi="Arial" w:cs="Arial"/>
          <w:sz w:val="22"/>
          <w:szCs w:val="22"/>
          <w:lang w:val="es-ES"/>
        </w:rPr>
      </w:pPr>
      <w:r w:rsidRPr="004628F9">
        <w:rPr>
          <w:rFonts w:ascii="Arial" w:hAnsi="Arial" w:cs="Arial"/>
          <w:sz w:val="22"/>
          <w:szCs w:val="22"/>
          <w:lang w:val="es-ES"/>
        </w:rPr>
        <w:t>Adicionalmente, informamos que hemos leído la información contenida en “Reseña Informativa” al 29 de febrero de 2020, sobre la cual en lo que es materia de nuestra competencia, no tenemos observaciones que formular.</w:t>
      </w:r>
    </w:p>
    <w:p w14:paraId="1086A9B2" w14:textId="77777777" w:rsidR="006C376D" w:rsidRPr="006C376D" w:rsidRDefault="006C376D" w:rsidP="006C376D">
      <w:pPr>
        <w:ind w:firstLine="0"/>
        <w:rPr>
          <w:rFonts w:ascii="Arial" w:hAnsi="Arial" w:cs="Arial"/>
          <w:sz w:val="22"/>
          <w:szCs w:val="22"/>
          <w:lang w:val="es-ES"/>
        </w:rPr>
      </w:pPr>
      <w:r w:rsidRPr="006C376D">
        <w:rPr>
          <w:rFonts w:ascii="Arial" w:hAnsi="Arial" w:cs="Arial"/>
          <w:sz w:val="22"/>
          <w:szCs w:val="22"/>
          <w:lang w:val="es-ES"/>
        </w:rPr>
        <w:t>Por su parte, de acuerdo con los trabajos realizados, cabe destacar que los estados contables mencionados en el punto 1.2 del párrafo 1 han sido preparados, en todos sus aspectos significativos, de conformidad con las normas de la Resolución Técnica N° 33 de la Federación Argentina de Consejos Profesionales de Ciencias Económicas (“FACPCE”), la Norma Internacional de sobre encargos de Revisión N° 2410, las normas pertinentes a la Ley General de Sociedades N° 19.550 y las correspondientes a la Comisión Nacional de Valores.</w:t>
      </w:r>
    </w:p>
    <w:p w14:paraId="1928DAF2" w14:textId="012449F6" w:rsidR="00DB1CC3" w:rsidRPr="00FC1FF0" w:rsidRDefault="006C376D" w:rsidP="00DB1CC3">
      <w:pPr>
        <w:pStyle w:val="Ttulo1"/>
        <w:spacing w:after="0"/>
        <w:jc w:val="right"/>
        <w:rPr>
          <w:rFonts w:ascii="Arial" w:hAnsi="Arial" w:cs="Arial"/>
          <w:sz w:val="22"/>
          <w:szCs w:val="22"/>
          <w:u w:val="none"/>
        </w:rPr>
      </w:pPr>
      <w:r w:rsidRPr="00FC1FF0">
        <w:rPr>
          <w:rFonts w:ascii="Arial" w:hAnsi="Arial" w:cs="Arial"/>
          <w:sz w:val="22"/>
          <w:szCs w:val="22"/>
          <w:u w:val="none"/>
          <w:lang w:val="es-ES"/>
        </w:rPr>
        <w:t>Ciudad Autónoma de Buenos Aires, 07 de mayo de 2020</w:t>
      </w:r>
      <w:r w:rsidR="00021B9E">
        <w:rPr>
          <w:rFonts w:ascii="Arial" w:hAnsi="Arial" w:cs="Arial"/>
          <w:sz w:val="22"/>
          <w:szCs w:val="22"/>
          <w:u w:val="none"/>
          <w:lang w:val="es-ES"/>
        </w:rPr>
        <w:t>.</w:t>
      </w:r>
    </w:p>
    <w:p w14:paraId="4F64421E" w14:textId="77777777" w:rsidR="00255F41" w:rsidRDefault="00255F41" w:rsidP="00021B9E">
      <w:pPr>
        <w:pStyle w:val="Sangradetextonormal"/>
        <w:spacing w:after="120" w:line="240" w:lineRule="exact"/>
        <w:jc w:val="center"/>
        <w:rPr>
          <w:rFonts w:cs="Arial"/>
          <w:sz w:val="22"/>
          <w:szCs w:val="22"/>
        </w:rPr>
      </w:pPr>
      <w:bookmarkStart w:id="0" w:name="_GoBack"/>
      <w:bookmarkEnd w:id="0"/>
    </w:p>
    <w:p w14:paraId="08C0DD50" w14:textId="77777777" w:rsidR="00021B9E" w:rsidRDefault="00021B9E" w:rsidP="00021B9E">
      <w:pPr>
        <w:pStyle w:val="Sangradetextonormal"/>
        <w:spacing w:after="120" w:line="240" w:lineRule="exact"/>
        <w:jc w:val="center"/>
        <w:rPr>
          <w:rFonts w:cs="Arial"/>
          <w:sz w:val="22"/>
          <w:szCs w:val="22"/>
        </w:rPr>
      </w:pPr>
    </w:p>
    <w:p w14:paraId="69F6FE68" w14:textId="77777777" w:rsidR="00021B9E" w:rsidRDefault="00021B9E" w:rsidP="00021B9E">
      <w:pPr>
        <w:pStyle w:val="Sangradetextonormal"/>
        <w:spacing w:after="120" w:line="240" w:lineRule="exact"/>
        <w:jc w:val="center"/>
        <w:rPr>
          <w:rFonts w:cs="Arial"/>
          <w:sz w:val="22"/>
          <w:szCs w:val="22"/>
        </w:rPr>
      </w:pPr>
    </w:p>
    <w:tbl>
      <w:tblPr>
        <w:tblStyle w:val="Tablaconcuadrcula"/>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tblGrid>
      <w:tr w:rsidR="00021B9E" w14:paraId="0EF2724F" w14:textId="77777777" w:rsidTr="00111673">
        <w:trPr>
          <w:trHeight w:val="677"/>
        </w:trPr>
        <w:tc>
          <w:tcPr>
            <w:tcW w:w="3306" w:type="dxa"/>
          </w:tcPr>
          <w:p w14:paraId="298C85B6" w14:textId="2FC63D79" w:rsidR="00021B9E" w:rsidRPr="00021B9E" w:rsidRDefault="00021B9E" w:rsidP="00021B9E">
            <w:pPr>
              <w:spacing w:after="120"/>
              <w:ind w:firstLine="0"/>
              <w:jc w:val="center"/>
              <w:rPr>
                <w:rFonts w:ascii="Arial" w:hAnsi="Arial" w:cs="Arial"/>
                <w:sz w:val="22"/>
                <w:szCs w:val="22"/>
              </w:rPr>
            </w:pPr>
            <w:r w:rsidRPr="00021B9E">
              <w:rPr>
                <w:rFonts w:ascii="Arial" w:hAnsi="Arial" w:cs="Arial"/>
                <w:sz w:val="22"/>
                <w:szCs w:val="22"/>
              </w:rPr>
              <w:t>Por Comisión Fiscalizadora</w:t>
            </w:r>
          </w:p>
        </w:tc>
      </w:tr>
      <w:tr w:rsidR="00021B9E" w14:paraId="60529044" w14:textId="77777777" w:rsidTr="00021B9E">
        <w:tc>
          <w:tcPr>
            <w:tcW w:w="3306" w:type="dxa"/>
          </w:tcPr>
          <w:p w14:paraId="0617F65A" w14:textId="7297998A" w:rsidR="00021B9E" w:rsidRPr="00021B9E" w:rsidRDefault="00021B9E" w:rsidP="00021B9E">
            <w:pPr>
              <w:spacing w:after="120"/>
              <w:ind w:firstLine="0"/>
              <w:jc w:val="center"/>
              <w:rPr>
                <w:rFonts w:ascii="Arial" w:hAnsi="Arial" w:cs="Arial"/>
                <w:sz w:val="22"/>
                <w:szCs w:val="22"/>
              </w:rPr>
            </w:pPr>
            <w:r w:rsidRPr="00021B9E">
              <w:rPr>
                <w:rFonts w:ascii="Arial" w:hAnsi="Arial" w:cs="Arial"/>
                <w:sz w:val="22"/>
                <w:szCs w:val="22"/>
              </w:rPr>
              <w:t>Dra. María Fraguas</w:t>
            </w:r>
          </w:p>
        </w:tc>
      </w:tr>
      <w:tr w:rsidR="00021B9E" w14:paraId="68243E5B" w14:textId="77777777" w:rsidTr="00021B9E">
        <w:tc>
          <w:tcPr>
            <w:tcW w:w="3306" w:type="dxa"/>
          </w:tcPr>
          <w:p w14:paraId="5A757C09" w14:textId="01C45064" w:rsidR="00021B9E" w:rsidRPr="00021B9E" w:rsidRDefault="00021B9E" w:rsidP="00021B9E">
            <w:pPr>
              <w:spacing w:after="120"/>
              <w:ind w:firstLine="0"/>
              <w:jc w:val="center"/>
              <w:rPr>
                <w:rFonts w:ascii="Arial" w:hAnsi="Arial" w:cs="Arial"/>
                <w:sz w:val="22"/>
                <w:szCs w:val="22"/>
              </w:rPr>
            </w:pPr>
            <w:r w:rsidRPr="00021B9E">
              <w:rPr>
                <w:rFonts w:ascii="Arial" w:hAnsi="Arial" w:cs="Arial"/>
                <w:sz w:val="22"/>
                <w:szCs w:val="22"/>
              </w:rPr>
              <w:t>Síndico</w:t>
            </w:r>
          </w:p>
        </w:tc>
      </w:tr>
    </w:tbl>
    <w:p w14:paraId="3A3B7F64" w14:textId="77777777" w:rsidR="00F93951" w:rsidRPr="008F66BF" w:rsidRDefault="00F93951" w:rsidP="00021B9E">
      <w:pPr>
        <w:spacing w:after="120"/>
        <w:rPr>
          <w:rFonts w:ascii="Arial" w:hAnsi="Arial" w:cs="Arial"/>
          <w:b/>
        </w:rPr>
      </w:pPr>
    </w:p>
    <w:sectPr w:rsidR="00F93951" w:rsidRPr="008F66BF" w:rsidSect="007A3C74">
      <w:pgSz w:w="12242" w:h="20163" w:code="5"/>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964D80" w16cid:durableId="225E6AC4"/>
  <w16cid:commentId w16cid:paraId="73281890" w16cid:durableId="225E6AD2"/>
  <w16cid:commentId w16cid:paraId="64435042" w16cid:durableId="225E6B22"/>
  <w16cid:commentId w16cid:paraId="056AEF3D" w16cid:durableId="225E6B1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estige">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B12F5"/>
    <w:multiLevelType w:val="hybridMultilevel"/>
    <w:tmpl w:val="D37E38C6"/>
    <w:lvl w:ilvl="0" w:tplc="2C0A0001">
      <w:start w:val="1"/>
      <w:numFmt w:val="bullet"/>
      <w:lvlText w:val=""/>
      <w:lvlJc w:val="left"/>
      <w:pPr>
        <w:ind w:left="1364" w:hanging="360"/>
      </w:pPr>
      <w:rPr>
        <w:rFonts w:ascii="Symbol" w:hAnsi="Symbol" w:hint="default"/>
      </w:rPr>
    </w:lvl>
    <w:lvl w:ilvl="1" w:tplc="2C0A0003" w:tentative="1">
      <w:start w:val="1"/>
      <w:numFmt w:val="bullet"/>
      <w:lvlText w:val="o"/>
      <w:lvlJc w:val="left"/>
      <w:pPr>
        <w:ind w:left="2084" w:hanging="360"/>
      </w:pPr>
      <w:rPr>
        <w:rFonts w:ascii="Courier New" w:hAnsi="Courier New" w:cs="Courier New" w:hint="default"/>
      </w:rPr>
    </w:lvl>
    <w:lvl w:ilvl="2" w:tplc="2C0A0005" w:tentative="1">
      <w:start w:val="1"/>
      <w:numFmt w:val="bullet"/>
      <w:lvlText w:val=""/>
      <w:lvlJc w:val="left"/>
      <w:pPr>
        <w:ind w:left="2804" w:hanging="360"/>
      </w:pPr>
      <w:rPr>
        <w:rFonts w:ascii="Wingdings" w:hAnsi="Wingdings" w:hint="default"/>
      </w:rPr>
    </w:lvl>
    <w:lvl w:ilvl="3" w:tplc="2C0A0001" w:tentative="1">
      <w:start w:val="1"/>
      <w:numFmt w:val="bullet"/>
      <w:lvlText w:val=""/>
      <w:lvlJc w:val="left"/>
      <w:pPr>
        <w:ind w:left="3524" w:hanging="360"/>
      </w:pPr>
      <w:rPr>
        <w:rFonts w:ascii="Symbol" w:hAnsi="Symbol" w:hint="default"/>
      </w:rPr>
    </w:lvl>
    <w:lvl w:ilvl="4" w:tplc="2C0A0003" w:tentative="1">
      <w:start w:val="1"/>
      <w:numFmt w:val="bullet"/>
      <w:lvlText w:val="o"/>
      <w:lvlJc w:val="left"/>
      <w:pPr>
        <w:ind w:left="4244" w:hanging="360"/>
      </w:pPr>
      <w:rPr>
        <w:rFonts w:ascii="Courier New" w:hAnsi="Courier New" w:cs="Courier New" w:hint="default"/>
      </w:rPr>
    </w:lvl>
    <w:lvl w:ilvl="5" w:tplc="2C0A0005" w:tentative="1">
      <w:start w:val="1"/>
      <w:numFmt w:val="bullet"/>
      <w:lvlText w:val=""/>
      <w:lvlJc w:val="left"/>
      <w:pPr>
        <w:ind w:left="4964" w:hanging="360"/>
      </w:pPr>
      <w:rPr>
        <w:rFonts w:ascii="Wingdings" w:hAnsi="Wingdings" w:hint="default"/>
      </w:rPr>
    </w:lvl>
    <w:lvl w:ilvl="6" w:tplc="2C0A0001" w:tentative="1">
      <w:start w:val="1"/>
      <w:numFmt w:val="bullet"/>
      <w:lvlText w:val=""/>
      <w:lvlJc w:val="left"/>
      <w:pPr>
        <w:ind w:left="5684" w:hanging="360"/>
      </w:pPr>
      <w:rPr>
        <w:rFonts w:ascii="Symbol" w:hAnsi="Symbol" w:hint="default"/>
      </w:rPr>
    </w:lvl>
    <w:lvl w:ilvl="7" w:tplc="2C0A0003" w:tentative="1">
      <w:start w:val="1"/>
      <w:numFmt w:val="bullet"/>
      <w:lvlText w:val="o"/>
      <w:lvlJc w:val="left"/>
      <w:pPr>
        <w:ind w:left="6404" w:hanging="360"/>
      </w:pPr>
      <w:rPr>
        <w:rFonts w:ascii="Courier New" w:hAnsi="Courier New" w:cs="Courier New" w:hint="default"/>
      </w:rPr>
    </w:lvl>
    <w:lvl w:ilvl="8" w:tplc="2C0A0005" w:tentative="1">
      <w:start w:val="1"/>
      <w:numFmt w:val="bullet"/>
      <w:lvlText w:val=""/>
      <w:lvlJc w:val="left"/>
      <w:pPr>
        <w:ind w:left="7124" w:hanging="360"/>
      </w:pPr>
      <w:rPr>
        <w:rFonts w:ascii="Wingdings" w:hAnsi="Wingdings" w:hint="default"/>
      </w:rPr>
    </w:lvl>
  </w:abstractNum>
  <w:abstractNum w:abstractNumId="1" w15:restartNumberingAfterBreak="0">
    <w:nsid w:val="13A55EA9"/>
    <w:multiLevelType w:val="hybridMultilevel"/>
    <w:tmpl w:val="890896D8"/>
    <w:lvl w:ilvl="0" w:tplc="7E700C26">
      <w:numFmt w:val="bullet"/>
      <w:lvlText w:val=""/>
      <w:lvlJc w:val="left"/>
      <w:pPr>
        <w:ind w:left="1059" w:hanging="351"/>
      </w:pPr>
      <w:rPr>
        <w:rFonts w:ascii="Symbol" w:eastAsia="Symbol" w:hAnsi="Symbol" w:cs="Symbol" w:hint="default"/>
        <w:w w:val="103"/>
        <w:sz w:val="19"/>
        <w:szCs w:val="19"/>
        <w:lang w:val="es-ES" w:eastAsia="en-US" w:bidi="ar-SA"/>
      </w:rPr>
    </w:lvl>
    <w:lvl w:ilvl="1" w:tplc="528061DE">
      <w:numFmt w:val="bullet"/>
      <w:lvlText w:val="•"/>
      <w:lvlJc w:val="left"/>
      <w:pPr>
        <w:ind w:left="2001" w:hanging="351"/>
      </w:pPr>
      <w:rPr>
        <w:rFonts w:hint="default"/>
        <w:lang w:val="es-ES" w:eastAsia="en-US" w:bidi="ar-SA"/>
      </w:rPr>
    </w:lvl>
    <w:lvl w:ilvl="2" w:tplc="0854C37E">
      <w:numFmt w:val="bullet"/>
      <w:lvlText w:val="•"/>
      <w:lvlJc w:val="left"/>
      <w:pPr>
        <w:ind w:left="2935" w:hanging="351"/>
      </w:pPr>
      <w:rPr>
        <w:rFonts w:hint="default"/>
        <w:lang w:val="es-ES" w:eastAsia="en-US" w:bidi="ar-SA"/>
      </w:rPr>
    </w:lvl>
    <w:lvl w:ilvl="3" w:tplc="310ACBF0">
      <w:numFmt w:val="bullet"/>
      <w:lvlText w:val="•"/>
      <w:lvlJc w:val="left"/>
      <w:pPr>
        <w:ind w:left="3870" w:hanging="351"/>
      </w:pPr>
      <w:rPr>
        <w:rFonts w:hint="default"/>
        <w:lang w:val="es-ES" w:eastAsia="en-US" w:bidi="ar-SA"/>
      </w:rPr>
    </w:lvl>
    <w:lvl w:ilvl="4" w:tplc="737008A6">
      <w:numFmt w:val="bullet"/>
      <w:lvlText w:val="•"/>
      <w:lvlJc w:val="left"/>
      <w:pPr>
        <w:ind w:left="4804" w:hanging="351"/>
      </w:pPr>
      <w:rPr>
        <w:rFonts w:hint="default"/>
        <w:lang w:val="es-ES" w:eastAsia="en-US" w:bidi="ar-SA"/>
      </w:rPr>
    </w:lvl>
    <w:lvl w:ilvl="5" w:tplc="074A2268">
      <w:numFmt w:val="bullet"/>
      <w:lvlText w:val="•"/>
      <w:lvlJc w:val="left"/>
      <w:pPr>
        <w:ind w:left="5739" w:hanging="351"/>
      </w:pPr>
      <w:rPr>
        <w:rFonts w:hint="default"/>
        <w:lang w:val="es-ES" w:eastAsia="en-US" w:bidi="ar-SA"/>
      </w:rPr>
    </w:lvl>
    <w:lvl w:ilvl="6" w:tplc="37AE7E50">
      <w:numFmt w:val="bullet"/>
      <w:lvlText w:val="•"/>
      <w:lvlJc w:val="left"/>
      <w:pPr>
        <w:ind w:left="6673" w:hanging="351"/>
      </w:pPr>
      <w:rPr>
        <w:rFonts w:hint="default"/>
        <w:lang w:val="es-ES" w:eastAsia="en-US" w:bidi="ar-SA"/>
      </w:rPr>
    </w:lvl>
    <w:lvl w:ilvl="7" w:tplc="452AF166">
      <w:numFmt w:val="bullet"/>
      <w:lvlText w:val="•"/>
      <w:lvlJc w:val="left"/>
      <w:pPr>
        <w:ind w:left="7607" w:hanging="351"/>
      </w:pPr>
      <w:rPr>
        <w:rFonts w:hint="default"/>
        <w:lang w:val="es-ES" w:eastAsia="en-US" w:bidi="ar-SA"/>
      </w:rPr>
    </w:lvl>
    <w:lvl w:ilvl="8" w:tplc="6B783F8C">
      <w:numFmt w:val="bullet"/>
      <w:lvlText w:val="•"/>
      <w:lvlJc w:val="left"/>
      <w:pPr>
        <w:ind w:left="8542" w:hanging="351"/>
      </w:pPr>
      <w:rPr>
        <w:rFonts w:hint="default"/>
        <w:lang w:val="es-ES" w:eastAsia="en-US" w:bidi="ar-SA"/>
      </w:rPr>
    </w:lvl>
  </w:abstractNum>
  <w:abstractNum w:abstractNumId="2" w15:restartNumberingAfterBreak="0">
    <w:nsid w:val="19464AC4"/>
    <w:multiLevelType w:val="hybridMultilevel"/>
    <w:tmpl w:val="2C2AAB10"/>
    <w:lvl w:ilvl="0" w:tplc="2C0A0017">
      <w:start w:val="1"/>
      <w:numFmt w:val="lowerLetter"/>
      <w:lvlText w:val="%1)"/>
      <w:lvlJc w:val="left"/>
      <w:pPr>
        <w:ind w:left="1433" w:hanging="360"/>
      </w:pPr>
    </w:lvl>
    <w:lvl w:ilvl="1" w:tplc="2C0A0019" w:tentative="1">
      <w:start w:val="1"/>
      <w:numFmt w:val="lowerLetter"/>
      <w:lvlText w:val="%2."/>
      <w:lvlJc w:val="left"/>
      <w:pPr>
        <w:ind w:left="2153" w:hanging="360"/>
      </w:pPr>
    </w:lvl>
    <w:lvl w:ilvl="2" w:tplc="2C0A001B" w:tentative="1">
      <w:start w:val="1"/>
      <w:numFmt w:val="lowerRoman"/>
      <w:lvlText w:val="%3."/>
      <w:lvlJc w:val="right"/>
      <w:pPr>
        <w:ind w:left="2873" w:hanging="180"/>
      </w:pPr>
    </w:lvl>
    <w:lvl w:ilvl="3" w:tplc="2C0A000F" w:tentative="1">
      <w:start w:val="1"/>
      <w:numFmt w:val="decimal"/>
      <w:lvlText w:val="%4."/>
      <w:lvlJc w:val="left"/>
      <w:pPr>
        <w:ind w:left="3593" w:hanging="360"/>
      </w:pPr>
    </w:lvl>
    <w:lvl w:ilvl="4" w:tplc="2C0A0019" w:tentative="1">
      <w:start w:val="1"/>
      <w:numFmt w:val="lowerLetter"/>
      <w:lvlText w:val="%5."/>
      <w:lvlJc w:val="left"/>
      <w:pPr>
        <w:ind w:left="4313" w:hanging="360"/>
      </w:pPr>
    </w:lvl>
    <w:lvl w:ilvl="5" w:tplc="2C0A001B" w:tentative="1">
      <w:start w:val="1"/>
      <w:numFmt w:val="lowerRoman"/>
      <w:lvlText w:val="%6."/>
      <w:lvlJc w:val="right"/>
      <w:pPr>
        <w:ind w:left="5033" w:hanging="180"/>
      </w:pPr>
    </w:lvl>
    <w:lvl w:ilvl="6" w:tplc="2C0A000F" w:tentative="1">
      <w:start w:val="1"/>
      <w:numFmt w:val="decimal"/>
      <w:lvlText w:val="%7."/>
      <w:lvlJc w:val="left"/>
      <w:pPr>
        <w:ind w:left="5753" w:hanging="360"/>
      </w:pPr>
    </w:lvl>
    <w:lvl w:ilvl="7" w:tplc="2C0A0019" w:tentative="1">
      <w:start w:val="1"/>
      <w:numFmt w:val="lowerLetter"/>
      <w:lvlText w:val="%8."/>
      <w:lvlJc w:val="left"/>
      <w:pPr>
        <w:ind w:left="6473" w:hanging="360"/>
      </w:pPr>
    </w:lvl>
    <w:lvl w:ilvl="8" w:tplc="2C0A001B" w:tentative="1">
      <w:start w:val="1"/>
      <w:numFmt w:val="lowerRoman"/>
      <w:lvlText w:val="%9."/>
      <w:lvlJc w:val="right"/>
      <w:pPr>
        <w:ind w:left="7193" w:hanging="180"/>
      </w:pPr>
    </w:lvl>
  </w:abstractNum>
  <w:abstractNum w:abstractNumId="3" w15:restartNumberingAfterBreak="0">
    <w:nsid w:val="19F3315C"/>
    <w:multiLevelType w:val="multilevel"/>
    <w:tmpl w:val="80327E50"/>
    <w:lvl w:ilvl="0">
      <w:start w:val="1"/>
      <w:numFmt w:val="decimal"/>
      <w:lvlText w:val="%1."/>
      <w:lvlJc w:val="left"/>
      <w:pPr>
        <w:ind w:left="351" w:hanging="351"/>
      </w:pPr>
      <w:rPr>
        <w:rFonts w:ascii="Arial" w:eastAsia="Arial" w:hAnsi="Arial" w:cs="Arial" w:hint="default"/>
        <w:b/>
        <w:bCs/>
        <w:spacing w:val="0"/>
        <w:w w:val="103"/>
        <w:sz w:val="19"/>
        <w:szCs w:val="19"/>
        <w:lang w:val="es-ES" w:eastAsia="en-US" w:bidi="ar-SA"/>
      </w:rPr>
    </w:lvl>
    <w:lvl w:ilvl="1">
      <w:start w:val="1"/>
      <w:numFmt w:val="decimal"/>
      <w:lvlText w:val="%1.%2"/>
      <w:lvlJc w:val="left"/>
      <w:pPr>
        <w:ind w:left="351" w:hanging="351"/>
      </w:pPr>
      <w:rPr>
        <w:rFonts w:ascii="Arial" w:eastAsia="Arial" w:hAnsi="Arial" w:cs="Arial" w:hint="default"/>
        <w:spacing w:val="-7"/>
        <w:w w:val="103"/>
        <w:sz w:val="19"/>
        <w:szCs w:val="19"/>
        <w:lang w:val="es-ES" w:eastAsia="en-US" w:bidi="ar-SA"/>
      </w:rPr>
    </w:lvl>
    <w:lvl w:ilvl="2">
      <w:start w:val="1"/>
      <w:numFmt w:val="decimal"/>
      <w:lvlText w:val="%1.%2.%3"/>
      <w:lvlJc w:val="left"/>
      <w:pPr>
        <w:ind w:left="1052" w:hanging="701"/>
      </w:pPr>
      <w:rPr>
        <w:rFonts w:ascii="Arial" w:eastAsia="Arial" w:hAnsi="Arial" w:cs="Arial" w:hint="default"/>
        <w:spacing w:val="-7"/>
        <w:w w:val="103"/>
        <w:sz w:val="19"/>
        <w:szCs w:val="19"/>
        <w:lang w:val="es-ES" w:eastAsia="en-US" w:bidi="ar-SA"/>
      </w:rPr>
    </w:lvl>
    <w:lvl w:ilvl="3">
      <w:numFmt w:val="bullet"/>
      <w:lvlText w:val="•"/>
      <w:lvlJc w:val="left"/>
      <w:pPr>
        <w:ind w:left="3075" w:hanging="701"/>
      </w:pPr>
      <w:rPr>
        <w:rFonts w:hint="default"/>
        <w:lang w:val="es-ES" w:eastAsia="en-US" w:bidi="ar-SA"/>
      </w:rPr>
    </w:lvl>
    <w:lvl w:ilvl="4">
      <w:numFmt w:val="bullet"/>
      <w:lvlText w:val="•"/>
      <w:lvlJc w:val="left"/>
      <w:pPr>
        <w:ind w:left="4082" w:hanging="701"/>
      </w:pPr>
      <w:rPr>
        <w:rFonts w:hint="default"/>
        <w:lang w:val="es-ES" w:eastAsia="en-US" w:bidi="ar-SA"/>
      </w:rPr>
    </w:lvl>
    <w:lvl w:ilvl="5">
      <w:numFmt w:val="bullet"/>
      <w:lvlText w:val="•"/>
      <w:lvlJc w:val="left"/>
      <w:pPr>
        <w:ind w:left="5089" w:hanging="701"/>
      </w:pPr>
      <w:rPr>
        <w:rFonts w:hint="default"/>
        <w:lang w:val="es-ES" w:eastAsia="en-US" w:bidi="ar-SA"/>
      </w:rPr>
    </w:lvl>
    <w:lvl w:ilvl="6">
      <w:numFmt w:val="bullet"/>
      <w:lvlText w:val="•"/>
      <w:lvlJc w:val="left"/>
      <w:pPr>
        <w:ind w:left="6096" w:hanging="701"/>
      </w:pPr>
      <w:rPr>
        <w:rFonts w:hint="default"/>
        <w:lang w:val="es-ES" w:eastAsia="en-US" w:bidi="ar-SA"/>
      </w:rPr>
    </w:lvl>
    <w:lvl w:ilvl="7">
      <w:numFmt w:val="bullet"/>
      <w:lvlText w:val="•"/>
      <w:lvlJc w:val="left"/>
      <w:pPr>
        <w:ind w:left="7103" w:hanging="701"/>
      </w:pPr>
      <w:rPr>
        <w:rFonts w:hint="default"/>
        <w:lang w:val="es-ES" w:eastAsia="en-US" w:bidi="ar-SA"/>
      </w:rPr>
    </w:lvl>
    <w:lvl w:ilvl="8">
      <w:numFmt w:val="bullet"/>
      <w:lvlText w:val="•"/>
      <w:lvlJc w:val="left"/>
      <w:pPr>
        <w:ind w:left="8110" w:hanging="701"/>
      </w:pPr>
      <w:rPr>
        <w:rFonts w:hint="default"/>
        <w:lang w:val="es-ES" w:eastAsia="en-US" w:bidi="ar-SA"/>
      </w:rPr>
    </w:lvl>
  </w:abstractNum>
  <w:abstractNum w:abstractNumId="4" w15:restartNumberingAfterBreak="0">
    <w:nsid w:val="21817DDA"/>
    <w:multiLevelType w:val="multilevel"/>
    <w:tmpl w:val="9D7AF7B6"/>
    <w:lvl w:ilvl="0">
      <w:start w:val="1"/>
      <w:numFmt w:val="decimal"/>
      <w:lvlText w:val="%1."/>
      <w:lvlJc w:val="left"/>
      <w:pPr>
        <w:ind w:left="750" w:hanging="360"/>
      </w:pPr>
    </w:lvl>
    <w:lvl w:ilvl="1">
      <w:start w:val="1"/>
      <w:numFmt w:val="decimal"/>
      <w:isLgl/>
      <w:lvlText w:val="%1.%2"/>
      <w:lvlJc w:val="left"/>
      <w:pPr>
        <w:ind w:left="1019" w:hanging="375"/>
      </w:pPr>
      <w:rPr>
        <w:rFonts w:hint="default"/>
      </w:rPr>
    </w:lvl>
    <w:lvl w:ilvl="2">
      <w:start w:val="1"/>
      <w:numFmt w:val="upperLetter"/>
      <w:isLgl/>
      <w:lvlText w:val="%1.%2.%3"/>
      <w:lvlJc w:val="left"/>
      <w:pPr>
        <w:ind w:left="1618" w:hanging="720"/>
      </w:pPr>
      <w:rPr>
        <w:rFonts w:hint="default"/>
      </w:rPr>
    </w:lvl>
    <w:lvl w:ilvl="3">
      <w:start w:val="1"/>
      <w:numFmt w:val="upperLetter"/>
      <w:isLgl/>
      <w:lvlText w:val="%1.%2.%3.%4"/>
      <w:lvlJc w:val="left"/>
      <w:pPr>
        <w:ind w:left="1872" w:hanging="720"/>
      </w:pPr>
      <w:rPr>
        <w:rFonts w:hint="default"/>
      </w:rPr>
    </w:lvl>
    <w:lvl w:ilvl="4">
      <w:start w:val="1"/>
      <w:numFmt w:val="upperLetter"/>
      <w:isLgl/>
      <w:lvlText w:val="%1.%2.%3.%4.%5"/>
      <w:lvlJc w:val="left"/>
      <w:pPr>
        <w:ind w:left="2486" w:hanging="1080"/>
      </w:pPr>
      <w:rPr>
        <w:rFonts w:hint="default"/>
      </w:rPr>
    </w:lvl>
    <w:lvl w:ilvl="5">
      <w:start w:val="1"/>
      <w:numFmt w:val="upperLetter"/>
      <w:isLgl/>
      <w:lvlText w:val="%1.%2.%3.%4.%5.%6"/>
      <w:lvlJc w:val="left"/>
      <w:pPr>
        <w:ind w:left="2740" w:hanging="1080"/>
      </w:pPr>
      <w:rPr>
        <w:rFonts w:hint="default"/>
      </w:rPr>
    </w:lvl>
    <w:lvl w:ilvl="6">
      <w:start w:val="1"/>
      <w:numFmt w:val="upperLetter"/>
      <w:isLgl/>
      <w:lvlText w:val="%1.%2.%3.%4.%5.%6.%7"/>
      <w:lvlJc w:val="left"/>
      <w:pPr>
        <w:ind w:left="3354" w:hanging="1440"/>
      </w:pPr>
      <w:rPr>
        <w:rFonts w:hint="default"/>
      </w:rPr>
    </w:lvl>
    <w:lvl w:ilvl="7">
      <w:start w:val="1"/>
      <w:numFmt w:val="upperLetter"/>
      <w:isLgl/>
      <w:lvlText w:val="%1.%2.%3.%4.%5.%6.%7.%8"/>
      <w:lvlJc w:val="left"/>
      <w:pPr>
        <w:ind w:left="3608" w:hanging="1440"/>
      </w:pPr>
      <w:rPr>
        <w:rFonts w:hint="default"/>
      </w:rPr>
    </w:lvl>
    <w:lvl w:ilvl="8">
      <w:start w:val="1"/>
      <w:numFmt w:val="decimal"/>
      <w:isLgl/>
      <w:lvlText w:val="%1.%2.%3.%4.%5.%6.%7.%8.%9"/>
      <w:lvlJc w:val="left"/>
      <w:pPr>
        <w:ind w:left="4222" w:hanging="1800"/>
      </w:pPr>
      <w:rPr>
        <w:rFonts w:hint="default"/>
      </w:rPr>
    </w:lvl>
  </w:abstractNum>
  <w:abstractNum w:abstractNumId="5" w15:restartNumberingAfterBreak="0">
    <w:nsid w:val="3DCF7141"/>
    <w:multiLevelType w:val="hybridMultilevel"/>
    <w:tmpl w:val="25467B4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6" w15:restartNumberingAfterBreak="0">
    <w:nsid w:val="7C8F5AF2"/>
    <w:multiLevelType w:val="hybridMultilevel"/>
    <w:tmpl w:val="2876C2E8"/>
    <w:lvl w:ilvl="0" w:tplc="0C0A0001">
      <w:start w:val="1"/>
      <w:numFmt w:val="bullet"/>
      <w:lvlText w:val=""/>
      <w:lvlJc w:val="left"/>
      <w:pPr>
        <w:tabs>
          <w:tab w:val="num" w:pos="1004"/>
        </w:tabs>
        <w:ind w:left="1004"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E4B"/>
    <w:rsid w:val="00021B9E"/>
    <w:rsid w:val="00056E4B"/>
    <w:rsid w:val="00111673"/>
    <w:rsid w:val="001A1FC5"/>
    <w:rsid w:val="00251172"/>
    <w:rsid w:val="00255F41"/>
    <w:rsid w:val="00272834"/>
    <w:rsid w:val="002758DE"/>
    <w:rsid w:val="002840A7"/>
    <w:rsid w:val="002C1784"/>
    <w:rsid w:val="002E7805"/>
    <w:rsid w:val="00311C09"/>
    <w:rsid w:val="00341145"/>
    <w:rsid w:val="00346BF8"/>
    <w:rsid w:val="00386ADF"/>
    <w:rsid w:val="003A1AC0"/>
    <w:rsid w:val="003B40F7"/>
    <w:rsid w:val="003B595A"/>
    <w:rsid w:val="00417042"/>
    <w:rsid w:val="004446D9"/>
    <w:rsid w:val="004628F9"/>
    <w:rsid w:val="00481F64"/>
    <w:rsid w:val="004A31AE"/>
    <w:rsid w:val="004B516F"/>
    <w:rsid w:val="004C0FF0"/>
    <w:rsid w:val="00511D8E"/>
    <w:rsid w:val="00562C75"/>
    <w:rsid w:val="005800CA"/>
    <w:rsid w:val="005955AD"/>
    <w:rsid w:val="00612B73"/>
    <w:rsid w:val="0068695D"/>
    <w:rsid w:val="006C376D"/>
    <w:rsid w:val="006E440F"/>
    <w:rsid w:val="0070200D"/>
    <w:rsid w:val="007126A1"/>
    <w:rsid w:val="00775198"/>
    <w:rsid w:val="00784863"/>
    <w:rsid w:val="0078604D"/>
    <w:rsid w:val="007A3C74"/>
    <w:rsid w:val="007E36E7"/>
    <w:rsid w:val="007E55B2"/>
    <w:rsid w:val="00835C79"/>
    <w:rsid w:val="00885447"/>
    <w:rsid w:val="008935C8"/>
    <w:rsid w:val="008F66BF"/>
    <w:rsid w:val="00921C4A"/>
    <w:rsid w:val="00966739"/>
    <w:rsid w:val="009B26CA"/>
    <w:rsid w:val="009B7F08"/>
    <w:rsid w:val="00A01659"/>
    <w:rsid w:val="00A301E0"/>
    <w:rsid w:val="00A56F40"/>
    <w:rsid w:val="00B06B6B"/>
    <w:rsid w:val="00B4237C"/>
    <w:rsid w:val="00B424D9"/>
    <w:rsid w:val="00B86427"/>
    <w:rsid w:val="00BA23F9"/>
    <w:rsid w:val="00BD6F23"/>
    <w:rsid w:val="00BF1CF4"/>
    <w:rsid w:val="00C15253"/>
    <w:rsid w:val="00C207BD"/>
    <w:rsid w:val="00C22A3D"/>
    <w:rsid w:val="00C57887"/>
    <w:rsid w:val="00CB3B43"/>
    <w:rsid w:val="00D13597"/>
    <w:rsid w:val="00D51A5E"/>
    <w:rsid w:val="00D5219C"/>
    <w:rsid w:val="00DB1CC3"/>
    <w:rsid w:val="00DD3EFC"/>
    <w:rsid w:val="00E54457"/>
    <w:rsid w:val="00E70086"/>
    <w:rsid w:val="00E9328E"/>
    <w:rsid w:val="00EF37E2"/>
    <w:rsid w:val="00F05404"/>
    <w:rsid w:val="00F14E09"/>
    <w:rsid w:val="00F2375B"/>
    <w:rsid w:val="00F53223"/>
    <w:rsid w:val="00F93951"/>
    <w:rsid w:val="00FC1F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4332"/>
  <w15:chartTrackingRefBased/>
  <w15:docId w15:val="{6355FEB8-6267-46DC-8AF0-606D75F5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E4B"/>
    <w:pPr>
      <w:spacing w:after="240" w:line="240" w:lineRule="exact"/>
      <w:ind w:firstLine="709"/>
      <w:jc w:val="both"/>
    </w:pPr>
    <w:rPr>
      <w:rFonts w:ascii="prestige" w:eastAsia="Times New Roman" w:hAnsi="prestige"/>
      <w:sz w:val="24"/>
      <w:lang w:val="es-ES_tradnl" w:eastAsia="es-ES"/>
    </w:rPr>
  </w:style>
  <w:style w:type="paragraph" w:styleId="Ttulo1">
    <w:name w:val="heading 1"/>
    <w:link w:val="Ttulo1Car"/>
    <w:qFormat/>
    <w:rsid w:val="00056E4B"/>
    <w:pPr>
      <w:spacing w:after="240" w:line="240" w:lineRule="exact"/>
      <w:outlineLvl w:val="0"/>
    </w:pPr>
    <w:rPr>
      <w:rFonts w:ascii="prestige" w:eastAsia="Times New Roman" w:hAnsi="prestige"/>
      <w:sz w:val="24"/>
      <w:u w:val="single"/>
      <w:lang w:val="es-ES_tradnl" w:eastAsia="es-ES"/>
    </w:rPr>
  </w:style>
  <w:style w:type="paragraph" w:styleId="Ttulo3">
    <w:name w:val="heading 3"/>
    <w:basedOn w:val="Normal"/>
    <w:next w:val="Normal"/>
    <w:link w:val="Ttulo3Car"/>
    <w:uiPriority w:val="9"/>
    <w:semiHidden/>
    <w:unhideWhenUsed/>
    <w:qFormat/>
    <w:rsid w:val="006C376D"/>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56E4B"/>
    <w:rPr>
      <w:rFonts w:ascii="prestige" w:eastAsia="Times New Roman" w:hAnsi="prestige"/>
      <w:sz w:val="24"/>
      <w:u w:val="single"/>
      <w:lang w:val="es-ES_tradnl" w:eastAsia="es-ES" w:bidi="ar-SA"/>
    </w:rPr>
  </w:style>
  <w:style w:type="paragraph" w:styleId="Sangradetextonormal">
    <w:name w:val="Body Text Indent"/>
    <w:basedOn w:val="Normal"/>
    <w:link w:val="SangradetextonormalCar"/>
    <w:rsid w:val="00056E4B"/>
    <w:pPr>
      <w:spacing w:line="240" w:lineRule="auto"/>
    </w:pPr>
    <w:rPr>
      <w:rFonts w:ascii="Arial" w:hAnsi="Arial"/>
      <w:sz w:val="20"/>
    </w:rPr>
  </w:style>
  <w:style w:type="character" w:customStyle="1" w:styleId="SangradetextonormalCar">
    <w:name w:val="Sangría de texto normal Car"/>
    <w:link w:val="Sangradetextonormal"/>
    <w:rsid w:val="00056E4B"/>
    <w:rPr>
      <w:rFonts w:ascii="Arial" w:eastAsia="Times New Roman" w:hAnsi="Arial" w:cs="Times New Roman"/>
      <w:szCs w:val="20"/>
      <w:lang w:val="es-ES_tradnl" w:eastAsia="es-ES"/>
    </w:rPr>
  </w:style>
  <w:style w:type="paragraph" w:styleId="Sangra3detindependiente">
    <w:name w:val="Body Text Indent 3"/>
    <w:basedOn w:val="Normal"/>
    <w:link w:val="Sangra3detindependienteCar"/>
    <w:rsid w:val="00056E4B"/>
    <w:pPr>
      <w:spacing w:line="240" w:lineRule="auto"/>
      <w:ind w:left="227" w:firstLine="0"/>
    </w:pPr>
    <w:rPr>
      <w:rFonts w:ascii="Arial" w:hAnsi="Arial"/>
      <w:sz w:val="20"/>
    </w:rPr>
  </w:style>
  <w:style w:type="character" w:customStyle="1" w:styleId="Sangra3detindependienteCar">
    <w:name w:val="Sangría 3 de t. independiente Car"/>
    <w:link w:val="Sangra3detindependiente"/>
    <w:rsid w:val="00056E4B"/>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E9328E"/>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E9328E"/>
    <w:rPr>
      <w:rFonts w:ascii="Tahoma" w:eastAsia="Times New Roman" w:hAnsi="Tahoma" w:cs="Tahoma"/>
      <w:sz w:val="16"/>
      <w:szCs w:val="16"/>
      <w:lang w:val="es-ES_tradnl" w:eastAsia="es-ES"/>
    </w:rPr>
  </w:style>
  <w:style w:type="paragraph" w:styleId="Textoindependiente">
    <w:name w:val="Body Text"/>
    <w:basedOn w:val="Normal"/>
    <w:link w:val="TextoindependienteCar"/>
    <w:uiPriority w:val="99"/>
    <w:semiHidden/>
    <w:unhideWhenUsed/>
    <w:rsid w:val="00DB1CC3"/>
    <w:pPr>
      <w:spacing w:after="120"/>
    </w:pPr>
  </w:style>
  <w:style w:type="character" w:customStyle="1" w:styleId="TextoindependienteCar">
    <w:name w:val="Texto independiente Car"/>
    <w:link w:val="Textoindependiente"/>
    <w:uiPriority w:val="99"/>
    <w:semiHidden/>
    <w:rsid w:val="00DB1CC3"/>
    <w:rPr>
      <w:rFonts w:ascii="prestige" w:eastAsia="Times New Roman" w:hAnsi="prestige"/>
      <w:sz w:val="24"/>
      <w:lang w:val="es-ES_tradnl" w:eastAsia="es-ES"/>
    </w:rPr>
  </w:style>
  <w:style w:type="character" w:styleId="Refdecomentario">
    <w:name w:val="annotation reference"/>
    <w:uiPriority w:val="99"/>
    <w:semiHidden/>
    <w:unhideWhenUsed/>
    <w:rsid w:val="00251172"/>
    <w:rPr>
      <w:sz w:val="16"/>
      <w:szCs w:val="16"/>
    </w:rPr>
  </w:style>
  <w:style w:type="paragraph" w:styleId="Textocomentario">
    <w:name w:val="annotation text"/>
    <w:basedOn w:val="Normal"/>
    <w:link w:val="TextocomentarioCar"/>
    <w:uiPriority w:val="99"/>
    <w:semiHidden/>
    <w:unhideWhenUsed/>
    <w:rsid w:val="00251172"/>
    <w:rPr>
      <w:sz w:val="20"/>
    </w:rPr>
  </w:style>
  <w:style w:type="character" w:customStyle="1" w:styleId="TextocomentarioCar">
    <w:name w:val="Texto comentario Car"/>
    <w:link w:val="Textocomentario"/>
    <w:uiPriority w:val="99"/>
    <w:semiHidden/>
    <w:rsid w:val="00251172"/>
    <w:rPr>
      <w:rFonts w:ascii="prestige" w:eastAsia="Times New Roman" w:hAnsi="prestige"/>
      <w:lang w:val="es-ES_tradnl" w:eastAsia="es-ES"/>
    </w:rPr>
  </w:style>
  <w:style w:type="paragraph" w:styleId="Asuntodelcomentario">
    <w:name w:val="annotation subject"/>
    <w:basedOn w:val="Textocomentario"/>
    <w:next w:val="Textocomentario"/>
    <w:link w:val="AsuntodelcomentarioCar"/>
    <w:uiPriority w:val="99"/>
    <w:semiHidden/>
    <w:unhideWhenUsed/>
    <w:rsid w:val="00251172"/>
    <w:rPr>
      <w:b/>
      <w:bCs/>
    </w:rPr>
  </w:style>
  <w:style w:type="character" w:customStyle="1" w:styleId="AsuntodelcomentarioCar">
    <w:name w:val="Asunto del comentario Car"/>
    <w:link w:val="Asuntodelcomentario"/>
    <w:uiPriority w:val="99"/>
    <w:semiHidden/>
    <w:rsid w:val="00251172"/>
    <w:rPr>
      <w:rFonts w:ascii="prestige" w:eastAsia="Times New Roman" w:hAnsi="prestige"/>
      <w:b/>
      <w:bCs/>
      <w:lang w:val="es-ES_tradnl" w:eastAsia="es-ES"/>
    </w:rPr>
  </w:style>
  <w:style w:type="character" w:customStyle="1" w:styleId="Ttulo3Car">
    <w:name w:val="Título 3 Car"/>
    <w:link w:val="Ttulo3"/>
    <w:uiPriority w:val="9"/>
    <w:semiHidden/>
    <w:rsid w:val="006C376D"/>
    <w:rPr>
      <w:rFonts w:ascii="Calibri Light" w:eastAsia="Times New Roman" w:hAnsi="Calibri Light" w:cs="Times New Roman"/>
      <w:b/>
      <w:bCs/>
      <w:sz w:val="26"/>
      <w:szCs w:val="26"/>
      <w:lang w:val="es-ES_tradnl" w:eastAsia="es-ES"/>
    </w:rPr>
  </w:style>
  <w:style w:type="table" w:styleId="Tablaconcuadrcula">
    <w:name w:val="Table Grid"/>
    <w:basedOn w:val="Tablanormal"/>
    <w:uiPriority w:val="59"/>
    <w:rsid w:val="00021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1351</Words>
  <Characters>7435</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agriselli</dc:creator>
  <cp:keywords/>
  <cp:lastModifiedBy>Jeanette Rosario Chiarello</cp:lastModifiedBy>
  <cp:revision>4</cp:revision>
  <cp:lastPrinted>2019-04-16T13:01:00Z</cp:lastPrinted>
  <dcterms:created xsi:type="dcterms:W3CDTF">2020-05-08T17:09:00Z</dcterms:created>
  <dcterms:modified xsi:type="dcterms:W3CDTF">2020-05-08T17:14:00Z</dcterms:modified>
</cp:coreProperties>
</file>