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800" w:rsidRPr="00CF77DD" w:rsidRDefault="00674800" w:rsidP="00674800">
      <w:pPr>
        <w:tabs>
          <w:tab w:val="left" w:pos="180"/>
        </w:tabs>
        <w:jc w:val="right"/>
        <w:rPr>
          <w:rFonts w:ascii="Verdana" w:hAnsi="Verdana"/>
        </w:rPr>
      </w:pPr>
    </w:p>
    <w:p w:rsidR="00674800" w:rsidRPr="00CF77DD" w:rsidRDefault="00674800" w:rsidP="00674800">
      <w:pPr>
        <w:tabs>
          <w:tab w:val="left" w:pos="180"/>
        </w:tabs>
        <w:jc w:val="both"/>
        <w:rPr>
          <w:rFonts w:ascii="Verdana" w:hAnsi="Verdana"/>
        </w:rPr>
      </w:pPr>
    </w:p>
    <w:tbl>
      <w:tblPr>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6945"/>
        <w:gridCol w:w="972"/>
      </w:tblGrid>
      <w:tr w:rsidR="00674800" w:rsidRPr="00CF77DD" w:rsidTr="001A46DD">
        <w:trPr>
          <w:gridBefore w:val="1"/>
          <w:gridAfter w:val="1"/>
          <w:wBefore w:w="1063" w:type="dxa"/>
          <w:wAfter w:w="972" w:type="dxa"/>
          <w:cantSplit/>
        </w:trPr>
        <w:tc>
          <w:tcPr>
            <w:tcW w:w="6945" w:type="dxa"/>
            <w:tcBorders>
              <w:top w:val="nil"/>
              <w:left w:val="nil"/>
              <w:bottom w:val="nil"/>
              <w:right w:val="nil"/>
            </w:tcBorders>
          </w:tcPr>
          <w:p w:rsidR="00674800" w:rsidRPr="00CF77DD" w:rsidRDefault="00674800" w:rsidP="001A46DD">
            <w:pPr>
              <w:jc w:val="center"/>
              <w:rPr>
                <w:rFonts w:ascii="Verdana" w:hAnsi="Verdana"/>
                <w:b/>
              </w:rPr>
            </w:pPr>
            <w:r w:rsidRPr="00CF77DD">
              <w:rPr>
                <w:rFonts w:ascii="Verdana" w:hAnsi="Verdana"/>
                <w:b/>
              </w:rPr>
              <w:br w:type="page"/>
              <w:t>FIPLASTO S.A.</w:t>
            </w:r>
          </w:p>
        </w:tc>
      </w:tr>
      <w:tr w:rsidR="00674800" w:rsidRPr="00CF77DD" w:rsidTr="001A46DD">
        <w:trPr>
          <w:cantSplit/>
        </w:trPr>
        <w:tc>
          <w:tcPr>
            <w:tcW w:w="8980" w:type="dxa"/>
            <w:gridSpan w:val="3"/>
            <w:tcBorders>
              <w:top w:val="double" w:sz="4" w:space="0" w:color="auto"/>
              <w:left w:val="nil"/>
              <w:bottom w:val="double" w:sz="4" w:space="0" w:color="auto"/>
              <w:right w:val="nil"/>
            </w:tcBorders>
          </w:tcPr>
          <w:p w:rsidR="00674800" w:rsidRPr="00CF77DD" w:rsidRDefault="00674800" w:rsidP="001A46DD">
            <w:pPr>
              <w:jc w:val="center"/>
              <w:rPr>
                <w:rFonts w:ascii="Verdana" w:hAnsi="Verdana"/>
                <w:b/>
                <w:u w:val="single"/>
              </w:rPr>
            </w:pPr>
          </w:p>
        </w:tc>
      </w:tr>
    </w:tbl>
    <w:p w:rsidR="00674800" w:rsidRPr="00CF77DD" w:rsidRDefault="00674800" w:rsidP="00674800">
      <w:pPr>
        <w:jc w:val="both"/>
        <w:rPr>
          <w:rFonts w:ascii="Verdana" w:hAnsi="Verdana"/>
        </w:rPr>
      </w:pPr>
    </w:p>
    <w:p w:rsidR="00674800" w:rsidRPr="00CF77DD" w:rsidRDefault="00674800" w:rsidP="00674800">
      <w:pPr>
        <w:jc w:val="both"/>
        <w:rPr>
          <w:rFonts w:ascii="Verdana" w:hAnsi="Verdana"/>
        </w:rPr>
      </w:pPr>
    </w:p>
    <w:p w:rsidR="00674800" w:rsidRDefault="00674800" w:rsidP="00674800">
      <w:pPr>
        <w:jc w:val="center"/>
        <w:rPr>
          <w:rFonts w:ascii="Verdana" w:hAnsi="Verdana"/>
          <w:b/>
        </w:rPr>
      </w:pPr>
      <w:r w:rsidRPr="00CF77DD">
        <w:rPr>
          <w:rFonts w:ascii="Verdana" w:hAnsi="Verdana"/>
          <w:b/>
        </w:rPr>
        <w:t>RESOLUCIONES DE LA ASAMBLEA</w:t>
      </w:r>
      <w:r>
        <w:rPr>
          <w:rFonts w:ascii="Verdana" w:hAnsi="Verdana"/>
          <w:b/>
        </w:rPr>
        <w:t xml:space="preserve"> GENERAL</w:t>
      </w:r>
      <w:r w:rsidRPr="00CF77DD">
        <w:rPr>
          <w:rFonts w:ascii="Verdana" w:hAnsi="Verdana"/>
          <w:b/>
        </w:rPr>
        <w:t xml:space="preserve"> ORDINARIA DE ACCIONISTAS</w:t>
      </w:r>
      <w:r>
        <w:rPr>
          <w:rFonts w:ascii="Verdana" w:hAnsi="Verdana"/>
          <w:b/>
        </w:rPr>
        <w:t xml:space="preserve"> A DISTANCIA</w:t>
      </w:r>
      <w:r w:rsidRPr="00CF77DD">
        <w:rPr>
          <w:rFonts w:ascii="Verdana" w:hAnsi="Verdana"/>
          <w:b/>
        </w:rPr>
        <w:t xml:space="preserve"> CELEBRADA EL </w:t>
      </w:r>
      <w:r w:rsidR="00107002">
        <w:rPr>
          <w:rFonts w:ascii="Verdana" w:hAnsi="Verdana"/>
          <w:b/>
        </w:rPr>
        <w:t>19</w:t>
      </w:r>
      <w:r w:rsidRPr="00CF77DD">
        <w:rPr>
          <w:rFonts w:ascii="Verdana" w:hAnsi="Verdana"/>
          <w:b/>
        </w:rPr>
        <w:t xml:space="preserve"> DE OCTUBRE DE 20</w:t>
      </w:r>
      <w:r>
        <w:rPr>
          <w:rFonts w:ascii="Verdana" w:hAnsi="Verdana"/>
          <w:b/>
        </w:rPr>
        <w:t>2</w:t>
      </w:r>
      <w:r w:rsidR="00107002">
        <w:rPr>
          <w:rFonts w:ascii="Verdana" w:hAnsi="Verdana"/>
          <w:b/>
        </w:rPr>
        <w:t>2</w:t>
      </w:r>
    </w:p>
    <w:p w:rsidR="00674800" w:rsidRDefault="00674800" w:rsidP="00674800">
      <w:pPr>
        <w:jc w:val="center"/>
        <w:rPr>
          <w:rFonts w:ascii="Verdana" w:hAnsi="Verdana"/>
          <w:b/>
        </w:rPr>
      </w:pPr>
    </w:p>
    <w:p w:rsidR="00674800" w:rsidRDefault="00674800" w:rsidP="00674800">
      <w:pPr>
        <w:jc w:val="both"/>
        <w:rPr>
          <w:rFonts w:ascii="Verdana" w:hAnsi="Verdana"/>
          <w:b/>
        </w:rPr>
      </w:pPr>
    </w:p>
    <w:p w:rsidR="00674800" w:rsidRPr="00926166" w:rsidRDefault="00674800" w:rsidP="00674800">
      <w:pPr>
        <w:jc w:val="both"/>
        <w:rPr>
          <w:rFonts w:ascii="Verdana" w:hAnsi="Verdana"/>
        </w:rPr>
      </w:pPr>
      <w:r>
        <w:rPr>
          <w:rFonts w:ascii="Verdana" w:hAnsi="Verdana"/>
        </w:rPr>
        <w:t xml:space="preserve">Informamos que en el día de la fecha se realizó la Asamblea General Ordinaria y de Accionistas en primera convocatoria de </w:t>
      </w:r>
      <w:proofErr w:type="spellStart"/>
      <w:r>
        <w:rPr>
          <w:rFonts w:ascii="Verdana" w:hAnsi="Verdana"/>
        </w:rPr>
        <w:t>Fiplasto</w:t>
      </w:r>
      <w:proofErr w:type="spellEnd"/>
      <w:r>
        <w:rPr>
          <w:rFonts w:ascii="Verdana" w:hAnsi="Verdana"/>
        </w:rPr>
        <w:t xml:space="preserve"> S.A., la cual se celebró bajo la modalidad “a distancia”</w:t>
      </w:r>
      <w:r w:rsidR="00107002">
        <w:rPr>
          <w:rFonts w:ascii="Verdana" w:hAnsi="Verdana"/>
        </w:rPr>
        <w:t>, la cual se encuentra prevista en los Estatutos Sociales</w:t>
      </w:r>
      <w:r>
        <w:rPr>
          <w:rFonts w:ascii="Verdana" w:hAnsi="Verdana"/>
        </w:rPr>
        <w:t>. Contó con la presencia</w:t>
      </w:r>
      <w:r w:rsidR="00107002">
        <w:rPr>
          <w:rFonts w:ascii="Verdana" w:hAnsi="Verdana"/>
        </w:rPr>
        <w:t xml:space="preserve"> de 10 accionistas</w:t>
      </w:r>
      <w:r w:rsidR="007766B9">
        <w:rPr>
          <w:rFonts w:ascii="Verdana" w:hAnsi="Verdana"/>
        </w:rPr>
        <w:t xml:space="preserve">, </w:t>
      </w:r>
      <w:r w:rsidR="001B2325">
        <w:rPr>
          <w:rFonts w:ascii="Verdana" w:hAnsi="Verdana"/>
        </w:rPr>
        <w:t>5</w:t>
      </w:r>
      <w:r w:rsidR="007766B9">
        <w:rPr>
          <w:rFonts w:ascii="Verdana" w:hAnsi="Verdana"/>
        </w:rPr>
        <w:t xml:space="preserve"> por sí y </w:t>
      </w:r>
      <w:r w:rsidR="001B2325">
        <w:rPr>
          <w:rFonts w:ascii="Verdana" w:hAnsi="Verdana"/>
        </w:rPr>
        <w:t>5</w:t>
      </w:r>
      <w:r w:rsidR="007766B9">
        <w:rPr>
          <w:rFonts w:ascii="Verdana" w:hAnsi="Verdana"/>
        </w:rPr>
        <w:t xml:space="preserve"> por representación,</w:t>
      </w:r>
      <w:r w:rsidR="00107002">
        <w:rPr>
          <w:rFonts w:ascii="Verdana" w:hAnsi="Verdana"/>
        </w:rPr>
        <w:t xml:space="preserve"> titulares</w:t>
      </w:r>
      <w:r>
        <w:rPr>
          <w:rFonts w:ascii="Verdana" w:hAnsi="Verdana"/>
        </w:rPr>
        <w:t xml:space="preserve"> de </w:t>
      </w:r>
      <w:r w:rsidR="00107002" w:rsidRPr="00107002">
        <w:rPr>
          <w:rFonts w:ascii="Verdana" w:hAnsi="Verdana"/>
        </w:rPr>
        <w:t>45.886.718 acciones de la clase B de Valor Nominal $ 1 y de 1 voto por acción, correspondientes a $ 45.886.718 de capital social, con derecho a 45.886.718 votos</w:t>
      </w:r>
      <w:r w:rsidR="00107002">
        <w:rPr>
          <w:rFonts w:ascii="Verdana" w:hAnsi="Verdana"/>
        </w:rPr>
        <w:t xml:space="preserve"> (</w:t>
      </w:r>
      <w:r w:rsidR="007766B9" w:rsidRPr="007766B9">
        <w:rPr>
          <w:rFonts w:ascii="Verdana" w:hAnsi="Verdana"/>
        </w:rPr>
        <w:t>64,2401% % del capital accionario con derecho a voto)</w:t>
      </w:r>
      <w:r w:rsidR="00107002">
        <w:rPr>
          <w:rFonts w:ascii="Verdana" w:hAnsi="Verdana"/>
        </w:rPr>
        <w:t>, con lo que se cumplió</w:t>
      </w:r>
      <w:r>
        <w:rPr>
          <w:rFonts w:ascii="Verdana" w:hAnsi="Verdana"/>
        </w:rPr>
        <w:t xml:space="preserve"> con el requisito de quorum exigido por </w:t>
      </w:r>
      <w:r w:rsidR="007766B9">
        <w:rPr>
          <w:rFonts w:ascii="Verdana" w:hAnsi="Verdana"/>
        </w:rPr>
        <w:t>el artículo</w:t>
      </w:r>
      <w:r>
        <w:rPr>
          <w:rFonts w:ascii="Verdana" w:hAnsi="Verdana"/>
        </w:rPr>
        <w:t xml:space="preserve"> 243 de la Ley General de Sociedades.  </w:t>
      </w:r>
    </w:p>
    <w:p w:rsidR="00674800" w:rsidRPr="00CF77DD" w:rsidRDefault="00674800" w:rsidP="00674800">
      <w:pPr>
        <w:jc w:val="both"/>
        <w:rPr>
          <w:rFonts w:ascii="Verdana" w:hAnsi="Verdana"/>
        </w:rPr>
      </w:pPr>
    </w:p>
    <w:p w:rsidR="00674800" w:rsidRPr="00CF77DD" w:rsidRDefault="00674800" w:rsidP="00674800">
      <w:pPr>
        <w:jc w:val="both"/>
        <w:rPr>
          <w:rFonts w:ascii="Verdana" w:hAnsi="Verdana"/>
        </w:rPr>
      </w:pPr>
    </w:p>
    <w:tbl>
      <w:tblPr>
        <w:tblW w:w="9001" w:type="dxa"/>
        <w:tblLayout w:type="fixed"/>
        <w:tblCellMar>
          <w:left w:w="70" w:type="dxa"/>
          <w:right w:w="70" w:type="dxa"/>
        </w:tblCellMar>
        <w:tblLook w:val="0000" w:firstRow="0" w:lastRow="0" w:firstColumn="0" w:lastColumn="0" w:noHBand="0" w:noVBand="0"/>
      </w:tblPr>
      <w:tblGrid>
        <w:gridCol w:w="637"/>
        <w:gridCol w:w="3969"/>
        <w:gridCol w:w="4395"/>
      </w:tblGrid>
      <w:tr w:rsidR="00674800" w:rsidRPr="00CF77DD" w:rsidTr="001A46DD">
        <w:tc>
          <w:tcPr>
            <w:tcW w:w="637" w:type="dxa"/>
          </w:tcPr>
          <w:p w:rsidR="00674800" w:rsidRDefault="00674800" w:rsidP="001A46DD">
            <w:pPr>
              <w:jc w:val="both"/>
              <w:rPr>
                <w:rFonts w:ascii="Verdana" w:hAnsi="Verdana"/>
                <w:b/>
              </w:rPr>
            </w:pPr>
            <w:r w:rsidRPr="00CF77DD">
              <w:rPr>
                <w:rFonts w:ascii="Verdana" w:hAnsi="Verdana"/>
                <w:b/>
              </w:rPr>
              <w:t>1.</w:t>
            </w:r>
          </w:p>
          <w:p w:rsidR="00674800" w:rsidRDefault="00674800" w:rsidP="001A46DD">
            <w:pPr>
              <w:jc w:val="both"/>
              <w:rPr>
                <w:rFonts w:ascii="Verdana" w:hAnsi="Verdana"/>
                <w:b/>
              </w:rPr>
            </w:pPr>
          </w:p>
          <w:p w:rsidR="00674800" w:rsidRDefault="00674800" w:rsidP="001A46DD">
            <w:pPr>
              <w:jc w:val="both"/>
              <w:rPr>
                <w:rFonts w:ascii="Verdana" w:hAnsi="Verdana"/>
                <w:b/>
              </w:rPr>
            </w:pPr>
          </w:p>
          <w:p w:rsidR="00674800" w:rsidRDefault="00674800" w:rsidP="001A46DD">
            <w:pPr>
              <w:jc w:val="both"/>
              <w:rPr>
                <w:rFonts w:ascii="Verdana" w:hAnsi="Verdana"/>
                <w:b/>
              </w:rPr>
            </w:pPr>
          </w:p>
          <w:p w:rsidR="00674800" w:rsidRDefault="00674800" w:rsidP="001A46DD">
            <w:pPr>
              <w:jc w:val="both"/>
              <w:rPr>
                <w:rFonts w:ascii="Verdana" w:hAnsi="Verdana"/>
                <w:b/>
              </w:rPr>
            </w:pPr>
          </w:p>
          <w:p w:rsidR="00674800" w:rsidRDefault="00674800" w:rsidP="001A46DD">
            <w:pPr>
              <w:jc w:val="both"/>
              <w:rPr>
                <w:rFonts w:ascii="Verdana" w:hAnsi="Verdana"/>
                <w:b/>
              </w:rPr>
            </w:pPr>
          </w:p>
          <w:p w:rsidR="00674800" w:rsidRDefault="00674800" w:rsidP="001A46DD">
            <w:pPr>
              <w:jc w:val="both"/>
              <w:rPr>
                <w:rFonts w:ascii="Verdana" w:hAnsi="Verdana"/>
                <w:b/>
              </w:rPr>
            </w:pPr>
          </w:p>
          <w:p w:rsidR="00674800" w:rsidRDefault="00674800" w:rsidP="001A46DD">
            <w:pPr>
              <w:jc w:val="both"/>
              <w:rPr>
                <w:rFonts w:ascii="Verdana" w:hAnsi="Verdana"/>
                <w:b/>
              </w:rPr>
            </w:pPr>
          </w:p>
          <w:p w:rsidR="00674800" w:rsidRDefault="00674800" w:rsidP="001A46DD">
            <w:pPr>
              <w:jc w:val="both"/>
              <w:rPr>
                <w:rFonts w:ascii="Verdana" w:hAnsi="Verdana"/>
                <w:b/>
              </w:rPr>
            </w:pPr>
          </w:p>
          <w:p w:rsidR="00674800" w:rsidRPr="00CF77DD" w:rsidRDefault="00674800" w:rsidP="001A46DD">
            <w:pPr>
              <w:jc w:val="both"/>
              <w:rPr>
                <w:rFonts w:ascii="Verdana" w:hAnsi="Verdana"/>
                <w:b/>
              </w:rPr>
            </w:pPr>
            <w:r>
              <w:rPr>
                <w:rFonts w:ascii="Verdana" w:hAnsi="Verdana"/>
                <w:b/>
              </w:rPr>
              <w:t>2.</w:t>
            </w:r>
          </w:p>
        </w:tc>
        <w:tc>
          <w:tcPr>
            <w:tcW w:w="8364" w:type="dxa"/>
            <w:gridSpan w:val="2"/>
          </w:tcPr>
          <w:p w:rsidR="00674800" w:rsidRPr="00C71473" w:rsidRDefault="00674800" w:rsidP="001A46DD">
            <w:pPr>
              <w:pStyle w:val="Sangra3detindependiente"/>
              <w:spacing w:after="0"/>
              <w:ind w:left="0"/>
              <w:rPr>
                <w:rFonts w:ascii="Verdana" w:hAnsi="Verdana"/>
                <w:b/>
                <w:sz w:val="20"/>
                <w:szCs w:val="20"/>
                <w:u w:val="single"/>
              </w:rPr>
            </w:pPr>
            <w:r w:rsidRPr="00C71473">
              <w:rPr>
                <w:rFonts w:ascii="Verdana" w:hAnsi="Verdana"/>
                <w:b/>
                <w:sz w:val="20"/>
                <w:szCs w:val="20"/>
                <w:u w:val="single"/>
              </w:rPr>
              <w:t>Celebración de la Asamblea bajo la modalidad “a distancia” a través de videoconferencia.</w:t>
            </w:r>
          </w:p>
          <w:p w:rsidR="00674800" w:rsidRDefault="00674800" w:rsidP="001A46DD">
            <w:pPr>
              <w:pStyle w:val="Sangra3detindependiente"/>
              <w:spacing w:after="0"/>
              <w:ind w:left="0"/>
              <w:rPr>
                <w:rFonts w:ascii="Verdana" w:hAnsi="Verdana"/>
                <w:b/>
                <w:sz w:val="20"/>
                <w:szCs w:val="20"/>
                <w:u w:val="single"/>
              </w:rPr>
            </w:pPr>
          </w:p>
          <w:p w:rsidR="00674800" w:rsidRDefault="00674800" w:rsidP="001A46DD">
            <w:pPr>
              <w:pStyle w:val="Sangra3detindependiente"/>
              <w:spacing w:after="0"/>
              <w:ind w:left="0"/>
              <w:rPr>
                <w:rFonts w:ascii="Verdana" w:hAnsi="Verdana"/>
                <w:b/>
                <w:sz w:val="20"/>
                <w:szCs w:val="20"/>
                <w:u w:val="single"/>
              </w:rPr>
            </w:pPr>
          </w:p>
          <w:p w:rsidR="00674800" w:rsidRDefault="00674800" w:rsidP="001A46DD">
            <w:pPr>
              <w:pStyle w:val="Sangra3detindependiente"/>
              <w:spacing w:after="0"/>
              <w:ind w:left="0"/>
              <w:jc w:val="both"/>
              <w:rPr>
                <w:rFonts w:ascii="Verdana" w:hAnsi="Verdana"/>
                <w:sz w:val="20"/>
                <w:szCs w:val="20"/>
              </w:rPr>
            </w:pPr>
            <w:r>
              <w:rPr>
                <w:rFonts w:ascii="Verdana" w:hAnsi="Verdana"/>
                <w:sz w:val="20"/>
                <w:szCs w:val="20"/>
              </w:rPr>
              <w:t>Se aprobó por unanimidad de votos presentes autorizar la celebración de la presente asamblea bajo la modalidad “a distancia”</w:t>
            </w:r>
            <w:r w:rsidR="007766B9">
              <w:rPr>
                <w:rFonts w:ascii="Verdana" w:hAnsi="Verdana"/>
                <w:sz w:val="20"/>
                <w:szCs w:val="20"/>
              </w:rPr>
              <w:t>, la cual se encuentra prevista en los Estatutos Sociales</w:t>
            </w:r>
            <w:r>
              <w:rPr>
                <w:rFonts w:ascii="Verdana" w:hAnsi="Verdana"/>
                <w:sz w:val="20"/>
                <w:szCs w:val="20"/>
              </w:rPr>
              <w:t xml:space="preserve">. </w:t>
            </w:r>
          </w:p>
          <w:p w:rsidR="00674800" w:rsidRDefault="00674800" w:rsidP="001A46DD">
            <w:pPr>
              <w:pStyle w:val="Sangra3detindependiente"/>
              <w:spacing w:after="0"/>
              <w:ind w:left="0"/>
              <w:rPr>
                <w:rFonts w:ascii="Verdana" w:hAnsi="Verdana"/>
                <w:b/>
                <w:sz w:val="20"/>
                <w:szCs w:val="20"/>
                <w:u w:val="single"/>
              </w:rPr>
            </w:pPr>
          </w:p>
          <w:p w:rsidR="00674800" w:rsidRDefault="00674800" w:rsidP="001A46DD">
            <w:pPr>
              <w:pStyle w:val="Sangra3detindependiente"/>
              <w:spacing w:after="0"/>
              <w:ind w:left="0"/>
              <w:rPr>
                <w:rFonts w:ascii="Verdana" w:hAnsi="Verdana"/>
                <w:b/>
                <w:sz w:val="20"/>
                <w:szCs w:val="20"/>
                <w:u w:val="single"/>
              </w:rPr>
            </w:pPr>
          </w:p>
          <w:p w:rsidR="00674800" w:rsidRPr="00CF77DD" w:rsidRDefault="00674800" w:rsidP="001A46DD">
            <w:pPr>
              <w:pStyle w:val="Sangra3detindependiente"/>
              <w:spacing w:after="0"/>
              <w:ind w:left="0"/>
              <w:rPr>
                <w:rFonts w:ascii="Verdana" w:hAnsi="Verdana"/>
                <w:b/>
                <w:sz w:val="20"/>
                <w:szCs w:val="20"/>
                <w:u w:val="single"/>
              </w:rPr>
            </w:pPr>
            <w:r w:rsidRPr="00CF77DD">
              <w:rPr>
                <w:rFonts w:ascii="Verdana" w:hAnsi="Verdana"/>
                <w:b/>
                <w:sz w:val="20"/>
                <w:szCs w:val="20"/>
                <w:u w:val="single"/>
              </w:rPr>
              <w:t xml:space="preserve">Designación de dos accionistas para </w:t>
            </w:r>
            <w:r>
              <w:rPr>
                <w:rFonts w:ascii="Verdana" w:hAnsi="Verdana"/>
                <w:b/>
                <w:sz w:val="20"/>
                <w:szCs w:val="20"/>
                <w:u w:val="single"/>
              </w:rPr>
              <w:t>suscribir</w:t>
            </w:r>
            <w:r w:rsidRPr="00CF77DD">
              <w:rPr>
                <w:rFonts w:ascii="Verdana" w:hAnsi="Verdana"/>
                <w:b/>
                <w:sz w:val="20"/>
                <w:szCs w:val="20"/>
                <w:u w:val="single"/>
              </w:rPr>
              <w:t xml:space="preserve"> el </w:t>
            </w:r>
            <w:r>
              <w:rPr>
                <w:rFonts w:ascii="Verdana" w:hAnsi="Verdana"/>
                <w:b/>
                <w:sz w:val="20"/>
                <w:szCs w:val="20"/>
                <w:u w:val="single"/>
              </w:rPr>
              <w:t>A</w:t>
            </w:r>
            <w:r w:rsidRPr="00CF77DD">
              <w:rPr>
                <w:rFonts w:ascii="Verdana" w:hAnsi="Verdana"/>
                <w:b/>
                <w:sz w:val="20"/>
                <w:szCs w:val="20"/>
                <w:u w:val="single"/>
              </w:rPr>
              <w:t>cta</w:t>
            </w:r>
            <w:r>
              <w:rPr>
                <w:rFonts w:ascii="Verdana" w:hAnsi="Verdana"/>
                <w:b/>
                <w:sz w:val="20"/>
                <w:szCs w:val="20"/>
                <w:u w:val="single"/>
              </w:rPr>
              <w:t xml:space="preserve"> de Asamblea</w:t>
            </w:r>
            <w:r w:rsidRPr="00CF77DD">
              <w:rPr>
                <w:rFonts w:ascii="Verdana" w:hAnsi="Verdana"/>
                <w:b/>
                <w:sz w:val="20"/>
                <w:szCs w:val="20"/>
                <w:u w:val="single"/>
              </w:rPr>
              <w:t>.</w:t>
            </w:r>
          </w:p>
          <w:p w:rsidR="00674800" w:rsidRPr="00CF77DD" w:rsidRDefault="00674800" w:rsidP="001A46DD">
            <w:pPr>
              <w:jc w:val="both"/>
              <w:rPr>
                <w:rFonts w:ascii="Verdana" w:hAnsi="Verdana"/>
                <w:u w:val="single"/>
              </w:rPr>
            </w:pPr>
          </w:p>
          <w:p w:rsidR="00674800" w:rsidRPr="00CF77DD" w:rsidRDefault="00674800" w:rsidP="001A46DD">
            <w:pPr>
              <w:jc w:val="both"/>
              <w:rPr>
                <w:rFonts w:ascii="Verdana" w:hAnsi="Verdana"/>
              </w:rPr>
            </w:pPr>
            <w:r>
              <w:rPr>
                <w:rFonts w:ascii="Verdana" w:hAnsi="Verdana"/>
              </w:rPr>
              <w:t>Por unanimidad de los votos presentes, f</w:t>
            </w:r>
            <w:r w:rsidRPr="00CF77DD">
              <w:rPr>
                <w:rFonts w:ascii="Verdana" w:hAnsi="Verdana"/>
              </w:rPr>
              <w:t>ueron designados para aprobar y firmar el Acta de la Asamblea el representante de FV S.A.</w:t>
            </w:r>
            <w:r>
              <w:rPr>
                <w:rFonts w:ascii="Verdana" w:hAnsi="Verdana"/>
              </w:rPr>
              <w:t xml:space="preserve"> </w:t>
            </w:r>
            <w:r w:rsidRPr="00CF77DD">
              <w:rPr>
                <w:rFonts w:ascii="Verdana" w:hAnsi="Verdana"/>
              </w:rPr>
              <w:t xml:space="preserve">y </w:t>
            </w:r>
            <w:r w:rsidR="007766B9">
              <w:rPr>
                <w:rFonts w:ascii="Verdana" w:hAnsi="Verdana"/>
              </w:rPr>
              <w:t>el</w:t>
            </w:r>
            <w:r w:rsidRPr="00CF77DD">
              <w:rPr>
                <w:rFonts w:ascii="Verdana" w:hAnsi="Verdana"/>
              </w:rPr>
              <w:t xml:space="preserve"> representante de</w:t>
            </w:r>
            <w:r>
              <w:rPr>
                <w:rFonts w:ascii="Verdana" w:hAnsi="Verdana"/>
              </w:rPr>
              <w:t xml:space="preserve"> la accionista Maria Eugenia Curutchet,</w:t>
            </w:r>
            <w:r w:rsidR="007766B9">
              <w:rPr>
                <w:rFonts w:ascii="Verdana" w:hAnsi="Verdana"/>
              </w:rPr>
              <w:t xml:space="preserve"> conjuntamente con la Presidencia</w:t>
            </w:r>
            <w:r w:rsidRPr="00CF77DD">
              <w:rPr>
                <w:rFonts w:ascii="Verdana" w:hAnsi="Verdana"/>
              </w:rPr>
              <w:t>.</w:t>
            </w:r>
          </w:p>
          <w:p w:rsidR="00674800" w:rsidRPr="00CF77DD" w:rsidRDefault="00674800" w:rsidP="001A46DD">
            <w:pPr>
              <w:jc w:val="both"/>
              <w:rPr>
                <w:rFonts w:ascii="Verdana" w:hAnsi="Verdana"/>
                <w:u w:val="single"/>
              </w:rPr>
            </w:pPr>
          </w:p>
        </w:tc>
      </w:tr>
      <w:tr w:rsidR="00674800" w:rsidRPr="00CF77DD" w:rsidTr="001A46DD">
        <w:tc>
          <w:tcPr>
            <w:tcW w:w="637" w:type="dxa"/>
          </w:tcPr>
          <w:p w:rsidR="00674800" w:rsidRPr="00CF77DD" w:rsidRDefault="00674800" w:rsidP="001A46DD">
            <w:pPr>
              <w:jc w:val="both"/>
              <w:rPr>
                <w:rFonts w:ascii="Verdana" w:hAnsi="Verdana"/>
                <w:b/>
              </w:rPr>
            </w:pPr>
            <w:r>
              <w:rPr>
                <w:rFonts w:ascii="Verdana" w:hAnsi="Verdana"/>
                <w:b/>
              </w:rPr>
              <w:t>3</w:t>
            </w:r>
            <w:r w:rsidRPr="00CF77DD">
              <w:rPr>
                <w:rFonts w:ascii="Verdana" w:hAnsi="Verdana"/>
                <w:b/>
              </w:rPr>
              <w:t>.</w:t>
            </w:r>
          </w:p>
        </w:tc>
        <w:tc>
          <w:tcPr>
            <w:tcW w:w="8364" w:type="dxa"/>
            <w:gridSpan w:val="2"/>
          </w:tcPr>
          <w:p w:rsidR="00674800" w:rsidRPr="000809A2" w:rsidRDefault="00BA3CBD" w:rsidP="001A46DD">
            <w:pPr>
              <w:jc w:val="both"/>
              <w:rPr>
                <w:rFonts w:ascii="Verdana" w:hAnsi="Verdana"/>
                <w:b/>
                <w:u w:val="single"/>
                <w:lang w:val="es-AR"/>
              </w:rPr>
            </w:pPr>
            <w:r w:rsidRPr="00BA3CBD">
              <w:rPr>
                <w:rFonts w:ascii="Verdana" w:hAnsi="Verdana"/>
                <w:b/>
                <w:u w:val="single"/>
                <w:lang w:val="es-AR"/>
              </w:rPr>
              <w:t>Consideración de la Memoria incluyendo el Informe sobre el Código de Gobierno Societario y Estados Financieros (que comprenden el estado de situación patrimonial de la Sociedad al 30 de junio de 2022, los estados de resultado integral, de cambios en el patrimonio neto y de flujo de efectivo, con sus notas y anexos que lo complementan, así como toda otra información requerida por las Normas de la Comisión Nacional de Valores (N.T. 2013), la Ley 26.831 y el Reglamento de Listado de BYMA), Inventario e Informe de la Comisión Fiscalizadora, correspondientes al 77º ejercicio económico cerrado el 30 de junio de 2022</w:t>
            </w:r>
            <w:r w:rsidR="00674800" w:rsidRPr="000809A2">
              <w:rPr>
                <w:rFonts w:ascii="Verdana" w:hAnsi="Verdana"/>
                <w:b/>
                <w:u w:val="single"/>
              </w:rPr>
              <w:t>.</w:t>
            </w:r>
          </w:p>
          <w:p w:rsidR="00674800" w:rsidRPr="00CF77DD" w:rsidRDefault="00674800" w:rsidP="001A46DD">
            <w:pPr>
              <w:jc w:val="both"/>
              <w:rPr>
                <w:rFonts w:ascii="Verdana" w:hAnsi="Verdana"/>
                <w:b/>
              </w:rPr>
            </w:pPr>
          </w:p>
          <w:p w:rsidR="00674800" w:rsidRPr="00CF77DD" w:rsidRDefault="00674800" w:rsidP="001A46DD">
            <w:pPr>
              <w:jc w:val="both"/>
              <w:rPr>
                <w:rFonts w:ascii="Verdana" w:hAnsi="Verdana"/>
              </w:rPr>
            </w:pPr>
            <w:r w:rsidRPr="00CF77DD">
              <w:rPr>
                <w:rFonts w:ascii="Verdana" w:hAnsi="Verdana"/>
              </w:rPr>
              <w:t>Por unanimidad</w:t>
            </w:r>
            <w:r>
              <w:rPr>
                <w:rFonts w:ascii="Verdana" w:hAnsi="Verdana"/>
              </w:rPr>
              <w:t xml:space="preserve"> de los votos presentes,</w:t>
            </w:r>
            <w:r w:rsidRPr="00CF77DD">
              <w:rPr>
                <w:rFonts w:ascii="Verdana" w:hAnsi="Verdana"/>
              </w:rPr>
              <w:t xml:space="preserve"> se aprobó </w:t>
            </w:r>
            <w:r w:rsidR="00BA3CBD" w:rsidRPr="00BA3CBD">
              <w:rPr>
                <w:rFonts w:ascii="Verdana" w:hAnsi="Verdana"/>
              </w:rPr>
              <w:t>la Memoria incluyendo el Informe sobre el Código de Gobierno Societario y Estados Financieros (que comprenden el estado de situación patrimonial de la Sociedad al 30 de junio de 2022, los estados de resultado integral, de cambios en el patrimonio neto y de flujo de efectivo, con sus notas y anexos que lo complementan, así como toda otra información requerida por las Normas de la Comisión Nacional de Valores (N.T. 2013), la Ley 26.831 y el Reglamento de Listado de BYMA), Inventario e Informe de la Comisión Fiscalizadora, correspondientes al 77º ejercicio económico cerrado el 30 de junio de 2022</w:t>
            </w:r>
            <w:r w:rsidRPr="002D1D67">
              <w:rPr>
                <w:rFonts w:ascii="Verdana" w:hAnsi="Verdana"/>
              </w:rPr>
              <w:t>.</w:t>
            </w:r>
          </w:p>
          <w:p w:rsidR="00674800" w:rsidRPr="00CF77DD" w:rsidRDefault="00674800" w:rsidP="001A46DD">
            <w:pPr>
              <w:jc w:val="both"/>
              <w:rPr>
                <w:rFonts w:ascii="Verdana" w:hAnsi="Verdana"/>
              </w:rPr>
            </w:pPr>
          </w:p>
        </w:tc>
      </w:tr>
      <w:tr w:rsidR="00674800" w:rsidRPr="00CF77DD" w:rsidTr="001A46DD">
        <w:tc>
          <w:tcPr>
            <w:tcW w:w="637" w:type="dxa"/>
          </w:tcPr>
          <w:p w:rsidR="00674800" w:rsidRPr="00CF77DD" w:rsidRDefault="00674800" w:rsidP="001A46DD">
            <w:pPr>
              <w:jc w:val="both"/>
              <w:rPr>
                <w:rFonts w:ascii="Verdana" w:hAnsi="Verdana"/>
                <w:b/>
              </w:rPr>
            </w:pPr>
            <w:r>
              <w:rPr>
                <w:rFonts w:ascii="Verdana" w:hAnsi="Verdana"/>
                <w:b/>
              </w:rPr>
              <w:t>4</w:t>
            </w:r>
            <w:r w:rsidRPr="00CF77DD">
              <w:rPr>
                <w:rFonts w:ascii="Verdana" w:hAnsi="Verdana"/>
                <w:b/>
              </w:rPr>
              <w:t>.</w:t>
            </w:r>
          </w:p>
        </w:tc>
        <w:tc>
          <w:tcPr>
            <w:tcW w:w="8364" w:type="dxa"/>
            <w:gridSpan w:val="2"/>
          </w:tcPr>
          <w:p w:rsidR="00674800" w:rsidRPr="00CF77DD" w:rsidRDefault="00674800" w:rsidP="001A46DD">
            <w:pPr>
              <w:jc w:val="both"/>
              <w:rPr>
                <w:rFonts w:ascii="Verdana" w:hAnsi="Verdana"/>
                <w:b/>
                <w:u w:val="single"/>
              </w:rPr>
            </w:pPr>
            <w:r w:rsidRPr="00CF77DD">
              <w:rPr>
                <w:rFonts w:ascii="Verdana" w:hAnsi="Verdana"/>
                <w:b/>
                <w:u w:val="single"/>
              </w:rPr>
              <w:t>Consideración de la gestión de los Directores y miembros de la Comisión Fiscalizadora.</w:t>
            </w:r>
          </w:p>
          <w:p w:rsidR="00674800" w:rsidRPr="00CF77DD" w:rsidRDefault="00674800" w:rsidP="001A46DD">
            <w:pPr>
              <w:jc w:val="both"/>
              <w:rPr>
                <w:rFonts w:ascii="Verdana" w:hAnsi="Verdana"/>
                <w:b/>
                <w:u w:val="single"/>
              </w:rPr>
            </w:pPr>
          </w:p>
          <w:p w:rsidR="00674800" w:rsidRPr="00CF77DD" w:rsidRDefault="00674800" w:rsidP="001A46DD">
            <w:pPr>
              <w:jc w:val="both"/>
              <w:rPr>
                <w:rFonts w:ascii="Verdana" w:hAnsi="Verdana"/>
              </w:rPr>
            </w:pPr>
            <w:r w:rsidRPr="00CF77DD">
              <w:rPr>
                <w:rFonts w:ascii="Verdana" w:hAnsi="Verdana"/>
              </w:rPr>
              <w:t>Por unanimidad</w:t>
            </w:r>
            <w:r>
              <w:rPr>
                <w:rFonts w:ascii="Verdana" w:hAnsi="Verdana"/>
              </w:rPr>
              <w:t xml:space="preserve"> de los votos computables,</w:t>
            </w:r>
            <w:r w:rsidRPr="00CF77DD">
              <w:rPr>
                <w:rFonts w:ascii="Verdana" w:hAnsi="Verdana"/>
              </w:rPr>
              <w:t xml:space="preserve"> se aprobaron las gestiones de los Directores y miembros de la Comisión Fiscalizadora por el tiempo que han permanecido en sus </w:t>
            </w:r>
            <w:r w:rsidR="00BA3CBD">
              <w:rPr>
                <w:rFonts w:ascii="Verdana" w:hAnsi="Verdana"/>
              </w:rPr>
              <w:t>cargos</w:t>
            </w:r>
            <w:r w:rsidRPr="00CF77DD">
              <w:rPr>
                <w:rFonts w:ascii="Verdana" w:hAnsi="Verdana"/>
              </w:rPr>
              <w:t>.</w:t>
            </w:r>
            <w:r>
              <w:rPr>
                <w:rFonts w:ascii="Verdana" w:hAnsi="Verdana"/>
              </w:rPr>
              <w:t xml:space="preserve"> </w:t>
            </w:r>
            <w:r w:rsidR="00BA3CBD">
              <w:rPr>
                <w:rFonts w:ascii="Verdana" w:hAnsi="Verdana"/>
              </w:rPr>
              <w:t>El</w:t>
            </w:r>
            <w:r>
              <w:rPr>
                <w:rFonts w:ascii="Verdana" w:hAnsi="Verdana"/>
              </w:rPr>
              <w:t xml:space="preserve"> Director</w:t>
            </w:r>
            <w:r w:rsidR="00BA3CBD">
              <w:rPr>
                <w:rFonts w:ascii="Verdana" w:hAnsi="Verdana"/>
              </w:rPr>
              <w:t xml:space="preserve"> Titular</w:t>
            </w:r>
            <w:r>
              <w:rPr>
                <w:rFonts w:ascii="Verdana" w:hAnsi="Verdana"/>
              </w:rPr>
              <w:t xml:space="preserve"> Guillermo Viegener, debido a su condición de accionista, se abstuv</w:t>
            </w:r>
            <w:r w:rsidR="00BA3CBD">
              <w:rPr>
                <w:rFonts w:ascii="Verdana" w:hAnsi="Verdana"/>
              </w:rPr>
              <w:t>o</w:t>
            </w:r>
            <w:r>
              <w:rPr>
                <w:rFonts w:ascii="Verdana" w:hAnsi="Verdana"/>
              </w:rPr>
              <w:t xml:space="preserve"> de votar personalmente a favor de la </w:t>
            </w:r>
            <w:r>
              <w:rPr>
                <w:rFonts w:ascii="Verdana" w:hAnsi="Verdana"/>
              </w:rPr>
              <w:lastRenderedPageBreak/>
              <w:t>aprobación de su propia gestión, pero vot</w:t>
            </w:r>
            <w:r w:rsidR="00BA3CBD">
              <w:rPr>
                <w:rFonts w:ascii="Verdana" w:hAnsi="Verdana"/>
              </w:rPr>
              <w:t>ó</w:t>
            </w:r>
            <w:r>
              <w:rPr>
                <w:rFonts w:ascii="Verdana" w:hAnsi="Verdana"/>
              </w:rPr>
              <w:t xml:space="preserve"> afirmativamente por </w:t>
            </w:r>
            <w:r w:rsidRPr="008A09E4">
              <w:rPr>
                <w:rFonts w:ascii="Verdana" w:hAnsi="Verdana"/>
              </w:rPr>
              <w:t>la aprobación de la gestión de los demás miembros del directorio y miembros de la Comisión Fiscalizadora</w:t>
            </w:r>
            <w:r>
              <w:rPr>
                <w:rFonts w:ascii="Verdana" w:hAnsi="Verdana"/>
              </w:rPr>
              <w:t>.</w:t>
            </w:r>
          </w:p>
          <w:p w:rsidR="00674800" w:rsidRPr="00CF77DD" w:rsidRDefault="00674800" w:rsidP="001A46DD">
            <w:pPr>
              <w:jc w:val="both"/>
              <w:rPr>
                <w:rFonts w:ascii="Verdana" w:hAnsi="Verdana"/>
                <w:b/>
                <w:u w:val="single"/>
              </w:rPr>
            </w:pPr>
          </w:p>
        </w:tc>
      </w:tr>
      <w:tr w:rsidR="00674800" w:rsidRPr="00CF77DD" w:rsidTr="001A46DD">
        <w:tc>
          <w:tcPr>
            <w:tcW w:w="637" w:type="dxa"/>
          </w:tcPr>
          <w:p w:rsidR="00674800" w:rsidRDefault="00674800" w:rsidP="001A46DD">
            <w:pPr>
              <w:jc w:val="both"/>
              <w:rPr>
                <w:rFonts w:ascii="Verdana" w:hAnsi="Verdana"/>
                <w:b/>
              </w:rPr>
            </w:pPr>
            <w:r>
              <w:rPr>
                <w:rFonts w:ascii="Verdana" w:hAnsi="Verdana"/>
                <w:b/>
              </w:rPr>
              <w:lastRenderedPageBreak/>
              <w:t>5</w:t>
            </w:r>
            <w:r w:rsidRPr="00CF77DD">
              <w:rPr>
                <w:rFonts w:ascii="Verdana" w:hAnsi="Verdana"/>
                <w:b/>
              </w:rPr>
              <w:t>.</w:t>
            </w:r>
          </w:p>
          <w:p w:rsidR="00BA3CBD" w:rsidRDefault="00BA3CBD" w:rsidP="001A46DD">
            <w:pPr>
              <w:jc w:val="both"/>
              <w:rPr>
                <w:rFonts w:ascii="Verdana" w:hAnsi="Verdana"/>
                <w:b/>
              </w:rPr>
            </w:pPr>
          </w:p>
          <w:p w:rsidR="00BA3CBD" w:rsidRDefault="00BA3CBD" w:rsidP="001A46DD">
            <w:pPr>
              <w:jc w:val="both"/>
              <w:rPr>
                <w:rFonts w:ascii="Verdana" w:hAnsi="Verdana"/>
                <w:b/>
              </w:rPr>
            </w:pPr>
          </w:p>
          <w:p w:rsidR="00BA3CBD" w:rsidRDefault="00BA3CBD" w:rsidP="001A46DD">
            <w:pPr>
              <w:jc w:val="both"/>
              <w:rPr>
                <w:rFonts w:ascii="Verdana" w:hAnsi="Verdana"/>
                <w:b/>
              </w:rPr>
            </w:pPr>
          </w:p>
          <w:p w:rsidR="00BA3CBD" w:rsidRDefault="00BA3CBD" w:rsidP="001A46DD">
            <w:pPr>
              <w:jc w:val="both"/>
              <w:rPr>
                <w:rFonts w:ascii="Verdana" w:hAnsi="Verdana"/>
                <w:b/>
              </w:rPr>
            </w:pPr>
          </w:p>
          <w:p w:rsidR="00BA3CBD" w:rsidRDefault="00BA3CBD" w:rsidP="001A46DD">
            <w:pPr>
              <w:jc w:val="both"/>
              <w:rPr>
                <w:rFonts w:ascii="Verdana" w:hAnsi="Verdana"/>
                <w:b/>
              </w:rPr>
            </w:pPr>
          </w:p>
          <w:p w:rsidR="00BA3CBD" w:rsidRDefault="00BA3CBD" w:rsidP="001A46DD">
            <w:pPr>
              <w:jc w:val="both"/>
              <w:rPr>
                <w:rFonts w:ascii="Verdana" w:hAnsi="Verdana"/>
                <w:b/>
              </w:rPr>
            </w:pPr>
          </w:p>
          <w:p w:rsidR="00BA3CBD" w:rsidRDefault="00BA3CBD" w:rsidP="001A46DD">
            <w:pPr>
              <w:jc w:val="both"/>
              <w:rPr>
                <w:rFonts w:ascii="Verdana" w:hAnsi="Verdana"/>
                <w:b/>
              </w:rPr>
            </w:pPr>
          </w:p>
          <w:p w:rsidR="00BA3CBD" w:rsidRDefault="00BA3CBD" w:rsidP="001A46DD">
            <w:pPr>
              <w:jc w:val="both"/>
              <w:rPr>
                <w:rFonts w:ascii="Verdana" w:hAnsi="Verdana"/>
                <w:b/>
              </w:rPr>
            </w:pPr>
          </w:p>
          <w:p w:rsidR="00BA3CBD" w:rsidRDefault="00BA3CBD" w:rsidP="001A46DD">
            <w:pPr>
              <w:jc w:val="both"/>
              <w:rPr>
                <w:rFonts w:ascii="Verdana" w:hAnsi="Verdana"/>
                <w:b/>
              </w:rPr>
            </w:pPr>
          </w:p>
          <w:p w:rsidR="00BA3CBD" w:rsidRDefault="00BA3CBD" w:rsidP="001A46DD">
            <w:pPr>
              <w:jc w:val="both"/>
              <w:rPr>
                <w:rFonts w:ascii="Verdana" w:hAnsi="Verdana"/>
                <w:b/>
              </w:rPr>
            </w:pPr>
          </w:p>
          <w:p w:rsidR="00BA3CBD" w:rsidRDefault="00BA3CBD" w:rsidP="001A46DD">
            <w:pPr>
              <w:jc w:val="both"/>
              <w:rPr>
                <w:rFonts w:ascii="Verdana" w:hAnsi="Verdana"/>
                <w:b/>
              </w:rPr>
            </w:pPr>
          </w:p>
          <w:p w:rsidR="00BA3CBD" w:rsidRDefault="00BA3CBD" w:rsidP="001A46DD">
            <w:pPr>
              <w:jc w:val="both"/>
              <w:rPr>
                <w:rFonts w:ascii="Verdana" w:hAnsi="Verdana"/>
                <w:b/>
              </w:rPr>
            </w:pPr>
          </w:p>
          <w:p w:rsidR="00BA3CBD" w:rsidRDefault="00BA3CBD" w:rsidP="001A46DD">
            <w:pPr>
              <w:jc w:val="both"/>
              <w:rPr>
                <w:rFonts w:ascii="Verdana" w:hAnsi="Verdana"/>
                <w:b/>
              </w:rPr>
            </w:pPr>
          </w:p>
          <w:p w:rsidR="00BA3CBD" w:rsidRDefault="00BA3CBD" w:rsidP="001A46DD">
            <w:pPr>
              <w:jc w:val="both"/>
              <w:rPr>
                <w:rFonts w:ascii="Verdana" w:hAnsi="Verdana"/>
                <w:b/>
              </w:rPr>
            </w:pPr>
          </w:p>
          <w:p w:rsidR="00BA3CBD" w:rsidRDefault="00BA3CBD" w:rsidP="001A46DD">
            <w:pPr>
              <w:jc w:val="both"/>
              <w:rPr>
                <w:rFonts w:ascii="Verdana" w:hAnsi="Verdana"/>
                <w:b/>
              </w:rPr>
            </w:pPr>
          </w:p>
          <w:p w:rsidR="00BA3CBD" w:rsidRDefault="00BA3CBD" w:rsidP="001A46DD">
            <w:pPr>
              <w:jc w:val="both"/>
              <w:rPr>
                <w:rFonts w:ascii="Verdana" w:hAnsi="Verdana"/>
                <w:b/>
              </w:rPr>
            </w:pPr>
          </w:p>
          <w:p w:rsidR="00BA3CBD" w:rsidRDefault="00BA3CBD" w:rsidP="001A46DD">
            <w:pPr>
              <w:jc w:val="both"/>
              <w:rPr>
                <w:rFonts w:ascii="Verdana" w:hAnsi="Verdana"/>
                <w:b/>
              </w:rPr>
            </w:pPr>
          </w:p>
          <w:p w:rsidR="00BA3CBD" w:rsidRDefault="00BA3CBD" w:rsidP="001A46DD">
            <w:pPr>
              <w:jc w:val="both"/>
              <w:rPr>
                <w:rFonts w:ascii="Verdana" w:hAnsi="Verdana"/>
                <w:b/>
              </w:rPr>
            </w:pPr>
          </w:p>
          <w:p w:rsidR="00BA3CBD" w:rsidRDefault="00BA3CBD" w:rsidP="001A46DD">
            <w:pPr>
              <w:jc w:val="both"/>
              <w:rPr>
                <w:rFonts w:ascii="Verdana" w:hAnsi="Verdana"/>
                <w:b/>
              </w:rPr>
            </w:pPr>
          </w:p>
          <w:p w:rsidR="00BA3CBD" w:rsidRDefault="00BA3CBD" w:rsidP="001A46DD">
            <w:pPr>
              <w:jc w:val="both"/>
              <w:rPr>
                <w:rFonts w:ascii="Verdana" w:hAnsi="Verdana"/>
                <w:b/>
              </w:rPr>
            </w:pPr>
          </w:p>
          <w:p w:rsidR="00BA3CBD" w:rsidRDefault="00BA3CBD" w:rsidP="001A46DD">
            <w:pPr>
              <w:jc w:val="both"/>
              <w:rPr>
                <w:rFonts w:ascii="Verdana" w:hAnsi="Verdana"/>
                <w:b/>
              </w:rPr>
            </w:pPr>
          </w:p>
          <w:p w:rsidR="00BA3CBD" w:rsidRDefault="00BA3CBD" w:rsidP="001A46DD">
            <w:pPr>
              <w:jc w:val="both"/>
              <w:rPr>
                <w:rFonts w:ascii="Verdana" w:hAnsi="Verdana"/>
                <w:b/>
              </w:rPr>
            </w:pPr>
          </w:p>
          <w:p w:rsidR="00BA3CBD" w:rsidRDefault="00BA3CBD" w:rsidP="001A46DD">
            <w:pPr>
              <w:jc w:val="both"/>
              <w:rPr>
                <w:rFonts w:ascii="Verdana" w:hAnsi="Verdana"/>
                <w:b/>
              </w:rPr>
            </w:pPr>
          </w:p>
          <w:p w:rsidR="00BA3CBD" w:rsidRPr="00CF77DD" w:rsidRDefault="00BA3CBD" w:rsidP="001A46DD">
            <w:pPr>
              <w:jc w:val="both"/>
              <w:rPr>
                <w:rFonts w:ascii="Verdana" w:hAnsi="Verdana"/>
                <w:b/>
              </w:rPr>
            </w:pPr>
            <w:r>
              <w:rPr>
                <w:rFonts w:ascii="Verdana" w:hAnsi="Verdana"/>
                <w:b/>
              </w:rPr>
              <w:t>6.</w:t>
            </w:r>
          </w:p>
        </w:tc>
        <w:tc>
          <w:tcPr>
            <w:tcW w:w="8364" w:type="dxa"/>
            <w:gridSpan w:val="2"/>
          </w:tcPr>
          <w:p w:rsidR="00674800" w:rsidRDefault="00BA3CBD" w:rsidP="001A46DD">
            <w:pPr>
              <w:jc w:val="both"/>
              <w:rPr>
                <w:rFonts w:ascii="Verdana" w:hAnsi="Verdana"/>
                <w:b/>
                <w:u w:val="single"/>
                <w:lang w:val="es-AR"/>
              </w:rPr>
            </w:pPr>
            <w:r w:rsidRPr="00BA3CBD">
              <w:rPr>
                <w:rFonts w:ascii="Verdana" w:hAnsi="Verdana"/>
                <w:b/>
                <w:u w:val="single"/>
                <w:lang w:val="es-AR"/>
              </w:rPr>
              <w:t>Consideración del destino del resultado positivo del ejercicio al 30 de junio de 2022 por la suma de $ 323.968.569.- Consideración de la reconstitución de la reserva legal en valores absolutos. Consideración de la propuesta del Directorio de distribuir dividendos en acciones por la suma de $ 58.000.000, equivalentes al 81,1983760 % del capital social. Consideración de la constitución de una reserva facultativa de libre disponibilidad</w:t>
            </w:r>
            <w:r w:rsidR="00674800">
              <w:rPr>
                <w:rFonts w:ascii="Verdana" w:hAnsi="Verdana"/>
                <w:b/>
                <w:u w:val="single"/>
                <w:lang w:val="es-AR"/>
              </w:rPr>
              <w:t>.</w:t>
            </w:r>
          </w:p>
          <w:p w:rsidR="00674800" w:rsidRPr="000809A2" w:rsidRDefault="00674800" w:rsidP="001A46DD">
            <w:pPr>
              <w:jc w:val="both"/>
              <w:rPr>
                <w:rFonts w:ascii="Verdana" w:hAnsi="Verdana"/>
                <w:b/>
                <w:u w:val="single"/>
                <w:lang w:val="es-AR"/>
              </w:rPr>
            </w:pPr>
          </w:p>
          <w:p w:rsidR="00674800" w:rsidRDefault="00BA3CBD" w:rsidP="001A46DD">
            <w:pPr>
              <w:pStyle w:val="Textoindependiente"/>
              <w:outlineLvl w:val="0"/>
              <w:rPr>
                <w:rFonts w:ascii="Verdana" w:hAnsi="Verdana"/>
                <w:sz w:val="20"/>
              </w:rPr>
            </w:pPr>
            <w:r>
              <w:rPr>
                <w:rFonts w:ascii="Verdana" w:hAnsi="Verdana"/>
                <w:sz w:val="20"/>
              </w:rPr>
              <w:t xml:space="preserve">Por unanimidad de </w:t>
            </w:r>
            <w:r w:rsidR="00674800">
              <w:rPr>
                <w:rFonts w:ascii="Verdana" w:hAnsi="Verdana"/>
                <w:sz w:val="20"/>
              </w:rPr>
              <w:t>los votos presentes</w:t>
            </w:r>
            <w:r>
              <w:rPr>
                <w:rFonts w:ascii="Verdana" w:hAnsi="Verdana"/>
                <w:sz w:val="20"/>
              </w:rPr>
              <w:t>, se resolvió darle el siguiente tratamiento</w:t>
            </w:r>
            <w:r w:rsidR="00674800">
              <w:rPr>
                <w:rFonts w:ascii="Verdana" w:hAnsi="Verdana"/>
                <w:sz w:val="20"/>
              </w:rPr>
              <w:t xml:space="preserve"> </w:t>
            </w:r>
            <w:r>
              <w:rPr>
                <w:rFonts w:ascii="Verdana" w:hAnsi="Verdana"/>
                <w:sz w:val="20"/>
              </w:rPr>
              <w:t>a la ganancia del ejercicio (</w:t>
            </w:r>
            <w:proofErr w:type="spellStart"/>
            <w:r>
              <w:rPr>
                <w:rFonts w:ascii="Verdana" w:hAnsi="Verdana"/>
                <w:sz w:val="20"/>
              </w:rPr>
              <w:t>reexpresada</w:t>
            </w:r>
            <w:proofErr w:type="spellEnd"/>
            <w:r>
              <w:rPr>
                <w:rFonts w:ascii="Verdana" w:hAnsi="Verdana"/>
                <w:sz w:val="20"/>
              </w:rPr>
              <w:t xml:space="preserve"> al 30.09.202</w:t>
            </w:r>
            <w:r w:rsidR="001B2325">
              <w:rPr>
                <w:rFonts w:ascii="Verdana" w:hAnsi="Verdana"/>
                <w:sz w:val="20"/>
              </w:rPr>
              <w:t>2</w:t>
            </w:r>
            <w:r>
              <w:rPr>
                <w:rFonts w:ascii="Verdana" w:hAnsi="Verdana"/>
                <w:sz w:val="20"/>
              </w:rPr>
              <w:t xml:space="preserve">), </w:t>
            </w:r>
            <w:r w:rsidRPr="00BA3CBD">
              <w:rPr>
                <w:rFonts w:ascii="Verdana" w:hAnsi="Verdana"/>
                <w:sz w:val="20"/>
              </w:rPr>
              <w:t xml:space="preserve">por la suma de $ 395.165.540: (i) destinar la suma de $ 161.300.315, a la recomposición de la Reserva Legal a valores absolutos, la cual representa el tope legal del 20 % del capital social ajustado, de acuerdo a lo dispuesto por el art. 70 de la Ley 19.550; (ii) destinar la suma de $ 58.000.000.- a la distribución de dividendos en acciones, que representa el 81,1983760 % sobre el capital social nominal, la cual se considera adecuada habiendo analizado las necesidades financieras de la Compañía requeridas para llevar adelante las inversiones programadas, así como los requerimientos propios del giro presentes y futuros; y (iii) destinar el saldo del resultado </w:t>
            </w:r>
            <w:proofErr w:type="spellStart"/>
            <w:r w:rsidRPr="00BA3CBD">
              <w:rPr>
                <w:rFonts w:ascii="Verdana" w:hAnsi="Verdana"/>
                <w:sz w:val="20"/>
              </w:rPr>
              <w:t>reexpresado</w:t>
            </w:r>
            <w:proofErr w:type="spellEnd"/>
            <w:r w:rsidRPr="00BA3CBD">
              <w:rPr>
                <w:rFonts w:ascii="Verdana" w:hAnsi="Verdana"/>
                <w:sz w:val="20"/>
              </w:rPr>
              <w:t xml:space="preserve"> del ejercicio, por la suma de $ 175.865.225.-, a incrementar la reserva facultativa de libre disponibilidad para atender a necesidades de capital de trabajo, futuras inversiones y futuras distribuciones de dividendos</w:t>
            </w:r>
            <w:r w:rsidR="00674800">
              <w:rPr>
                <w:rFonts w:ascii="Verdana" w:hAnsi="Verdana"/>
                <w:sz w:val="20"/>
              </w:rPr>
              <w:t xml:space="preserve">. </w:t>
            </w:r>
          </w:p>
          <w:p w:rsidR="00BA3CBD" w:rsidRDefault="00BA3CBD" w:rsidP="001A46DD">
            <w:pPr>
              <w:pStyle w:val="Textoindependiente"/>
              <w:outlineLvl w:val="0"/>
              <w:rPr>
                <w:rFonts w:ascii="Verdana" w:hAnsi="Verdana"/>
                <w:sz w:val="20"/>
              </w:rPr>
            </w:pPr>
          </w:p>
          <w:p w:rsidR="00BA3CBD" w:rsidRDefault="00BA3CBD" w:rsidP="001A46DD">
            <w:pPr>
              <w:pStyle w:val="Textoindependiente"/>
              <w:outlineLvl w:val="0"/>
              <w:rPr>
                <w:rFonts w:ascii="Verdana" w:hAnsi="Verdana"/>
                <w:sz w:val="20"/>
              </w:rPr>
            </w:pPr>
          </w:p>
          <w:p w:rsidR="00BA3CBD" w:rsidRDefault="00BA3CBD" w:rsidP="001A46DD">
            <w:pPr>
              <w:pStyle w:val="Textoindependiente"/>
              <w:outlineLvl w:val="0"/>
              <w:rPr>
                <w:rFonts w:ascii="Verdana" w:hAnsi="Verdana"/>
                <w:b/>
                <w:sz w:val="20"/>
                <w:u w:val="single"/>
                <w:lang w:val="es-ES"/>
              </w:rPr>
            </w:pPr>
            <w:r w:rsidRPr="00BA3CBD">
              <w:rPr>
                <w:rFonts w:ascii="Verdana" w:hAnsi="Verdana"/>
                <w:b/>
                <w:sz w:val="20"/>
                <w:u w:val="single"/>
                <w:lang w:val="es-ES"/>
              </w:rPr>
              <w:t>Aumento de capital y emisión de acciones, si correspondiere, de acuerdo con los resuelto en el punto anterior</w:t>
            </w:r>
            <w:r>
              <w:rPr>
                <w:rFonts w:ascii="Verdana" w:hAnsi="Verdana"/>
                <w:b/>
                <w:sz w:val="20"/>
                <w:u w:val="single"/>
                <w:lang w:val="es-ES"/>
              </w:rPr>
              <w:t>.</w:t>
            </w:r>
          </w:p>
          <w:p w:rsidR="00BA3CBD" w:rsidRDefault="00BA3CBD" w:rsidP="001A46DD">
            <w:pPr>
              <w:pStyle w:val="Textoindependiente"/>
              <w:outlineLvl w:val="0"/>
              <w:rPr>
                <w:rFonts w:ascii="Verdana" w:hAnsi="Verdana"/>
                <w:b/>
                <w:sz w:val="20"/>
                <w:u w:val="single"/>
                <w:lang w:val="es-ES"/>
              </w:rPr>
            </w:pPr>
          </w:p>
          <w:p w:rsidR="00BA3CBD" w:rsidRPr="00BA3CBD" w:rsidRDefault="00BA3CBD" w:rsidP="001A46DD">
            <w:pPr>
              <w:pStyle w:val="Textoindependiente"/>
              <w:outlineLvl w:val="0"/>
              <w:rPr>
                <w:rFonts w:ascii="Verdana" w:hAnsi="Verdana"/>
                <w:sz w:val="20"/>
              </w:rPr>
            </w:pPr>
            <w:r>
              <w:rPr>
                <w:rFonts w:ascii="Verdana" w:hAnsi="Verdana"/>
                <w:sz w:val="20"/>
                <w:lang w:val="es-ES"/>
              </w:rPr>
              <w:t>Por unanimidad de los votos presentes, y h</w:t>
            </w:r>
            <w:r w:rsidRPr="00BA3CBD">
              <w:rPr>
                <w:rFonts w:ascii="Verdana" w:hAnsi="Verdana"/>
                <w:sz w:val="20"/>
                <w:lang w:val="es-ES"/>
              </w:rPr>
              <w:t>abiéndose aprobado la distribución de dividendos en acciones en el anterior punto del Orden del Día</w:t>
            </w:r>
            <w:r>
              <w:rPr>
                <w:rFonts w:ascii="Verdana" w:hAnsi="Verdana"/>
                <w:sz w:val="20"/>
                <w:lang w:val="es-ES"/>
              </w:rPr>
              <w:t xml:space="preserve">, se resolvió </w:t>
            </w:r>
            <w:r w:rsidRPr="00BA3CBD">
              <w:rPr>
                <w:rFonts w:ascii="Verdana" w:hAnsi="Verdana"/>
                <w:sz w:val="20"/>
                <w:lang w:val="es-ES"/>
              </w:rPr>
              <w:t>aumentar el capital social en la suma de $ 58.000.000, de la suma de $ 71.430.000 a la suma de $ 129.430.000, mediante la capitalización de la suma de $ 58.000.000 y consecuente emisión de 58.000.000 de acciones liberadas, ordinarias, escriturales, de valor nominal $1 cada una, de clase “B”, con derecho a un voto cada acción, todas con derecho a la percepción de dividendos desde el 1° de julio de 2022, con el destino antes mencionado, representando el referido aumento el 81,1983760 % del capital social previo al aumento. Como consecuencia de</w:t>
            </w:r>
            <w:r w:rsidR="00D60276">
              <w:rPr>
                <w:rFonts w:ascii="Verdana" w:hAnsi="Verdana"/>
                <w:sz w:val="20"/>
                <w:lang w:val="es-ES"/>
              </w:rPr>
              <w:t>l aumento aprobado</w:t>
            </w:r>
            <w:r w:rsidRPr="00BA3CBD">
              <w:rPr>
                <w:rFonts w:ascii="Verdana" w:hAnsi="Verdana"/>
                <w:sz w:val="20"/>
                <w:lang w:val="es-ES"/>
              </w:rPr>
              <w:t>, el capital social se ele</w:t>
            </w:r>
            <w:r w:rsidR="00D60276">
              <w:rPr>
                <w:rFonts w:ascii="Verdana" w:hAnsi="Verdana"/>
                <w:sz w:val="20"/>
                <w:lang w:val="es-ES"/>
              </w:rPr>
              <w:t>vó</w:t>
            </w:r>
            <w:r w:rsidRPr="00BA3CBD">
              <w:rPr>
                <w:rFonts w:ascii="Verdana" w:hAnsi="Verdana"/>
                <w:sz w:val="20"/>
                <w:lang w:val="es-ES"/>
              </w:rPr>
              <w:t xml:space="preserve"> a la suma de $ 129.430.000, representado por idéntica cantidad de acciones escriturales, de las cuales 15 s</w:t>
            </w:r>
            <w:r w:rsidR="00D60276">
              <w:rPr>
                <w:rFonts w:ascii="Verdana" w:hAnsi="Verdana"/>
                <w:sz w:val="20"/>
                <w:lang w:val="es-ES"/>
              </w:rPr>
              <w:t>on</w:t>
            </w:r>
            <w:r w:rsidRPr="00BA3CBD">
              <w:rPr>
                <w:rFonts w:ascii="Verdana" w:hAnsi="Verdana"/>
                <w:sz w:val="20"/>
                <w:lang w:val="es-ES"/>
              </w:rPr>
              <w:t xml:space="preserve"> acciones clase A, de valor nominal $ 1 cada una y con derecho a 5 votos por acción y 129.429.985 s</w:t>
            </w:r>
            <w:r w:rsidR="00D60276">
              <w:rPr>
                <w:rFonts w:ascii="Verdana" w:hAnsi="Verdana"/>
                <w:sz w:val="20"/>
                <w:lang w:val="es-ES"/>
              </w:rPr>
              <w:t>on</w:t>
            </w:r>
            <w:r w:rsidRPr="00BA3CBD">
              <w:rPr>
                <w:rFonts w:ascii="Verdana" w:hAnsi="Verdana"/>
                <w:sz w:val="20"/>
                <w:lang w:val="es-ES"/>
              </w:rPr>
              <w:t xml:space="preserve"> acciones clase B, de valor nominal $ 1 cada una y con derecho a 1 voto por acción</w:t>
            </w:r>
          </w:p>
          <w:p w:rsidR="00674800" w:rsidRPr="00CF77DD" w:rsidRDefault="00674800" w:rsidP="001A46DD">
            <w:pPr>
              <w:pStyle w:val="Textoindependiente"/>
              <w:outlineLvl w:val="0"/>
              <w:rPr>
                <w:rFonts w:ascii="Verdana" w:hAnsi="Verdana"/>
                <w:b/>
                <w:u w:val="single"/>
              </w:rPr>
            </w:pPr>
          </w:p>
        </w:tc>
      </w:tr>
      <w:tr w:rsidR="00674800" w:rsidRPr="00CF77DD" w:rsidTr="001A46DD">
        <w:tc>
          <w:tcPr>
            <w:tcW w:w="637" w:type="dxa"/>
          </w:tcPr>
          <w:p w:rsidR="00674800" w:rsidRPr="00CF77DD" w:rsidRDefault="00D60276" w:rsidP="001A46DD">
            <w:pPr>
              <w:jc w:val="both"/>
              <w:rPr>
                <w:rFonts w:ascii="Verdana" w:hAnsi="Verdana"/>
                <w:b/>
              </w:rPr>
            </w:pPr>
            <w:r>
              <w:rPr>
                <w:rFonts w:ascii="Verdana" w:hAnsi="Verdana"/>
                <w:b/>
              </w:rPr>
              <w:t>7</w:t>
            </w:r>
            <w:r w:rsidR="00674800" w:rsidRPr="00CF77DD">
              <w:rPr>
                <w:rFonts w:ascii="Verdana" w:hAnsi="Verdana"/>
                <w:b/>
              </w:rPr>
              <w:t>.</w:t>
            </w:r>
          </w:p>
        </w:tc>
        <w:tc>
          <w:tcPr>
            <w:tcW w:w="8364" w:type="dxa"/>
            <w:gridSpan w:val="2"/>
          </w:tcPr>
          <w:p w:rsidR="00674800" w:rsidRDefault="00D60276" w:rsidP="001A46DD">
            <w:pPr>
              <w:jc w:val="both"/>
              <w:rPr>
                <w:rFonts w:ascii="Verdana" w:hAnsi="Verdana"/>
                <w:b/>
                <w:u w:val="single"/>
              </w:rPr>
            </w:pPr>
            <w:r w:rsidRPr="00D60276">
              <w:rPr>
                <w:rFonts w:ascii="Verdana" w:hAnsi="Verdana"/>
                <w:b/>
                <w:u w:val="single"/>
              </w:rPr>
              <w:t>Consideración de las remuneraciones al directorio ($ 23.741.347) correspondientes al ejercicio económico finalizado el 30.06.2022, las cuales representan el 11,02 % sobre la ganancia computable del ejercicio</w:t>
            </w:r>
            <w:r w:rsidR="00674800">
              <w:rPr>
                <w:rFonts w:ascii="Verdana" w:hAnsi="Verdana"/>
                <w:b/>
                <w:u w:val="single"/>
              </w:rPr>
              <w:t>.</w:t>
            </w:r>
          </w:p>
          <w:p w:rsidR="00674800" w:rsidRPr="00CF77DD" w:rsidRDefault="00674800" w:rsidP="001A46DD">
            <w:pPr>
              <w:jc w:val="both"/>
              <w:rPr>
                <w:rFonts w:ascii="Verdana" w:hAnsi="Verdana"/>
              </w:rPr>
            </w:pPr>
          </w:p>
          <w:p w:rsidR="00674800" w:rsidRPr="00CF77DD" w:rsidRDefault="00674800" w:rsidP="001A46DD">
            <w:pPr>
              <w:jc w:val="both"/>
              <w:rPr>
                <w:rFonts w:ascii="Verdana" w:hAnsi="Verdana"/>
              </w:rPr>
            </w:pPr>
            <w:r w:rsidRPr="00CF77DD">
              <w:rPr>
                <w:rFonts w:ascii="Verdana" w:hAnsi="Verdana"/>
              </w:rPr>
              <w:t>Por unanimidad</w:t>
            </w:r>
            <w:r>
              <w:rPr>
                <w:rFonts w:ascii="Verdana" w:hAnsi="Verdana"/>
              </w:rPr>
              <w:t xml:space="preserve"> de los votos computables,</w:t>
            </w:r>
            <w:r w:rsidRPr="00CF77DD">
              <w:rPr>
                <w:rFonts w:ascii="Verdana" w:hAnsi="Verdana"/>
              </w:rPr>
              <w:t xml:space="preserve"> se</w:t>
            </w:r>
            <w:r>
              <w:rPr>
                <w:rFonts w:ascii="Verdana" w:hAnsi="Verdana"/>
              </w:rPr>
              <w:t xml:space="preserve"> resolvió aprobar </w:t>
            </w:r>
            <w:r w:rsidR="00D60276">
              <w:rPr>
                <w:rFonts w:ascii="Verdana" w:hAnsi="Verdana"/>
              </w:rPr>
              <w:t xml:space="preserve">la propuesta de </w:t>
            </w:r>
            <w:r w:rsidR="00D60276" w:rsidRPr="00D60276">
              <w:rPr>
                <w:rFonts w:ascii="Verdana" w:hAnsi="Verdana"/>
              </w:rPr>
              <w:t xml:space="preserve"> honorarios al Directorio</w:t>
            </w:r>
            <w:r w:rsidR="00D60276">
              <w:rPr>
                <w:rFonts w:ascii="Verdana" w:hAnsi="Verdana"/>
              </w:rPr>
              <w:t xml:space="preserve"> informada en la Memoria, por</w:t>
            </w:r>
            <w:r w:rsidR="00D60276" w:rsidRPr="00D60276">
              <w:rPr>
                <w:rFonts w:ascii="Verdana" w:hAnsi="Verdana"/>
              </w:rPr>
              <w:t xml:space="preserve"> la suma de $ 5.000.000</w:t>
            </w:r>
            <w:r w:rsidR="00D60276">
              <w:rPr>
                <w:rFonts w:ascii="Verdana" w:hAnsi="Verdana"/>
              </w:rPr>
              <w:t>,</w:t>
            </w:r>
            <w:r w:rsidR="00D60276" w:rsidRPr="00D60276">
              <w:rPr>
                <w:rFonts w:ascii="Verdana" w:hAnsi="Verdana"/>
              </w:rPr>
              <w:t xml:space="preserve"> </w:t>
            </w:r>
            <w:r w:rsidR="00D60276">
              <w:rPr>
                <w:rFonts w:ascii="Verdana" w:hAnsi="Verdana"/>
              </w:rPr>
              <w:t>como así también las remuneraciones percibidas por</w:t>
            </w:r>
            <w:r w:rsidR="00D60276" w:rsidRPr="00D60276">
              <w:rPr>
                <w:rFonts w:ascii="Verdana" w:hAnsi="Verdana"/>
              </w:rPr>
              <w:t xml:space="preserve"> el Sr. Director Titular Alejandro Ketelhohn</w:t>
            </w:r>
            <w:r w:rsidR="00D60276">
              <w:rPr>
                <w:rFonts w:ascii="Verdana" w:hAnsi="Verdana"/>
              </w:rPr>
              <w:t xml:space="preserve"> </w:t>
            </w:r>
            <w:r w:rsidR="00D60276" w:rsidRPr="00D60276">
              <w:rPr>
                <w:rFonts w:ascii="Verdana" w:hAnsi="Verdana"/>
              </w:rPr>
              <w:t>en relación de dependencia por sus funciones ejecutivas</w:t>
            </w:r>
            <w:r w:rsidR="00D60276">
              <w:rPr>
                <w:rFonts w:ascii="Verdana" w:hAnsi="Verdana"/>
              </w:rPr>
              <w:t>,</w:t>
            </w:r>
            <w:r w:rsidR="00D60276" w:rsidRPr="00D60276">
              <w:rPr>
                <w:rFonts w:ascii="Verdana" w:hAnsi="Verdana"/>
              </w:rPr>
              <w:t xml:space="preserve"> </w:t>
            </w:r>
            <w:r w:rsidR="00D60276">
              <w:rPr>
                <w:rFonts w:ascii="Verdana" w:hAnsi="Verdana"/>
              </w:rPr>
              <w:t>en el</w:t>
            </w:r>
            <w:r w:rsidR="00D60276" w:rsidRPr="00D60276">
              <w:rPr>
                <w:rFonts w:ascii="Verdana" w:hAnsi="Verdana"/>
              </w:rPr>
              <w:t xml:space="preserve"> transcurso del ejercicio comercial considerado, por la suma de $ 18.741.347 (</w:t>
            </w:r>
            <w:proofErr w:type="spellStart"/>
            <w:r w:rsidR="00D60276" w:rsidRPr="00D60276">
              <w:rPr>
                <w:rFonts w:ascii="Verdana" w:hAnsi="Verdana"/>
              </w:rPr>
              <w:t>reexpresadas</w:t>
            </w:r>
            <w:proofErr w:type="spellEnd"/>
            <w:r w:rsidR="00D60276" w:rsidRPr="00D60276">
              <w:rPr>
                <w:rFonts w:ascii="Verdana" w:hAnsi="Verdana"/>
              </w:rPr>
              <w:t xml:space="preserve"> en moneda homogénea al cierre del ejercicio). La asignación total representa el 11,02 % sobre la ganancia computable del ejercicio cerrado, en base a los saldos que surgen de los estados financieros anuales al 30.06.2022, por lo que se encuentra dentro de los parámetros de remuneraciones al directorio y al consejo de vigilancia, sobre el porcentaje de distribución de dividendos previstos en las Normas de la CNV (N.T. 2013)</w:t>
            </w:r>
            <w:r>
              <w:rPr>
                <w:rFonts w:ascii="Verdana" w:hAnsi="Verdana"/>
              </w:rPr>
              <w:t xml:space="preserve">. </w:t>
            </w:r>
            <w:r w:rsidR="00D60276">
              <w:rPr>
                <w:rFonts w:ascii="Verdana" w:hAnsi="Verdana"/>
              </w:rPr>
              <w:t xml:space="preserve">El Directo Titular </w:t>
            </w:r>
            <w:r w:rsidRPr="001A73AE">
              <w:rPr>
                <w:rFonts w:ascii="Verdana" w:hAnsi="Verdana"/>
              </w:rPr>
              <w:lastRenderedPageBreak/>
              <w:t>Guillermo Viegener, debido a su condición de accionista, se abstuv</w:t>
            </w:r>
            <w:r w:rsidR="00D60276">
              <w:rPr>
                <w:rFonts w:ascii="Verdana" w:hAnsi="Verdana"/>
              </w:rPr>
              <w:t>o</w:t>
            </w:r>
            <w:r w:rsidRPr="001A73AE">
              <w:rPr>
                <w:rFonts w:ascii="Verdana" w:hAnsi="Verdana"/>
              </w:rPr>
              <w:t xml:space="preserve"> de votar </w:t>
            </w:r>
            <w:r>
              <w:rPr>
                <w:rFonts w:ascii="Verdana" w:hAnsi="Verdana"/>
              </w:rPr>
              <w:t xml:space="preserve">en este punto. </w:t>
            </w:r>
          </w:p>
          <w:p w:rsidR="00674800" w:rsidRPr="00CF77DD" w:rsidRDefault="00674800" w:rsidP="001A46DD">
            <w:pPr>
              <w:jc w:val="both"/>
              <w:rPr>
                <w:rFonts w:ascii="Verdana" w:hAnsi="Verdana"/>
                <w:u w:val="single"/>
              </w:rPr>
            </w:pPr>
          </w:p>
        </w:tc>
      </w:tr>
      <w:tr w:rsidR="00674800" w:rsidRPr="00CF77DD" w:rsidTr="001A46DD">
        <w:tc>
          <w:tcPr>
            <w:tcW w:w="637" w:type="dxa"/>
          </w:tcPr>
          <w:p w:rsidR="00674800" w:rsidRPr="00CF77DD" w:rsidRDefault="00674800" w:rsidP="001A46DD">
            <w:pPr>
              <w:jc w:val="both"/>
              <w:rPr>
                <w:rFonts w:ascii="Verdana" w:hAnsi="Verdana"/>
                <w:b/>
              </w:rPr>
            </w:pPr>
          </w:p>
        </w:tc>
        <w:tc>
          <w:tcPr>
            <w:tcW w:w="8364" w:type="dxa"/>
            <w:gridSpan w:val="2"/>
          </w:tcPr>
          <w:p w:rsidR="00674800" w:rsidRDefault="00674800" w:rsidP="001A46DD">
            <w:pPr>
              <w:jc w:val="both"/>
              <w:rPr>
                <w:rFonts w:ascii="Verdana" w:hAnsi="Verdana"/>
                <w:u w:val="single"/>
              </w:rPr>
            </w:pPr>
          </w:p>
          <w:p w:rsidR="00674800" w:rsidRPr="00CF77DD" w:rsidRDefault="00674800" w:rsidP="001A46DD">
            <w:pPr>
              <w:jc w:val="both"/>
              <w:rPr>
                <w:rFonts w:ascii="Verdana" w:hAnsi="Verdana"/>
                <w:u w:val="single"/>
              </w:rPr>
            </w:pPr>
          </w:p>
        </w:tc>
      </w:tr>
      <w:tr w:rsidR="00674800" w:rsidRPr="00CF77DD" w:rsidTr="001A46DD">
        <w:tc>
          <w:tcPr>
            <w:tcW w:w="637" w:type="dxa"/>
          </w:tcPr>
          <w:p w:rsidR="00674800" w:rsidRDefault="00674800" w:rsidP="001A46DD">
            <w:pPr>
              <w:jc w:val="both"/>
              <w:rPr>
                <w:rFonts w:ascii="Verdana" w:hAnsi="Verdana"/>
                <w:b/>
              </w:rPr>
            </w:pPr>
          </w:p>
          <w:p w:rsidR="00674800" w:rsidRPr="00CF77DD" w:rsidRDefault="00D60276" w:rsidP="001A46DD">
            <w:pPr>
              <w:jc w:val="both"/>
              <w:rPr>
                <w:rFonts w:ascii="Verdana" w:hAnsi="Verdana"/>
                <w:b/>
              </w:rPr>
            </w:pPr>
            <w:r>
              <w:rPr>
                <w:rFonts w:ascii="Verdana" w:hAnsi="Verdana"/>
                <w:b/>
              </w:rPr>
              <w:t>8</w:t>
            </w:r>
            <w:r w:rsidR="00674800">
              <w:rPr>
                <w:rFonts w:ascii="Verdana" w:hAnsi="Verdana"/>
                <w:b/>
              </w:rPr>
              <w:t>.</w:t>
            </w:r>
          </w:p>
        </w:tc>
        <w:tc>
          <w:tcPr>
            <w:tcW w:w="8364" w:type="dxa"/>
            <w:gridSpan w:val="2"/>
          </w:tcPr>
          <w:p w:rsidR="00674800" w:rsidRDefault="00674800" w:rsidP="001A46DD">
            <w:pPr>
              <w:jc w:val="both"/>
              <w:rPr>
                <w:rFonts w:ascii="Verdana" w:hAnsi="Verdana"/>
                <w:b/>
                <w:u w:val="single"/>
              </w:rPr>
            </w:pPr>
          </w:p>
          <w:p w:rsidR="00674800" w:rsidRPr="001A73AE" w:rsidRDefault="00674800" w:rsidP="001A46DD">
            <w:pPr>
              <w:jc w:val="both"/>
              <w:rPr>
                <w:rFonts w:ascii="Verdana" w:hAnsi="Verdana"/>
                <w:b/>
              </w:rPr>
            </w:pPr>
            <w:r w:rsidRPr="00CF77DD">
              <w:rPr>
                <w:rFonts w:ascii="Verdana" w:hAnsi="Verdana"/>
                <w:b/>
                <w:u w:val="single"/>
              </w:rPr>
              <w:t>Elección de los miembros de la Comisión Fiscalizadora.</w:t>
            </w:r>
          </w:p>
        </w:tc>
      </w:tr>
      <w:tr w:rsidR="00674800" w:rsidRPr="00CF77DD" w:rsidTr="001A46DD">
        <w:tc>
          <w:tcPr>
            <w:tcW w:w="637" w:type="dxa"/>
          </w:tcPr>
          <w:p w:rsidR="00674800" w:rsidRPr="00CF77DD" w:rsidRDefault="00674800" w:rsidP="001A46DD">
            <w:pPr>
              <w:jc w:val="both"/>
              <w:rPr>
                <w:rFonts w:ascii="Verdana" w:hAnsi="Verdana"/>
                <w:b/>
              </w:rPr>
            </w:pPr>
          </w:p>
        </w:tc>
        <w:tc>
          <w:tcPr>
            <w:tcW w:w="8364" w:type="dxa"/>
            <w:gridSpan w:val="2"/>
          </w:tcPr>
          <w:p w:rsidR="00674800" w:rsidRPr="00CF77DD" w:rsidRDefault="00674800" w:rsidP="001A46DD">
            <w:pPr>
              <w:jc w:val="both"/>
              <w:rPr>
                <w:rFonts w:ascii="Verdana" w:hAnsi="Verdana"/>
              </w:rPr>
            </w:pPr>
          </w:p>
          <w:p w:rsidR="00674800" w:rsidRPr="00CF77DD" w:rsidRDefault="00674800" w:rsidP="001A46DD">
            <w:pPr>
              <w:pStyle w:val="Textoindependiente"/>
              <w:rPr>
                <w:rFonts w:ascii="Verdana" w:hAnsi="Verdana"/>
                <w:sz w:val="20"/>
                <w:lang w:val="es-ES"/>
              </w:rPr>
            </w:pPr>
            <w:r w:rsidRPr="00CF77DD">
              <w:rPr>
                <w:rFonts w:ascii="Verdana" w:hAnsi="Verdana"/>
                <w:sz w:val="20"/>
                <w:lang w:val="es-ES"/>
              </w:rPr>
              <w:t xml:space="preserve">Por unanimidad </w:t>
            </w:r>
            <w:r>
              <w:rPr>
                <w:rFonts w:ascii="Verdana" w:hAnsi="Verdana"/>
                <w:sz w:val="20"/>
                <w:lang w:val="es-ES"/>
              </w:rPr>
              <w:t xml:space="preserve">de los votos presentes </w:t>
            </w:r>
            <w:r w:rsidRPr="00CF77DD">
              <w:rPr>
                <w:rFonts w:ascii="Verdana" w:hAnsi="Verdana"/>
                <w:sz w:val="20"/>
                <w:lang w:val="es-ES"/>
              </w:rPr>
              <w:t xml:space="preserve">se resolvió: (i) Designar como miembros titulares por el plazo estatutario de un ejercicio a los Doctores: Cecilia Cook, </w:t>
            </w:r>
            <w:r>
              <w:rPr>
                <w:rFonts w:ascii="Verdana" w:hAnsi="Verdana"/>
                <w:sz w:val="20"/>
                <w:lang w:val="es-ES"/>
              </w:rPr>
              <w:t xml:space="preserve">Christian Richter </w:t>
            </w:r>
            <w:r w:rsidRPr="00CF77DD">
              <w:rPr>
                <w:rFonts w:ascii="Verdana" w:hAnsi="Verdana"/>
                <w:sz w:val="20"/>
                <w:lang w:val="es-ES"/>
              </w:rPr>
              <w:t>y</w:t>
            </w:r>
            <w:r>
              <w:rPr>
                <w:rFonts w:ascii="Verdana" w:hAnsi="Verdana"/>
                <w:sz w:val="20"/>
                <w:lang w:val="es-ES"/>
              </w:rPr>
              <w:t xml:space="preserve"> Jaime Hunter</w:t>
            </w:r>
            <w:r w:rsidRPr="00CF77DD">
              <w:rPr>
                <w:rFonts w:ascii="Verdana" w:hAnsi="Verdana"/>
                <w:sz w:val="20"/>
                <w:lang w:val="es-ES"/>
              </w:rPr>
              <w:t>; y (ii) Designar como miembros suplentes</w:t>
            </w:r>
            <w:r w:rsidR="009F334E">
              <w:rPr>
                <w:rFonts w:ascii="Verdana" w:hAnsi="Verdana"/>
                <w:sz w:val="20"/>
                <w:lang w:val="es-ES"/>
              </w:rPr>
              <w:t>, por igual período</w:t>
            </w:r>
            <w:r w:rsidRPr="00CF77DD">
              <w:rPr>
                <w:rFonts w:ascii="Verdana" w:hAnsi="Verdana"/>
                <w:sz w:val="20"/>
                <w:lang w:val="es-ES"/>
              </w:rPr>
              <w:t xml:space="preserve">, a los Doctores: Pablo Hernán Miguens, </w:t>
            </w:r>
            <w:r>
              <w:rPr>
                <w:rFonts w:ascii="Verdana" w:hAnsi="Verdana"/>
                <w:sz w:val="20"/>
                <w:lang w:val="es-ES"/>
              </w:rPr>
              <w:t xml:space="preserve">Tomás </w:t>
            </w:r>
            <w:proofErr w:type="spellStart"/>
            <w:r>
              <w:rPr>
                <w:rFonts w:ascii="Verdana" w:hAnsi="Verdana"/>
                <w:sz w:val="20"/>
                <w:lang w:val="es-ES"/>
              </w:rPr>
              <w:t>Arecha</w:t>
            </w:r>
            <w:proofErr w:type="spellEnd"/>
            <w:r w:rsidRPr="00CF77DD">
              <w:rPr>
                <w:rFonts w:ascii="Verdana" w:hAnsi="Verdana"/>
                <w:sz w:val="20"/>
                <w:lang w:val="es-ES"/>
              </w:rPr>
              <w:t xml:space="preserve"> y </w:t>
            </w:r>
            <w:r>
              <w:rPr>
                <w:rFonts w:ascii="Verdana" w:hAnsi="Verdana"/>
                <w:sz w:val="20"/>
                <w:lang w:val="es-ES"/>
              </w:rPr>
              <w:t xml:space="preserve">Adriana C. </w:t>
            </w:r>
            <w:proofErr w:type="spellStart"/>
            <w:r>
              <w:rPr>
                <w:rFonts w:ascii="Verdana" w:hAnsi="Verdana"/>
                <w:sz w:val="20"/>
                <w:lang w:val="es-ES"/>
              </w:rPr>
              <w:t>Blanc</w:t>
            </w:r>
            <w:proofErr w:type="spellEnd"/>
            <w:r w:rsidRPr="00CF77DD">
              <w:rPr>
                <w:rFonts w:ascii="Verdana" w:hAnsi="Verdana"/>
                <w:sz w:val="20"/>
                <w:lang w:val="es-ES"/>
              </w:rPr>
              <w:t xml:space="preserve">. </w:t>
            </w:r>
          </w:p>
          <w:p w:rsidR="00674800" w:rsidRPr="00CF77DD" w:rsidRDefault="00674800" w:rsidP="001A46DD">
            <w:pPr>
              <w:jc w:val="both"/>
              <w:rPr>
                <w:rFonts w:ascii="Verdana" w:hAnsi="Verdana"/>
              </w:rPr>
            </w:pPr>
          </w:p>
        </w:tc>
      </w:tr>
      <w:tr w:rsidR="00674800" w:rsidRPr="00CF77DD" w:rsidTr="001A46DD">
        <w:tc>
          <w:tcPr>
            <w:tcW w:w="637" w:type="dxa"/>
          </w:tcPr>
          <w:p w:rsidR="00674800" w:rsidRPr="00CF77DD" w:rsidRDefault="00D60276" w:rsidP="001A46DD">
            <w:pPr>
              <w:jc w:val="both"/>
              <w:rPr>
                <w:rFonts w:ascii="Verdana" w:hAnsi="Verdana"/>
                <w:b/>
              </w:rPr>
            </w:pPr>
            <w:r>
              <w:rPr>
                <w:rFonts w:ascii="Verdana" w:hAnsi="Verdana"/>
                <w:b/>
              </w:rPr>
              <w:t>9</w:t>
            </w:r>
            <w:r w:rsidR="00674800" w:rsidRPr="00CF77DD">
              <w:rPr>
                <w:rFonts w:ascii="Verdana" w:hAnsi="Verdana"/>
                <w:b/>
              </w:rPr>
              <w:t>.</w:t>
            </w:r>
          </w:p>
        </w:tc>
        <w:tc>
          <w:tcPr>
            <w:tcW w:w="8364" w:type="dxa"/>
            <w:gridSpan w:val="2"/>
          </w:tcPr>
          <w:p w:rsidR="00674800" w:rsidRDefault="00674800" w:rsidP="001A46DD">
            <w:pPr>
              <w:jc w:val="both"/>
              <w:rPr>
                <w:rFonts w:ascii="Verdana" w:hAnsi="Verdana"/>
                <w:b/>
                <w:u w:val="single"/>
              </w:rPr>
            </w:pPr>
            <w:r w:rsidRPr="001A73AE">
              <w:rPr>
                <w:rFonts w:ascii="Verdana" w:hAnsi="Verdana"/>
                <w:b/>
                <w:u w:val="single"/>
              </w:rPr>
              <w:t>Fijación de las remuneraciones de la Comisión Fiscalizadora y del Contador Certificante por el Ejercici</w:t>
            </w:r>
            <w:r>
              <w:rPr>
                <w:rFonts w:ascii="Verdana" w:hAnsi="Verdana"/>
                <w:b/>
                <w:u w:val="single"/>
              </w:rPr>
              <w:t>o cerrado el 30 de junio de 202</w:t>
            </w:r>
            <w:r w:rsidR="009F334E">
              <w:rPr>
                <w:rFonts w:ascii="Verdana" w:hAnsi="Verdana"/>
                <w:b/>
                <w:u w:val="single"/>
              </w:rPr>
              <w:t>2</w:t>
            </w:r>
            <w:r w:rsidRPr="001A73AE">
              <w:rPr>
                <w:rFonts w:ascii="Verdana" w:hAnsi="Verdana"/>
                <w:b/>
                <w:u w:val="single"/>
              </w:rPr>
              <w:t>.</w:t>
            </w:r>
          </w:p>
          <w:p w:rsidR="00674800" w:rsidRPr="00CF77DD" w:rsidRDefault="00674800" w:rsidP="001A46DD">
            <w:pPr>
              <w:jc w:val="both"/>
              <w:rPr>
                <w:rFonts w:ascii="Verdana" w:hAnsi="Verdana"/>
              </w:rPr>
            </w:pPr>
          </w:p>
          <w:p w:rsidR="00674800" w:rsidRPr="00CF77DD" w:rsidRDefault="00674800" w:rsidP="001A46DD">
            <w:pPr>
              <w:jc w:val="both"/>
              <w:rPr>
                <w:rFonts w:ascii="Verdana" w:hAnsi="Verdana"/>
              </w:rPr>
            </w:pPr>
            <w:r>
              <w:rPr>
                <w:rFonts w:ascii="Verdana" w:hAnsi="Verdana"/>
              </w:rPr>
              <w:t>P</w:t>
            </w:r>
            <w:r w:rsidRPr="00CF77DD">
              <w:rPr>
                <w:rFonts w:ascii="Verdana" w:hAnsi="Verdana"/>
              </w:rPr>
              <w:t xml:space="preserve">or unanimidad </w:t>
            </w:r>
            <w:r>
              <w:rPr>
                <w:rFonts w:ascii="Verdana" w:hAnsi="Verdana"/>
              </w:rPr>
              <w:t xml:space="preserve">de los votos presentes se resolvió fijar </w:t>
            </w:r>
            <w:r w:rsidRPr="00CF77DD">
              <w:rPr>
                <w:rFonts w:ascii="Verdana" w:hAnsi="Verdana"/>
              </w:rPr>
              <w:t xml:space="preserve">en </w:t>
            </w:r>
            <w:r w:rsidRPr="00005084">
              <w:rPr>
                <w:rFonts w:ascii="Verdana" w:hAnsi="Verdana" w:cs="Arial"/>
                <w:lang w:val="es-ES_tradnl"/>
              </w:rPr>
              <w:t>$</w:t>
            </w:r>
            <w:r>
              <w:rPr>
                <w:rFonts w:ascii="Verdana" w:hAnsi="Verdana" w:cs="Arial"/>
                <w:lang w:val="es-ES_tradnl"/>
              </w:rPr>
              <w:t xml:space="preserve"> </w:t>
            </w:r>
            <w:r w:rsidR="009F334E">
              <w:rPr>
                <w:rFonts w:ascii="Verdana" w:hAnsi="Verdana" w:cs="Arial"/>
                <w:lang w:val="es-ES_tradnl"/>
              </w:rPr>
              <w:t>1.200.000</w:t>
            </w:r>
            <w:r w:rsidRPr="00005084">
              <w:rPr>
                <w:rFonts w:ascii="Verdana" w:hAnsi="Verdana"/>
              </w:rPr>
              <w:t xml:space="preserve"> </w:t>
            </w:r>
            <w:r w:rsidRPr="00005084">
              <w:rPr>
                <w:rFonts w:ascii="Verdana" w:hAnsi="Verdana" w:cs="Arial"/>
                <w:lang w:val="es-ES_tradnl"/>
              </w:rPr>
              <w:t>la remuneración de la Comisión Fiscalizadora y en $</w:t>
            </w:r>
            <w:r>
              <w:rPr>
                <w:rFonts w:ascii="Verdana" w:hAnsi="Verdana" w:cs="Arial"/>
                <w:lang w:val="es-ES_tradnl"/>
              </w:rPr>
              <w:t xml:space="preserve"> </w:t>
            </w:r>
            <w:r w:rsidR="009F334E">
              <w:rPr>
                <w:rFonts w:ascii="Verdana" w:hAnsi="Verdana" w:cs="Arial"/>
                <w:lang w:val="es-ES_tradnl"/>
              </w:rPr>
              <w:t>3</w:t>
            </w:r>
            <w:r w:rsidRPr="00185914">
              <w:rPr>
                <w:rFonts w:ascii="Verdana" w:hAnsi="Verdana" w:cs="Arial"/>
                <w:lang w:val="es-ES_tradnl"/>
              </w:rPr>
              <w:t>.1</w:t>
            </w:r>
            <w:r w:rsidR="009F334E">
              <w:rPr>
                <w:rFonts w:ascii="Verdana" w:hAnsi="Verdana" w:cs="Arial"/>
                <w:lang w:val="es-ES_tradnl"/>
              </w:rPr>
              <w:t>5</w:t>
            </w:r>
            <w:r w:rsidRPr="00185914">
              <w:rPr>
                <w:rFonts w:ascii="Verdana" w:hAnsi="Verdana" w:cs="Arial"/>
                <w:lang w:val="es-ES_tradnl"/>
              </w:rPr>
              <w:t>0.000</w:t>
            </w:r>
            <w:r w:rsidRPr="00005084">
              <w:rPr>
                <w:rFonts w:ascii="Verdana" w:hAnsi="Verdana"/>
              </w:rPr>
              <w:t xml:space="preserve"> </w:t>
            </w:r>
            <w:r w:rsidRPr="00005084">
              <w:rPr>
                <w:rFonts w:ascii="Verdana" w:hAnsi="Verdana" w:cs="Arial"/>
                <w:lang w:val="es-ES_tradnl"/>
              </w:rPr>
              <w:t>los honorarios del Contador Certificante por el ejerci</w:t>
            </w:r>
            <w:r>
              <w:rPr>
                <w:rFonts w:ascii="Verdana" w:hAnsi="Verdana" w:cs="Arial"/>
                <w:lang w:val="es-ES_tradnl"/>
              </w:rPr>
              <w:t>cio cerrado el 30 de junio de 202</w:t>
            </w:r>
            <w:r w:rsidR="009F334E">
              <w:rPr>
                <w:rFonts w:ascii="Verdana" w:hAnsi="Verdana" w:cs="Arial"/>
                <w:lang w:val="es-ES_tradnl"/>
              </w:rPr>
              <w:t>2</w:t>
            </w:r>
            <w:r w:rsidRPr="00CF77DD">
              <w:rPr>
                <w:rFonts w:ascii="Verdana" w:hAnsi="Verdana"/>
              </w:rPr>
              <w:t>.</w:t>
            </w:r>
          </w:p>
          <w:p w:rsidR="00674800" w:rsidRPr="00CF77DD" w:rsidRDefault="00674800" w:rsidP="001A46DD">
            <w:pPr>
              <w:jc w:val="both"/>
              <w:rPr>
                <w:rFonts w:ascii="Verdana" w:hAnsi="Verdana"/>
              </w:rPr>
            </w:pPr>
          </w:p>
        </w:tc>
      </w:tr>
      <w:tr w:rsidR="00674800" w:rsidRPr="00CF77DD" w:rsidTr="001A46DD">
        <w:tc>
          <w:tcPr>
            <w:tcW w:w="637" w:type="dxa"/>
          </w:tcPr>
          <w:p w:rsidR="00674800" w:rsidRPr="00CF77DD" w:rsidRDefault="00674800" w:rsidP="001A46DD">
            <w:pPr>
              <w:jc w:val="both"/>
              <w:rPr>
                <w:rFonts w:ascii="Verdana" w:hAnsi="Verdana"/>
                <w:b/>
              </w:rPr>
            </w:pPr>
            <w:r>
              <w:rPr>
                <w:rFonts w:ascii="Verdana" w:hAnsi="Verdana"/>
                <w:b/>
              </w:rPr>
              <w:t>10</w:t>
            </w:r>
            <w:r w:rsidRPr="00CF77DD">
              <w:rPr>
                <w:rFonts w:ascii="Verdana" w:hAnsi="Verdana"/>
                <w:b/>
              </w:rPr>
              <w:t>.</w:t>
            </w:r>
          </w:p>
        </w:tc>
        <w:tc>
          <w:tcPr>
            <w:tcW w:w="8364" w:type="dxa"/>
            <w:gridSpan w:val="2"/>
          </w:tcPr>
          <w:p w:rsidR="00674800" w:rsidRPr="00AD0B55" w:rsidRDefault="00674800" w:rsidP="001A46DD">
            <w:pPr>
              <w:jc w:val="both"/>
              <w:rPr>
                <w:rFonts w:ascii="Verdana" w:hAnsi="Verdana"/>
                <w:b/>
                <w:u w:val="single"/>
              </w:rPr>
            </w:pPr>
            <w:r w:rsidRPr="001A73AE">
              <w:rPr>
                <w:rFonts w:ascii="Verdana" w:hAnsi="Verdana" w:cs="Arial"/>
                <w:b/>
                <w:color w:val="000000"/>
                <w:u w:val="single"/>
              </w:rPr>
              <w:t>Designación del contador que certificará los estados financieros correspondientes al ejercicio económico Nº 7</w:t>
            </w:r>
            <w:r w:rsidR="009F334E">
              <w:rPr>
                <w:rFonts w:ascii="Verdana" w:hAnsi="Verdana" w:cs="Arial"/>
                <w:b/>
                <w:color w:val="000000"/>
                <w:u w:val="single"/>
              </w:rPr>
              <w:t>8</w:t>
            </w:r>
            <w:r w:rsidRPr="001A73AE">
              <w:rPr>
                <w:rFonts w:ascii="Verdana" w:hAnsi="Verdana" w:cs="Arial"/>
                <w:b/>
                <w:color w:val="000000"/>
                <w:u w:val="single"/>
              </w:rPr>
              <w:t xml:space="preserve"> a c</w:t>
            </w:r>
            <w:r>
              <w:rPr>
                <w:rFonts w:ascii="Verdana" w:hAnsi="Verdana" w:cs="Arial"/>
                <w:b/>
                <w:color w:val="000000"/>
                <w:u w:val="single"/>
              </w:rPr>
              <w:t>errarse el 30 de junio del 202</w:t>
            </w:r>
            <w:r w:rsidR="009F334E">
              <w:rPr>
                <w:rFonts w:ascii="Verdana" w:hAnsi="Verdana" w:cs="Arial"/>
                <w:b/>
                <w:color w:val="000000"/>
                <w:u w:val="single"/>
              </w:rPr>
              <w:t>3</w:t>
            </w:r>
            <w:r w:rsidRPr="00AD0B55">
              <w:rPr>
                <w:rFonts w:ascii="Verdana" w:hAnsi="Verdana"/>
                <w:b/>
                <w:u w:val="single"/>
              </w:rPr>
              <w:t>.</w:t>
            </w:r>
          </w:p>
          <w:p w:rsidR="00674800" w:rsidRPr="00CF77DD" w:rsidRDefault="00674800" w:rsidP="001A46DD">
            <w:pPr>
              <w:jc w:val="both"/>
              <w:rPr>
                <w:rFonts w:ascii="Verdana" w:hAnsi="Verdana"/>
              </w:rPr>
            </w:pPr>
          </w:p>
          <w:p w:rsidR="00674800" w:rsidRPr="00CF77DD" w:rsidRDefault="00674800" w:rsidP="001A46DD">
            <w:pPr>
              <w:jc w:val="both"/>
              <w:rPr>
                <w:rFonts w:ascii="Verdana" w:hAnsi="Verdana"/>
              </w:rPr>
            </w:pPr>
            <w:r w:rsidRPr="00CF77DD">
              <w:rPr>
                <w:rFonts w:ascii="Verdana" w:hAnsi="Verdana"/>
              </w:rPr>
              <w:t>Por unanimidad</w:t>
            </w:r>
            <w:r>
              <w:rPr>
                <w:rFonts w:ascii="Verdana" w:hAnsi="Verdana"/>
              </w:rPr>
              <w:t xml:space="preserve"> de los votos presentes</w:t>
            </w:r>
            <w:r w:rsidRPr="00CF77DD">
              <w:rPr>
                <w:rFonts w:ascii="Verdana" w:hAnsi="Verdana"/>
              </w:rPr>
              <w:t xml:space="preserve"> se decidió designar a la firma </w:t>
            </w:r>
            <w:r w:rsidRPr="00005084">
              <w:rPr>
                <w:rFonts w:ascii="Verdana" w:hAnsi="Verdana" w:cs="Arial"/>
                <w:lang w:val="es-ES_tradnl"/>
              </w:rPr>
              <w:t xml:space="preserve">a la firma </w:t>
            </w:r>
            <w:proofErr w:type="spellStart"/>
            <w:r w:rsidRPr="00005084">
              <w:rPr>
                <w:rFonts w:ascii="Verdana" w:hAnsi="Verdana" w:cs="Arial"/>
                <w:lang w:val="es-ES_tradnl"/>
              </w:rPr>
              <w:t>Becher</w:t>
            </w:r>
            <w:proofErr w:type="spellEnd"/>
            <w:r w:rsidRPr="00005084">
              <w:rPr>
                <w:rFonts w:ascii="Verdana" w:hAnsi="Verdana" w:cs="Arial"/>
                <w:lang w:val="es-ES_tradnl"/>
              </w:rPr>
              <w:t xml:space="preserve"> y Asociados S.R.L.</w:t>
            </w:r>
            <w:r w:rsidR="009F334E">
              <w:rPr>
                <w:rFonts w:ascii="Verdana" w:hAnsi="Verdana" w:cs="Arial"/>
                <w:lang w:val="es-ES_tradnl"/>
              </w:rPr>
              <w:t xml:space="preserve"> (BDO)</w:t>
            </w:r>
            <w:r w:rsidRPr="00005084">
              <w:rPr>
                <w:rFonts w:ascii="Verdana" w:hAnsi="Verdana" w:cs="Arial"/>
                <w:lang w:val="es-ES_tradnl"/>
              </w:rPr>
              <w:t>, a través de los profesionales Fabián Gustavo Marcote</w:t>
            </w:r>
            <w:r>
              <w:rPr>
                <w:rFonts w:ascii="Verdana" w:hAnsi="Verdana" w:cs="Arial"/>
                <w:lang w:val="es-ES_tradnl"/>
              </w:rPr>
              <w:t xml:space="preserve"> y Gustavo Omar Acevedo</w:t>
            </w:r>
            <w:r w:rsidRPr="00005084">
              <w:rPr>
                <w:rFonts w:ascii="Verdana" w:hAnsi="Verdana"/>
              </w:rPr>
              <w:t>,</w:t>
            </w:r>
            <w:r w:rsidRPr="00005084">
              <w:rPr>
                <w:rFonts w:ascii="Verdana" w:hAnsi="Verdana" w:cs="Arial"/>
                <w:lang w:val="es-ES_tradnl"/>
              </w:rPr>
              <w:t xml:space="preserve"> para certificar los Estados Contables y documentación complementaria del 7</w:t>
            </w:r>
            <w:r w:rsidR="009F334E">
              <w:rPr>
                <w:rFonts w:ascii="Verdana" w:hAnsi="Verdana" w:cs="Arial"/>
                <w:lang w:val="es-ES_tradnl"/>
              </w:rPr>
              <w:t>8</w:t>
            </w:r>
            <w:r w:rsidRPr="00005084">
              <w:rPr>
                <w:rFonts w:ascii="Verdana" w:hAnsi="Verdana" w:cs="Arial"/>
                <w:lang w:val="es-ES_tradnl"/>
              </w:rPr>
              <w:t>º ejercicio social</w:t>
            </w:r>
            <w:r w:rsidRPr="00CF77DD">
              <w:rPr>
                <w:rFonts w:ascii="Verdana" w:hAnsi="Verdana"/>
              </w:rPr>
              <w:t>.</w:t>
            </w:r>
          </w:p>
          <w:p w:rsidR="00674800" w:rsidRPr="00CF77DD" w:rsidRDefault="00674800" w:rsidP="001A46DD">
            <w:pPr>
              <w:jc w:val="both"/>
              <w:rPr>
                <w:rFonts w:ascii="Verdana" w:hAnsi="Verdana"/>
              </w:rPr>
            </w:pPr>
          </w:p>
        </w:tc>
      </w:tr>
      <w:tr w:rsidR="00674800" w:rsidRPr="00CF77DD" w:rsidTr="001A46DD">
        <w:tc>
          <w:tcPr>
            <w:tcW w:w="637" w:type="dxa"/>
          </w:tcPr>
          <w:p w:rsidR="00674800" w:rsidRDefault="00674800" w:rsidP="001A46DD">
            <w:pPr>
              <w:jc w:val="both"/>
              <w:rPr>
                <w:rFonts w:ascii="Verdana" w:hAnsi="Verdana"/>
                <w:b/>
              </w:rPr>
            </w:pPr>
            <w:r>
              <w:rPr>
                <w:rFonts w:ascii="Verdana" w:hAnsi="Verdana"/>
                <w:b/>
              </w:rPr>
              <w:t>11</w:t>
            </w:r>
            <w:r w:rsidRPr="00CF77DD">
              <w:rPr>
                <w:rFonts w:ascii="Verdana" w:hAnsi="Verdana"/>
                <w:b/>
              </w:rPr>
              <w:t>.</w:t>
            </w:r>
          </w:p>
          <w:p w:rsidR="00674800" w:rsidRDefault="00674800" w:rsidP="001A46DD">
            <w:pPr>
              <w:jc w:val="both"/>
              <w:rPr>
                <w:rFonts w:ascii="Verdana" w:hAnsi="Verdana"/>
                <w:b/>
              </w:rPr>
            </w:pPr>
          </w:p>
          <w:p w:rsidR="00674800" w:rsidRDefault="00674800" w:rsidP="001A46DD">
            <w:pPr>
              <w:jc w:val="both"/>
              <w:rPr>
                <w:rFonts w:ascii="Verdana" w:hAnsi="Verdana"/>
                <w:b/>
              </w:rPr>
            </w:pPr>
          </w:p>
          <w:p w:rsidR="00674800" w:rsidRDefault="00674800" w:rsidP="001A46DD">
            <w:pPr>
              <w:jc w:val="both"/>
              <w:rPr>
                <w:rFonts w:ascii="Verdana" w:hAnsi="Verdana"/>
                <w:b/>
              </w:rPr>
            </w:pPr>
          </w:p>
          <w:p w:rsidR="00674800" w:rsidRDefault="00674800" w:rsidP="001A46DD">
            <w:pPr>
              <w:jc w:val="both"/>
              <w:rPr>
                <w:rFonts w:ascii="Verdana" w:hAnsi="Verdana"/>
                <w:b/>
              </w:rPr>
            </w:pPr>
          </w:p>
          <w:p w:rsidR="00674800" w:rsidRDefault="00674800" w:rsidP="001A46DD">
            <w:pPr>
              <w:jc w:val="both"/>
              <w:rPr>
                <w:rFonts w:ascii="Verdana" w:hAnsi="Verdana"/>
                <w:b/>
              </w:rPr>
            </w:pPr>
          </w:p>
          <w:p w:rsidR="00674800" w:rsidRDefault="00674800" w:rsidP="001A46DD">
            <w:pPr>
              <w:jc w:val="both"/>
              <w:rPr>
                <w:rFonts w:ascii="Verdana" w:hAnsi="Verdana"/>
                <w:b/>
              </w:rPr>
            </w:pPr>
          </w:p>
          <w:p w:rsidR="00674800" w:rsidRDefault="00674800" w:rsidP="001A46DD">
            <w:pPr>
              <w:jc w:val="both"/>
              <w:rPr>
                <w:rFonts w:ascii="Verdana" w:hAnsi="Verdana"/>
                <w:b/>
              </w:rPr>
            </w:pPr>
          </w:p>
          <w:p w:rsidR="00674800" w:rsidRPr="00CF77DD" w:rsidRDefault="00674800" w:rsidP="001A46DD">
            <w:pPr>
              <w:jc w:val="both"/>
              <w:rPr>
                <w:rFonts w:ascii="Verdana" w:hAnsi="Verdana"/>
                <w:b/>
              </w:rPr>
            </w:pPr>
          </w:p>
        </w:tc>
        <w:tc>
          <w:tcPr>
            <w:tcW w:w="8364" w:type="dxa"/>
            <w:gridSpan w:val="2"/>
          </w:tcPr>
          <w:p w:rsidR="00674800" w:rsidRPr="00CF77DD" w:rsidRDefault="00674800" w:rsidP="001A46DD">
            <w:pPr>
              <w:jc w:val="both"/>
              <w:rPr>
                <w:rFonts w:ascii="Verdana" w:hAnsi="Verdana"/>
                <w:b/>
                <w:u w:val="single"/>
              </w:rPr>
            </w:pPr>
            <w:r w:rsidRPr="00CF77DD">
              <w:rPr>
                <w:rFonts w:ascii="Verdana" w:hAnsi="Verdana"/>
                <w:b/>
                <w:u w:val="single"/>
              </w:rPr>
              <w:t>Fijación del Presupuesto para el Comité de Auditoría correspondiente al ejercicio en curso.</w:t>
            </w:r>
          </w:p>
          <w:p w:rsidR="00674800" w:rsidRPr="00CF77DD" w:rsidRDefault="00674800" w:rsidP="001A46DD">
            <w:pPr>
              <w:jc w:val="both"/>
              <w:rPr>
                <w:rFonts w:ascii="Verdana" w:hAnsi="Verdana"/>
              </w:rPr>
            </w:pPr>
            <w:r w:rsidRPr="00CF77DD">
              <w:rPr>
                <w:rFonts w:ascii="Verdana" w:hAnsi="Verdana"/>
              </w:rPr>
              <w:t xml:space="preserve"> </w:t>
            </w:r>
          </w:p>
          <w:p w:rsidR="00674800" w:rsidRPr="00C62F39" w:rsidRDefault="00674800" w:rsidP="00D60276">
            <w:pPr>
              <w:jc w:val="both"/>
              <w:rPr>
                <w:rFonts w:ascii="Verdana" w:hAnsi="Verdana"/>
                <w:b/>
                <w:u w:val="single"/>
              </w:rPr>
            </w:pPr>
            <w:r w:rsidRPr="00CF77DD">
              <w:rPr>
                <w:rFonts w:ascii="Verdana" w:hAnsi="Verdana"/>
              </w:rPr>
              <w:t xml:space="preserve">Se decidió por unanimidad fijar en $ </w:t>
            </w:r>
            <w:r w:rsidR="000B1A3B">
              <w:rPr>
                <w:rFonts w:ascii="Verdana" w:hAnsi="Verdana"/>
              </w:rPr>
              <w:t>1.400</w:t>
            </w:r>
            <w:r>
              <w:rPr>
                <w:rFonts w:ascii="Verdana" w:hAnsi="Verdana"/>
              </w:rPr>
              <w:t>.0</w:t>
            </w:r>
            <w:r w:rsidRPr="00CF77DD">
              <w:rPr>
                <w:rFonts w:ascii="Verdana" w:hAnsi="Verdana"/>
              </w:rPr>
              <w:t>00 el presupuesto de gastos para el Comité de Auditoría correspondiente al ejercicio en curso.</w:t>
            </w:r>
          </w:p>
        </w:tc>
      </w:tr>
      <w:tr w:rsidR="00674800" w:rsidRPr="00CF77DD" w:rsidTr="001A46DD">
        <w:tc>
          <w:tcPr>
            <w:tcW w:w="637" w:type="dxa"/>
          </w:tcPr>
          <w:p w:rsidR="00674800" w:rsidRPr="00CF77DD" w:rsidRDefault="00674800" w:rsidP="001A46DD">
            <w:pPr>
              <w:jc w:val="both"/>
              <w:rPr>
                <w:rFonts w:ascii="Verdana" w:hAnsi="Verdana"/>
                <w:b/>
              </w:rPr>
            </w:pPr>
          </w:p>
        </w:tc>
        <w:tc>
          <w:tcPr>
            <w:tcW w:w="8364" w:type="dxa"/>
            <w:gridSpan w:val="2"/>
          </w:tcPr>
          <w:p w:rsidR="00674800" w:rsidRPr="00CF77DD" w:rsidRDefault="00674800" w:rsidP="00D60276">
            <w:pPr>
              <w:pStyle w:val="Ttulo1"/>
              <w:tabs>
                <w:tab w:val="clear" w:pos="180"/>
              </w:tabs>
              <w:jc w:val="left"/>
              <w:rPr>
                <w:rFonts w:ascii="Verdana" w:hAnsi="Verdana"/>
                <w:sz w:val="20"/>
              </w:rPr>
            </w:pPr>
            <w:r w:rsidRPr="00CF77DD">
              <w:rPr>
                <w:rFonts w:ascii="Verdana" w:hAnsi="Verdana"/>
                <w:sz w:val="20"/>
              </w:rPr>
              <w:t xml:space="preserve">Ciudad de Buenos Aires, </w:t>
            </w:r>
            <w:r w:rsidR="00D60276">
              <w:rPr>
                <w:rFonts w:ascii="Verdana" w:hAnsi="Verdana"/>
                <w:sz w:val="20"/>
              </w:rPr>
              <w:t>19</w:t>
            </w:r>
            <w:r w:rsidRPr="00CF77DD">
              <w:rPr>
                <w:rFonts w:ascii="Verdana" w:hAnsi="Verdana"/>
                <w:sz w:val="20"/>
              </w:rPr>
              <w:t xml:space="preserve"> de octubre de 20</w:t>
            </w:r>
            <w:r>
              <w:rPr>
                <w:rFonts w:ascii="Verdana" w:hAnsi="Verdana"/>
                <w:sz w:val="20"/>
              </w:rPr>
              <w:t>2</w:t>
            </w:r>
            <w:r w:rsidR="00D60276">
              <w:rPr>
                <w:rFonts w:ascii="Verdana" w:hAnsi="Verdana"/>
                <w:sz w:val="20"/>
              </w:rPr>
              <w:t>2</w:t>
            </w:r>
            <w:r w:rsidRPr="00CF77DD">
              <w:rPr>
                <w:rFonts w:ascii="Verdana" w:hAnsi="Verdana"/>
                <w:sz w:val="20"/>
              </w:rPr>
              <w:t>.-</w:t>
            </w:r>
          </w:p>
        </w:tc>
      </w:tr>
      <w:tr w:rsidR="00674800" w:rsidRPr="00CF77DD" w:rsidTr="001A46DD">
        <w:tc>
          <w:tcPr>
            <w:tcW w:w="637" w:type="dxa"/>
          </w:tcPr>
          <w:p w:rsidR="00674800" w:rsidRPr="00CF77DD" w:rsidRDefault="00674800" w:rsidP="001A46DD">
            <w:pPr>
              <w:jc w:val="both"/>
              <w:rPr>
                <w:rFonts w:ascii="Verdana" w:hAnsi="Verdana"/>
                <w:b/>
              </w:rPr>
            </w:pPr>
          </w:p>
        </w:tc>
        <w:tc>
          <w:tcPr>
            <w:tcW w:w="8364" w:type="dxa"/>
            <w:gridSpan w:val="2"/>
          </w:tcPr>
          <w:p w:rsidR="00674800" w:rsidRPr="00CF77DD" w:rsidRDefault="00674800" w:rsidP="001A46DD">
            <w:pPr>
              <w:jc w:val="both"/>
              <w:rPr>
                <w:rFonts w:ascii="Verdana" w:hAnsi="Verdana"/>
              </w:rPr>
            </w:pPr>
          </w:p>
          <w:p w:rsidR="00674800" w:rsidRPr="00CF77DD" w:rsidRDefault="00674800" w:rsidP="001A46DD">
            <w:pPr>
              <w:jc w:val="both"/>
              <w:rPr>
                <w:rFonts w:ascii="Verdana" w:hAnsi="Verdana"/>
              </w:rPr>
            </w:pPr>
          </w:p>
          <w:p w:rsidR="00674800" w:rsidRPr="00CF77DD" w:rsidRDefault="00674800" w:rsidP="001A46DD">
            <w:pPr>
              <w:jc w:val="both"/>
              <w:rPr>
                <w:rFonts w:ascii="Verdana" w:hAnsi="Verdana"/>
              </w:rPr>
            </w:pPr>
          </w:p>
        </w:tc>
      </w:tr>
      <w:tr w:rsidR="00674800" w:rsidRPr="00CF77DD" w:rsidTr="001A46DD">
        <w:tc>
          <w:tcPr>
            <w:tcW w:w="637" w:type="dxa"/>
          </w:tcPr>
          <w:p w:rsidR="00674800" w:rsidRPr="00CF77DD" w:rsidRDefault="00674800" w:rsidP="001A46DD">
            <w:pPr>
              <w:jc w:val="both"/>
              <w:rPr>
                <w:rFonts w:ascii="Verdana" w:hAnsi="Verdana"/>
                <w:b/>
              </w:rPr>
            </w:pPr>
          </w:p>
        </w:tc>
        <w:tc>
          <w:tcPr>
            <w:tcW w:w="8364" w:type="dxa"/>
            <w:gridSpan w:val="2"/>
          </w:tcPr>
          <w:p w:rsidR="00674800" w:rsidRPr="00CF77DD" w:rsidRDefault="00674800" w:rsidP="001A46DD">
            <w:pPr>
              <w:jc w:val="both"/>
              <w:rPr>
                <w:rFonts w:ascii="Verdana" w:hAnsi="Verdana"/>
              </w:rPr>
            </w:pPr>
          </w:p>
        </w:tc>
      </w:tr>
      <w:tr w:rsidR="00674800" w:rsidRPr="00CF77DD" w:rsidTr="001A46DD">
        <w:trPr>
          <w:gridAfter w:val="1"/>
          <w:wAfter w:w="4395" w:type="dxa"/>
        </w:trPr>
        <w:tc>
          <w:tcPr>
            <w:tcW w:w="637" w:type="dxa"/>
          </w:tcPr>
          <w:p w:rsidR="00674800" w:rsidRPr="00CF77DD" w:rsidRDefault="00674800" w:rsidP="001A46DD">
            <w:pPr>
              <w:jc w:val="both"/>
              <w:rPr>
                <w:rFonts w:ascii="Verdana" w:hAnsi="Verdana"/>
                <w:b/>
              </w:rPr>
            </w:pPr>
          </w:p>
        </w:tc>
        <w:tc>
          <w:tcPr>
            <w:tcW w:w="3969" w:type="dxa"/>
          </w:tcPr>
          <w:p w:rsidR="00674800" w:rsidRPr="00C62F39" w:rsidRDefault="00674800" w:rsidP="001A46DD">
            <w:pPr>
              <w:jc w:val="center"/>
              <w:rPr>
                <w:rFonts w:ascii="Verdana" w:hAnsi="Verdana"/>
                <w:b/>
              </w:rPr>
            </w:pPr>
            <w:r w:rsidRPr="00C62F39">
              <w:rPr>
                <w:rFonts w:ascii="Verdana" w:hAnsi="Verdana"/>
                <w:b/>
              </w:rPr>
              <w:t>FIPLASTO S.A.</w:t>
            </w:r>
          </w:p>
        </w:tc>
      </w:tr>
      <w:tr w:rsidR="00674800" w:rsidRPr="00CF77DD" w:rsidTr="001A46DD">
        <w:trPr>
          <w:gridAfter w:val="1"/>
          <w:wAfter w:w="4395" w:type="dxa"/>
        </w:trPr>
        <w:tc>
          <w:tcPr>
            <w:tcW w:w="637" w:type="dxa"/>
          </w:tcPr>
          <w:p w:rsidR="00674800" w:rsidRPr="00CF77DD" w:rsidRDefault="00674800" w:rsidP="001A46DD">
            <w:pPr>
              <w:jc w:val="both"/>
              <w:rPr>
                <w:rFonts w:ascii="Verdana" w:hAnsi="Verdana"/>
                <w:b/>
              </w:rPr>
            </w:pPr>
          </w:p>
        </w:tc>
        <w:tc>
          <w:tcPr>
            <w:tcW w:w="3969" w:type="dxa"/>
          </w:tcPr>
          <w:p w:rsidR="00674800" w:rsidRPr="00CF77DD" w:rsidRDefault="00674800" w:rsidP="001A46DD">
            <w:pPr>
              <w:jc w:val="both"/>
              <w:rPr>
                <w:rFonts w:ascii="Verdana" w:hAnsi="Verdana"/>
              </w:rPr>
            </w:pPr>
          </w:p>
        </w:tc>
      </w:tr>
      <w:tr w:rsidR="00674800" w:rsidRPr="00CF77DD" w:rsidTr="001A46DD">
        <w:trPr>
          <w:gridAfter w:val="1"/>
          <w:wAfter w:w="4395" w:type="dxa"/>
        </w:trPr>
        <w:tc>
          <w:tcPr>
            <w:tcW w:w="637" w:type="dxa"/>
          </w:tcPr>
          <w:p w:rsidR="00674800" w:rsidRPr="00CF77DD" w:rsidRDefault="00674800" w:rsidP="001A46DD">
            <w:pPr>
              <w:jc w:val="both"/>
              <w:rPr>
                <w:rFonts w:ascii="Verdana" w:hAnsi="Verdana"/>
                <w:b/>
              </w:rPr>
            </w:pPr>
          </w:p>
        </w:tc>
        <w:tc>
          <w:tcPr>
            <w:tcW w:w="3969" w:type="dxa"/>
          </w:tcPr>
          <w:p w:rsidR="00674800" w:rsidRPr="00CF77DD" w:rsidRDefault="00674800" w:rsidP="001A46DD">
            <w:pPr>
              <w:jc w:val="both"/>
              <w:rPr>
                <w:rFonts w:ascii="Verdana" w:hAnsi="Verdana"/>
              </w:rPr>
            </w:pPr>
          </w:p>
        </w:tc>
      </w:tr>
      <w:tr w:rsidR="00674800" w:rsidRPr="00CF77DD" w:rsidTr="001A46DD">
        <w:trPr>
          <w:gridAfter w:val="1"/>
          <w:wAfter w:w="4395" w:type="dxa"/>
        </w:trPr>
        <w:tc>
          <w:tcPr>
            <w:tcW w:w="637" w:type="dxa"/>
          </w:tcPr>
          <w:p w:rsidR="00674800" w:rsidRPr="00CF77DD" w:rsidRDefault="00674800" w:rsidP="001A46DD">
            <w:pPr>
              <w:jc w:val="both"/>
              <w:rPr>
                <w:rFonts w:ascii="Verdana" w:hAnsi="Verdana"/>
                <w:b/>
              </w:rPr>
            </w:pPr>
          </w:p>
        </w:tc>
        <w:tc>
          <w:tcPr>
            <w:tcW w:w="3969" w:type="dxa"/>
          </w:tcPr>
          <w:p w:rsidR="00674800" w:rsidRPr="00CF77DD" w:rsidRDefault="00674800" w:rsidP="001A46DD">
            <w:pPr>
              <w:jc w:val="both"/>
              <w:rPr>
                <w:rFonts w:ascii="Verdana" w:hAnsi="Verdana"/>
              </w:rPr>
            </w:pPr>
          </w:p>
        </w:tc>
      </w:tr>
      <w:tr w:rsidR="00674800" w:rsidRPr="00CF77DD" w:rsidTr="001A46DD">
        <w:trPr>
          <w:gridAfter w:val="1"/>
          <w:wAfter w:w="4395" w:type="dxa"/>
        </w:trPr>
        <w:tc>
          <w:tcPr>
            <w:tcW w:w="637" w:type="dxa"/>
          </w:tcPr>
          <w:p w:rsidR="00674800" w:rsidRPr="00CF77DD" w:rsidRDefault="00674800" w:rsidP="001A46DD">
            <w:pPr>
              <w:jc w:val="both"/>
              <w:rPr>
                <w:rFonts w:ascii="Verdana" w:hAnsi="Verdana"/>
                <w:b/>
              </w:rPr>
            </w:pPr>
          </w:p>
        </w:tc>
        <w:tc>
          <w:tcPr>
            <w:tcW w:w="3969" w:type="dxa"/>
          </w:tcPr>
          <w:p w:rsidR="00674800" w:rsidRPr="00CF77DD" w:rsidRDefault="00674800" w:rsidP="001A46DD">
            <w:pPr>
              <w:jc w:val="both"/>
              <w:rPr>
                <w:rFonts w:ascii="Verdana" w:hAnsi="Verdana"/>
              </w:rPr>
            </w:pPr>
          </w:p>
        </w:tc>
      </w:tr>
      <w:tr w:rsidR="00674800" w:rsidRPr="00D60276" w:rsidTr="001A46DD">
        <w:trPr>
          <w:gridAfter w:val="1"/>
          <w:wAfter w:w="4395" w:type="dxa"/>
        </w:trPr>
        <w:tc>
          <w:tcPr>
            <w:tcW w:w="637" w:type="dxa"/>
          </w:tcPr>
          <w:p w:rsidR="00674800" w:rsidRPr="00CF77DD" w:rsidRDefault="00674800" w:rsidP="001A46DD">
            <w:pPr>
              <w:jc w:val="both"/>
              <w:rPr>
                <w:rFonts w:ascii="Verdana" w:hAnsi="Verdana"/>
                <w:b/>
              </w:rPr>
            </w:pPr>
          </w:p>
        </w:tc>
        <w:tc>
          <w:tcPr>
            <w:tcW w:w="3969" w:type="dxa"/>
          </w:tcPr>
          <w:p w:rsidR="00674800" w:rsidRPr="001B2325" w:rsidRDefault="00D60276" w:rsidP="001A46DD">
            <w:pPr>
              <w:pStyle w:val="Ttulo3"/>
              <w:rPr>
                <w:rFonts w:ascii="Verdana" w:hAnsi="Verdana"/>
                <w:sz w:val="20"/>
                <w:lang w:val="en-US"/>
              </w:rPr>
            </w:pPr>
            <w:proofErr w:type="spellStart"/>
            <w:r w:rsidRPr="001B2325">
              <w:rPr>
                <w:rFonts w:ascii="Verdana" w:hAnsi="Verdana"/>
                <w:sz w:val="20"/>
                <w:lang w:val="en-US"/>
              </w:rPr>
              <w:t>Ing</w:t>
            </w:r>
            <w:proofErr w:type="spellEnd"/>
            <w:r w:rsidRPr="001B2325">
              <w:rPr>
                <w:rFonts w:ascii="Verdana" w:hAnsi="Verdana"/>
                <w:sz w:val="20"/>
                <w:lang w:val="en-US"/>
              </w:rPr>
              <w:t xml:space="preserve">. </w:t>
            </w:r>
            <w:proofErr w:type="spellStart"/>
            <w:r w:rsidRPr="001B2325">
              <w:rPr>
                <w:rFonts w:ascii="Verdana" w:hAnsi="Verdana"/>
                <w:sz w:val="20"/>
                <w:lang w:val="en-US"/>
              </w:rPr>
              <w:t>Néstor</w:t>
            </w:r>
            <w:proofErr w:type="spellEnd"/>
            <w:r w:rsidRPr="001B2325">
              <w:rPr>
                <w:rFonts w:ascii="Verdana" w:hAnsi="Verdana"/>
                <w:sz w:val="20"/>
                <w:lang w:val="en-US"/>
              </w:rPr>
              <w:t xml:space="preserve"> </w:t>
            </w:r>
            <w:proofErr w:type="spellStart"/>
            <w:r w:rsidRPr="001B2325">
              <w:rPr>
                <w:rFonts w:ascii="Verdana" w:hAnsi="Verdana"/>
                <w:sz w:val="20"/>
                <w:lang w:val="en-US"/>
              </w:rPr>
              <w:t>Samman</w:t>
            </w:r>
            <w:proofErr w:type="spellEnd"/>
          </w:p>
          <w:p w:rsidR="00674800" w:rsidRPr="00D60276" w:rsidRDefault="00D60276" w:rsidP="001A46DD">
            <w:pPr>
              <w:jc w:val="center"/>
              <w:rPr>
                <w:rFonts w:ascii="Verdana" w:hAnsi="Verdana"/>
                <w:lang w:val="es-AR"/>
              </w:rPr>
            </w:pPr>
            <w:r w:rsidRPr="001B2325">
              <w:rPr>
                <w:rFonts w:ascii="Verdana" w:hAnsi="Verdana"/>
                <w:lang w:val="es-AR"/>
              </w:rPr>
              <w:t>Responsable Suplente de Relaciones con el Mercado</w:t>
            </w:r>
          </w:p>
        </w:tc>
        <w:bookmarkStart w:id="0" w:name="_GoBack"/>
        <w:bookmarkEnd w:id="0"/>
      </w:tr>
      <w:tr w:rsidR="00674800" w:rsidRPr="00D60276" w:rsidTr="001A46DD">
        <w:trPr>
          <w:gridAfter w:val="1"/>
          <w:wAfter w:w="4395" w:type="dxa"/>
        </w:trPr>
        <w:tc>
          <w:tcPr>
            <w:tcW w:w="637" w:type="dxa"/>
          </w:tcPr>
          <w:p w:rsidR="00674800" w:rsidRPr="00D60276" w:rsidRDefault="00674800" w:rsidP="001A46DD">
            <w:pPr>
              <w:jc w:val="both"/>
              <w:rPr>
                <w:rFonts w:ascii="Verdana" w:hAnsi="Verdana"/>
                <w:b/>
                <w:lang w:val="es-AR"/>
              </w:rPr>
            </w:pPr>
          </w:p>
        </w:tc>
        <w:tc>
          <w:tcPr>
            <w:tcW w:w="3969" w:type="dxa"/>
          </w:tcPr>
          <w:p w:rsidR="00674800" w:rsidRPr="00D60276" w:rsidRDefault="00674800" w:rsidP="001A46DD">
            <w:pPr>
              <w:pStyle w:val="Ttulo3"/>
              <w:rPr>
                <w:rFonts w:ascii="Verdana" w:hAnsi="Verdana"/>
                <w:sz w:val="20"/>
                <w:lang w:val="es-AR"/>
              </w:rPr>
            </w:pPr>
          </w:p>
        </w:tc>
      </w:tr>
      <w:tr w:rsidR="00674800" w:rsidRPr="00D60276" w:rsidTr="001A46DD">
        <w:trPr>
          <w:gridAfter w:val="1"/>
          <w:wAfter w:w="4395" w:type="dxa"/>
        </w:trPr>
        <w:tc>
          <w:tcPr>
            <w:tcW w:w="637" w:type="dxa"/>
          </w:tcPr>
          <w:p w:rsidR="00674800" w:rsidRPr="00D60276" w:rsidRDefault="00674800" w:rsidP="001A46DD">
            <w:pPr>
              <w:jc w:val="both"/>
              <w:rPr>
                <w:rFonts w:ascii="Verdana" w:hAnsi="Verdana"/>
                <w:b/>
                <w:lang w:val="es-AR"/>
              </w:rPr>
            </w:pPr>
          </w:p>
        </w:tc>
        <w:tc>
          <w:tcPr>
            <w:tcW w:w="3969" w:type="dxa"/>
          </w:tcPr>
          <w:p w:rsidR="00674800" w:rsidRPr="00D60276" w:rsidRDefault="00674800" w:rsidP="001A46DD">
            <w:pPr>
              <w:pStyle w:val="Ttulo3"/>
              <w:rPr>
                <w:rFonts w:ascii="Verdana" w:hAnsi="Verdana"/>
                <w:sz w:val="20"/>
                <w:lang w:val="es-AR"/>
              </w:rPr>
            </w:pPr>
          </w:p>
        </w:tc>
      </w:tr>
    </w:tbl>
    <w:p w:rsidR="00674800" w:rsidRPr="00D60276" w:rsidRDefault="00674800" w:rsidP="00674800">
      <w:pPr>
        <w:tabs>
          <w:tab w:val="left" w:pos="508"/>
        </w:tabs>
        <w:jc w:val="both"/>
        <w:rPr>
          <w:rFonts w:ascii="Verdana" w:hAnsi="Verdana"/>
          <w:lang w:val="es-AR"/>
        </w:rPr>
      </w:pPr>
    </w:p>
    <w:p w:rsidR="00674800" w:rsidRPr="00D60276" w:rsidRDefault="00674800" w:rsidP="00674800">
      <w:pPr>
        <w:rPr>
          <w:rFonts w:ascii="Verdana" w:hAnsi="Verdana"/>
          <w:lang w:val="es-AR"/>
        </w:rPr>
      </w:pPr>
    </w:p>
    <w:p w:rsidR="00674800" w:rsidRPr="00D60276" w:rsidRDefault="00674800" w:rsidP="00674800">
      <w:pPr>
        <w:rPr>
          <w:lang w:val="es-AR"/>
        </w:rPr>
      </w:pPr>
    </w:p>
    <w:p w:rsidR="00674800" w:rsidRPr="00D60276" w:rsidRDefault="00674800" w:rsidP="00674800">
      <w:pPr>
        <w:rPr>
          <w:lang w:val="es-AR"/>
        </w:rPr>
      </w:pPr>
    </w:p>
    <w:p w:rsidR="00674800" w:rsidRPr="00D60276" w:rsidRDefault="00674800" w:rsidP="00674800">
      <w:pPr>
        <w:rPr>
          <w:lang w:val="es-AR"/>
        </w:rPr>
      </w:pPr>
    </w:p>
    <w:p w:rsidR="00B715FC" w:rsidRPr="00D60276" w:rsidRDefault="00B715FC">
      <w:pPr>
        <w:rPr>
          <w:lang w:val="es-AR"/>
        </w:rPr>
      </w:pPr>
    </w:p>
    <w:sectPr w:rsidR="00B715FC" w:rsidRPr="00D60276" w:rsidSect="00C62F39">
      <w:pgSz w:w="11907" w:h="16840" w:code="9"/>
      <w:pgMar w:top="568" w:right="170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800"/>
    <w:rsid w:val="000B1A3B"/>
    <w:rsid w:val="00107002"/>
    <w:rsid w:val="00183E20"/>
    <w:rsid w:val="001B2325"/>
    <w:rsid w:val="003B2E79"/>
    <w:rsid w:val="004A6853"/>
    <w:rsid w:val="00612214"/>
    <w:rsid w:val="00674800"/>
    <w:rsid w:val="006B0E74"/>
    <w:rsid w:val="00720D97"/>
    <w:rsid w:val="007766B9"/>
    <w:rsid w:val="008D0076"/>
    <w:rsid w:val="0095637A"/>
    <w:rsid w:val="009F334E"/>
    <w:rsid w:val="00B71079"/>
    <w:rsid w:val="00B715FC"/>
    <w:rsid w:val="00BA3CBD"/>
    <w:rsid w:val="00BD7828"/>
    <w:rsid w:val="00C54AA8"/>
    <w:rsid w:val="00CA0081"/>
    <w:rsid w:val="00D60276"/>
    <w:rsid w:val="00E37A97"/>
    <w:rsid w:val="00E91C44"/>
    <w:rsid w:val="00EF797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800"/>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674800"/>
    <w:pPr>
      <w:keepNext/>
      <w:tabs>
        <w:tab w:val="left" w:pos="180"/>
      </w:tabs>
      <w:jc w:val="right"/>
      <w:outlineLvl w:val="0"/>
    </w:pPr>
    <w:rPr>
      <w:rFonts w:ascii="Tahoma" w:hAnsi="Tahoma"/>
      <w:sz w:val="24"/>
    </w:rPr>
  </w:style>
  <w:style w:type="paragraph" w:styleId="Ttulo3">
    <w:name w:val="heading 3"/>
    <w:basedOn w:val="Normal"/>
    <w:next w:val="Normal"/>
    <w:link w:val="Ttulo3Car"/>
    <w:qFormat/>
    <w:rsid w:val="00674800"/>
    <w:pPr>
      <w:keepNext/>
      <w:jc w:val="center"/>
      <w:outlineLvl w:val="2"/>
    </w:pPr>
    <w:rPr>
      <w:rFonts w:ascii="Tahoma" w:hAnsi="Tahom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74800"/>
    <w:rPr>
      <w:rFonts w:ascii="Tahoma" w:eastAsia="Times New Roman" w:hAnsi="Tahoma" w:cs="Times New Roman"/>
      <w:sz w:val="24"/>
      <w:szCs w:val="20"/>
      <w:lang w:val="es-ES" w:eastAsia="es-ES"/>
    </w:rPr>
  </w:style>
  <w:style w:type="character" w:customStyle="1" w:styleId="Ttulo3Car">
    <w:name w:val="Título 3 Car"/>
    <w:basedOn w:val="Fuentedeprrafopredeter"/>
    <w:link w:val="Ttulo3"/>
    <w:rsid w:val="00674800"/>
    <w:rPr>
      <w:rFonts w:ascii="Tahoma" w:eastAsia="Times New Roman" w:hAnsi="Tahoma" w:cs="Times New Roman"/>
      <w:sz w:val="24"/>
      <w:szCs w:val="20"/>
      <w:lang w:val="es-ES" w:eastAsia="es-ES"/>
    </w:rPr>
  </w:style>
  <w:style w:type="paragraph" w:styleId="Textoindependiente">
    <w:name w:val="Body Text"/>
    <w:basedOn w:val="Normal"/>
    <w:link w:val="TextoindependienteCar"/>
    <w:rsid w:val="00674800"/>
    <w:pPr>
      <w:jc w:val="both"/>
    </w:pPr>
    <w:rPr>
      <w:rFonts w:ascii="Comic Sans MS" w:hAnsi="Comic Sans MS"/>
      <w:sz w:val="24"/>
      <w:lang w:val="es-ES_tradnl"/>
    </w:rPr>
  </w:style>
  <w:style w:type="character" w:customStyle="1" w:styleId="TextoindependienteCar">
    <w:name w:val="Texto independiente Car"/>
    <w:basedOn w:val="Fuentedeprrafopredeter"/>
    <w:link w:val="Textoindependiente"/>
    <w:rsid w:val="00674800"/>
    <w:rPr>
      <w:rFonts w:ascii="Comic Sans MS" w:eastAsia="Times New Roman" w:hAnsi="Comic Sans MS" w:cs="Times New Roman"/>
      <w:sz w:val="24"/>
      <w:szCs w:val="20"/>
      <w:lang w:val="es-ES_tradnl" w:eastAsia="es-ES"/>
    </w:rPr>
  </w:style>
  <w:style w:type="paragraph" w:styleId="Sangra3detindependiente">
    <w:name w:val="Body Text Indent 3"/>
    <w:basedOn w:val="Normal"/>
    <w:link w:val="Sangra3detindependienteCar"/>
    <w:rsid w:val="00674800"/>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674800"/>
    <w:rPr>
      <w:rFonts w:ascii="Times New Roman" w:eastAsia="Times New Roman" w:hAnsi="Times New Roman" w:cs="Times New Roman"/>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800"/>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674800"/>
    <w:pPr>
      <w:keepNext/>
      <w:tabs>
        <w:tab w:val="left" w:pos="180"/>
      </w:tabs>
      <w:jc w:val="right"/>
      <w:outlineLvl w:val="0"/>
    </w:pPr>
    <w:rPr>
      <w:rFonts w:ascii="Tahoma" w:hAnsi="Tahoma"/>
      <w:sz w:val="24"/>
    </w:rPr>
  </w:style>
  <w:style w:type="paragraph" w:styleId="Ttulo3">
    <w:name w:val="heading 3"/>
    <w:basedOn w:val="Normal"/>
    <w:next w:val="Normal"/>
    <w:link w:val="Ttulo3Car"/>
    <w:qFormat/>
    <w:rsid w:val="00674800"/>
    <w:pPr>
      <w:keepNext/>
      <w:jc w:val="center"/>
      <w:outlineLvl w:val="2"/>
    </w:pPr>
    <w:rPr>
      <w:rFonts w:ascii="Tahoma" w:hAnsi="Tahom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74800"/>
    <w:rPr>
      <w:rFonts w:ascii="Tahoma" w:eastAsia="Times New Roman" w:hAnsi="Tahoma" w:cs="Times New Roman"/>
      <w:sz w:val="24"/>
      <w:szCs w:val="20"/>
      <w:lang w:val="es-ES" w:eastAsia="es-ES"/>
    </w:rPr>
  </w:style>
  <w:style w:type="character" w:customStyle="1" w:styleId="Ttulo3Car">
    <w:name w:val="Título 3 Car"/>
    <w:basedOn w:val="Fuentedeprrafopredeter"/>
    <w:link w:val="Ttulo3"/>
    <w:rsid w:val="00674800"/>
    <w:rPr>
      <w:rFonts w:ascii="Tahoma" w:eastAsia="Times New Roman" w:hAnsi="Tahoma" w:cs="Times New Roman"/>
      <w:sz w:val="24"/>
      <w:szCs w:val="20"/>
      <w:lang w:val="es-ES" w:eastAsia="es-ES"/>
    </w:rPr>
  </w:style>
  <w:style w:type="paragraph" w:styleId="Textoindependiente">
    <w:name w:val="Body Text"/>
    <w:basedOn w:val="Normal"/>
    <w:link w:val="TextoindependienteCar"/>
    <w:rsid w:val="00674800"/>
    <w:pPr>
      <w:jc w:val="both"/>
    </w:pPr>
    <w:rPr>
      <w:rFonts w:ascii="Comic Sans MS" w:hAnsi="Comic Sans MS"/>
      <w:sz w:val="24"/>
      <w:lang w:val="es-ES_tradnl"/>
    </w:rPr>
  </w:style>
  <w:style w:type="character" w:customStyle="1" w:styleId="TextoindependienteCar">
    <w:name w:val="Texto independiente Car"/>
    <w:basedOn w:val="Fuentedeprrafopredeter"/>
    <w:link w:val="Textoindependiente"/>
    <w:rsid w:val="00674800"/>
    <w:rPr>
      <w:rFonts w:ascii="Comic Sans MS" w:eastAsia="Times New Roman" w:hAnsi="Comic Sans MS" w:cs="Times New Roman"/>
      <w:sz w:val="24"/>
      <w:szCs w:val="20"/>
      <w:lang w:val="es-ES_tradnl" w:eastAsia="es-ES"/>
    </w:rPr>
  </w:style>
  <w:style w:type="paragraph" w:styleId="Sangra3detindependiente">
    <w:name w:val="Body Text Indent 3"/>
    <w:basedOn w:val="Normal"/>
    <w:link w:val="Sangra3detindependienteCar"/>
    <w:rsid w:val="00674800"/>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674800"/>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1332</Words>
  <Characters>7326</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 Vittori</dc:creator>
  <cp:keywords/>
  <dc:description/>
  <cp:lastModifiedBy>Marisa Sar</cp:lastModifiedBy>
  <cp:revision>7</cp:revision>
  <dcterms:created xsi:type="dcterms:W3CDTF">2022-10-19T18:47:00Z</dcterms:created>
  <dcterms:modified xsi:type="dcterms:W3CDTF">2022-10-19T20:22:00Z</dcterms:modified>
</cp:coreProperties>
</file>