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EA401" w14:textId="4A4A08FF" w:rsidR="00AA4290" w:rsidRPr="00575622" w:rsidRDefault="00B61091" w:rsidP="0057562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CF75F7">
        <w:rPr>
          <w:noProof/>
          <w:sz w:val="20"/>
          <w:lang w:val="es-AR" w:eastAsia="es-AR"/>
        </w:rPr>
        <w:drawing>
          <wp:inline distT="0" distB="0" distL="0" distR="0" wp14:anchorId="4454B05A" wp14:editId="4312772D">
            <wp:extent cx="2043165" cy="713105"/>
            <wp:effectExtent l="0" t="0" r="0" b="0"/>
            <wp:docPr id="1" name="Imagen 1" descr="F:\USUARIOS\Finanzas Corporativas\COLOCACIONES\PACK INFO PARA COLOCACIONES\Logo Banco Mariva para Dig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USUARIOS\Finanzas Corporativas\COLOCACIONES\PACK INFO PARA COLOCACIONES\Logo Banco Mariva para Digita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62" t="33496" r="15772" b="32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744" cy="72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612D6DBF" w:rsidRPr="501B8F70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</w:p>
    <w:p w14:paraId="585E316A" w14:textId="77777777" w:rsidR="00316494" w:rsidRDefault="00316494" w:rsidP="2EE07B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51C24F94" w14:textId="66795928" w:rsidR="00AA4290" w:rsidRDefault="612D6DBF" w:rsidP="2EE07B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2EE07B4F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BANCO </w:t>
      </w:r>
      <w:r w:rsidR="00B61091">
        <w:rPr>
          <w:rFonts w:ascii="Times New Roman" w:eastAsia="Times New Roman" w:hAnsi="Times New Roman" w:cs="Times New Roman"/>
          <w:b/>
          <w:bCs/>
          <w:sz w:val="22"/>
          <w:szCs w:val="22"/>
        </w:rPr>
        <w:t>MARIVA</w:t>
      </w:r>
      <w:r w:rsidRPr="2EE07B4F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S.A.</w:t>
      </w:r>
    </w:p>
    <w:p w14:paraId="3163B1B3" w14:textId="0BA55489" w:rsidR="00AA4290" w:rsidRDefault="612D6DBF" w:rsidP="501B8F70">
      <w:pPr>
        <w:spacing w:after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501B8F70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</w:p>
    <w:p w14:paraId="65BA3B04" w14:textId="4725B949" w:rsidR="00711944" w:rsidRPr="001D1676" w:rsidRDefault="612D6DBF" w:rsidP="00711944">
      <w:pPr>
        <w:spacing w:after="0"/>
        <w:jc w:val="both"/>
        <w:rPr>
          <w:rFonts w:ascii="Times New Roman" w:eastAsia="Times New Roman" w:hAnsi="Times New Roman" w:cs="Times New Roman"/>
          <w:iCs/>
          <w:sz w:val="22"/>
          <w:szCs w:val="22"/>
          <w:lang w:val="es-AR"/>
        </w:rPr>
      </w:pPr>
      <w:r w:rsidRPr="234562E6">
        <w:rPr>
          <w:rFonts w:ascii="Times New Roman" w:eastAsia="Times New Roman" w:hAnsi="Times New Roman" w:cs="Times New Roman"/>
          <w:sz w:val="22"/>
          <w:szCs w:val="22"/>
        </w:rPr>
        <w:t>Se hace saber por un día, en cumplimiento de lo establecido por el artículo 10 de la Ley N° 23.576 y sus modificatorias (la “</w:t>
      </w:r>
      <w:r w:rsidRPr="234562E6">
        <w:rPr>
          <w:rFonts w:ascii="Times New Roman" w:eastAsia="Times New Roman" w:hAnsi="Times New Roman" w:cs="Times New Roman"/>
          <w:b/>
          <w:bCs/>
          <w:sz w:val="22"/>
          <w:szCs w:val="22"/>
        </w:rPr>
        <w:t>LON</w:t>
      </w:r>
      <w:r w:rsidRPr="234562E6">
        <w:rPr>
          <w:rFonts w:ascii="Times New Roman" w:eastAsia="Times New Roman" w:hAnsi="Times New Roman" w:cs="Times New Roman"/>
          <w:sz w:val="22"/>
          <w:szCs w:val="22"/>
        </w:rPr>
        <w:t xml:space="preserve">”), que: </w:t>
      </w:r>
      <w:r w:rsidRPr="234562E6">
        <w:rPr>
          <w:rFonts w:ascii="Times New Roman" w:eastAsia="Times New Roman" w:hAnsi="Times New Roman" w:cs="Times New Roman"/>
          <w:b/>
          <w:bCs/>
          <w:sz w:val="22"/>
          <w:szCs w:val="22"/>
        </w:rPr>
        <w:t>(a)</w:t>
      </w:r>
      <w:r w:rsidRPr="234562E6">
        <w:rPr>
          <w:rFonts w:ascii="Times New Roman" w:eastAsia="Times New Roman" w:hAnsi="Times New Roman" w:cs="Times New Roman"/>
          <w:sz w:val="22"/>
          <w:szCs w:val="22"/>
        </w:rPr>
        <w:t xml:space="preserve"> de conformidad con lo resuelto</w:t>
      </w:r>
      <w:r w:rsidR="00205D86">
        <w:rPr>
          <w:rFonts w:ascii="Times New Roman" w:eastAsia="Times New Roman" w:hAnsi="Times New Roman" w:cs="Times New Roman"/>
          <w:sz w:val="22"/>
          <w:szCs w:val="22"/>
        </w:rPr>
        <w:t xml:space="preserve"> por</w:t>
      </w:r>
      <w:r w:rsidRPr="234562E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65AA7">
        <w:rPr>
          <w:rFonts w:ascii="Times New Roman" w:eastAsia="Times New Roman" w:hAnsi="Times New Roman" w:cs="Times New Roman"/>
          <w:sz w:val="22"/>
          <w:szCs w:val="22"/>
        </w:rPr>
        <w:t xml:space="preserve">el </w:t>
      </w:r>
      <w:r w:rsidR="00165AA7" w:rsidRPr="00165AA7">
        <w:rPr>
          <w:rFonts w:ascii="Times New Roman" w:eastAsia="Times New Roman" w:hAnsi="Times New Roman" w:cs="Times New Roman"/>
          <w:sz w:val="22"/>
          <w:szCs w:val="22"/>
        </w:rPr>
        <w:t>acta de subdelegado de fecha</w:t>
      </w:r>
      <w:r w:rsidR="0085411F">
        <w:rPr>
          <w:rFonts w:ascii="Times New Roman" w:eastAsia="Times New Roman" w:hAnsi="Times New Roman" w:cs="Times New Roman"/>
          <w:sz w:val="22"/>
          <w:szCs w:val="22"/>
        </w:rPr>
        <w:t xml:space="preserve"> 01</w:t>
      </w:r>
      <w:r w:rsidR="009F707B">
        <w:rPr>
          <w:rFonts w:ascii="Times New Roman" w:eastAsia="Times New Roman" w:hAnsi="Times New Roman" w:cs="Times New Roman"/>
          <w:sz w:val="22"/>
          <w:szCs w:val="22"/>
        </w:rPr>
        <w:t xml:space="preserve"> de </w:t>
      </w:r>
      <w:r w:rsidR="0085411F">
        <w:rPr>
          <w:rFonts w:ascii="Times New Roman" w:eastAsia="Times New Roman" w:hAnsi="Times New Roman" w:cs="Times New Roman"/>
          <w:sz w:val="22"/>
          <w:szCs w:val="22"/>
        </w:rPr>
        <w:t>octubre</w:t>
      </w:r>
      <w:r w:rsidR="009F707B">
        <w:rPr>
          <w:rFonts w:ascii="Times New Roman" w:eastAsia="Times New Roman" w:hAnsi="Times New Roman" w:cs="Times New Roman"/>
          <w:sz w:val="22"/>
          <w:szCs w:val="22"/>
        </w:rPr>
        <w:t xml:space="preserve"> de 2025</w:t>
      </w:r>
      <w:r w:rsidR="00165AA7" w:rsidRPr="00165AA7">
        <w:rPr>
          <w:rFonts w:ascii="Times New Roman" w:eastAsia="Times New Roman" w:hAnsi="Times New Roman" w:cs="Times New Roman"/>
          <w:sz w:val="22"/>
          <w:szCs w:val="22"/>
        </w:rPr>
        <w:t xml:space="preserve"> conforme las facultades subdelegadas por acta de directorio de fecha </w:t>
      </w:r>
      <w:r w:rsidR="00A917AC" w:rsidRPr="00A917A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50913">
        <w:rPr>
          <w:rFonts w:ascii="Times New Roman" w:eastAsia="Times New Roman" w:hAnsi="Times New Roman" w:cs="Times New Roman"/>
          <w:sz w:val="22"/>
          <w:szCs w:val="22"/>
        </w:rPr>
        <w:t>29</w:t>
      </w:r>
      <w:r w:rsidR="00A917AC" w:rsidRPr="00A917AC">
        <w:rPr>
          <w:rFonts w:ascii="Times New Roman" w:eastAsia="Times New Roman" w:hAnsi="Times New Roman" w:cs="Times New Roman"/>
          <w:sz w:val="22"/>
          <w:szCs w:val="22"/>
        </w:rPr>
        <w:t xml:space="preserve"> de septiembre de 2025</w:t>
      </w:r>
      <w:r w:rsidR="00A917A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234562E6">
        <w:rPr>
          <w:rFonts w:ascii="Times New Roman" w:eastAsia="Times New Roman" w:hAnsi="Times New Roman" w:cs="Times New Roman"/>
          <w:sz w:val="22"/>
          <w:szCs w:val="22"/>
        </w:rPr>
        <w:t>de</w:t>
      </w:r>
      <w:r w:rsidR="00205D86">
        <w:rPr>
          <w:rFonts w:ascii="Times New Roman" w:eastAsia="Times New Roman" w:hAnsi="Times New Roman" w:cs="Times New Roman"/>
          <w:sz w:val="22"/>
          <w:szCs w:val="22"/>
        </w:rPr>
        <w:t>l</w:t>
      </w:r>
      <w:r w:rsidRPr="234562E6">
        <w:rPr>
          <w:rFonts w:ascii="Times New Roman" w:eastAsia="Times New Roman" w:hAnsi="Times New Roman" w:cs="Times New Roman"/>
          <w:sz w:val="22"/>
          <w:szCs w:val="22"/>
        </w:rPr>
        <w:t xml:space="preserve"> Banco </w:t>
      </w:r>
      <w:r w:rsidR="009F707B">
        <w:rPr>
          <w:rFonts w:ascii="Times New Roman" w:eastAsia="Times New Roman" w:hAnsi="Times New Roman" w:cs="Times New Roman"/>
          <w:sz w:val="22"/>
          <w:szCs w:val="22"/>
        </w:rPr>
        <w:t>Mariva S.A.</w:t>
      </w:r>
      <w:r w:rsidRPr="234562E6">
        <w:rPr>
          <w:rFonts w:ascii="Times New Roman" w:eastAsia="Times New Roman" w:hAnsi="Times New Roman" w:cs="Times New Roman"/>
          <w:sz w:val="22"/>
          <w:szCs w:val="22"/>
        </w:rPr>
        <w:t xml:space="preserve"> (el </w:t>
      </w:r>
      <w:r w:rsidRPr="234562E6">
        <w:rPr>
          <w:rFonts w:ascii="Times New Roman" w:eastAsia="Times New Roman" w:hAnsi="Times New Roman" w:cs="Times New Roman"/>
          <w:b/>
          <w:bCs/>
          <w:sz w:val="22"/>
          <w:szCs w:val="22"/>
        </w:rPr>
        <w:t>“Emisor"</w:t>
      </w:r>
      <w:r w:rsidRPr="234562E6">
        <w:rPr>
          <w:rFonts w:ascii="Times New Roman" w:eastAsia="Times New Roman" w:hAnsi="Times New Roman" w:cs="Times New Roman"/>
          <w:sz w:val="22"/>
          <w:szCs w:val="22"/>
        </w:rPr>
        <w:t xml:space="preserve"> o el “</w:t>
      </w:r>
      <w:r w:rsidRPr="234562E6">
        <w:rPr>
          <w:rFonts w:ascii="Times New Roman" w:eastAsia="Times New Roman" w:hAnsi="Times New Roman" w:cs="Times New Roman"/>
          <w:b/>
          <w:bCs/>
          <w:sz w:val="22"/>
          <w:szCs w:val="22"/>
        </w:rPr>
        <w:t>Banco</w:t>
      </w:r>
      <w:r w:rsidRPr="234562E6">
        <w:rPr>
          <w:rFonts w:ascii="Times New Roman" w:eastAsia="Times New Roman" w:hAnsi="Times New Roman" w:cs="Times New Roman"/>
          <w:sz w:val="22"/>
          <w:szCs w:val="22"/>
        </w:rPr>
        <w:t xml:space="preserve">”, indistintamente) se han emitido las obligaciones negociables </w:t>
      </w:r>
      <w:r w:rsidR="0048712E">
        <w:rPr>
          <w:rFonts w:ascii="Times New Roman" w:eastAsia="Times New Roman" w:hAnsi="Times New Roman" w:cs="Times New Roman"/>
          <w:sz w:val="22"/>
          <w:szCs w:val="22"/>
        </w:rPr>
        <w:t xml:space="preserve">Serie </w:t>
      </w:r>
      <w:r w:rsidR="00A50913">
        <w:rPr>
          <w:rFonts w:ascii="Times New Roman" w:eastAsia="Times New Roman" w:hAnsi="Times New Roman" w:cs="Times New Roman"/>
          <w:sz w:val="22"/>
          <w:szCs w:val="22"/>
        </w:rPr>
        <w:t>I</w:t>
      </w:r>
      <w:r w:rsidR="0048712E">
        <w:rPr>
          <w:rFonts w:ascii="Times New Roman" w:eastAsia="Times New Roman" w:hAnsi="Times New Roman" w:cs="Times New Roman"/>
          <w:sz w:val="22"/>
          <w:szCs w:val="22"/>
        </w:rPr>
        <w:t>I</w:t>
      </w:r>
      <w:r w:rsidRPr="234562E6">
        <w:rPr>
          <w:rFonts w:ascii="Times New Roman" w:eastAsia="Times New Roman" w:hAnsi="Times New Roman" w:cs="Times New Roman"/>
          <w:sz w:val="22"/>
          <w:szCs w:val="22"/>
        </w:rPr>
        <w:t>,</w:t>
      </w:r>
      <w:r w:rsidRPr="234562E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234562E6">
        <w:rPr>
          <w:rFonts w:ascii="Times New Roman" w:eastAsia="Times New Roman" w:hAnsi="Times New Roman" w:cs="Times New Roman"/>
          <w:sz w:val="22"/>
          <w:szCs w:val="22"/>
        </w:rPr>
        <w:t>(las “</w:t>
      </w:r>
      <w:r w:rsidRPr="234562E6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Obligaciones Negociables </w:t>
      </w:r>
      <w:r w:rsidR="0048712E">
        <w:rPr>
          <w:rFonts w:ascii="Times New Roman" w:eastAsia="Times New Roman" w:hAnsi="Times New Roman" w:cs="Times New Roman"/>
          <w:b/>
          <w:bCs/>
          <w:sz w:val="22"/>
          <w:szCs w:val="22"/>
        </w:rPr>
        <w:t>Serie I</w:t>
      </w:r>
      <w:r w:rsidR="00A50913">
        <w:rPr>
          <w:rFonts w:ascii="Times New Roman" w:eastAsia="Times New Roman" w:hAnsi="Times New Roman" w:cs="Times New Roman"/>
          <w:b/>
          <w:bCs/>
          <w:sz w:val="22"/>
          <w:szCs w:val="22"/>
        </w:rPr>
        <w:t>I</w:t>
      </w:r>
      <w:r w:rsidRPr="234562E6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234562E6">
        <w:rPr>
          <w:rFonts w:ascii="Times New Roman" w:eastAsia="Times New Roman" w:hAnsi="Times New Roman" w:cs="Times New Roman"/>
          <w:sz w:val="22"/>
          <w:szCs w:val="22"/>
        </w:rPr>
        <w:t>o las “</w:t>
      </w:r>
      <w:r w:rsidRPr="234562E6">
        <w:rPr>
          <w:rFonts w:ascii="Times New Roman" w:eastAsia="Times New Roman" w:hAnsi="Times New Roman" w:cs="Times New Roman"/>
          <w:b/>
          <w:bCs/>
          <w:sz w:val="22"/>
          <w:szCs w:val="22"/>
        </w:rPr>
        <w:t>Obligaciones Negociables</w:t>
      </w:r>
      <w:r w:rsidRPr="234562E6">
        <w:rPr>
          <w:rFonts w:ascii="Times New Roman" w:eastAsia="Times New Roman" w:hAnsi="Times New Roman" w:cs="Times New Roman"/>
          <w:sz w:val="22"/>
          <w:szCs w:val="22"/>
        </w:rPr>
        <w:t xml:space="preserve">”, indistintamente) en el marco del (i) </w:t>
      </w:r>
      <w:r w:rsidR="00947FB4" w:rsidRPr="00947FB4">
        <w:rPr>
          <w:rFonts w:ascii="Times New Roman" w:eastAsia="Times New Roman" w:hAnsi="Times New Roman" w:cs="Times New Roman"/>
          <w:sz w:val="22"/>
          <w:szCs w:val="22"/>
        </w:rPr>
        <w:t>Programa Global de Obligaciones Negociables Simples a Corto, Mediano y Largo Plazo, por hasta un monto total en circ</w:t>
      </w:r>
      <w:bookmarkStart w:id="0" w:name="_GoBack"/>
      <w:bookmarkEnd w:id="0"/>
      <w:r w:rsidR="00947FB4" w:rsidRPr="00947FB4">
        <w:rPr>
          <w:rFonts w:ascii="Times New Roman" w:eastAsia="Times New Roman" w:hAnsi="Times New Roman" w:cs="Times New Roman"/>
          <w:sz w:val="22"/>
          <w:szCs w:val="22"/>
        </w:rPr>
        <w:t>ulación de hasta US$ 100.000.000 (Dólares Estadounidenses cien millones) (o su equivalente en cualquier moneda y/o unidades de valor y/o medida</w:t>
      </w:r>
      <w:r w:rsidR="00A917AC"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  <w:r w:rsidRPr="234562E6">
        <w:rPr>
          <w:rFonts w:ascii="Times New Roman" w:eastAsia="Times New Roman" w:hAnsi="Times New Roman" w:cs="Times New Roman"/>
          <w:sz w:val="22"/>
          <w:szCs w:val="22"/>
        </w:rPr>
        <w:t xml:space="preserve">de fecha </w:t>
      </w:r>
      <w:r w:rsidR="00AE5F95">
        <w:rPr>
          <w:rFonts w:ascii="Times New Roman" w:eastAsia="Times New Roman" w:hAnsi="Times New Roman" w:cs="Times New Roman"/>
          <w:sz w:val="22"/>
          <w:szCs w:val="22"/>
        </w:rPr>
        <w:t>26 de mayo de 2025</w:t>
      </w:r>
      <w:r w:rsidRPr="234562E6">
        <w:rPr>
          <w:rFonts w:ascii="Times New Roman" w:eastAsia="Times New Roman" w:hAnsi="Times New Roman" w:cs="Times New Roman"/>
          <w:sz w:val="22"/>
          <w:szCs w:val="22"/>
        </w:rPr>
        <w:t xml:space="preserve">, bajo el </w:t>
      </w:r>
      <w:r w:rsidRPr="00A917AC">
        <w:rPr>
          <w:rFonts w:ascii="Times New Roman" w:eastAsia="Times New Roman" w:hAnsi="Times New Roman" w:cs="Times New Roman"/>
          <w:sz w:val="22"/>
          <w:szCs w:val="22"/>
        </w:rPr>
        <w:t xml:space="preserve">Régimen </w:t>
      </w:r>
      <w:r w:rsidR="00116E08" w:rsidRPr="00A917AC">
        <w:rPr>
          <w:rFonts w:ascii="Times New Roman" w:eastAsia="Times New Roman" w:hAnsi="Times New Roman" w:cs="Times New Roman"/>
          <w:sz w:val="22"/>
          <w:szCs w:val="22"/>
        </w:rPr>
        <w:t>General</w:t>
      </w:r>
      <w:r w:rsidR="00A917AC">
        <w:rPr>
          <w:rFonts w:ascii="Times New Roman" w:eastAsia="Times New Roman" w:hAnsi="Times New Roman" w:cs="Times New Roman"/>
          <w:sz w:val="22"/>
          <w:szCs w:val="22"/>
        </w:rPr>
        <w:t xml:space="preserve"> (el “</w:t>
      </w:r>
      <w:r w:rsidR="00A917AC" w:rsidRPr="00130C26">
        <w:rPr>
          <w:rFonts w:ascii="Times New Roman" w:eastAsia="Times New Roman" w:hAnsi="Times New Roman" w:cs="Times New Roman"/>
          <w:b/>
          <w:bCs/>
          <w:sz w:val="22"/>
          <w:szCs w:val="22"/>
        </w:rPr>
        <w:t>Programa</w:t>
      </w:r>
      <w:r w:rsidR="00A917AC">
        <w:rPr>
          <w:rFonts w:ascii="Times New Roman" w:eastAsia="Times New Roman" w:hAnsi="Times New Roman" w:cs="Times New Roman"/>
          <w:sz w:val="22"/>
          <w:szCs w:val="22"/>
        </w:rPr>
        <w:t>”)</w:t>
      </w:r>
      <w:r w:rsidRPr="234562E6">
        <w:rPr>
          <w:rFonts w:ascii="Times New Roman" w:eastAsia="Times New Roman" w:hAnsi="Times New Roman" w:cs="Times New Roman"/>
          <w:sz w:val="22"/>
          <w:szCs w:val="22"/>
        </w:rPr>
        <w:t>; (ii)</w:t>
      </w:r>
      <w:r w:rsidR="0013301A" w:rsidRPr="234562E6" w:rsidDel="0013301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917AC">
        <w:rPr>
          <w:rFonts w:ascii="Times New Roman" w:eastAsia="Times New Roman" w:hAnsi="Times New Roman" w:cs="Times New Roman"/>
          <w:b/>
          <w:bCs/>
          <w:sz w:val="22"/>
          <w:szCs w:val="22"/>
        </w:rPr>
        <w:t>s</w:t>
      </w:r>
      <w:r w:rsidR="0013301A" w:rsidRPr="234562E6">
        <w:rPr>
          <w:rFonts w:ascii="Times New Roman" w:eastAsia="Times New Roman" w:hAnsi="Times New Roman" w:cs="Times New Roman"/>
          <w:sz w:val="22"/>
          <w:szCs w:val="22"/>
        </w:rPr>
        <w:t xml:space="preserve">uplemento de </w:t>
      </w:r>
      <w:r w:rsidR="00A917AC">
        <w:rPr>
          <w:rFonts w:ascii="Times New Roman" w:eastAsia="Times New Roman" w:hAnsi="Times New Roman" w:cs="Times New Roman"/>
          <w:sz w:val="22"/>
          <w:szCs w:val="22"/>
        </w:rPr>
        <w:t>p</w:t>
      </w:r>
      <w:r w:rsidR="0013301A" w:rsidRPr="234562E6">
        <w:rPr>
          <w:rFonts w:ascii="Times New Roman" w:eastAsia="Times New Roman" w:hAnsi="Times New Roman" w:cs="Times New Roman"/>
          <w:sz w:val="22"/>
          <w:szCs w:val="22"/>
        </w:rPr>
        <w:t xml:space="preserve">rospecto de fecha </w:t>
      </w:r>
      <w:r w:rsidR="00A50913">
        <w:rPr>
          <w:rFonts w:ascii="Times New Roman" w:eastAsia="Times New Roman" w:hAnsi="Times New Roman" w:cs="Times New Roman"/>
          <w:sz w:val="22"/>
          <w:szCs w:val="22"/>
        </w:rPr>
        <w:t>1°</w:t>
      </w:r>
      <w:r w:rsidR="00D74FB2">
        <w:rPr>
          <w:rFonts w:ascii="Times New Roman" w:eastAsia="Times New Roman" w:hAnsi="Times New Roman" w:cs="Times New Roman"/>
          <w:sz w:val="22"/>
          <w:szCs w:val="22"/>
        </w:rPr>
        <w:t xml:space="preserve"> de </w:t>
      </w:r>
      <w:r w:rsidR="00A50913">
        <w:rPr>
          <w:rFonts w:ascii="Times New Roman" w:eastAsia="Times New Roman" w:hAnsi="Times New Roman" w:cs="Times New Roman"/>
          <w:sz w:val="22"/>
          <w:szCs w:val="22"/>
        </w:rPr>
        <w:t>octubre</w:t>
      </w:r>
      <w:r w:rsidR="00D74FB2">
        <w:rPr>
          <w:rFonts w:ascii="Times New Roman" w:eastAsia="Times New Roman" w:hAnsi="Times New Roman" w:cs="Times New Roman"/>
          <w:sz w:val="22"/>
          <w:szCs w:val="22"/>
        </w:rPr>
        <w:t xml:space="preserve"> de 2025</w:t>
      </w:r>
      <w:r w:rsidR="0013301A" w:rsidRPr="234562E6">
        <w:rPr>
          <w:rFonts w:ascii="Times New Roman" w:eastAsia="Times New Roman" w:hAnsi="Times New Roman" w:cs="Times New Roman"/>
          <w:sz w:val="22"/>
          <w:szCs w:val="22"/>
        </w:rPr>
        <w:t xml:space="preserve"> (el “</w:t>
      </w:r>
      <w:r w:rsidR="0013301A" w:rsidRPr="234562E6">
        <w:rPr>
          <w:rFonts w:ascii="Times New Roman" w:eastAsia="Times New Roman" w:hAnsi="Times New Roman" w:cs="Times New Roman"/>
          <w:b/>
          <w:bCs/>
          <w:sz w:val="22"/>
          <w:szCs w:val="22"/>
        </w:rPr>
        <w:t>Sup</w:t>
      </w:r>
      <w:r w:rsidR="000343EC">
        <w:rPr>
          <w:rFonts w:ascii="Times New Roman" w:eastAsia="Times New Roman" w:hAnsi="Times New Roman" w:cs="Times New Roman"/>
          <w:b/>
          <w:bCs/>
          <w:sz w:val="22"/>
          <w:szCs w:val="22"/>
        </w:rPr>
        <w:t>leme</w:t>
      </w:r>
      <w:r w:rsidRPr="234562E6">
        <w:rPr>
          <w:rFonts w:ascii="Times New Roman" w:eastAsia="Times New Roman" w:hAnsi="Times New Roman" w:cs="Times New Roman"/>
          <w:b/>
          <w:bCs/>
          <w:sz w:val="22"/>
          <w:szCs w:val="22"/>
        </w:rPr>
        <w:t>nto de Prospecto</w:t>
      </w:r>
      <w:r w:rsidRPr="234562E6">
        <w:rPr>
          <w:rFonts w:ascii="Times New Roman" w:eastAsia="Times New Roman" w:hAnsi="Times New Roman" w:cs="Times New Roman"/>
          <w:sz w:val="22"/>
          <w:szCs w:val="22"/>
        </w:rPr>
        <w:t>”)</w:t>
      </w:r>
      <w:r w:rsidR="005E15D1">
        <w:rPr>
          <w:rFonts w:ascii="Times New Roman" w:eastAsia="Times New Roman" w:hAnsi="Times New Roman" w:cs="Times New Roman"/>
          <w:sz w:val="22"/>
          <w:szCs w:val="22"/>
        </w:rPr>
        <w:t xml:space="preserve">; </w:t>
      </w:r>
      <w:r w:rsidRPr="234562E6">
        <w:rPr>
          <w:rFonts w:ascii="Times New Roman" w:eastAsia="Times New Roman" w:hAnsi="Times New Roman" w:cs="Times New Roman"/>
          <w:sz w:val="22"/>
          <w:szCs w:val="22"/>
        </w:rPr>
        <w:t xml:space="preserve">(iii) el aviso de suscripción de fecha </w:t>
      </w:r>
      <w:r w:rsidR="00A50913">
        <w:rPr>
          <w:rFonts w:ascii="Times New Roman" w:eastAsia="Times New Roman" w:hAnsi="Times New Roman" w:cs="Times New Roman"/>
          <w:sz w:val="22"/>
          <w:szCs w:val="22"/>
        </w:rPr>
        <w:t>1° de octubre</w:t>
      </w:r>
      <w:r w:rsidR="005E15D1" w:rsidRPr="005E15D1">
        <w:rPr>
          <w:rFonts w:ascii="Times New Roman" w:eastAsia="Times New Roman" w:hAnsi="Times New Roman" w:cs="Times New Roman"/>
          <w:sz w:val="22"/>
          <w:szCs w:val="22"/>
        </w:rPr>
        <w:t xml:space="preserve"> de 2025</w:t>
      </w:r>
      <w:r w:rsidR="005E15D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234562E6">
        <w:rPr>
          <w:rFonts w:ascii="Times New Roman" w:eastAsia="Times New Roman" w:hAnsi="Times New Roman" w:cs="Times New Roman"/>
          <w:sz w:val="22"/>
          <w:szCs w:val="22"/>
        </w:rPr>
        <w:t>(el “</w:t>
      </w:r>
      <w:r w:rsidRPr="234562E6">
        <w:rPr>
          <w:rFonts w:ascii="Times New Roman" w:eastAsia="Times New Roman" w:hAnsi="Times New Roman" w:cs="Times New Roman"/>
          <w:b/>
          <w:bCs/>
          <w:sz w:val="22"/>
          <w:szCs w:val="22"/>
        </w:rPr>
        <w:t>Aviso de Suscripción</w:t>
      </w:r>
      <w:r w:rsidRPr="234562E6">
        <w:rPr>
          <w:rFonts w:ascii="Times New Roman" w:eastAsia="Times New Roman" w:hAnsi="Times New Roman" w:cs="Times New Roman"/>
          <w:sz w:val="22"/>
          <w:szCs w:val="22"/>
        </w:rPr>
        <w:t>”)</w:t>
      </w:r>
      <w:r w:rsidR="005E15D1">
        <w:rPr>
          <w:rFonts w:ascii="Times New Roman" w:eastAsia="Times New Roman" w:hAnsi="Times New Roman" w:cs="Times New Roman"/>
          <w:sz w:val="22"/>
          <w:szCs w:val="22"/>
        </w:rPr>
        <w:t xml:space="preserve"> y </w:t>
      </w:r>
      <w:r w:rsidR="00C708E7">
        <w:rPr>
          <w:rFonts w:ascii="Times New Roman" w:eastAsia="Times New Roman" w:hAnsi="Times New Roman" w:cs="Times New Roman"/>
          <w:sz w:val="22"/>
          <w:szCs w:val="22"/>
        </w:rPr>
        <w:t>(iv) l</w:t>
      </w:r>
      <w:r w:rsidR="00A50913">
        <w:rPr>
          <w:rFonts w:ascii="Times New Roman" w:eastAsia="Times New Roman" w:hAnsi="Times New Roman" w:cs="Times New Roman"/>
          <w:sz w:val="22"/>
          <w:szCs w:val="22"/>
        </w:rPr>
        <w:t>a adenda y</w:t>
      </w:r>
      <w:r w:rsidR="00C708E7">
        <w:rPr>
          <w:rFonts w:ascii="Times New Roman" w:eastAsia="Times New Roman" w:hAnsi="Times New Roman" w:cs="Times New Roman"/>
          <w:sz w:val="22"/>
          <w:szCs w:val="22"/>
        </w:rPr>
        <w:t xml:space="preserve"> aviso complementario de fecha</w:t>
      </w:r>
      <w:r w:rsidR="00703B0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D0EF8">
        <w:rPr>
          <w:rFonts w:ascii="Times New Roman" w:eastAsia="Times New Roman" w:hAnsi="Times New Roman" w:cs="Times New Roman"/>
          <w:sz w:val="22"/>
          <w:szCs w:val="22"/>
        </w:rPr>
        <w:t xml:space="preserve">2 de </w:t>
      </w:r>
      <w:r w:rsidR="00A50913">
        <w:rPr>
          <w:rFonts w:ascii="Times New Roman" w:eastAsia="Times New Roman" w:hAnsi="Times New Roman" w:cs="Times New Roman"/>
          <w:sz w:val="22"/>
          <w:szCs w:val="22"/>
        </w:rPr>
        <w:t>octubre</w:t>
      </w:r>
      <w:r w:rsidR="00703B00">
        <w:rPr>
          <w:rFonts w:ascii="Times New Roman" w:eastAsia="Times New Roman" w:hAnsi="Times New Roman" w:cs="Times New Roman"/>
          <w:sz w:val="22"/>
          <w:szCs w:val="22"/>
        </w:rPr>
        <w:t xml:space="preserve"> de 2025</w:t>
      </w:r>
      <w:r w:rsidR="00C708E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FB0B8E">
        <w:rPr>
          <w:rFonts w:ascii="Times New Roman" w:eastAsia="Times New Roman" w:hAnsi="Times New Roman" w:cs="Times New Roman"/>
          <w:sz w:val="22"/>
          <w:szCs w:val="22"/>
        </w:rPr>
        <w:t>(l</w:t>
      </w:r>
      <w:r w:rsidR="00A50913">
        <w:rPr>
          <w:rFonts w:ascii="Times New Roman" w:eastAsia="Times New Roman" w:hAnsi="Times New Roman" w:cs="Times New Roman"/>
          <w:sz w:val="22"/>
          <w:szCs w:val="22"/>
        </w:rPr>
        <w:t>a</w:t>
      </w:r>
      <w:r w:rsidR="00FB0B8E">
        <w:rPr>
          <w:rFonts w:ascii="Times New Roman" w:eastAsia="Times New Roman" w:hAnsi="Times New Roman" w:cs="Times New Roman"/>
          <w:sz w:val="22"/>
          <w:szCs w:val="22"/>
        </w:rPr>
        <w:t xml:space="preserve"> “</w:t>
      </w:r>
      <w:r w:rsidR="00A50913" w:rsidRPr="00A50913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Adenda y </w:t>
      </w:r>
      <w:r w:rsidR="00FB0B8E" w:rsidRPr="00A50913">
        <w:rPr>
          <w:rFonts w:ascii="Times New Roman" w:eastAsia="Times New Roman" w:hAnsi="Times New Roman" w:cs="Times New Roman"/>
          <w:b/>
          <w:bCs/>
          <w:sz w:val="22"/>
          <w:szCs w:val="22"/>
        </w:rPr>
        <w:t>Aviso</w:t>
      </w:r>
      <w:r w:rsidR="00FB0B8E" w:rsidRPr="0057449E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Complementario</w:t>
      </w:r>
      <w:r w:rsidR="00FB0B8E">
        <w:rPr>
          <w:rFonts w:ascii="Times New Roman" w:eastAsia="Times New Roman" w:hAnsi="Times New Roman" w:cs="Times New Roman"/>
          <w:sz w:val="22"/>
          <w:szCs w:val="22"/>
        </w:rPr>
        <w:t>”)</w:t>
      </w:r>
      <w:r w:rsidR="00A917AC">
        <w:rPr>
          <w:rFonts w:ascii="Times New Roman" w:eastAsia="Times New Roman" w:hAnsi="Times New Roman" w:cs="Times New Roman"/>
          <w:sz w:val="22"/>
          <w:szCs w:val="22"/>
        </w:rPr>
        <w:t xml:space="preserve"> y el aviso de resultados de fecha </w:t>
      </w:r>
      <w:r w:rsidR="00A50913">
        <w:rPr>
          <w:rFonts w:ascii="Times New Roman" w:eastAsia="Times New Roman" w:hAnsi="Times New Roman" w:cs="Times New Roman"/>
          <w:sz w:val="22"/>
          <w:szCs w:val="22"/>
        </w:rPr>
        <w:t>3</w:t>
      </w:r>
      <w:r w:rsidR="00A917AC">
        <w:rPr>
          <w:rFonts w:ascii="Times New Roman" w:eastAsia="Times New Roman" w:hAnsi="Times New Roman" w:cs="Times New Roman"/>
          <w:sz w:val="22"/>
          <w:szCs w:val="22"/>
        </w:rPr>
        <w:t xml:space="preserve"> de </w:t>
      </w:r>
      <w:r w:rsidR="00A50913">
        <w:rPr>
          <w:rFonts w:ascii="Times New Roman" w:eastAsia="Times New Roman" w:hAnsi="Times New Roman" w:cs="Times New Roman"/>
          <w:sz w:val="22"/>
          <w:szCs w:val="22"/>
        </w:rPr>
        <w:t>octubre</w:t>
      </w:r>
      <w:r w:rsidR="00A917AC">
        <w:rPr>
          <w:rFonts w:ascii="Times New Roman" w:eastAsia="Times New Roman" w:hAnsi="Times New Roman" w:cs="Times New Roman"/>
          <w:sz w:val="22"/>
          <w:szCs w:val="22"/>
        </w:rPr>
        <w:t xml:space="preserve"> de 2025 (el “</w:t>
      </w:r>
      <w:r w:rsidR="00A917AC" w:rsidRPr="00130C26">
        <w:rPr>
          <w:rFonts w:ascii="Times New Roman" w:eastAsia="Times New Roman" w:hAnsi="Times New Roman" w:cs="Times New Roman"/>
          <w:b/>
          <w:bCs/>
          <w:sz w:val="22"/>
          <w:szCs w:val="22"/>
        </w:rPr>
        <w:t>Aviso de Resultados</w:t>
      </w:r>
      <w:r w:rsidR="00A917AC">
        <w:rPr>
          <w:rFonts w:ascii="Times New Roman" w:eastAsia="Times New Roman" w:hAnsi="Times New Roman" w:cs="Times New Roman"/>
          <w:sz w:val="22"/>
          <w:szCs w:val="22"/>
        </w:rPr>
        <w:t>”)</w:t>
      </w:r>
      <w:r w:rsidRPr="234562E6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Pr="234562E6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(b) </w:t>
      </w:r>
      <w:r w:rsidRPr="234562E6">
        <w:rPr>
          <w:rFonts w:ascii="Times New Roman" w:eastAsia="Times New Roman" w:hAnsi="Times New Roman" w:cs="Times New Roman"/>
          <w:sz w:val="22"/>
          <w:szCs w:val="22"/>
        </w:rPr>
        <w:t xml:space="preserve">El Banco tiene domicilio legal en </w:t>
      </w:r>
      <w:r w:rsidR="00FF7101" w:rsidRPr="00FF7101">
        <w:rPr>
          <w:rFonts w:ascii="Times New Roman" w:eastAsia="Times New Roman" w:hAnsi="Times New Roman" w:cs="Times New Roman"/>
          <w:sz w:val="22"/>
          <w:szCs w:val="22"/>
          <w:lang w:val="es-AR"/>
        </w:rPr>
        <w:t>Sarmiento 500, C1041AAJ, Ciudad Autónoma de Buenos Aires</w:t>
      </w:r>
      <w:r w:rsidRPr="234562E6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A917AC">
        <w:rPr>
          <w:rFonts w:ascii="Times New Roman" w:eastAsia="Times New Roman" w:hAnsi="Times New Roman" w:cs="Times New Roman"/>
          <w:sz w:val="22"/>
          <w:szCs w:val="22"/>
        </w:rPr>
        <w:t xml:space="preserve">República de </w:t>
      </w:r>
      <w:r w:rsidRPr="234562E6">
        <w:rPr>
          <w:rFonts w:ascii="Times New Roman" w:eastAsia="Times New Roman" w:hAnsi="Times New Roman" w:cs="Times New Roman"/>
          <w:sz w:val="22"/>
          <w:szCs w:val="22"/>
        </w:rPr>
        <w:t xml:space="preserve">Argentina con un plazo de duración que expira el </w:t>
      </w:r>
      <w:r w:rsidR="00974091" w:rsidRPr="00974091">
        <w:rPr>
          <w:rFonts w:ascii="Times New Roman" w:eastAsia="Times New Roman" w:hAnsi="Times New Roman" w:cs="Times New Roman"/>
          <w:sz w:val="22"/>
          <w:szCs w:val="22"/>
          <w:lang w:val="es-AR"/>
        </w:rPr>
        <w:t>28/03/2061</w:t>
      </w:r>
      <w:r w:rsidRPr="234562E6">
        <w:rPr>
          <w:rFonts w:ascii="Times New Roman" w:eastAsia="Times New Roman" w:hAnsi="Times New Roman" w:cs="Times New Roman"/>
          <w:sz w:val="22"/>
          <w:szCs w:val="22"/>
        </w:rPr>
        <w:t xml:space="preserve">, e inscripto </w:t>
      </w:r>
      <w:r w:rsidR="00B942B1" w:rsidRPr="234562E6">
        <w:rPr>
          <w:rFonts w:ascii="Times New Roman" w:eastAsia="Times New Roman" w:hAnsi="Times New Roman" w:cs="Times New Roman"/>
          <w:sz w:val="22"/>
          <w:szCs w:val="22"/>
        </w:rPr>
        <w:t xml:space="preserve">el día </w:t>
      </w:r>
      <w:r w:rsidR="00B942B1" w:rsidRPr="0078701E">
        <w:rPr>
          <w:rFonts w:ascii="Times New Roman" w:eastAsia="Times New Roman" w:hAnsi="Times New Roman" w:cs="Times New Roman"/>
          <w:sz w:val="22"/>
          <w:szCs w:val="22"/>
          <w:lang w:val="es-AR"/>
        </w:rPr>
        <w:t>19/11/1980</w:t>
      </w:r>
      <w:r w:rsidR="00B942B1" w:rsidRPr="234562E6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341ED2" w:rsidRPr="00341ED2">
        <w:rPr>
          <w:rFonts w:ascii="Times New Roman" w:eastAsia="Times New Roman" w:hAnsi="Times New Roman" w:cs="Times New Roman"/>
          <w:sz w:val="22"/>
          <w:szCs w:val="22"/>
          <w:lang w:val="es-AR"/>
        </w:rPr>
        <w:t xml:space="preserve">bajo el número 4680 del Libro 95, Tomo A, de </w:t>
      </w:r>
      <w:r w:rsidR="00341ED2" w:rsidRPr="00316494">
        <w:rPr>
          <w:rFonts w:ascii="Times New Roman" w:eastAsia="Times New Roman" w:hAnsi="Times New Roman" w:cs="Times New Roman"/>
          <w:sz w:val="22"/>
          <w:szCs w:val="22"/>
          <w:lang w:val="es-AR"/>
        </w:rPr>
        <w:t>Sociedades Anónimas del Juzgado Nacional de Primera Instancia en lo Comercial de Registro</w:t>
      </w:r>
      <w:r w:rsidR="00A917AC" w:rsidRPr="00316494">
        <w:rPr>
          <w:rFonts w:ascii="Times New Roman" w:eastAsia="Times New Roman" w:hAnsi="Times New Roman" w:cs="Times New Roman"/>
          <w:sz w:val="22"/>
          <w:szCs w:val="22"/>
          <w:lang w:val="es-AR"/>
        </w:rPr>
        <w:t>.</w:t>
      </w:r>
      <w:r w:rsidR="00341ED2" w:rsidRPr="00316494" w:rsidDel="00341ED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16494">
        <w:rPr>
          <w:rFonts w:ascii="Times New Roman" w:eastAsia="Times New Roman" w:hAnsi="Times New Roman" w:cs="Times New Roman"/>
          <w:b/>
          <w:bCs/>
          <w:sz w:val="22"/>
          <w:szCs w:val="22"/>
        </w:rPr>
        <w:t>(c)</w:t>
      </w:r>
      <w:r w:rsidRPr="0031649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C05E6" w:rsidRPr="00316494">
        <w:rPr>
          <w:rFonts w:ascii="Times New Roman" w:eastAsia="Times New Roman" w:hAnsi="Times New Roman" w:cs="Times New Roman"/>
          <w:sz w:val="22"/>
          <w:szCs w:val="22"/>
        </w:rPr>
        <w:t xml:space="preserve">El objeto del Banco es realizar toda clase de operaciones bancarias y financieras permitidas por la normativa vigente, conforme a la Ley de Entidades Financieras N° 21.526 y sus modificatorias. </w:t>
      </w:r>
      <w:r w:rsidRPr="00316494">
        <w:rPr>
          <w:rFonts w:ascii="Times New Roman" w:eastAsia="Times New Roman" w:hAnsi="Times New Roman" w:cs="Times New Roman"/>
          <w:b/>
          <w:bCs/>
          <w:sz w:val="22"/>
          <w:szCs w:val="22"/>
        </w:rPr>
        <w:t>(d)</w:t>
      </w:r>
      <w:r w:rsidRPr="00316494">
        <w:rPr>
          <w:rFonts w:ascii="Times New Roman" w:eastAsia="Times New Roman" w:hAnsi="Times New Roman" w:cs="Times New Roman"/>
          <w:sz w:val="22"/>
          <w:szCs w:val="22"/>
        </w:rPr>
        <w:t xml:space="preserve"> Al </w:t>
      </w:r>
      <w:r w:rsidR="003C05E6" w:rsidRPr="00316494">
        <w:rPr>
          <w:rFonts w:ascii="Times New Roman" w:eastAsia="Times New Roman" w:hAnsi="Times New Roman" w:cs="Times New Roman"/>
          <w:sz w:val="22"/>
          <w:szCs w:val="22"/>
        </w:rPr>
        <w:t>30/06/2025</w:t>
      </w:r>
      <w:r w:rsidRPr="00316494">
        <w:rPr>
          <w:rFonts w:ascii="Times New Roman" w:eastAsia="Times New Roman" w:hAnsi="Times New Roman" w:cs="Times New Roman"/>
          <w:sz w:val="22"/>
          <w:szCs w:val="22"/>
        </w:rPr>
        <w:t xml:space="preserve"> el capital social del Banco es de </w:t>
      </w:r>
      <w:r w:rsidR="00D16D7E" w:rsidRPr="00010E9E">
        <w:rPr>
          <w:rFonts w:ascii="Times New Roman" w:eastAsia="Times New Roman" w:hAnsi="Times New Roman" w:cs="Times New Roman"/>
          <w:sz w:val="22"/>
          <w:szCs w:val="22"/>
          <w:lang w:val="es-AR"/>
        </w:rPr>
        <w:t>$</w:t>
      </w:r>
      <w:r w:rsidR="00475562" w:rsidRPr="00010E9E">
        <w:rPr>
          <w:rFonts w:ascii="Times New Roman" w:eastAsia="Times New Roman" w:hAnsi="Times New Roman" w:cs="Times New Roman"/>
          <w:sz w:val="22"/>
          <w:szCs w:val="22"/>
          <w:lang w:val="es-AR"/>
        </w:rPr>
        <w:t>67.062.679</w:t>
      </w:r>
      <w:r w:rsidR="00446D56" w:rsidRPr="0031649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F74264" w:rsidRPr="00316494">
        <w:rPr>
          <w:rFonts w:ascii="Times New Roman" w:eastAsia="Times New Roman" w:hAnsi="Times New Roman" w:cs="Times New Roman"/>
          <w:sz w:val="22"/>
          <w:szCs w:val="22"/>
        </w:rPr>
        <w:t>y</w:t>
      </w:r>
      <w:r w:rsidRPr="00316494">
        <w:rPr>
          <w:rFonts w:ascii="Times New Roman" w:eastAsia="Times New Roman" w:hAnsi="Times New Roman" w:cs="Times New Roman"/>
          <w:sz w:val="22"/>
          <w:szCs w:val="22"/>
        </w:rPr>
        <w:t xml:space="preserve"> su patrimonio neto es en miles de </w:t>
      </w:r>
      <w:r w:rsidRPr="00010E9E">
        <w:rPr>
          <w:rFonts w:ascii="Times New Roman" w:eastAsia="Times New Roman" w:hAnsi="Times New Roman" w:cs="Times New Roman"/>
          <w:sz w:val="22"/>
          <w:szCs w:val="22"/>
        </w:rPr>
        <w:t>$</w:t>
      </w:r>
      <w:r w:rsidR="00275B73" w:rsidRPr="00010E9E">
        <w:rPr>
          <w:rFonts w:ascii="Times New Roman" w:eastAsia="Times New Roman" w:hAnsi="Times New Roman" w:cs="Times New Roman"/>
          <w:sz w:val="22"/>
          <w:szCs w:val="22"/>
        </w:rPr>
        <w:t>14</w:t>
      </w:r>
      <w:r w:rsidR="00CF57EE" w:rsidRPr="00010E9E">
        <w:rPr>
          <w:rFonts w:ascii="Times New Roman" w:eastAsia="Times New Roman" w:hAnsi="Times New Roman" w:cs="Times New Roman"/>
          <w:sz w:val="22"/>
          <w:szCs w:val="22"/>
        </w:rPr>
        <w:t>3</w:t>
      </w:r>
      <w:r w:rsidR="00275B73" w:rsidRPr="00010E9E">
        <w:rPr>
          <w:rFonts w:ascii="Times New Roman" w:eastAsia="Times New Roman" w:hAnsi="Times New Roman" w:cs="Times New Roman"/>
          <w:sz w:val="22"/>
          <w:szCs w:val="22"/>
        </w:rPr>
        <w:t>.</w:t>
      </w:r>
      <w:r w:rsidR="00143CB2" w:rsidRPr="00010E9E">
        <w:rPr>
          <w:rFonts w:ascii="Times New Roman" w:eastAsia="Times New Roman" w:hAnsi="Times New Roman" w:cs="Times New Roman"/>
          <w:sz w:val="22"/>
          <w:szCs w:val="22"/>
        </w:rPr>
        <w:t>856</w:t>
      </w:r>
      <w:r w:rsidR="00275B73" w:rsidRPr="00010E9E">
        <w:rPr>
          <w:rFonts w:ascii="Times New Roman" w:eastAsia="Times New Roman" w:hAnsi="Times New Roman" w:cs="Times New Roman"/>
          <w:sz w:val="22"/>
          <w:szCs w:val="22"/>
        </w:rPr>
        <w:t>.</w:t>
      </w:r>
      <w:r w:rsidR="00143CB2" w:rsidRPr="00010E9E">
        <w:rPr>
          <w:rFonts w:ascii="Times New Roman" w:eastAsia="Times New Roman" w:hAnsi="Times New Roman" w:cs="Times New Roman"/>
          <w:sz w:val="22"/>
          <w:szCs w:val="22"/>
        </w:rPr>
        <w:t>249</w:t>
      </w:r>
      <w:r w:rsidR="00172A19" w:rsidRPr="00010E9E">
        <w:rPr>
          <w:rFonts w:ascii="Times New Roman" w:eastAsia="Times New Roman" w:hAnsi="Times New Roman" w:cs="Times New Roman"/>
          <w:sz w:val="22"/>
          <w:szCs w:val="22"/>
          <w:lang w:val="es-AR"/>
        </w:rPr>
        <w:t>.</w:t>
      </w:r>
      <w:r w:rsidRPr="0031649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16494">
        <w:rPr>
          <w:rFonts w:ascii="Times New Roman" w:eastAsia="Times New Roman" w:hAnsi="Times New Roman" w:cs="Times New Roman"/>
          <w:b/>
          <w:bCs/>
          <w:sz w:val="22"/>
          <w:szCs w:val="22"/>
        </w:rPr>
        <w:t>(e)</w:t>
      </w:r>
      <w:r w:rsidRPr="0031649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10E9E">
        <w:rPr>
          <w:rFonts w:ascii="Times New Roman" w:eastAsia="Times New Roman" w:hAnsi="Times New Roman" w:cs="Times New Roman"/>
          <w:sz w:val="22"/>
          <w:szCs w:val="22"/>
        </w:rPr>
        <w:t xml:space="preserve">El </w:t>
      </w:r>
      <w:r w:rsidR="00E671AB" w:rsidRPr="00010E9E">
        <w:rPr>
          <w:rFonts w:ascii="Times New Roman" w:eastAsia="Times New Roman" w:hAnsi="Times New Roman" w:cs="Times New Roman"/>
          <w:sz w:val="22"/>
          <w:szCs w:val="22"/>
        </w:rPr>
        <w:t xml:space="preserve">Banco no cuenta con </w:t>
      </w:r>
      <w:r w:rsidRPr="00010E9E">
        <w:rPr>
          <w:rFonts w:ascii="Times New Roman" w:eastAsia="Times New Roman" w:hAnsi="Times New Roman" w:cs="Times New Roman"/>
          <w:sz w:val="22"/>
          <w:szCs w:val="22"/>
        </w:rPr>
        <w:t>deudas con privilegios o garantías a la fecha del presente</w:t>
      </w:r>
      <w:r w:rsidR="00E671AB" w:rsidRPr="00010E9E">
        <w:rPr>
          <w:rFonts w:ascii="Times New Roman" w:eastAsia="Times New Roman" w:hAnsi="Times New Roman" w:cs="Times New Roman"/>
          <w:sz w:val="22"/>
          <w:szCs w:val="22"/>
        </w:rPr>
        <w:t>.</w:t>
      </w:r>
      <w:r w:rsidR="00E671AB" w:rsidRPr="0031649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16494">
        <w:rPr>
          <w:rFonts w:ascii="Times New Roman" w:eastAsia="Times New Roman" w:hAnsi="Times New Roman" w:cs="Times New Roman"/>
          <w:b/>
          <w:bCs/>
          <w:sz w:val="22"/>
          <w:szCs w:val="22"/>
        </w:rPr>
        <w:t>(f)</w:t>
      </w:r>
      <w:r w:rsidRPr="0031649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16494">
        <w:rPr>
          <w:rFonts w:ascii="Times New Roman" w:eastAsia="Times New Roman" w:hAnsi="Times New Roman" w:cs="Times New Roman"/>
          <w:b/>
          <w:bCs/>
          <w:sz w:val="22"/>
          <w:szCs w:val="22"/>
        </w:rPr>
        <w:t>Las principales condiciones generales de emisión de las Obligaciones Negociables son: Títulos Emitidos:</w:t>
      </w:r>
      <w:r w:rsidRPr="00316494">
        <w:rPr>
          <w:rFonts w:ascii="Times New Roman" w:eastAsia="Times New Roman" w:hAnsi="Times New Roman" w:cs="Times New Roman"/>
          <w:sz w:val="22"/>
          <w:szCs w:val="22"/>
        </w:rPr>
        <w:t xml:space="preserve"> Obligaciones Negociables </w:t>
      </w:r>
      <w:r w:rsidR="001E328B" w:rsidRPr="00316494">
        <w:rPr>
          <w:rFonts w:ascii="Times New Roman" w:eastAsia="Times New Roman" w:hAnsi="Times New Roman" w:cs="Times New Roman"/>
          <w:sz w:val="22"/>
          <w:szCs w:val="22"/>
        </w:rPr>
        <w:t>Serie I</w:t>
      </w:r>
      <w:r w:rsidR="00A50913" w:rsidRPr="00316494">
        <w:rPr>
          <w:rFonts w:ascii="Times New Roman" w:eastAsia="Times New Roman" w:hAnsi="Times New Roman" w:cs="Times New Roman"/>
          <w:sz w:val="22"/>
          <w:szCs w:val="22"/>
        </w:rPr>
        <w:t>I</w:t>
      </w:r>
      <w:r w:rsidRPr="00316494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Pr="00316494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Monto de la Emisión: </w:t>
      </w:r>
      <w:r w:rsidR="00CF498E" w:rsidRPr="00010E9E">
        <w:rPr>
          <w:rFonts w:ascii="Times New Roman" w:eastAsia="Times New Roman" w:hAnsi="Times New Roman" w:cs="Times New Roman"/>
          <w:sz w:val="22"/>
          <w:szCs w:val="22"/>
        </w:rPr>
        <w:t xml:space="preserve">US$ 10.159.000 (Dólares Estadounidenses diez millones ciento cincuenta y nueve </w:t>
      </w:r>
      <w:r w:rsidR="00473BCA" w:rsidRPr="00010E9E">
        <w:rPr>
          <w:rFonts w:ascii="Times New Roman" w:eastAsia="Times New Roman" w:hAnsi="Times New Roman" w:cs="Times New Roman"/>
          <w:sz w:val="22"/>
          <w:szCs w:val="22"/>
        </w:rPr>
        <w:t>mil) Oferta</w:t>
      </w:r>
      <w:r w:rsidRPr="00010E9E">
        <w:rPr>
          <w:rFonts w:ascii="Times New Roman" w:eastAsia="Times New Roman" w:hAnsi="Times New Roman" w:cs="Times New Roman"/>
          <w:sz w:val="22"/>
          <w:szCs w:val="22"/>
        </w:rPr>
        <w:t xml:space="preserve">: las Obligaciones Negociables fueron ofrecidas en Argentina (en el marco de la Ley de Mercado de Capitales y demás normativa aplicable). </w:t>
      </w:r>
      <w:r w:rsidRPr="00010E9E">
        <w:rPr>
          <w:rFonts w:ascii="Times New Roman" w:eastAsia="Times New Roman" w:hAnsi="Times New Roman" w:cs="Times New Roman"/>
          <w:b/>
          <w:bCs/>
          <w:sz w:val="22"/>
          <w:szCs w:val="22"/>
        </w:rPr>
        <w:t>Colocador</w:t>
      </w:r>
      <w:r w:rsidR="008D49EC" w:rsidRPr="00010E9E">
        <w:rPr>
          <w:rFonts w:ascii="Times New Roman" w:eastAsia="Times New Roman" w:hAnsi="Times New Roman" w:cs="Times New Roman"/>
          <w:b/>
          <w:bCs/>
          <w:sz w:val="22"/>
          <w:szCs w:val="22"/>
        </w:rPr>
        <w:t>es</w:t>
      </w:r>
      <w:r w:rsidRPr="00010E9E">
        <w:rPr>
          <w:rFonts w:ascii="Times New Roman" w:eastAsia="Times New Roman" w:hAnsi="Times New Roman" w:cs="Times New Roman"/>
          <w:b/>
          <w:bCs/>
          <w:sz w:val="22"/>
          <w:szCs w:val="22"/>
        </w:rPr>
        <w:t>:</w:t>
      </w:r>
      <w:r w:rsidRPr="00010E9E">
        <w:rPr>
          <w:rFonts w:ascii="Times New Roman" w:eastAsia="Times New Roman" w:hAnsi="Times New Roman" w:cs="Times New Roman"/>
          <w:sz w:val="22"/>
          <w:szCs w:val="22"/>
        </w:rPr>
        <w:t xml:space="preserve"> Banco</w:t>
      </w:r>
      <w:r w:rsidRPr="3A24F7C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77B1B">
        <w:rPr>
          <w:rFonts w:ascii="Times New Roman" w:eastAsia="Times New Roman" w:hAnsi="Times New Roman" w:cs="Times New Roman"/>
          <w:sz w:val="22"/>
          <w:szCs w:val="22"/>
        </w:rPr>
        <w:t>Mariva S.A.</w:t>
      </w:r>
      <w:r w:rsidR="00CF498E">
        <w:rPr>
          <w:rFonts w:ascii="Times New Roman" w:eastAsia="Times New Roman" w:hAnsi="Times New Roman" w:cs="Times New Roman"/>
          <w:sz w:val="22"/>
          <w:szCs w:val="22"/>
        </w:rPr>
        <w:t xml:space="preserve">, Macro Securities S.A.U. y Banco de Galicia y Buenos Aires S.A. </w:t>
      </w:r>
      <w:r w:rsidRPr="3A24F7C4" w:rsidDel="00D67996">
        <w:rPr>
          <w:rFonts w:ascii="Times New Roman" w:eastAsia="Times New Roman" w:hAnsi="Times New Roman" w:cs="Times New Roman"/>
          <w:b/>
          <w:bCs/>
          <w:sz w:val="22"/>
          <w:szCs w:val="22"/>
        </w:rPr>
        <w:t>Descripción</w:t>
      </w:r>
      <w:r w:rsidRPr="3A24F7C4">
        <w:rPr>
          <w:rFonts w:ascii="Times New Roman" w:eastAsia="Times New Roman" w:hAnsi="Times New Roman" w:cs="Times New Roman"/>
          <w:sz w:val="22"/>
          <w:szCs w:val="22"/>
        </w:rPr>
        <w:t>:</w:t>
      </w:r>
      <w:r w:rsidR="001A0FBC">
        <w:rPr>
          <w:rFonts w:ascii="Times New Roman" w:eastAsia="Times New Roman" w:hAnsi="Times New Roman" w:cs="Times New Roman"/>
          <w:sz w:val="22"/>
          <w:szCs w:val="22"/>
        </w:rPr>
        <w:t xml:space="preserve"> obligaciones</w:t>
      </w:r>
      <w:r w:rsidRPr="3A24F7C4">
        <w:rPr>
          <w:rFonts w:ascii="Times New Roman" w:eastAsia="Times New Roman" w:hAnsi="Times New Roman" w:cs="Times New Roman"/>
          <w:sz w:val="22"/>
          <w:szCs w:val="22"/>
        </w:rPr>
        <w:t xml:space="preserve"> negociables simples, no convertibles en acciones, no subordinadas, con garantía común sobre el patrimonio del Banco. </w:t>
      </w:r>
      <w:r w:rsidRPr="3A24F7C4">
        <w:rPr>
          <w:rFonts w:ascii="Times New Roman" w:eastAsia="Times New Roman" w:hAnsi="Times New Roman" w:cs="Times New Roman"/>
          <w:b/>
          <w:bCs/>
          <w:sz w:val="22"/>
          <w:szCs w:val="22"/>
        </w:rPr>
        <w:t>Sistema de Colocación</w:t>
      </w:r>
      <w:r w:rsidRPr="3A24F7C4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r w:rsidR="00E43449" w:rsidRPr="00E43449">
        <w:rPr>
          <w:rFonts w:ascii="Times New Roman" w:eastAsia="Times New Roman" w:hAnsi="Times New Roman" w:cs="Times New Roman"/>
          <w:sz w:val="22"/>
          <w:szCs w:val="22"/>
        </w:rPr>
        <w:t>subasta pública “abierta” a través del sistema “SIOPEL” de A3 Mercados</w:t>
      </w:r>
      <w:r w:rsidRPr="3A24F7C4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Pr="3A24F7C4">
        <w:rPr>
          <w:rFonts w:ascii="Times New Roman" w:eastAsia="Times New Roman" w:hAnsi="Times New Roman" w:cs="Times New Roman"/>
          <w:b/>
          <w:bCs/>
          <w:sz w:val="22"/>
          <w:szCs w:val="22"/>
        </w:rPr>
        <w:t>Forma:</w:t>
      </w:r>
      <w:r w:rsidRPr="3A24F7C4">
        <w:rPr>
          <w:rFonts w:ascii="Times New Roman" w:eastAsia="Times New Roman" w:hAnsi="Times New Roman" w:cs="Times New Roman"/>
          <w:sz w:val="22"/>
          <w:szCs w:val="22"/>
        </w:rPr>
        <w:t xml:space="preserve"> Las Obligaciones Negociables se representan bajo la forma de </w:t>
      </w:r>
      <w:r w:rsidR="00EE25F7" w:rsidRPr="234562E6">
        <w:rPr>
          <w:rFonts w:ascii="Times New Roman" w:eastAsia="Times New Roman" w:hAnsi="Times New Roman" w:cs="Times New Roman"/>
          <w:sz w:val="22"/>
          <w:szCs w:val="22"/>
        </w:rPr>
        <w:t xml:space="preserve">un </w:t>
      </w:r>
      <w:r>
        <w:rPr>
          <w:rFonts w:ascii="Times New Roman" w:eastAsia="Times New Roman" w:hAnsi="Times New Roman" w:cs="Times New Roman"/>
          <w:sz w:val="22"/>
          <w:szCs w:val="22"/>
        </w:rPr>
        <w:t>certificado global permanente, que</w:t>
      </w:r>
      <w:r w:rsidR="00EE25F7" w:rsidRPr="234562E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fue depositado por el Emisor en el sistema de depósito colectivo llevado por Caja de Valores S.A. (“</w:t>
      </w:r>
      <w:r w:rsidRPr="3A24F7C4">
        <w:rPr>
          <w:rFonts w:ascii="Times New Roman" w:eastAsia="Times New Roman" w:hAnsi="Times New Roman" w:cs="Times New Roman"/>
          <w:b/>
          <w:bCs/>
          <w:sz w:val="22"/>
          <w:szCs w:val="22"/>
        </w:rPr>
        <w:t>CVSA</w:t>
      </w:r>
      <w:r w:rsidRPr="3A24F7C4">
        <w:rPr>
          <w:rFonts w:ascii="Times New Roman" w:eastAsia="Times New Roman" w:hAnsi="Times New Roman" w:cs="Times New Roman"/>
          <w:sz w:val="22"/>
          <w:szCs w:val="22"/>
        </w:rPr>
        <w:t xml:space="preserve">”) de acuerdo con lo establecido por la Ley </w:t>
      </w:r>
      <w:r w:rsidRPr="234562E6">
        <w:rPr>
          <w:rFonts w:ascii="Times New Roman" w:eastAsia="Times New Roman" w:hAnsi="Times New Roman" w:cs="Times New Roman"/>
          <w:sz w:val="22"/>
          <w:szCs w:val="22"/>
        </w:rPr>
        <w:t>N° 24.587 de Nominatividad de los Títulos Valores Privados (la “</w:t>
      </w:r>
      <w:r w:rsidRPr="3A24F7C4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Ley de </w:t>
      </w:r>
      <w:r w:rsidRPr="234562E6">
        <w:rPr>
          <w:rFonts w:ascii="Times New Roman" w:eastAsia="Times New Roman" w:hAnsi="Times New Roman" w:cs="Times New Roman"/>
          <w:b/>
          <w:bCs/>
          <w:sz w:val="22"/>
          <w:szCs w:val="22"/>
        </w:rPr>
        <w:t>Nominatividad</w:t>
      </w:r>
      <w:r w:rsidRPr="3A24F7C4">
        <w:rPr>
          <w:rFonts w:ascii="Times New Roman" w:eastAsia="Times New Roman" w:hAnsi="Times New Roman" w:cs="Times New Roman"/>
          <w:sz w:val="22"/>
          <w:szCs w:val="22"/>
        </w:rPr>
        <w:t xml:space="preserve">”). </w:t>
      </w:r>
      <w:r w:rsidRPr="3A24F7C4">
        <w:rPr>
          <w:rFonts w:ascii="Times New Roman" w:eastAsia="Times New Roman" w:hAnsi="Times New Roman" w:cs="Times New Roman"/>
          <w:b/>
          <w:bCs/>
          <w:sz w:val="22"/>
          <w:szCs w:val="22"/>
        </w:rPr>
        <w:t>Moneda de Denominación y Pago:</w:t>
      </w:r>
      <w:r w:rsidRPr="3A24F7C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F6D6B" w:rsidRPr="009F6D6B">
        <w:rPr>
          <w:rFonts w:ascii="Times New Roman" w:eastAsia="Times New Roman" w:hAnsi="Times New Roman" w:cs="Times New Roman"/>
          <w:sz w:val="22"/>
          <w:szCs w:val="22"/>
        </w:rPr>
        <w:t>Las Obligaciones Negociables est</w:t>
      </w:r>
      <w:r w:rsidR="009F6D6B">
        <w:rPr>
          <w:rFonts w:ascii="Times New Roman" w:eastAsia="Times New Roman" w:hAnsi="Times New Roman" w:cs="Times New Roman"/>
          <w:sz w:val="22"/>
          <w:szCs w:val="22"/>
        </w:rPr>
        <w:t>án</w:t>
      </w:r>
      <w:r w:rsidR="009F6D6B" w:rsidRPr="009F6D6B">
        <w:rPr>
          <w:rFonts w:ascii="Times New Roman" w:eastAsia="Times New Roman" w:hAnsi="Times New Roman" w:cs="Times New Roman"/>
          <w:sz w:val="22"/>
          <w:szCs w:val="22"/>
        </w:rPr>
        <w:t xml:space="preserve"> denominadas en Dólares Estadounidenses y serán pagaderas en Pesos al Tipo de Cambio Aplicable en la Fecha de Amortización</w:t>
      </w:r>
      <w:r w:rsidR="009F6D6B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Pr="3A24F7C4">
        <w:rPr>
          <w:rFonts w:ascii="Times New Roman" w:eastAsia="Times New Roman" w:hAnsi="Times New Roman" w:cs="Times New Roman"/>
          <w:b/>
          <w:bCs/>
          <w:sz w:val="22"/>
          <w:szCs w:val="22"/>
        </w:rPr>
        <w:t>Precio de Emisión:</w:t>
      </w:r>
      <w:r w:rsidRPr="3A24F7C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E0BDF" w:rsidRPr="00BE0BDF">
        <w:rPr>
          <w:rFonts w:ascii="Times New Roman" w:eastAsia="Times New Roman" w:hAnsi="Times New Roman" w:cs="Times New Roman"/>
          <w:sz w:val="22"/>
          <w:szCs w:val="22"/>
        </w:rPr>
        <w:t>99,05% del V/N.</w:t>
      </w:r>
      <w:r w:rsidR="00BE0B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4D2515" w:rsidRPr="00811800">
        <w:rPr>
          <w:rFonts w:ascii="Times New Roman" w:eastAsia="Times New Roman" w:hAnsi="Times New Roman" w:cs="Times New Roman"/>
          <w:b/>
          <w:bCs/>
          <w:sz w:val="22"/>
          <w:szCs w:val="22"/>
        </w:rPr>
        <w:t>Tipo de Cambio Inicial:</w:t>
      </w:r>
      <w:r w:rsidR="004D251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473BCA" w:rsidRPr="00473BCA">
        <w:rPr>
          <w:rFonts w:ascii="Times New Roman" w:eastAsia="Times New Roman" w:hAnsi="Times New Roman" w:cs="Times New Roman"/>
          <w:sz w:val="22"/>
          <w:szCs w:val="22"/>
        </w:rPr>
        <w:t>$1424,7500 por cada US$1.</w:t>
      </w:r>
      <w:r w:rsidR="0081180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811800" w:rsidRPr="00811800">
        <w:rPr>
          <w:rFonts w:ascii="Times New Roman" w:eastAsia="Times New Roman" w:hAnsi="Times New Roman" w:cs="Times New Roman"/>
          <w:b/>
          <w:bCs/>
          <w:sz w:val="22"/>
          <w:szCs w:val="22"/>
        </w:rPr>
        <w:t>Tipo de Cambio Aplicable</w:t>
      </w:r>
      <w:r w:rsidR="00811800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811800">
        <w:rPr>
          <w:rFonts w:ascii="Times New Roman" w:eastAsia="Times New Roman" w:hAnsi="Times New Roman" w:cs="Times New Roman"/>
          <w:sz w:val="22"/>
          <w:szCs w:val="22"/>
          <w:lang w:val="es-AR"/>
        </w:rPr>
        <w:t>Será</w:t>
      </w:r>
      <w:r w:rsidR="00811800" w:rsidRPr="00811800">
        <w:rPr>
          <w:rFonts w:ascii="Times New Roman" w:eastAsia="Times New Roman" w:hAnsi="Times New Roman" w:cs="Times New Roman"/>
          <w:sz w:val="22"/>
          <w:szCs w:val="22"/>
          <w:lang w:val="es-AR"/>
        </w:rPr>
        <w:t xml:space="preserve"> del tipo de cambio de referencia en Pesos por Dólar Estadounidense informado por el BCRA mediante la Comunicación “A” 3500 (o la regulación que la sucediere o modificare en el futuro) del Día Hábil anterior a la Fecha de Vencimiento. En el supuesto que (a) el BCRA dejare de efectuar dicha determinación y publicación, el Tipo de </w:t>
      </w:r>
      <w:r w:rsidR="00811800" w:rsidRPr="00811800">
        <w:rPr>
          <w:rFonts w:ascii="Times New Roman" w:eastAsia="Times New Roman" w:hAnsi="Times New Roman" w:cs="Times New Roman"/>
          <w:sz w:val="22"/>
          <w:szCs w:val="22"/>
          <w:lang w:val="es-AR"/>
        </w:rPr>
        <w:lastRenderedPageBreak/>
        <w:t>Cambio Aplicable será calculado de acuerdo al promedio aritmético simple de los últimos 3 (tres) Días Hábiles previos a la Fecha de Vencimiento del tipo de cambio Dólar billete vendedor informado por el Banco de la Nación Argentina (“</w:t>
      </w:r>
      <w:r w:rsidR="00811800" w:rsidRPr="00811800">
        <w:rPr>
          <w:rFonts w:ascii="Times New Roman" w:eastAsia="Times New Roman" w:hAnsi="Times New Roman" w:cs="Times New Roman"/>
          <w:b/>
          <w:bCs/>
          <w:sz w:val="22"/>
          <w:szCs w:val="22"/>
          <w:lang w:val="es-AR"/>
        </w:rPr>
        <w:t>BNA</w:t>
      </w:r>
      <w:r w:rsidR="00811800" w:rsidRPr="00811800">
        <w:rPr>
          <w:rFonts w:ascii="Times New Roman" w:eastAsia="Times New Roman" w:hAnsi="Times New Roman" w:cs="Times New Roman"/>
          <w:sz w:val="22"/>
          <w:szCs w:val="22"/>
          <w:lang w:val="es-AR"/>
        </w:rPr>
        <w:t>”), al cierre de sus operaciones; o (b) que el BCRA decida desdoblar el mercado libre de cambios, será el tipo de cambio vendedor del Dólar billete por operaciones comerciales o de exportación (por oposición, al dólar financiero) que (i) publique el BCRA o (ii) que surja del promedio aritmético simple de los últimos 3 (tres) Días Hábiles previos a la Fecha de Vencimiento, tipo de cambio informada por el BNA, al cierre de sus operaciones; en los supuestos (a) y (b) anteriores según sea calculado por el Agente de Cálculo</w:t>
      </w:r>
      <w:r w:rsidR="00811800">
        <w:rPr>
          <w:rFonts w:ascii="Times New Roman" w:eastAsia="Times New Roman" w:hAnsi="Times New Roman" w:cs="Times New Roman"/>
          <w:sz w:val="22"/>
          <w:szCs w:val="22"/>
          <w:lang w:val="es-AR"/>
        </w:rPr>
        <w:t>.</w:t>
      </w:r>
      <w:r w:rsidR="00473BCA">
        <w:rPr>
          <w:rFonts w:ascii="Times New Roman" w:eastAsia="Times New Roman" w:hAnsi="Times New Roman" w:cs="Times New Roman"/>
          <w:sz w:val="22"/>
          <w:szCs w:val="22"/>
          <w:lang w:val="es-AR"/>
        </w:rPr>
        <w:t xml:space="preserve"> </w:t>
      </w:r>
      <w:r w:rsidRPr="3A24F7C4">
        <w:rPr>
          <w:rFonts w:ascii="Times New Roman" w:eastAsia="Times New Roman" w:hAnsi="Times New Roman" w:cs="Times New Roman"/>
          <w:b/>
          <w:bCs/>
          <w:sz w:val="22"/>
          <w:szCs w:val="22"/>
        </w:rPr>
        <w:t>Fecha de Emisión y Liquidación:</w:t>
      </w:r>
      <w:r w:rsidRPr="3A24F7C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E0BDF">
        <w:rPr>
          <w:rFonts w:ascii="Times New Roman" w:eastAsia="Times New Roman" w:hAnsi="Times New Roman" w:cs="Times New Roman"/>
          <w:sz w:val="22"/>
          <w:szCs w:val="22"/>
        </w:rPr>
        <w:t>8 de octubre de 2025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Pr="3A24F7C4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Fecha de Vencimiento: </w:t>
      </w:r>
      <w:r w:rsidR="00BE0BDF">
        <w:rPr>
          <w:rFonts w:ascii="Times New Roman" w:eastAsia="Times New Roman" w:hAnsi="Times New Roman" w:cs="Times New Roman"/>
          <w:sz w:val="22"/>
          <w:szCs w:val="22"/>
        </w:rPr>
        <w:t>1° de abril de 2026</w:t>
      </w:r>
      <w:r w:rsidDel="00293B3D">
        <w:rPr>
          <w:rFonts w:ascii="Times New Roman" w:eastAsia="Times New Roman" w:hAnsi="Times New Roman" w:cs="Times New Roman"/>
          <w:sz w:val="22"/>
          <w:szCs w:val="22"/>
        </w:rPr>
        <w:t>, de no ser dicha fecha un Día Hábil, el primer Día Hábil posterior.</w:t>
      </w:r>
      <w:r w:rsidRPr="3A24F7C4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Listado y </w:t>
      </w:r>
      <w:r w:rsidRPr="234562E6">
        <w:rPr>
          <w:rFonts w:ascii="Times New Roman" w:eastAsia="Times New Roman" w:hAnsi="Times New Roman" w:cs="Times New Roman"/>
          <w:b/>
          <w:bCs/>
          <w:sz w:val="22"/>
          <w:szCs w:val="22"/>
        </w:rPr>
        <w:t>Negociación:</w:t>
      </w:r>
      <w:r w:rsidRPr="3A24F7C4">
        <w:rPr>
          <w:rFonts w:ascii="Times New Roman" w:eastAsia="Times New Roman" w:hAnsi="Times New Roman" w:cs="Times New Roman"/>
          <w:sz w:val="22"/>
          <w:szCs w:val="22"/>
        </w:rPr>
        <w:t xml:space="preserve"> Bolsas y Mercados Argentinos S.A. y Mercado Abierto Electrónico S.A. </w:t>
      </w:r>
      <w:r w:rsidRPr="3A24F7C4">
        <w:rPr>
          <w:rFonts w:ascii="Times New Roman" w:eastAsia="Times New Roman" w:hAnsi="Times New Roman" w:cs="Times New Roman"/>
          <w:b/>
          <w:bCs/>
          <w:sz w:val="22"/>
          <w:szCs w:val="22"/>
        </w:rPr>
        <w:t>Período de Difusión Pública:</w:t>
      </w:r>
      <w:r w:rsidRPr="3A24F7C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DC1007" w:rsidRPr="234562E6">
        <w:rPr>
          <w:rFonts w:ascii="Times New Roman" w:eastAsia="Times New Roman" w:hAnsi="Times New Roman" w:cs="Times New Roman"/>
          <w:sz w:val="22"/>
          <w:szCs w:val="22"/>
        </w:rPr>
        <w:t xml:space="preserve">del </w:t>
      </w:r>
      <w:r w:rsidR="00BE0BDF">
        <w:rPr>
          <w:rFonts w:ascii="Times New Roman" w:eastAsia="Times New Roman" w:hAnsi="Times New Roman" w:cs="Times New Roman"/>
          <w:sz w:val="22"/>
          <w:szCs w:val="22"/>
        </w:rPr>
        <w:t>2</w:t>
      </w:r>
      <w:r w:rsidR="006C11F1">
        <w:rPr>
          <w:rFonts w:ascii="Times New Roman" w:eastAsia="Times New Roman" w:hAnsi="Times New Roman" w:cs="Times New Roman"/>
          <w:sz w:val="22"/>
          <w:szCs w:val="22"/>
        </w:rPr>
        <w:t xml:space="preserve"> de </w:t>
      </w:r>
      <w:r w:rsidR="00BE0BDF">
        <w:rPr>
          <w:rFonts w:ascii="Times New Roman" w:eastAsia="Times New Roman" w:hAnsi="Times New Roman" w:cs="Times New Roman"/>
          <w:sz w:val="22"/>
          <w:szCs w:val="22"/>
        </w:rPr>
        <w:t>octubre</w:t>
      </w:r>
      <w:r w:rsidR="00C86CAE">
        <w:rPr>
          <w:rFonts w:ascii="Times New Roman" w:eastAsia="Times New Roman" w:hAnsi="Times New Roman" w:cs="Times New Roman"/>
          <w:sz w:val="22"/>
          <w:szCs w:val="22"/>
        </w:rPr>
        <w:t xml:space="preserve"> de 202</w:t>
      </w:r>
      <w:r w:rsidR="00C86CAE" w:rsidRPr="3A24F7C4">
        <w:rPr>
          <w:rFonts w:ascii="Times New Roman" w:eastAsia="Times New Roman" w:hAnsi="Times New Roman" w:cs="Times New Roman"/>
          <w:sz w:val="22"/>
          <w:szCs w:val="22"/>
        </w:rPr>
        <w:t>5</w:t>
      </w:r>
      <w:r w:rsidR="006C0FC1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Pr="3A24F7C4">
        <w:rPr>
          <w:rFonts w:ascii="Times New Roman" w:eastAsia="Times New Roman" w:hAnsi="Times New Roman" w:cs="Times New Roman"/>
          <w:b/>
          <w:bCs/>
          <w:sz w:val="22"/>
          <w:szCs w:val="22"/>
        </w:rPr>
        <w:t>Período de Subasta Pública:</w:t>
      </w:r>
      <w:r w:rsidRPr="3A24F7C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455EFF">
        <w:rPr>
          <w:rFonts w:ascii="Times New Roman" w:eastAsia="Times New Roman" w:hAnsi="Times New Roman" w:cs="Times New Roman"/>
          <w:bCs/>
          <w:sz w:val="22"/>
          <w:szCs w:val="22"/>
        </w:rPr>
        <w:t xml:space="preserve">desde </w:t>
      </w:r>
      <w:r w:rsidR="00455EFF" w:rsidRPr="00455EFF">
        <w:rPr>
          <w:rFonts w:ascii="Times New Roman" w:eastAsia="Times New Roman" w:hAnsi="Times New Roman" w:cs="Times New Roman"/>
          <w:bCs/>
          <w:sz w:val="22"/>
          <w:szCs w:val="22"/>
          <w:lang w:val="es-AR"/>
        </w:rPr>
        <w:t>las 10</w:t>
      </w:r>
      <w:r w:rsidR="00BE0BDF">
        <w:rPr>
          <w:rFonts w:ascii="Times New Roman" w:eastAsia="Times New Roman" w:hAnsi="Times New Roman" w:cs="Times New Roman"/>
          <w:bCs/>
          <w:sz w:val="22"/>
          <w:szCs w:val="22"/>
          <w:lang w:val="es-AR"/>
        </w:rPr>
        <w:t>:00</w:t>
      </w:r>
      <w:r w:rsidR="00455EFF" w:rsidRPr="00455EFF">
        <w:rPr>
          <w:rFonts w:ascii="Times New Roman" w:eastAsia="Times New Roman" w:hAnsi="Times New Roman" w:cs="Times New Roman"/>
          <w:bCs/>
          <w:sz w:val="22"/>
          <w:szCs w:val="22"/>
          <w:lang w:val="es-AR"/>
        </w:rPr>
        <w:t xml:space="preserve"> horas </w:t>
      </w:r>
      <w:r w:rsidR="00455EFF">
        <w:rPr>
          <w:rFonts w:ascii="Times New Roman" w:eastAsia="Times New Roman" w:hAnsi="Times New Roman" w:cs="Times New Roman"/>
          <w:bCs/>
          <w:sz w:val="22"/>
          <w:szCs w:val="22"/>
          <w:lang w:val="es-AR"/>
        </w:rPr>
        <w:t>hasta</w:t>
      </w:r>
      <w:r w:rsidR="00455EFF" w:rsidRPr="00455EFF">
        <w:rPr>
          <w:rFonts w:ascii="Times New Roman" w:eastAsia="Times New Roman" w:hAnsi="Times New Roman" w:cs="Times New Roman"/>
          <w:bCs/>
          <w:sz w:val="22"/>
          <w:szCs w:val="22"/>
          <w:lang w:val="es-AR"/>
        </w:rPr>
        <w:t xml:space="preserve"> las 16:00 horas del </w:t>
      </w:r>
      <w:r w:rsidR="00BE0BDF">
        <w:rPr>
          <w:rFonts w:ascii="Times New Roman" w:eastAsia="Times New Roman" w:hAnsi="Times New Roman" w:cs="Times New Roman"/>
          <w:bCs/>
          <w:sz w:val="22"/>
          <w:szCs w:val="22"/>
          <w:lang w:val="es-AR"/>
        </w:rPr>
        <w:t>3 de octubre</w:t>
      </w:r>
      <w:r w:rsidR="00455EFF" w:rsidRPr="00455EFF">
        <w:rPr>
          <w:rFonts w:ascii="Times New Roman" w:eastAsia="Times New Roman" w:hAnsi="Times New Roman" w:cs="Times New Roman"/>
          <w:bCs/>
          <w:sz w:val="22"/>
          <w:szCs w:val="22"/>
          <w:lang w:val="es-AR"/>
        </w:rPr>
        <w:t xml:space="preserve"> de 2025</w:t>
      </w:r>
      <w:r w:rsidRPr="234562E6" w:rsidDel="00920932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Pr="3A24F7C4">
        <w:rPr>
          <w:rFonts w:ascii="Times New Roman" w:eastAsia="Times New Roman" w:hAnsi="Times New Roman" w:cs="Times New Roman"/>
          <w:b/>
          <w:bCs/>
          <w:sz w:val="22"/>
          <w:szCs w:val="22"/>
        </w:rPr>
        <w:t>Pagos:</w:t>
      </w:r>
      <w:r w:rsidR="00D60F46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="009B30FE" w:rsidRPr="00130C26">
        <w:rPr>
          <w:rFonts w:ascii="Times New Roman" w:eastAsia="Times New Roman" w:hAnsi="Times New Roman" w:cs="Times New Roman"/>
          <w:sz w:val="22"/>
          <w:szCs w:val="22"/>
        </w:rPr>
        <w:t>Todos los pagos serán efectuados en la República Argentina por el Banco mediante transferencia de los importes correspondientes a Caja de Valores S.A. (“</w:t>
      </w:r>
      <w:r w:rsidR="009B30FE" w:rsidRPr="00130C26">
        <w:rPr>
          <w:rFonts w:ascii="Times New Roman" w:eastAsia="Times New Roman" w:hAnsi="Times New Roman" w:cs="Times New Roman"/>
          <w:b/>
          <w:bCs/>
          <w:sz w:val="22"/>
          <w:szCs w:val="22"/>
        </w:rPr>
        <w:t>Caja de Valores</w:t>
      </w:r>
      <w:r w:rsidR="009B30FE" w:rsidRPr="00130C26">
        <w:rPr>
          <w:rFonts w:ascii="Times New Roman" w:eastAsia="Times New Roman" w:hAnsi="Times New Roman" w:cs="Times New Roman"/>
          <w:sz w:val="22"/>
          <w:szCs w:val="22"/>
        </w:rPr>
        <w:t>” o “</w:t>
      </w:r>
      <w:r w:rsidR="009B30FE" w:rsidRPr="00130C26">
        <w:rPr>
          <w:rFonts w:ascii="Times New Roman" w:eastAsia="Times New Roman" w:hAnsi="Times New Roman" w:cs="Times New Roman"/>
          <w:b/>
          <w:bCs/>
          <w:sz w:val="22"/>
          <w:szCs w:val="22"/>
        </w:rPr>
        <w:t>CVSA</w:t>
      </w:r>
      <w:r w:rsidR="009B30FE" w:rsidRPr="00130C26">
        <w:rPr>
          <w:rFonts w:ascii="Times New Roman" w:eastAsia="Times New Roman" w:hAnsi="Times New Roman" w:cs="Times New Roman"/>
          <w:sz w:val="22"/>
          <w:szCs w:val="22"/>
        </w:rPr>
        <w:t>”, indistintamente) para su acreditación en las respectivas cuentas de los tenedores de las Obligaciones Negociables con derecho a cobro de acuerdo con la posición existente al cierre del Día Hábil</w:t>
      </w:r>
      <w:r w:rsidR="00130C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30C26" w:rsidRPr="00130C26">
        <w:rPr>
          <w:rFonts w:ascii="Times New Roman" w:eastAsia="Times New Roman" w:hAnsi="Times New Roman" w:cs="Times New Roman"/>
          <w:sz w:val="22"/>
          <w:szCs w:val="22"/>
        </w:rPr>
        <w:t>inmediato anterior a la fecha de pago correspondiente.</w:t>
      </w:r>
      <w:r w:rsidR="00130C2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3A24F7C4">
        <w:rPr>
          <w:rFonts w:ascii="Times New Roman" w:eastAsia="Times New Roman" w:hAnsi="Times New Roman" w:cs="Times New Roman"/>
          <w:b/>
          <w:bCs/>
          <w:sz w:val="22"/>
          <w:szCs w:val="22"/>
        </w:rPr>
        <w:t>Monto Mínimo de Suscripción y Unidad Mínima de Negociación:</w:t>
      </w:r>
      <w:r w:rsidRPr="234562E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846F58" w:rsidRPr="3A24F7C4">
        <w:rPr>
          <w:rFonts w:ascii="Times New Roman" w:eastAsia="Times New Roman" w:hAnsi="Times New Roman" w:cs="Times New Roman"/>
          <w:sz w:val="22"/>
          <w:szCs w:val="22"/>
        </w:rPr>
        <w:t xml:space="preserve">V/N </w:t>
      </w:r>
      <w:r w:rsidR="76A1DFE7" w:rsidRPr="234562E6">
        <w:rPr>
          <w:rFonts w:ascii="Times New Roman" w:eastAsia="Times New Roman" w:hAnsi="Times New Roman" w:cs="Times New Roman"/>
          <w:sz w:val="22"/>
          <w:szCs w:val="22"/>
        </w:rPr>
        <w:t>US$1.000 (</w:t>
      </w:r>
      <w:r w:rsidR="76A1DFE7">
        <w:rPr>
          <w:rFonts w:ascii="Times New Roman" w:eastAsia="Times New Roman" w:hAnsi="Times New Roman" w:cs="Times New Roman"/>
          <w:sz w:val="22"/>
          <w:szCs w:val="22"/>
        </w:rPr>
        <w:t>Dólares Estadounidenses</w:t>
      </w:r>
      <w:r w:rsidR="76A1DFE7" w:rsidRPr="234562E6">
        <w:rPr>
          <w:rFonts w:ascii="Times New Roman" w:eastAsia="Times New Roman" w:hAnsi="Times New Roman" w:cs="Times New Roman"/>
          <w:sz w:val="22"/>
          <w:szCs w:val="22"/>
        </w:rPr>
        <w:t xml:space="preserve"> mil) y múltiplos de V/N US$ 1 (Dólares Estadounidenses uno) por encima de dicho monto. </w:t>
      </w:r>
      <w:r w:rsidRPr="3A24F7C4">
        <w:rPr>
          <w:rFonts w:ascii="Times New Roman" w:eastAsia="Times New Roman" w:hAnsi="Times New Roman" w:cs="Times New Roman"/>
          <w:b/>
          <w:bCs/>
          <w:sz w:val="22"/>
          <w:szCs w:val="22"/>
        </w:rPr>
        <w:t>Amortización</w:t>
      </w:r>
      <w:r w:rsidR="00BB61B3">
        <w:rPr>
          <w:rFonts w:ascii="Times New Roman" w:eastAsia="Times New Roman" w:hAnsi="Times New Roman" w:cs="Times New Roman"/>
          <w:b/>
          <w:bCs/>
          <w:sz w:val="22"/>
          <w:szCs w:val="22"/>
        </w:rPr>
        <w:t>:</w:t>
      </w:r>
      <w:r w:rsidRPr="234562E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B61B3">
        <w:rPr>
          <w:rFonts w:ascii="Times New Roman" w:eastAsia="Times New Roman" w:hAnsi="Times New Roman" w:cs="Times New Roman"/>
          <w:sz w:val="22"/>
          <w:szCs w:val="22"/>
        </w:rPr>
        <w:t>e</w:t>
      </w:r>
      <w:r w:rsidR="00BB61B3" w:rsidRPr="00BB61B3">
        <w:rPr>
          <w:rFonts w:ascii="Times New Roman" w:eastAsia="Times New Roman" w:hAnsi="Times New Roman" w:cs="Times New Roman"/>
          <w:sz w:val="22"/>
          <w:szCs w:val="22"/>
        </w:rPr>
        <w:t>l capital será amortizado mediante 1 (un) pago por un monto igual al 100% del capital total de las Obligaciones Negociables a ser efectuado en la Fecha de Vencimiento</w:t>
      </w:r>
      <w:r w:rsidRPr="00552765" w:rsidDel="007554E4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473BCA" w:rsidRPr="00473BCA">
        <w:rPr>
          <w:rFonts w:ascii="Times New Roman" w:eastAsia="Times New Roman" w:hAnsi="Times New Roman" w:cs="Times New Roman"/>
          <w:b/>
          <w:bCs/>
          <w:sz w:val="22"/>
          <w:szCs w:val="22"/>
        </w:rPr>
        <w:t>Tasa de Interés:</w:t>
      </w:r>
      <w:r w:rsidR="00473BC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602C7" w:rsidRPr="00E602C7">
        <w:rPr>
          <w:rFonts w:ascii="Times New Roman" w:eastAsia="Times New Roman" w:hAnsi="Times New Roman" w:cs="Times New Roman"/>
          <w:sz w:val="22"/>
          <w:szCs w:val="22"/>
          <w:lang w:val="es-AR"/>
        </w:rPr>
        <w:t xml:space="preserve">La tasa de interés aplicable a las Obligaciones Negociables es 0,00% nominal anual. Por lo tanto, las Obligaciones Negociables no devengarán intereses. </w:t>
      </w:r>
      <w:r w:rsidRPr="3A24F7C4">
        <w:rPr>
          <w:rFonts w:ascii="Times New Roman" w:eastAsia="Times New Roman" w:hAnsi="Times New Roman" w:cs="Times New Roman"/>
          <w:b/>
          <w:bCs/>
          <w:sz w:val="22"/>
          <w:szCs w:val="22"/>
        </w:rPr>
        <w:t>Destino de los Fondos:</w:t>
      </w:r>
      <w:r w:rsidRPr="234562E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F192C" w:rsidRPr="3A24F7C4">
        <w:rPr>
          <w:rFonts w:ascii="Times New Roman" w:eastAsia="Times New Roman" w:hAnsi="Times New Roman" w:cs="Times New Roman"/>
          <w:sz w:val="22"/>
          <w:szCs w:val="22"/>
        </w:rPr>
        <w:t xml:space="preserve">los fondos netos provenientes de la colocación de las Obligaciones Negociables </w:t>
      </w:r>
      <w:r w:rsidR="000F192C" w:rsidRPr="234562E6">
        <w:rPr>
          <w:rFonts w:ascii="Times New Roman" w:eastAsia="Times New Roman" w:hAnsi="Times New Roman" w:cs="Times New Roman"/>
          <w:sz w:val="22"/>
          <w:szCs w:val="22"/>
        </w:rPr>
        <w:t xml:space="preserve">serán utilizados </w:t>
      </w:r>
      <w:r w:rsidR="000F192C" w:rsidRPr="3A24F7C4">
        <w:rPr>
          <w:rFonts w:ascii="Times New Roman" w:eastAsia="Times New Roman" w:hAnsi="Times New Roman" w:cs="Times New Roman"/>
          <w:sz w:val="22"/>
          <w:szCs w:val="22"/>
        </w:rPr>
        <w:t xml:space="preserve">para la </w:t>
      </w:r>
      <w:r w:rsidR="001819DC" w:rsidRPr="001819DC">
        <w:rPr>
          <w:rFonts w:ascii="Times New Roman" w:eastAsia="Times New Roman" w:hAnsi="Times New Roman" w:cs="Times New Roman"/>
          <w:sz w:val="22"/>
          <w:szCs w:val="22"/>
        </w:rPr>
        <w:t>Integración de capital de trabajo del Banco en la República Argentina, incluyendo el otorgamiento de préstamos a empresas e individuos bajo la forma de adelantos, descuentos u otras financiaciones, destinados a financiar capital de trabajo, inversiones o consumo, dentro de las modalidades habituales en el sistema financiero argentino, incluyendo leasing, prendas, préstamos personales u otros que puedan existir en lo sucesivo.</w:t>
      </w:r>
      <w:r w:rsidR="000F192C" w:rsidRPr="3A24F7C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3A24F7C4" w:rsidDel="000F192C">
        <w:rPr>
          <w:rFonts w:ascii="Times New Roman" w:eastAsia="Times New Roman" w:hAnsi="Times New Roman" w:cs="Times New Roman"/>
          <w:b/>
          <w:bCs/>
          <w:sz w:val="22"/>
          <w:szCs w:val="22"/>
        </w:rPr>
        <w:t>Garantías:</w:t>
      </w:r>
      <w:r w:rsidDel="000F192C">
        <w:rPr>
          <w:rFonts w:ascii="Times New Roman" w:eastAsia="Times New Roman" w:hAnsi="Times New Roman" w:cs="Times New Roman"/>
          <w:sz w:val="22"/>
          <w:szCs w:val="22"/>
        </w:rPr>
        <w:t xml:space="preserve"> las Obligaciones Negociables no gozan de otra garantía que el patrimonio común del </w:t>
      </w:r>
      <w:r w:rsidR="00130C26">
        <w:rPr>
          <w:rFonts w:ascii="Times New Roman" w:eastAsia="Times New Roman" w:hAnsi="Times New Roman" w:cs="Times New Roman"/>
          <w:sz w:val="22"/>
          <w:szCs w:val="22"/>
        </w:rPr>
        <w:t>Banco</w:t>
      </w:r>
      <w:r w:rsidDel="000F192C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Pr="234562E6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Calificación de Riesgo: </w:t>
      </w:r>
      <w:r w:rsidRPr="234562E6">
        <w:rPr>
          <w:rFonts w:ascii="Times New Roman" w:eastAsia="Times New Roman" w:hAnsi="Times New Roman" w:cs="Times New Roman"/>
          <w:sz w:val="22"/>
          <w:szCs w:val="22"/>
        </w:rPr>
        <w:t xml:space="preserve">las Obligaciones Negociables han sido calificadas por Moody’s Local Argentina como </w:t>
      </w:r>
      <w:r w:rsidRPr="3A24F7C4">
        <w:rPr>
          <w:rFonts w:ascii="Times New Roman" w:eastAsia="Times New Roman" w:hAnsi="Times New Roman" w:cs="Times New Roman"/>
          <w:sz w:val="22"/>
          <w:szCs w:val="22"/>
          <w:lang w:val="es"/>
        </w:rPr>
        <w:t xml:space="preserve">“ML A-1.ar” </w:t>
      </w:r>
      <w:r w:rsidRPr="234562E6">
        <w:rPr>
          <w:rFonts w:ascii="Times New Roman" w:eastAsia="Times New Roman" w:hAnsi="Times New Roman" w:cs="Times New Roman"/>
          <w:sz w:val="22"/>
          <w:szCs w:val="22"/>
        </w:rPr>
        <w:t xml:space="preserve">en fecha </w:t>
      </w:r>
      <w:r w:rsidR="00E671AB">
        <w:rPr>
          <w:rFonts w:ascii="Times New Roman" w:eastAsia="Times New Roman" w:hAnsi="Times New Roman" w:cs="Times New Roman"/>
          <w:sz w:val="22"/>
          <w:szCs w:val="22"/>
        </w:rPr>
        <w:t>1°</w:t>
      </w:r>
      <w:r w:rsidR="00BB4400">
        <w:rPr>
          <w:rFonts w:ascii="Times New Roman" w:eastAsia="Times New Roman" w:hAnsi="Times New Roman" w:cs="Times New Roman"/>
          <w:sz w:val="22"/>
          <w:szCs w:val="22"/>
        </w:rPr>
        <w:t xml:space="preserve"> de </w:t>
      </w:r>
      <w:r w:rsidR="00E671AB">
        <w:rPr>
          <w:rFonts w:ascii="Times New Roman" w:eastAsia="Times New Roman" w:hAnsi="Times New Roman" w:cs="Times New Roman"/>
          <w:sz w:val="22"/>
          <w:szCs w:val="22"/>
        </w:rPr>
        <w:t>octubre</w:t>
      </w:r>
      <w:r w:rsidR="00493E43" w:rsidRPr="00493E43" w:rsidDel="00AF186F">
        <w:rPr>
          <w:rFonts w:ascii="Times New Roman" w:eastAsia="Times New Roman" w:hAnsi="Times New Roman" w:cs="Times New Roman"/>
          <w:sz w:val="22"/>
          <w:szCs w:val="22"/>
        </w:rPr>
        <w:t xml:space="preserve"> de 2025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  <w:r w:rsidRPr="3A24F7C4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="00E671AB" w:rsidRPr="00E671AB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(g) </w:t>
      </w:r>
      <w:r w:rsidR="00E671AB" w:rsidRPr="00E671AB">
        <w:rPr>
          <w:rFonts w:ascii="Times New Roman" w:eastAsia="Times New Roman" w:hAnsi="Times New Roman" w:cs="Times New Roman"/>
          <w:sz w:val="22"/>
          <w:szCs w:val="22"/>
        </w:rPr>
        <w:t>A la fecha del presente las únicas clases vigentes de obligaciones negociables son</w:t>
      </w:r>
      <w:r w:rsidR="00E671A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671AB" w:rsidRPr="00E671AB">
        <w:rPr>
          <w:rFonts w:ascii="Times New Roman" w:eastAsia="Times New Roman" w:hAnsi="Times New Roman" w:cs="Times New Roman"/>
          <w:sz w:val="22"/>
          <w:szCs w:val="22"/>
        </w:rPr>
        <w:t xml:space="preserve">las obligaciones negociables </w:t>
      </w:r>
      <w:r w:rsidR="00E671AB">
        <w:rPr>
          <w:rFonts w:ascii="Times New Roman" w:eastAsia="Times New Roman" w:hAnsi="Times New Roman" w:cs="Times New Roman"/>
          <w:sz w:val="22"/>
          <w:szCs w:val="22"/>
        </w:rPr>
        <w:t xml:space="preserve">Serie I </w:t>
      </w:r>
      <w:r w:rsidR="00E671AB" w:rsidRPr="00E671AB">
        <w:rPr>
          <w:rFonts w:ascii="Times New Roman" w:eastAsia="Times New Roman" w:hAnsi="Times New Roman" w:cs="Times New Roman"/>
          <w:sz w:val="22"/>
          <w:szCs w:val="22"/>
        </w:rPr>
        <w:t>con un monto en circulación a la fecha de US$ 24.101.832 (Dólares Estadounidenses veinticuatro millones ciento un mil ochocientos treinta y dos), cuyo vencimiento operará el 29 de septiembre de 2026 o el Día Hábil inmediatamente posterior si dicha fecha no fuese un Día Hábil o de no existir dicho día</w:t>
      </w:r>
      <w:r w:rsidR="00E671AB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05614275" w14:textId="5F6DA79B" w:rsidR="00AA4290" w:rsidRDefault="612D6DBF" w:rsidP="2EE07B4F">
      <w:pPr>
        <w:spacing w:after="0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  <w:lang w:val="es-AR"/>
        </w:rPr>
      </w:pPr>
      <w:r w:rsidRPr="2EE07B4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2BF28821" w14:textId="17F344D5" w:rsidR="00AA4290" w:rsidRDefault="00AA4290" w:rsidP="501B8F70">
      <w:pPr>
        <w:spacing w:after="0"/>
      </w:pPr>
    </w:p>
    <w:p w14:paraId="2E3B82DF" w14:textId="77777777" w:rsidR="00681B59" w:rsidRPr="00681B59" w:rsidRDefault="00681B59" w:rsidP="00681B59">
      <w:pPr>
        <w:spacing w:after="0"/>
        <w:rPr>
          <w:lang w:val="es-AR"/>
        </w:rPr>
      </w:pPr>
    </w:p>
    <w:p w14:paraId="5C1A07E2" w14:textId="1E171AF6" w:rsidR="00AA4290" w:rsidRPr="00130C26" w:rsidRDefault="00AA4290" w:rsidP="0050468F">
      <w:pPr>
        <w:spacing w:after="0"/>
        <w:rPr>
          <w:lang w:val="es-AR"/>
        </w:rPr>
      </w:pPr>
    </w:p>
    <w:sectPr w:rsidR="00AA4290" w:rsidRPr="00130C26" w:rsidSect="00726385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81F68" w14:textId="77777777" w:rsidR="0057110C" w:rsidRDefault="0057110C" w:rsidP="00726385">
      <w:pPr>
        <w:spacing w:after="0" w:line="240" w:lineRule="auto"/>
      </w:pPr>
      <w:r>
        <w:separator/>
      </w:r>
    </w:p>
  </w:endnote>
  <w:endnote w:type="continuationSeparator" w:id="0">
    <w:p w14:paraId="61C17E0C" w14:textId="77777777" w:rsidR="0057110C" w:rsidRDefault="0057110C" w:rsidP="00726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7AF10" w14:textId="77777777" w:rsidR="0057110C" w:rsidRDefault="0057110C" w:rsidP="00726385">
      <w:pPr>
        <w:spacing w:after="0" w:line="240" w:lineRule="auto"/>
      </w:pPr>
      <w:r>
        <w:separator/>
      </w:r>
    </w:p>
  </w:footnote>
  <w:footnote w:type="continuationSeparator" w:id="0">
    <w:p w14:paraId="6E6AD7AD" w14:textId="77777777" w:rsidR="0057110C" w:rsidRDefault="0057110C" w:rsidP="00726385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4A9F"/>
    <w:multiLevelType w:val="multilevel"/>
    <w:tmpl w:val="DEB4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AE0A62"/>
    <w:multiLevelType w:val="multilevel"/>
    <w:tmpl w:val="00C4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290B28"/>
    <w:multiLevelType w:val="multilevel"/>
    <w:tmpl w:val="6B04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750270"/>
    <w:multiLevelType w:val="hybridMultilevel"/>
    <w:tmpl w:val="46C4215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56853"/>
    <w:multiLevelType w:val="multilevel"/>
    <w:tmpl w:val="0CA2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823B1B"/>
    <w:multiLevelType w:val="multilevel"/>
    <w:tmpl w:val="7BF61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9328BD"/>
    <w:multiLevelType w:val="multilevel"/>
    <w:tmpl w:val="211A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3F39CB"/>
    <w:multiLevelType w:val="multilevel"/>
    <w:tmpl w:val="DF98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C57B21"/>
    <w:multiLevelType w:val="multilevel"/>
    <w:tmpl w:val="CDDC0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D54C00"/>
    <w:multiLevelType w:val="multilevel"/>
    <w:tmpl w:val="A966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0A3E69"/>
    <w:multiLevelType w:val="multilevel"/>
    <w:tmpl w:val="FAE0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00679C1"/>
    <w:multiLevelType w:val="multilevel"/>
    <w:tmpl w:val="5A747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2D1540"/>
    <w:multiLevelType w:val="multilevel"/>
    <w:tmpl w:val="C574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8734AD"/>
    <w:multiLevelType w:val="multilevel"/>
    <w:tmpl w:val="1B64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1072E9"/>
    <w:multiLevelType w:val="multilevel"/>
    <w:tmpl w:val="33B62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73254A"/>
    <w:multiLevelType w:val="multilevel"/>
    <w:tmpl w:val="5EB2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923D60"/>
    <w:multiLevelType w:val="multilevel"/>
    <w:tmpl w:val="B488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54C03C4"/>
    <w:multiLevelType w:val="multilevel"/>
    <w:tmpl w:val="29A89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C945A99"/>
    <w:multiLevelType w:val="multilevel"/>
    <w:tmpl w:val="DDD6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F2302F7"/>
    <w:multiLevelType w:val="multilevel"/>
    <w:tmpl w:val="F5EE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12F172C"/>
    <w:multiLevelType w:val="multilevel"/>
    <w:tmpl w:val="59A8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D6A466D"/>
    <w:multiLevelType w:val="multilevel"/>
    <w:tmpl w:val="E9FA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BA94B0A"/>
    <w:multiLevelType w:val="multilevel"/>
    <w:tmpl w:val="FFC4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5"/>
  </w:num>
  <w:num w:numId="5">
    <w:abstractNumId w:val="7"/>
  </w:num>
  <w:num w:numId="6">
    <w:abstractNumId w:val="18"/>
  </w:num>
  <w:num w:numId="7">
    <w:abstractNumId w:val="16"/>
  </w:num>
  <w:num w:numId="8">
    <w:abstractNumId w:val="14"/>
  </w:num>
  <w:num w:numId="9">
    <w:abstractNumId w:val="1"/>
  </w:num>
  <w:num w:numId="10">
    <w:abstractNumId w:val="21"/>
  </w:num>
  <w:num w:numId="11">
    <w:abstractNumId w:val="9"/>
  </w:num>
  <w:num w:numId="12">
    <w:abstractNumId w:val="10"/>
  </w:num>
  <w:num w:numId="13">
    <w:abstractNumId w:val="17"/>
  </w:num>
  <w:num w:numId="14">
    <w:abstractNumId w:val="2"/>
  </w:num>
  <w:num w:numId="15">
    <w:abstractNumId w:val="22"/>
  </w:num>
  <w:num w:numId="16">
    <w:abstractNumId w:val="12"/>
  </w:num>
  <w:num w:numId="17">
    <w:abstractNumId w:val="0"/>
  </w:num>
  <w:num w:numId="18">
    <w:abstractNumId w:val="8"/>
  </w:num>
  <w:num w:numId="19">
    <w:abstractNumId w:val="19"/>
  </w:num>
  <w:num w:numId="20">
    <w:abstractNumId w:val="20"/>
  </w:num>
  <w:num w:numId="21">
    <w:abstractNumId w:val="6"/>
  </w:num>
  <w:num w:numId="22">
    <w:abstractNumId w:val="1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19E3F0"/>
    <w:rsid w:val="00004619"/>
    <w:rsid w:val="0000773A"/>
    <w:rsid w:val="00007C32"/>
    <w:rsid w:val="00010E9E"/>
    <w:rsid w:val="000343EC"/>
    <w:rsid w:val="000A41B7"/>
    <w:rsid w:val="000A7A76"/>
    <w:rsid w:val="000E0ACF"/>
    <w:rsid w:val="000E6C8D"/>
    <w:rsid w:val="000F192C"/>
    <w:rsid w:val="000F72BA"/>
    <w:rsid w:val="0010435F"/>
    <w:rsid w:val="00116E08"/>
    <w:rsid w:val="00130C26"/>
    <w:rsid w:val="0013301A"/>
    <w:rsid w:val="00143CB2"/>
    <w:rsid w:val="00165AA7"/>
    <w:rsid w:val="00172A19"/>
    <w:rsid w:val="0017530D"/>
    <w:rsid w:val="001819DC"/>
    <w:rsid w:val="00184654"/>
    <w:rsid w:val="001A0FBC"/>
    <w:rsid w:val="001D1676"/>
    <w:rsid w:val="001E328B"/>
    <w:rsid w:val="00202011"/>
    <w:rsid w:val="00205D86"/>
    <w:rsid w:val="002306BA"/>
    <w:rsid w:val="00275B73"/>
    <w:rsid w:val="002863CB"/>
    <w:rsid w:val="00293B3D"/>
    <w:rsid w:val="00296F92"/>
    <w:rsid w:val="002D0556"/>
    <w:rsid w:val="002D409B"/>
    <w:rsid w:val="002F479D"/>
    <w:rsid w:val="00316494"/>
    <w:rsid w:val="00336C3D"/>
    <w:rsid w:val="003374F0"/>
    <w:rsid w:val="00341ED2"/>
    <w:rsid w:val="00345B11"/>
    <w:rsid w:val="00347DC8"/>
    <w:rsid w:val="003612B1"/>
    <w:rsid w:val="003A000A"/>
    <w:rsid w:val="003A7976"/>
    <w:rsid w:val="003C05E6"/>
    <w:rsid w:val="003D65A0"/>
    <w:rsid w:val="003E1DE5"/>
    <w:rsid w:val="003E782E"/>
    <w:rsid w:val="00444C37"/>
    <w:rsid w:val="00446D56"/>
    <w:rsid w:val="00455EFF"/>
    <w:rsid w:val="00473BCA"/>
    <w:rsid w:val="00475562"/>
    <w:rsid w:val="0047579B"/>
    <w:rsid w:val="0048712E"/>
    <w:rsid w:val="00493E43"/>
    <w:rsid w:val="00496D36"/>
    <w:rsid w:val="004A5DD8"/>
    <w:rsid w:val="004D2515"/>
    <w:rsid w:val="004D7EF0"/>
    <w:rsid w:val="005011AD"/>
    <w:rsid w:val="0050468F"/>
    <w:rsid w:val="00515750"/>
    <w:rsid w:val="00552765"/>
    <w:rsid w:val="0057110C"/>
    <w:rsid w:val="0057449E"/>
    <w:rsid w:val="00575622"/>
    <w:rsid w:val="00587E7B"/>
    <w:rsid w:val="00590A6E"/>
    <w:rsid w:val="005A46C1"/>
    <w:rsid w:val="005A7DE9"/>
    <w:rsid w:val="005E15D1"/>
    <w:rsid w:val="0061337F"/>
    <w:rsid w:val="00637113"/>
    <w:rsid w:val="00656CDA"/>
    <w:rsid w:val="00664AF7"/>
    <w:rsid w:val="00681B59"/>
    <w:rsid w:val="006838BE"/>
    <w:rsid w:val="006C0FC1"/>
    <w:rsid w:val="006C11F1"/>
    <w:rsid w:val="006D1B6C"/>
    <w:rsid w:val="006D745A"/>
    <w:rsid w:val="00703B00"/>
    <w:rsid w:val="00711944"/>
    <w:rsid w:val="007172DB"/>
    <w:rsid w:val="00717C3B"/>
    <w:rsid w:val="00726385"/>
    <w:rsid w:val="007554E4"/>
    <w:rsid w:val="00765466"/>
    <w:rsid w:val="00766975"/>
    <w:rsid w:val="00785C07"/>
    <w:rsid w:val="0078701E"/>
    <w:rsid w:val="00793FE9"/>
    <w:rsid w:val="007C2B3F"/>
    <w:rsid w:val="007E03FC"/>
    <w:rsid w:val="00811800"/>
    <w:rsid w:val="00832DD0"/>
    <w:rsid w:val="00846F58"/>
    <w:rsid w:val="0085411F"/>
    <w:rsid w:val="008A2334"/>
    <w:rsid w:val="008B0650"/>
    <w:rsid w:val="008D49EC"/>
    <w:rsid w:val="00920932"/>
    <w:rsid w:val="00923770"/>
    <w:rsid w:val="00930F73"/>
    <w:rsid w:val="00947FB4"/>
    <w:rsid w:val="00974091"/>
    <w:rsid w:val="009B30FE"/>
    <w:rsid w:val="009E005F"/>
    <w:rsid w:val="009F6D6B"/>
    <w:rsid w:val="009F707B"/>
    <w:rsid w:val="00A03303"/>
    <w:rsid w:val="00A20C3E"/>
    <w:rsid w:val="00A21508"/>
    <w:rsid w:val="00A50913"/>
    <w:rsid w:val="00A7114A"/>
    <w:rsid w:val="00A80DF5"/>
    <w:rsid w:val="00A820C6"/>
    <w:rsid w:val="00A84A47"/>
    <w:rsid w:val="00A84E4B"/>
    <w:rsid w:val="00A917AC"/>
    <w:rsid w:val="00AA4290"/>
    <w:rsid w:val="00AD3CB7"/>
    <w:rsid w:val="00AD550A"/>
    <w:rsid w:val="00AE27EF"/>
    <w:rsid w:val="00AE5F95"/>
    <w:rsid w:val="00AF1164"/>
    <w:rsid w:val="00AF186F"/>
    <w:rsid w:val="00B1236D"/>
    <w:rsid w:val="00B1534F"/>
    <w:rsid w:val="00B20D00"/>
    <w:rsid w:val="00B21E84"/>
    <w:rsid w:val="00B354CA"/>
    <w:rsid w:val="00B46867"/>
    <w:rsid w:val="00B61091"/>
    <w:rsid w:val="00B77B1B"/>
    <w:rsid w:val="00B82F82"/>
    <w:rsid w:val="00B942B1"/>
    <w:rsid w:val="00BA01E0"/>
    <w:rsid w:val="00BB4400"/>
    <w:rsid w:val="00BB61B3"/>
    <w:rsid w:val="00BD04C5"/>
    <w:rsid w:val="00BE0BDF"/>
    <w:rsid w:val="00C120BD"/>
    <w:rsid w:val="00C708E7"/>
    <w:rsid w:val="00C86CAE"/>
    <w:rsid w:val="00CD0EF8"/>
    <w:rsid w:val="00CF498E"/>
    <w:rsid w:val="00CF57EE"/>
    <w:rsid w:val="00D0123B"/>
    <w:rsid w:val="00D162EE"/>
    <w:rsid w:val="00D16D7E"/>
    <w:rsid w:val="00D60F46"/>
    <w:rsid w:val="00D67996"/>
    <w:rsid w:val="00D74FB2"/>
    <w:rsid w:val="00DB65EB"/>
    <w:rsid w:val="00DC0A9B"/>
    <w:rsid w:val="00DC1007"/>
    <w:rsid w:val="00DC1A6A"/>
    <w:rsid w:val="00DD4B3B"/>
    <w:rsid w:val="00E43449"/>
    <w:rsid w:val="00E602C7"/>
    <w:rsid w:val="00E671AB"/>
    <w:rsid w:val="00E74D17"/>
    <w:rsid w:val="00EE25F7"/>
    <w:rsid w:val="00EF3317"/>
    <w:rsid w:val="00F105E6"/>
    <w:rsid w:val="00F2506A"/>
    <w:rsid w:val="00F74264"/>
    <w:rsid w:val="00F76B29"/>
    <w:rsid w:val="00F85556"/>
    <w:rsid w:val="00F91EC8"/>
    <w:rsid w:val="00FA0BE0"/>
    <w:rsid w:val="00FA7CC6"/>
    <w:rsid w:val="00FB0B8E"/>
    <w:rsid w:val="00FB6986"/>
    <w:rsid w:val="00FC38FC"/>
    <w:rsid w:val="00FD1420"/>
    <w:rsid w:val="00FF7101"/>
    <w:rsid w:val="0447014D"/>
    <w:rsid w:val="10A4C8EC"/>
    <w:rsid w:val="16DD45CC"/>
    <w:rsid w:val="2114E5FC"/>
    <w:rsid w:val="234562E6"/>
    <w:rsid w:val="241503AF"/>
    <w:rsid w:val="244BC487"/>
    <w:rsid w:val="26515D7B"/>
    <w:rsid w:val="2AAE2718"/>
    <w:rsid w:val="2EE07B4F"/>
    <w:rsid w:val="342B2D19"/>
    <w:rsid w:val="397B9D3A"/>
    <w:rsid w:val="3A24F7C4"/>
    <w:rsid w:val="40BDF249"/>
    <w:rsid w:val="417E41B1"/>
    <w:rsid w:val="4D19E3F0"/>
    <w:rsid w:val="501B8F70"/>
    <w:rsid w:val="56214150"/>
    <w:rsid w:val="5812CAF1"/>
    <w:rsid w:val="5BAEF985"/>
    <w:rsid w:val="5D965F18"/>
    <w:rsid w:val="5E9A09C4"/>
    <w:rsid w:val="612D6DBF"/>
    <w:rsid w:val="615F3FF8"/>
    <w:rsid w:val="66EE4F65"/>
    <w:rsid w:val="67B85A05"/>
    <w:rsid w:val="6923DCA1"/>
    <w:rsid w:val="6975AD51"/>
    <w:rsid w:val="69C2251C"/>
    <w:rsid w:val="74401C69"/>
    <w:rsid w:val="74C0191F"/>
    <w:rsid w:val="76A1DFE7"/>
    <w:rsid w:val="7DC7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E3F0"/>
  <w15:chartTrackingRefBased/>
  <w15:docId w15:val="{0E3F576F-36E9-481A-BD0A-99D8DEC3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501B8F70"/>
    <w:rPr>
      <w:color w:val="467886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263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6385"/>
  </w:style>
  <w:style w:type="paragraph" w:styleId="Piedepgina">
    <w:name w:val="footer"/>
    <w:basedOn w:val="Normal"/>
    <w:link w:val="PiedepginaCar"/>
    <w:uiPriority w:val="99"/>
    <w:unhideWhenUsed/>
    <w:rsid w:val="007263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6385"/>
  </w:style>
  <w:style w:type="paragraph" w:styleId="Revisin">
    <w:name w:val="Revision"/>
    <w:hidden/>
    <w:uiPriority w:val="99"/>
    <w:semiHidden/>
    <w:rsid w:val="00A84A47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753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AR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7530D"/>
    <w:rPr>
      <w:rFonts w:ascii="Times New Roman" w:eastAsia="Times New Roman" w:hAnsi="Times New Roman" w:cs="Times New Roman"/>
      <w:sz w:val="20"/>
      <w:szCs w:val="20"/>
      <w:lang w:val="es-AR"/>
    </w:rPr>
  </w:style>
  <w:style w:type="character" w:styleId="Refdenotaalpie">
    <w:name w:val="footnote reference"/>
    <w:uiPriority w:val="99"/>
    <w:semiHidden/>
    <w:unhideWhenUsed/>
    <w:rsid w:val="0017530D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6799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6799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67996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0A41B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A41B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A41B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41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41B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4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42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0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9C21EE81AB7B40861247318B0686B5" ma:contentTypeVersion="25" ma:contentTypeDescription="Crear nuevo documento." ma:contentTypeScope="" ma:versionID="ac2a74a7ed7c5d72c012478188e901aa">
  <xsd:schema xmlns:xsd="http://www.w3.org/2001/XMLSchema" xmlns:xs="http://www.w3.org/2001/XMLSchema" xmlns:p="http://schemas.microsoft.com/office/2006/metadata/properties" xmlns:ns2="f8fd6dc7-2d01-4d38-9854-4db86d9057e2" xmlns:ns3="d1e8d9fc-c8b4-48aa-959e-ad80febfb106" targetNamespace="http://schemas.microsoft.com/office/2006/metadata/properties" ma:root="true" ma:fieldsID="f14f87798bbf1b9cce6ab5e705ce9f45" ns2:_="" ns3:_="">
    <xsd:import namespace="f8fd6dc7-2d01-4d38-9854-4db86d9057e2"/>
    <xsd:import namespace="d1e8d9fc-c8b4-48aa-959e-ad80febfb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Ubicaci_x00f3_n" minOccurs="0"/>
                <xsd:element ref="ns2:d7f94807-57f3-41cd-8b18-216491145c29CountryOrRegion" minOccurs="0"/>
                <xsd:element ref="ns2:d7f94807-57f3-41cd-8b18-216491145c29State" minOccurs="0"/>
                <xsd:element ref="ns2:d7f94807-57f3-41cd-8b18-216491145c29City" minOccurs="0"/>
                <xsd:element ref="ns2:d7f94807-57f3-41cd-8b18-216491145c29PostalCode" minOccurs="0"/>
                <xsd:element ref="ns2:d7f94807-57f3-41cd-8b18-216491145c29Street" minOccurs="0"/>
                <xsd:element ref="ns2:d7f94807-57f3-41cd-8b18-216491145c29GeoLoc" minOccurs="0"/>
                <xsd:element ref="ns2:d7f94807-57f3-41cd-8b18-216491145c29DispNam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d6dc7-2d01-4d38-9854-4db86d905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1be1d658-6484-42b1-a040-5542837f68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bicaci_x00f3_n" ma:index="24" nillable="true" ma:displayName="Ubicación" ma:format="Dropdown" ma:internalName="Ubicaci_x00f3_n">
      <xsd:simpleType>
        <xsd:restriction base="dms:Unknown"/>
      </xsd:simpleType>
    </xsd:element>
    <xsd:element name="d7f94807-57f3-41cd-8b18-216491145c29CountryOrRegion" ma:index="25" nillable="true" ma:displayName="Ubicación: País o región" ma:internalName="CountryOrRegion" ma:readOnly="true">
      <xsd:simpleType>
        <xsd:restriction base="dms:Text"/>
      </xsd:simpleType>
    </xsd:element>
    <xsd:element name="d7f94807-57f3-41cd-8b18-216491145c29State" ma:index="26" nillable="true" ma:displayName="Ubicación: estado" ma:internalName="State" ma:readOnly="true">
      <xsd:simpleType>
        <xsd:restriction base="dms:Text"/>
      </xsd:simpleType>
    </xsd:element>
    <xsd:element name="d7f94807-57f3-41cd-8b18-216491145c29City" ma:index="27" nillable="true" ma:displayName="Ubicación: ciudad" ma:internalName="City" ma:readOnly="true">
      <xsd:simpleType>
        <xsd:restriction base="dms:Text"/>
      </xsd:simpleType>
    </xsd:element>
    <xsd:element name="d7f94807-57f3-41cd-8b18-216491145c29PostalCode" ma:index="28" nillable="true" ma:displayName="Ubicación: Código postal" ma:internalName="PostalCode" ma:readOnly="true">
      <xsd:simpleType>
        <xsd:restriction base="dms:Text"/>
      </xsd:simpleType>
    </xsd:element>
    <xsd:element name="d7f94807-57f3-41cd-8b18-216491145c29Street" ma:index="29" nillable="true" ma:displayName="Ubicación: calle" ma:internalName="Street" ma:readOnly="true">
      <xsd:simpleType>
        <xsd:restriction base="dms:Text"/>
      </xsd:simpleType>
    </xsd:element>
    <xsd:element name="d7f94807-57f3-41cd-8b18-216491145c29GeoLoc" ma:index="30" nillable="true" ma:displayName="Ubicación: coordenadas" ma:internalName="GeoLoc" ma:readOnly="true">
      <xsd:simpleType>
        <xsd:restriction base="dms:Unknown"/>
      </xsd:simpleType>
    </xsd:element>
    <xsd:element name="d7f94807-57f3-41cd-8b18-216491145c29DispName" ma:index="31" nillable="true" ma:displayName="Ubicación: nombre" ma:internalName="DispName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8d9fc-c8b4-48aa-959e-ad80febfb1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3ad5a92-c607-43de-8622-73ab46b9d198}" ma:internalName="TaxCatchAll" ma:showField="CatchAllData" ma:web="d1e8d9fc-c8b4-48aa-959e-ad80febfb1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fd6dc7-2d01-4d38-9854-4db86d9057e2">
      <Terms xmlns="http://schemas.microsoft.com/office/infopath/2007/PartnerControls"/>
    </lcf76f155ced4ddcb4097134ff3c332f>
    <Ubicaci_x00f3_n xmlns="f8fd6dc7-2d01-4d38-9854-4db86d9057e2" xsi:nil="true"/>
    <TaxCatchAll xmlns="d1e8d9fc-c8b4-48aa-959e-ad80febfb10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5CBBD-8D9D-4D8F-BCD6-4C0153CA6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d6dc7-2d01-4d38-9854-4db86d9057e2"/>
    <ds:schemaRef ds:uri="d1e8d9fc-c8b4-48aa-959e-ad80febfb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C3FB57-A721-40EA-8A8B-781AD3DB09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3D6DC0-B89B-4905-9368-A4386F7C8995}">
  <ds:schemaRefs>
    <ds:schemaRef ds:uri="http://schemas.microsoft.com/office/2006/documentManagement/types"/>
    <ds:schemaRef ds:uri="d1e8d9fc-c8b4-48aa-959e-ad80febfb106"/>
    <ds:schemaRef ds:uri="http://purl.org/dc/terms/"/>
    <ds:schemaRef ds:uri="http://purl.org/dc/elements/1.1/"/>
    <ds:schemaRef ds:uri="f8fd6dc7-2d01-4d38-9854-4db86d9057e2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211EF80-3FF6-471C-9F1A-DC53488EA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1093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Puntillo</dc:creator>
  <cp:keywords/>
  <dc:description/>
  <cp:lastModifiedBy>Luis Jose Gomez Tovar</cp:lastModifiedBy>
  <cp:revision>6</cp:revision>
  <cp:lastPrinted>2025-03-13T13:25:00Z</cp:lastPrinted>
  <dcterms:created xsi:type="dcterms:W3CDTF">2025-10-06T12:54:00Z</dcterms:created>
  <dcterms:modified xsi:type="dcterms:W3CDTF">2025-10-06T21:15:00Z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0x010100A79C21EE81AB7B40861247318B0686B5</vt:lpwstr>
  </property>
  <property fmtid="{D5CDD505-2E9C-101B-9397-08002B2CF9AE}" pid="3" name="MediaServiceImageTags">
    <vt:lpwstr/>
  </property>
</Properties>
</file>