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4D" w:rsidRPr="001E686B" w:rsidRDefault="0088740D" w:rsidP="00231C4D">
      <w:pPr>
        <w:pStyle w:val="Textoindependiente"/>
        <w:ind w:left="1276"/>
        <w:jc w:val="right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Buenos Aires, </w:t>
      </w:r>
      <w:r w:rsidR="00176DEF">
        <w:rPr>
          <w:b w:val="0"/>
          <w:sz w:val="16"/>
          <w:szCs w:val="16"/>
          <w:u w:val="none"/>
        </w:rPr>
        <w:t>0</w:t>
      </w:r>
      <w:r w:rsidR="00D3360B">
        <w:rPr>
          <w:b w:val="0"/>
          <w:sz w:val="16"/>
          <w:szCs w:val="16"/>
          <w:u w:val="none"/>
        </w:rPr>
        <w:t>1</w:t>
      </w:r>
      <w:r w:rsidR="00231C4D" w:rsidRPr="001E686B">
        <w:rPr>
          <w:b w:val="0"/>
          <w:sz w:val="16"/>
          <w:szCs w:val="16"/>
          <w:u w:val="none"/>
        </w:rPr>
        <w:t xml:space="preserve"> de</w:t>
      </w:r>
      <w:r w:rsidR="007E10DC" w:rsidRPr="001E686B">
        <w:rPr>
          <w:b w:val="0"/>
          <w:sz w:val="16"/>
          <w:szCs w:val="16"/>
          <w:u w:val="none"/>
        </w:rPr>
        <w:t xml:space="preserve"> </w:t>
      </w:r>
      <w:proofErr w:type="gramStart"/>
      <w:r w:rsidR="00F258F0">
        <w:rPr>
          <w:b w:val="0"/>
          <w:sz w:val="16"/>
          <w:szCs w:val="16"/>
          <w:u w:val="none"/>
        </w:rPr>
        <w:t>Diciembre</w:t>
      </w:r>
      <w:proofErr w:type="gramEnd"/>
      <w:r w:rsidR="00EA1CDA">
        <w:rPr>
          <w:b w:val="0"/>
          <w:sz w:val="16"/>
          <w:szCs w:val="16"/>
          <w:u w:val="none"/>
        </w:rPr>
        <w:t xml:space="preserve"> </w:t>
      </w:r>
      <w:r w:rsidR="00F07BD8" w:rsidRPr="001E686B">
        <w:rPr>
          <w:b w:val="0"/>
          <w:sz w:val="16"/>
          <w:szCs w:val="16"/>
          <w:u w:val="none"/>
        </w:rPr>
        <w:t>de 202</w:t>
      </w:r>
      <w:r w:rsidR="00176DEF">
        <w:rPr>
          <w:b w:val="0"/>
          <w:sz w:val="16"/>
          <w:szCs w:val="16"/>
          <w:u w:val="none"/>
        </w:rPr>
        <w:t>5</w:t>
      </w:r>
    </w:p>
    <w:p w:rsidR="00231C4D" w:rsidRPr="001E686B" w:rsidRDefault="00231C4D" w:rsidP="00231C4D">
      <w:pPr>
        <w:pStyle w:val="Textoindependiente"/>
        <w:ind w:left="1276"/>
        <w:jc w:val="right"/>
        <w:rPr>
          <w:b w:val="0"/>
          <w:sz w:val="16"/>
          <w:szCs w:val="16"/>
          <w:u w:val="none"/>
        </w:rPr>
      </w:pPr>
    </w:p>
    <w:p w:rsidR="00231C4D" w:rsidRDefault="00231C4D" w:rsidP="00231C4D">
      <w:pPr>
        <w:pStyle w:val="Textoindependiente"/>
        <w:ind w:left="1276"/>
        <w:jc w:val="right"/>
        <w:rPr>
          <w:b w:val="0"/>
          <w:sz w:val="16"/>
          <w:szCs w:val="16"/>
          <w:u w:val="none"/>
        </w:rPr>
      </w:pPr>
    </w:p>
    <w:p w:rsidR="001E686B" w:rsidRPr="001E686B" w:rsidRDefault="001E686B" w:rsidP="00231C4D">
      <w:pPr>
        <w:pStyle w:val="Textoindependiente"/>
        <w:ind w:left="1276"/>
        <w:jc w:val="right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>A la</w:t>
      </w:r>
    </w:p>
    <w:p w:rsidR="00231C4D" w:rsidRPr="001E686B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>Comisión Nacional de Valores</w:t>
      </w:r>
    </w:p>
    <w:p w:rsidR="00231C4D" w:rsidRPr="001E686B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>Sarmiento 299</w:t>
      </w:r>
    </w:p>
    <w:p w:rsidR="00231C4D" w:rsidRPr="001E686B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>Piso 2º</w:t>
      </w:r>
    </w:p>
    <w:p w:rsidR="00231C4D" w:rsidRPr="001E686B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>Ciudad Autónoma de Buenos Aires</w:t>
      </w:r>
    </w:p>
    <w:p w:rsidR="00231C4D" w:rsidRPr="001E686B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</w:rPr>
      </w:pPr>
      <w:r w:rsidRPr="001E686B">
        <w:rPr>
          <w:b w:val="0"/>
          <w:sz w:val="16"/>
          <w:szCs w:val="16"/>
        </w:rPr>
        <w:t>PRESENTE</w:t>
      </w:r>
    </w:p>
    <w:p w:rsidR="00231C4D" w:rsidRDefault="00231C4D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</w:p>
    <w:p w:rsidR="001E686B" w:rsidRPr="001E686B" w:rsidRDefault="001E686B" w:rsidP="00231C4D">
      <w:pPr>
        <w:pStyle w:val="Textoindependiente"/>
        <w:ind w:left="1276"/>
        <w:jc w:val="left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Tenemos el agrado de dirigirnos a Uds. con relación a las informaciones que deben remitir las emisoras de valores de corto plazo y de obligaciones negociables de acuerdo con el art. 135 del Reglamento de Listado de BYMA en los plazos fijados por los artículos 62 y 63 del mismo Reglamento sobre </w:t>
      </w:r>
      <w:r w:rsidR="00CC1707" w:rsidRPr="001E686B">
        <w:rPr>
          <w:b w:val="0"/>
          <w:sz w:val="16"/>
          <w:szCs w:val="16"/>
          <w:u w:val="none"/>
        </w:rPr>
        <w:t>los Estados Financieros Consolidados</w:t>
      </w:r>
      <w:r w:rsidRPr="001E686B">
        <w:rPr>
          <w:b w:val="0"/>
          <w:sz w:val="16"/>
          <w:szCs w:val="16"/>
          <w:u w:val="none"/>
        </w:rPr>
        <w:t>.</w:t>
      </w: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   Al respecto, les suministramos la información del art. 63 del referid</w:t>
      </w:r>
      <w:r w:rsidR="00F07BD8" w:rsidRPr="001E686B">
        <w:rPr>
          <w:b w:val="0"/>
          <w:sz w:val="16"/>
          <w:szCs w:val="16"/>
          <w:u w:val="none"/>
        </w:rPr>
        <w:t>o Reglamento</w:t>
      </w:r>
      <w:r w:rsidR="009D617D" w:rsidRPr="001E686B">
        <w:rPr>
          <w:b w:val="0"/>
          <w:sz w:val="16"/>
          <w:szCs w:val="16"/>
          <w:u w:val="none"/>
        </w:rPr>
        <w:t xml:space="preserve"> r</w:t>
      </w:r>
      <w:r w:rsidR="007E10DC" w:rsidRPr="001E686B">
        <w:rPr>
          <w:b w:val="0"/>
          <w:sz w:val="16"/>
          <w:szCs w:val="16"/>
          <w:u w:val="none"/>
        </w:rPr>
        <w:t xml:space="preserve">elativa al </w:t>
      </w:r>
      <w:r w:rsidR="00EA1CDA">
        <w:rPr>
          <w:b w:val="0"/>
          <w:sz w:val="16"/>
          <w:szCs w:val="16"/>
          <w:u w:val="none"/>
        </w:rPr>
        <w:t>ejercicio</w:t>
      </w:r>
      <w:r w:rsidR="007E10DC" w:rsidRPr="001E686B">
        <w:rPr>
          <w:b w:val="0"/>
          <w:sz w:val="16"/>
          <w:szCs w:val="16"/>
          <w:u w:val="none"/>
        </w:rPr>
        <w:t xml:space="preserve"> </w:t>
      </w:r>
      <w:r w:rsidR="00B31ED3">
        <w:rPr>
          <w:b w:val="0"/>
          <w:sz w:val="16"/>
          <w:szCs w:val="16"/>
          <w:u w:val="none"/>
        </w:rPr>
        <w:t xml:space="preserve">económico cerrado </w:t>
      </w:r>
      <w:r w:rsidR="007E10DC" w:rsidRPr="001E686B">
        <w:rPr>
          <w:b w:val="0"/>
          <w:sz w:val="16"/>
          <w:szCs w:val="16"/>
          <w:u w:val="none"/>
        </w:rPr>
        <w:t>el 3</w:t>
      </w:r>
      <w:r w:rsidR="00D3360B">
        <w:rPr>
          <w:b w:val="0"/>
          <w:sz w:val="16"/>
          <w:szCs w:val="16"/>
          <w:u w:val="none"/>
        </w:rPr>
        <w:t>0</w:t>
      </w:r>
      <w:r w:rsidR="007E10DC" w:rsidRPr="001E686B">
        <w:rPr>
          <w:b w:val="0"/>
          <w:sz w:val="16"/>
          <w:szCs w:val="16"/>
          <w:u w:val="none"/>
        </w:rPr>
        <w:t xml:space="preserve"> de </w:t>
      </w:r>
      <w:proofErr w:type="gramStart"/>
      <w:r w:rsidR="00F258F0">
        <w:rPr>
          <w:b w:val="0"/>
          <w:sz w:val="16"/>
          <w:szCs w:val="16"/>
          <w:u w:val="none"/>
        </w:rPr>
        <w:t>Septiembre</w:t>
      </w:r>
      <w:proofErr w:type="gramEnd"/>
      <w:r w:rsidR="00EA1CDA">
        <w:rPr>
          <w:b w:val="0"/>
          <w:sz w:val="16"/>
          <w:szCs w:val="16"/>
          <w:u w:val="none"/>
        </w:rPr>
        <w:t xml:space="preserve"> </w:t>
      </w:r>
      <w:r w:rsidR="009D617D" w:rsidRPr="001E686B">
        <w:rPr>
          <w:b w:val="0"/>
          <w:sz w:val="16"/>
          <w:szCs w:val="16"/>
          <w:u w:val="none"/>
        </w:rPr>
        <w:t>de 202</w:t>
      </w:r>
      <w:r w:rsidR="000E176E">
        <w:rPr>
          <w:b w:val="0"/>
          <w:sz w:val="16"/>
          <w:szCs w:val="16"/>
          <w:u w:val="none"/>
        </w:rPr>
        <w:t>5</w:t>
      </w:r>
      <w:r w:rsidRPr="001E686B">
        <w:rPr>
          <w:b w:val="0"/>
          <w:sz w:val="16"/>
          <w:szCs w:val="16"/>
          <w:u w:val="none"/>
        </w:rPr>
        <w:t xml:space="preserve"> aprobada en reunión del Dir</w:t>
      </w:r>
      <w:r w:rsidR="0088740D" w:rsidRPr="001E686B">
        <w:rPr>
          <w:b w:val="0"/>
          <w:sz w:val="16"/>
          <w:szCs w:val="16"/>
          <w:u w:val="none"/>
        </w:rPr>
        <w:t xml:space="preserve">ectorio de fecha </w:t>
      </w:r>
      <w:r w:rsidR="002218F9">
        <w:rPr>
          <w:b w:val="0"/>
          <w:sz w:val="16"/>
          <w:szCs w:val="16"/>
          <w:u w:val="none"/>
        </w:rPr>
        <w:t>2</w:t>
      </w:r>
      <w:r w:rsidR="00D3360B">
        <w:rPr>
          <w:b w:val="0"/>
          <w:sz w:val="16"/>
          <w:szCs w:val="16"/>
          <w:u w:val="none"/>
        </w:rPr>
        <w:t>7</w:t>
      </w:r>
      <w:r w:rsidR="0088740D" w:rsidRPr="00FE2C92">
        <w:rPr>
          <w:b w:val="0"/>
          <w:sz w:val="16"/>
          <w:szCs w:val="16"/>
          <w:u w:val="none"/>
        </w:rPr>
        <w:t xml:space="preserve"> de </w:t>
      </w:r>
      <w:r w:rsidR="00F258F0">
        <w:rPr>
          <w:b w:val="0"/>
          <w:sz w:val="16"/>
          <w:szCs w:val="16"/>
          <w:u w:val="none"/>
        </w:rPr>
        <w:t>Noviembre</w:t>
      </w:r>
      <w:r w:rsidR="00F07BD8" w:rsidRPr="00FE2C92">
        <w:rPr>
          <w:b w:val="0"/>
          <w:sz w:val="16"/>
          <w:szCs w:val="16"/>
          <w:u w:val="none"/>
        </w:rPr>
        <w:t xml:space="preserve"> de 202</w:t>
      </w:r>
      <w:r w:rsidR="00FE2C92" w:rsidRPr="00FE2C92">
        <w:rPr>
          <w:b w:val="0"/>
          <w:sz w:val="16"/>
          <w:szCs w:val="16"/>
          <w:u w:val="none"/>
        </w:rPr>
        <w:t>5</w:t>
      </w:r>
      <w:r w:rsidRPr="00FE2C92">
        <w:rPr>
          <w:b w:val="0"/>
          <w:sz w:val="16"/>
          <w:szCs w:val="16"/>
          <w:u w:val="none"/>
        </w:rPr>
        <w:t xml:space="preserve"> y que se detalla a continuación:</w:t>
      </w:r>
    </w:p>
    <w:p w:rsidR="009D617D" w:rsidRPr="001E686B" w:rsidRDefault="009D617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IMPORTES EXPRESADOS EN MILES DE PESOS:      </w:t>
      </w:r>
    </w:p>
    <w:tbl>
      <w:tblPr>
        <w:tblW w:w="7088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985"/>
      </w:tblGrid>
      <w:tr w:rsidR="00231C4D" w:rsidRPr="001E686B" w:rsidTr="00231B04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Resultado del período: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ind w:left="2355" w:hanging="2355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Atribuible a los accionistas de la compañía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0E176E" w:rsidP="00F258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>-</w:t>
            </w:r>
            <w:r w:rsidR="00F258F0" w:rsidRPr="00F258F0"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>10.017.141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Atribuible a las participaciones no controlantes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425D35" w:rsidP="0018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-</w:t>
            </w:r>
            <w:r w:rsidR="00F258F0" w:rsidRPr="00F258F0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87.546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425D35" w:rsidP="0018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-</w:t>
            </w:r>
            <w:r w:rsidR="00F258F0" w:rsidRPr="00F258F0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10.104.687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Otros Resultados Integrales del período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0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Resultado Integral Total del período: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Atribuible a los accionistas de la compañía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0E176E" w:rsidP="00425D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-</w:t>
            </w:r>
            <w:r w:rsidR="00F258F0" w:rsidRPr="00F258F0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10.017.141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Atribuible a las participaciones no controlantes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425D35" w:rsidP="006E3C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-</w:t>
            </w:r>
            <w:r w:rsidR="00F258F0" w:rsidRPr="00F258F0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87.546</w:t>
            </w:r>
          </w:p>
        </w:tc>
      </w:tr>
      <w:tr w:rsidR="003D006A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06A" w:rsidRPr="001E686B" w:rsidRDefault="003D006A" w:rsidP="003D006A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6A" w:rsidRPr="001E686B" w:rsidRDefault="00425D35" w:rsidP="006E3C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-</w:t>
            </w:r>
            <w:r w:rsidR="00F258F0" w:rsidRPr="00F258F0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10.104.687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Composición del Patrimonio Neto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Capital Social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2FC4" w:rsidRPr="001E686B" w:rsidRDefault="00262FC4" w:rsidP="00262FC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 xml:space="preserve">                    67.063 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Ajustes al Capital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2FC4" w:rsidRPr="001E686B" w:rsidRDefault="00157414" w:rsidP="000E17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>37.871.176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Reserva Legal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2FC4" w:rsidRPr="001E686B" w:rsidRDefault="00157414" w:rsidP="006E3C7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sz w:val="16"/>
                <w:szCs w:val="16"/>
                <w:lang w:val="es-AR" w:eastAsia="es-AR"/>
              </w:rPr>
              <w:t>28.765.020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Reserva Facultativa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2FC4" w:rsidRPr="00476B30" w:rsidRDefault="00157414" w:rsidP="006E3C7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sz w:val="16"/>
                <w:szCs w:val="16"/>
                <w:lang w:val="es-AR" w:eastAsia="es-AR"/>
              </w:rPr>
              <w:t>76.635.018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Reserva Especial NIIF aplicación primera vez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265A" w:rsidRPr="00E0265A" w:rsidRDefault="00E0265A" w:rsidP="00E0265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val="es-AR" w:eastAsia="es-A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AR" w:eastAsia="es-AR"/>
              </w:rPr>
              <w:t>0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Resultados no Asignados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2FC4" w:rsidRPr="001E686B" w:rsidRDefault="00916D20" w:rsidP="006E3C7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>0</w:t>
            </w:r>
            <w:bookmarkStart w:id="0" w:name="_GoBack"/>
            <w:bookmarkEnd w:id="0"/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Otros Resultados Integrales Acumulados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2FC4" w:rsidRPr="001E686B" w:rsidRDefault="00262FC4" w:rsidP="00262FC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 xml:space="preserve">                        0 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Resultado del período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2FC4" w:rsidRPr="001E686B" w:rsidRDefault="00157414" w:rsidP="00DE350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>16.494.464</w:t>
            </w:r>
          </w:p>
        </w:tc>
      </w:tr>
      <w:tr w:rsidR="00262FC4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FC4" w:rsidRPr="001E686B" w:rsidRDefault="00262FC4" w:rsidP="00262FC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Patrimonio Neto accionistas de la compañía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2FC4" w:rsidRPr="001E686B" w:rsidRDefault="00157414" w:rsidP="00DE350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val="es-AR" w:eastAsia="es-AR"/>
              </w:rPr>
              <w:t>159.832.741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Participación no controladora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C4D" w:rsidRPr="001E686B" w:rsidRDefault="00157414" w:rsidP="006E3C7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  <w:t>666.403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 Total del Patrimonio Neto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C4D" w:rsidRPr="001E686B" w:rsidRDefault="00157414" w:rsidP="000E17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57414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val="es-AR" w:eastAsia="es-AR"/>
              </w:rPr>
              <w:t>160.499.144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Detalle de ajustes a los resultados de ejercicios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anteriores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 existen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lastRenderedPageBreak/>
              <w:t>Entidades Subsidiarias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Denominación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proofErr w:type="spellStart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Mariva</w:t>
            </w:r>
            <w:proofErr w:type="spellEnd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Bursátil S.A.</w:t>
            </w:r>
          </w:p>
        </w:tc>
      </w:tr>
      <w:tr w:rsidR="00231C4D" w:rsidRPr="001E686B" w:rsidTr="00231B0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Porcentaje de participación directo e indirecto en el capital y votos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192866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99,0961</w:t>
            </w:r>
            <w:r w:rsidR="00231C4D"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%</w:t>
            </w:r>
          </w:p>
        </w:tc>
      </w:tr>
      <w:tr w:rsidR="00493B37" w:rsidRPr="001E686B" w:rsidTr="00493B3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B37" w:rsidRPr="001E686B" w:rsidRDefault="00493B37" w:rsidP="002F249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Denominación</w:t>
            </w:r>
          </w:p>
          <w:p w:rsidR="00493B37" w:rsidRPr="001E686B" w:rsidRDefault="00493B37" w:rsidP="002F249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(Subsidiaria de </w:t>
            </w:r>
            <w:proofErr w:type="spellStart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Mariva</w:t>
            </w:r>
            <w:proofErr w:type="spellEnd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Bursátil S.A.)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7" w:rsidRPr="001E686B" w:rsidRDefault="00493B37" w:rsidP="00493B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proofErr w:type="spellStart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Mariva</w:t>
            </w:r>
            <w:proofErr w:type="spellEnd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proofErr w:type="spellStart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Asset</w:t>
            </w:r>
            <w:proofErr w:type="spellEnd"/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Management S.A.</w:t>
            </w:r>
          </w:p>
        </w:tc>
      </w:tr>
      <w:tr w:rsidR="00493B37" w:rsidRPr="001E686B" w:rsidTr="00493B3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B37" w:rsidRPr="001E686B" w:rsidRDefault="00493B37" w:rsidP="002F249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Porcentaje de participación directo e indirecto en el capital y votos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7" w:rsidRPr="001E686B" w:rsidRDefault="00192866" w:rsidP="002F24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99,0961</w:t>
            </w:r>
            <w:r w:rsidR="00493B37"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%</w:t>
            </w:r>
          </w:p>
        </w:tc>
      </w:tr>
    </w:tbl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       Asimismo, se suministra la información solicitada por el art. 62 del referido Reglamento:</w:t>
      </w: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tbl>
      <w:tblPr>
        <w:tblW w:w="7088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843"/>
      </w:tblGrid>
      <w:tr w:rsidR="00595A54" w:rsidRPr="001E686B" w:rsidTr="00231B04">
        <w:trPr>
          <w:trHeight w:val="3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Cantidad de acciones que pertenecen a los accionistas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595A54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controlantes de la sociedad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64.547.829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Clase de acciones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Ordinarias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Nominativas no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Endosables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Porcentaje respecto del capital social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595A54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96,2500%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Deuda convertible en acciones y/u opciones 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compra de acciones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 existen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</w:tr>
      <w:tr w:rsidR="00595A54" w:rsidRPr="001E686B" w:rsidTr="00231B04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Accionistas controlantes de la sociedad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595A54" w:rsidRPr="001E686B" w:rsidTr="008C70EB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A54" w:rsidRPr="001E686B" w:rsidRDefault="00595A54" w:rsidP="00595A5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    </w:t>
            </w:r>
          </w:p>
          <w:p w:rsidR="00595A54" w:rsidRPr="001E686B" w:rsidRDefault="00595A54" w:rsidP="00595A5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Denominación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54" w:rsidRPr="001E686B" w:rsidRDefault="00595A54" w:rsidP="00595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José Luis Pardo (h), Juan Martín Pardo, María del Pilar Pardo, Máximo Pardo, Francisco Raúl Pardo y Juan Patricio Pardo.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Domicilio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Sarmiento 500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Ciudad Autónoma</w:t>
            </w:r>
          </w:p>
        </w:tc>
      </w:tr>
      <w:tr w:rsidR="00231C4D" w:rsidRPr="001E686B" w:rsidTr="00231B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Calibri" w:hAnsi="Calibri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C4D" w:rsidRPr="001E686B" w:rsidRDefault="00231C4D" w:rsidP="00231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1E686B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de Buenos Aires</w:t>
            </w:r>
          </w:p>
        </w:tc>
      </w:tr>
    </w:tbl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     Saludamos a Uds. muy atentamente.</w:t>
      </w: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rPr>
          <w:b w:val="0"/>
          <w:sz w:val="16"/>
          <w:szCs w:val="16"/>
          <w:u w:val="none"/>
        </w:rPr>
      </w:pPr>
    </w:p>
    <w:p w:rsidR="00231C4D" w:rsidRPr="001E686B" w:rsidRDefault="00231C4D" w:rsidP="00231C4D">
      <w:pPr>
        <w:pStyle w:val="Textoindependiente"/>
        <w:ind w:left="1276"/>
        <w:jc w:val="center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                                                     Sebastián Grasso</w:t>
      </w:r>
    </w:p>
    <w:p w:rsidR="00231C4D" w:rsidRPr="001E686B" w:rsidRDefault="00231C4D" w:rsidP="00231C4D">
      <w:pPr>
        <w:pStyle w:val="Textoindependiente"/>
        <w:ind w:left="1276"/>
        <w:jc w:val="center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                                                       Responsable Titular de Relaciones</w:t>
      </w:r>
    </w:p>
    <w:p w:rsidR="00231C4D" w:rsidRPr="001E686B" w:rsidRDefault="00231C4D" w:rsidP="001E686B">
      <w:pPr>
        <w:pStyle w:val="Textoindependiente"/>
        <w:ind w:left="1276"/>
        <w:jc w:val="center"/>
        <w:rPr>
          <w:b w:val="0"/>
          <w:sz w:val="16"/>
          <w:szCs w:val="16"/>
          <w:u w:val="none"/>
        </w:rPr>
      </w:pPr>
      <w:r w:rsidRPr="001E686B">
        <w:rPr>
          <w:b w:val="0"/>
          <w:sz w:val="16"/>
          <w:szCs w:val="16"/>
          <w:u w:val="none"/>
        </w:rPr>
        <w:t xml:space="preserve">                                                                 con el Mercado</w:t>
      </w:r>
    </w:p>
    <w:sectPr w:rsidR="00231C4D" w:rsidRPr="001E686B" w:rsidSect="007C0C06">
      <w:headerReference w:type="default" r:id="rId7"/>
      <w:footerReference w:type="default" r:id="rId8"/>
      <w:pgSz w:w="11900" w:h="16840"/>
      <w:pgMar w:top="1418" w:right="1701" w:bottom="1418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67" w:rsidRDefault="00AE369D">
      <w:r>
        <w:separator/>
      </w:r>
    </w:p>
  </w:endnote>
  <w:endnote w:type="continuationSeparator" w:id="0">
    <w:p w:rsidR="00366D67" w:rsidRDefault="00AE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B1" w:rsidRDefault="00231C4D" w:rsidP="00963105">
    <w:pPr>
      <w:pStyle w:val="Piedepgina"/>
      <w:ind w:left="-1985"/>
    </w:pPr>
    <w:r w:rsidRPr="00E60BC2">
      <w:rPr>
        <w:noProof/>
        <w:lang w:val="es-AR" w:eastAsia="es-AR"/>
      </w:rPr>
      <w:drawing>
        <wp:inline distT="0" distB="0" distL="0" distR="0" wp14:anchorId="1AC9ABCE" wp14:editId="45D0C8C4">
          <wp:extent cx="7562850" cy="1076325"/>
          <wp:effectExtent l="0" t="0" r="0" b="0"/>
          <wp:docPr id="2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67" w:rsidRDefault="00AE369D">
      <w:r>
        <w:separator/>
      </w:r>
    </w:p>
  </w:footnote>
  <w:footnote w:type="continuationSeparator" w:id="0">
    <w:p w:rsidR="00366D67" w:rsidRDefault="00AE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B1" w:rsidRDefault="00231C4D" w:rsidP="00963105">
    <w:pPr>
      <w:pStyle w:val="Encabezado"/>
      <w:ind w:left="-1985"/>
    </w:pPr>
    <w:r w:rsidRPr="00E60BC2">
      <w:rPr>
        <w:noProof/>
        <w:lang w:val="es-AR" w:eastAsia="es-AR"/>
      </w:rPr>
      <w:drawing>
        <wp:inline distT="0" distB="0" distL="0" distR="0" wp14:anchorId="73D9BDB3" wp14:editId="034F7860">
          <wp:extent cx="7677150" cy="1647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66"/>
    <w:rsid w:val="000A4EAB"/>
    <w:rsid w:val="000E176E"/>
    <w:rsid w:val="00157414"/>
    <w:rsid w:val="00176DEF"/>
    <w:rsid w:val="00186A78"/>
    <w:rsid w:val="00192866"/>
    <w:rsid w:val="001B5809"/>
    <w:rsid w:val="001D224F"/>
    <w:rsid w:val="001E686B"/>
    <w:rsid w:val="00204809"/>
    <w:rsid w:val="002218F9"/>
    <w:rsid w:val="00231C4D"/>
    <w:rsid w:val="00256640"/>
    <w:rsid w:val="00262FC4"/>
    <w:rsid w:val="002872AA"/>
    <w:rsid w:val="00366D67"/>
    <w:rsid w:val="003A7E6F"/>
    <w:rsid w:val="003D006A"/>
    <w:rsid w:val="003F5866"/>
    <w:rsid w:val="00425D35"/>
    <w:rsid w:val="00476B30"/>
    <w:rsid w:val="00493B37"/>
    <w:rsid w:val="00595A54"/>
    <w:rsid w:val="006326A8"/>
    <w:rsid w:val="006A6A30"/>
    <w:rsid w:val="006A7059"/>
    <w:rsid w:val="006E3C78"/>
    <w:rsid w:val="007A2796"/>
    <w:rsid w:val="007A50F7"/>
    <w:rsid w:val="007E0980"/>
    <w:rsid w:val="007E10DC"/>
    <w:rsid w:val="0088740D"/>
    <w:rsid w:val="008C5E4A"/>
    <w:rsid w:val="008E1AC7"/>
    <w:rsid w:val="00916D20"/>
    <w:rsid w:val="009D4913"/>
    <w:rsid w:val="009D617D"/>
    <w:rsid w:val="00AE369D"/>
    <w:rsid w:val="00B31ED3"/>
    <w:rsid w:val="00BC24E6"/>
    <w:rsid w:val="00BD3B06"/>
    <w:rsid w:val="00C82D16"/>
    <w:rsid w:val="00CC1707"/>
    <w:rsid w:val="00D1424B"/>
    <w:rsid w:val="00D3360B"/>
    <w:rsid w:val="00D64F7E"/>
    <w:rsid w:val="00DE3508"/>
    <w:rsid w:val="00E0265A"/>
    <w:rsid w:val="00E357AF"/>
    <w:rsid w:val="00EA1CDA"/>
    <w:rsid w:val="00EB2E22"/>
    <w:rsid w:val="00F07BD8"/>
    <w:rsid w:val="00F258F0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7077"/>
  <w15:chartTrackingRefBased/>
  <w15:docId w15:val="{3EA259A6-84C2-419D-B8EF-FD643A9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C4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31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C4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231C4D"/>
    <w:pPr>
      <w:jc w:val="both"/>
    </w:pPr>
    <w:rPr>
      <w:rFonts w:ascii="Arial" w:hAnsi="Arial"/>
      <w:b/>
      <w:sz w:val="24"/>
      <w:u w:val="single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31C4D"/>
    <w:rPr>
      <w:rFonts w:ascii="Arial" w:eastAsia="Times New Roman" w:hAnsi="Arial" w:cs="Times New Roman"/>
      <w:b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0940-6AFD-4472-92DC-63ECC73B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Hernandez</dc:creator>
  <cp:keywords/>
  <dc:description/>
  <cp:lastModifiedBy>Juan Manuel Fernandez</cp:lastModifiedBy>
  <cp:revision>4</cp:revision>
  <dcterms:created xsi:type="dcterms:W3CDTF">2025-09-01T15:43:00Z</dcterms:created>
  <dcterms:modified xsi:type="dcterms:W3CDTF">2025-12-01T04:38:00Z</dcterms:modified>
</cp:coreProperties>
</file>