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99B01" w14:textId="77777777" w:rsidR="00541B76" w:rsidRPr="00930404" w:rsidRDefault="00541B76" w:rsidP="00541B76">
      <w:pPr>
        <w:spacing w:line="360" w:lineRule="auto"/>
        <w:jc w:val="center"/>
        <w:rPr>
          <w:rFonts w:ascii="Century Gothic" w:hAnsi="Century Gothic"/>
          <w:b/>
          <w:u w:val="single"/>
        </w:rPr>
      </w:pPr>
      <w:r w:rsidRPr="00930404">
        <w:rPr>
          <w:rFonts w:ascii="Century Gothic" w:hAnsi="Century Gothic"/>
          <w:b/>
          <w:u w:val="single"/>
        </w:rPr>
        <w:t>BANCO COLUMBIA S.A.</w:t>
      </w:r>
    </w:p>
    <w:p w14:paraId="673C3726" w14:textId="4796CED2" w:rsidR="00541B76" w:rsidRPr="009C362B" w:rsidRDefault="00541B76" w:rsidP="00541B76">
      <w:pPr>
        <w:pStyle w:val="Ttulo1"/>
        <w:spacing w:line="360" w:lineRule="auto"/>
        <w:rPr>
          <w:rFonts w:ascii="Century Gothic" w:hAnsi="Century Gothic"/>
          <w:b/>
          <w:sz w:val="20"/>
        </w:rPr>
      </w:pPr>
      <w:r>
        <w:rPr>
          <w:rFonts w:ascii="Century Gothic" w:hAnsi="Century Gothic"/>
          <w:b/>
          <w:sz w:val="20"/>
        </w:rPr>
        <w:t xml:space="preserve">ACTA </w:t>
      </w:r>
      <w:proofErr w:type="spellStart"/>
      <w:r>
        <w:rPr>
          <w:rFonts w:ascii="Century Gothic" w:hAnsi="Century Gothic"/>
          <w:b/>
          <w:sz w:val="20"/>
        </w:rPr>
        <w:t>N°</w:t>
      </w:r>
      <w:proofErr w:type="spellEnd"/>
      <w:r>
        <w:rPr>
          <w:rFonts w:ascii="Century Gothic" w:hAnsi="Century Gothic"/>
          <w:b/>
          <w:sz w:val="20"/>
        </w:rPr>
        <w:t xml:space="preserve"> 36</w:t>
      </w:r>
      <w:r w:rsidR="0018134B">
        <w:rPr>
          <w:rFonts w:ascii="Century Gothic" w:hAnsi="Century Gothic"/>
          <w:b/>
          <w:sz w:val="20"/>
        </w:rPr>
        <w:t>5</w:t>
      </w:r>
      <w:r w:rsidR="004E4B12">
        <w:rPr>
          <w:rFonts w:ascii="Century Gothic" w:hAnsi="Century Gothic"/>
          <w:b/>
          <w:sz w:val="20"/>
        </w:rPr>
        <w:t>3</w:t>
      </w:r>
    </w:p>
    <w:p w14:paraId="6C1A44D7" w14:textId="51AF2ACF" w:rsidR="004E4B12" w:rsidRPr="004E4B12" w:rsidRDefault="00541B76" w:rsidP="004E4B12">
      <w:pPr>
        <w:pStyle w:val="Ttulo2"/>
        <w:spacing w:line="360" w:lineRule="auto"/>
      </w:pPr>
      <w:r w:rsidRPr="009C362B">
        <w:rPr>
          <w:rFonts w:ascii="Century Gothic" w:hAnsi="Century Gothic"/>
        </w:rPr>
        <w:t>Correspondiente a la Reunión de Directorio de fecha</w:t>
      </w:r>
      <w:r>
        <w:rPr>
          <w:rFonts w:ascii="Century Gothic" w:hAnsi="Century Gothic"/>
        </w:rPr>
        <w:t xml:space="preserve"> </w:t>
      </w:r>
      <w:r w:rsidR="004E4B12">
        <w:rPr>
          <w:rFonts w:ascii="Century Gothic" w:hAnsi="Century Gothic"/>
        </w:rPr>
        <w:t>11</w:t>
      </w:r>
      <w:r w:rsidR="00E333C9">
        <w:rPr>
          <w:rFonts w:ascii="Century Gothic" w:hAnsi="Century Gothic"/>
        </w:rPr>
        <w:t>-4</w:t>
      </w:r>
      <w:r>
        <w:rPr>
          <w:rFonts w:ascii="Century Gothic" w:hAnsi="Century Gothic"/>
        </w:rPr>
        <w:t>-2022</w:t>
      </w:r>
    </w:p>
    <w:p w14:paraId="2D6235CC" w14:textId="77777777" w:rsidR="004E4B12" w:rsidRDefault="004E4B12" w:rsidP="00D279BB">
      <w:pPr>
        <w:spacing w:line="360" w:lineRule="auto"/>
        <w:jc w:val="both"/>
        <w:rPr>
          <w:rFonts w:ascii="Century Gothic" w:hAnsi="Century Gothic"/>
          <w:b/>
          <w:bCs/>
          <w:sz w:val="20"/>
          <w:szCs w:val="20"/>
        </w:rPr>
      </w:pPr>
    </w:p>
    <w:p w14:paraId="7A3D01C2" w14:textId="73885752" w:rsidR="004C7690" w:rsidRPr="004E4B12" w:rsidRDefault="004E4B12" w:rsidP="004E4B12">
      <w:pPr>
        <w:spacing w:line="360" w:lineRule="auto"/>
        <w:ind w:left="90"/>
        <w:jc w:val="both"/>
        <w:rPr>
          <w:rFonts w:ascii="Century Gothic" w:hAnsi="Century Gothic" w:cs="Times New Roman"/>
          <w:b/>
          <w:bCs/>
          <w:sz w:val="20"/>
          <w:szCs w:val="20"/>
          <w:lang w:val="es-MX"/>
        </w:rPr>
      </w:pPr>
      <w:r w:rsidRPr="004E4B12">
        <w:rPr>
          <w:rFonts w:ascii="Century Gothic" w:hAnsi="Century Gothic"/>
          <w:sz w:val="20"/>
          <w:szCs w:val="20"/>
          <w:lang w:val="es-MX"/>
        </w:rPr>
        <w:t xml:space="preserve">En la Ciudad de Buenos Aires, a los 11 días del mes de abril de 2022, siendo las 10 horas, se reúnen en la sede de la Sociedad, sita en la calle Tte. Gral. Juan D. Perón </w:t>
      </w:r>
      <w:proofErr w:type="spellStart"/>
      <w:r w:rsidRPr="004E4B12">
        <w:rPr>
          <w:rFonts w:ascii="Century Gothic" w:hAnsi="Century Gothic"/>
          <w:sz w:val="20"/>
          <w:szCs w:val="20"/>
          <w:lang w:val="es-MX"/>
        </w:rPr>
        <w:t>N°</w:t>
      </w:r>
      <w:proofErr w:type="spellEnd"/>
      <w:r w:rsidRPr="004E4B12">
        <w:rPr>
          <w:rFonts w:ascii="Century Gothic" w:hAnsi="Century Gothic"/>
          <w:sz w:val="20"/>
          <w:szCs w:val="20"/>
          <w:lang w:val="es-MX"/>
        </w:rPr>
        <w:t xml:space="preserve"> 350, los miembros del Directorio de </w:t>
      </w:r>
      <w:r w:rsidRPr="004E4B12">
        <w:rPr>
          <w:rFonts w:ascii="Century Gothic" w:hAnsi="Century Gothic"/>
          <w:b/>
          <w:bCs/>
          <w:sz w:val="20"/>
          <w:szCs w:val="20"/>
          <w:lang w:val="es-MX"/>
        </w:rPr>
        <w:t>BANCO COLUMBIA S.A.</w:t>
      </w:r>
      <w:r w:rsidRPr="004E4B12">
        <w:rPr>
          <w:rFonts w:ascii="Century Gothic" w:hAnsi="Century Gothic"/>
          <w:sz w:val="20"/>
          <w:szCs w:val="20"/>
          <w:lang w:val="es-MX"/>
        </w:rPr>
        <w:t xml:space="preserve"> (la “Sociedad”) que suscriben la presente y el representante de la Comisión Fiscalizadora que también firma al pie. Contándose con el quórum legal requerido, el Sr. Presidente da por iniciada la sesión, y pone a consideración del Directorio el siguiente punto del orden del día:</w:t>
      </w:r>
      <w:r>
        <w:rPr>
          <w:rFonts w:ascii="Century Gothic" w:hAnsi="Century Gothic"/>
          <w:sz w:val="20"/>
          <w:szCs w:val="20"/>
          <w:lang w:val="es-MX"/>
        </w:rPr>
        <w:t>-------</w:t>
      </w:r>
      <w:r w:rsidRPr="004E4B12">
        <w:rPr>
          <w:rFonts w:ascii="Century Gothic" w:hAnsi="Century Gothic"/>
          <w:sz w:val="20"/>
          <w:szCs w:val="20"/>
          <w:lang w:val="es-MX"/>
        </w:rPr>
        <w:t xml:space="preserve"> </w:t>
      </w:r>
      <w:r w:rsidRPr="004E4B12">
        <w:rPr>
          <w:rFonts w:ascii="Century Gothic" w:hAnsi="Century Gothic"/>
          <w:b/>
          <w:bCs/>
          <w:sz w:val="20"/>
          <w:szCs w:val="20"/>
          <w:u w:val="single"/>
          <w:lang w:val="es-MX"/>
        </w:rPr>
        <w:t>1) Cumplimiento del plan de afectación de fondos con relación a la emisión de Obligaciones Negociables Subordinadas Clase 2 a tasa variable con vencimiento a los 7 años desde la fecha de emisión por un valor nominal de $ 1.000.000.000 (Pesos mil millones):</w:t>
      </w:r>
      <w:r w:rsidRPr="004E4B12">
        <w:rPr>
          <w:rFonts w:ascii="Century Gothic" w:hAnsi="Century Gothic"/>
          <w:b/>
          <w:bCs/>
          <w:sz w:val="20"/>
          <w:szCs w:val="20"/>
          <w:lang w:val="es-MX"/>
        </w:rPr>
        <w:t xml:space="preserve">  </w:t>
      </w:r>
      <w:r w:rsidRPr="004E4B12">
        <w:rPr>
          <w:rFonts w:ascii="Century Gothic" w:hAnsi="Century Gothic"/>
          <w:sz w:val="20"/>
          <w:szCs w:val="20"/>
          <w:lang w:val="es-MX"/>
        </w:rPr>
        <w:t>Toma la palabra el señor Presidente, quien expresa que, como es de conocimiento de todos los presentes, con fecha 31 de marzo de 2022 la Sociedad emitió bajo su Programa Global de Emisión de Obligaciones Negociables por hasta un valor nominal de US$ 20.000.000 (o su equivalente en otras monedas) (el “Programa”), Obligaciones Negociables Subordinadas Clase 2 a tasa variable con vencimiento a los 7 años desde la fecha de emisión por un valor nominal de $1.000.0000 (mil millones de pesos) (las “Obligaciones Negociables”). Las Obligaciones Negociables son amortizables a su vencimiento y devengan semestralmente un interés a una tasa de interés variable que resulta de: (i) la Tasa de Referencia prevista en el Suplemento de Precio, más (</w:t>
      </w:r>
      <w:proofErr w:type="spellStart"/>
      <w:r w:rsidRPr="004E4B12">
        <w:rPr>
          <w:rFonts w:ascii="Century Gothic" w:hAnsi="Century Gothic"/>
          <w:sz w:val="20"/>
          <w:szCs w:val="20"/>
          <w:lang w:val="es-MX"/>
        </w:rPr>
        <w:t>ii</w:t>
      </w:r>
      <w:proofErr w:type="spellEnd"/>
      <w:r w:rsidRPr="004E4B12">
        <w:rPr>
          <w:rFonts w:ascii="Century Gothic" w:hAnsi="Century Gothic"/>
          <w:sz w:val="20"/>
          <w:szCs w:val="20"/>
          <w:lang w:val="es-MX"/>
        </w:rPr>
        <w:t>) un margen diferencial de 9%.</w:t>
      </w:r>
      <w:r>
        <w:rPr>
          <w:rFonts w:ascii="Century Gothic" w:hAnsi="Century Gothic" w:cs="Calibri"/>
          <w:sz w:val="20"/>
          <w:szCs w:val="20"/>
          <w:lang w:val="es-MX"/>
        </w:rPr>
        <w:t xml:space="preserve"> </w:t>
      </w:r>
      <w:r w:rsidRPr="004E4B12">
        <w:rPr>
          <w:rFonts w:ascii="Century Gothic" w:hAnsi="Century Gothic"/>
          <w:sz w:val="20"/>
          <w:szCs w:val="20"/>
          <w:lang w:val="es-MX"/>
        </w:rPr>
        <w:t>Los términos y condiciones de las Obligaciones Negociables surgen del Suplemento de Precio de fecha 28 de marzo de 2022, que se publicó en</w:t>
      </w:r>
      <w:r w:rsidRPr="004E4B12">
        <w:rPr>
          <w:rFonts w:ascii="Century Gothic" w:hAnsi="Century Gothic"/>
          <w:sz w:val="20"/>
          <w:szCs w:val="20"/>
        </w:rPr>
        <w:t xml:space="preserve"> en la página web de la Comisión Nacional de Valores, </w:t>
      </w:r>
      <w:hyperlink r:id="rId5" w:history="1">
        <w:r w:rsidRPr="004E4B12">
          <w:rPr>
            <w:rStyle w:val="Hipervnculo"/>
            <w:rFonts w:ascii="Century Gothic" w:hAnsi="Century Gothic"/>
            <w:sz w:val="20"/>
            <w:szCs w:val="20"/>
          </w:rPr>
          <w:t>www.argentina.gob.ar/cnv</w:t>
        </w:r>
      </w:hyperlink>
      <w:r w:rsidRPr="004E4B12">
        <w:rPr>
          <w:rFonts w:ascii="Century Gothic" w:hAnsi="Century Gothic"/>
          <w:sz w:val="20"/>
          <w:szCs w:val="20"/>
        </w:rPr>
        <w:t>, bajo el ítem: “Empresas (entidades con oferta pública)”, en los medios de difusión de Bolsas y Mercados Argentinos S.A. y de Mercado Abierto Electrónico S.A. (el “Suplemento de Precio”)</w:t>
      </w:r>
      <w:r>
        <w:rPr>
          <w:rFonts w:ascii="Century Gothic" w:hAnsi="Century Gothic"/>
          <w:sz w:val="20"/>
          <w:szCs w:val="20"/>
          <w:lang w:val="es-MX"/>
        </w:rPr>
        <w:t xml:space="preserve"> </w:t>
      </w:r>
      <w:r w:rsidRPr="004E4B12">
        <w:rPr>
          <w:rFonts w:ascii="Century Gothic" w:hAnsi="Century Gothic"/>
          <w:sz w:val="20"/>
          <w:szCs w:val="20"/>
          <w:lang w:val="es-MX"/>
        </w:rPr>
        <w:t xml:space="preserve">De acuerdo con lo manifestado en el Suplemento de Precio, y en cumplimiento de las previsiones del artículo 36 de la Ley No. 23.576 de Obligaciones Negociables (“LON”) y el Art. 25 del Título II, del Capítulo V, de la Sección IV de las Normas de la CNV (T.O. RG 622/13) (las “Normas de la CNV”) el producido neto total de la colocación de las Obligaciones Negociables, que ascendió a $ 949,740,000.00 (novecientos cuarenta y nueve millones setecientos cuarenta mil pesos) , aún no ha sido aplicado, y se destinará: </w:t>
      </w:r>
      <w:r w:rsidRPr="004E4B12">
        <w:rPr>
          <w:rFonts w:ascii="Century Gothic" w:hAnsi="Century Gothic"/>
          <w:sz w:val="20"/>
          <w:szCs w:val="20"/>
        </w:rPr>
        <w:t>i) a capital de trabajo en la Argentina, incluyendo el otorgamiento de préstamos a individuos o empresas destinados a financiar el consumo o su capital de trabajo, dentro de las modalidades habituales descriptas en el Prospecto; y (</w:t>
      </w:r>
      <w:proofErr w:type="spellStart"/>
      <w:r w:rsidRPr="004E4B12">
        <w:rPr>
          <w:rFonts w:ascii="Century Gothic" w:hAnsi="Century Gothic"/>
          <w:sz w:val="20"/>
          <w:szCs w:val="20"/>
        </w:rPr>
        <w:t>ii</w:t>
      </w:r>
      <w:proofErr w:type="spellEnd"/>
      <w:r w:rsidRPr="004E4B12">
        <w:rPr>
          <w:rFonts w:ascii="Century Gothic" w:hAnsi="Century Gothic"/>
          <w:sz w:val="20"/>
          <w:szCs w:val="20"/>
        </w:rPr>
        <w:t xml:space="preserve">) a la eventual cancelación de pasivos generados en el marco de la actividad de intermediación financiera habitual del Banco, contribuyendo esto a adecuar los pasivos a los activos existentes o a generarse en el marco de su actividad y a diversificar su estructura de fondeo. Pendiente la aplicación de fondos de acuerdo al presente plan, los mismos podrán ser invertidos transitoriamente en títulos públicos -incluyendo Letras y Notas emitidas por el BCRA- y/o en títulos privados y/o en préstamos </w:t>
      </w:r>
      <w:proofErr w:type="spellStart"/>
      <w:r w:rsidRPr="004E4B12">
        <w:rPr>
          <w:rFonts w:ascii="Century Gothic" w:hAnsi="Century Gothic"/>
          <w:sz w:val="20"/>
          <w:szCs w:val="20"/>
        </w:rPr>
        <w:t>interfinancieros</w:t>
      </w:r>
      <w:proofErr w:type="spellEnd"/>
      <w:r w:rsidRPr="004E4B12">
        <w:rPr>
          <w:rFonts w:ascii="Century Gothic" w:hAnsi="Century Gothic"/>
          <w:sz w:val="20"/>
          <w:szCs w:val="20"/>
        </w:rPr>
        <w:t xml:space="preserve"> de alta calidad y liquidez a fin de que la Entidad pueda obtener rentabilidad que le permita fortalecer su patrimonio.</w:t>
      </w:r>
      <w:r>
        <w:rPr>
          <w:rFonts w:ascii="Century Gothic" w:hAnsi="Century Gothic" w:cs="Times New Roman"/>
          <w:b/>
          <w:bCs/>
          <w:sz w:val="20"/>
          <w:szCs w:val="20"/>
          <w:lang w:val="es-MX"/>
        </w:rPr>
        <w:t xml:space="preserve"> </w:t>
      </w:r>
      <w:r w:rsidR="00541B76" w:rsidRPr="004E4B12">
        <w:rPr>
          <w:rFonts w:ascii="Century Gothic" w:hAnsi="Century Gothic"/>
          <w:sz w:val="20"/>
          <w:szCs w:val="20"/>
        </w:rPr>
        <w:t>No habiendo más asuntos para tratar, se da por finalizada la reunión siendo las 1</w:t>
      </w:r>
      <w:r w:rsidR="00F175E8">
        <w:rPr>
          <w:rFonts w:ascii="Century Gothic" w:hAnsi="Century Gothic"/>
          <w:sz w:val="20"/>
          <w:szCs w:val="20"/>
        </w:rPr>
        <w:t>0</w:t>
      </w:r>
      <w:r w:rsidR="00541B76" w:rsidRPr="004E4B12">
        <w:rPr>
          <w:rFonts w:ascii="Century Gothic" w:hAnsi="Century Gothic"/>
          <w:sz w:val="20"/>
          <w:szCs w:val="20"/>
        </w:rPr>
        <w:t xml:space="preserve">.30 horas del día indicado en el encabezamiento, </w:t>
      </w:r>
      <w:r w:rsidR="00541B76" w:rsidRPr="004E4B12">
        <w:rPr>
          <w:rFonts w:ascii="Century Gothic" w:hAnsi="Century Gothic"/>
          <w:sz w:val="20"/>
          <w:szCs w:val="20"/>
          <w:lang w:val="es-ES_tradnl"/>
        </w:rPr>
        <w:t>previa lectura y aprobación de la presente, en prueba de lo cual, a continuación, los señores Directores y el representante de la Comisión Fiscalizadora,</w:t>
      </w:r>
      <w:bookmarkStart w:id="0" w:name="_GoBack"/>
      <w:bookmarkEnd w:id="0"/>
      <w:r w:rsidR="00541B76" w:rsidRPr="004E4B12">
        <w:rPr>
          <w:rFonts w:ascii="Century Gothic" w:hAnsi="Century Gothic"/>
          <w:sz w:val="20"/>
          <w:szCs w:val="20"/>
          <w:lang w:val="es-ES_tradnl"/>
        </w:rPr>
        <w:t xml:space="preserve"> proceden a suscribirla. -----------------------------</w:t>
      </w:r>
    </w:p>
    <w:sectPr w:rsidR="004C7690" w:rsidRPr="004E4B12" w:rsidSect="00794596">
      <w:pgSz w:w="12240" w:h="20160" w:code="5"/>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90421D"/>
    <w:multiLevelType w:val="hybridMultilevel"/>
    <w:tmpl w:val="1D0A58A4"/>
    <w:lvl w:ilvl="0" w:tplc="2C0A0011">
      <w:start w:val="1"/>
      <w:numFmt w:val="decimal"/>
      <w:lvlText w:val="%1)"/>
      <w:lvlJc w:val="left"/>
      <w:pPr>
        <w:ind w:left="720" w:hanging="360"/>
      </w:pPr>
      <w:rPr>
        <w:rFonts w:eastAsia="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7E84DD6"/>
    <w:multiLevelType w:val="hybridMultilevel"/>
    <w:tmpl w:val="179AEEC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10D"/>
    <w:rsid w:val="000061C8"/>
    <w:rsid w:val="00044661"/>
    <w:rsid w:val="00085A50"/>
    <w:rsid w:val="00152F5D"/>
    <w:rsid w:val="0018134B"/>
    <w:rsid w:val="001D2AFA"/>
    <w:rsid w:val="002C15FC"/>
    <w:rsid w:val="00326046"/>
    <w:rsid w:val="0039619A"/>
    <w:rsid w:val="003C3E5A"/>
    <w:rsid w:val="003E7D3F"/>
    <w:rsid w:val="0040379B"/>
    <w:rsid w:val="0040410D"/>
    <w:rsid w:val="00456636"/>
    <w:rsid w:val="00465656"/>
    <w:rsid w:val="00475D5F"/>
    <w:rsid w:val="004C7690"/>
    <w:rsid w:val="004D7163"/>
    <w:rsid w:val="004E15EF"/>
    <w:rsid w:val="004E4B12"/>
    <w:rsid w:val="00541B76"/>
    <w:rsid w:val="00544C29"/>
    <w:rsid w:val="005E7E1D"/>
    <w:rsid w:val="006469A5"/>
    <w:rsid w:val="006A76CB"/>
    <w:rsid w:val="006D3DAA"/>
    <w:rsid w:val="006E10F6"/>
    <w:rsid w:val="00705B71"/>
    <w:rsid w:val="00773ABE"/>
    <w:rsid w:val="00794596"/>
    <w:rsid w:val="007F176D"/>
    <w:rsid w:val="00854009"/>
    <w:rsid w:val="008901D9"/>
    <w:rsid w:val="008A4C51"/>
    <w:rsid w:val="008C64A6"/>
    <w:rsid w:val="008E3E7C"/>
    <w:rsid w:val="009067AE"/>
    <w:rsid w:val="00974217"/>
    <w:rsid w:val="00976294"/>
    <w:rsid w:val="009822C3"/>
    <w:rsid w:val="009D3079"/>
    <w:rsid w:val="009E2367"/>
    <w:rsid w:val="00A80193"/>
    <w:rsid w:val="00A912D5"/>
    <w:rsid w:val="00AA7171"/>
    <w:rsid w:val="00AC10EB"/>
    <w:rsid w:val="00AD7B06"/>
    <w:rsid w:val="00B008E5"/>
    <w:rsid w:val="00B03FF5"/>
    <w:rsid w:val="00B21F37"/>
    <w:rsid w:val="00B22668"/>
    <w:rsid w:val="00B30094"/>
    <w:rsid w:val="00B46D0D"/>
    <w:rsid w:val="00B62DD8"/>
    <w:rsid w:val="00B66646"/>
    <w:rsid w:val="00B85017"/>
    <w:rsid w:val="00C07FB7"/>
    <w:rsid w:val="00C17EBE"/>
    <w:rsid w:val="00C3396A"/>
    <w:rsid w:val="00CA64AC"/>
    <w:rsid w:val="00D279BB"/>
    <w:rsid w:val="00DA77C7"/>
    <w:rsid w:val="00DC6C2F"/>
    <w:rsid w:val="00DC739B"/>
    <w:rsid w:val="00DE66D4"/>
    <w:rsid w:val="00E007B9"/>
    <w:rsid w:val="00E057F1"/>
    <w:rsid w:val="00E333C9"/>
    <w:rsid w:val="00E533B5"/>
    <w:rsid w:val="00E6109F"/>
    <w:rsid w:val="00E677AC"/>
    <w:rsid w:val="00E843F5"/>
    <w:rsid w:val="00EA5138"/>
    <w:rsid w:val="00EE2C1B"/>
    <w:rsid w:val="00EF0A57"/>
    <w:rsid w:val="00EF20C4"/>
    <w:rsid w:val="00F175E8"/>
    <w:rsid w:val="00F45DD3"/>
    <w:rsid w:val="00F46A03"/>
    <w:rsid w:val="00F60FA8"/>
    <w:rsid w:val="00F86106"/>
    <w:rsid w:val="00F87734"/>
    <w:rsid w:val="00FE5B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80EF"/>
  <w15:docId w15:val="{A9D19DF5-9C8A-41F9-A65C-21E836BA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541B76"/>
    <w:pPr>
      <w:keepNext/>
      <w:spacing w:after="0" w:line="360" w:lineRule="exact"/>
      <w:jc w:val="center"/>
      <w:outlineLvl w:val="0"/>
    </w:pPr>
    <w:rPr>
      <w:rFonts w:ascii="Helvetica" w:eastAsia="Times New Roman" w:hAnsi="Helvetica" w:cs="Times New Roman"/>
      <w:sz w:val="24"/>
      <w:szCs w:val="20"/>
      <w:u w:val="single"/>
      <w:lang w:eastAsia="es-ES"/>
    </w:rPr>
  </w:style>
  <w:style w:type="paragraph" w:styleId="Ttulo2">
    <w:name w:val="heading 2"/>
    <w:basedOn w:val="Normal"/>
    <w:next w:val="Normal"/>
    <w:link w:val="Ttulo2Car"/>
    <w:qFormat/>
    <w:rsid w:val="00541B76"/>
    <w:pPr>
      <w:keepNext/>
      <w:spacing w:after="0" w:line="320" w:lineRule="exact"/>
      <w:jc w:val="center"/>
      <w:outlineLvl w:val="1"/>
    </w:pPr>
    <w:rPr>
      <w:rFonts w:ascii="Arial" w:eastAsia="Times New Roman" w:hAnsi="Arial" w:cs="Times New Roman"/>
      <w:b/>
      <w:sz w:val="20"/>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76CB"/>
    <w:pPr>
      <w:ind w:left="720"/>
      <w:contextualSpacing/>
    </w:pPr>
  </w:style>
  <w:style w:type="paragraph" w:customStyle="1" w:styleId="Estndar">
    <w:name w:val="Estándar"/>
    <w:basedOn w:val="Normal"/>
    <w:rsid w:val="00E843F5"/>
    <w:pPr>
      <w:spacing w:after="0" w:line="240" w:lineRule="auto"/>
    </w:pPr>
    <w:rPr>
      <w:rFonts w:ascii="Times New Roman" w:eastAsia="Times New Roman" w:hAnsi="Times New Roman" w:cs="Times New Roman"/>
      <w:snapToGrid w:val="0"/>
      <w:sz w:val="24"/>
      <w:szCs w:val="20"/>
      <w:lang w:val="en-US" w:eastAsia="es-ES"/>
    </w:rPr>
  </w:style>
  <w:style w:type="paragraph" w:styleId="Textoindependiente">
    <w:name w:val="Body Text"/>
    <w:basedOn w:val="Normal"/>
    <w:link w:val="TextoindependienteCar"/>
    <w:rsid w:val="00B008E5"/>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B008E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F17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176D"/>
    <w:rPr>
      <w:rFonts w:ascii="Segoe UI" w:hAnsi="Segoe UI" w:cs="Segoe UI"/>
      <w:sz w:val="18"/>
      <w:szCs w:val="18"/>
    </w:rPr>
  </w:style>
  <w:style w:type="character" w:styleId="Refdecomentario">
    <w:name w:val="annotation reference"/>
    <w:basedOn w:val="Fuentedeprrafopredeter"/>
    <w:uiPriority w:val="99"/>
    <w:semiHidden/>
    <w:unhideWhenUsed/>
    <w:rsid w:val="00854009"/>
    <w:rPr>
      <w:sz w:val="16"/>
      <w:szCs w:val="16"/>
    </w:rPr>
  </w:style>
  <w:style w:type="paragraph" w:styleId="Textocomentario">
    <w:name w:val="annotation text"/>
    <w:basedOn w:val="Normal"/>
    <w:link w:val="TextocomentarioCar"/>
    <w:uiPriority w:val="99"/>
    <w:semiHidden/>
    <w:unhideWhenUsed/>
    <w:rsid w:val="008540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4009"/>
    <w:rPr>
      <w:sz w:val="20"/>
      <w:szCs w:val="20"/>
    </w:rPr>
  </w:style>
  <w:style w:type="paragraph" w:styleId="Asuntodelcomentario">
    <w:name w:val="annotation subject"/>
    <w:basedOn w:val="Textocomentario"/>
    <w:next w:val="Textocomentario"/>
    <w:link w:val="AsuntodelcomentarioCar"/>
    <w:uiPriority w:val="99"/>
    <w:semiHidden/>
    <w:unhideWhenUsed/>
    <w:rsid w:val="00854009"/>
    <w:rPr>
      <w:b/>
      <w:bCs/>
    </w:rPr>
  </w:style>
  <w:style w:type="character" w:customStyle="1" w:styleId="AsuntodelcomentarioCar">
    <w:name w:val="Asunto del comentario Car"/>
    <w:basedOn w:val="TextocomentarioCar"/>
    <w:link w:val="Asuntodelcomentario"/>
    <w:uiPriority w:val="99"/>
    <w:semiHidden/>
    <w:rsid w:val="00854009"/>
    <w:rPr>
      <w:b/>
      <w:bCs/>
      <w:sz w:val="20"/>
      <w:szCs w:val="20"/>
    </w:rPr>
  </w:style>
  <w:style w:type="paragraph" w:styleId="Revisin">
    <w:name w:val="Revision"/>
    <w:hidden/>
    <w:uiPriority w:val="99"/>
    <w:semiHidden/>
    <w:rsid w:val="004E15EF"/>
    <w:pPr>
      <w:spacing w:after="0" w:line="240" w:lineRule="auto"/>
    </w:pPr>
  </w:style>
  <w:style w:type="character" w:customStyle="1" w:styleId="Ttulo1Car">
    <w:name w:val="Título 1 Car"/>
    <w:basedOn w:val="Fuentedeprrafopredeter"/>
    <w:link w:val="Ttulo1"/>
    <w:rsid w:val="00541B76"/>
    <w:rPr>
      <w:rFonts w:ascii="Helvetica" w:eastAsia="Times New Roman" w:hAnsi="Helvetica" w:cs="Times New Roman"/>
      <w:sz w:val="24"/>
      <w:szCs w:val="20"/>
      <w:u w:val="single"/>
      <w:lang w:eastAsia="es-ES"/>
    </w:rPr>
  </w:style>
  <w:style w:type="character" w:customStyle="1" w:styleId="Ttulo2Car">
    <w:name w:val="Título 2 Car"/>
    <w:basedOn w:val="Fuentedeprrafopredeter"/>
    <w:link w:val="Ttulo2"/>
    <w:rsid w:val="00541B76"/>
    <w:rPr>
      <w:rFonts w:ascii="Arial" w:eastAsia="Times New Roman" w:hAnsi="Arial" w:cs="Times New Roman"/>
      <w:b/>
      <w:sz w:val="20"/>
      <w:szCs w:val="20"/>
      <w:u w:val="single"/>
      <w:lang w:eastAsia="es-ES"/>
    </w:rPr>
  </w:style>
  <w:style w:type="character" w:styleId="Hipervnculo">
    <w:name w:val="Hyperlink"/>
    <w:basedOn w:val="Fuentedeprrafopredeter"/>
    <w:uiPriority w:val="99"/>
    <w:semiHidden/>
    <w:unhideWhenUsed/>
    <w:rsid w:val="004E4B1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881621">
      <w:bodyDiv w:val="1"/>
      <w:marLeft w:val="0"/>
      <w:marRight w:val="0"/>
      <w:marTop w:val="0"/>
      <w:marBottom w:val="0"/>
      <w:divBdr>
        <w:top w:val="none" w:sz="0" w:space="0" w:color="auto"/>
        <w:left w:val="none" w:sz="0" w:space="0" w:color="auto"/>
        <w:bottom w:val="none" w:sz="0" w:space="0" w:color="auto"/>
        <w:right w:val="none" w:sz="0" w:space="0" w:color="auto"/>
      </w:divBdr>
    </w:div>
    <w:div w:id="958686122">
      <w:bodyDiv w:val="1"/>
      <w:marLeft w:val="0"/>
      <w:marRight w:val="0"/>
      <w:marTop w:val="0"/>
      <w:marBottom w:val="0"/>
      <w:divBdr>
        <w:top w:val="none" w:sz="0" w:space="0" w:color="auto"/>
        <w:left w:val="none" w:sz="0" w:space="0" w:color="auto"/>
        <w:bottom w:val="none" w:sz="0" w:space="0" w:color="auto"/>
        <w:right w:val="none" w:sz="0" w:space="0" w:color="auto"/>
      </w:divBdr>
    </w:div>
    <w:div w:id="2104298724">
      <w:bodyDiv w:val="1"/>
      <w:marLeft w:val="0"/>
      <w:marRight w:val="0"/>
      <w:marTop w:val="0"/>
      <w:marBottom w:val="0"/>
      <w:divBdr>
        <w:top w:val="none" w:sz="0" w:space="0" w:color="auto"/>
        <w:left w:val="none" w:sz="0" w:space="0" w:color="auto"/>
        <w:bottom w:val="none" w:sz="0" w:space="0" w:color="auto"/>
        <w:right w:val="none" w:sz="0" w:space="0" w:color="auto"/>
      </w:divBdr>
    </w:div>
    <w:div w:id="212442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gentina.gob.ar/cn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1</Pages>
  <Words>587</Words>
  <Characters>3230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Cibils|Labougle|Ibañez</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Peralta Ramos</dc:creator>
  <cp:lastModifiedBy>Johanna Oviedo</cp:lastModifiedBy>
  <cp:revision>32</cp:revision>
  <cp:lastPrinted>2022-02-25T18:21:00Z</cp:lastPrinted>
  <dcterms:created xsi:type="dcterms:W3CDTF">2022-02-22T20:48:00Z</dcterms:created>
  <dcterms:modified xsi:type="dcterms:W3CDTF">2022-04-29T15:23:00Z</dcterms:modified>
</cp:coreProperties>
</file>