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AECA90" w14:textId="2FF353A5" w:rsidR="00995481" w:rsidRDefault="00CF1D83" w:rsidP="00012168">
      <w:pPr>
        <w:ind w:left="709" w:hanging="709"/>
        <w:rPr>
          <w:rFonts w:ascii="Times New Roman" w:hAnsi="Times New Roman" w:cs="Times New Roman"/>
          <w:b/>
          <w:sz w:val="20"/>
          <w:szCs w:val="20"/>
        </w:rPr>
      </w:pPr>
      <w:bookmarkStart w:id="0" w:name="_GoBack"/>
      <w:bookmarkEnd w:id="0"/>
      <w:r w:rsidRPr="005A0678">
        <w:rPr>
          <w:rFonts w:ascii="Times New Roman" w:hAnsi="Times New Roman" w:cs="Times New Roman"/>
          <w:b/>
          <w:sz w:val="20"/>
          <w:szCs w:val="20"/>
        </w:rPr>
        <w:t>A</w:t>
      </w:r>
      <w:r w:rsidR="00995481">
        <w:rPr>
          <w:rFonts w:ascii="Times New Roman" w:hAnsi="Times New Roman" w:cs="Times New Roman"/>
          <w:b/>
          <w:sz w:val="20"/>
          <w:szCs w:val="20"/>
        </w:rPr>
        <w:t xml:space="preserve">DENDA AL SUPLEMENTO DE PROSPECTO DE </w:t>
      </w:r>
      <w:r w:rsidR="00CB4705">
        <w:rPr>
          <w:rFonts w:ascii="Times New Roman" w:hAnsi="Times New Roman" w:cs="Times New Roman"/>
          <w:b/>
          <w:sz w:val="20"/>
          <w:szCs w:val="20"/>
        </w:rPr>
        <w:t xml:space="preserve">LAS </w:t>
      </w:r>
      <w:r w:rsidR="00995481">
        <w:rPr>
          <w:rFonts w:ascii="Times New Roman" w:hAnsi="Times New Roman" w:cs="Times New Roman"/>
          <w:b/>
          <w:sz w:val="20"/>
          <w:szCs w:val="20"/>
        </w:rPr>
        <w:t xml:space="preserve">OBLIGACIONES NEGOCIABLES CLASE </w:t>
      </w:r>
      <w:r w:rsidR="00FD1B9F">
        <w:rPr>
          <w:rFonts w:ascii="Times New Roman" w:hAnsi="Times New Roman" w:cs="Times New Roman"/>
          <w:b/>
          <w:sz w:val="20"/>
          <w:szCs w:val="20"/>
        </w:rPr>
        <w:t>XII</w:t>
      </w:r>
      <w:r w:rsidR="00995481">
        <w:rPr>
          <w:rFonts w:ascii="Times New Roman" w:hAnsi="Times New Roman" w:cs="Times New Roman"/>
          <w:b/>
          <w:sz w:val="20"/>
          <w:szCs w:val="20"/>
        </w:rPr>
        <w:t>I</w:t>
      </w:r>
    </w:p>
    <w:p w14:paraId="0E7020B0" w14:textId="07433805" w:rsidR="00CF1D83" w:rsidRPr="005A0678" w:rsidRDefault="00633310" w:rsidP="00892830">
      <w:pPr>
        <w:rPr>
          <w:rFonts w:ascii="Times New Roman" w:hAnsi="Times New Roman" w:cs="Times New Roman"/>
          <w:b/>
          <w:sz w:val="20"/>
          <w:szCs w:val="20"/>
        </w:rPr>
      </w:pPr>
      <w:r>
        <w:rPr>
          <w:rFonts w:ascii="Times New Roman" w:hAnsi="Times New Roman" w:cs="Times New Roman"/>
          <w:b/>
          <w:sz w:val="20"/>
          <w:szCs w:val="20"/>
        </w:rPr>
        <w:t xml:space="preserve"> </w:t>
      </w:r>
    </w:p>
    <w:p w14:paraId="5BF52CD0" w14:textId="77777777" w:rsidR="00554F91" w:rsidRPr="005A0678" w:rsidRDefault="00554F91" w:rsidP="00554F91">
      <w:pPr>
        <w:spacing w:after="120"/>
        <w:jc w:val="center"/>
        <w:rPr>
          <w:rFonts w:ascii="Times New Roman" w:hAnsi="Times New Roman" w:cs="Times New Roman"/>
          <w:b/>
          <w:sz w:val="20"/>
          <w:szCs w:val="20"/>
        </w:rPr>
      </w:pPr>
      <w:r w:rsidRPr="005A0678">
        <w:rPr>
          <w:rFonts w:ascii="Times New Roman" w:hAnsi="Times New Roman" w:cs="Times New Roman"/>
          <w:b/>
          <w:noProof/>
          <w:sz w:val="20"/>
          <w:szCs w:val="20"/>
          <w:lang w:val="en-US"/>
        </w:rPr>
        <w:drawing>
          <wp:inline distT="0" distB="0" distL="0" distR="0" wp14:anchorId="100C6D77" wp14:editId="47D038A2">
            <wp:extent cx="638175" cy="762000"/>
            <wp:effectExtent l="0" t="0" r="0" b="0"/>
            <wp:docPr id="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175" cy="762000"/>
                    </a:xfrm>
                    <a:prstGeom prst="rect">
                      <a:avLst/>
                    </a:prstGeom>
                    <a:noFill/>
                    <a:ln>
                      <a:noFill/>
                    </a:ln>
                  </pic:spPr>
                </pic:pic>
              </a:graphicData>
            </a:graphic>
          </wp:inline>
        </w:drawing>
      </w:r>
    </w:p>
    <w:p w14:paraId="7EA2C910" w14:textId="74311561" w:rsidR="00B371E1" w:rsidRDefault="00554F91" w:rsidP="00554F91">
      <w:pPr>
        <w:spacing w:after="120" w:line="240" w:lineRule="exact"/>
        <w:jc w:val="center"/>
        <w:rPr>
          <w:rFonts w:ascii="Times New Roman" w:hAnsi="Times New Roman" w:cs="Times New Roman"/>
          <w:b/>
          <w:sz w:val="20"/>
          <w:szCs w:val="20"/>
        </w:rPr>
      </w:pPr>
      <w:r w:rsidRPr="005A0678">
        <w:rPr>
          <w:rFonts w:ascii="Times New Roman" w:hAnsi="Times New Roman" w:cs="Times New Roman"/>
          <w:b/>
          <w:sz w:val="20"/>
          <w:szCs w:val="20"/>
        </w:rPr>
        <w:t>IRSA INVERSIONES Y REPRESENTACIONES SOCIEDAD ANÓNIMA</w:t>
      </w:r>
    </w:p>
    <w:p w14:paraId="0F296235" w14:textId="77777777" w:rsidR="00FD1B9F" w:rsidRPr="00FD1B9F" w:rsidRDefault="00FD1B9F" w:rsidP="00FD1B9F">
      <w:pPr>
        <w:spacing w:after="120" w:line="240" w:lineRule="exact"/>
        <w:jc w:val="center"/>
        <w:rPr>
          <w:rFonts w:ascii="Times New Roman" w:eastAsia="Times New Roman" w:hAnsi="Times New Roman"/>
          <w:bCs/>
          <w:iCs/>
          <w:sz w:val="20"/>
          <w:szCs w:val="20"/>
          <w:lang w:eastAsia="es-ES"/>
        </w:rPr>
      </w:pPr>
      <w:bookmarkStart w:id="1" w:name="_DV_C4"/>
      <w:r w:rsidRPr="00FD1B9F">
        <w:rPr>
          <w:rFonts w:ascii="Times New Roman" w:eastAsia="Times New Roman" w:hAnsi="Times New Roman"/>
          <w:bCs/>
          <w:iCs/>
          <w:sz w:val="20"/>
          <w:szCs w:val="20"/>
          <w:lang w:eastAsia="es-ES"/>
        </w:rPr>
        <w:t xml:space="preserve">IRSA Inversiones y Representaciones Sociedad Anónima (“IRSA” o la “Compañía” o la “Emisora” o “Nosotros”, indistintamente), con sede social en calle Carlos </w:t>
      </w:r>
      <w:proofErr w:type="spellStart"/>
      <w:r w:rsidRPr="00FD1B9F">
        <w:rPr>
          <w:rFonts w:ascii="Times New Roman" w:eastAsia="Times New Roman" w:hAnsi="Times New Roman"/>
          <w:bCs/>
          <w:iCs/>
          <w:sz w:val="20"/>
          <w:szCs w:val="20"/>
          <w:lang w:eastAsia="es-ES"/>
        </w:rPr>
        <w:t>Della</w:t>
      </w:r>
      <w:proofErr w:type="spellEnd"/>
      <w:r w:rsidRPr="00FD1B9F">
        <w:rPr>
          <w:rFonts w:ascii="Times New Roman" w:eastAsia="Times New Roman" w:hAnsi="Times New Roman"/>
          <w:bCs/>
          <w:iCs/>
          <w:sz w:val="20"/>
          <w:szCs w:val="20"/>
          <w:lang w:eastAsia="es-ES"/>
        </w:rPr>
        <w:t xml:space="preserve"> </w:t>
      </w:r>
      <w:proofErr w:type="spellStart"/>
      <w:r w:rsidRPr="00FD1B9F">
        <w:rPr>
          <w:rFonts w:ascii="Times New Roman" w:eastAsia="Times New Roman" w:hAnsi="Times New Roman"/>
          <w:bCs/>
          <w:iCs/>
          <w:sz w:val="20"/>
          <w:szCs w:val="20"/>
          <w:lang w:eastAsia="es-ES"/>
        </w:rPr>
        <w:t>Paolera</w:t>
      </w:r>
      <w:proofErr w:type="spellEnd"/>
      <w:r w:rsidRPr="00FD1B9F">
        <w:rPr>
          <w:rFonts w:ascii="Times New Roman" w:eastAsia="Times New Roman" w:hAnsi="Times New Roman"/>
          <w:bCs/>
          <w:iCs/>
          <w:sz w:val="20"/>
          <w:szCs w:val="20"/>
          <w:lang w:eastAsia="es-ES"/>
        </w:rPr>
        <w:t xml:space="preserve"> 261, 9° piso (C1001ADA), Ciudad Autónoma de Buenos Aires, República Argentina, C.U.I.T.: 30-52532274-9, teléfono: +54 (11) 4323-7400, correo electrónico: ir@irsa.com.ar, página web: www.irsa.com.ar.</w:t>
      </w:r>
    </w:p>
    <w:p w14:paraId="41A9397C" w14:textId="77777777" w:rsidR="00FD1B9F" w:rsidRPr="00FD1B9F" w:rsidRDefault="00FD1B9F" w:rsidP="00FD1B9F">
      <w:pPr>
        <w:spacing w:after="120" w:line="240" w:lineRule="exact"/>
        <w:jc w:val="center"/>
        <w:rPr>
          <w:rFonts w:ascii="Times New Roman" w:eastAsia="Times New Roman" w:hAnsi="Times New Roman"/>
          <w:b/>
          <w:bCs/>
          <w:iCs/>
          <w:sz w:val="20"/>
          <w:szCs w:val="20"/>
          <w:lang w:eastAsia="es-ES"/>
        </w:rPr>
      </w:pPr>
      <w:r w:rsidRPr="00FD1B9F">
        <w:rPr>
          <w:rFonts w:ascii="Times New Roman" w:eastAsia="Times New Roman" w:hAnsi="Times New Roman"/>
          <w:b/>
          <w:bCs/>
          <w:iCs/>
          <w:sz w:val="20"/>
          <w:szCs w:val="20"/>
          <w:lang w:eastAsia="es-ES"/>
        </w:rPr>
        <w:t>Obligaciones Negociables a ser emitidas en una clase en el marco de nuestro programa global de emisión de obligaciones negociables simples (no convertibles en acciones) por un valor nominal de hasta USD600.000.000 (Dólares Estadounidenses seiscientos millones) (o su equivalente en otras monedas o unidades de valor) (el “Programa”), por un valor nominal total de hasta USD15.000.000 (Dólares Estadounidenses quince millones) (el “Monto Total”), ampliable por hasta el monto disponible del Programa (el “Monto Total Máximo”).</w:t>
      </w:r>
    </w:p>
    <w:p w14:paraId="244AE85B" w14:textId="77777777" w:rsidR="00FD1B9F" w:rsidRDefault="00FD1B9F" w:rsidP="00FD1B9F">
      <w:pPr>
        <w:spacing w:after="120" w:line="240" w:lineRule="exact"/>
        <w:jc w:val="center"/>
        <w:rPr>
          <w:rFonts w:ascii="Times New Roman" w:eastAsia="Times New Roman" w:hAnsi="Times New Roman"/>
          <w:b/>
          <w:bCs/>
          <w:iCs/>
          <w:sz w:val="20"/>
          <w:szCs w:val="20"/>
          <w:lang w:eastAsia="es-ES"/>
        </w:rPr>
      </w:pPr>
      <w:r w:rsidRPr="00FD1B9F">
        <w:rPr>
          <w:rFonts w:ascii="Times New Roman" w:eastAsia="Times New Roman" w:hAnsi="Times New Roman"/>
          <w:b/>
          <w:bCs/>
          <w:iCs/>
          <w:sz w:val="20"/>
          <w:szCs w:val="20"/>
          <w:lang w:eastAsia="es-ES"/>
        </w:rPr>
        <w:t>Obligaciones Negociables Clase XIII denominadas en Dólares Estadounidenses, a ser suscriptas en Pesos convertidos al Tipo de Cambio Inicial, y pagaderas en Pesos al Tipo de Cambio Aplicable, a tasa de interés fija a licitar, con vencimiento a los 36 (treinta y seis) meses contados desde la Fecha de Emisión y Liquidación, por hasta un valor nominal de USD 15.000.000 (Dólares Estadounidenses quince millones), ampliable hasta el Monto Total Máximo (indistintamente, las “Obligaciones Negociables Clase XIII”, las “Obligaciones Negociables” o la “Clase XIII”)</w:t>
      </w:r>
    </w:p>
    <w:bookmarkEnd w:id="1"/>
    <w:p w14:paraId="31D4B672" w14:textId="1A48D0D1" w:rsidR="00CB4705" w:rsidRDefault="00CB4705" w:rsidP="00CB4705">
      <w:pPr>
        <w:spacing w:before="120" w:after="120"/>
        <w:jc w:val="both"/>
        <w:rPr>
          <w:rFonts w:ascii="Times New Roman" w:eastAsia="Times New Roman" w:hAnsi="Times New Roman"/>
          <w:sz w:val="20"/>
          <w:szCs w:val="20"/>
          <w:lang w:eastAsia="es-ES"/>
        </w:rPr>
      </w:pPr>
      <w:r w:rsidRPr="00DE1558">
        <w:rPr>
          <w:rFonts w:ascii="Times New Roman" w:hAnsi="Times New Roman" w:cs="Times New Roman"/>
          <w:snapToGrid w:val="0"/>
          <w:sz w:val="20"/>
          <w:szCs w:val="20"/>
        </w:rPr>
        <w:t>La presente adenda (la “</w:t>
      </w:r>
      <w:r w:rsidRPr="002B4716">
        <w:rPr>
          <w:rFonts w:ascii="Times New Roman" w:hAnsi="Times New Roman"/>
          <w:sz w:val="20"/>
          <w:u w:val="single"/>
        </w:rPr>
        <w:t>Adenda</w:t>
      </w:r>
      <w:r w:rsidRPr="00DE1558">
        <w:rPr>
          <w:rFonts w:ascii="Times New Roman" w:hAnsi="Times New Roman" w:cs="Times New Roman"/>
          <w:snapToGrid w:val="0"/>
          <w:sz w:val="20"/>
          <w:szCs w:val="20"/>
        </w:rPr>
        <w:t>”)</w:t>
      </w:r>
      <w:r>
        <w:rPr>
          <w:rFonts w:ascii="Times New Roman" w:hAnsi="Times New Roman" w:cs="Times New Roman"/>
          <w:snapToGrid w:val="0"/>
          <w:sz w:val="20"/>
          <w:szCs w:val="20"/>
        </w:rPr>
        <w:t xml:space="preserve"> constituye una modificación de: (i) los términos del </w:t>
      </w:r>
      <w:r w:rsidRPr="005A0678">
        <w:rPr>
          <w:rFonts w:ascii="Times New Roman" w:hAnsi="Times New Roman" w:cs="Times New Roman"/>
          <w:snapToGrid w:val="0"/>
          <w:sz w:val="20"/>
          <w:szCs w:val="20"/>
        </w:rPr>
        <w:t>Suplemento de Prospecto</w:t>
      </w:r>
      <w:r>
        <w:rPr>
          <w:rFonts w:ascii="Times New Roman" w:hAnsi="Times New Roman" w:cs="Times New Roman"/>
          <w:snapToGrid w:val="0"/>
          <w:sz w:val="20"/>
          <w:szCs w:val="20"/>
        </w:rPr>
        <w:t xml:space="preserve"> de las obligaciones negociables Clase </w:t>
      </w:r>
      <w:r w:rsidR="00FD1B9F">
        <w:rPr>
          <w:rFonts w:ascii="Times New Roman" w:hAnsi="Times New Roman" w:cs="Times New Roman"/>
          <w:snapToGrid w:val="0"/>
          <w:sz w:val="20"/>
          <w:szCs w:val="20"/>
        </w:rPr>
        <w:t>XII</w:t>
      </w:r>
      <w:r>
        <w:rPr>
          <w:rFonts w:ascii="Times New Roman" w:hAnsi="Times New Roman" w:cs="Times New Roman"/>
          <w:snapToGrid w:val="0"/>
          <w:sz w:val="20"/>
          <w:szCs w:val="20"/>
        </w:rPr>
        <w:t>I</w:t>
      </w:r>
      <w:r w:rsidR="00FD1B9F">
        <w:rPr>
          <w:rFonts w:ascii="Times New Roman" w:hAnsi="Times New Roman" w:cs="Times New Roman"/>
          <w:snapToGrid w:val="0"/>
          <w:sz w:val="20"/>
          <w:szCs w:val="20"/>
        </w:rPr>
        <w:t xml:space="preserve"> </w:t>
      </w:r>
      <w:r>
        <w:rPr>
          <w:rFonts w:ascii="Times New Roman" w:hAnsi="Times New Roman" w:cs="Times New Roman"/>
          <w:snapToGrid w:val="0"/>
          <w:sz w:val="20"/>
          <w:szCs w:val="20"/>
        </w:rPr>
        <w:t>(las “</w:t>
      </w:r>
      <w:r w:rsidRPr="00B23794">
        <w:rPr>
          <w:rFonts w:ascii="Times New Roman" w:hAnsi="Times New Roman" w:cs="Times New Roman"/>
          <w:snapToGrid w:val="0"/>
          <w:sz w:val="20"/>
          <w:szCs w:val="20"/>
          <w:u w:val="single"/>
        </w:rPr>
        <w:t>Obligacion</w:t>
      </w:r>
      <w:r>
        <w:rPr>
          <w:rFonts w:ascii="Times New Roman" w:hAnsi="Times New Roman" w:cs="Times New Roman"/>
          <w:snapToGrid w:val="0"/>
          <w:sz w:val="20"/>
          <w:szCs w:val="20"/>
          <w:u w:val="single"/>
        </w:rPr>
        <w:t xml:space="preserve">es Negociables Clase </w:t>
      </w:r>
      <w:r w:rsidR="00FD1B9F">
        <w:rPr>
          <w:rFonts w:ascii="Times New Roman" w:hAnsi="Times New Roman" w:cs="Times New Roman"/>
          <w:snapToGrid w:val="0"/>
          <w:sz w:val="20"/>
          <w:szCs w:val="20"/>
          <w:u w:val="single"/>
        </w:rPr>
        <w:t>XIII</w:t>
      </w:r>
      <w:r>
        <w:rPr>
          <w:rFonts w:ascii="Times New Roman" w:hAnsi="Times New Roman" w:cs="Times New Roman"/>
          <w:snapToGrid w:val="0"/>
          <w:sz w:val="20"/>
          <w:szCs w:val="20"/>
        </w:rPr>
        <w:t>”)</w:t>
      </w:r>
      <w:r w:rsidRPr="005A0678">
        <w:rPr>
          <w:rFonts w:ascii="Times New Roman" w:hAnsi="Times New Roman" w:cs="Times New Roman"/>
          <w:snapToGrid w:val="0"/>
          <w:sz w:val="20"/>
          <w:szCs w:val="20"/>
        </w:rPr>
        <w:t xml:space="preserve"> de fecha </w:t>
      </w:r>
      <w:r w:rsidR="00FD1B9F">
        <w:rPr>
          <w:rFonts w:ascii="Times New Roman" w:hAnsi="Times New Roman" w:cs="Times New Roman"/>
          <w:snapToGrid w:val="0"/>
          <w:sz w:val="20"/>
          <w:szCs w:val="20"/>
        </w:rPr>
        <w:t>17</w:t>
      </w:r>
      <w:r w:rsidR="00FD1B9F" w:rsidRPr="005A0678">
        <w:rPr>
          <w:rFonts w:ascii="Times New Roman" w:hAnsi="Times New Roman" w:cs="Times New Roman"/>
          <w:snapToGrid w:val="0"/>
          <w:sz w:val="20"/>
          <w:szCs w:val="20"/>
        </w:rPr>
        <w:t xml:space="preserve"> </w:t>
      </w:r>
      <w:r w:rsidRPr="005A0678">
        <w:rPr>
          <w:rFonts w:ascii="Times New Roman" w:hAnsi="Times New Roman" w:cs="Times New Roman"/>
          <w:snapToGrid w:val="0"/>
          <w:sz w:val="20"/>
          <w:szCs w:val="20"/>
        </w:rPr>
        <w:t xml:space="preserve">de </w:t>
      </w:r>
      <w:r w:rsidR="00FD1B9F">
        <w:rPr>
          <w:rFonts w:ascii="Times New Roman" w:hAnsi="Times New Roman" w:cs="Times New Roman"/>
          <w:snapToGrid w:val="0"/>
          <w:sz w:val="20"/>
          <w:szCs w:val="20"/>
        </w:rPr>
        <w:t>agosto</w:t>
      </w:r>
      <w:r w:rsidR="00FD1B9F" w:rsidRPr="005A0678">
        <w:rPr>
          <w:rFonts w:ascii="Times New Roman" w:hAnsi="Times New Roman" w:cs="Times New Roman"/>
          <w:snapToGrid w:val="0"/>
          <w:sz w:val="20"/>
          <w:szCs w:val="20"/>
        </w:rPr>
        <w:t xml:space="preserve"> </w:t>
      </w:r>
      <w:r w:rsidRPr="005A0678">
        <w:rPr>
          <w:rFonts w:ascii="Times New Roman" w:hAnsi="Times New Roman" w:cs="Times New Roman"/>
          <w:snapToGrid w:val="0"/>
          <w:sz w:val="20"/>
          <w:szCs w:val="20"/>
        </w:rPr>
        <w:t xml:space="preserve">de </w:t>
      </w:r>
      <w:r w:rsidR="00FD1B9F" w:rsidRPr="005A0678">
        <w:rPr>
          <w:rFonts w:ascii="Times New Roman" w:hAnsi="Times New Roman" w:cs="Times New Roman"/>
          <w:snapToGrid w:val="0"/>
          <w:sz w:val="20"/>
          <w:szCs w:val="20"/>
        </w:rPr>
        <w:t>20</w:t>
      </w:r>
      <w:r w:rsidR="00FD1B9F">
        <w:rPr>
          <w:rFonts w:ascii="Times New Roman" w:hAnsi="Times New Roman" w:cs="Times New Roman"/>
          <w:snapToGrid w:val="0"/>
          <w:sz w:val="20"/>
          <w:szCs w:val="20"/>
        </w:rPr>
        <w:t xml:space="preserve">21 </w:t>
      </w:r>
      <w:r w:rsidRPr="005A0678">
        <w:rPr>
          <w:rFonts w:ascii="Times New Roman" w:hAnsi="Times New Roman" w:cs="Times New Roman"/>
          <w:snapToGrid w:val="0"/>
          <w:sz w:val="20"/>
          <w:szCs w:val="20"/>
        </w:rPr>
        <w:t>(</w:t>
      </w:r>
      <w:r>
        <w:rPr>
          <w:rFonts w:ascii="Times New Roman" w:hAnsi="Times New Roman" w:cs="Times New Roman"/>
          <w:snapToGrid w:val="0"/>
          <w:sz w:val="20"/>
          <w:szCs w:val="20"/>
        </w:rPr>
        <w:t xml:space="preserve">el </w:t>
      </w:r>
      <w:r w:rsidRPr="005A0678">
        <w:rPr>
          <w:rFonts w:ascii="Times New Roman" w:hAnsi="Times New Roman" w:cs="Times New Roman"/>
          <w:snapToGrid w:val="0"/>
          <w:sz w:val="20"/>
          <w:szCs w:val="20"/>
        </w:rPr>
        <w:t>“</w:t>
      </w:r>
      <w:r w:rsidRPr="00892830">
        <w:rPr>
          <w:rFonts w:ascii="Times New Roman" w:hAnsi="Times New Roman" w:cs="Times New Roman"/>
          <w:snapToGrid w:val="0"/>
          <w:sz w:val="20"/>
          <w:szCs w:val="20"/>
          <w:u w:val="single"/>
        </w:rPr>
        <w:t>Suplemento de Prospecto</w:t>
      </w:r>
      <w:r w:rsidR="00FD1B9F">
        <w:rPr>
          <w:rFonts w:ascii="Times New Roman" w:hAnsi="Times New Roman" w:cs="Times New Roman"/>
          <w:snapToGrid w:val="0"/>
          <w:sz w:val="20"/>
          <w:szCs w:val="20"/>
          <w:u w:val="single"/>
        </w:rPr>
        <w:t>)</w:t>
      </w:r>
      <w:r>
        <w:rPr>
          <w:rFonts w:ascii="Times New Roman" w:hAnsi="Times New Roman" w:cs="Times New Roman"/>
          <w:snapToGrid w:val="0"/>
          <w:sz w:val="20"/>
          <w:szCs w:val="20"/>
        </w:rPr>
        <w:t xml:space="preserve">, publicados </w:t>
      </w:r>
      <w:r w:rsidRPr="005A0678">
        <w:rPr>
          <w:rFonts w:ascii="Times New Roman" w:hAnsi="Times New Roman" w:cs="Times New Roman"/>
          <w:snapToGrid w:val="0"/>
          <w:sz w:val="20"/>
          <w:szCs w:val="20"/>
        </w:rPr>
        <w:t>por IRSA Inversiones y Representaciones S.A. (“I</w:t>
      </w:r>
      <w:r w:rsidRPr="00892830">
        <w:rPr>
          <w:rFonts w:ascii="Times New Roman" w:hAnsi="Times New Roman" w:cs="Times New Roman"/>
          <w:snapToGrid w:val="0"/>
          <w:sz w:val="20"/>
          <w:szCs w:val="20"/>
          <w:u w:val="single"/>
        </w:rPr>
        <w:t>RSA</w:t>
      </w:r>
      <w:r w:rsidRPr="005A0678">
        <w:rPr>
          <w:rFonts w:ascii="Times New Roman" w:hAnsi="Times New Roman" w:cs="Times New Roman"/>
          <w:snapToGrid w:val="0"/>
          <w:sz w:val="20"/>
          <w:szCs w:val="20"/>
        </w:rPr>
        <w:t>” o la “</w:t>
      </w:r>
      <w:r w:rsidRPr="00892830">
        <w:rPr>
          <w:rFonts w:ascii="Times New Roman" w:hAnsi="Times New Roman" w:cs="Times New Roman"/>
          <w:snapToGrid w:val="0"/>
          <w:sz w:val="20"/>
          <w:szCs w:val="20"/>
          <w:u w:val="single"/>
        </w:rPr>
        <w:t>Compañía</w:t>
      </w:r>
      <w:r w:rsidRPr="005A0678">
        <w:rPr>
          <w:rFonts w:ascii="Times New Roman" w:hAnsi="Times New Roman" w:cs="Times New Roman"/>
          <w:snapToGrid w:val="0"/>
          <w:sz w:val="20"/>
          <w:szCs w:val="20"/>
        </w:rPr>
        <w:t xml:space="preserve">”) </w:t>
      </w:r>
      <w:r w:rsidRPr="009B53A9">
        <w:rPr>
          <w:rFonts w:ascii="Times New Roman" w:hAnsi="Times New Roman" w:cs="Times New Roman"/>
          <w:snapToGrid w:val="0"/>
          <w:sz w:val="20"/>
          <w:szCs w:val="20"/>
        </w:rPr>
        <w:t>e</w:t>
      </w:r>
      <w:r w:rsidR="00FD1B9F">
        <w:rPr>
          <w:rFonts w:ascii="Times New Roman" w:hAnsi="Times New Roman" w:cs="Times New Roman"/>
          <w:snapToGrid w:val="0"/>
          <w:sz w:val="20"/>
          <w:szCs w:val="20"/>
        </w:rPr>
        <w:t>l 18 de agosto de 2021</w:t>
      </w:r>
      <w:r w:rsidRPr="009B53A9">
        <w:rPr>
          <w:rFonts w:ascii="Times New Roman" w:hAnsi="Times New Roman" w:cs="Times New Roman"/>
          <w:snapToGrid w:val="0"/>
          <w:sz w:val="20"/>
          <w:szCs w:val="20"/>
        </w:rPr>
        <w:t xml:space="preserve"> en el Boletín Diario de la BCBA, en virtud del ejercicio de la facultad delegada por Bolsas y Mercados Argentinos S.A. (el “</w:t>
      </w:r>
      <w:r w:rsidRPr="009B53A9">
        <w:rPr>
          <w:rFonts w:ascii="Times New Roman" w:hAnsi="Times New Roman" w:cs="Times New Roman"/>
          <w:snapToGrid w:val="0"/>
          <w:sz w:val="20"/>
          <w:szCs w:val="20"/>
          <w:u w:val="single"/>
        </w:rPr>
        <w:t>BYMA</w:t>
      </w:r>
      <w:r w:rsidRPr="009B53A9">
        <w:rPr>
          <w:rFonts w:ascii="Times New Roman" w:hAnsi="Times New Roman" w:cs="Times New Roman"/>
          <w:snapToGrid w:val="0"/>
          <w:sz w:val="20"/>
          <w:szCs w:val="20"/>
        </w:rPr>
        <w:t xml:space="preserve">”) a la BCBA, el sitio web de la Comisión Nacional de Valores, </w:t>
      </w:r>
      <w:hyperlink r:id="rId12" w:history="1">
        <w:r w:rsidRPr="009B53A9">
          <w:rPr>
            <w:rStyle w:val="Hipervnculo"/>
            <w:rFonts w:ascii="Times New Roman" w:hAnsi="Times New Roman" w:cs="Times New Roman"/>
            <w:snapToGrid w:val="0"/>
            <w:sz w:val="20"/>
            <w:szCs w:val="20"/>
          </w:rPr>
          <w:t>www.cnv.gov.ar</w:t>
        </w:r>
      </w:hyperlink>
      <w:r w:rsidRPr="009B53A9">
        <w:rPr>
          <w:rFonts w:ascii="Times New Roman" w:hAnsi="Times New Roman" w:cs="Times New Roman"/>
          <w:snapToGrid w:val="0"/>
          <w:sz w:val="20"/>
          <w:szCs w:val="20"/>
        </w:rPr>
        <w:t>, bajo el ítem: “</w:t>
      </w:r>
      <w:r w:rsidRPr="00045CC7">
        <w:rPr>
          <w:rFonts w:ascii="Times New Roman" w:hAnsi="Times New Roman" w:cs="Times New Roman"/>
          <w:i/>
          <w:iCs/>
          <w:snapToGrid w:val="0"/>
          <w:sz w:val="20"/>
          <w:szCs w:val="20"/>
        </w:rPr>
        <w:t>Empresas (entidades con oferta pública)</w:t>
      </w:r>
      <w:r w:rsidRPr="009B53A9">
        <w:rPr>
          <w:rFonts w:ascii="Times New Roman" w:hAnsi="Times New Roman" w:cs="Times New Roman"/>
          <w:snapToGrid w:val="0"/>
          <w:sz w:val="20"/>
          <w:szCs w:val="20"/>
        </w:rPr>
        <w:t>” de la Autopista de Información Financiera (la “</w:t>
      </w:r>
      <w:r w:rsidRPr="00045CC7">
        <w:rPr>
          <w:rFonts w:ascii="Times New Roman" w:hAnsi="Times New Roman" w:cs="Times New Roman"/>
          <w:snapToGrid w:val="0"/>
          <w:sz w:val="20"/>
          <w:szCs w:val="20"/>
          <w:u w:val="single"/>
        </w:rPr>
        <w:t>Página Web de la CNV</w:t>
      </w:r>
      <w:r w:rsidRPr="009B53A9">
        <w:rPr>
          <w:rFonts w:ascii="Times New Roman" w:hAnsi="Times New Roman" w:cs="Times New Roman"/>
          <w:snapToGrid w:val="0"/>
          <w:sz w:val="20"/>
          <w:szCs w:val="20"/>
        </w:rPr>
        <w:t xml:space="preserve">”), en el </w:t>
      </w:r>
      <w:proofErr w:type="spellStart"/>
      <w:r w:rsidRPr="009B53A9">
        <w:rPr>
          <w:rFonts w:ascii="Times New Roman" w:hAnsi="Times New Roman" w:cs="Times New Roman"/>
          <w:snapToGrid w:val="0"/>
          <w:sz w:val="20"/>
          <w:szCs w:val="20"/>
        </w:rPr>
        <w:t>Micrositio</w:t>
      </w:r>
      <w:proofErr w:type="spellEnd"/>
      <w:r w:rsidRPr="009B53A9">
        <w:rPr>
          <w:rFonts w:ascii="Times New Roman" w:hAnsi="Times New Roman" w:cs="Times New Roman"/>
          <w:snapToGrid w:val="0"/>
          <w:sz w:val="20"/>
          <w:szCs w:val="20"/>
        </w:rPr>
        <w:t xml:space="preserve"> de licitaciones del sistema SIOPEL de la página Web del MAE (</w:t>
      </w:r>
      <w:hyperlink r:id="rId13" w:history="1">
        <w:r w:rsidRPr="00045CC7">
          <w:rPr>
            <w:rStyle w:val="Hipervnculo"/>
            <w:rFonts w:ascii="Times New Roman" w:hAnsi="Times New Roman" w:cs="Times New Roman"/>
            <w:snapToGrid w:val="0"/>
            <w:sz w:val="20"/>
            <w:szCs w:val="20"/>
          </w:rPr>
          <w:t>www.mae.com.ar</w:t>
        </w:r>
      </w:hyperlink>
      <w:r w:rsidRPr="009B53A9">
        <w:rPr>
          <w:rFonts w:ascii="Times New Roman" w:hAnsi="Times New Roman" w:cs="Times New Roman"/>
          <w:snapToGrid w:val="0"/>
          <w:sz w:val="20"/>
          <w:szCs w:val="20"/>
        </w:rPr>
        <w:t>) (la “</w:t>
      </w:r>
      <w:r w:rsidRPr="00045CC7">
        <w:rPr>
          <w:rFonts w:ascii="Times New Roman" w:hAnsi="Times New Roman" w:cs="Times New Roman"/>
          <w:snapToGrid w:val="0"/>
          <w:sz w:val="20"/>
          <w:szCs w:val="20"/>
          <w:u w:val="single"/>
        </w:rPr>
        <w:t>Página Web del MAE</w:t>
      </w:r>
      <w:r w:rsidRPr="009B53A9">
        <w:rPr>
          <w:rFonts w:ascii="Times New Roman" w:hAnsi="Times New Roman" w:cs="Times New Roman"/>
          <w:snapToGrid w:val="0"/>
          <w:sz w:val="20"/>
          <w:szCs w:val="20"/>
        </w:rPr>
        <w:t>”), en el boletín electrónico del MAE y en el sitio web institucional de</w:t>
      </w:r>
      <w:r>
        <w:rPr>
          <w:rFonts w:ascii="Times New Roman" w:hAnsi="Times New Roman" w:cs="Times New Roman"/>
          <w:snapToGrid w:val="0"/>
          <w:sz w:val="20"/>
          <w:szCs w:val="20"/>
        </w:rPr>
        <w:t xml:space="preserve"> IRSA:</w:t>
      </w:r>
      <w:r w:rsidRPr="009B53A9">
        <w:rPr>
          <w:rFonts w:ascii="Times New Roman" w:hAnsi="Times New Roman" w:cs="Times New Roman"/>
          <w:snapToGrid w:val="0"/>
          <w:sz w:val="20"/>
          <w:szCs w:val="20"/>
        </w:rPr>
        <w:t xml:space="preserve"> </w:t>
      </w:r>
      <w:hyperlink r:id="rId14" w:history="1">
        <w:r w:rsidRPr="00AF2475">
          <w:rPr>
            <w:rFonts w:ascii="Times New Roman" w:eastAsia="Times New Roman" w:hAnsi="Times New Roman"/>
            <w:color w:val="0000FF"/>
            <w:sz w:val="20"/>
            <w:szCs w:val="20"/>
            <w:u w:val="single"/>
            <w:lang w:eastAsia="es-ES"/>
          </w:rPr>
          <w:t>www.irsa.com.ar</w:t>
        </w:r>
      </w:hyperlink>
      <w:r w:rsidRPr="00AF2475">
        <w:rPr>
          <w:rFonts w:ascii="Times New Roman" w:eastAsia="Times New Roman" w:hAnsi="Times New Roman"/>
          <w:sz w:val="20"/>
          <w:szCs w:val="20"/>
          <w:lang w:eastAsia="es-ES"/>
        </w:rPr>
        <w:t>.</w:t>
      </w:r>
    </w:p>
    <w:p w14:paraId="4867F8DF" w14:textId="2B08CD7A" w:rsidR="00CB4705" w:rsidRPr="003F30D7" w:rsidRDefault="00CB4705" w:rsidP="00CB4705">
      <w:pPr>
        <w:spacing w:before="120" w:after="120"/>
        <w:jc w:val="both"/>
        <w:rPr>
          <w:rFonts w:ascii="Times New Roman" w:eastAsia="Times New Roman" w:hAnsi="Times New Roman"/>
          <w:b/>
          <w:sz w:val="20"/>
          <w:szCs w:val="20"/>
          <w:lang w:eastAsia="es-ES"/>
        </w:rPr>
      </w:pPr>
      <w:r w:rsidRPr="003F30D7">
        <w:rPr>
          <w:rFonts w:ascii="Times New Roman" w:eastAsia="Times New Roman" w:hAnsi="Times New Roman"/>
          <w:b/>
          <w:sz w:val="20"/>
          <w:szCs w:val="20"/>
          <w:lang w:eastAsia="es-ES"/>
        </w:rPr>
        <w:t>TODO LO QUE NO SEA EXPRESAMENTE MODIFICADO POR LA PRESENTE ADENDA MANTIENE SU PLENA VALIDEZ</w:t>
      </w:r>
      <w:r>
        <w:rPr>
          <w:rFonts w:ascii="Times New Roman" w:eastAsia="Times New Roman" w:hAnsi="Times New Roman"/>
          <w:b/>
          <w:sz w:val="20"/>
          <w:szCs w:val="20"/>
          <w:lang w:eastAsia="es-ES"/>
        </w:rPr>
        <w:t xml:space="preserve"> Y VIGENCIA</w:t>
      </w:r>
      <w:r w:rsidRPr="003F30D7">
        <w:rPr>
          <w:rFonts w:ascii="Times New Roman" w:eastAsia="Times New Roman" w:hAnsi="Times New Roman"/>
          <w:b/>
          <w:sz w:val="20"/>
          <w:szCs w:val="20"/>
          <w:lang w:eastAsia="es-ES"/>
        </w:rPr>
        <w:t xml:space="preserve"> EN SUS TÉRMINOS ORIGINALES LA INFORMACIÓN INCLUIDA EN LA PRESENTE ADENDA SE ENCUENTRA REFERIDA A LA INFORMACIÓN CONTENIDA EN EL SUP</w:t>
      </w:r>
      <w:r>
        <w:rPr>
          <w:rFonts w:ascii="Times New Roman" w:eastAsia="Times New Roman" w:hAnsi="Times New Roman"/>
          <w:b/>
          <w:sz w:val="20"/>
          <w:szCs w:val="20"/>
          <w:lang w:eastAsia="es-ES"/>
        </w:rPr>
        <w:t xml:space="preserve">LEMENTO DE PROSPECTO </w:t>
      </w:r>
      <w:r w:rsidRPr="003F30D7">
        <w:rPr>
          <w:rFonts w:ascii="Times New Roman" w:eastAsia="Times New Roman" w:hAnsi="Times New Roman"/>
          <w:b/>
          <w:sz w:val="20"/>
          <w:szCs w:val="20"/>
          <w:lang w:eastAsia="es-ES"/>
        </w:rPr>
        <w:t>Y DEBERÁ SER LEÍDA JUNTAMENTE CON LOS MISMOS, Y COMPLETADA CON LA INFORMACIÓN ALLÍ INCLUIDA.</w:t>
      </w:r>
      <w:r w:rsidRPr="003F30D7">
        <w:rPr>
          <w:b/>
        </w:rPr>
        <w:t xml:space="preserve"> </w:t>
      </w:r>
    </w:p>
    <w:p w14:paraId="57C36B76" w14:textId="521D39CF" w:rsidR="00CB4705" w:rsidRPr="00483B70" w:rsidRDefault="00CB4705" w:rsidP="00CB4705">
      <w:pPr>
        <w:spacing w:before="120" w:after="120" w:line="240" w:lineRule="auto"/>
        <w:jc w:val="both"/>
        <w:rPr>
          <w:rFonts w:ascii="Times New Roman" w:eastAsia="Calibri" w:hAnsi="Times New Roman" w:cs="Times New Roman"/>
          <w:bCs/>
          <w:sz w:val="20"/>
          <w:szCs w:val="20"/>
          <w:lang w:val="es-ES"/>
        </w:rPr>
      </w:pPr>
      <w:r w:rsidRPr="00483B70">
        <w:rPr>
          <w:rFonts w:ascii="Times New Roman" w:eastAsia="Calibri" w:hAnsi="Times New Roman" w:cs="Times New Roman"/>
          <w:bCs/>
          <w:sz w:val="20"/>
          <w:szCs w:val="20"/>
          <w:lang w:val="es-ES"/>
        </w:rPr>
        <w:t xml:space="preserve">Los términos en mayúsculas utilizados que no están definidos en </w:t>
      </w:r>
      <w:r>
        <w:rPr>
          <w:rFonts w:ascii="Times New Roman" w:eastAsia="Calibri" w:hAnsi="Times New Roman" w:cs="Times New Roman"/>
          <w:bCs/>
          <w:sz w:val="20"/>
          <w:szCs w:val="20"/>
          <w:lang w:val="es-ES"/>
        </w:rPr>
        <w:t>la presente Adenda</w:t>
      </w:r>
      <w:r w:rsidRPr="00483B70">
        <w:rPr>
          <w:rFonts w:ascii="Times New Roman" w:eastAsia="Calibri" w:hAnsi="Times New Roman" w:cs="Times New Roman"/>
          <w:bCs/>
          <w:sz w:val="20"/>
          <w:szCs w:val="20"/>
          <w:lang w:val="es-ES"/>
        </w:rPr>
        <w:t xml:space="preserve"> tienen el significado que se les asigna en el Prospecto del Programa Global de Emisión de Obligaciones Negociables por un valor nominal de hasta US$</w:t>
      </w:r>
      <w:r w:rsidR="00FD1B9F">
        <w:rPr>
          <w:rFonts w:ascii="Times New Roman" w:eastAsia="Calibri" w:hAnsi="Times New Roman" w:cs="Times New Roman"/>
          <w:bCs/>
          <w:sz w:val="20"/>
          <w:szCs w:val="20"/>
          <w:lang w:val="es-ES"/>
        </w:rPr>
        <w:t>60</w:t>
      </w:r>
      <w:r w:rsidRPr="00483B70">
        <w:rPr>
          <w:rFonts w:ascii="Times New Roman" w:eastAsia="Calibri" w:hAnsi="Times New Roman" w:cs="Times New Roman"/>
          <w:bCs/>
          <w:sz w:val="20"/>
          <w:szCs w:val="20"/>
          <w:lang w:val="es-ES"/>
        </w:rPr>
        <w:t>0.000.000 (o su equivalente en otras monedas o unidades de valor) de fecha 2</w:t>
      </w:r>
      <w:r w:rsidR="00FD1B9F">
        <w:rPr>
          <w:rFonts w:ascii="Times New Roman" w:eastAsia="Calibri" w:hAnsi="Times New Roman" w:cs="Times New Roman"/>
          <w:bCs/>
          <w:sz w:val="20"/>
          <w:szCs w:val="20"/>
          <w:lang w:val="es-ES"/>
        </w:rPr>
        <w:t>2</w:t>
      </w:r>
      <w:r w:rsidRPr="00483B70">
        <w:rPr>
          <w:rFonts w:ascii="Times New Roman" w:eastAsia="Calibri" w:hAnsi="Times New Roman" w:cs="Times New Roman"/>
          <w:bCs/>
          <w:sz w:val="20"/>
          <w:szCs w:val="20"/>
          <w:lang w:val="es-ES"/>
        </w:rPr>
        <w:t xml:space="preserve"> de </w:t>
      </w:r>
      <w:r w:rsidR="00FD1B9F">
        <w:rPr>
          <w:rFonts w:ascii="Times New Roman" w:eastAsia="Calibri" w:hAnsi="Times New Roman" w:cs="Times New Roman"/>
          <w:bCs/>
          <w:sz w:val="20"/>
          <w:szCs w:val="20"/>
          <w:lang w:val="es-ES"/>
        </w:rPr>
        <w:t>octubre</w:t>
      </w:r>
      <w:r w:rsidR="00FD1B9F" w:rsidRPr="00483B70">
        <w:rPr>
          <w:rFonts w:ascii="Times New Roman" w:eastAsia="Calibri" w:hAnsi="Times New Roman" w:cs="Times New Roman"/>
          <w:bCs/>
          <w:sz w:val="20"/>
          <w:szCs w:val="20"/>
          <w:lang w:val="es-ES"/>
        </w:rPr>
        <w:t xml:space="preserve"> </w:t>
      </w:r>
      <w:r w:rsidRPr="00483B70">
        <w:rPr>
          <w:rFonts w:ascii="Times New Roman" w:eastAsia="Calibri" w:hAnsi="Times New Roman" w:cs="Times New Roman"/>
          <w:bCs/>
          <w:sz w:val="20"/>
          <w:szCs w:val="20"/>
          <w:lang w:val="es-ES"/>
        </w:rPr>
        <w:t>de 20</w:t>
      </w:r>
      <w:r w:rsidR="00FD1B9F">
        <w:rPr>
          <w:rFonts w:ascii="Times New Roman" w:eastAsia="Calibri" w:hAnsi="Times New Roman" w:cs="Times New Roman"/>
          <w:bCs/>
          <w:sz w:val="20"/>
          <w:szCs w:val="20"/>
          <w:lang w:val="es-ES"/>
        </w:rPr>
        <w:t>20</w:t>
      </w:r>
      <w:r w:rsidRPr="00483B70">
        <w:rPr>
          <w:rFonts w:ascii="Times New Roman" w:eastAsia="Calibri" w:hAnsi="Times New Roman" w:cs="Times New Roman"/>
          <w:bCs/>
          <w:sz w:val="20"/>
          <w:szCs w:val="20"/>
          <w:lang w:val="es-ES"/>
        </w:rPr>
        <w:t xml:space="preserve"> (el “</w:t>
      </w:r>
      <w:r w:rsidRPr="0074405A">
        <w:rPr>
          <w:rFonts w:ascii="Times New Roman" w:hAnsi="Times New Roman"/>
          <w:sz w:val="20"/>
          <w:u w:val="single"/>
          <w:lang w:val="es-ES"/>
        </w:rPr>
        <w:t>Prospecto</w:t>
      </w:r>
      <w:r w:rsidRPr="00483B70">
        <w:rPr>
          <w:rFonts w:ascii="Times New Roman" w:eastAsia="Calibri" w:hAnsi="Times New Roman" w:cs="Times New Roman"/>
          <w:bCs/>
          <w:sz w:val="20"/>
          <w:szCs w:val="20"/>
          <w:lang w:val="es-ES"/>
        </w:rPr>
        <w:t>”) y/o en el Suplemento de Prospecto</w:t>
      </w:r>
      <w:r>
        <w:rPr>
          <w:rFonts w:ascii="Times New Roman" w:eastAsia="Calibri" w:hAnsi="Times New Roman" w:cs="Times New Roman"/>
          <w:bCs/>
          <w:sz w:val="20"/>
          <w:szCs w:val="20"/>
          <w:lang w:val="es-ES"/>
        </w:rPr>
        <w:t>.</w:t>
      </w:r>
    </w:p>
    <w:p w14:paraId="54880078" w14:textId="282832C6" w:rsidR="009F26BA" w:rsidRDefault="00CB4705" w:rsidP="00CB4705">
      <w:pPr>
        <w:spacing w:before="120" w:after="120"/>
        <w:jc w:val="both"/>
        <w:rPr>
          <w:rFonts w:ascii="Times New Roman" w:hAnsi="Times New Roman" w:cs="Times New Roman"/>
          <w:snapToGrid w:val="0"/>
          <w:sz w:val="20"/>
          <w:szCs w:val="20"/>
        </w:rPr>
      </w:pPr>
      <w:r w:rsidRPr="001E797D">
        <w:rPr>
          <w:rFonts w:ascii="Times New Roman" w:hAnsi="Times New Roman" w:cs="Times New Roman"/>
          <w:snapToGrid w:val="0"/>
          <w:sz w:val="20"/>
          <w:szCs w:val="20"/>
        </w:rPr>
        <w:t xml:space="preserve">La presente Adenda tiene por objeto </w:t>
      </w:r>
      <w:r>
        <w:rPr>
          <w:rFonts w:ascii="Times New Roman" w:hAnsi="Times New Roman" w:cs="Times New Roman"/>
          <w:snapToGrid w:val="0"/>
          <w:sz w:val="20"/>
          <w:szCs w:val="20"/>
        </w:rPr>
        <w:t xml:space="preserve">modificar ciertos términos de las Obligaciones Negociables Clase </w:t>
      </w:r>
      <w:r w:rsidR="00FD1B9F">
        <w:rPr>
          <w:rFonts w:ascii="Times New Roman" w:hAnsi="Times New Roman" w:cs="Times New Roman"/>
          <w:snapToGrid w:val="0"/>
          <w:sz w:val="20"/>
          <w:szCs w:val="20"/>
        </w:rPr>
        <w:t>XII</w:t>
      </w:r>
      <w:r>
        <w:rPr>
          <w:rFonts w:ascii="Times New Roman" w:hAnsi="Times New Roman" w:cs="Times New Roman"/>
          <w:snapToGrid w:val="0"/>
          <w:sz w:val="20"/>
          <w:szCs w:val="20"/>
        </w:rPr>
        <w:t>I</w:t>
      </w:r>
      <w:r w:rsidR="00FD1B9F">
        <w:rPr>
          <w:rFonts w:ascii="Times New Roman" w:hAnsi="Times New Roman" w:cs="Times New Roman"/>
          <w:snapToGrid w:val="0"/>
          <w:sz w:val="20"/>
          <w:szCs w:val="20"/>
        </w:rPr>
        <w:t>:</w:t>
      </w:r>
    </w:p>
    <w:p w14:paraId="6D10CA3A" w14:textId="68B48ADE" w:rsidR="004A1803" w:rsidRPr="00C918B6" w:rsidRDefault="004A1803" w:rsidP="004A1803">
      <w:pPr>
        <w:pStyle w:val="BHTexto"/>
        <w:widowControl w:val="0"/>
        <w:rPr>
          <w:lang w:val="es-AR"/>
        </w:rPr>
      </w:pPr>
      <w:r w:rsidRPr="00C918B6">
        <w:rPr>
          <w:b/>
          <w:i/>
          <w:lang w:val="es-AR"/>
        </w:rPr>
        <w:t>OFERTA D</w:t>
      </w:r>
      <w:r>
        <w:rPr>
          <w:b/>
          <w:i/>
          <w:lang w:val="es-AR"/>
        </w:rPr>
        <w:t>E LOS VALORES NEGOCIABLES</w:t>
      </w:r>
    </w:p>
    <w:p w14:paraId="0A1EAFC8" w14:textId="039D8961" w:rsidR="00C11003" w:rsidRDefault="00C11003" w:rsidP="00C11003">
      <w:pPr>
        <w:pStyle w:val="BHTexto"/>
        <w:widowControl w:val="0"/>
        <w:rPr>
          <w:lang w:val="es-AR"/>
        </w:rPr>
      </w:pPr>
      <w:r w:rsidRPr="00C918B6">
        <w:rPr>
          <w:lang w:val="es-AR"/>
        </w:rPr>
        <w:t xml:space="preserve">Se reemplaza el texto del </w:t>
      </w:r>
      <w:r w:rsidR="00012168">
        <w:rPr>
          <w:lang w:val="es-AR"/>
        </w:rPr>
        <w:t>primer párrafo del siguiente apartado</w:t>
      </w:r>
      <w:r w:rsidRPr="00C918B6">
        <w:rPr>
          <w:lang w:val="es-AR"/>
        </w:rPr>
        <w:t xml:space="preserve"> de la página </w:t>
      </w:r>
      <w:r w:rsidR="00012168">
        <w:rPr>
          <w:lang w:val="es-AR"/>
        </w:rPr>
        <w:t>3</w:t>
      </w:r>
      <w:r w:rsidR="00012168" w:rsidRPr="00C918B6">
        <w:rPr>
          <w:lang w:val="es-AR"/>
        </w:rPr>
        <w:t xml:space="preserve"> </w:t>
      </w:r>
      <w:r w:rsidRPr="00C918B6">
        <w:rPr>
          <w:lang w:val="es-AR"/>
        </w:rPr>
        <w:t>de la sección</w:t>
      </w:r>
      <w:r w:rsidR="00012168">
        <w:rPr>
          <w:i/>
          <w:lang w:val="es-AR"/>
        </w:rPr>
        <w:t>”Portada</w:t>
      </w:r>
      <w:r w:rsidRPr="00C918B6">
        <w:rPr>
          <w:lang w:val="es-AR"/>
        </w:rPr>
        <w:t>” del Suplemento de Prospecto, de la siguiente manera:</w:t>
      </w:r>
    </w:p>
    <w:p w14:paraId="0BC280E3" w14:textId="1B06765D" w:rsidR="00012168" w:rsidRPr="00012168" w:rsidRDefault="00012168" w:rsidP="00C11003">
      <w:pPr>
        <w:pStyle w:val="BHTexto"/>
        <w:widowControl w:val="0"/>
        <w:rPr>
          <w:lang w:val="es-ES"/>
        </w:rPr>
      </w:pPr>
      <w:r w:rsidRPr="00012168">
        <w:rPr>
          <w:lang w:val="es-ES"/>
        </w:rPr>
        <w:t xml:space="preserve">Podremos rescatar a nuestra opción las Obligaciones Negociables Clase XIII el o a partir de </w:t>
      </w:r>
      <w:r>
        <w:rPr>
          <w:lang w:val="es-ES"/>
        </w:rPr>
        <w:t xml:space="preserve">doce </w:t>
      </w:r>
      <w:r w:rsidRPr="00012168">
        <w:rPr>
          <w:lang w:val="es-ES"/>
        </w:rPr>
        <w:t>meses anteriores a la Fecha de Vencimiento</w:t>
      </w:r>
      <w:r>
        <w:rPr>
          <w:lang w:val="es-ES"/>
        </w:rPr>
        <w:t xml:space="preserve">, conforme a lo establecido en la sección </w:t>
      </w:r>
      <w:r w:rsidRPr="00C918B6">
        <w:rPr>
          <w:lang w:val="es-AR"/>
        </w:rPr>
        <w:t>“</w:t>
      </w:r>
      <w:r w:rsidRPr="00C918B6">
        <w:rPr>
          <w:i/>
          <w:lang w:val="es-AR"/>
        </w:rPr>
        <w:t>O</w:t>
      </w:r>
      <w:r>
        <w:rPr>
          <w:i/>
          <w:lang w:val="es-AR"/>
        </w:rPr>
        <w:t>FERTA DE LOS VALORES NEGOCIABLES</w:t>
      </w:r>
      <w:r w:rsidRPr="00C918B6">
        <w:rPr>
          <w:i/>
          <w:lang w:val="es-AR"/>
        </w:rPr>
        <w:t xml:space="preserve"> – a) Resumen de los términos y condiciones de l</w:t>
      </w:r>
      <w:r>
        <w:rPr>
          <w:i/>
          <w:lang w:val="es-AR"/>
        </w:rPr>
        <w:t>os valores</w:t>
      </w:r>
      <w:r w:rsidRPr="00C918B6">
        <w:rPr>
          <w:i/>
          <w:lang w:val="es-AR"/>
        </w:rPr>
        <w:t xml:space="preserve"> negociables</w:t>
      </w:r>
      <w:r>
        <w:rPr>
          <w:i/>
          <w:lang w:val="es-AR"/>
        </w:rPr>
        <w:t>”.</w:t>
      </w:r>
    </w:p>
    <w:p w14:paraId="18CDB385" w14:textId="5137B246" w:rsidR="00B47BE6" w:rsidRDefault="00B47BE6" w:rsidP="00B47BE6">
      <w:pPr>
        <w:pStyle w:val="BHTexto"/>
        <w:widowControl w:val="0"/>
        <w:rPr>
          <w:lang w:val="es-AR"/>
        </w:rPr>
      </w:pPr>
      <w:bookmarkStart w:id="2" w:name="_Hlk55908153"/>
      <w:r w:rsidRPr="00C918B6">
        <w:rPr>
          <w:lang w:val="es-AR"/>
        </w:rPr>
        <w:t xml:space="preserve">Se reemplaza el texto </w:t>
      </w:r>
      <w:r>
        <w:rPr>
          <w:lang w:val="es-AR"/>
        </w:rPr>
        <w:t xml:space="preserve">el primer párrafo </w:t>
      </w:r>
      <w:r w:rsidRPr="00C918B6">
        <w:rPr>
          <w:lang w:val="es-AR"/>
        </w:rPr>
        <w:t xml:space="preserve">del siguiente apartado de la página </w:t>
      </w:r>
      <w:r w:rsidR="00FD1B9F">
        <w:rPr>
          <w:lang w:val="es-AR"/>
        </w:rPr>
        <w:t>27</w:t>
      </w:r>
      <w:r w:rsidR="00FD1B9F" w:rsidRPr="00C918B6">
        <w:rPr>
          <w:lang w:val="es-AR"/>
        </w:rPr>
        <w:t xml:space="preserve"> </w:t>
      </w:r>
      <w:r w:rsidRPr="00C918B6">
        <w:rPr>
          <w:lang w:val="es-AR"/>
        </w:rPr>
        <w:t xml:space="preserve">de la sección </w:t>
      </w:r>
      <w:r w:rsidR="00FD1B9F">
        <w:rPr>
          <w:lang w:val="es-AR"/>
        </w:rPr>
        <w:t>“</w:t>
      </w:r>
      <w:r w:rsidR="00FD1B9F" w:rsidRPr="00FD1B9F">
        <w:rPr>
          <w:i/>
          <w:lang w:val="es-AR"/>
        </w:rPr>
        <w:t>Forma de las Obligaciones Negociables</w:t>
      </w:r>
      <w:r w:rsidRPr="00C918B6">
        <w:rPr>
          <w:i/>
          <w:lang w:val="es-AR"/>
        </w:rPr>
        <w:t xml:space="preserve">– </w:t>
      </w:r>
      <w:r w:rsidR="00FD1B9F" w:rsidRPr="00FD1B9F">
        <w:rPr>
          <w:i/>
          <w:lang w:val="es-ES"/>
        </w:rPr>
        <w:t>Tasa de Interés; Pago de Capital e Intereses</w:t>
      </w:r>
      <w:r w:rsidRPr="00C918B6">
        <w:rPr>
          <w:lang w:val="es-AR"/>
        </w:rPr>
        <w:t>” del Suplemento de Prospecto, de la siguiente manera:</w:t>
      </w:r>
    </w:p>
    <w:p w14:paraId="3157DD2A" w14:textId="5F7AF0DC" w:rsidR="00FB1182" w:rsidRPr="00012168" w:rsidRDefault="00FD1B9F" w:rsidP="00FD1B9F">
      <w:pPr>
        <w:pStyle w:val="BHTexto"/>
        <w:widowControl w:val="0"/>
        <w:rPr>
          <w:lang w:val="es-ES"/>
        </w:rPr>
      </w:pPr>
      <w:bookmarkStart w:id="3" w:name="_Toc5220394"/>
      <w:bookmarkStart w:id="4" w:name="_Toc4781398"/>
      <w:bookmarkStart w:id="5" w:name="_Toc4781289"/>
      <w:bookmarkStart w:id="6" w:name="_Toc4781138"/>
      <w:bookmarkStart w:id="7" w:name="_Toc4781042"/>
      <w:bookmarkStart w:id="8" w:name="_Toc6942695"/>
      <w:r w:rsidRPr="00FD1B9F">
        <w:rPr>
          <w:lang w:val="es-ES"/>
        </w:rPr>
        <w:t>El capital de las Obligaciones Negociables Clase XIII será amortizado en 3 (tres) cuotas, comenzando el segundo aniversario de la Fecha de Emisión y Liquidación, conforme se indica a continuación:</w:t>
      </w:r>
      <w:r>
        <w:rPr>
          <w:lang w:val="es-ES"/>
        </w:rPr>
        <w:t xml:space="preserve"> </w:t>
      </w:r>
      <w:r w:rsidRPr="00FD1B9F">
        <w:rPr>
          <w:lang w:val="es-ES"/>
        </w:rPr>
        <w:t xml:space="preserve">25% de capital, a los 24 meses contados desde la Fecha de Emisión y Liquidación; 25% de capital, a los 30 meses contados desde la Fecha de Emisión </w:t>
      </w:r>
      <w:r w:rsidRPr="00FD1B9F">
        <w:rPr>
          <w:lang w:val="es-ES"/>
        </w:rPr>
        <w:lastRenderedPageBreak/>
        <w:t>y Liquidación; 50% de capital, en la Fecha de Vencimiento</w:t>
      </w:r>
      <w:r w:rsidR="00012168">
        <w:rPr>
          <w:lang w:val="es-ES"/>
        </w:rPr>
        <w:t xml:space="preserve">, , conforme a lo establecido en la sección </w:t>
      </w:r>
      <w:r w:rsidR="00012168" w:rsidRPr="00C918B6">
        <w:rPr>
          <w:lang w:val="es-AR"/>
        </w:rPr>
        <w:t>“</w:t>
      </w:r>
      <w:r w:rsidR="00012168" w:rsidRPr="00C918B6">
        <w:rPr>
          <w:i/>
          <w:lang w:val="es-AR"/>
        </w:rPr>
        <w:t>O</w:t>
      </w:r>
      <w:r w:rsidR="00012168">
        <w:rPr>
          <w:i/>
          <w:lang w:val="es-AR"/>
        </w:rPr>
        <w:t>FERTA DE LOS VALORES NEGOCIABLES</w:t>
      </w:r>
      <w:r w:rsidR="00012168" w:rsidRPr="00C918B6">
        <w:rPr>
          <w:i/>
          <w:lang w:val="es-AR"/>
        </w:rPr>
        <w:t xml:space="preserve"> – a) Resumen de los términos y condiciones de l</w:t>
      </w:r>
      <w:r w:rsidR="00012168">
        <w:rPr>
          <w:i/>
          <w:lang w:val="es-AR"/>
        </w:rPr>
        <w:t>os valores</w:t>
      </w:r>
      <w:r w:rsidR="00012168" w:rsidRPr="00C918B6">
        <w:rPr>
          <w:i/>
          <w:lang w:val="es-AR"/>
        </w:rPr>
        <w:t xml:space="preserve"> negociables</w:t>
      </w:r>
      <w:r w:rsidR="00012168">
        <w:rPr>
          <w:i/>
          <w:lang w:val="es-AR"/>
        </w:rPr>
        <w:t>”.</w:t>
      </w:r>
      <w:bookmarkEnd w:id="2"/>
      <w:bookmarkEnd w:id="3"/>
      <w:bookmarkEnd w:id="4"/>
      <w:bookmarkEnd w:id="5"/>
      <w:bookmarkEnd w:id="6"/>
      <w:bookmarkEnd w:id="7"/>
      <w:bookmarkEnd w:id="8"/>
    </w:p>
    <w:p w14:paraId="7D66BC54" w14:textId="088E3894" w:rsidR="00210DEE" w:rsidRPr="00210DEE" w:rsidRDefault="00210DEE" w:rsidP="00210DEE">
      <w:pPr>
        <w:spacing w:before="120" w:after="120" w:line="240" w:lineRule="auto"/>
        <w:jc w:val="both"/>
        <w:rPr>
          <w:rFonts w:ascii="Times New Roman" w:eastAsia="Calibri" w:hAnsi="Times New Roman" w:cs="Times New Roman"/>
          <w:b/>
          <w:sz w:val="20"/>
          <w:szCs w:val="20"/>
        </w:rPr>
      </w:pPr>
      <w:r w:rsidRPr="00210DEE">
        <w:rPr>
          <w:rFonts w:ascii="Times New Roman" w:eastAsia="Calibri" w:hAnsi="Times New Roman" w:cs="Times New Roman"/>
          <w:b/>
          <w:sz w:val="20"/>
          <w:szCs w:val="20"/>
        </w:rPr>
        <w:t>LA INFORMACIÓN CONTENIDA EN EL SUPLEMENTO DE PROSPECTO Y EN EL PROSPECTO NO HA SIDO OBJETO DE REVISIÓN POR PARTE DEL MERCADO ABIERTO ELECTRÓNICO S.A., SIENDO LA MISMA EXCLUSIVA RESPONSABILIDAD DE LOS MIEMBROS DEL ÓRGANO DE ADMINISTRACIÓN Y FISCALIZACIÓN, EN LO QUE RESULTA DE SU COMPETENCIA, Y DE LOS AGENTES QUE PARTICIPEN COMO ORGANIZADORES Y COLOCADORES EN LA OFERTA PÚBLICA CONFORME CON LO PREVISTO POR LOS ARTÍCULOS 119 Y 120 DE LA LEY 26.831.</w:t>
      </w:r>
    </w:p>
    <w:p w14:paraId="118A14D7" w14:textId="5395ED47" w:rsidR="00E056D0" w:rsidRPr="005A0678" w:rsidRDefault="00FD1B9F" w:rsidP="007A03B2">
      <w:pPr>
        <w:tabs>
          <w:tab w:val="left" w:pos="6340"/>
        </w:tabs>
        <w:ind w:right="-2"/>
        <w:jc w:val="both"/>
        <w:rPr>
          <w:rFonts w:ascii="Times New Roman" w:hAnsi="Times New Roman" w:cs="Times New Roman"/>
          <w:sz w:val="20"/>
          <w:szCs w:val="20"/>
        </w:rPr>
      </w:pPr>
      <w:r w:rsidRPr="00FD1B9F">
        <w:rPr>
          <w:rFonts w:ascii="Times New Roman" w:eastAsia="Calibri" w:hAnsi="Times New Roman" w:cs="Times New Roman"/>
          <w:sz w:val="20"/>
          <w:szCs w:val="20"/>
        </w:rPr>
        <w:t xml:space="preserve">Los restantes términos y condiciones de las Obligaciones Negociables se detallan en el Prospecto publicado con fecha 22 de octubre de 2020 en la página web de la CNV https://www.argentina.gob.ar/cnv; bajo el ítem “Empresas” mediante el acceso “Emisiones—Obligaciones Negociables—Prospectos—Programas Globales” bajo el ID 2673266 y en el Suplemento de Prospecto publicado con fecha 17 de agosto de 2021 en la página web de la CNV https://www.argentina.gob.ar/cnv; bajo el ítem “Empresas” mediante el acceso “Emisiones—Obligaciones Negociables— Suplementos”. La creación del Programa y la oferta pública de las Obligaciones Negociables ha sido autorizada por Resolución Nº 20.153 de fecha 20 de marzo de 2019 de la CNV. Dicha autorización significa solamente que se ha dado cumplimiento a los requisitos de información de la CNV. La CNV no se ha expedido respecto de la información contenida en el Prospecto y/o en el Suplemento de Prospecto. La información incluida en el presente es información parcial que deberá ser completada con la información contenida en el Prospecto y en el Suplemento de Prospecto. El Prospecto y el Suplemento de Prospecto, como así también todos los demás documentos relevantes para la emisión de las Obligaciones Negociables, se encuentran a disposición del público inversor en las oficinas de los Colocadores y en las oficinas de la Compañía sitas en Carlos </w:t>
      </w:r>
      <w:proofErr w:type="spellStart"/>
      <w:r w:rsidRPr="00FD1B9F">
        <w:rPr>
          <w:rFonts w:ascii="Times New Roman" w:eastAsia="Calibri" w:hAnsi="Times New Roman" w:cs="Times New Roman"/>
          <w:sz w:val="20"/>
          <w:szCs w:val="20"/>
        </w:rPr>
        <w:t>Della</w:t>
      </w:r>
      <w:proofErr w:type="spellEnd"/>
      <w:r w:rsidRPr="00FD1B9F">
        <w:rPr>
          <w:rFonts w:ascii="Times New Roman" w:eastAsia="Calibri" w:hAnsi="Times New Roman" w:cs="Times New Roman"/>
          <w:sz w:val="20"/>
          <w:szCs w:val="20"/>
        </w:rPr>
        <w:t xml:space="preserve"> </w:t>
      </w:r>
      <w:proofErr w:type="spellStart"/>
      <w:r w:rsidRPr="00FD1B9F">
        <w:rPr>
          <w:rFonts w:ascii="Times New Roman" w:eastAsia="Calibri" w:hAnsi="Times New Roman" w:cs="Times New Roman"/>
          <w:sz w:val="20"/>
          <w:szCs w:val="20"/>
        </w:rPr>
        <w:t>Paolera</w:t>
      </w:r>
      <w:proofErr w:type="spellEnd"/>
      <w:r w:rsidRPr="00FD1B9F">
        <w:rPr>
          <w:rFonts w:ascii="Times New Roman" w:eastAsia="Calibri" w:hAnsi="Times New Roman" w:cs="Times New Roman"/>
          <w:sz w:val="20"/>
          <w:szCs w:val="20"/>
        </w:rPr>
        <w:t xml:space="preserve"> 261, 9° piso (C1001ADA), Ciudad Autónoma de Buenos Aires, Argentina, al igual que en la Página Web del MAE. Los interesados, deben considerar cuidadosamente la información contenida en dichos documentos antes de tomar una decisión de invertir en las Obligaciones Negociables Clase XIII</w:t>
      </w:r>
    </w:p>
    <w:p w14:paraId="794E2FE1" w14:textId="2B12D25E" w:rsidR="00E056D0" w:rsidRPr="005A0678" w:rsidRDefault="00E056D0" w:rsidP="005A0678">
      <w:pPr>
        <w:spacing w:before="120" w:after="120" w:line="8" w:lineRule="atLeast"/>
        <w:ind w:right="-1"/>
        <w:jc w:val="center"/>
        <w:rPr>
          <w:rFonts w:ascii="Times New Roman" w:hAnsi="Times New Roman" w:cs="Times New Roman"/>
          <w:sz w:val="20"/>
          <w:szCs w:val="20"/>
        </w:rPr>
      </w:pPr>
      <w:r w:rsidRPr="005A0678">
        <w:rPr>
          <w:rFonts w:ascii="Times New Roman" w:hAnsi="Times New Roman" w:cs="Times New Roman"/>
          <w:sz w:val="20"/>
          <w:szCs w:val="20"/>
        </w:rPr>
        <w:t>La fecha de</w:t>
      </w:r>
      <w:r w:rsidR="00210DEE">
        <w:rPr>
          <w:rFonts w:ascii="Times New Roman" w:hAnsi="Times New Roman" w:cs="Times New Roman"/>
          <w:sz w:val="20"/>
          <w:szCs w:val="20"/>
        </w:rPr>
        <w:t xml:space="preserve"> </w:t>
      </w:r>
      <w:r w:rsidRPr="005A0678">
        <w:rPr>
          <w:rFonts w:ascii="Times New Roman" w:hAnsi="Times New Roman" w:cs="Times New Roman"/>
          <w:sz w:val="20"/>
          <w:szCs w:val="20"/>
        </w:rPr>
        <w:t>l</w:t>
      </w:r>
      <w:r w:rsidR="00210DEE">
        <w:rPr>
          <w:rFonts w:ascii="Times New Roman" w:hAnsi="Times New Roman" w:cs="Times New Roman"/>
          <w:sz w:val="20"/>
          <w:szCs w:val="20"/>
        </w:rPr>
        <w:t>a</w:t>
      </w:r>
      <w:r w:rsidRPr="005A0678">
        <w:rPr>
          <w:rFonts w:ascii="Times New Roman" w:hAnsi="Times New Roman" w:cs="Times New Roman"/>
          <w:sz w:val="20"/>
          <w:szCs w:val="20"/>
        </w:rPr>
        <w:t xml:space="preserve"> presente </w:t>
      </w:r>
      <w:r w:rsidR="007A45A1" w:rsidRPr="005A0678">
        <w:rPr>
          <w:rFonts w:ascii="Times New Roman" w:hAnsi="Times New Roman" w:cs="Times New Roman"/>
          <w:sz w:val="20"/>
          <w:szCs w:val="20"/>
        </w:rPr>
        <w:t>A</w:t>
      </w:r>
      <w:r w:rsidR="00210DEE">
        <w:rPr>
          <w:rFonts w:ascii="Times New Roman" w:hAnsi="Times New Roman" w:cs="Times New Roman"/>
          <w:sz w:val="20"/>
          <w:szCs w:val="20"/>
        </w:rPr>
        <w:t xml:space="preserve">denda </w:t>
      </w:r>
      <w:r w:rsidRPr="005A0678">
        <w:rPr>
          <w:rFonts w:ascii="Times New Roman" w:hAnsi="Times New Roman" w:cs="Times New Roman"/>
          <w:sz w:val="20"/>
          <w:szCs w:val="20"/>
        </w:rPr>
        <w:t xml:space="preserve">es </w:t>
      </w:r>
      <w:r w:rsidR="00210DEE">
        <w:rPr>
          <w:rFonts w:ascii="Times New Roman" w:hAnsi="Times New Roman" w:cs="Times New Roman"/>
          <w:sz w:val="20"/>
          <w:szCs w:val="20"/>
        </w:rPr>
        <w:t>1</w:t>
      </w:r>
      <w:r w:rsidR="00FD1B9F">
        <w:rPr>
          <w:rFonts w:ascii="Times New Roman" w:hAnsi="Times New Roman" w:cs="Times New Roman"/>
          <w:sz w:val="20"/>
          <w:szCs w:val="20"/>
        </w:rPr>
        <w:t>8</w:t>
      </w:r>
      <w:r w:rsidR="00F457DC" w:rsidRPr="005A0678">
        <w:rPr>
          <w:rFonts w:ascii="Times New Roman" w:hAnsi="Times New Roman" w:cs="Times New Roman"/>
          <w:sz w:val="20"/>
          <w:szCs w:val="20"/>
        </w:rPr>
        <w:t xml:space="preserve"> </w:t>
      </w:r>
      <w:r w:rsidRPr="005A0678">
        <w:rPr>
          <w:rFonts w:ascii="Times New Roman" w:hAnsi="Times New Roman" w:cs="Times New Roman"/>
          <w:sz w:val="20"/>
          <w:szCs w:val="20"/>
        </w:rPr>
        <w:t xml:space="preserve">de </w:t>
      </w:r>
      <w:r w:rsidR="00FD1B9F">
        <w:rPr>
          <w:rFonts w:ascii="Times New Roman" w:hAnsi="Times New Roman" w:cs="Times New Roman"/>
          <w:sz w:val="20"/>
          <w:szCs w:val="20"/>
        </w:rPr>
        <w:t>agosto</w:t>
      </w:r>
      <w:r w:rsidR="003138E8" w:rsidRPr="005A0678">
        <w:rPr>
          <w:rFonts w:ascii="Times New Roman" w:hAnsi="Times New Roman" w:cs="Times New Roman"/>
          <w:sz w:val="20"/>
          <w:szCs w:val="20"/>
        </w:rPr>
        <w:t xml:space="preserve"> de 202</w:t>
      </w:r>
      <w:r w:rsidR="00FD1B9F">
        <w:rPr>
          <w:rFonts w:ascii="Times New Roman" w:hAnsi="Times New Roman" w:cs="Times New Roman"/>
          <w:sz w:val="20"/>
          <w:szCs w:val="20"/>
        </w:rPr>
        <w:t>1</w:t>
      </w:r>
      <w:r w:rsidRPr="005A0678">
        <w:rPr>
          <w:rFonts w:ascii="Times New Roman" w:hAnsi="Times New Roman" w:cs="Times New Roman"/>
          <w:sz w:val="20"/>
          <w:szCs w:val="20"/>
        </w:rPr>
        <w:t>.</w:t>
      </w:r>
    </w:p>
    <w:p w14:paraId="6F9D9192" w14:textId="77777777" w:rsidR="00E056D0" w:rsidRPr="005A0678" w:rsidRDefault="00E056D0" w:rsidP="00E056D0">
      <w:pPr>
        <w:ind w:right="-2"/>
        <w:rPr>
          <w:rFonts w:ascii="Times New Roman" w:hAnsi="Times New Roman" w:cs="Times New Roman"/>
          <w:b/>
          <w:color w:val="000000"/>
          <w:sz w:val="20"/>
          <w:szCs w:val="20"/>
        </w:rPr>
      </w:pPr>
    </w:p>
    <w:p w14:paraId="0AE69211" w14:textId="77777777" w:rsidR="00E056D0" w:rsidRPr="005A0678" w:rsidRDefault="00E056D0" w:rsidP="00E056D0">
      <w:pPr>
        <w:ind w:right="-2"/>
        <w:jc w:val="center"/>
        <w:rPr>
          <w:rFonts w:ascii="Times New Roman" w:hAnsi="Times New Roman" w:cs="Times New Roman"/>
          <w:b/>
          <w:color w:val="000000"/>
          <w:sz w:val="20"/>
          <w:szCs w:val="20"/>
        </w:rPr>
      </w:pPr>
      <w:r w:rsidRPr="005A0678">
        <w:rPr>
          <w:rFonts w:ascii="Times New Roman" w:hAnsi="Times New Roman" w:cs="Times New Roman"/>
          <w:b/>
          <w:color w:val="000000"/>
          <w:sz w:val="20"/>
          <w:szCs w:val="20"/>
        </w:rPr>
        <w:t>________________________________________</w:t>
      </w:r>
    </w:p>
    <w:p w14:paraId="4A7E4BC0" w14:textId="75431ABC" w:rsidR="00E056D0" w:rsidRPr="005A0678" w:rsidRDefault="00CB4705" w:rsidP="00E056D0">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Matías Gaivironsky</w:t>
      </w:r>
    </w:p>
    <w:p w14:paraId="6A2CD9B7" w14:textId="5F7425BA" w:rsidR="00CF1D83" w:rsidRPr="005A0678" w:rsidRDefault="00304B8B" w:rsidP="00E056D0">
      <w:pPr>
        <w:ind w:right="-2"/>
        <w:jc w:val="center"/>
        <w:rPr>
          <w:rFonts w:ascii="Times New Roman" w:hAnsi="Times New Roman" w:cs="Times New Roman"/>
          <w:color w:val="000000"/>
          <w:sz w:val="20"/>
          <w:szCs w:val="20"/>
        </w:rPr>
      </w:pPr>
      <w:r w:rsidRPr="005A0678">
        <w:rPr>
          <w:rFonts w:ascii="Times New Roman" w:hAnsi="Times New Roman" w:cs="Times New Roman"/>
          <w:color w:val="000000"/>
          <w:sz w:val="20"/>
          <w:szCs w:val="20"/>
        </w:rPr>
        <w:t>Subdelegado</w:t>
      </w:r>
    </w:p>
    <w:sectPr w:rsidR="00CF1D83" w:rsidRPr="005A0678" w:rsidSect="009F445B">
      <w:headerReference w:type="default" r:id="rId15"/>
      <w:type w:val="continuous"/>
      <w:pgSz w:w="11906" w:h="16838" w:code="9"/>
      <w:pgMar w:top="1417" w:right="1133" w:bottom="709" w:left="1134" w:header="720" w:footer="447"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2FAB1" w14:textId="77777777" w:rsidR="004C7589" w:rsidRDefault="004C7589">
      <w:pPr>
        <w:spacing w:after="0" w:line="240" w:lineRule="auto"/>
      </w:pPr>
      <w:r>
        <w:separator/>
      </w:r>
    </w:p>
  </w:endnote>
  <w:endnote w:type="continuationSeparator" w:id="0">
    <w:p w14:paraId="62C249FD" w14:textId="77777777" w:rsidR="004C7589" w:rsidRDefault="004C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92F33" w14:textId="77777777" w:rsidR="004C7589" w:rsidRDefault="004C7589">
      <w:pPr>
        <w:spacing w:after="0" w:line="240" w:lineRule="auto"/>
      </w:pPr>
      <w:r>
        <w:separator/>
      </w:r>
    </w:p>
  </w:footnote>
  <w:footnote w:type="continuationSeparator" w:id="0">
    <w:p w14:paraId="31B0FF9D" w14:textId="77777777" w:rsidR="004C7589" w:rsidRDefault="004C7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B63E0" w14:textId="772DE510" w:rsidR="00E878B5" w:rsidRPr="00585E59" w:rsidRDefault="00E878B5" w:rsidP="00585E59">
    <w:pPr>
      <w:pStyle w:val="Encabezado"/>
      <w:jc w:val="right"/>
      <w:rPr>
        <w:i/>
      </w:rPr>
    </w:pPr>
    <w:r>
      <w:tab/>
    </w:r>
    <w:r>
      <w:tab/>
    </w:r>
  </w:p>
  <w:p w14:paraId="71764E08" w14:textId="77777777" w:rsidR="00E878B5" w:rsidRDefault="00E878B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B6FDC"/>
    <w:multiLevelType w:val="hybridMultilevel"/>
    <w:tmpl w:val="C31820EC"/>
    <w:lvl w:ilvl="0" w:tplc="4046160A">
      <w:start w:val="1"/>
      <w:numFmt w:val="decimal"/>
      <w:lvlText w:val="%1."/>
      <w:lvlJc w:val="left"/>
      <w:pPr>
        <w:ind w:left="720" w:hanging="360"/>
      </w:pPr>
      <w:rPr>
        <w:rFonts w:hint="default"/>
        <w:b w:val="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8317D4D"/>
    <w:multiLevelType w:val="hybridMultilevel"/>
    <w:tmpl w:val="8F3A1AEE"/>
    <w:lvl w:ilvl="0" w:tplc="65F4C242">
      <w:start w:val="6"/>
      <w:numFmt w:val="decimal"/>
      <w:lvlText w:val="%1."/>
      <w:lvlJc w:val="left"/>
      <w:pPr>
        <w:ind w:left="88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239C3EC0"/>
    <w:multiLevelType w:val="hybridMultilevel"/>
    <w:tmpl w:val="47E6A9EC"/>
    <w:lvl w:ilvl="0" w:tplc="BF92DC2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29F378A9"/>
    <w:multiLevelType w:val="multilevel"/>
    <w:tmpl w:val="A7D88230"/>
    <w:lvl w:ilvl="0">
      <w:start w:val="3"/>
      <w:numFmt w:val="decimal"/>
      <w:lvlText w:val="%1."/>
      <w:lvlJc w:val="left"/>
      <w:pPr>
        <w:tabs>
          <w:tab w:val="num" w:pos="502"/>
        </w:tabs>
        <w:ind w:left="502" w:hanging="360"/>
      </w:pPr>
      <w:rPr>
        <w:rFonts w:ascii="Times New Roman" w:hAnsi="Times New Roman" w:cs="Times New Roman" w:hint="default"/>
        <w:b/>
        <w:sz w:val="20"/>
        <w:szCs w:val="20"/>
      </w:rPr>
    </w:lvl>
    <w:lvl w:ilvl="1">
      <w:start w:val="1"/>
      <w:numFmt w:val="lowerLetter"/>
      <w:lvlText w:val="%2."/>
      <w:lvlJc w:val="left"/>
      <w:pPr>
        <w:tabs>
          <w:tab w:val="num" w:pos="540"/>
        </w:tabs>
        <w:ind w:left="540" w:hanging="360"/>
      </w:pPr>
      <w:rPr>
        <w:rFonts w:ascii="Times New Roman" w:hAnsi="Times New Roman" w:cs="Times New Roman" w:hint="default"/>
        <w:sz w:val="20"/>
        <w:szCs w:val="20"/>
      </w:rPr>
    </w:lvl>
    <w:lvl w:ilvl="2">
      <w:start w:val="1"/>
      <w:numFmt w:val="lowerRoman"/>
      <w:lvlText w:val="%3."/>
      <w:lvlJc w:val="right"/>
      <w:pPr>
        <w:tabs>
          <w:tab w:val="num" w:pos="2220"/>
        </w:tabs>
        <w:ind w:left="2220" w:hanging="180"/>
      </w:pPr>
      <w:rPr>
        <w:rFonts w:ascii="Times New Roman" w:hAnsi="Times New Roman" w:cs="Times New Roman" w:hint="default"/>
        <w:sz w:val="20"/>
        <w:szCs w:val="20"/>
      </w:rPr>
    </w:lvl>
    <w:lvl w:ilvl="3">
      <w:start w:val="1"/>
      <w:numFmt w:val="decimal"/>
      <w:lvlText w:val="%4."/>
      <w:lvlJc w:val="left"/>
      <w:pPr>
        <w:tabs>
          <w:tab w:val="num" w:pos="2940"/>
        </w:tabs>
        <w:ind w:left="2940" w:hanging="360"/>
      </w:pPr>
      <w:rPr>
        <w:rFonts w:ascii="Times New Roman" w:hAnsi="Times New Roman" w:cs="Times New Roman" w:hint="default"/>
        <w:sz w:val="20"/>
        <w:szCs w:val="20"/>
      </w:rPr>
    </w:lvl>
    <w:lvl w:ilvl="4">
      <w:start w:val="1"/>
      <w:numFmt w:val="lowerLetter"/>
      <w:lvlText w:val="%5."/>
      <w:lvlJc w:val="left"/>
      <w:pPr>
        <w:tabs>
          <w:tab w:val="num" w:pos="3660"/>
        </w:tabs>
        <w:ind w:left="3660" w:hanging="360"/>
      </w:pPr>
      <w:rPr>
        <w:rFonts w:ascii="Times New Roman" w:hAnsi="Times New Roman" w:cs="Times New Roman" w:hint="default"/>
        <w:sz w:val="20"/>
        <w:szCs w:val="20"/>
      </w:rPr>
    </w:lvl>
    <w:lvl w:ilvl="5">
      <w:start w:val="1"/>
      <w:numFmt w:val="lowerRoman"/>
      <w:lvlText w:val="%6."/>
      <w:lvlJc w:val="right"/>
      <w:pPr>
        <w:tabs>
          <w:tab w:val="num" w:pos="4380"/>
        </w:tabs>
        <w:ind w:left="4380" w:hanging="180"/>
      </w:pPr>
      <w:rPr>
        <w:rFonts w:ascii="Times New Roman" w:hAnsi="Times New Roman" w:cs="Times New Roman" w:hint="default"/>
        <w:sz w:val="20"/>
        <w:szCs w:val="20"/>
      </w:rPr>
    </w:lvl>
    <w:lvl w:ilvl="6">
      <w:start w:val="1"/>
      <w:numFmt w:val="decimal"/>
      <w:lvlText w:val="%7."/>
      <w:lvlJc w:val="left"/>
      <w:pPr>
        <w:tabs>
          <w:tab w:val="num" w:pos="5100"/>
        </w:tabs>
        <w:ind w:left="5100" w:hanging="360"/>
      </w:pPr>
      <w:rPr>
        <w:rFonts w:ascii="Times New Roman" w:hAnsi="Times New Roman" w:cs="Times New Roman" w:hint="default"/>
        <w:sz w:val="20"/>
        <w:szCs w:val="20"/>
      </w:rPr>
    </w:lvl>
    <w:lvl w:ilvl="7">
      <w:start w:val="1"/>
      <w:numFmt w:val="lowerLetter"/>
      <w:lvlText w:val="%8."/>
      <w:lvlJc w:val="left"/>
      <w:pPr>
        <w:tabs>
          <w:tab w:val="num" w:pos="5820"/>
        </w:tabs>
        <w:ind w:left="5820" w:hanging="360"/>
      </w:pPr>
      <w:rPr>
        <w:rFonts w:ascii="Times New Roman" w:hAnsi="Times New Roman" w:cs="Times New Roman" w:hint="default"/>
        <w:sz w:val="20"/>
        <w:szCs w:val="20"/>
      </w:rPr>
    </w:lvl>
    <w:lvl w:ilvl="8">
      <w:start w:val="1"/>
      <w:numFmt w:val="lowerRoman"/>
      <w:lvlText w:val="%9."/>
      <w:lvlJc w:val="right"/>
      <w:pPr>
        <w:tabs>
          <w:tab w:val="num" w:pos="6540"/>
        </w:tabs>
        <w:ind w:left="6540" w:hanging="180"/>
      </w:pPr>
      <w:rPr>
        <w:rFonts w:ascii="Times New Roman" w:hAnsi="Times New Roman" w:cs="Times New Roman" w:hint="default"/>
        <w:sz w:val="20"/>
        <w:szCs w:val="20"/>
      </w:rPr>
    </w:lvl>
  </w:abstractNum>
  <w:abstractNum w:abstractNumId="4">
    <w:nsid w:val="2C7417B9"/>
    <w:multiLevelType w:val="hybridMultilevel"/>
    <w:tmpl w:val="47E6A9EC"/>
    <w:lvl w:ilvl="0" w:tplc="BF92DC26">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6662EE7"/>
    <w:multiLevelType w:val="hybridMultilevel"/>
    <w:tmpl w:val="92822CC6"/>
    <w:lvl w:ilvl="0" w:tplc="01BE2B5A">
      <w:start w:val="1"/>
      <w:numFmt w:val="lowerLetter"/>
      <w:lvlText w:val="(%1)"/>
      <w:lvlJc w:val="left"/>
      <w:pPr>
        <w:ind w:left="2055" w:hanging="169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382824DC"/>
    <w:multiLevelType w:val="hybridMultilevel"/>
    <w:tmpl w:val="A0880D02"/>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418A0426"/>
    <w:multiLevelType w:val="hybridMultilevel"/>
    <w:tmpl w:val="2E2CBC66"/>
    <w:lvl w:ilvl="0" w:tplc="ABEE52C8">
      <w:start w:val="11"/>
      <w:numFmt w:val="decimal"/>
      <w:lvlText w:val="%1."/>
      <w:lvlJc w:val="left"/>
      <w:pPr>
        <w:ind w:left="880" w:hanging="360"/>
      </w:pPr>
      <w:rPr>
        <w:rFonts w:hint="default"/>
        <w:b/>
        <w:lang w:val="es-ES"/>
      </w:rPr>
    </w:lvl>
    <w:lvl w:ilvl="1" w:tplc="2C0A0019" w:tentative="1">
      <w:start w:val="1"/>
      <w:numFmt w:val="lowerLetter"/>
      <w:lvlText w:val="%2."/>
      <w:lvlJc w:val="left"/>
      <w:pPr>
        <w:ind w:left="1600" w:hanging="360"/>
      </w:pPr>
    </w:lvl>
    <w:lvl w:ilvl="2" w:tplc="2C0A001B" w:tentative="1">
      <w:start w:val="1"/>
      <w:numFmt w:val="lowerRoman"/>
      <w:lvlText w:val="%3."/>
      <w:lvlJc w:val="right"/>
      <w:pPr>
        <w:ind w:left="2320" w:hanging="180"/>
      </w:pPr>
    </w:lvl>
    <w:lvl w:ilvl="3" w:tplc="2C0A000F" w:tentative="1">
      <w:start w:val="1"/>
      <w:numFmt w:val="decimal"/>
      <w:lvlText w:val="%4."/>
      <w:lvlJc w:val="left"/>
      <w:pPr>
        <w:ind w:left="3040" w:hanging="360"/>
      </w:pPr>
    </w:lvl>
    <w:lvl w:ilvl="4" w:tplc="2C0A0019" w:tentative="1">
      <w:start w:val="1"/>
      <w:numFmt w:val="lowerLetter"/>
      <w:lvlText w:val="%5."/>
      <w:lvlJc w:val="left"/>
      <w:pPr>
        <w:ind w:left="3760" w:hanging="360"/>
      </w:pPr>
    </w:lvl>
    <w:lvl w:ilvl="5" w:tplc="2C0A001B" w:tentative="1">
      <w:start w:val="1"/>
      <w:numFmt w:val="lowerRoman"/>
      <w:lvlText w:val="%6."/>
      <w:lvlJc w:val="right"/>
      <w:pPr>
        <w:ind w:left="4480" w:hanging="180"/>
      </w:pPr>
    </w:lvl>
    <w:lvl w:ilvl="6" w:tplc="2C0A000F" w:tentative="1">
      <w:start w:val="1"/>
      <w:numFmt w:val="decimal"/>
      <w:lvlText w:val="%7."/>
      <w:lvlJc w:val="left"/>
      <w:pPr>
        <w:ind w:left="5200" w:hanging="360"/>
      </w:pPr>
    </w:lvl>
    <w:lvl w:ilvl="7" w:tplc="2C0A0019" w:tentative="1">
      <w:start w:val="1"/>
      <w:numFmt w:val="lowerLetter"/>
      <w:lvlText w:val="%8."/>
      <w:lvlJc w:val="left"/>
      <w:pPr>
        <w:ind w:left="5920" w:hanging="360"/>
      </w:pPr>
    </w:lvl>
    <w:lvl w:ilvl="8" w:tplc="2C0A001B" w:tentative="1">
      <w:start w:val="1"/>
      <w:numFmt w:val="lowerRoman"/>
      <w:lvlText w:val="%9."/>
      <w:lvlJc w:val="right"/>
      <w:pPr>
        <w:ind w:left="6640" w:hanging="180"/>
      </w:pPr>
    </w:lvl>
  </w:abstractNum>
  <w:abstractNum w:abstractNumId="8">
    <w:nsid w:val="42CD6FA3"/>
    <w:multiLevelType w:val="hybridMultilevel"/>
    <w:tmpl w:val="2E2CBC66"/>
    <w:lvl w:ilvl="0" w:tplc="ABEE52C8">
      <w:start w:val="11"/>
      <w:numFmt w:val="decimal"/>
      <w:lvlText w:val="%1."/>
      <w:lvlJc w:val="left"/>
      <w:pPr>
        <w:ind w:left="880" w:hanging="360"/>
      </w:pPr>
      <w:rPr>
        <w:rFonts w:hint="default"/>
        <w:b/>
        <w:lang w:val="es-ES"/>
      </w:rPr>
    </w:lvl>
    <w:lvl w:ilvl="1" w:tplc="2C0A0019" w:tentative="1">
      <w:start w:val="1"/>
      <w:numFmt w:val="lowerLetter"/>
      <w:lvlText w:val="%2."/>
      <w:lvlJc w:val="left"/>
      <w:pPr>
        <w:ind w:left="1600" w:hanging="360"/>
      </w:pPr>
    </w:lvl>
    <w:lvl w:ilvl="2" w:tplc="2C0A001B" w:tentative="1">
      <w:start w:val="1"/>
      <w:numFmt w:val="lowerRoman"/>
      <w:lvlText w:val="%3."/>
      <w:lvlJc w:val="right"/>
      <w:pPr>
        <w:ind w:left="2320" w:hanging="180"/>
      </w:pPr>
    </w:lvl>
    <w:lvl w:ilvl="3" w:tplc="2C0A000F" w:tentative="1">
      <w:start w:val="1"/>
      <w:numFmt w:val="decimal"/>
      <w:lvlText w:val="%4."/>
      <w:lvlJc w:val="left"/>
      <w:pPr>
        <w:ind w:left="3040" w:hanging="360"/>
      </w:pPr>
    </w:lvl>
    <w:lvl w:ilvl="4" w:tplc="2C0A0019" w:tentative="1">
      <w:start w:val="1"/>
      <w:numFmt w:val="lowerLetter"/>
      <w:lvlText w:val="%5."/>
      <w:lvlJc w:val="left"/>
      <w:pPr>
        <w:ind w:left="3760" w:hanging="360"/>
      </w:pPr>
    </w:lvl>
    <w:lvl w:ilvl="5" w:tplc="2C0A001B" w:tentative="1">
      <w:start w:val="1"/>
      <w:numFmt w:val="lowerRoman"/>
      <w:lvlText w:val="%6."/>
      <w:lvlJc w:val="right"/>
      <w:pPr>
        <w:ind w:left="4480" w:hanging="180"/>
      </w:pPr>
    </w:lvl>
    <w:lvl w:ilvl="6" w:tplc="2C0A000F" w:tentative="1">
      <w:start w:val="1"/>
      <w:numFmt w:val="decimal"/>
      <w:lvlText w:val="%7."/>
      <w:lvlJc w:val="left"/>
      <w:pPr>
        <w:ind w:left="5200" w:hanging="360"/>
      </w:pPr>
    </w:lvl>
    <w:lvl w:ilvl="7" w:tplc="2C0A0019" w:tentative="1">
      <w:start w:val="1"/>
      <w:numFmt w:val="lowerLetter"/>
      <w:lvlText w:val="%8."/>
      <w:lvlJc w:val="left"/>
      <w:pPr>
        <w:ind w:left="5920" w:hanging="360"/>
      </w:pPr>
    </w:lvl>
    <w:lvl w:ilvl="8" w:tplc="2C0A001B" w:tentative="1">
      <w:start w:val="1"/>
      <w:numFmt w:val="lowerRoman"/>
      <w:lvlText w:val="%9."/>
      <w:lvlJc w:val="right"/>
      <w:pPr>
        <w:ind w:left="6640" w:hanging="180"/>
      </w:pPr>
    </w:lvl>
  </w:abstractNum>
  <w:abstractNum w:abstractNumId="9">
    <w:nsid w:val="44E30E16"/>
    <w:multiLevelType w:val="hybridMultilevel"/>
    <w:tmpl w:val="38B03416"/>
    <w:lvl w:ilvl="0" w:tplc="7BACDFE6">
      <w:start w:val="1"/>
      <w:numFmt w:val="lowerRoman"/>
      <w:lvlText w:val="(%1)"/>
      <w:lvlJc w:val="left"/>
      <w:pPr>
        <w:ind w:left="1287" w:hanging="72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0">
    <w:nsid w:val="606B3E5B"/>
    <w:multiLevelType w:val="hybridMultilevel"/>
    <w:tmpl w:val="A54CF912"/>
    <w:lvl w:ilvl="0" w:tplc="E50CB292">
      <w:start w:val="11"/>
      <w:numFmt w:val="decimal"/>
      <w:lvlText w:val="%1."/>
      <w:lvlJc w:val="left"/>
      <w:pPr>
        <w:ind w:left="880" w:hanging="360"/>
      </w:pPr>
      <w:rPr>
        <w:rFonts w:hint="default"/>
        <w:b/>
        <w:lang w:val="es-AR"/>
      </w:rPr>
    </w:lvl>
    <w:lvl w:ilvl="1" w:tplc="2C0A0019" w:tentative="1">
      <w:start w:val="1"/>
      <w:numFmt w:val="lowerLetter"/>
      <w:lvlText w:val="%2."/>
      <w:lvlJc w:val="left"/>
      <w:pPr>
        <w:ind w:left="1600" w:hanging="360"/>
      </w:pPr>
    </w:lvl>
    <w:lvl w:ilvl="2" w:tplc="2C0A001B" w:tentative="1">
      <w:start w:val="1"/>
      <w:numFmt w:val="lowerRoman"/>
      <w:lvlText w:val="%3."/>
      <w:lvlJc w:val="right"/>
      <w:pPr>
        <w:ind w:left="2320" w:hanging="180"/>
      </w:pPr>
    </w:lvl>
    <w:lvl w:ilvl="3" w:tplc="2C0A000F" w:tentative="1">
      <w:start w:val="1"/>
      <w:numFmt w:val="decimal"/>
      <w:lvlText w:val="%4."/>
      <w:lvlJc w:val="left"/>
      <w:pPr>
        <w:ind w:left="3040" w:hanging="360"/>
      </w:pPr>
    </w:lvl>
    <w:lvl w:ilvl="4" w:tplc="2C0A0019" w:tentative="1">
      <w:start w:val="1"/>
      <w:numFmt w:val="lowerLetter"/>
      <w:lvlText w:val="%5."/>
      <w:lvlJc w:val="left"/>
      <w:pPr>
        <w:ind w:left="3760" w:hanging="360"/>
      </w:pPr>
    </w:lvl>
    <w:lvl w:ilvl="5" w:tplc="2C0A001B" w:tentative="1">
      <w:start w:val="1"/>
      <w:numFmt w:val="lowerRoman"/>
      <w:lvlText w:val="%6."/>
      <w:lvlJc w:val="right"/>
      <w:pPr>
        <w:ind w:left="4480" w:hanging="180"/>
      </w:pPr>
    </w:lvl>
    <w:lvl w:ilvl="6" w:tplc="2C0A000F" w:tentative="1">
      <w:start w:val="1"/>
      <w:numFmt w:val="decimal"/>
      <w:lvlText w:val="%7."/>
      <w:lvlJc w:val="left"/>
      <w:pPr>
        <w:ind w:left="5200" w:hanging="360"/>
      </w:pPr>
    </w:lvl>
    <w:lvl w:ilvl="7" w:tplc="2C0A0019" w:tentative="1">
      <w:start w:val="1"/>
      <w:numFmt w:val="lowerLetter"/>
      <w:lvlText w:val="%8."/>
      <w:lvlJc w:val="left"/>
      <w:pPr>
        <w:ind w:left="5920" w:hanging="360"/>
      </w:pPr>
    </w:lvl>
    <w:lvl w:ilvl="8" w:tplc="2C0A001B" w:tentative="1">
      <w:start w:val="1"/>
      <w:numFmt w:val="lowerRoman"/>
      <w:lvlText w:val="%9."/>
      <w:lvlJc w:val="right"/>
      <w:pPr>
        <w:ind w:left="6640" w:hanging="180"/>
      </w:pPr>
    </w:lvl>
  </w:abstractNum>
  <w:abstractNum w:abstractNumId="11">
    <w:nsid w:val="777051A4"/>
    <w:multiLevelType w:val="hybridMultilevel"/>
    <w:tmpl w:val="6D2E1044"/>
    <w:lvl w:ilvl="0" w:tplc="61C0859A">
      <w:start w:val="1"/>
      <w:numFmt w:val="lowerRoman"/>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11"/>
  </w:num>
  <w:num w:numId="5">
    <w:abstractNumId w:val="2"/>
  </w:num>
  <w:num w:numId="6">
    <w:abstractNumId w:val="4"/>
  </w:num>
  <w:num w:numId="7">
    <w:abstractNumId w:val="3"/>
  </w:num>
  <w:num w:numId="8">
    <w:abstractNumId w:val="8"/>
  </w:num>
  <w:num w:numId="9">
    <w:abstractNumId w:val="10"/>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E53"/>
    <w:rsid w:val="00003045"/>
    <w:rsid w:val="000075DF"/>
    <w:rsid w:val="00012168"/>
    <w:rsid w:val="00012D4F"/>
    <w:rsid w:val="00014CF6"/>
    <w:rsid w:val="00036098"/>
    <w:rsid w:val="00045CC7"/>
    <w:rsid w:val="00050EE5"/>
    <w:rsid w:val="00067E98"/>
    <w:rsid w:val="00070C79"/>
    <w:rsid w:val="00073084"/>
    <w:rsid w:val="00080047"/>
    <w:rsid w:val="00086A27"/>
    <w:rsid w:val="00087A3D"/>
    <w:rsid w:val="000944DB"/>
    <w:rsid w:val="000A55ED"/>
    <w:rsid w:val="000A5B9C"/>
    <w:rsid w:val="000B1D01"/>
    <w:rsid w:val="000B2780"/>
    <w:rsid w:val="000C27D2"/>
    <w:rsid w:val="000C2C4F"/>
    <w:rsid w:val="000C63C1"/>
    <w:rsid w:val="000C74AB"/>
    <w:rsid w:val="000F03A3"/>
    <w:rsid w:val="000F4DCF"/>
    <w:rsid w:val="001031B4"/>
    <w:rsid w:val="00114A87"/>
    <w:rsid w:val="00116125"/>
    <w:rsid w:val="00123DD3"/>
    <w:rsid w:val="001266DC"/>
    <w:rsid w:val="00127ADA"/>
    <w:rsid w:val="001337AA"/>
    <w:rsid w:val="00145BB6"/>
    <w:rsid w:val="0016410E"/>
    <w:rsid w:val="00164E17"/>
    <w:rsid w:val="0017082A"/>
    <w:rsid w:val="00170F8E"/>
    <w:rsid w:val="00173F08"/>
    <w:rsid w:val="00177972"/>
    <w:rsid w:val="00183BA8"/>
    <w:rsid w:val="0019111A"/>
    <w:rsid w:val="00194CD8"/>
    <w:rsid w:val="001A05C3"/>
    <w:rsid w:val="001A2F05"/>
    <w:rsid w:val="001A2FDD"/>
    <w:rsid w:val="001A5B97"/>
    <w:rsid w:val="001A6367"/>
    <w:rsid w:val="001C5DA7"/>
    <w:rsid w:val="001C65DC"/>
    <w:rsid w:val="001C737B"/>
    <w:rsid w:val="001E797D"/>
    <w:rsid w:val="001F1DE0"/>
    <w:rsid w:val="001F41B2"/>
    <w:rsid w:val="001F748B"/>
    <w:rsid w:val="00210C5B"/>
    <w:rsid w:val="00210DEE"/>
    <w:rsid w:val="002112D7"/>
    <w:rsid w:val="00211E9D"/>
    <w:rsid w:val="00227910"/>
    <w:rsid w:val="00234713"/>
    <w:rsid w:val="00240C7F"/>
    <w:rsid w:val="002430F2"/>
    <w:rsid w:val="00245853"/>
    <w:rsid w:val="00245AA9"/>
    <w:rsid w:val="00280014"/>
    <w:rsid w:val="002973FE"/>
    <w:rsid w:val="002A619D"/>
    <w:rsid w:val="002B2D30"/>
    <w:rsid w:val="002B4716"/>
    <w:rsid w:val="002E25D8"/>
    <w:rsid w:val="002F4D2B"/>
    <w:rsid w:val="002F5675"/>
    <w:rsid w:val="00304B8B"/>
    <w:rsid w:val="003138E8"/>
    <w:rsid w:val="0032100C"/>
    <w:rsid w:val="003301A2"/>
    <w:rsid w:val="003308A5"/>
    <w:rsid w:val="0033509D"/>
    <w:rsid w:val="0034070A"/>
    <w:rsid w:val="00362AA9"/>
    <w:rsid w:val="00370703"/>
    <w:rsid w:val="00373CFB"/>
    <w:rsid w:val="003811F4"/>
    <w:rsid w:val="00391632"/>
    <w:rsid w:val="003A1FD4"/>
    <w:rsid w:val="003A7BAA"/>
    <w:rsid w:val="003B2F44"/>
    <w:rsid w:val="003B7D42"/>
    <w:rsid w:val="003D0E6A"/>
    <w:rsid w:val="003E7E35"/>
    <w:rsid w:val="003F3F27"/>
    <w:rsid w:val="003F6B19"/>
    <w:rsid w:val="00402BEF"/>
    <w:rsid w:val="0040752A"/>
    <w:rsid w:val="0042046A"/>
    <w:rsid w:val="00420CC5"/>
    <w:rsid w:val="004241FE"/>
    <w:rsid w:val="0042774D"/>
    <w:rsid w:val="00435276"/>
    <w:rsid w:val="00443348"/>
    <w:rsid w:val="00451F68"/>
    <w:rsid w:val="00452977"/>
    <w:rsid w:val="004651DE"/>
    <w:rsid w:val="004662F9"/>
    <w:rsid w:val="004677EB"/>
    <w:rsid w:val="004722A8"/>
    <w:rsid w:val="00474345"/>
    <w:rsid w:val="00474A2C"/>
    <w:rsid w:val="00483B70"/>
    <w:rsid w:val="00486DFF"/>
    <w:rsid w:val="00495E87"/>
    <w:rsid w:val="004A124B"/>
    <w:rsid w:val="004A1803"/>
    <w:rsid w:val="004B6212"/>
    <w:rsid w:val="004B797F"/>
    <w:rsid w:val="004C3814"/>
    <w:rsid w:val="004C39C3"/>
    <w:rsid w:val="004C4BE6"/>
    <w:rsid w:val="004C7589"/>
    <w:rsid w:val="004D22B6"/>
    <w:rsid w:val="004E4DC4"/>
    <w:rsid w:val="004E6261"/>
    <w:rsid w:val="004F473C"/>
    <w:rsid w:val="004F6F3A"/>
    <w:rsid w:val="005063D2"/>
    <w:rsid w:val="00512E7F"/>
    <w:rsid w:val="0051400D"/>
    <w:rsid w:val="0052132B"/>
    <w:rsid w:val="00524B12"/>
    <w:rsid w:val="005254FF"/>
    <w:rsid w:val="00534E2E"/>
    <w:rsid w:val="00542FE8"/>
    <w:rsid w:val="005444E6"/>
    <w:rsid w:val="00545D28"/>
    <w:rsid w:val="005540BA"/>
    <w:rsid w:val="00554F91"/>
    <w:rsid w:val="005557FA"/>
    <w:rsid w:val="005565E3"/>
    <w:rsid w:val="00564EE5"/>
    <w:rsid w:val="00572A71"/>
    <w:rsid w:val="00572E9B"/>
    <w:rsid w:val="005731ED"/>
    <w:rsid w:val="00576F0C"/>
    <w:rsid w:val="00577A56"/>
    <w:rsid w:val="00585E59"/>
    <w:rsid w:val="0059180A"/>
    <w:rsid w:val="00593BCF"/>
    <w:rsid w:val="00597176"/>
    <w:rsid w:val="005A0678"/>
    <w:rsid w:val="005B2B89"/>
    <w:rsid w:val="005C15D6"/>
    <w:rsid w:val="005C1643"/>
    <w:rsid w:val="005C78E2"/>
    <w:rsid w:val="005E09E3"/>
    <w:rsid w:val="005F4635"/>
    <w:rsid w:val="00610DFF"/>
    <w:rsid w:val="006231C5"/>
    <w:rsid w:val="006274E1"/>
    <w:rsid w:val="00633310"/>
    <w:rsid w:val="00642A5D"/>
    <w:rsid w:val="00656059"/>
    <w:rsid w:val="0065697E"/>
    <w:rsid w:val="00656FFE"/>
    <w:rsid w:val="00667D19"/>
    <w:rsid w:val="006713E4"/>
    <w:rsid w:val="00675DAA"/>
    <w:rsid w:val="00677ECC"/>
    <w:rsid w:val="006808F1"/>
    <w:rsid w:val="00683F71"/>
    <w:rsid w:val="006B517B"/>
    <w:rsid w:val="006C0676"/>
    <w:rsid w:val="006E4ADC"/>
    <w:rsid w:val="006F24BA"/>
    <w:rsid w:val="00705226"/>
    <w:rsid w:val="00721015"/>
    <w:rsid w:val="007210CA"/>
    <w:rsid w:val="00723235"/>
    <w:rsid w:val="007311B8"/>
    <w:rsid w:val="00732018"/>
    <w:rsid w:val="0073373B"/>
    <w:rsid w:val="00733B55"/>
    <w:rsid w:val="0074405A"/>
    <w:rsid w:val="00752791"/>
    <w:rsid w:val="007551CA"/>
    <w:rsid w:val="00755C12"/>
    <w:rsid w:val="00763E38"/>
    <w:rsid w:val="0076438E"/>
    <w:rsid w:val="00767091"/>
    <w:rsid w:val="00773D67"/>
    <w:rsid w:val="00774A88"/>
    <w:rsid w:val="007A03B2"/>
    <w:rsid w:val="007A45A1"/>
    <w:rsid w:val="007C15E5"/>
    <w:rsid w:val="007D49B1"/>
    <w:rsid w:val="007D5D4E"/>
    <w:rsid w:val="007E238B"/>
    <w:rsid w:val="00802FB5"/>
    <w:rsid w:val="00805D22"/>
    <w:rsid w:val="0081688C"/>
    <w:rsid w:val="00817984"/>
    <w:rsid w:val="00826E7C"/>
    <w:rsid w:val="00831737"/>
    <w:rsid w:val="00835A92"/>
    <w:rsid w:val="00842A45"/>
    <w:rsid w:val="008767E3"/>
    <w:rsid w:val="00885689"/>
    <w:rsid w:val="00890815"/>
    <w:rsid w:val="00891387"/>
    <w:rsid w:val="00892830"/>
    <w:rsid w:val="008A39A0"/>
    <w:rsid w:val="008A4109"/>
    <w:rsid w:val="008A5253"/>
    <w:rsid w:val="008B12D9"/>
    <w:rsid w:val="008B47F7"/>
    <w:rsid w:val="008C00AD"/>
    <w:rsid w:val="008D10FA"/>
    <w:rsid w:val="008D2492"/>
    <w:rsid w:val="008D3376"/>
    <w:rsid w:val="008D3DFE"/>
    <w:rsid w:val="008D6920"/>
    <w:rsid w:val="008F1B84"/>
    <w:rsid w:val="008F724A"/>
    <w:rsid w:val="0091455D"/>
    <w:rsid w:val="00920445"/>
    <w:rsid w:val="009214ED"/>
    <w:rsid w:val="00923648"/>
    <w:rsid w:val="00924EBE"/>
    <w:rsid w:val="00931EC8"/>
    <w:rsid w:val="00932687"/>
    <w:rsid w:val="00932E76"/>
    <w:rsid w:val="009344C9"/>
    <w:rsid w:val="00937C79"/>
    <w:rsid w:val="00937DA9"/>
    <w:rsid w:val="00941568"/>
    <w:rsid w:val="0095394A"/>
    <w:rsid w:val="009563F0"/>
    <w:rsid w:val="00966C57"/>
    <w:rsid w:val="00975A2E"/>
    <w:rsid w:val="0098360A"/>
    <w:rsid w:val="009876CD"/>
    <w:rsid w:val="009947F3"/>
    <w:rsid w:val="00995481"/>
    <w:rsid w:val="009A396B"/>
    <w:rsid w:val="009A7904"/>
    <w:rsid w:val="009B53A9"/>
    <w:rsid w:val="009D13AE"/>
    <w:rsid w:val="009D16D9"/>
    <w:rsid w:val="009D78E8"/>
    <w:rsid w:val="009E4EE9"/>
    <w:rsid w:val="009E7A1B"/>
    <w:rsid w:val="009F091C"/>
    <w:rsid w:val="009F2537"/>
    <w:rsid w:val="009F25E4"/>
    <w:rsid w:val="009F26BA"/>
    <w:rsid w:val="009F2878"/>
    <w:rsid w:val="009F445B"/>
    <w:rsid w:val="009F65DF"/>
    <w:rsid w:val="009F7EDD"/>
    <w:rsid w:val="00A0260D"/>
    <w:rsid w:val="00A029C9"/>
    <w:rsid w:val="00A12B39"/>
    <w:rsid w:val="00A12CF4"/>
    <w:rsid w:val="00A3370C"/>
    <w:rsid w:val="00A42BB3"/>
    <w:rsid w:val="00A7510E"/>
    <w:rsid w:val="00A93A87"/>
    <w:rsid w:val="00A93C27"/>
    <w:rsid w:val="00AA1F1A"/>
    <w:rsid w:val="00AA3D0A"/>
    <w:rsid w:val="00AA6836"/>
    <w:rsid w:val="00AB7525"/>
    <w:rsid w:val="00AE6F0B"/>
    <w:rsid w:val="00AE7092"/>
    <w:rsid w:val="00AF3EB4"/>
    <w:rsid w:val="00B01338"/>
    <w:rsid w:val="00B11E94"/>
    <w:rsid w:val="00B15744"/>
    <w:rsid w:val="00B2116B"/>
    <w:rsid w:val="00B25FD3"/>
    <w:rsid w:val="00B27B81"/>
    <w:rsid w:val="00B3003B"/>
    <w:rsid w:val="00B3414F"/>
    <w:rsid w:val="00B3606C"/>
    <w:rsid w:val="00B371E1"/>
    <w:rsid w:val="00B41E53"/>
    <w:rsid w:val="00B47BE6"/>
    <w:rsid w:val="00B55F52"/>
    <w:rsid w:val="00B60DC0"/>
    <w:rsid w:val="00B7260B"/>
    <w:rsid w:val="00B863F6"/>
    <w:rsid w:val="00B915F5"/>
    <w:rsid w:val="00B91DB0"/>
    <w:rsid w:val="00B92D78"/>
    <w:rsid w:val="00BB75CC"/>
    <w:rsid w:val="00BC3B0B"/>
    <w:rsid w:val="00BC4101"/>
    <w:rsid w:val="00BD4D8A"/>
    <w:rsid w:val="00BF0011"/>
    <w:rsid w:val="00C11003"/>
    <w:rsid w:val="00C11C66"/>
    <w:rsid w:val="00C20475"/>
    <w:rsid w:val="00C226BA"/>
    <w:rsid w:val="00C22FAC"/>
    <w:rsid w:val="00C25D2C"/>
    <w:rsid w:val="00C26091"/>
    <w:rsid w:val="00C44A0D"/>
    <w:rsid w:val="00C61859"/>
    <w:rsid w:val="00C729D9"/>
    <w:rsid w:val="00C81D10"/>
    <w:rsid w:val="00C8519D"/>
    <w:rsid w:val="00C8529D"/>
    <w:rsid w:val="00C918B6"/>
    <w:rsid w:val="00C92F85"/>
    <w:rsid w:val="00C9352C"/>
    <w:rsid w:val="00CB0929"/>
    <w:rsid w:val="00CB4705"/>
    <w:rsid w:val="00CB5B78"/>
    <w:rsid w:val="00CB6E7E"/>
    <w:rsid w:val="00CB797B"/>
    <w:rsid w:val="00CD710A"/>
    <w:rsid w:val="00CE2EEB"/>
    <w:rsid w:val="00CF13E6"/>
    <w:rsid w:val="00CF1D83"/>
    <w:rsid w:val="00D2366A"/>
    <w:rsid w:val="00D37888"/>
    <w:rsid w:val="00D66752"/>
    <w:rsid w:val="00D670B3"/>
    <w:rsid w:val="00D744B9"/>
    <w:rsid w:val="00D902B2"/>
    <w:rsid w:val="00D91E8E"/>
    <w:rsid w:val="00D943C8"/>
    <w:rsid w:val="00DA6260"/>
    <w:rsid w:val="00DB0197"/>
    <w:rsid w:val="00DC2B78"/>
    <w:rsid w:val="00DD46D6"/>
    <w:rsid w:val="00DD6ED2"/>
    <w:rsid w:val="00DE1558"/>
    <w:rsid w:val="00DE1871"/>
    <w:rsid w:val="00DF4F61"/>
    <w:rsid w:val="00DF74E9"/>
    <w:rsid w:val="00E01FC0"/>
    <w:rsid w:val="00E056D0"/>
    <w:rsid w:val="00E375FB"/>
    <w:rsid w:val="00E541A0"/>
    <w:rsid w:val="00E63080"/>
    <w:rsid w:val="00E643B2"/>
    <w:rsid w:val="00E64BC4"/>
    <w:rsid w:val="00E70064"/>
    <w:rsid w:val="00E80258"/>
    <w:rsid w:val="00E8275E"/>
    <w:rsid w:val="00E82F38"/>
    <w:rsid w:val="00E860F0"/>
    <w:rsid w:val="00E878B5"/>
    <w:rsid w:val="00E91C4D"/>
    <w:rsid w:val="00E91F44"/>
    <w:rsid w:val="00EA35FF"/>
    <w:rsid w:val="00EB14E7"/>
    <w:rsid w:val="00EC27AF"/>
    <w:rsid w:val="00EC503C"/>
    <w:rsid w:val="00ED4086"/>
    <w:rsid w:val="00EE055B"/>
    <w:rsid w:val="00EE254B"/>
    <w:rsid w:val="00EE6C25"/>
    <w:rsid w:val="00F065A7"/>
    <w:rsid w:val="00F242E7"/>
    <w:rsid w:val="00F25875"/>
    <w:rsid w:val="00F36AA7"/>
    <w:rsid w:val="00F457DC"/>
    <w:rsid w:val="00F52D70"/>
    <w:rsid w:val="00F640B2"/>
    <w:rsid w:val="00F71679"/>
    <w:rsid w:val="00F71B7C"/>
    <w:rsid w:val="00F95B00"/>
    <w:rsid w:val="00FB1182"/>
    <w:rsid w:val="00FB250C"/>
    <w:rsid w:val="00FC0CD3"/>
    <w:rsid w:val="00FC7843"/>
    <w:rsid w:val="00FD06DC"/>
    <w:rsid w:val="00FD1B9F"/>
    <w:rsid w:val="00FD667A"/>
    <w:rsid w:val="00FE0892"/>
    <w:rsid w:val="00FE5916"/>
    <w:rsid w:val="00FF2C63"/>
  </w:rsids>
  <m:mathPr>
    <m:mathFont m:val="Cambria Math"/>
    <m:brkBin m:val="before"/>
    <m:brkBinSub m:val="--"/>
    <m:smallFrac m:val="0"/>
    <m:dispDef/>
    <m:lMargin m:val="0"/>
    <m:rMargin m:val="0"/>
    <m:defJc m:val="centerGroup"/>
    <m:wrapIndent m:val="1440"/>
    <m:intLim m:val="subSup"/>
    <m:naryLim m:val="undOvr"/>
  </m:mathPr>
  <w:themeFontLang w:val="es-A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7D38E"/>
  <w15:docId w15:val="{2B0BE135-ED5B-4EAF-BDDB-EB30004E8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803"/>
  </w:style>
  <w:style w:type="paragraph" w:styleId="Ttulo5">
    <w:name w:val="heading 5"/>
    <w:basedOn w:val="Normal"/>
    <w:next w:val="Normal"/>
    <w:link w:val="Ttulo5Car"/>
    <w:uiPriority w:val="9"/>
    <w:qFormat/>
    <w:rsid w:val="00763E38"/>
    <w:pPr>
      <w:keepNext/>
      <w:spacing w:after="0" w:line="240" w:lineRule="auto"/>
      <w:jc w:val="center"/>
      <w:outlineLvl w:val="4"/>
    </w:pPr>
    <w:rPr>
      <w:rFonts w:ascii="CG Times (W1)" w:eastAsia="Times New Roman" w:hAnsi="CG Times (W1)" w:cs="Times New Roman"/>
      <w:b/>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9F2878"/>
    <w:pPr>
      <w:tabs>
        <w:tab w:val="center" w:pos="4252"/>
        <w:tab w:val="right" w:pos="8504"/>
      </w:tabs>
      <w:spacing w:after="0" w:line="240" w:lineRule="auto"/>
    </w:pPr>
    <w:rPr>
      <w:rFonts w:ascii="Times New Roman" w:eastAsia="Times New Roman" w:hAnsi="Times New Roman" w:cs="Times New Roman"/>
      <w:sz w:val="20"/>
      <w:szCs w:val="20"/>
      <w:lang w:val="es-ES" w:eastAsia="es-ES"/>
    </w:rPr>
  </w:style>
  <w:style w:type="character" w:customStyle="1" w:styleId="PiedepginaCar">
    <w:name w:val="Pie de página Car"/>
    <w:basedOn w:val="Fuentedeprrafopredeter"/>
    <w:link w:val="Piedepgina"/>
    <w:rsid w:val="009F2878"/>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9F2878"/>
  </w:style>
  <w:style w:type="character" w:styleId="Hipervnculo">
    <w:name w:val="Hyperlink"/>
    <w:uiPriority w:val="99"/>
    <w:unhideWhenUsed/>
    <w:rsid w:val="009F2878"/>
    <w:rPr>
      <w:color w:val="0000FF"/>
      <w:u w:val="single"/>
    </w:rPr>
  </w:style>
  <w:style w:type="paragraph" w:customStyle="1" w:styleId="BHTexto">
    <w:name w:val="BH Texto"/>
    <w:basedOn w:val="Normal"/>
    <w:link w:val="BHTextoCar"/>
    <w:qFormat/>
    <w:rsid w:val="009F2878"/>
    <w:pPr>
      <w:autoSpaceDE w:val="0"/>
      <w:autoSpaceDN w:val="0"/>
      <w:adjustRightInd w:val="0"/>
      <w:spacing w:before="120" w:after="120" w:line="240" w:lineRule="auto"/>
      <w:jc w:val="both"/>
    </w:pPr>
    <w:rPr>
      <w:rFonts w:ascii="Times New Roman" w:eastAsia="Calibri" w:hAnsi="Times New Roman" w:cs="Times New Roman"/>
      <w:sz w:val="20"/>
      <w:szCs w:val="20"/>
      <w:lang w:val="en-US" w:eastAsia="es-AR"/>
    </w:rPr>
  </w:style>
  <w:style w:type="character" w:customStyle="1" w:styleId="BHTextoCar">
    <w:name w:val="BH Texto Car"/>
    <w:link w:val="BHTexto"/>
    <w:rsid w:val="009F2878"/>
    <w:rPr>
      <w:rFonts w:ascii="Times New Roman" w:eastAsia="Calibri" w:hAnsi="Times New Roman" w:cs="Times New Roman"/>
      <w:sz w:val="20"/>
      <w:szCs w:val="20"/>
      <w:lang w:val="en-US" w:eastAsia="es-AR"/>
    </w:rPr>
  </w:style>
  <w:style w:type="character" w:styleId="Textodelmarcadordeposicin">
    <w:name w:val="Placeholder Text"/>
    <w:basedOn w:val="Fuentedeprrafopredeter"/>
    <w:uiPriority w:val="99"/>
    <w:semiHidden/>
    <w:rsid w:val="00773D67"/>
    <w:rPr>
      <w:color w:val="808080"/>
    </w:rPr>
  </w:style>
  <w:style w:type="paragraph" w:styleId="Textodeglobo">
    <w:name w:val="Balloon Text"/>
    <w:basedOn w:val="Normal"/>
    <w:link w:val="TextodegloboCar"/>
    <w:uiPriority w:val="99"/>
    <w:semiHidden/>
    <w:unhideWhenUsed/>
    <w:rsid w:val="00B371E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1E1"/>
    <w:rPr>
      <w:rFonts w:ascii="Segoe UI" w:hAnsi="Segoe UI" w:cs="Segoe UI"/>
      <w:sz w:val="18"/>
      <w:szCs w:val="18"/>
    </w:rPr>
  </w:style>
  <w:style w:type="table" w:styleId="Tablaconcuadrcula">
    <w:name w:val="Table Grid"/>
    <w:basedOn w:val="Tablanormal"/>
    <w:uiPriority w:val="39"/>
    <w:rsid w:val="00B371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164E17"/>
    <w:rPr>
      <w:sz w:val="16"/>
      <w:szCs w:val="16"/>
    </w:rPr>
  </w:style>
  <w:style w:type="paragraph" w:styleId="Textocomentario">
    <w:name w:val="annotation text"/>
    <w:basedOn w:val="Normal"/>
    <w:link w:val="TextocomentarioCar"/>
    <w:uiPriority w:val="99"/>
    <w:semiHidden/>
    <w:unhideWhenUsed/>
    <w:rsid w:val="00164E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64E17"/>
    <w:rPr>
      <w:sz w:val="20"/>
      <w:szCs w:val="20"/>
    </w:rPr>
  </w:style>
  <w:style w:type="paragraph" w:styleId="Asuntodelcomentario">
    <w:name w:val="annotation subject"/>
    <w:basedOn w:val="Textocomentario"/>
    <w:next w:val="Textocomentario"/>
    <w:link w:val="AsuntodelcomentarioCar"/>
    <w:uiPriority w:val="99"/>
    <w:semiHidden/>
    <w:unhideWhenUsed/>
    <w:rsid w:val="00164E17"/>
    <w:rPr>
      <w:b/>
      <w:bCs/>
    </w:rPr>
  </w:style>
  <w:style w:type="character" w:customStyle="1" w:styleId="AsuntodelcomentarioCar">
    <w:name w:val="Asunto del comentario Car"/>
    <w:basedOn w:val="TextocomentarioCar"/>
    <w:link w:val="Asuntodelcomentario"/>
    <w:uiPriority w:val="99"/>
    <w:semiHidden/>
    <w:rsid w:val="00164E17"/>
    <w:rPr>
      <w:b/>
      <w:bCs/>
      <w:sz w:val="20"/>
      <w:szCs w:val="20"/>
    </w:rPr>
  </w:style>
  <w:style w:type="paragraph" w:styleId="Prrafodelista">
    <w:name w:val="List Paragraph"/>
    <w:basedOn w:val="Normal"/>
    <w:uiPriority w:val="34"/>
    <w:qFormat/>
    <w:rsid w:val="006F24BA"/>
    <w:pPr>
      <w:ind w:left="720"/>
      <w:contextualSpacing/>
    </w:pPr>
  </w:style>
  <w:style w:type="paragraph" w:styleId="Revisin">
    <w:name w:val="Revision"/>
    <w:hidden/>
    <w:uiPriority w:val="99"/>
    <w:semiHidden/>
    <w:rsid w:val="009F445B"/>
    <w:pPr>
      <w:spacing w:after="0" w:line="240" w:lineRule="auto"/>
    </w:pPr>
  </w:style>
  <w:style w:type="paragraph" w:customStyle="1" w:styleId="Default">
    <w:name w:val="Default"/>
    <w:rsid w:val="00732018"/>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aliases w:val="encabezado"/>
    <w:basedOn w:val="Normal"/>
    <w:link w:val="EncabezadoCar"/>
    <w:uiPriority w:val="99"/>
    <w:unhideWhenUsed/>
    <w:qFormat/>
    <w:rsid w:val="00E878B5"/>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uiPriority w:val="99"/>
    <w:rsid w:val="00E878B5"/>
  </w:style>
  <w:style w:type="paragraph" w:styleId="Textonotapie">
    <w:name w:val="footnote text"/>
    <w:basedOn w:val="Normal"/>
    <w:link w:val="TextonotapieCar"/>
    <w:uiPriority w:val="99"/>
    <w:semiHidden/>
    <w:unhideWhenUsed/>
    <w:rsid w:val="000F03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F03A3"/>
    <w:rPr>
      <w:sz w:val="20"/>
      <w:szCs w:val="20"/>
    </w:rPr>
  </w:style>
  <w:style w:type="character" w:styleId="Refdenotaalpie">
    <w:name w:val="footnote reference"/>
    <w:basedOn w:val="Fuentedeprrafopredeter"/>
    <w:uiPriority w:val="99"/>
    <w:semiHidden/>
    <w:unhideWhenUsed/>
    <w:rsid w:val="000F03A3"/>
    <w:rPr>
      <w:vertAlign w:val="superscript"/>
    </w:rPr>
  </w:style>
  <w:style w:type="paragraph" w:customStyle="1" w:styleId="TextIndent05">
    <w:name w:val="Text Indent 0.5"/>
    <w:basedOn w:val="Normal"/>
    <w:rsid w:val="007D49B1"/>
    <w:pPr>
      <w:autoSpaceDE w:val="0"/>
      <w:autoSpaceDN w:val="0"/>
      <w:adjustRightInd w:val="0"/>
      <w:spacing w:after="240" w:line="240" w:lineRule="auto"/>
      <w:ind w:firstLine="720"/>
    </w:pPr>
    <w:rPr>
      <w:rFonts w:ascii="Times New Roman" w:eastAsia="Calibri" w:hAnsi="Times New Roman" w:cs="Times New Roman"/>
      <w:sz w:val="20"/>
      <w:szCs w:val="18"/>
      <w:lang w:val="en-US"/>
    </w:rPr>
  </w:style>
  <w:style w:type="character" w:customStyle="1" w:styleId="HeaderChar4">
    <w:name w:val="Header Char4"/>
    <w:aliases w:val="encabezado Char"/>
    <w:uiPriority w:val="99"/>
    <w:rsid w:val="007D49B1"/>
    <w:rPr>
      <w:rFonts w:ascii="Times New Roman" w:eastAsia="Times New Roman" w:hAnsi="Times New Roman" w:cs="Times New Roman"/>
      <w:sz w:val="24"/>
      <w:szCs w:val="24"/>
      <w:lang w:val="x-none" w:eastAsia="x-none"/>
    </w:rPr>
  </w:style>
  <w:style w:type="character" w:customStyle="1" w:styleId="Heading5Char">
    <w:name w:val="Heading 5 Char"/>
    <w:basedOn w:val="Fuentedeprrafopredeter"/>
    <w:uiPriority w:val="9"/>
    <w:semiHidden/>
    <w:rsid w:val="00763E38"/>
    <w:rPr>
      <w:rFonts w:asciiTheme="majorHAnsi" w:eastAsiaTheme="majorEastAsia" w:hAnsiTheme="majorHAnsi" w:cstheme="majorBidi"/>
      <w:color w:val="1F4D78" w:themeColor="accent1" w:themeShade="7F"/>
    </w:rPr>
  </w:style>
  <w:style w:type="character" w:customStyle="1" w:styleId="Ttulo5Car">
    <w:name w:val="Título 5 Car"/>
    <w:link w:val="Ttulo5"/>
    <w:uiPriority w:val="9"/>
    <w:rsid w:val="00763E38"/>
    <w:rPr>
      <w:rFonts w:ascii="CG Times (W1)" w:eastAsia="Times New Roman" w:hAnsi="CG Times (W1)" w:cs="Times New Roman"/>
      <w:b/>
      <w:sz w:val="20"/>
      <w:szCs w:val="20"/>
      <w:lang w:val="es-ES_tradnl" w:eastAsia="es-ES"/>
    </w:rPr>
  </w:style>
  <w:style w:type="character" w:customStyle="1" w:styleId="Heading5Char4">
    <w:name w:val="Heading 5 Char4"/>
    <w:uiPriority w:val="9"/>
    <w:rsid w:val="00545D28"/>
    <w:rPr>
      <w:rFonts w:ascii="CG Times (W1)" w:eastAsia="Times New Roman" w:hAnsi="CG Times (W1)" w:cs="Times New Roman"/>
      <w:b/>
      <w:sz w:val="20"/>
      <w:szCs w:val="20"/>
      <w:lang w:val="es-ES_tradnl" w:eastAsia="es-ES"/>
    </w:rPr>
  </w:style>
  <w:style w:type="character" w:customStyle="1" w:styleId="UnresolvedMention1">
    <w:name w:val="Unresolved Mention1"/>
    <w:basedOn w:val="Fuentedeprrafopredeter"/>
    <w:uiPriority w:val="99"/>
    <w:semiHidden/>
    <w:unhideWhenUsed/>
    <w:rsid w:val="009B53A9"/>
    <w:rPr>
      <w:color w:val="605E5C"/>
      <w:shd w:val="clear" w:color="auto" w:fill="E1DFDD"/>
    </w:rPr>
  </w:style>
  <w:style w:type="paragraph" w:customStyle="1" w:styleId="BlockTextSgl">
    <w:name w:val="Block Text Sgl"/>
    <w:basedOn w:val="Normal"/>
    <w:qFormat/>
    <w:rsid w:val="00C918B6"/>
    <w:pPr>
      <w:autoSpaceDE w:val="0"/>
      <w:autoSpaceDN w:val="0"/>
      <w:adjustRightInd w:val="0"/>
      <w:spacing w:after="240" w:line="240" w:lineRule="auto"/>
    </w:pPr>
    <w:rPr>
      <w:rFonts w:ascii="Times New Roman" w:eastAsia="Calibri" w:hAnsi="Times New Roman" w:cs="Times New Roman"/>
      <w:sz w:val="20"/>
      <w:szCs w:val="20"/>
      <w:lang w:val="en-US" w:eastAsia="es-AR"/>
    </w:rPr>
  </w:style>
  <w:style w:type="paragraph" w:customStyle="1" w:styleId="Table">
    <w:name w:val="Table"/>
    <w:basedOn w:val="Normal"/>
    <w:rsid w:val="00C918B6"/>
    <w:pPr>
      <w:autoSpaceDE w:val="0"/>
      <w:autoSpaceDN w:val="0"/>
      <w:adjustRightInd w:val="0"/>
      <w:spacing w:after="0" w:line="240" w:lineRule="auto"/>
    </w:pPr>
    <w:rPr>
      <w:rFonts w:ascii="Times New Roman" w:eastAsia="Calibri" w:hAnsi="Times New Roman" w:cs="Times New Roman"/>
      <w:sz w:val="20"/>
      <w:szCs w:val="20"/>
      <w:lang w:val="en-US" w:eastAsia="es-AR"/>
    </w:rPr>
  </w:style>
  <w:style w:type="paragraph" w:customStyle="1" w:styleId="BH3Izquierda">
    <w:name w:val="BH3 Izquierda"/>
    <w:basedOn w:val="Normal"/>
    <w:link w:val="BH3IzquierdaCar"/>
    <w:qFormat/>
    <w:rsid w:val="00C918B6"/>
    <w:pPr>
      <w:keepNext/>
      <w:autoSpaceDE w:val="0"/>
      <w:autoSpaceDN w:val="0"/>
      <w:adjustRightInd w:val="0"/>
      <w:spacing w:before="240" w:after="240" w:line="240" w:lineRule="auto"/>
      <w:outlineLvl w:val="2"/>
    </w:pPr>
    <w:rPr>
      <w:rFonts w:ascii="Times New Roman" w:eastAsia="Calibri" w:hAnsi="Times New Roman" w:cs="Times New Roman"/>
      <w:b/>
      <w:sz w:val="20"/>
      <w:szCs w:val="20"/>
      <w:lang w:val="en-US" w:eastAsia="es-AR"/>
    </w:rPr>
  </w:style>
  <w:style w:type="character" w:customStyle="1" w:styleId="BH3IzquierdaCar">
    <w:name w:val="BH3 Izquierda Car"/>
    <w:link w:val="BH3Izquierda"/>
    <w:rsid w:val="00C918B6"/>
    <w:rPr>
      <w:rFonts w:ascii="Times New Roman" w:eastAsia="Calibri" w:hAnsi="Times New Roman" w:cs="Times New Roman"/>
      <w:b/>
      <w:sz w:val="20"/>
      <w:szCs w:val="20"/>
      <w:lang w:val="en-US" w:eastAsia="es-AR"/>
    </w:rPr>
  </w:style>
  <w:style w:type="paragraph" w:customStyle="1" w:styleId="BH1Centro">
    <w:name w:val="BH1 Centro"/>
    <w:basedOn w:val="Normal"/>
    <w:link w:val="BH1CentroCar"/>
    <w:qFormat/>
    <w:rsid w:val="004A1803"/>
    <w:pPr>
      <w:autoSpaceDE w:val="0"/>
      <w:autoSpaceDN w:val="0"/>
      <w:adjustRightInd w:val="0"/>
      <w:spacing w:before="240" w:after="240" w:line="240" w:lineRule="auto"/>
      <w:jc w:val="center"/>
      <w:outlineLvl w:val="0"/>
    </w:pPr>
    <w:rPr>
      <w:rFonts w:ascii="Times New Roman Bold" w:eastAsia="Calibri" w:hAnsi="Times New Roman Bold" w:cs="Times New Roman"/>
      <w:b/>
      <w:caps/>
      <w:sz w:val="20"/>
      <w:szCs w:val="20"/>
      <w:lang w:val="en-US" w:eastAsia="x-none"/>
    </w:rPr>
  </w:style>
  <w:style w:type="character" w:customStyle="1" w:styleId="BH1CentroCar">
    <w:name w:val="BH1 Centro Car"/>
    <w:link w:val="BH1Centro"/>
    <w:rsid w:val="004A1803"/>
    <w:rPr>
      <w:rFonts w:ascii="Times New Roman Bold" w:eastAsia="Calibri" w:hAnsi="Times New Roman Bold" w:cs="Times New Roman"/>
      <w:b/>
      <w:caps/>
      <w:sz w:val="20"/>
      <w:szCs w:val="20"/>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72971">
      <w:bodyDiv w:val="1"/>
      <w:marLeft w:val="0"/>
      <w:marRight w:val="0"/>
      <w:marTop w:val="0"/>
      <w:marBottom w:val="0"/>
      <w:divBdr>
        <w:top w:val="none" w:sz="0" w:space="0" w:color="auto"/>
        <w:left w:val="none" w:sz="0" w:space="0" w:color="auto"/>
        <w:bottom w:val="none" w:sz="0" w:space="0" w:color="auto"/>
        <w:right w:val="none" w:sz="0" w:space="0" w:color="auto"/>
      </w:divBdr>
    </w:div>
    <w:div w:id="210266710">
      <w:bodyDiv w:val="1"/>
      <w:marLeft w:val="0"/>
      <w:marRight w:val="0"/>
      <w:marTop w:val="0"/>
      <w:marBottom w:val="0"/>
      <w:divBdr>
        <w:top w:val="none" w:sz="0" w:space="0" w:color="auto"/>
        <w:left w:val="none" w:sz="0" w:space="0" w:color="auto"/>
        <w:bottom w:val="none" w:sz="0" w:space="0" w:color="auto"/>
        <w:right w:val="none" w:sz="0" w:space="0" w:color="auto"/>
      </w:divBdr>
    </w:div>
    <w:div w:id="244415675">
      <w:bodyDiv w:val="1"/>
      <w:marLeft w:val="0"/>
      <w:marRight w:val="0"/>
      <w:marTop w:val="0"/>
      <w:marBottom w:val="0"/>
      <w:divBdr>
        <w:top w:val="none" w:sz="0" w:space="0" w:color="auto"/>
        <w:left w:val="none" w:sz="0" w:space="0" w:color="auto"/>
        <w:bottom w:val="none" w:sz="0" w:space="0" w:color="auto"/>
        <w:right w:val="none" w:sz="0" w:space="0" w:color="auto"/>
      </w:divBdr>
    </w:div>
    <w:div w:id="281108031">
      <w:bodyDiv w:val="1"/>
      <w:marLeft w:val="0"/>
      <w:marRight w:val="0"/>
      <w:marTop w:val="0"/>
      <w:marBottom w:val="0"/>
      <w:divBdr>
        <w:top w:val="none" w:sz="0" w:space="0" w:color="auto"/>
        <w:left w:val="none" w:sz="0" w:space="0" w:color="auto"/>
        <w:bottom w:val="none" w:sz="0" w:space="0" w:color="auto"/>
        <w:right w:val="none" w:sz="0" w:space="0" w:color="auto"/>
      </w:divBdr>
    </w:div>
    <w:div w:id="801115488">
      <w:bodyDiv w:val="1"/>
      <w:marLeft w:val="0"/>
      <w:marRight w:val="0"/>
      <w:marTop w:val="0"/>
      <w:marBottom w:val="0"/>
      <w:divBdr>
        <w:top w:val="none" w:sz="0" w:space="0" w:color="auto"/>
        <w:left w:val="none" w:sz="0" w:space="0" w:color="auto"/>
        <w:bottom w:val="none" w:sz="0" w:space="0" w:color="auto"/>
        <w:right w:val="none" w:sz="0" w:space="0" w:color="auto"/>
      </w:divBdr>
    </w:div>
    <w:div w:id="809444512">
      <w:bodyDiv w:val="1"/>
      <w:marLeft w:val="0"/>
      <w:marRight w:val="0"/>
      <w:marTop w:val="0"/>
      <w:marBottom w:val="0"/>
      <w:divBdr>
        <w:top w:val="none" w:sz="0" w:space="0" w:color="auto"/>
        <w:left w:val="none" w:sz="0" w:space="0" w:color="auto"/>
        <w:bottom w:val="none" w:sz="0" w:space="0" w:color="auto"/>
        <w:right w:val="none" w:sz="0" w:space="0" w:color="auto"/>
      </w:divBdr>
    </w:div>
    <w:div w:id="1421488828">
      <w:bodyDiv w:val="1"/>
      <w:marLeft w:val="0"/>
      <w:marRight w:val="0"/>
      <w:marTop w:val="0"/>
      <w:marBottom w:val="0"/>
      <w:divBdr>
        <w:top w:val="none" w:sz="0" w:space="0" w:color="auto"/>
        <w:left w:val="none" w:sz="0" w:space="0" w:color="auto"/>
        <w:bottom w:val="none" w:sz="0" w:space="0" w:color="auto"/>
        <w:right w:val="none" w:sz="0" w:space="0" w:color="auto"/>
      </w:divBdr>
    </w:div>
    <w:div w:id="1429736627">
      <w:bodyDiv w:val="1"/>
      <w:marLeft w:val="0"/>
      <w:marRight w:val="0"/>
      <w:marTop w:val="0"/>
      <w:marBottom w:val="0"/>
      <w:divBdr>
        <w:top w:val="none" w:sz="0" w:space="0" w:color="auto"/>
        <w:left w:val="none" w:sz="0" w:space="0" w:color="auto"/>
        <w:bottom w:val="none" w:sz="0" w:space="0" w:color="auto"/>
        <w:right w:val="none" w:sz="0" w:space="0" w:color="auto"/>
      </w:divBdr>
    </w:div>
    <w:div w:id="1589777258">
      <w:bodyDiv w:val="1"/>
      <w:marLeft w:val="0"/>
      <w:marRight w:val="0"/>
      <w:marTop w:val="0"/>
      <w:marBottom w:val="0"/>
      <w:divBdr>
        <w:top w:val="none" w:sz="0" w:space="0" w:color="auto"/>
        <w:left w:val="none" w:sz="0" w:space="0" w:color="auto"/>
        <w:bottom w:val="none" w:sz="0" w:space="0" w:color="auto"/>
        <w:right w:val="none" w:sz="0" w:space="0" w:color="auto"/>
      </w:divBdr>
    </w:div>
    <w:div w:id="171608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Usuario\Documents\ZBV\IRSA\www.mae.com.a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Usuario\Documents\ZBV\IRSA\www.cnv.gov.a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rsa.com.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9BC492F2AA5D74B850AB1729B4BEC47" ma:contentTypeVersion="13" ma:contentTypeDescription="Crear nuevo documento." ma:contentTypeScope="" ma:versionID="2b2cc07c8e66bec75df97dce219f8ef8">
  <xsd:schema xmlns:xsd="http://www.w3.org/2001/XMLSchema" xmlns:xs="http://www.w3.org/2001/XMLSchema" xmlns:p="http://schemas.microsoft.com/office/2006/metadata/properties" xmlns:ns3="37c12e7a-6ffe-4b25-809f-49f2030a35f1" xmlns:ns4="6e7b01ab-f207-4545-b2cb-0074a7db73f2" targetNamespace="http://schemas.microsoft.com/office/2006/metadata/properties" ma:root="true" ma:fieldsID="5e86f4bbd418e1848e51d3aafa08fbe9" ns3:_="" ns4:_="">
    <xsd:import namespace="37c12e7a-6ffe-4b25-809f-49f2030a35f1"/>
    <xsd:import namespace="6e7b01ab-f207-4545-b2cb-0074a7db73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12e7a-6ffe-4b25-809f-49f2030a35f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b01ab-f207-4545-b2cb-0074a7db73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E8DD9-7098-400A-AEC7-4B2408A7E6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F5F831-C492-4658-8376-B8DA2C4356E3}">
  <ds:schemaRefs>
    <ds:schemaRef ds:uri="http://schemas.microsoft.com/sharepoint/v3/contenttype/forms"/>
  </ds:schemaRefs>
</ds:datastoreItem>
</file>

<file path=customXml/itemProps3.xml><?xml version="1.0" encoding="utf-8"?>
<ds:datastoreItem xmlns:ds="http://schemas.openxmlformats.org/officeDocument/2006/customXml" ds:itemID="{24B3C6BC-2A80-4A33-8E51-951F5FCD1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12e7a-6ffe-4b25-809f-49f2030a35f1"/>
    <ds:schemaRef ds:uri="6e7b01ab-f207-4545-b2cb-0074a7db7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701287-0262-4506-8B1E-DFB2DE9A4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1054</Words>
  <Characters>6010</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Argentina</Company>
  <LinksUpToDate>false</LinksUpToDate>
  <CharactersWithSpaces>7050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Belén Paoletta</dc:creator>
  <cp:lastModifiedBy>Sofía Capozzi</cp:lastModifiedBy>
  <cp:revision>3</cp:revision>
  <dcterms:created xsi:type="dcterms:W3CDTF">2021-08-18T20:06:00Z</dcterms:created>
  <dcterms:modified xsi:type="dcterms:W3CDTF">2021-08-18T20:06:00Z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0x010100E9BC492F2AA5D74B850AB1729B4BEC47</vt:lpwstr>
  </property>
</Properties>
</file>