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BF" w:rsidRPr="00342587" w:rsidRDefault="005A3DC4" w:rsidP="00073CBF">
      <w:pPr>
        <w:pStyle w:val="Prrafodelista"/>
        <w:spacing w:after="0" w:line="312" w:lineRule="auto"/>
        <w:ind w:left="0"/>
        <w:jc w:val="both"/>
        <w:rPr>
          <w:rFonts w:ascii="Times New Roman" w:hAnsi="Times New Roman"/>
          <w:b/>
          <w:sz w:val="24"/>
          <w:szCs w:val="24"/>
          <w:u w:val="single"/>
        </w:rPr>
      </w:pPr>
      <w:r>
        <w:rPr>
          <w:rFonts w:ascii="Times New Roman" w:hAnsi="Times New Roman"/>
          <w:b/>
          <w:sz w:val="24"/>
          <w:szCs w:val="24"/>
          <w:u w:val="single"/>
        </w:rPr>
        <w:t xml:space="preserve">Convocatoria a Asamblea General </w:t>
      </w:r>
      <w:r w:rsidR="00770540">
        <w:rPr>
          <w:rFonts w:ascii="Times New Roman" w:hAnsi="Times New Roman"/>
          <w:b/>
          <w:sz w:val="24"/>
          <w:szCs w:val="24"/>
          <w:u w:val="single"/>
        </w:rPr>
        <w:t xml:space="preserve">Ordinaria y Extraordinaria del </w:t>
      </w:r>
      <w:r w:rsidR="00342587">
        <w:rPr>
          <w:rFonts w:ascii="Times New Roman" w:hAnsi="Times New Roman"/>
          <w:b/>
          <w:sz w:val="24"/>
          <w:szCs w:val="24"/>
          <w:u w:val="single"/>
        </w:rPr>
        <w:t xml:space="preserve">11 de mayo </w:t>
      </w:r>
      <w:r>
        <w:rPr>
          <w:rFonts w:ascii="Times New Roman" w:hAnsi="Times New Roman"/>
          <w:b/>
          <w:sz w:val="24"/>
          <w:szCs w:val="24"/>
          <w:u w:val="single"/>
        </w:rPr>
        <w:t>de 2020.</w:t>
      </w:r>
    </w:p>
    <w:p w:rsidR="00073CBF" w:rsidRDefault="00073CBF" w:rsidP="00073CBF">
      <w:pPr>
        <w:pStyle w:val="Prrafodelista"/>
        <w:spacing w:after="0" w:line="312" w:lineRule="auto"/>
        <w:ind w:left="0"/>
        <w:jc w:val="both"/>
        <w:rPr>
          <w:rFonts w:ascii="Times New Roman" w:hAnsi="Times New Roman"/>
          <w:sz w:val="24"/>
          <w:szCs w:val="24"/>
          <w:lang w:val="es-ES_tradnl"/>
        </w:rPr>
      </w:pPr>
    </w:p>
    <w:p w:rsidR="00EF4E2D" w:rsidRPr="00B66A5D" w:rsidRDefault="0040456A" w:rsidP="00EF4E2D">
      <w:pPr>
        <w:pStyle w:val="NormalWeb"/>
        <w:spacing w:before="0" w:beforeAutospacing="0" w:after="0" w:afterAutospacing="0" w:line="360" w:lineRule="auto"/>
        <w:jc w:val="both"/>
        <w:rPr>
          <w:lang w:val="es-MX"/>
        </w:rPr>
      </w:pPr>
      <w:r w:rsidRPr="0040456A">
        <w:rPr>
          <w:lang w:val="es-ES_tradnl"/>
        </w:rPr>
        <w:t>Pampa Energía S.A. convoca a una</w:t>
      </w:r>
      <w:r w:rsidR="00EF4E2D" w:rsidRPr="00B66A5D">
        <w:rPr>
          <w:lang w:val="es-MX"/>
        </w:rPr>
        <w:t xml:space="preserve"> Asamblea General </w:t>
      </w:r>
      <w:r w:rsidR="00EF4E2D" w:rsidRPr="00E02197">
        <w:rPr>
          <w:lang w:val="es-MX"/>
        </w:rPr>
        <w:t xml:space="preserve">Ordinaria y Extraordinaria </w:t>
      </w:r>
      <w:r w:rsidR="00EF4E2D" w:rsidRPr="0096228A">
        <w:rPr>
          <w:lang w:val="es-MX"/>
        </w:rPr>
        <w:t>de Accionistas de l</w:t>
      </w:r>
      <w:r w:rsidR="00EF4E2D" w:rsidRPr="00E02197">
        <w:rPr>
          <w:lang w:val="es-MX"/>
        </w:rPr>
        <w:t xml:space="preserve">a Sociedad a </w:t>
      </w:r>
      <w:r w:rsidR="00EF4E2D" w:rsidRPr="00DB7432">
        <w:rPr>
          <w:lang w:val="es-MX"/>
        </w:rPr>
        <w:t xml:space="preserve">celebrarse el día </w:t>
      </w:r>
      <w:r w:rsidR="00342587">
        <w:rPr>
          <w:lang w:val="es-MX"/>
        </w:rPr>
        <w:t>11</w:t>
      </w:r>
      <w:r w:rsidR="00EF4E2D" w:rsidRPr="00DB7432">
        <w:rPr>
          <w:lang w:val="es-MX"/>
        </w:rPr>
        <w:t xml:space="preserve"> de </w:t>
      </w:r>
      <w:r w:rsidR="00342587">
        <w:rPr>
          <w:lang w:val="es-MX"/>
        </w:rPr>
        <w:t>mayo</w:t>
      </w:r>
      <w:r w:rsidR="00EF4E2D" w:rsidRPr="00DB7432">
        <w:rPr>
          <w:lang w:val="es-MX"/>
        </w:rPr>
        <w:t xml:space="preserve"> de 2020 a las 11:00 horas en primera convocatoria y, en el caso de la Asamblea General Ordinaria, a las 12:00 horas en segunda convocatoria, </w:t>
      </w:r>
      <w:r w:rsidR="00342587" w:rsidRPr="00342587">
        <w:rPr>
          <w:lang w:val="es-MX"/>
        </w:rPr>
        <w:t xml:space="preserve">que tendrá lugar: (i) en caso de celebrarse de forma presencial en la sede social sita en Maipú 1, Ciudad Autónoma de Buenos Aires; o (ii) en caso de celebrarse a distancia conforme lo dispuesto por la Resolución General de la Comisión Nacional de Valores Nº 830/2020, mediante el sistema Microsoft </w:t>
      </w:r>
      <w:proofErr w:type="spellStart"/>
      <w:r w:rsidR="00342587" w:rsidRPr="00342587">
        <w:rPr>
          <w:lang w:val="es-MX"/>
        </w:rPr>
        <w:t>Teams</w:t>
      </w:r>
      <w:proofErr w:type="spellEnd"/>
      <w:r w:rsidR="00342587" w:rsidRPr="00342587">
        <w:rPr>
          <w:lang w:val="es-MX"/>
        </w:rPr>
        <w:t>; a fin de considerar los siguientes puntos del Orden del Día:</w:t>
      </w:r>
    </w:p>
    <w:p w:rsidR="00EF4E2D" w:rsidRPr="00B66A5D" w:rsidRDefault="00EF4E2D" w:rsidP="00EF4E2D">
      <w:pPr>
        <w:spacing w:after="0" w:line="360" w:lineRule="auto"/>
        <w:jc w:val="both"/>
        <w:rPr>
          <w:rFonts w:ascii="Times New Roman" w:hAnsi="Times New Roman"/>
          <w:sz w:val="24"/>
          <w:szCs w:val="24"/>
          <w:lang w:val="es-MX"/>
        </w:rPr>
      </w:pP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 xml:space="preserve">1º) Consideración de la: (a) celebración de la presente Asamblea a distancia conforme los términos dispuestos por la Resolución General de la Comisión Nacional de Valores Nº 830/2020; y (b) ratificación de lo decidido por la Asamblea General Extraordinaria celebrada el día 7 de abril de 2020 de forma remota </w:t>
      </w:r>
      <w:r w:rsidRPr="00342587">
        <w:rPr>
          <w:rFonts w:ascii="Times New Roman" w:hAnsi="Times New Roman"/>
          <w:i/>
          <w:sz w:val="24"/>
          <w:szCs w:val="24"/>
          <w:lang w:val="es-MX"/>
        </w:rPr>
        <w:t>(para la consideración de este punto, la Asamblea sesionará con carácter de Extraordinaria)</w:t>
      </w:r>
      <w:r w:rsidRPr="00342587">
        <w:rPr>
          <w:rFonts w:ascii="Times New Roman" w:hAnsi="Times New Roman"/>
          <w:sz w:val="24"/>
          <w:szCs w:val="24"/>
          <w:lang w:val="es-MX"/>
        </w:rPr>
        <w:t xml:space="preserve">.    </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2º) Designación de accionistas para aprobar y firmar el acta de Asamblea.</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3°) Consideración de los Estados de Situación Financiera, de Resultados Integrales, de Cambio en el Patrimonio, de Flujo de Efectivo, las Notas, el Informe del Auditor Externo, el Informe de la Comisión Fiscalizadora, la Memoria y el Informe sobre el grado de cumplimiento del Código de Gobierno Societario, la Reseña Informativa requerida por las Normas de la Comisión Nacional de Valores y la información adicional requerida por las normas aplicables, todo ello correspondiente al ejercicio finalizado al 31 de diciembre de 2019.</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 xml:space="preserve">4°) Consideración del resultado del ejercicio y su destino </w:t>
      </w:r>
      <w:r w:rsidRPr="00342587">
        <w:rPr>
          <w:rFonts w:ascii="Times New Roman" w:hAnsi="Times New Roman"/>
          <w:i/>
          <w:sz w:val="24"/>
          <w:szCs w:val="24"/>
          <w:lang w:val="es-MX"/>
        </w:rPr>
        <w:t>(para la consideración de este punto, la Asamblea sesionará con carácter de Extraordinaria)</w:t>
      </w:r>
      <w:r w:rsidRPr="00342587">
        <w:rPr>
          <w:rFonts w:ascii="Times New Roman" w:hAnsi="Times New Roman"/>
          <w:sz w:val="24"/>
          <w:szCs w:val="24"/>
          <w:lang w:val="es-MX"/>
        </w:rPr>
        <w:t>.</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5°) Consideración de la gestión de los miembros de la Comisión Fiscalizadora y sus remuneraciones correspondientes al ejercicio cerrado el 31 de diciembre de 2019.</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6°) Consideración de la gestión de los miembros del Directorio y sus remuneraciones correspondientes al ejercicio cerrado el 31 de diciembre de 2019.</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7°) Consideración de la remuneración del Auditor Externo.</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lastRenderedPageBreak/>
        <w:t>8°) Designación de directores titulares y suplentes. Designación de miembros del Comité de Auditoría.</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9°) Designación del Auditor Externo Titular y Suplente que dictaminará sobre los estados financieros correspondientes al ejercicio iniciado el 1 de enero de 2020.</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10°) Determinación de la retribución del Auditor Externo Titular y Suplente que dictaminará sobre los estados financieros correspondientes al ejercicio iniciado el 1 de enero de 2020.</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11°) Consideración de la asignación de una partida presupuestaria para el funcionamiento del Comité de Auditoría.</w:t>
      </w:r>
    </w:p>
    <w:p w:rsidR="00342587" w:rsidRPr="00342587" w:rsidRDefault="00342587" w:rsidP="00342587">
      <w:pPr>
        <w:spacing w:after="0" w:line="360" w:lineRule="auto"/>
        <w:jc w:val="both"/>
        <w:rPr>
          <w:rFonts w:ascii="Times New Roman" w:hAnsi="Times New Roman"/>
          <w:i/>
          <w:sz w:val="24"/>
          <w:szCs w:val="24"/>
          <w:lang w:val="es-MX"/>
        </w:rPr>
      </w:pPr>
      <w:r w:rsidRPr="00342587">
        <w:rPr>
          <w:rFonts w:ascii="Times New Roman" w:hAnsi="Times New Roman"/>
          <w:sz w:val="24"/>
          <w:szCs w:val="24"/>
          <w:lang w:val="es-MX"/>
        </w:rPr>
        <w:t xml:space="preserve">12°) Consideración de: (i) la Fusión de Pampa Energía S.A. con Central Piedra Buena S.A. en los términos de los artículos 82 y siguientes de la Ley General de Sociedades y del artículo 80 y siguientes de la Ley de Impuesto a las Ganancias (según su texto ordenado 2019); (ii) el Estado de Situación Financiera Individual Especial de Fusión de la Sociedad al 31 de diciembre de 2019 y el Estado de Situación Financiera Consolidado de Fusión al 31 de diciembre de 2019, junto con sus respectivos informes del auditor externo e informes de la Comisión Fiscalizadora; (iii) el compromiso previo de fusión; y (iv) el otorgamiento de autorizaciones para suscribir el acuerdo definitivo de fusión </w:t>
      </w:r>
      <w:r w:rsidRPr="00342587">
        <w:rPr>
          <w:rFonts w:ascii="Times New Roman" w:hAnsi="Times New Roman"/>
          <w:i/>
          <w:sz w:val="24"/>
          <w:szCs w:val="24"/>
          <w:lang w:val="es-MX"/>
        </w:rPr>
        <w:t>(para la consideración de este punto, la Asamblea sesionara con carácter de extraordinaria)</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 xml:space="preserve">13°) Consideración de la modificación del artículo cuarto del Estatuto Social. Aprobación de un Texto Ordenado del Estatuto Social. </w:t>
      </w:r>
      <w:r w:rsidRPr="00342587">
        <w:rPr>
          <w:rFonts w:ascii="Times New Roman" w:hAnsi="Times New Roman"/>
          <w:i/>
          <w:sz w:val="24"/>
          <w:szCs w:val="24"/>
          <w:lang w:val="es-MX"/>
        </w:rPr>
        <w:t>(para la consideración de este punto, la Asamblea sesionara con carácter de extraordinaria)</w:t>
      </w:r>
    </w:p>
    <w:p w:rsidR="00342587" w:rsidRPr="00342587" w:rsidRDefault="00342587" w:rsidP="00342587">
      <w:pPr>
        <w:spacing w:after="0" w:line="360" w:lineRule="auto"/>
        <w:jc w:val="both"/>
        <w:rPr>
          <w:rFonts w:ascii="Times New Roman" w:hAnsi="Times New Roman"/>
          <w:sz w:val="24"/>
          <w:szCs w:val="24"/>
          <w:lang w:val="es-MX"/>
        </w:rPr>
      </w:pPr>
      <w:r w:rsidRPr="00342587">
        <w:rPr>
          <w:rFonts w:ascii="Times New Roman" w:hAnsi="Times New Roman"/>
          <w:sz w:val="24"/>
          <w:szCs w:val="24"/>
          <w:lang w:val="es-MX"/>
        </w:rPr>
        <w:t>14°) Otorgamiento de autorizaciones para la realización de los trámites y presentaciones necesarios para la obtención de las inscripciones correspondientes.</w:t>
      </w:r>
    </w:p>
    <w:p w:rsidR="00342587" w:rsidRPr="00342587" w:rsidRDefault="00342587" w:rsidP="00342587">
      <w:pPr>
        <w:spacing w:after="0" w:line="360" w:lineRule="auto"/>
        <w:jc w:val="both"/>
        <w:rPr>
          <w:rFonts w:ascii="Times New Roman" w:hAnsi="Times New Roman"/>
          <w:sz w:val="24"/>
          <w:szCs w:val="24"/>
          <w:lang w:val="es-MX"/>
        </w:rPr>
      </w:pPr>
    </w:p>
    <w:p w:rsidR="00342587" w:rsidRPr="00342587" w:rsidRDefault="00342587" w:rsidP="00342587">
      <w:pPr>
        <w:spacing w:after="0" w:line="360" w:lineRule="auto"/>
        <w:jc w:val="both"/>
        <w:rPr>
          <w:rFonts w:ascii="Times New Roman" w:hAnsi="Times New Roman"/>
          <w:i/>
          <w:sz w:val="24"/>
          <w:szCs w:val="24"/>
        </w:rPr>
      </w:pPr>
      <w:r w:rsidRPr="00342587">
        <w:rPr>
          <w:rFonts w:ascii="Times New Roman" w:hAnsi="Times New Roman"/>
          <w:b/>
          <w:i/>
          <w:sz w:val="24"/>
          <w:szCs w:val="24"/>
          <w:u w:val="single"/>
        </w:rPr>
        <w:t>NOTA 1</w:t>
      </w:r>
      <w:r w:rsidRPr="00342587">
        <w:rPr>
          <w:rFonts w:ascii="Times New Roman" w:hAnsi="Times New Roman"/>
          <w:i/>
          <w:sz w:val="24"/>
          <w:szCs w:val="24"/>
        </w:rPr>
        <w:t xml:space="preserve">: los Sres. Accionistas deberán remitir sus correspondientes constancias de saldo de cuenta de acciones escriturales, libradas al efecto por Caja de Valores S.A., a Maipú 1, Planta Baja, Ciudad Autónoma de Buenos Aires, o a la casilla de mail </w:t>
      </w:r>
      <w:hyperlink r:id="rId5" w:history="1">
        <w:r w:rsidRPr="00342587">
          <w:rPr>
            <w:rFonts w:ascii="Times New Roman" w:hAnsi="Times New Roman"/>
            <w:i/>
            <w:color w:val="0000FF"/>
            <w:sz w:val="24"/>
            <w:szCs w:val="24"/>
            <w:u w:val="single"/>
          </w:rPr>
          <w:t>legalcorporativo@pampaenergia.com</w:t>
        </w:r>
      </w:hyperlink>
      <w:r w:rsidRPr="00342587">
        <w:rPr>
          <w:rFonts w:ascii="Times New Roman" w:hAnsi="Times New Roman"/>
          <w:i/>
          <w:sz w:val="24"/>
          <w:szCs w:val="24"/>
        </w:rPr>
        <w:t xml:space="preserve"> en cualquier día hábil de 10:00 a 18:00 horas y hasta el día 5 de mayo de 2020, inclusive. </w:t>
      </w:r>
      <w:r w:rsidRPr="00342587">
        <w:rPr>
          <w:rFonts w:ascii="Times New Roman" w:hAnsi="Times New Roman"/>
          <w:b/>
          <w:i/>
          <w:sz w:val="24"/>
          <w:szCs w:val="24"/>
          <w:u w:val="single"/>
        </w:rPr>
        <w:t>NOTA 2</w:t>
      </w:r>
      <w:r w:rsidRPr="00342587">
        <w:rPr>
          <w:rFonts w:ascii="Times New Roman" w:hAnsi="Times New Roman"/>
          <w:i/>
          <w:sz w:val="24"/>
          <w:szCs w:val="24"/>
        </w:rPr>
        <w:t xml:space="preserve">: atento lo dispuesto por las Normas de la Comisión Nacional de Valores T.O. 2013, al momento de inscripción para participar de la Asamblea, se deberá informar los siguientes datos del titular de las acciones: nombre y apellido o denominación social completa; tipo y N° de documento de identidad de las </w:t>
      </w:r>
      <w:r w:rsidRPr="00342587">
        <w:rPr>
          <w:rFonts w:ascii="Times New Roman" w:hAnsi="Times New Roman"/>
          <w:i/>
          <w:sz w:val="24"/>
          <w:szCs w:val="24"/>
        </w:rPr>
        <w:lastRenderedPageBreak/>
        <w:t>personas físicas o datos de inscripción registral de las personas jurídicas con expresa indicación del Registro donde se hallan inscriptas y de su jurisdicción; domicilio con indicación de su carácter; y datos de contacto (mail y teléfono). Los mismos datos deberán ser proporcionados por quien asista a la Asamblea como representante del titular de las acciones.</w:t>
      </w:r>
      <w:r>
        <w:rPr>
          <w:rFonts w:ascii="Times New Roman" w:hAnsi="Times New Roman"/>
          <w:i/>
          <w:sz w:val="24"/>
          <w:szCs w:val="24"/>
        </w:rPr>
        <w:t xml:space="preserve"> </w:t>
      </w:r>
      <w:r w:rsidRPr="00342587">
        <w:rPr>
          <w:rFonts w:ascii="Times New Roman" w:hAnsi="Times New Roman"/>
          <w:b/>
          <w:i/>
          <w:sz w:val="24"/>
          <w:szCs w:val="24"/>
          <w:u w:val="single"/>
        </w:rPr>
        <w:t>NOTA 3</w:t>
      </w:r>
      <w:r w:rsidRPr="00342587">
        <w:rPr>
          <w:rFonts w:ascii="Times New Roman" w:hAnsi="Times New Roman"/>
          <w:b/>
          <w:i/>
          <w:sz w:val="24"/>
          <w:szCs w:val="24"/>
        </w:rPr>
        <w:t>:</w:t>
      </w:r>
      <w:r w:rsidRPr="00342587">
        <w:rPr>
          <w:rFonts w:ascii="Times New Roman" w:hAnsi="Times New Roman"/>
          <w:i/>
          <w:sz w:val="24"/>
          <w:szCs w:val="24"/>
        </w:rPr>
        <w:t xml:space="preserve"> conforme lo dispuesto por la Resolución General CNV Nº 830/2020 se informa que, en caso de continuar la vigencia del Aislamiento Social, Preventivo y Obligatorio dispuesto por el Decreto de Necesidad y Urgencia N° 297/2020 y normas sucesivas del Poder Ejecutivo Nacional a la fecha de convocatoria, la Asamblea podrá celebrarse a distancia bajo las consideraciones que se detallan en la presente NOTA. Con anticipación suficiente a la reunión se evaluará la situación sanitaria y normativa a fin de evaluar si la reunión se debe celebrar de forma presencial o a distancia, lo que será debidamente informado por los distintos medios de comunicación al mercado. En caso de ser celebrada a distancia, la reunión se realizará mediante el sistema Microsoft </w:t>
      </w:r>
      <w:proofErr w:type="spellStart"/>
      <w:r w:rsidRPr="00342587">
        <w:rPr>
          <w:rFonts w:ascii="Times New Roman" w:hAnsi="Times New Roman"/>
          <w:i/>
          <w:sz w:val="24"/>
          <w:szCs w:val="24"/>
        </w:rPr>
        <w:t>Teams</w:t>
      </w:r>
      <w:proofErr w:type="spellEnd"/>
      <w:r w:rsidRPr="00342587">
        <w:rPr>
          <w:rFonts w:ascii="Times New Roman" w:hAnsi="Times New Roman"/>
          <w:i/>
          <w:sz w:val="24"/>
          <w:szCs w:val="24"/>
        </w:rPr>
        <w:t>, el cual garantiza: 1. La libre accesibilidad a la reunión de todos los accionistas que se hayan registrado a la misma, con voz y voto.2. La transmisión simultánea de sonido, imágenes y palabras en el transcurso de toda la reunión; 3. La grabación de la reunión en soporte digital. A aquellos accionistas que se hayan registrado en tiempo y forma a la Asamblea se les enviará un aplicativo para conectarse al sistema al mail que nos indiquen al momento de su registración. Los apoderados deberán remitirnos con al menos CINCO (5) días hábiles de antelación a la celebración de la Asamblea el instrumento habilitante correspondiente, suficientemente autenticado a la casilla de correo mencionada en la NOTA 1.</w:t>
      </w:r>
      <w:r>
        <w:rPr>
          <w:rFonts w:ascii="Times New Roman" w:hAnsi="Times New Roman"/>
          <w:i/>
          <w:sz w:val="24"/>
          <w:szCs w:val="24"/>
        </w:rPr>
        <w:t xml:space="preserve"> </w:t>
      </w:r>
      <w:r w:rsidRPr="00342587">
        <w:rPr>
          <w:rFonts w:ascii="Times New Roman" w:hAnsi="Times New Roman"/>
          <w:b/>
          <w:bCs/>
          <w:i/>
          <w:iCs/>
          <w:snapToGrid w:val="0"/>
          <w:sz w:val="24"/>
          <w:szCs w:val="24"/>
          <w:u w:val="single"/>
          <w:lang w:eastAsia="es-AR"/>
        </w:rPr>
        <w:t>NOTA 4</w:t>
      </w:r>
      <w:r w:rsidRPr="00342587">
        <w:rPr>
          <w:rFonts w:ascii="Times New Roman" w:hAnsi="Times New Roman"/>
          <w:b/>
          <w:bCs/>
          <w:i/>
          <w:iCs/>
          <w:snapToGrid w:val="0"/>
          <w:sz w:val="24"/>
          <w:szCs w:val="24"/>
          <w:lang w:eastAsia="es-AR"/>
        </w:rPr>
        <w:t>:</w:t>
      </w:r>
      <w:r w:rsidRPr="00342587">
        <w:rPr>
          <w:rFonts w:ascii="Times New Roman" w:hAnsi="Times New Roman"/>
          <w:i/>
          <w:iCs/>
          <w:snapToGrid w:val="0"/>
          <w:sz w:val="24"/>
          <w:szCs w:val="24"/>
          <w:lang w:eastAsia="es-AR"/>
        </w:rPr>
        <w:t xml:space="preserve"> se recuerda a los Sres. Accionistas que, conforme lo establecido por las Normas de la Comisión Nacional de Valores T.O. 2013, cuando los accionistas sean sociedades constituidas en el extranjero, (i) deberán informar los beneficiarios finales titulares de las acciones que conforman el capital social de la sociedad extranjera y la cantidad de acciones con las que votarán, a tal fin deberán consignar el nombre y apellido, nacionalidad, domicilio real, fecha de nacimiento, documento nacional de identidad o pasaporte, CUIT, CUIL u otra forma de identificación tributaria y profesión, y (ii) deberá acreditar el instrumento en el que conste su inscripción en los términos del Artículo 118 o 123 de la Ley General de Sociedades Nro. 19.550 y sus modificatorias, y el representante designado a los efectos de efectuar la votación deberá estar debidamente inscripto en el Registro Público que corresponda o </w:t>
      </w:r>
      <w:r w:rsidRPr="00342587">
        <w:rPr>
          <w:rFonts w:ascii="Times New Roman" w:hAnsi="Times New Roman"/>
          <w:i/>
          <w:iCs/>
          <w:snapToGrid w:val="0"/>
          <w:sz w:val="24"/>
          <w:szCs w:val="24"/>
          <w:lang w:eastAsia="es-AR"/>
        </w:rPr>
        <w:lastRenderedPageBreak/>
        <w:t>acreditar ser mandatario debidamente instituido.</w:t>
      </w:r>
      <w:r>
        <w:rPr>
          <w:rFonts w:ascii="Times New Roman" w:hAnsi="Times New Roman"/>
          <w:i/>
          <w:iCs/>
          <w:snapToGrid w:val="0"/>
          <w:sz w:val="24"/>
          <w:szCs w:val="24"/>
          <w:lang w:eastAsia="es-AR"/>
        </w:rPr>
        <w:t xml:space="preserve"> </w:t>
      </w:r>
      <w:r w:rsidRPr="00342587">
        <w:rPr>
          <w:rFonts w:ascii="Times New Roman" w:hAnsi="Times New Roman"/>
          <w:b/>
          <w:bCs/>
          <w:i/>
          <w:iCs/>
          <w:snapToGrid w:val="0"/>
          <w:sz w:val="24"/>
          <w:szCs w:val="24"/>
          <w:u w:val="single"/>
          <w:lang w:eastAsia="es-AR"/>
        </w:rPr>
        <w:t>NOTA 5</w:t>
      </w:r>
      <w:r w:rsidRPr="00342587">
        <w:rPr>
          <w:rFonts w:ascii="Times New Roman" w:hAnsi="Times New Roman"/>
          <w:i/>
          <w:iCs/>
          <w:snapToGrid w:val="0"/>
          <w:sz w:val="24"/>
          <w:szCs w:val="24"/>
          <w:lang w:eastAsia="es-AR"/>
        </w:rPr>
        <w:t>: adicionalmente, si el titular de las participaciones sociales fuera un “trust”, fideicomiso o figura similar, o una fundación o figura similar, sea de finalidad pública o privada, para votar en la Asamblea deberán dar cumplimiento al Artículo 26, Capítulo II, Título II de las Normas de la Comisión Nacional de Valores T.O. 2013.</w:t>
      </w:r>
      <w:r>
        <w:rPr>
          <w:rFonts w:ascii="Times New Roman" w:hAnsi="Times New Roman"/>
          <w:i/>
          <w:iCs/>
          <w:snapToGrid w:val="0"/>
          <w:sz w:val="24"/>
          <w:szCs w:val="24"/>
          <w:lang w:eastAsia="es-AR"/>
        </w:rPr>
        <w:t xml:space="preserve"> </w:t>
      </w:r>
      <w:r w:rsidRPr="00342587">
        <w:rPr>
          <w:rFonts w:ascii="Times New Roman" w:hAnsi="Times New Roman"/>
          <w:b/>
          <w:i/>
          <w:sz w:val="24"/>
          <w:szCs w:val="24"/>
          <w:u w:val="single"/>
        </w:rPr>
        <w:t>NOTA 6</w:t>
      </w:r>
      <w:r w:rsidRPr="00342587">
        <w:rPr>
          <w:rFonts w:ascii="Times New Roman" w:hAnsi="Times New Roman"/>
          <w:i/>
          <w:sz w:val="24"/>
          <w:szCs w:val="24"/>
        </w:rPr>
        <w:t>: se ruega a los Sres. Accionistas presentarse con no menos de 15 minutos de anticipación a la hora prevista para la realización de la Asamblea.</w:t>
      </w:r>
    </w:p>
    <w:p w:rsidR="00997570" w:rsidRDefault="00997570" w:rsidP="00770540">
      <w:pPr>
        <w:spacing w:after="0" w:line="360" w:lineRule="auto"/>
        <w:jc w:val="both"/>
        <w:rPr>
          <w:rFonts w:ascii="Times New Roman" w:hAnsi="Times New Roman"/>
          <w:i/>
          <w:sz w:val="24"/>
          <w:szCs w:val="24"/>
        </w:rPr>
      </w:pPr>
    </w:p>
    <w:p w:rsidR="00770540" w:rsidRPr="00B66A5D" w:rsidRDefault="00770540" w:rsidP="00770540">
      <w:pPr>
        <w:spacing w:after="0" w:line="360" w:lineRule="auto"/>
        <w:jc w:val="both"/>
        <w:rPr>
          <w:rFonts w:ascii="Times New Roman" w:hAnsi="Times New Roman"/>
          <w:sz w:val="24"/>
          <w:szCs w:val="24"/>
          <w:lang w:val="es-AR"/>
        </w:rPr>
      </w:pPr>
      <w:r w:rsidRPr="00B66A5D">
        <w:rPr>
          <w:rFonts w:ascii="Times New Roman" w:hAnsi="Times New Roman"/>
          <w:b/>
          <w:sz w:val="24"/>
          <w:szCs w:val="24"/>
          <w:u w:val="single"/>
        </w:rPr>
        <w:t xml:space="preserve">Propuestas del Directorio respecto de los </w:t>
      </w:r>
      <w:r w:rsidRPr="0096228A">
        <w:rPr>
          <w:rFonts w:ascii="Times New Roman" w:hAnsi="Times New Roman"/>
          <w:b/>
          <w:sz w:val="24"/>
          <w:szCs w:val="24"/>
          <w:u w:val="single"/>
        </w:rPr>
        <w:t xml:space="preserve">distintos puntos del Orden del Día estipulado para la Asamblea General Ordinaria </w:t>
      </w:r>
      <w:r w:rsidRPr="00A82047">
        <w:rPr>
          <w:rFonts w:ascii="Times New Roman" w:hAnsi="Times New Roman"/>
          <w:b/>
          <w:sz w:val="24"/>
          <w:szCs w:val="24"/>
          <w:u w:val="single"/>
        </w:rPr>
        <w:t xml:space="preserve">y </w:t>
      </w:r>
      <w:r w:rsidRPr="00100275">
        <w:rPr>
          <w:rFonts w:ascii="Times New Roman" w:hAnsi="Times New Roman"/>
          <w:b/>
          <w:sz w:val="24"/>
          <w:szCs w:val="24"/>
          <w:u w:val="single"/>
        </w:rPr>
        <w:t>Extraordinaria</w:t>
      </w:r>
      <w:r w:rsidRPr="0096228A">
        <w:rPr>
          <w:rFonts w:ascii="Times New Roman" w:hAnsi="Times New Roman"/>
          <w:b/>
          <w:sz w:val="24"/>
          <w:szCs w:val="24"/>
          <w:u w:val="single"/>
        </w:rPr>
        <w:t xml:space="preserve"> de Accionistas</w:t>
      </w:r>
      <w:r w:rsidRPr="00B66A5D">
        <w:rPr>
          <w:rFonts w:ascii="Times New Roman" w:hAnsi="Times New Roman"/>
          <w:b/>
          <w:sz w:val="24"/>
          <w:szCs w:val="24"/>
          <w:u w:val="single"/>
        </w:rPr>
        <w:t xml:space="preserve"> convocada para el </w:t>
      </w:r>
      <w:r w:rsidRPr="00DB7432">
        <w:rPr>
          <w:rFonts w:ascii="Times New Roman" w:hAnsi="Times New Roman"/>
          <w:b/>
          <w:sz w:val="24"/>
          <w:szCs w:val="24"/>
          <w:u w:val="single"/>
        </w:rPr>
        <w:t xml:space="preserve">día </w:t>
      </w:r>
      <w:r w:rsidR="0076193E">
        <w:rPr>
          <w:rFonts w:ascii="Times New Roman" w:hAnsi="Times New Roman"/>
          <w:b/>
          <w:sz w:val="24"/>
          <w:szCs w:val="24"/>
          <w:u w:val="single"/>
        </w:rPr>
        <w:t>11</w:t>
      </w:r>
      <w:r w:rsidRPr="00DB7432">
        <w:rPr>
          <w:rFonts w:ascii="Times New Roman" w:hAnsi="Times New Roman"/>
          <w:b/>
          <w:sz w:val="24"/>
          <w:szCs w:val="24"/>
          <w:u w:val="single"/>
        </w:rPr>
        <w:t xml:space="preserve"> de </w:t>
      </w:r>
      <w:r w:rsidR="0076193E">
        <w:rPr>
          <w:rFonts w:ascii="Times New Roman" w:hAnsi="Times New Roman"/>
          <w:b/>
          <w:sz w:val="24"/>
          <w:szCs w:val="24"/>
          <w:u w:val="single"/>
        </w:rPr>
        <w:t>mayo</w:t>
      </w:r>
      <w:bookmarkStart w:id="0" w:name="_GoBack"/>
      <w:bookmarkEnd w:id="0"/>
      <w:r w:rsidRPr="00DB7432">
        <w:rPr>
          <w:rFonts w:ascii="Times New Roman" w:hAnsi="Times New Roman"/>
          <w:b/>
          <w:sz w:val="24"/>
          <w:szCs w:val="24"/>
          <w:u w:val="single"/>
        </w:rPr>
        <w:t xml:space="preserve"> de 2020</w:t>
      </w:r>
      <w:r w:rsidRPr="00DB7432">
        <w:rPr>
          <w:rFonts w:ascii="Times New Roman" w:hAnsi="Times New Roman"/>
          <w:b/>
          <w:sz w:val="24"/>
          <w:szCs w:val="24"/>
        </w:rPr>
        <w:t>.</w:t>
      </w:r>
    </w:p>
    <w:p w:rsidR="00770540" w:rsidRDefault="00770540" w:rsidP="00770540">
      <w:pPr>
        <w:spacing w:after="0" w:line="360" w:lineRule="auto"/>
        <w:jc w:val="both"/>
        <w:rPr>
          <w:rFonts w:ascii="Times New Roman" w:hAnsi="Times New Roman"/>
          <w:sz w:val="24"/>
          <w:szCs w:val="24"/>
          <w:lang w:val="es-AR"/>
        </w:rPr>
      </w:pPr>
    </w:p>
    <w:p w:rsidR="00997570" w:rsidRPr="00B66A5D" w:rsidRDefault="00997570" w:rsidP="00997570">
      <w:pPr>
        <w:spacing w:after="0" w:line="360" w:lineRule="auto"/>
        <w:jc w:val="both"/>
        <w:rPr>
          <w:rFonts w:ascii="Times New Roman" w:hAnsi="Times New Roman"/>
          <w:sz w:val="24"/>
          <w:szCs w:val="24"/>
        </w:rPr>
      </w:pPr>
      <w:r>
        <w:rPr>
          <w:rFonts w:ascii="Times New Roman" w:hAnsi="Times New Roman"/>
          <w:sz w:val="24"/>
          <w:szCs w:val="24"/>
        </w:rPr>
        <w:t>Si bien los puntos de la convocatoria efectuada para el día 11 de mayo de 2020 son prácticamente idénticos a los previstos originariamente para el día 29 de abril de 2020, el Directorio realizó nuevamente las propuestas sobre los temas a tratar en la asamblea convocada conforme el artículo 70 de</w:t>
      </w:r>
      <w:r w:rsidRPr="00C05CA4">
        <w:rPr>
          <w:rFonts w:ascii="Times New Roman" w:hAnsi="Times New Roman"/>
          <w:sz w:val="24"/>
          <w:szCs w:val="24"/>
        </w:rPr>
        <w:t xml:space="preserve"> la Ley 26.831 de Mercado de Capitales</w:t>
      </w:r>
      <w:r>
        <w:rPr>
          <w:rFonts w:ascii="Times New Roman" w:hAnsi="Times New Roman"/>
          <w:sz w:val="24"/>
          <w:szCs w:val="24"/>
        </w:rPr>
        <w:t>. Se deja constancia que, salvo por el primer punto –en virtud de lo requerido por la Resolución General de la CNV N° 830/2020- y en el ahora octavo (antes séptimo) punto del Orden del Día, las propuestas son idénticas a las efectuadas para la anterior asamblea, habiéndose cumplido en tiempo y forma el régimen informativo previo a los distintos organismos de contralor previsto por la normativa aplicable. Al respecto, el Directorio formuló</w:t>
      </w:r>
      <w:r w:rsidRPr="00C05CA4">
        <w:rPr>
          <w:rFonts w:ascii="Times New Roman" w:hAnsi="Times New Roman"/>
          <w:sz w:val="24"/>
          <w:szCs w:val="24"/>
        </w:rPr>
        <w:t xml:space="preserve"> a los Sres. Accionistas las siguientes propuestas sobre los temas a tratar por la Asamblea General Ordinaria y Extraordinaria a celebrarse el próximo 11 de mayo de</w:t>
      </w:r>
      <w:r w:rsidRPr="00DB7432">
        <w:rPr>
          <w:rFonts w:ascii="Times New Roman" w:hAnsi="Times New Roman"/>
          <w:sz w:val="24"/>
          <w:szCs w:val="24"/>
        </w:rPr>
        <w:t xml:space="preserve"> 2020:</w:t>
      </w:r>
      <w:r w:rsidRPr="00B66A5D">
        <w:rPr>
          <w:rFonts w:ascii="Times New Roman" w:hAnsi="Times New Roman"/>
          <w:sz w:val="24"/>
          <w:szCs w:val="24"/>
        </w:rPr>
        <w:t xml:space="preserve"> </w:t>
      </w:r>
    </w:p>
    <w:p w:rsidR="00770540" w:rsidRDefault="00770540" w:rsidP="00073CBF">
      <w:pPr>
        <w:pStyle w:val="Prrafodelista"/>
        <w:spacing w:after="0" w:line="312" w:lineRule="auto"/>
        <w:ind w:left="0"/>
        <w:jc w:val="both"/>
        <w:rPr>
          <w:rFonts w:ascii="Times New Roman" w:hAnsi="Times New Roman"/>
          <w:sz w:val="24"/>
          <w:szCs w:val="24"/>
        </w:rPr>
      </w:pPr>
    </w:p>
    <w:p w:rsidR="00997570" w:rsidRPr="00B66A5D" w:rsidRDefault="00997570" w:rsidP="00997570">
      <w:pPr>
        <w:spacing w:after="0" w:line="360" w:lineRule="auto"/>
        <w:ind w:left="357"/>
        <w:jc w:val="both"/>
        <w:rPr>
          <w:rFonts w:ascii="Times New Roman" w:hAnsi="Times New Roman"/>
          <w:sz w:val="24"/>
          <w:szCs w:val="24"/>
          <w:lang w:val="es-AR"/>
        </w:rPr>
      </w:pPr>
    </w:p>
    <w:p w:rsidR="00997570" w:rsidRPr="00C05CA4" w:rsidRDefault="00997570" w:rsidP="00997570">
      <w:pPr>
        <w:numPr>
          <w:ilvl w:val="0"/>
          <w:numId w:val="3"/>
        </w:numPr>
        <w:spacing w:after="0" w:line="360" w:lineRule="auto"/>
        <w:jc w:val="both"/>
        <w:rPr>
          <w:rFonts w:ascii="Times New Roman" w:hAnsi="Times New Roman"/>
          <w:sz w:val="24"/>
          <w:szCs w:val="24"/>
          <w:lang w:val="es-AR"/>
        </w:rPr>
      </w:pPr>
      <w:r w:rsidRPr="00C05CA4">
        <w:rPr>
          <w:rFonts w:ascii="Times New Roman" w:hAnsi="Times New Roman"/>
          <w:sz w:val="24"/>
          <w:szCs w:val="24"/>
          <w:lang w:val="es-AR"/>
        </w:rPr>
        <w:t xml:space="preserve">Respecto del primer punto del Orden del Día, es decir: </w:t>
      </w:r>
      <w:r w:rsidRPr="00C05CA4">
        <w:rPr>
          <w:rFonts w:ascii="Times New Roman" w:hAnsi="Times New Roman"/>
          <w:i/>
          <w:sz w:val="24"/>
          <w:szCs w:val="24"/>
          <w:lang w:val="es-AR"/>
        </w:rPr>
        <w:t>“Consideración de: (a) la celebración de la presente Asamblea a distancia conforme los términos dispuestos por la Resolución General de la Comisión Nacional de Valores Nº 830/2020; y (b) la ratificación de lo decidido por la Asamblea General Extraordinaria celebrada el día 7 de abril de 2020 de forma remota</w:t>
      </w:r>
      <w:r w:rsidRPr="00C05CA4">
        <w:rPr>
          <w:rFonts w:ascii="Times New Roman" w:hAnsi="Times New Roman"/>
          <w:sz w:val="24"/>
          <w:szCs w:val="24"/>
          <w:lang w:val="es-AR"/>
        </w:rPr>
        <w:t xml:space="preserve">”, el Directorio de forma unánime resuelve proponer a la Asamblea de Accionistas: (a) aprobar la celebración de la Asamblea a distancia en los términos de la Resolución de la Comisión Nacional de Valores Nº 830/2020; y (b) </w:t>
      </w:r>
      <w:r w:rsidRPr="00C05CA4">
        <w:rPr>
          <w:rFonts w:ascii="Times New Roman" w:hAnsi="Times New Roman"/>
          <w:sz w:val="24"/>
          <w:szCs w:val="24"/>
          <w:lang w:val="es-AR"/>
        </w:rPr>
        <w:lastRenderedPageBreak/>
        <w:t>ratificar lo decidido por la Asamblea General Extraordinaria de fecha 7 de abril de 2020 de forma remota, al haberse celebrado la misma de acuerdo a los extremos normativos previstos. El Directorio asimismo deja constancia que, en caso que la asamblea se celebre de forma presencial, lo propuesto en (a) devendrá en abstracto. Por otro lado, en caso que la misma se celebre a distancia, y dado que la Resolución de la Comisión Nacional de Valores Nº 830/2020 prevé que las asambleas celebradas a distancia conforme sus términos sean ratificadas por la primera asamblea que se celebre de forma física, no podrá realizarse dicha ratificación.</w:t>
      </w:r>
    </w:p>
    <w:p w:rsidR="00997570" w:rsidRDefault="00997570" w:rsidP="00997570">
      <w:pPr>
        <w:spacing w:after="0" w:line="360" w:lineRule="auto"/>
        <w:ind w:left="502"/>
        <w:jc w:val="both"/>
        <w:rPr>
          <w:rFonts w:ascii="Times New Roman" w:hAnsi="Times New Roman"/>
          <w:sz w:val="24"/>
          <w:szCs w:val="24"/>
          <w:lang w:val="es-AR"/>
        </w:rPr>
      </w:pPr>
    </w:p>
    <w:p w:rsidR="00997570" w:rsidRPr="00B66A5D" w:rsidRDefault="00997570" w:rsidP="00997570">
      <w:pPr>
        <w:numPr>
          <w:ilvl w:val="0"/>
          <w:numId w:val="3"/>
        </w:numPr>
        <w:tabs>
          <w:tab w:val="clear" w:pos="502"/>
          <w:tab w:val="num" w:pos="284"/>
        </w:tabs>
        <w:spacing w:after="0" w:line="360" w:lineRule="auto"/>
        <w:ind w:left="426" w:hanging="284"/>
        <w:jc w:val="both"/>
        <w:rPr>
          <w:rFonts w:ascii="Times New Roman" w:hAnsi="Times New Roman"/>
          <w:sz w:val="24"/>
          <w:szCs w:val="24"/>
          <w:lang w:val="es-AR"/>
        </w:rPr>
      </w:pPr>
      <w:r w:rsidRPr="00B66A5D">
        <w:rPr>
          <w:rFonts w:ascii="Times New Roman" w:hAnsi="Times New Roman"/>
          <w:sz w:val="24"/>
          <w:szCs w:val="24"/>
          <w:lang w:val="es-AR"/>
        </w:rPr>
        <w:t xml:space="preserve">Respecto del </w:t>
      </w:r>
      <w:r>
        <w:rPr>
          <w:rFonts w:ascii="Times New Roman" w:hAnsi="Times New Roman"/>
          <w:sz w:val="24"/>
          <w:szCs w:val="24"/>
          <w:lang w:val="es-AR"/>
        </w:rPr>
        <w:t xml:space="preserve">segundo </w:t>
      </w:r>
      <w:r w:rsidRPr="00B66A5D">
        <w:rPr>
          <w:rFonts w:ascii="Times New Roman" w:hAnsi="Times New Roman"/>
          <w:sz w:val="24"/>
          <w:szCs w:val="24"/>
          <w:lang w:val="es-AR"/>
        </w:rPr>
        <w:t xml:space="preserve">punto del Orden del Día, es decir: </w:t>
      </w:r>
      <w:r w:rsidRPr="00B66A5D">
        <w:rPr>
          <w:rFonts w:ascii="Times New Roman" w:hAnsi="Times New Roman"/>
          <w:i/>
          <w:sz w:val="24"/>
          <w:szCs w:val="24"/>
          <w:lang w:val="es-AR"/>
        </w:rPr>
        <w:t>“Designación de accionistas para aprobar y firmar el acta de Asamblea”</w:t>
      </w:r>
      <w:r w:rsidRPr="00B66A5D">
        <w:rPr>
          <w:rFonts w:ascii="Times New Roman" w:hAnsi="Times New Roman"/>
          <w:sz w:val="24"/>
          <w:szCs w:val="24"/>
          <w:lang w:val="es-AR"/>
        </w:rPr>
        <w:t>, el Directorio de forma unánime resuelve proponer a la Asamblea de Accionistas la designación de los representantes de JP Morgan y Fondo de Garantía de Sustentabilidad a cargo de la Administración Nacional de la Seguridad Social (ANSES) para que suscriban el acta.</w:t>
      </w:r>
    </w:p>
    <w:p w:rsidR="00997570" w:rsidRPr="00B66A5D" w:rsidRDefault="00997570" w:rsidP="00997570">
      <w:pPr>
        <w:spacing w:after="0" w:line="360" w:lineRule="auto"/>
        <w:jc w:val="both"/>
        <w:rPr>
          <w:rFonts w:ascii="Times New Roman" w:hAnsi="Times New Roman"/>
          <w:sz w:val="24"/>
          <w:szCs w:val="24"/>
          <w:lang w:val="es-AR"/>
        </w:rPr>
      </w:pPr>
    </w:p>
    <w:p w:rsidR="00997570" w:rsidRPr="00250EAC" w:rsidRDefault="00997570" w:rsidP="00997570">
      <w:pPr>
        <w:numPr>
          <w:ilvl w:val="0"/>
          <w:numId w:val="3"/>
        </w:numPr>
        <w:spacing w:after="0" w:line="360" w:lineRule="auto"/>
        <w:ind w:left="357" w:hanging="357"/>
        <w:jc w:val="both"/>
        <w:rPr>
          <w:rFonts w:ascii="Times New Roman" w:hAnsi="Times New Roman"/>
          <w:sz w:val="24"/>
          <w:szCs w:val="24"/>
        </w:rPr>
      </w:pPr>
      <w:r w:rsidRPr="00B66A5D">
        <w:rPr>
          <w:rFonts w:ascii="Times New Roman" w:hAnsi="Times New Roman"/>
          <w:sz w:val="24"/>
          <w:szCs w:val="24"/>
          <w:lang w:val="es-AR"/>
        </w:rPr>
        <w:t xml:space="preserve">Respecto del </w:t>
      </w:r>
      <w:r>
        <w:rPr>
          <w:rFonts w:ascii="Times New Roman" w:hAnsi="Times New Roman"/>
          <w:sz w:val="24"/>
          <w:szCs w:val="24"/>
          <w:lang w:val="es-AR"/>
        </w:rPr>
        <w:t>tercer</w:t>
      </w:r>
      <w:r w:rsidRPr="00B66A5D">
        <w:rPr>
          <w:rFonts w:ascii="Times New Roman" w:hAnsi="Times New Roman"/>
          <w:sz w:val="24"/>
          <w:szCs w:val="24"/>
          <w:lang w:val="es-AR"/>
        </w:rPr>
        <w:t xml:space="preserve"> punto del Orden del Día, esto es: “</w:t>
      </w:r>
      <w:r w:rsidRPr="00B66A5D">
        <w:rPr>
          <w:rFonts w:ascii="Times New Roman" w:hAnsi="Times New Roman"/>
          <w:i/>
          <w:sz w:val="24"/>
          <w:szCs w:val="24"/>
        </w:rPr>
        <w:t>Consideración de los Estados de Situación Financiera, de Resultados Integrales, de Cambio en el Patrimonio, de Flujo de Efectivo, las Notas, el Informe del Auditor Externo, el Informe de la Comisión Fiscalizadora, la Memoria y el Informe sobre el grado de cumplimiento del Código de Gobierno Societario, la Reseña Informativa requerida por las Normas de la Comisión Nacional de Valores y la información adicional requerida por las normas aplicables, todo ello correspondiente al ejercicio finalizado al 31 de diciembre de 20</w:t>
      </w:r>
      <w:r>
        <w:rPr>
          <w:rFonts w:ascii="Times New Roman" w:hAnsi="Times New Roman"/>
          <w:i/>
          <w:sz w:val="24"/>
          <w:szCs w:val="24"/>
        </w:rPr>
        <w:t>19</w:t>
      </w:r>
      <w:r w:rsidRPr="00B66A5D">
        <w:rPr>
          <w:rFonts w:ascii="Times New Roman" w:hAnsi="Times New Roman"/>
          <w:sz w:val="24"/>
          <w:szCs w:val="24"/>
        </w:rPr>
        <w:t xml:space="preserve">”, el Directorio por unanimidad resuelve </w:t>
      </w:r>
      <w:r w:rsidRPr="00B66A5D">
        <w:rPr>
          <w:rFonts w:ascii="Times New Roman" w:hAnsi="Times New Roman"/>
          <w:sz w:val="24"/>
          <w:szCs w:val="24"/>
          <w:lang w:val="es-AR"/>
        </w:rPr>
        <w:t xml:space="preserve">que no se realice propuesta alguna a la Asamblea de Accionistas respecto de la aprobación de los Estados Financieros y la documentación complementaria a efectos de no incurrir en un conflicto de interés por consistir la </w:t>
      </w:r>
      <w:r w:rsidRPr="00250EAC">
        <w:rPr>
          <w:rFonts w:ascii="Times New Roman" w:hAnsi="Times New Roman"/>
          <w:sz w:val="24"/>
          <w:szCs w:val="24"/>
          <w:lang w:val="es-AR"/>
        </w:rPr>
        <w:t>preparación de los mismos en una tarea propia de la gestión del Directorio.</w:t>
      </w:r>
    </w:p>
    <w:p w:rsidR="00997570" w:rsidRPr="00250EAC" w:rsidRDefault="00997570" w:rsidP="00997570">
      <w:pPr>
        <w:spacing w:after="0" w:line="360" w:lineRule="auto"/>
        <w:jc w:val="both"/>
        <w:rPr>
          <w:rFonts w:ascii="Times New Roman" w:hAnsi="Times New Roman"/>
          <w:sz w:val="24"/>
          <w:szCs w:val="24"/>
        </w:rPr>
      </w:pPr>
    </w:p>
    <w:p w:rsidR="00997570" w:rsidRDefault="00997570" w:rsidP="00997570">
      <w:pPr>
        <w:numPr>
          <w:ilvl w:val="0"/>
          <w:numId w:val="3"/>
        </w:numPr>
        <w:spacing w:after="0" w:line="360" w:lineRule="auto"/>
        <w:jc w:val="both"/>
        <w:rPr>
          <w:rFonts w:ascii="Times New Roman" w:hAnsi="Times New Roman"/>
          <w:sz w:val="24"/>
          <w:szCs w:val="24"/>
        </w:rPr>
      </w:pPr>
      <w:r w:rsidRPr="00444EE0">
        <w:rPr>
          <w:rFonts w:ascii="Times New Roman" w:hAnsi="Times New Roman"/>
          <w:sz w:val="24"/>
          <w:szCs w:val="24"/>
        </w:rPr>
        <w:t xml:space="preserve">En relación con el </w:t>
      </w:r>
      <w:r>
        <w:rPr>
          <w:rFonts w:ascii="Times New Roman" w:hAnsi="Times New Roman"/>
          <w:sz w:val="24"/>
          <w:szCs w:val="24"/>
        </w:rPr>
        <w:t>cuarto</w:t>
      </w:r>
      <w:r w:rsidRPr="00444EE0">
        <w:rPr>
          <w:rFonts w:ascii="Times New Roman" w:hAnsi="Times New Roman"/>
          <w:sz w:val="24"/>
          <w:szCs w:val="24"/>
        </w:rPr>
        <w:t xml:space="preserve"> punto del Orden del Día, es decir: </w:t>
      </w:r>
      <w:r w:rsidRPr="00444EE0">
        <w:rPr>
          <w:rFonts w:ascii="Times New Roman" w:hAnsi="Times New Roman"/>
          <w:i/>
          <w:iCs/>
          <w:sz w:val="24"/>
          <w:szCs w:val="24"/>
        </w:rPr>
        <w:t>“Consideración del resultado del ejercicio y su destino”</w:t>
      </w:r>
      <w:r w:rsidRPr="00444EE0">
        <w:rPr>
          <w:rFonts w:ascii="Times New Roman" w:hAnsi="Times New Roman"/>
          <w:sz w:val="24"/>
          <w:szCs w:val="24"/>
        </w:rPr>
        <w:t xml:space="preserve">, se informa que para el año 2019 la Compañía no prevé distribuir dividendos por considerar que una prudente administración indica la conveniencia de conservar toda utilidad con el objeto de aplicarla y/o tenerla disponible </w:t>
      </w:r>
      <w:r w:rsidRPr="00444EE0">
        <w:rPr>
          <w:rFonts w:ascii="Times New Roman" w:hAnsi="Times New Roman"/>
          <w:sz w:val="24"/>
          <w:szCs w:val="24"/>
        </w:rPr>
        <w:lastRenderedPageBreak/>
        <w:t xml:space="preserve">para (i) la operación y expansión de nuestro negocio, considerando las inversiones ordinarias y extraordinarias que se proyectan, entre las cuales se encuentran la puesta en marcha del segundo cierre a ciclo combinado de la central térmica </w:t>
      </w:r>
      <w:proofErr w:type="spellStart"/>
      <w:r w:rsidRPr="00444EE0">
        <w:rPr>
          <w:rFonts w:ascii="Times New Roman" w:hAnsi="Times New Roman"/>
          <w:sz w:val="24"/>
          <w:szCs w:val="24"/>
        </w:rPr>
        <w:t>Genelba</w:t>
      </w:r>
      <w:proofErr w:type="spellEnd"/>
      <w:r w:rsidRPr="00444EE0">
        <w:rPr>
          <w:rFonts w:ascii="Times New Roman" w:hAnsi="Times New Roman"/>
          <w:sz w:val="24"/>
          <w:szCs w:val="24"/>
        </w:rPr>
        <w:t>, proyecto que se encuentra en la última etapa y está comprometido para el segundo trimestre de 2020, el comienzo de obras de expansión a cierre de ciclo en la central térmica Ensenada Barragán, así como también la continuación de la campaña de exploración en nuestros bloques de gas y crudo con exposición a la formación Vaca Muerta, y el desarrollo de nuestras reservas de gas en arenas compactas (</w:t>
      </w:r>
      <w:proofErr w:type="spellStart"/>
      <w:r w:rsidRPr="00A8021A">
        <w:rPr>
          <w:rFonts w:ascii="Times New Roman" w:hAnsi="Times New Roman"/>
          <w:i/>
          <w:sz w:val="24"/>
          <w:szCs w:val="24"/>
        </w:rPr>
        <w:t>tight</w:t>
      </w:r>
      <w:proofErr w:type="spellEnd"/>
      <w:r w:rsidRPr="00A8021A">
        <w:rPr>
          <w:rFonts w:ascii="Times New Roman" w:hAnsi="Times New Roman"/>
          <w:i/>
          <w:sz w:val="24"/>
          <w:szCs w:val="24"/>
        </w:rPr>
        <w:t xml:space="preserve"> gas</w:t>
      </w:r>
      <w:r w:rsidRPr="00444EE0">
        <w:rPr>
          <w:rFonts w:ascii="Times New Roman" w:hAnsi="Times New Roman"/>
          <w:sz w:val="24"/>
          <w:szCs w:val="24"/>
        </w:rPr>
        <w:t>); (ii) aprovechar al máximo las posibilidades de inversión que pudieran presentarse y que pudieran ofrecer oportunidades significativas de crecimiento, expansión y sinergia de nuestros negocios; (iii) dada la coyuntura financiera, mantener un nivel de liquidez adecuado que nos permita cumplir con nuestras obligaciones actuales y futuras, de ser necesario; y (iv) tomar las medidas necesarias para resguardar los intereses y el valor de la inversión de los accionistas de la Compañía ante el escenario de volatilidad actual del mercado; todo lo cual se ajusta a lo previsto por la Política de Dividendos de la Sociedad.</w:t>
      </w:r>
      <w:r w:rsidRPr="00444EE0" w:rsidDel="00B6606B">
        <w:rPr>
          <w:rFonts w:ascii="Times New Roman" w:hAnsi="Times New Roman"/>
          <w:sz w:val="24"/>
          <w:szCs w:val="24"/>
        </w:rPr>
        <w:t xml:space="preserve"> </w:t>
      </w:r>
      <w:r w:rsidRPr="00444EE0">
        <w:rPr>
          <w:rFonts w:ascii="Times New Roman" w:hAnsi="Times New Roman"/>
          <w:sz w:val="24"/>
          <w:szCs w:val="24"/>
        </w:rPr>
        <w:t>El resultado del ejercicio arrojó una ganancia de $33.012.200.797 y al 31 de diciembre de 2019 los resultados no asignados totalizan $</w:t>
      </w:r>
      <w:r w:rsidRPr="00F878E3">
        <w:rPr>
          <w:rFonts w:ascii="Times New Roman" w:hAnsi="Times New Roman"/>
          <w:sz w:val="24"/>
          <w:szCs w:val="24"/>
        </w:rPr>
        <w:t>51.844.317.714.</w:t>
      </w:r>
      <w:r w:rsidRPr="00444EE0">
        <w:rPr>
          <w:rFonts w:ascii="Times New Roman" w:hAnsi="Times New Roman"/>
          <w:sz w:val="24"/>
          <w:szCs w:val="24"/>
        </w:rPr>
        <w:t xml:space="preserve"> En consecuencia, el Directorio por unanimidad resuelve proponer a la Asamblea de Accionistas que se destine: (i) la suma de $1.789.507.768 de la Reserva facultativa a absorber el saldo negativo de los resultados no asignados; (ii) la suma de $764.303.874 de la diferencia de conversión imputada a resultados no asignados a la reserva legal y $9.368.674.997 a la reserva facultativa; (iii) el 5% de la ganancia del ejercicio y su correspondiente diferencia de conversión, es decir la suma de $2.097.391.130, se destinen a integrar la reserva legal; y (ii) el resto, es decir la suma de $</w:t>
      </w:r>
      <w:r w:rsidRPr="00F878E3">
        <w:rPr>
          <w:rFonts w:ascii="Times New Roman" w:hAnsi="Times New Roman"/>
          <w:sz w:val="24"/>
          <w:szCs w:val="24"/>
        </w:rPr>
        <w:t>41.403.455.481</w:t>
      </w:r>
      <w:r>
        <w:rPr>
          <w:rFonts w:ascii="Times New Roman" w:hAnsi="Times New Roman"/>
          <w:sz w:val="24"/>
          <w:szCs w:val="24"/>
        </w:rPr>
        <w:t xml:space="preserve"> </w:t>
      </w:r>
      <w:r w:rsidRPr="00444EE0">
        <w:rPr>
          <w:rFonts w:ascii="Times New Roman" w:hAnsi="Times New Roman"/>
          <w:sz w:val="24"/>
          <w:szCs w:val="24"/>
        </w:rPr>
        <w:t xml:space="preserve">a la constitución de una reserva facultativa. </w:t>
      </w:r>
    </w:p>
    <w:p w:rsidR="00997570" w:rsidRPr="00444EE0" w:rsidRDefault="00997570" w:rsidP="00997570">
      <w:pPr>
        <w:spacing w:after="0" w:line="360" w:lineRule="auto"/>
        <w:ind w:left="502"/>
        <w:jc w:val="both"/>
        <w:rPr>
          <w:rFonts w:ascii="Times New Roman" w:hAnsi="Times New Roman"/>
          <w:sz w:val="24"/>
          <w:szCs w:val="24"/>
        </w:rPr>
      </w:pPr>
    </w:p>
    <w:p w:rsidR="00997570" w:rsidRDefault="00997570" w:rsidP="00997570">
      <w:pPr>
        <w:numPr>
          <w:ilvl w:val="0"/>
          <w:numId w:val="3"/>
        </w:numPr>
        <w:spacing w:after="0" w:line="360" w:lineRule="auto"/>
        <w:jc w:val="both"/>
        <w:rPr>
          <w:rFonts w:ascii="Times New Roman" w:hAnsi="Times New Roman"/>
          <w:sz w:val="24"/>
          <w:szCs w:val="24"/>
          <w:lang w:val="es-AR"/>
        </w:rPr>
      </w:pPr>
      <w:r w:rsidRPr="00AE6779">
        <w:rPr>
          <w:rFonts w:ascii="Times New Roman" w:hAnsi="Times New Roman"/>
          <w:sz w:val="24"/>
          <w:szCs w:val="24"/>
        </w:rPr>
        <w:t xml:space="preserve">Respecto del </w:t>
      </w:r>
      <w:r>
        <w:rPr>
          <w:rFonts w:ascii="Times New Roman" w:hAnsi="Times New Roman"/>
          <w:sz w:val="24"/>
          <w:szCs w:val="24"/>
        </w:rPr>
        <w:t>quinto</w:t>
      </w:r>
      <w:r w:rsidRPr="00AE6779">
        <w:rPr>
          <w:rFonts w:ascii="Times New Roman" w:hAnsi="Times New Roman"/>
          <w:sz w:val="24"/>
          <w:szCs w:val="24"/>
        </w:rPr>
        <w:t xml:space="preserve"> punto del Orden del Día, es decir: “</w:t>
      </w:r>
      <w:r w:rsidRPr="00AE6779">
        <w:rPr>
          <w:rFonts w:ascii="Times New Roman" w:hAnsi="Times New Roman"/>
          <w:i/>
          <w:sz w:val="24"/>
          <w:szCs w:val="24"/>
          <w:lang w:val="es-AR"/>
        </w:rPr>
        <w:t>Consideración de la gestión de los miembros de la Comisión Fiscalizadora y sus remuneraciones correspondientes al</w:t>
      </w:r>
      <w:r w:rsidRPr="00B66A5D">
        <w:rPr>
          <w:rFonts w:ascii="Times New Roman" w:hAnsi="Times New Roman"/>
          <w:i/>
          <w:sz w:val="24"/>
          <w:szCs w:val="24"/>
          <w:lang w:val="es-AR"/>
        </w:rPr>
        <w:t xml:space="preserve"> ejercicio cerrado el 31 de diciembre de 201</w:t>
      </w:r>
      <w:r>
        <w:rPr>
          <w:rFonts w:ascii="Times New Roman" w:hAnsi="Times New Roman"/>
          <w:i/>
          <w:sz w:val="24"/>
          <w:szCs w:val="24"/>
          <w:lang w:val="es-AR"/>
        </w:rPr>
        <w:t>9</w:t>
      </w:r>
      <w:r w:rsidRPr="0096228A">
        <w:rPr>
          <w:rFonts w:ascii="Times New Roman" w:hAnsi="Times New Roman"/>
          <w:sz w:val="24"/>
          <w:szCs w:val="24"/>
        </w:rPr>
        <w:t xml:space="preserve">”, </w:t>
      </w:r>
      <w:r w:rsidRPr="00AE6779">
        <w:rPr>
          <w:rFonts w:ascii="Times New Roman" w:hAnsi="Times New Roman"/>
          <w:sz w:val="24"/>
          <w:szCs w:val="24"/>
        </w:rPr>
        <w:t>el Directorio por unanimidad resuelve proponer a la Asamblea de Accionistas la aprobación de la gestión de los miembros de la Comisión Fiscalizadora y una remuneración a su favor que ascienda a la suma de</w:t>
      </w:r>
      <w:r>
        <w:rPr>
          <w:rFonts w:ascii="Times New Roman" w:hAnsi="Times New Roman"/>
          <w:sz w:val="24"/>
          <w:szCs w:val="24"/>
        </w:rPr>
        <w:t xml:space="preserve"> </w:t>
      </w:r>
      <w:r>
        <w:rPr>
          <w:rFonts w:ascii="Times New Roman" w:hAnsi="Times New Roman"/>
          <w:sz w:val="24"/>
          <w:szCs w:val="24"/>
        </w:rPr>
        <w:lastRenderedPageBreak/>
        <w:t>$2.779.050</w:t>
      </w:r>
      <w:r w:rsidRPr="00AE6779">
        <w:rPr>
          <w:rFonts w:ascii="Times New Roman" w:hAnsi="Times New Roman"/>
          <w:sz w:val="24"/>
          <w:szCs w:val="24"/>
        </w:rPr>
        <w:t xml:space="preserve">, correspondiente al ejercicio finalizado el 31 de diciembre de 2019. </w:t>
      </w:r>
      <w:r w:rsidRPr="00AE6779">
        <w:rPr>
          <w:rFonts w:ascii="Times New Roman" w:hAnsi="Times New Roman"/>
          <w:sz w:val="24"/>
          <w:szCs w:val="24"/>
          <w:lang w:val="es-AR"/>
        </w:rPr>
        <w:t xml:space="preserve">Asimismo, propone que se autorice el pago de anticipo de honorarios a los miembros de la Comisión Fiscalizadora hasta la Asamblea que considere los estados financieros que </w:t>
      </w:r>
      <w:r w:rsidRPr="00800D0B">
        <w:rPr>
          <w:rFonts w:ascii="Times New Roman" w:hAnsi="Times New Roman"/>
          <w:sz w:val="24"/>
          <w:szCs w:val="24"/>
          <w:lang w:val="es-AR"/>
        </w:rPr>
        <w:t xml:space="preserve">finalizarán el 31 de diciembre de 2020. </w:t>
      </w:r>
    </w:p>
    <w:p w:rsidR="00997570" w:rsidRDefault="00997570" w:rsidP="00997570">
      <w:pPr>
        <w:pStyle w:val="Prrafodelista"/>
        <w:rPr>
          <w:rFonts w:ascii="Times New Roman" w:hAnsi="Times New Roman"/>
          <w:sz w:val="24"/>
          <w:szCs w:val="24"/>
          <w:lang w:val="es-AR"/>
        </w:rPr>
      </w:pPr>
    </w:p>
    <w:p w:rsidR="00997570" w:rsidRPr="00997570" w:rsidRDefault="00997570" w:rsidP="00997570">
      <w:pPr>
        <w:numPr>
          <w:ilvl w:val="0"/>
          <w:numId w:val="3"/>
        </w:numPr>
        <w:spacing w:after="0" w:line="360" w:lineRule="auto"/>
        <w:jc w:val="both"/>
        <w:rPr>
          <w:rFonts w:ascii="Times New Roman" w:hAnsi="Times New Roman"/>
          <w:sz w:val="24"/>
          <w:szCs w:val="24"/>
          <w:lang w:val="es-AR"/>
        </w:rPr>
      </w:pPr>
      <w:r w:rsidRPr="00997570">
        <w:rPr>
          <w:rFonts w:ascii="Times New Roman" w:hAnsi="Times New Roman"/>
          <w:sz w:val="24"/>
          <w:szCs w:val="24"/>
        </w:rPr>
        <w:t xml:space="preserve">Con relación al sexto punto del Orden del Día: </w:t>
      </w:r>
      <w:r w:rsidRPr="00997570">
        <w:rPr>
          <w:rFonts w:ascii="Times New Roman" w:hAnsi="Times New Roman"/>
          <w:i/>
          <w:sz w:val="24"/>
          <w:szCs w:val="24"/>
        </w:rPr>
        <w:t>“Consideración de la gestión de los miembros del Directorio y sus remuneraciones correspondientes al ejercicio cerrado el 31 de diciembre de 2019”</w:t>
      </w:r>
      <w:r w:rsidRPr="00997570">
        <w:rPr>
          <w:rFonts w:ascii="Times New Roman" w:hAnsi="Times New Roman"/>
          <w:sz w:val="24"/>
          <w:szCs w:val="24"/>
        </w:rPr>
        <w:t xml:space="preserve">, el Directorio se abstiene de realizar cualquier propuesta a efectos de no incurrir en un conflicto de interés. Sin perjuicio de ello, </w:t>
      </w:r>
      <w:r w:rsidRPr="00997570">
        <w:rPr>
          <w:rFonts w:ascii="Times New Roman" w:hAnsi="Times New Roman"/>
          <w:sz w:val="24"/>
          <w:szCs w:val="24"/>
          <w:lang w:val="es-AR"/>
        </w:rPr>
        <w:t xml:space="preserve">se informa que el monto a ser considerado por la Asamblea asciende a $312.742.777 e incluye el Plan de Compensación en Acciones aprobado por el directorio de fecha 8 de febrero de 2017 correspondiente a aquellos directores que son beneficiarios del mismo. Con respecto al Plan de Compensación de los Ejecutivos aprobado por el Directorio de fecha 2 de junio de 2017, se aclara que durante el presente ejercicio no surgieron montos a ser abonados a sus beneficiarios, razón por la cual, de acuerdo a los términos y condiciones del mismo, los montos incluidos como remuneración de los Directores receptan los acuerdos de compensación de fecha 6 de noviembre de 2013 celebrados entre cada uno de los Ejecutivos y Petrolera Pampa S.A., que la Sociedad, como sucesor de todos los derechos y obligaciones de dicha compañía, debe continuar. Al respecto, toma la palabra el Sr. Miguel Bein, Presidente del Comité de Remuneraciones de la Sociedad, quien menciona que dicho comité ha evaluado el monto de remuneraciones que será sometido a consideración de la Asamblea, el cual incluye el total de remuneraciones y honorarios que por todo concepto percibieron los directores durante el ejercicio 2019, resultando el mismo adecuado a las remuneraciones de mercado a nivel local y a las particulares circunstancias de la Sociedad, dado que tienen en cuenta, las responsabilidades asumidas por los referidos funcionarios, el tiempo dedicado a sus funciones, su competencia y reputación profesional, así como el valor de sus servicios en el mercado. Adicionalmente, el Directorio propone que se autorice el pago de anticipo de honorarios a los directores hasta la Asamblea que considere los estados financieros que finalizarán el 31 de diciembre de 2020. </w:t>
      </w:r>
    </w:p>
    <w:p w:rsidR="00997570" w:rsidRDefault="00997570" w:rsidP="00997570">
      <w:pPr>
        <w:pStyle w:val="Prrafodelista"/>
        <w:spacing w:after="0" w:line="360" w:lineRule="auto"/>
        <w:rPr>
          <w:rFonts w:ascii="Times New Roman" w:hAnsi="Times New Roman"/>
          <w:sz w:val="24"/>
          <w:szCs w:val="24"/>
        </w:rPr>
      </w:pPr>
    </w:p>
    <w:p w:rsidR="00997570" w:rsidRPr="00B66A5D" w:rsidRDefault="00997570" w:rsidP="00997570">
      <w:pPr>
        <w:numPr>
          <w:ilvl w:val="0"/>
          <w:numId w:val="3"/>
        </w:numPr>
        <w:spacing w:after="0" w:line="360" w:lineRule="auto"/>
        <w:jc w:val="both"/>
        <w:rPr>
          <w:rFonts w:ascii="Times New Roman" w:hAnsi="Times New Roman"/>
          <w:sz w:val="24"/>
          <w:szCs w:val="24"/>
        </w:rPr>
      </w:pPr>
      <w:r w:rsidRPr="00B66A5D">
        <w:rPr>
          <w:rFonts w:ascii="Times New Roman" w:hAnsi="Times New Roman"/>
          <w:sz w:val="24"/>
          <w:szCs w:val="24"/>
        </w:rPr>
        <w:lastRenderedPageBreak/>
        <w:t xml:space="preserve">En relación con el </w:t>
      </w:r>
      <w:r>
        <w:rPr>
          <w:rFonts w:ascii="Times New Roman" w:hAnsi="Times New Roman"/>
          <w:sz w:val="24"/>
          <w:szCs w:val="24"/>
        </w:rPr>
        <w:t>séptimo</w:t>
      </w:r>
      <w:r w:rsidRPr="00B66A5D">
        <w:rPr>
          <w:rFonts w:ascii="Times New Roman" w:hAnsi="Times New Roman"/>
          <w:sz w:val="24"/>
          <w:szCs w:val="24"/>
        </w:rPr>
        <w:t xml:space="preserve"> punto del Orden del Día, es decir “</w:t>
      </w:r>
      <w:r w:rsidRPr="00B66A5D">
        <w:rPr>
          <w:rFonts w:ascii="Times New Roman" w:hAnsi="Times New Roman"/>
          <w:i/>
          <w:sz w:val="24"/>
          <w:szCs w:val="24"/>
          <w:lang w:val="es-AR"/>
        </w:rPr>
        <w:t>Consideración de la remuneración del Auditor Externo</w:t>
      </w:r>
      <w:r w:rsidRPr="00B66A5D">
        <w:rPr>
          <w:rFonts w:ascii="Times New Roman" w:hAnsi="Times New Roman"/>
          <w:sz w:val="24"/>
          <w:szCs w:val="24"/>
        </w:rPr>
        <w:t xml:space="preserve">”, </w:t>
      </w:r>
      <w:r w:rsidRPr="00AE6779">
        <w:rPr>
          <w:rFonts w:ascii="Times New Roman" w:hAnsi="Times New Roman"/>
          <w:sz w:val="24"/>
          <w:szCs w:val="24"/>
        </w:rPr>
        <w:t>el Directorio resuelve por unanimidad proponer a la Asamblea de Accionistas una retribución al contador certificante por las tareas correspondientes al ejercicio finalizado el 31 de diciembre de 201</w:t>
      </w:r>
      <w:r>
        <w:rPr>
          <w:rFonts w:ascii="Times New Roman" w:hAnsi="Times New Roman"/>
          <w:sz w:val="24"/>
          <w:szCs w:val="24"/>
        </w:rPr>
        <w:t>9</w:t>
      </w:r>
      <w:r w:rsidRPr="00AE6779">
        <w:rPr>
          <w:rFonts w:ascii="Times New Roman" w:hAnsi="Times New Roman"/>
          <w:sz w:val="24"/>
          <w:szCs w:val="24"/>
        </w:rPr>
        <w:t xml:space="preserve"> de </w:t>
      </w:r>
      <w:r>
        <w:rPr>
          <w:rFonts w:ascii="Times New Roman" w:hAnsi="Times New Roman"/>
          <w:sz w:val="24"/>
          <w:szCs w:val="24"/>
        </w:rPr>
        <w:t>$44.703.894</w:t>
      </w:r>
      <w:r w:rsidRPr="00AE6779">
        <w:rPr>
          <w:rFonts w:ascii="Times New Roman" w:hAnsi="Times New Roman"/>
          <w:sz w:val="24"/>
          <w:szCs w:val="24"/>
        </w:rPr>
        <w:t xml:space="preserve">, que incluye los honorarios por certificación SOX 404 requerida por la </w:t>
      </w:r>
      <w:proofErr w:type="spellStart"/>
      <w:r w:rsidRPr="00AE6779">
        <w:rPr>
          <w:rFonts w:ascii="Times New Roman" w:hAnsi="Times New Roman"/>
          <w:i/>
          <w:sz w:val="24"/>
          <w:szCs w:val="24"/>
        </w:rPr>
        <w:t>Securities</w:t>
      </w:r>
      <w:proofErr w:type="spellEnd"/>
      <w:r w:rsidRPr="00AE6779">
        <w:rPr>
          <w:rFonts w:ascii="Times New Roman" w:hAnsi="Times New Roman"/>
          <w:i/>
          <w:sz w:val="24"/>
          <w:szCs w:val="24"/>
        </w:rPr>
        <w:t xml:space="preserve"> and Exchange </w:t>
      </w:r>
      <w:proofErr w:type="spellStart"/>
      <w:r w:rsidRPr="00AE6779">
        <w:rPr>
          <w:rFonts w:ascii="Times New Roman" w:hAnsi="Times New Roman"/>
          <w:i/>
          <w:sz w:val="24"/>
          <w:szCs w:val="24"/>
        </w:rPr>
        <w:t>Commission</w:t>
      </w:r>
      <w:proofErr w:type="spellEnd"/>
      <w:r w:rsidRPr="00AE6779">
        <w:rPr>
          <w:rFonts w:ascii="Times New Roman" w:hAnsi="Times New Roman"/>
          <w:sz w:val="24"/>
          <w:szCs w:val="24"/>
        </w:rPr>
        <w:t>.</w:t>
      </w:r>
    </w:p>
    <w:p w:rsidR="00997570" w:rsidRPr="00B66A5D" w:rsidRDefault="00997570" w:rsidP="00997570">
      <w:pPr>
        <w:spacing w:after="0" w:line="360" w:lineRule="auto"/>
        <w:ind w:left="360"/>
        <w:jc w:val="both"/>
        <w:rPr>
          <w:rFonts w:ascii="Times New Roman" w:hAnsi="Times New Roman"/>
          <w:sz w:val="24"/>
          <w:szCs w:val="24"/>
          <w:lang w:val="es-AR"/>
        </w:rPr>
      </w:pPr>
    </w:p>
    <w:p w:rsidR="00997570" w:rsidRPr="003F41E0" w:rsidRDefault="00997570" w:rsidP="00997570">
      <w:pPr>
        <w:numPr>
          <w:ilvl w:val="0"/>
          <w:numId w:val="3"/>
        </w:numPr>
        <w:spacing w:after="0" w:line="360" w:lineRule="auto"/>
        <w:jc w:val="both"/>
        <w:rPr>
          <w:rFonts w:ascii="Times New Roman" w:hAnsi="Times New Roman"/>
          <w:sz w:val="24"/>
          <w:szCs w:val="24"/>
        </w:rPr>
      </w:pPr>
      <w:r w:rsidRPr="003F41E0">
        <w:rPr>
          <w:rFonts w:ascii="Times New Roman" w:hAnsi="Times New Roman"/>
          <w:sz w:val="24"/>
          <w:szCs w:val="24"/>
        </w:rPr>
        <w:t xml:space="preserve">Con relación al </w:t>
      </w:r>
      <w:r>
        <w:rPr>
          <w:rFonts w:ascii="Times New Roman" w:hAnsi="Times New Roman"/>
          <w:sz w:val="24"/>
          <w:szCs w:val="24"/>
        </w:rPr>
        <w:t>octavo</w:t>
      </w:r>
      <w:r w:rsidRPr="003F41E0">
        <w:rPr>
          <w:rFonts w:ascii="Times New Roman" w:hAnsi="Times New Roman"/>
          <w:sz w:val="24"/>
          <w:szCs w:val="24"/>
        </w:rPr>
        <w:t xml:space="preserve"> punto del Orden del Día, es decir “</w:t>
      </w:r>
      <w:r w:rsidRPr="003F41E0">
        <w:rPr>
          <w:rFonts w:ascii="Times New Roman" w:hAnsi="Times New Roman"/>
          <w:i/>
          <w:sz w:val="24"/>
          <w:szCs w:val="24"/>
          <w:lang w:val="es-AR"/>
        </w:rPr>
        <w:t>Designación de directores titulares y suplentes. Designación de miembros del Comité de Auditoría</w:t>
      </w:r>
      <w:r w:rsidRPr="003F41E0">
        <w:rPr>
          <w:rFonts w:ascii="Times New Roman" w:hAnsi="Times New Roman"/>
          <w:sz w:val="24"/>
          <w:szCs w:val="24"/>
        </w:rPr>
        <w:t>”, el Directorio, teniendo en cuenta que el 31 de diciembre de 2019 vencieron los mandatos de los directores titulares Gustavo Mariani, Ricardo Alejandro Torres y Miguel Bein, por unanimidad propone reelegir a los Sres. Gustavo Mariani, Ricardo Alejandro Torres y Miguel Bein.</w:t>
      </w:r>
      <w:r>
        <w:rPr>
          <w:rFonts w:ascii="Times New Roman" w:hAnsi="Times New Roman"/>
          <w:sz w:val="24"/>
          <w:szCs w:val="24"/>
        </w:rPr>
        <w:t xml:space="preserve"> Asimismo, dado que con fecha 13 de abril de 2020 el Directorio de la Sociedad aprobó la renuncia del Sr. Santiago Alberdi a su cargo de Director Titular propone designar al Sr. </w:t>
      </w:r>
      <w:r w:rsidRPr="00606B77">
        <w:rPr>
          <w:rFonts w:ascii="Times New Roman" w:hAnsi="Times New Roman"/>
          <w:sz w:val="24"/>
          <w:szCs w:val="24"/>
        </w:rPr>
        <w:t>Ignacio Gustavo Alvarez Pizzo</w:t>
      </w:r>
      <w:r>
        <w:rPr>
          <w:rFonts w:ascii="Times New Roman" w:hAnsi="Times New Roman"/>
          <w:sz w:val="24"/>
          <w:szCs w:val="24"/>
        </w:rPr>
        <w:t xml:space="preserve"> en su reemplazo, hasta completar su mandato.</w:t>
      </w:r>
    </w:p>
    <w:p w:rsidR="00997570" w:rsidRDefault="00997570" w:rsidP="00997570">
      <w:pPr>
        <w:spacing w:after="0" w:line="360" w:lineRule="auto"/>
        <w:ind w:left="360"/>
        <w:jc w:val="both"/>
        <w:rPr>
          <w:rFonts w:ascii="Times New Roman" w:hAnsi="Times New Roman"/>
          <w:sz w:val="24"/>
          <w:szCs w:val="24"/>
        </w:rPr>
      </w:pPr>
    </w:p>
    <w:p w:rsidR="00997570" w:rsidRDefault="00997570" w:rsidP="00997570">
      <w:pPr>
        <w:spacing w:after="0" w:line="360" w:lineRule="auto"/>
        <w:ind w:left="360"/>
        <w:jc w:val="both"/>
        <w:rPr>
          <w:rFonts w:ascii="Times New Roman" w:hAnsi="Times New Roman"/>
          <w:sz w:val="24"/>
          <w:szCs w:val="24"/>
        </w:rPr>
      </w:pPr>
      <w:r w:rsidRPr="00A55769">
        <w:rPr>
          <w:rFonts w:ascii="Times New Roman" w:hAnsi="Times New Roman"/>
          <w:sz w:val="24"/>
          <w:szCs w:val="24"/>
        </w:rPr>
        <w:t>Asimismo, teniendo en cuenta que en la misma fecha vencieron los mandatos de los directores suplentes Horacio Jorge Tomás Turri y Victoria Hitce y que la Directora Suplente Catalina Lappas ha renunciado a su cargo</w:t>
      </w:r>
      <w:r>
        <w:rPr>
          <w:rFonts w:ascii="Times New Roman" w:hAnsi="Times New Roman"/>
          <w:sz w:val="24"/>
          <w:szCs w:val="24"/>
        </w:rPr>
        <w:t xml:space="preserve"> aprobada por el Directorio con fecha 9 de marzo de 2020</w:t>
      </w:r>
      <w:r w:rsidRPr="00A55769">
        <w:rPr>
          <w:rFonts w:ascii="Times New Roman" w:hAnsi="Times New Roman"/>
          <w:sz w:val="24"/>
          <w:szCs w:val="24"/>
        </w:rPr>
        <w:t xml:space="preserve">; por unanimidad propone reelegir a los Sres. Horacio Jorge Tomás Turri y Victoria Hitce y designar a </w:t>
      </w:r>
      <w:r>
        <w:rPr>
          <w:rFonts w:ascii="Times New Roman" w:hAnsi="Times New Roman"/>
          <w:sz w:val="24"/>
          <w:szCs w:val="24"/>
        </w:rPr>
        <w:t xml:space="preserve">la Sra. </w:t>
      </w:r>
      <w:r w:rsidRPr="00606B77">
        <w:rPr>
          <w:rFonts w:ascii="Times New Roman" w:hAnsi="Times New Roman"/>
          <w:sz w:val="24"/>
          <w:szCs w:val="24"/>
        </w:rPr>
        <w:t xml:space="preserve">Paola Lorena </w:t>
      </w:r>
      <w:proofErr w:type="spellStart"/>
      <w:r w:rsidRPr="00606B77">
        <w:rPr>
          <w:rFonts w:ascii="Times New Roman" w:hAnsi="Times New Roman"/>
          <w:sz w:val="24"/>
          <w:szCs w:val="24"/>
        </w:rPr>
        <w:t>Rolotti</w:t>
      </w:r>
      <w:proofErr w:type="spellEnd"/>
      <w:r w:rsidRPr="00A55769">
        <w:rPr>
          <w:rFonts w:ascii="Times New Roman" w:hAnsi="Times New Roman"/>
          <w:sz w:val="24"/>
          <w:szCs w:val="24"/>
        </w:rPr>
        <w:t xml:space="preserve"> </w:t>
      </w:r>
      <w:r>
        <w:rPr>
          <w:rFonts w:ascii="Times New Roman" w:hAnsi="Times New Roman"/>
          <w:sz w:val="24"/>
          <w:szCs w:val="24"/>
        </w:rPr>
        <w:t>en reemplazo de la Sra. Catalina Lappas, hasta completar su mandato</w:t>
      </w:r>
      <w:r w:rsidRPr="00A55769">
        <w:rPr>
          <w:rFonts w:ascii="Times New Roman" w:hAnsi="Times New Roman"/>
          <w:sz w:val="24"/>
          <w:szCs w:val="24"/>
        </w:rPr>
        <w:t>.</w:t>
      </w:r>
    </w:p>
    <w:p w:rsidR="00997570" w:rsidRDefault="00997570" w:rsidP="00997570">
      <w:pPr>
        <w:spacing w:after="0" w:line="360" w:lineRule="auto"/>
        <w:ind w:left="360"/>
        <w:jc w:val="both"/>
        <w:rPr>
          <w:rFonts w:ascii="Times New Roman" w:hAnsi="Times New Roman"/>
          <w:sz w:val="24"/>
          <w:szCs w:val="24"/>
        </w:rPr>
      </w:pPr>
    </w:p>
    <w:p w:rsidR="00997570" w:rsidRDefault="00997570" w:rsidP="00997570">
      <w:pPr>
        <w:spacing w:after="0" w:line="360" w:lineRule="auto"/>
        <w:ind w:left="360"/>
        <w:jc w:val="both"/>
        <w:rPr>
          <w:rFonts w:ascii="Times New Roman" w:hAnsi="Times New Roman"/>
          <w:sz w:val="24"/>
          <w:szCs w:val="24"/>
        </w:rPr>
      </w:pPr>
      <w:r w:rsidRPr="00C52914">
        <w:rPr>
          <w:rFonts w:ascii="Times New Roman" w:hAnsi="Times New Roman"/>
          <w:sz w:val="24"/>
          <w:szCs w:val="24"/>
        </w:rPr>
        <w:t>Toma la palabra</w:t>
      </w:r>
      <w:r>
        <w:rPr>
          <w:rFonts w:ascii="Times New Roman" w:hAnsi="Times New Roman"/>
          <w:sz w:val="24"/>
          <w:szCs w:val="24"/>
        </w:rPr>
        <w:t xml:space="preserve"> el Sr. </w:t>
      </w:r>
      <w:r w:rsidRPr="00AE6779">
        <w:rPr>
          <w:rFonts w:ascii="Times New Roman" w:hAnsi="Times New Roman"/>
          <w:sz w:val="24"/>
          <w:szCs w:val="24"/>
        </w:rPr>
        <w:t>Miguel Bein</w:t>
      </w:r>
      <w:r>
        <w:rPr>
          <w:rFonts w:ascii="Times New Roman" w:hAnsi="Times New Roman"/>
          <w:sz w:val="24"/>
          <w:szCs w:val="24"/>
        </w:rPr>
        <w:t>, en su carácter de Presidente del Comité de Nominaciones de la Sociedad, quien informa que dicho comité evaluó a los candidatos a ser propuestos a la Asamblea y, teniendo en cuenta</w:t>
      </w:r>
      <w:r w:rsidRPr="00C85FB8">
        <w:rPr>
          <w:rFonts w:ascii="Times New Roman" w:hAnsi="Times New Roman"/>
          <w:sz w:val="24"/>
          <w:szCs w:val="24"/>
        </w:rPr>
        <w:t xml:space="preserve"> los factores de independencia, diversidad, edad, habilidades, experiencia, conocimiento del negocio de la empresa y la industria</w:t>
      </w:r>
      <w:r>
        <w:rPr>
          <w:rFonts w:ascii="Times New Roman" w:hAnsi="Times New Roman"/>
          <w:sz w:val="24"/>
          <w:szCs w:val="24"/>
        </w:rPr>
        <w:t>, el mencionado Comité no ha tenido objeciones con respecto a los mismos.</w:t>
      </w:r>
    </w:p>
    <w:p w:rsidR="00997570" w:rsidRDefault="00997570" w:rsidP="00997570">
      <w:pPr>
        <w:spacing w:after="0" w:line="360" w:lineRule="auto"/>
        <w:ind w:left="360"/>
        <w:jc w:val="both"/>
        <w:rPr>
          <w:rFonts w:ascii="Times New Roman" w:hAnsi="Times New Roman"/>
          <w:sz w:val="24"/>
          <w:szCs w:val="24"/>
        </w:rPr>
      </w:pPr>
    </w:p>
    <w:p w:rsidR="00997570" w:rsidRDefault="00997570" w:rsidP="00997570">
      <w:pPr>
        <w:spacing w:after="0" w:line="360" w:lineRule="auto"/>
        <w:ind w:left="360"/>
        <w:jc w:val="both"/>
        <w:rPr>
          <w:rFonts w:ascii="Times New Roman" w:hAnsi="Times New Roman"/>
          <w:sz w:val="24"/>
          <w:szCs w:val="24"/>
        </w:rPr>
      </w:pPr>
      <w:r w:rsidRPr="00C51794">
        <w:rPr>
          <w:rFonts w:ascii="Times New Roman" w:hAnsi="Times New Roman"/>
          <w:sz w:val="24"/>
          <w:szCs w:val="24"/>
        </w:rPr>
        <w:lastRenderedPageBreak/>
        <w:t xml:space="preserve">Finalmente, </w:t>
      </w:r>
      <w:r>
        <w:rPr>
          <w:rFonts w:ascii="Times New Roman" w:hAnsi="Times New Roman"/>
          <w:sz w:val="24"/>
          <w:szCs w:val="24"/>
        </w:rPr>
        <w:t xml:space="preserve">teniendo en cuenta lo mencionado precedentemente, el Directorio propone designar al Sr. </w:t>
      </w:r>
      <w:r w:rsidRPr="00AE6779">
        <w:rPr>
          <w:rFonts w:ascii="Times New Roman" w:hAnsi="Times New Roman"/>
          <w:sz w:val="24"/>
          <w:szCs w:val="24"/>
        </w:rPr>
        <w:t>Miguel Bein</w:t>
      </w:r>
      <w:r>
        <w:rPr>
          <w:rFonts w:ascii="Times New Roman" w:hAnsi="Times New Roman"/>
          <w:sz w:val="24"/>
          <w:szCs w:val="24"/>
        </w:rPr>
        <w:t xml:space="preserve"> como miembro titular y presidente del Comité de Auditoría. </w:t>
      </w:r>
    </w:p>
    <w:p w:rsidR="00997570" w:rsidRPr="00B66A5D" w:rsidRDefault="00997570" w:rsidP="00997570">
      <w:pPr>
        <w:spacing w:after="0" w:line="360" w:lineRule="auto"/>
        <w:ind w:left="360"/>
        <w:jc w:val="both"/>
        <w:rPr>
          <w:rFonts w:ascii="Times New Roman" w:hAnsi="Times New Roman"/>
          <w:sz w:val="24"/>
          <w:szCs w:val="24"/>
        </w:rPr>
      </w:pPr>
    </w:p>
    <w:p w:rsidR="00997570" w:rsidRPr="00B66A5D" w:rsidRDefault="00997570" w:rsidP="00997570">
      <w:pPr>
        <w:numPr>
          <w:ilvl w:val="0"/>
          <w:numId w:val="3"/>
        </w:numPr>
        <w:spacing w:after="0" w:line="360" w:lineRule="auto"/>
        <w:ind w:left="357"/>
        <w:jc w:val="both"/>
        <w:rPr>
          <w:rFonts w:ascii="Times New Roman" w:hAnsi="Times New Roman"/>
          <w:sz w:val="24"/>
          <w:szCs w:val="24"/>
          <w:lang w:val="es-AR"/>
        </w:rPr>
      </w:pPr>
      <w:r w:rsidRPr="00B66A5D">
        <w:rPr>
          <w:rFonts w:ascii="Times New Roman" w:hAnsi="Times New Roman"/>
          <w:sz w:val="24"/>
          <w:szCs w:val="24"/>
        </w:rPr>
        <w:t xml:space="preserve">En relación con el </w:t>
      </w:r>
      <w:r>
        <w:rPr>
          <w:rFonts w:ascii="Times New Roman" w:hAnsi="Times New Roman"/>
          <w:sz w:val="24"/>
          <w:szCs w:val="24"/>
        </w:rPr>
        <w:t>noveno</w:t>
      </w:r>
      <w:r w:rsidRPr="00B66A5D">
        <w:rPr>
          <w:rFonts w:ascii="Times New Roman" w:hAnsi="Times New Roman"/>
          <w:sz w:val="24"/>
          <w:szCs w:val="24"/>
        </w:rPr>
        <w:t xml:space="preserve"> punto del Orden del Día, es decir “</w:t>
      </w:r>
      <w:r w:rsidRPr="00B66A5D">
        <w:rPr>
          <w:rFonts w:ascii="Times New Roman" w:hAnsi="Times New Roman"/>
          <w:i/>
          <w:sz w:val="24"/>
          <w:szCs w:val="24"/>
          <w:lang w:val="es-AR"/>
        </w:rPr>
        <w:t>Designación del Auditor Externo Titular y Suplente que dictaminará sobre los estados financieros correspondientes al ejercicio iniciado el 1 de enero de 20</w:t>
      </w:r>
      <w:r>
        <w:rPr>
          <w:rFonts w:ascii="Times New Roman" w:hAnsi="Times New Roman"/>
          <w:i/>
          <w:sz w:val="24"/>
          <w:szCs w:val="24"/>
          <w:lang w:val="es-AR"/>
        </w:rPr>
        <w:t>20</w:t>
      </w:r>
      <w:r w:rsidRPr="00B66A5D">
        <w:rPr>
          <w:rFonts w:ascii="Times New Roman" w:hAnsi="Times New Roman"/>
          <w:sz w:val="24"/>
          <w:szCs w:val="24"/>
        </w:rPr>
        <w:t xml:space="preserve">”, el Directorio resuelve por unanimidad que se proponga </w:t>
      </w:r>
      <w:r w:rsidRPr="00B66A5D">
        <w:rPr>
          <w:rFonts w:ascii="Times New Roman" w:hAnsi="Times New Roman"/>
          <w:sz w:val="24"/>
          <w:szCs w:val="24"/>
          <w:lang w:val="es-AR"/>
        </w:rPr>
        <w:t xml:space="preserve">a la Asamblea de Accionistas la designación de Price </w:t>
      </w:r>
      <w:proofErr w:type="spellStart"/>
      <w:r w:rsidRPr="00B66A5D">
        <w:rPr>
          <w:rFonts w:ascii="Times New Roman" w:hAnsi="Times New Roman"/>
          <w:sz w:val="24"/>
          <w:szCs w:val="24"/>
          <w:lang w:val="es-AR"/>
        </w:rPr>
        <w:t>Waterhouse</w:t>
      </w:r>
      <w:proofErr w:type="spellEnd"/>
      <w:r w:rsidRPr="00B66A5D">
        <w:rPr>
          <w:rFonts w:ascii="Times New Roman" w:hAnsi="Times New Roman"/>
          <w:sz w:val="24"/>
          <w:szCs w:val="24"/>
          <w:lang w:val="es-AR"/>
        </w:rPr>
        <w:t xml:space="preserve"> &amp; Co. S.R.L., miembro de </w:t>
      </w:r>
      <w:proofErr w:type="spellStart"/>
      <w:r w:rsidRPr="00B66A5D">
        <w:rPr>
          <w:rFonts w:ascii="Times New Roman" w:hAnsi="Times New Roman"/>
          <w:i/>
          <w:sz w:val="24"/>
          <w:szCs w:val="24"/>
          <w:lang w:val="es-AR"/>
        </w:rPr>
        <w:t>PriceWaterhouseCoopers</w:t>
      </w:r>
      <w:proofErr w:type="spellEnd"/>
      <w:r w:rsidRPr="00B66A5D">
        <w:rPr>
          <w:rFonts w:ascii="Times New Roman" w:hAnsi="Times New Roman"/>
          <w:sz w:val="24"/>
          <w:szCs w:val="24"/>
          <w:lang w:val="es-AR"/>
        </w:rPr>
        <w:t xml:space="preserve">, designando como contador certificante titular al Sr. Sergio </w:t>
      </w:r>
      <w:proofErr w:type="spellStart"/>
      <w:r w:rsidRPr="00B66A5D">
        <w:rPr>
          <w:rFonts w:ascii="Times New Roman" w:hAnsi="Times New Roman"/>
          <w:sz w:val="24"/>
          <w:szCs w:val="24"/>
          <w:lang w:val="es-AR"/>
        </w:rPr>
        <w:t>Cravero</w:t>
      </w:r>
      <w:proofErr w:type="spellEnd"/>
      <w:r w:rsidRPr="00B66A5D">
        <w:rPr>
          <w:rFonts w:ascii="Times New Roman" w:hAnsi="Times New Roman"/>
          <w:sz w:val="24"/>
          <w:szCs w:val="24"/>
          <w:lang w:val="es-AR"/>
        </w:rPr>
        <w:t xml:space="preserve">, y a los Sres. Fernando Rodríguez y Ezequiel </w:t>
      </w:r>
      <w:proofErr w:type="spellStart"/>
      <w:r w:rsidRPr="00B66A5D">
        <w:rPr>
          <w:rFonts w:ascii="Times New Roman" w:hAnsi="Times New Roman"/>
          <w:sz w:val="24"/>
          <w:szCs w:val="24"/>
          <w:lang w:val="es-AR"/>
        </w:rPr>
        <w:t>Mirazón</w:t>
      </w:r>
      <w:proofErr w:type="spellEnd"/>
      <w:r>
        <w:rPr>
          <w:rFonts w:ascii="Times New Roman" w:hAnsi="Times New Roman"/>
          <w:sz w:val="24"/>
          <w:szCs w:val="24"/>
          <w:lang w:val="es-AR"/>
        </w:rPr>
        <w:t xml:space="preserve"> </w:t>
      </w:r>
      <w:r w:rsidRPr="00B66A5D">
        <w:rPr>
          <w:rFonts w:ascii="Times New Roman" w:hAnsi="Times New Roman"/>
          <w:sz w:val="24"/>
          <w:szCs w:val="24"/>
          <w:lang w:val="es-AR"/>
        </w:rPr>
        <w:t>como contadores certificantes suplentes para el ejercicio que finalizará el 31 de diciembre de 20</w:t>
      </w:r>
      <w:r>
        <w:rPr>
          <w:rFonts w:ascii="Times New Roman" w:hAnsi="Times New Roman"/>
          <w:sz w:val="24"/>
          <w:szCs w:val="24"/>
          <w:lang w:val="es-AR"/>
        </w:rPr>
        <w:t>20</w:t>
      </w:r>
      <w:r w:rsidRPr="00B66A5D">
        <w:rPr>
          <w:rFonts w:ascii="Times New Roman" w:hAnsi="Times New Roman"/>
          <w:sz w:val="24"/>
          <w:szCs w:val="24"/>
          <w:lang w:val="es-AR"/>
        </w:rPr>
        <w:t>.</w:t>
      </w:r>
    </w:p>
    <w:p w:rsidR="00997570" w:rsidRPr="00B66A5D" w:rsidRDefault="00997570" w:rsidP="00997570">
      <w:pPr>
        <w:spacing w:after="0" w:line="360" w:lineRule="auto"/>
        <w:ind w:left="357"/>
        <w:jc w:val="both"/>
        <w:rPr>
          <w:rFonts w:ascii="Times New Roman" w:hAnsi="Times New Roman"/>
          <w:sz w:val="24"/>
          <w:szCs w:val="24"/>
          <w:lang w:val="es-AR"/>
        </w:rPr>
      </w:pPr>
    </w:p>
    <w:p w:rsidR="00997570" w:rsidRPr="00B66A5D" w:rsidRDefault="00997570" w:rsidP="00997570">
      <w:pPr>
        <w:pStyle w:val="Prrafodelista"/>
        <w:numPr>
          <w:ilvl w:val="0"/>
          <w:numId w:val="3"/>
        </w:numPr>
        <w:spacing w:after="0" w:line="360" w:lineRule="auto"/>
        <w:ind w:left="357"/>
        <w:jc w:val="both"/>
        <w:rPr>
          <w:rFonts w:ascii="Times New Roman" w:hAnsi="Times New Roman"/>
          <w:sz w:val="24"/>
          <w:szCs w:val="24"/>
          <w:lang w:val="es-AR"/>
        </w:rPr>
      </w:pPr>
      <w:r w:rsidRPr="00B66A5D">
        <w:rPr>
          <w:rFonts w:ascii="Times New Roman" w:hAnsi="Times New Roman"/>
          <w:sz w:val="24"/>
          <w:szCs w:val="24"/>
        </w:rPr>
        <w:t xml:space="preserve">En relación con el </w:t>
      </w:r>
      <w:r>
        <w:rPr>
          <w:rFonts w:ascii="Times New Roman" w:hAnsi="Times New Roman"/>
          <w:sz w:val="24"/>
          <w:szCs w:val="24"/>
        </w:rPr>
        <w:t xml:space="preserve">décimo </w:t>
      </w:r>
      <w:r w:rsidRPr="00B66A5D">
        <w:rPr>
          <w:rFonts w:ascii="Times New Roman" w:hAnsi="Times New Roman"/>
          <w:sz w:val="24"/>
          <w:szCs w:val="24"/>
        </w:rPr>
        <w:t>punto del Orden del Día, es decir “</w:t>
      </w:r>
      <w:r w:rsidRPr="00B66A5D">
        <w:rPr>
          <w:rFonts w:ascii="Times New Roman" w:hAnsi="Times New Roman"/>
          <w:i/>
          <w:sz w:val="24"/>
          <w:szCs w:val="24"/>
          <w:lang w:val="es-AR"/>
        </w:rPr>
        <w:t>Determinación de la retribución del Auditor Externo Titular y Suplente que dictaminará sobre los estados financieros correspondientes al ejercicio iniciado el 1 de enero de 20</w:t>
      </w:r>
      <w:r>
        <w:rPr>
          <w:rFonts w:ascii="Times New Roman" w:hAnsi="Times New Roman"/>
          <w:i/>
          <w:sz w:val="24"/>
          <w:szCs w:val="24"/>
          <w:lang w:val="es-AR"/>
        </w:rPr>
        <w:t>20</w:t>
      </w:r>
      <w:r w:rsidRPr="00B66A5D">
        <w:rPr>
          <w:rFonts w:ascii="Times New Roman" w:hAnsi="Times New Roman"/>
          <w:sz w:val="24"/>
          <w:szCs w:val="24"/>
        </w:rPr>
        <w:t xml:space="preserve">”, el Directorio resuelve por unanimidad que se proponga </w:t>
      </w:r>
      <w:r w:rsidRPr="00B66A5D">
        <w:rPr>
          <w:rFonts w:ascii="Times New Roman" w:hAnsi="Times New Roman"/>
          <w:sz w:val="24"/>
          <w:szCs w:val="24"/>
          <w:lang w:val="es-AR"/>
        </w:rPr>
        <w:t>a la Asamblea de Accionistas postergar la aprobación de la retribución al auditor externo correspondiente al ejercicio que finalizará el 31 de diciembre de 20</w:t>
      </w:r>
      <w:r>
        <w:rPr>
          <w:rFonts w:ascii="Times New Roman" w:hAnsi="Times New Roman"/>
          <w:sz w:val="24"/>
          <w:szCs w:val="24"/>
          <w:lang w:val="es-AR"/>
        </w:rPr>
        <w:t>20</w:t>
      </w:r>
      <w:r w:rsidRPr="00B66A5D">
        <w:rPr>
          <w:rFonts w:ascii="Times New Roman" w:hAnsi="Times New Roman"/>
          <w:sz w:val="24"/>
          <w:szCs w:val="24"/>
          <w:lang w:val="es-AR"/>
        </w:rPr>
        <w:t xml:space="preserve"> hasta la próxima asamblea anual de accionistas que se celebre.</w:t>
      </w:r>
    </w:p>
    <w:p w:rsidR="00997570" w:rsidRPr="00B66A5D" w:rsidRDefault="00997570" w:rsidP="00997570">
      <w:pPr>
        <w:spacing w:after="0" w:line="360" w:lineRule="auto"/>
        <w:ind w:left="357"/>
        <w:jc w:val="both"/>
        <w:rPr>
          <w:rFonts w:ascii="Times New Roman" w:hAnsi="Times New Roman"/>
          <w:sz w:val="24"/>
          <w:szCs w:val="24"/>
          <w:lang w:val="es-AR"/>
        </w:rPr>
      </w:pPr>
    </w:p>
    <w:p w:rsidR="00997570" w:rsidRPr="003A2BDD" w:rsidRDefault="00997570" w:rsidP="00997570">
      <w:pPr>
        <w:pStyle w:val="Prrafodelista"/>
        <w:numPr>
          <w:ilvl w:val="0"/>
          <w:numId w:val="3"/>
        </w:numPr>
        <w:spacing w:after="0" w:line="360" w:lineRule="auto"/>
        <w:ind w:left="357" w:hanging="357"/>
        <w:jc w:val="both"/>
        <w:rPr>
          <w:lang w:val="es-MX"/>
        </w:rPr>
      </w:pPr>
      <w:r w:rsidRPr="00857A0A">
        <w:rPr>
          <w:rFonts w:ascii="Times New Roman" w:hAnsi="Times New Roman"/>
          <w:sz w:val="24"/>
          <w:szCs w:val="24"/>
        </w:rPr>
        <w:t xml:space="preserve">En relación con el décimo </w:t>
      </w:r>
      <w:r>
        <w:rPr>
          <w:rFonts w:ascii="Times New Roman" w:hAnsi="Times New Roman"/>
          <w:sz w:val="24"/>
          <w:szCs w:val="24"/>
        </w:rPr>
        <w:t xml:space="preserve">primer </w:t>
      </w:r>
      <w:r w:rsidRPr="00857A0A">
        <w:rPr>
          <w:rFonts w:ascii="Times New Roman" w:hAnsi="Times New Roman"/>
          <w:sz w:val="24"/>
          <w:szCs w:val="24"/>
        </w:rPr>
        <w:t>punto del Orden del Día, es decir “</w:t>
      </w:r>
      <w:r w:rsidRPr="00857A0A">
        <w:rPr>
          <w:rFonts w:ascii="Times New Roman" w:hAnsi="Times New Roman"/>
          <w:i/>
          <w:sz w:val="24"/>
          <w:szCs w:val="24"/>
          <w:lang w:val="es-AR"/>
        </w:rPr>
        <w:t xml:space="preserve">Consideración de la asignación de una partida presupuestaria para el funcionamiento del Comité de </w:t>
      </w:r>
      <w:r w:rsidRPr="00100275">
        <w:rPr>
          <w:rFonts w:ascii="Times New Roman" w:hAnsi="Times New Roman"/>
          <w:i/>
          <w:sz w:val="24"/>
          <w:szCs w:val="24"/>
          <w:lang w:val="es-AR"/>
        </w:rPr>
        <w:t>Auditoría</w:t>
      </w:r>
      <w:r w:rsidRPr="00100275">
        <w:rPr>
          <w:rFonts w:ascii="Times New Roman" w:hAnsi="Times New Roman"/>
          <w:i/>
          <w:sz w:val="24"/>
          <w:szCs w:val="24"/>
        </w:rPr>
        <w:t>”</w:t>
      </w:r>
      <w:r w:rsidRPr="00100275">
        <w:rPr>
          <w:rFonts w:ascii="Times New Roman" w:hAnsi="Times New Roman"/>
          <w:sz w:val="24"/>
          <w:szCs w:val="24"/>
        </w:rPr>
        <w:t xml:space="preserve">, el Directorio resuelve por unanimidad que se proponga </w:t>
      </w:r>
      <w:r w:rsidRPr="00100275">
        <w:rPr>
          <w:rFonts w:ascii="Times New Roman" w:hAnsi="Times New Roman"/>
          <w:sz w:val="24"/>
          <w:szCs w:val="24"/>
          <w:lang w:val="es-AR"/>
        </w:rPr>
        <w:t xml:space="preserve">a la Asamblea de Accionistas </w:t>
      </w:r>
      <w:r w:rsidRPr="00100275">
        <w:rPr>
          <w:rFonts w:ascii="Times New Roman" w:hAnsi="Times New Roman"/>
          <w:sz w:val="24"/>
          <w:szCs w:val="24"/>
          <w:lang w:val="es-MX"/>
        </w:rPr>
        <w:t>que el presupuesto del Comité de Auditoría c</w:t>
      </w:r>
      <w:r>
        <w:rPr>
          <w:rFonts w:ascii="Times New Roman" w:hAnsi="Times New Roman"/>
          <w:sz w:val="24"/>
          <w:szCs w:val="24"/>
          <w:lang w:val="es-MX"/>
        </w:rPr>
        <w:t>orrespondiente al ejercicio 2020</w:t>
      </w:r>
      <w:r w:rsidRPr="00100275">
        <w:rPr>
          <w:rFonts w:ascii="Times New Roman" w:hAnsi="Times New Roman"/>
          <w:sz w:val="24"/>
          <w:szCs w:val="24"/>
          <w:lang w:val="es-MX"/>
        </w:rPr>
        <w:t xml:space="preserve"> ascienda a la </w:t>
      </w:r>
      <w:r w:rsidRPr="00C91FB4">
        <w:rPr>
          <w:rFonts w:ascii="Times New Roman" w:hAnsi="Times New Roman"/>
          <w:sz w:val="24"/>
          <w:szCs w:val="24"/>
          <w:lang w:val="es-MX"/>
        </w:rPr>
        <w:t xml:space="preserve">suma de </w:t>
      </w:r>
      <w:r w:rsidRPr="00A8021A">
        <w:rPr>
          <w:rFonts w:ascii="Times New Roman" w:hAnsi="Times New Roman"/>
          <w:sz w:val="24"/>
          <w:szCs w:val="24"/>
          <w:lang w:val="es-MX"/>
        </w:rPr>
        <w:t>$900.000</w:t>
      </w:r>
      <w:r w:rsidRPr="00C91FB4">
        <w:rPr>
          <w:rFonts w:ascii="Times New Roman" w:hAnsi="Times New Roman"/>
          <w:sz w:val="24"/>
          <w:szCs w:val="24"/>
          <w:lang w:val="es-MX"/>
        </w:rPr>
        <w:t>.</w:t>
      </w:r>
    </w:p>
    <w:p w:rsidR="00997570" w:rsidRPr="003A2BDD" w:rsidRDefault="00997570" w:rsidP="00997570">
      <w:pPr>
        <w:pStyle w:val="Prrafodelista"/>
        <w:spacing w:after="0" w:line="360" w:lineRule="auto"/>
        <w:rPr>
          <w:lang w:val="es-MX"/>
        </w:rPr>
      </w:pPr>
    </w:p>
    <w:p w:rsidR="00997570" w:rsidRPr="006C2A0B" w:rsidRDefault="00997570" w:rsidP="00997570">
      <w:pPr>
        <w:pStyle w:val="Prrafodelista"/>
        <w:numPr>
          <w:ilvl w:val="0"/>
          <w:numId w:val="3"/>
        </w:numPr>
        <w:spacing w:after="0" w:line="360" w:lineRule="auto"/>
        <w:ind w:hanging="502"/>
        <w:jc w:val="both"/>
        <w:rPr>
          <w:rFonts w:ascii="Times New Roman" w:hAnsi="Times New Roman"/>
          <w:sz w:val="24"/>
          <w:szCs w:val="24"/>
          <w:lang w:val="es-MX"/>
        </w:rPr>
      </w:pPr>
      <w:r w:rsidRPr="003A2BDD">
        <w:rPr>
          <w:lang w:val="es-MX"/>
        </w:rPr>
        <w:t xml:space="preserve"> </w:t>
      </w:r>
      <w:r w:rsidRPr="003A2BDD">
        <w:rPr>
          <w:rFonts w:ascii="Times New Roman" w:hAnsi="Times New Roman"/>
          <w:sz w:val="24"/>
          <w:szCs w:val="24"/>
          <w:lang w:val="es-AR"/>
        </w:rPr>
        <w:t xml:space="preserve">Con relación al décimo </w:t>
      </w:r>
      <w:r>
        <w:rPr>
          <w:rFonts w:ascii="Times New Roman" w:hAnsi="Times New Roman"/>
          <w:sz w:val="24"/>
          <w:szCs w:val="24"/>
          <w:lang w:val="es-AR"/>
        </w:rPr>
        <w:t>segundo</w:t>
      </w:r>
      <w:r w:rsidRPr="003A2BDD">
        <w:rPr>
          <w:rFonts w:ascii="Times New Roman" w:hAnsi="Times New Roman"/>
          <w:sz w:val="24"/>
          <w:szCs w:val="24"/>
          <w:lang w:val="es-AR"/>
        </w:rPr>
        <w:t xml:space="preserve"> punto del Orden del Día, es decir “</w:t>
      </w:r>
      <w:r w:rsidRPr="003A2BDD">
        <w:rPr>
          <w:rFonts w:ascii="Times New Roman" w:hAnsi="Times New Roman"/>
          <w:i/>
          <w:sz w:val="24"/>
          <w:szCs w:val="24"/>
          <w:lang w:val="es-AR"/>
        </w:rPr>
        <w:t xml:space="preserve">Consideración de: (i) la Fusión de Pampa Energía S.A. con Central Piedra Buena S.A. en los términos de los artículos 82 y siguientes de la Ley General de Sociedades y del artículo </w:t>
      </w:r>
      <w:r>
        <w:rPr>
          <w:rFonts w:ascii="Times New Roman" w:hAnsi="Times New Roman"/>
          <w:i/>
          <w:sz w:val="24"/>
          <w:szCs w:val="24"/>
          <w:lang w:val="es-AR"/>
        </w:rPr>
        <w:t xml:space="preserve">80 </w:t>
      </w:r>
      <w:r w:rsidRPr="003A2BDD">
        <w:rPr>
          <w:rFonts w:ascii="Times New Roman" w:hAnsi="Times New Roman"/>
          <w:i/>
          <w:sz w:val="24"/>
          <w:szCs w:val="24"/>
          <w:lang w:val="es-AR"/>
        </w:rPr>
        <w:t>y siguientes de la Ley de Impuesto a las Ganancias</w:t>
      </w:r>
      <w:r>
        <w:rPr>
          <w:rFonts w:ascii="Times New Roman" w:hAnsi="Times New Roman"/>
          <w:i/>
          <w:sz w:val="24"/>
          <w:szCs w:val="24"/>
          <w:lang w:val="es-AR"/>
        </w:rPr>
        <w:t xml:space="preserve"> (según su texto ordenado 2019)</w:t>
      </w:r>
      <w:r w:rsidRPr="003A2BDD">
        <w:rPr>
          <w:rFonts w:ascii="Times New Roman" w:hAnsi="Times New Roman"/>
          <w:i/>
          <w:sz w:val="24"/>
          <w:szCs w:val="24"/>
          <w:lang w:val="es-AR"/>
        </w:rPr>
        <w:t xml:space="preserve">; (ii) el Estado de Situación Financiera Individual Especial de Fusión de la Sociedad al 31 de diciembre de 2019 y el </w:t>
      </w:r>
      <w:r>
        <w:rPr>
          <w:rFonts w:ascii="Times New Roman" w:hAnsi="Times New Roman"/>
          <w:i/>
          <w:sz w:val="24"/>
          <w:szCs w:val="24"/>
          <w:lang w:val="es-AR"/>
        </w:rPr>
        <w:t>E</w:t>
      </w:r>
      <w:r w:rsidRPr="003A2BDD">
        <w:rPr>
          <w:rFonts w:ascii="Times New Roman" w:hAnsi="Times New Roman"/>
          <w:i/>
          <w:sz w:val="24"/>
          <w:szCs w:val="24"/>
          <w:lang w:val="es-AR"/>
        </w:rPr>
        <w:t xml:space="preserve">stado de </w:t>
      </w:r>
      <w:r>
        <w:rPr>
          <w:rFonts w:ascii="Times New Roman" w:hAnsi="Times New Roman"/>
          <w:i/>
          <w:sz w:val="24"/>
          <w:szCs w:val="24"/>
          <w:lang w:val="es-AR"/>
        </w:rPr>
        <w:t>S</w:t>
      </w:r>
      <w:r w:rsidRPr="003A2BDD">
        <w:rPr>
          <w:rFonts w:ascii="Times New Roman" w:hAnsi="Times New Roman"/>
          <w:i/>
          <w:sz w:val="24"/>
          <w:szCs w:val="24"/>
          <w:lang w:val="es-AR"/>
        </w:rPr>
        <w:t xml:space="preserve">ituación </w:t>
      </w:r>
      <w:r>
        <w:rPr>
          <w:rFonts w:ascii="Times New Roman" w:hAnsi="Times New Roman"/>
          <w:i/>
          <w:sz w:val="24"/>
          <w:szCs w:val="24"/>
          <w:lang w:val="es-AR"/>
        </w:rPr>
        <w:t>F</w:t>
      </w:r>
      <w:r w:rsidRPr="003A2BDD">
        <w:rPr>
          <w:rFonts w:ascii="Times New Roman" w:hAnsi="Times New Roman"/>
          <w:i/>
          <w:sz w:val="24"/>
          <w:szCs w:val="24"/>
          <w:lang w:val="es-AR"/>
        </w:rPr>
        <w:t xml:space="preserve">inanciera </w:t>
      </w:r>
      <w:r>
        <w:rPr>
          <w:rFonts w:ascii="Times New Roman" w:hAnsi="Times New Roman"/>
          <w:i/>
          <w:sz w:val="24"/>
          <w:szCs w:val="24"/>
          <w:lang w:val="es-AR"/>
        </w:rPr>
        <w:t>C</w:t>
      </w:r>
      <w:r w:rsidRPr="003A2BDD">
        <w:rPr>
          <w:rFonts w:ascii="Times New Roman" w:hAnsi="Times New Roman"/>
          <w:i/>
          <w:sz w:val="24"/>
          <w:szCs w:val="24"/>
          <w:lang w:val="es-AR"/>
        </w:rPr>
        <w:t xml:space="preserve">onsolidado de </w:t>
      </w:r>
      <w:r>
        <w:rPr>
          <w:rFonts w:ascii="Times New Roman" w:hAnsi="Times New Roman"/>
          <w:i/>
          <w:sz w:val="24"/>
          <w:szCs w:val="24"/>
          <w:lang w:val="es-AR"/>
        </w:rPr>
        <w:t>F</w:t>
      </w:r>
      <w:r w:rsidRPr="003A2BDD">
        <w:rPr>
          <w:rFonts w:ascii="Times New Roman" w:hAnsi="Times New Roman"/>
          <w:i/>
          <w:sz w:val="24"/>
          <w:szCs w:val="24"/>
          <w:lang w:val="es-AR"/>
        </w:rPr>
        <w:t xml:space="preserve">usión al 31 </w:t>
      </w:r>
      <w:r w:rsidRPr="003A2BDD">
        <w:rPr>
          <w:rFonts w:ascii="Times New Roman" w:hAnsi="Times New Roman"/>
          <w:i/>
          <w:sz w:val="24"/>
          <w:szCs w:val="24"/>
          <w:lang w:val="es-AR"/>
        </w:rPr>
        <w:lastRenderedPageBreak/>
        <w:t>de diciembre de 2019, junto con sus respectivos informes del auditor externo e informes de la Comisión Fiscalizadora; (iii) el compromiso previo de fusión; y (</w:t>
      </w:r>
      <w:r>
        <w:rPr>
          <w:rFonts w:ascii="Times New Roman" w:hAnsi="Times New Roman"/>
          <w:i/>
          <w:sz w:val="24"/>
          <w:szCs w:val="24"/>
          <w:lang w:val="es-AR"/>
        </w:rPr>
        <w:t>i</w:t>
      </w:r>
      <w:r w:rsidRPr="003A2BDD">
        <w:rPr>
          <w:rFonts w:ascii="Times New Roman" w:hAnsi="Times New Roman"/>
          <w:i/>
          <w:sz w:val="24"/>
          <w:szCs w:val="24"/>
          <w:lang w:val="es-AR"/>
        </w:rPr>
        <w:t>v) el otorgamiento de autorizaciones para suscribir el acuerdo definitivo de fusión.</w:t>
      </w:r>
      <w:r w:rsidRPr="003A2BDD">
        <w:rPr>
          <w:rFonts w:ascii="Times New Roman" w:hAnsi="Times New Roman"/>
          <w:sz w:val="24"/>
          <w:szCs w:val="24"/>
          <w:lang w:val="es-AR"/>
        </w:rPr>
        <w:t xml:space="preserve">” </w:t>
      </w:r>
      <w:r w:rsidRPr="003A2BDD">
        <w:rPr>
          <w:rFonts w:ascii="Times New Roman" w:hAnsi="Times New Roman"/>
          <w:sz w:val="24"/>
          <w:szCs w:val="24"/>
        </w:rPr>
        <w:t xml:space="preserve">el Directorio resuelve por unanimidad que se proponga a la Asamblea de Accionistas que: (i) se apruebe la fusión por absorción por parte de la Sociedad con </w:t>
      </w:r>
      <w:r>
        <w:rPr>
          <w:rFonts w:ascii="Times New Roman" w:hAnsi="Times New Roman"/>
          <w:sz w:val="24"/>
          <w:szCs w:val="24"/>
        </w:rPr>
        <w:t>Central Piedra Buena</w:t>
      </w:r>
      <w:r w:rsidRPr="003A2BDD">
        <w:rPr>
          <w:rFonts w:ascii="Times New Roman" w:hAnsi="Times New Roman"/>
          <w:sz w:val="24"/>
          <w:szCs w:val="24"/>
        </w:rPr>
        <w:t xml:space="preserve"> S.A. (la “</w:t>
      </w:r>
      <w:r w:rsidRPr="003A2BDD">
        <w:rPr>
          <w:rFonts w:ascii="Times New Roman" w:hAnsi="Times New Roman"/>
          <w:sz w:val="24"/>
          <w:szCs w:val="24"/>
          <w:u w:val="single"/>
        </w:rPr>
        <w:t>Absorbida</w:t>
      </w:r>
      <w:r w:rsidRPr="003A2BDD">
        <w:rPr>
          <w:rFonts w:ascii="Times New Roman" w:hAnsi="Times New Roman"/>
          <w:sz w:val="24"/>
          <w:szCs w:val="24"/>
        </w:rPr>
        <w:t>”, junto con la Sociedad, las “</w:t>
      </w:r>
      <w:r w:rsidRPr="003A2BDD">
        <w:rPr>
          <w:rFonts w:ascii="Times New Roman" w:hAnsi="Times New Roman"/>
          <w:sz w:val="24"/>
          <w:szCs w:val="24"/>
          <w:u w:val="single"/>
        </w:rPr>
        <w:t>Sociedades Participantes</w:t>
      </w:r>
      <w:r w:rsidRPr="003A2BDD">
        <w:rPr>
          <w:rFonts w:ascii="Times New Roman" w:hAnsi="Times New Roman"/>
          <w:sz w:val="24"/>
          <w:szCs w:val="24"/>
        </w:rPr>
        <w:t xml:space="preserve">”), la cual consiste en la disolución sin liquidación de la Absorbida como consecuencia de su absorción por parte de la Sociedad de conformidad con las disposiciones de los arts. 82 y siguientes de la Ley General de Sociedades y los arts. </w:t>
      </w:r>
      <w:r>
        <w:rPr>
          <w:rFonts w:ascii="Times New Roman" w:hAnsi="Times New Roman"/>
          <w:sz w:val="24"/>
          <w:szCs w:val="24"/>
        </w:rPr>
        <w:t xml:space="preserve">80 </w:t>
      </w:r>
      <w:r w:rsidRPr="003A2BDD">
        <w:rPr>
          <w:rFonts w:ascii="Times New Roman" w:hAnsi="Times New Roman"/>
          <w:sz w:val="24"/>
          <w:szCs w:val="24"/>
        </w:rPr>
        <w:t>y siguientes de la Ley de Impuesto a las Ganancias</w:t>
      </w:r>
      <w:r>
        <w:rPr>
          <w:rFonts w:ascii="Times New Roman" w:hAnsi="Times New Roman"/>
          <w:sz w:val="24"/>
          <w:szCs w:val="24"/>
        </w:rPr>
        <w:t xml:space="preserve"> (según su texto ordenado 2019)</w:t>
      </w:r>
      <w:r w:rsidRPr="003A2BDD">
        <w:rPr>
          <w:rFonts w:ascii="Times New Roman" w:hAnsi="Times New Roman"/>
          <w:sz w:val="24"/>
          <w:szCs w:val="24"/>
        </w:rPr>
        <w:t xml:space="preserve">, en los términos y condiciones descriptos en el compromiso previo de fusión y en el prospecto de fusión; (ii) se deje constancia de que a partir de la fecha de la aprobación de la fusión por parte de las Asambleas de Accionistas de las Sociedades Participantes en la </w:t>
      </w:r>
      <w:r>
        <w:rPr>
          <w:rFonts w:ascii="Times New Roman" w:hAnsi="Times New Roman"/>
          <w:sz w:val="24"/>
          <w:szCs w:val="24"/>
        </w:rPr>
        <w:t>F</w:t>
      </w:r>
      <w:r w:rsidRPr="003A2BDD">
        <w:rPr>
          <w:rFonts w:ascii="Times New Roman" w:hAnsi="Times New Roman"/>
          <w:sz w:val="24"/>
          <w:szCs w:val="24"/>
        </w:rPr>
        <w:t xml:space="preserve">usión, y hasta la inscripción del acuerdo definitivo de fusión en los registros públicos correspondientes, el Directorio de la Sociedad tomará a su cargo la administración de la Absorbida, con suspensión de los órganos de administración de éstas en los términos del artículo 84 de la LGS; (iii) se omita la lectura de los documentos bajo consideración en razón de que los mismos han sido previamente y en legal forma puestos a disposición de los Sres. Accionistas, con anticipación suficiente y dentro de los plazos reglamentarios correspondientes; (iv) se aprueben tal como han sido presentados por el Directorio y puestos a disposición de los Sres. Accionistas, el </w:t>
      </w:r>
      <w:r>
        <w:rPr>
          <w:rFonts w:ascii="Times New Roman" w:hAnsi="Times New Roman"/>
          <w:sz w:val="24"/>
          <w:szCs w:val="24"/>
        </w:rPr>
        <w:t>E</w:t>
      </w:r>
      <w:r w:rsidRPr="003A2BDD">
        <w:rPr>
          <w:rFonts w:ascii="Times New Roman" w:hAnsi="Times New Roman"/>
          <w:sz w:val="24"/>
          <w:szCs w:val="24"/>
        </w:rPr>
        <w:t xml:space="preserve">stado de </w:t>
      </w:r>
      <w:r>
        <w:rPr>
          <w:rFonts w:ascii="Times New Roman" w:hAnsi="Times New Roman"/>
          <w:sz w:val="24"/>
          <w:szCs w:val="24"/>
        </w:rPr>
        <w:t>S</w:t>
      </w:r>
      <w:r w:rsidRPr="003A2BDD">
        <w:rPr>
          <w:rFonts w:ascii="Times New Roman" w:hAnsi="Times New Roman"/>
          <w:sz w:val="24"/>
          <w:szCs w:val="24"/>
        </w:rPr>
        <w:t xml:space="preserve">ituación </w:t>
      </w:r>
      <w:r>
        <w:rPr>
          <w:rFonts w:ascii="Times New Roman" w:hAnsi="Times New Roman"/>
          <w:sz w:val="24"/>
          <w:szCs w:val="24"/>
        </w:rPr>
        <w:t>F</w:t>
      </w:r>
      <w:r w:rsidRPr="003A2BDD">
        <w:rPr>
          <w:rFonts w:ascii="Times New Roman" w:hAnsi="Times New Roman"/>
          <w:sz w:val="24"/>
          <w:szCs w:val="24"/>
        </w:rPr>
        <w:t xml:space="preserve">inanciera </w:t>
      </w:r>
      <w:r>
        <w:rPr>
          <w:rFonts w:ascii="Times New Roman" w:hAnsi="Times New Roman"/>
          <w:sz w:val="24"/>
          <w:szCs w:val="24"/>
        </w:rPr>
        <w:t>I</w:t>
      </w:r>
      <w:r w:rsidRPr="003A2BDD">
        <w:rPr>
          <w:rFonts w:ascii="Times New Roman" w:hAnsi="Times New Roman"/>
          <w:sz w:val="24"/>
          <w:szCs w:val="24"/>
        </w:rPr>
        <w:t xml:space="preserve">ndividual </w:t>
      </w:r>
      <w:r>
        <w:rPr>
          <w:rFonts w:ascii="Times New Roman" w:hAnsi="Times New Roman"/>
          <w:sz w:val="24"/>
          <w:szCs w:val="24"/>
        </w:rPr>
        <w:t>E</w:t>
      </w:r>
      <w:r w:rsidRPr="003A2BDD">
        <w:rPr>
          <w:rFonts w:ascii="Times New Roman" w:hAnsi="Times New Roman"/>
          <w:sz w:val="24"/>
          <w:szCs w:val="24"/>
        </w:rPr>
        <w:t xml:space="preserve">special de </w:t>
      </w:r>
      <w:r>
        <w:rPr>
          <w:rFonts w:ascii="Times New Roman" w:hAnsi="Times New Roman"/>
          <w:sz w:val="24"/>
          <w:szCs w:val="24"/>
        </w:rPr>
        <w:t>F</w:t>
      </w:r>
      <w:r w:rsidRPr="003A2BDD">
        <w:rPr>
          <w:rFonts w:ascii="Times New Roman" w:hAnsi="Times New Roman"/>
          <w:sz w:val="24"/>
          <w:szCs w:val="24"/>
        </w:rPr>
        <w:t>usión de la Soc</w:t>
      </w:r>
      <w:r>
        <w:rPr>
          <w:rFonts w:ascii="Times New Roman" w:hAnsi="Times New Roman"/>
          <w:sz w:val="24"/>
          <w:szCs w:val="24"/>
        </w:rPr>
        <w:t>iedad al 31 de diciembre de 2019</w:t>
      </w:r>
      <w:r w:rsidRPr="003A2BDD">
        <w:rPr>
          <w:rFonts w:ascii="Times New Roman" w:hAnsi="Times New Roman"/>
          <w:sz w:val="24"/>
          <w:szCs w:val="24"/>
        </w:rPr>
        <w:t xml:space="preserve"> y el </w:t>
      </w:r>
      <w:r>
        <w:rPr>
          <w:rFonts w:ascii="Times New Roman" w:hAnsi="Times New Roman"/>
          <w:sz w:val="24"/>
          <w:szCs w:val="24"/>
        </w:rPr>
        <w:t>E</w:t>
      </w:r>
      <w:r w:rsidRPr="003A2BDD">
        <w:rPr>
          <w:rFonts w:ascii="Times New Roman" w:hAnsi="Times New Roman"/>
          <w:sz w:val="24"/>
          <w:szCs w:val="24"/>
        </w:rPr>
        <w:t xml:space="preserve">stado de </w:t>
      </w:r>
      <w:r>
        <w:rPr>
          <w:rFonts w:ascii="Times New Roman" w:hAnsi="Times New Roman"/>
          <w:sz w:val="24"/>
          <w:szCs w:val="24"/>
        </w:rPr>
        <w:t>S</w:t>
      </w:r>
      <w:r w:rsidRPr="003A2BDD">
        <w:rPr>
          <w:rFonts w:ascii="Times New Roman" w:hAnsi="Times New Roman"/>
          <w:sz w:val="24"/>
          <w:szCs w:val="24"/>
        </w:rPr>
        <w:t xml:space="preserve">ituación </w:t>
      </w:r>
      <w:r>
        <w:rPr>
          <w:rFonts w:ascii="Times New Roman" w:hAnsi="Times New Roman"/>
          <w:sz w:val="24"/>
          <w:szCs w:val="24"/>
        </w:rPr>
        <w:t>F</w:t>
      </w:r>
      <w:r w:rsidRPr="003A2BDD">
        <w:rPr>
          <w:rFonts w:ascii="Times New Roman" w:hAnsi="Times New Roman"/>
          <w:sz w:val="24"/>
          <w:szCs w:val="24"/>
        </w:rPr>
        <w:t xml:space="preserve">inanciera </w:t>
      </w:r>
      <w:r>
        <w:rPr>
          <w:rFonts w:ascii="Times New Roman" w:hAnsi="Times New Roman"/>
          <w:sz w:val="24"/>
          <w:szCs w:val="24"/>
        </w:rPr>
        <w:t>C</w:t>
      </w:r>
      <w:r w:rsidRPr="003A2BDD">
        <w:rPr>
          <w:rFonts w:ascii="Times New Roman" w:hAnsi="Times New Roman"/>
          <w:sz w:val="24"/>
          <w:szCs w:val="24"/>
        </w:rPr>
        <w:t xml:space="preserve">onsolidado de </w:t>
      </w:r>
      <w:r>
        <w:rPr>
          <w:rFonts w:ascii="Times New Roman" w:hAnsi="Times New Roman"/>
          <w:sz w:val="24"/>
          <w:szCs w:val="24"/>
        </w:rPr>
        <w:t>F</w:t>
      </w:r>
      <w:r w:rsidRPr="003A2BDD">
        <w:rPr>
          <w:rFonts w:ascii="Times New Roman" w:hAnsi="Times New Roman"/>
          <w:sz w:val="24"/>
          <w:szCs w:val="24"/>
        </w:rPr>
        <w:t>usión al 31 de diciembre de 201</w:t>
      </w:r>
      <w:r>
        <w:rPr>
          <w:rFonts w:ascii="Times New Roman" w:hAnsi="Times New Roman"/>
          <w:sz w:val="24"/>
          <w:szCs w:val="24"/>
        </w:rPr>
        <w:t>9</w:t>
      </w:r>
      <w:r w:rsidRPr="003A2BDD">
        <w:rPr>
          <w:rFonts w:ascii="Times New Roman" w:hAnsi="Times New Roman"/>
          <w:sz w:val="24"/>
          <w:szCs w:val="24"/>
        </w:rPr>
        <w:t xml:space="preserve">, junto con sus respectivos informes del auditor externo e informes de la Comisión Fiscalizadora, así como el compromiso previo de fusión, incluyendo que no resulta necesario establecer la relación de canje toda vez que la Sociedad Absorbida es 100% controlada por Pampa en forma directa e indirecta, razón por la cual no es necesario aumentar el capital de la Sociedad; (v) se faculte al Directorio para que acepte eventuales modificaciones formales que pudieran requerir los organismos de contralor respectivos en los documentos bajo consideración, siempre que dichas modificaciones no sean objetadas por la Comisión Fiscalizadora o el contador </w:t>
      </w:r>
      <w:proofErr w:type="spellStart"/>
      <w:r w:rsidRPr="003A2BDD">
        <w:rPr>
          <w:rFonts w:ascii="Times New Roman" w:hAnsi="Times New Roman"/>
          <w:sz w:val="24"/>
          <w:szCs w:val="24"/>
        </w:rPr>
        <w:t>dictaminante</w:t>
      </w:r>
      <w:proofErr w:type="spellEnd"/>
      <w:r w:rsidRPr="003A2BDD">
        <w:rPr>
          <w:rFonts w:ascii="Times New Roman" w:hAnsi="Times New Roman"/>
          <w:sz w:val="24"/>
          <w:szCs w:val="24"/>
        </w:rPr>
        <w:t xml:space="preserve">; y </w:t>
      </w:r>
      <w:r w:rsidRPr="003A2BDD">
        <w:rPr>
          <w:rFonts w:ascii="Times New Roman" w:hAnsi="Times New Roman"/>
          <w:sz w:val="24"/>
          <w:szCs w:val="24"/>
          <w:lang w:val="es-AR"/>
        </w:rPr>
        <w:t xml:space="preserve">(vi) </w:t>
      </w:r>
      <w:r w:rsidRPr="003A2BDD">
        <w:rPr>
          <w:rFonts w:ascii="Times New Roman" w:hAnsi="Times New Roman"/>
          <w:sz w:val="24"/>
          <w:szCs w:val="24"/>
        </w:rPr>
        <w:t xml:space="preserve">se delegue en los Sres. </w:t>
      </w:r>
      <w:r w:rsidRPr="003A2BDD">
        <w:rPr>
          <w:rFonts w:ascii="Times New Roman" w:hAnsi="Times New Roman"/>
          <w:sz w:val="24"/>
          <w:szCs w:val="24"/>
        </w:rPr>
        <w:lastRenderedPageBreak/>
        <w:t xml:space="preserve">Directores Titulares </w:t>
      </w:r>
      <w:r>
        <w:rPr>
          <w:rFonts w:ascii="Times New Roman" w:hAnsi="Times New Roman"/>
          <w:sz w:val="24"/>
          <w:szCs w:val="24"/>
        </w:rPr>
        <w:t xml:space="preserve">Marcos Marcelo Mindlin, </w:t>
      </w:r>
      <w:r w:rsidRPr="000A0112">
        <w:rPr>
          <w:rFonts w:ascii="Times New Roman" w:hAnsi="Times New Roman"/>
          <w:sz w:val="24"/>
          <w:szCs w:val="24"/>
        </w:rPr>
        <w:t>Gustavo Mariani</w:t>
      </w:r>
      <w:r>
        <w:rPr>
          <w:rFonts w:ascii="Times New Roman" w:hAnsi="Times New Roman"/>
          <w:sz w:val="24"/>
          <w:szCs w:val="24"/>
        </w:rPr>
        <w:t>,</w:t>
      </w:r>
      <w:r w:rsidRPr="000A0112">
        <w:t xml:space="preserve"> </w:t>
      </w:r>
      <w:r w:rsidRPr="000A0112">
        <w:rPr>
          <w:rFonts w:ascii="Times New Roman" w:hAnsi="Times New Roman"/>
          <w:sz w:val="24"/>
          <w:szCs w:val="24"/>
        </w:rPr>
        <w:t>Damián Miguel Mindlin</w:t>
      </w:r>
      <w:r>
        <w:rPr>
          <w:rFonts w:ascii="Times New Roman" w:hAnsi="Times New Roman"/>
          <w:sz w:val="24"/>
          <w:szCs w:val="24"/>
        </w:rPr>
        <w:t xml:space="preserve">, Ricardo Alejandro Torres, Gabriel Cohen, y/o María Carolina Sigwald </w:t>
      </w:r>
      <w:r w:rsidRPr="003A2BDD">
        <w:rPr>
          <w:rFonts w:ascii="Times New Roman" w:hAnsi="Times New Roman"/>
          <w:sz w:val="24"/>
          <w:szCs w:val="24"/>
        </w:rPr>
        <w:t>para que, cualquiera de ellos en forma individual e indistinta, acuerde y suscriba en nombre y representación de la Sociedad el correspondiente acuerdo definitivo de fusión.</w:t>
      </w:r>
    </w:p>
    <w:p w:rsidR="00997570" w:rsidRPr="006C2A0B" w:rsidRDefault="00997570" w:rsidP="00997570">
      <w:pPr>
        <w:pStyle w:val="Prrafodelista"/>
        <w:tabs>
          <w:tab w:val="num" w:pos="426"/>
        </w:tabs>
        <w:spacing w:after="0" w:line="360" w:lineRule="auto"/>
        <w:ind w:left="502" w:hanging="502"/>
        <w:jc w:val="both"/>
        <w:rPr>
          <w:rFonts w:ascii="Times New Roman" w:hAnsi="Times New Roman"/>
          <w:sz w:val="24"/>
          <w:szCs w:val="24"/>
          <w:lang w:val="es-MX"/>
        </w:rPr>
      </w:pPr>
    </w:p>
    <w:p w:rsidR="00997570" w:rsidRPr="006C2A0B" w:rsidRDefault="00997570" w:rsidP="00997570">
      <w:pPr>
        <w:pStyle w:val="Prrafodelista"/>
        <w:numPr>
          <w:ilvl w:val="0"/>
          <w:numId w:val="3"/>
        </w:numPr>
        <w:spacing w:after="0" w:line="360" w:lineRule="auto"/>
        <w:jc w:val="both"/>
        <w:rPr>
          <w:rFonts w:ascii="Times New Roman" w:hAnsi="Times New Roman"/>
          <w:sz w:val="24"/>
          <w:szCs w:val="24"/>
          <w:lang w:val="es-MX"/>
        </w:rPr>
      </w:pPr>
      <w:r w:rsidRPr="006C2A0B">
        <w:rPr>
          <w:rFonts w:ascii="Times New Roman" w:hAnsi="Times New Roman"/>
          <w:sz w:val="24"/>
          <w:szCs w:val="24"/>
          <w:lang w:val="es-MX"/>
        </w:rPr>
        <w:t xml:space="preserve">Con relación al décimo </w:t>
      </w:r>
      <w:r>
        <w:rPr>
          <w:rFonts w:ascii="Times New Roman" w:hAnsi="Times New Roman"/>
          <w:sz w:val="24"/>
          <w:szCs w:val="24"/>
          <w:lang w:val="es-MX"/>
        </w:rPr>
        <w:t>tercer</w:t>
      </w:r>
      <w:r w:rsidRPr="006C2A0B">
        <w:rPr>
          <w:rFonts w:ascii="Times New Roman" w:hAnsi="Times New Roman"/>
          <w:sz w:val="24"/>
          <w:szCs w:val="24"/>
          <w:lang w:val="es-MX"/>
        </w:rPr>
        <w:t xml:space="preserve"> punto del Orden del Día, es decir: </w:t>
      </w:r>
      <w:r w:rsidRPr="006C2A0B">
        <w:rPr>
          <w:rFonts w:ascii="Times New Roman" w:hAnsi="Times New Roman"/>
          <w:i/>
          <w:sz w:val="24"/>
          <w:szCs w:val="24"/>
          <w:lang w:val="es-MX"/>
        </w:rPr>
        <w:t>“Consideración de la modificación del artículo cuarto del Estatuto Social. Aprobación de un Texto Ordenado del Estatuto Social.”</w:t>
      </w:r>
      <w:r w:rsidRPr="006C2A0B">
        <w:rPr>
          <w:rFonts w:ascii="Times New Roman" w:hAnsi="Times New Roman"/>
          <w:sz w:val="24"/>
          <w:szCs w:val="24"/>
          <w:lang w:val="es-MX"/>
        </w:rPr>
        <w:t xml:space="preserve"> </w:t>
      </w:r>
      <w:r w:rsidRPr="006C2A0B">
        <w:rPr>
          <w:rFonts w:ascii="Times New Roman" w:hAnsi="Times New Roman"/>
          <w:sz w:val="24"/>
          <w:szCs w:val="24"/>
          <w:lang w:val="es-ES_tradnl"/>
        </w:rPr>
        <w:t>el Directorio resuelve que se proponga a la Asamblea de Accionistas que apruebe</w:t>
      </w:r>
      <w:r>
        <w:rPr>
          <w:rFonts w:ascii="Times New Roman" w:hAnsi="Times New Roman"/>
          <w:sz w:val="24"/>
          <w:szCs w:val="24"/>
          <w:lang w:val="es-ES_tradnl"/>
        </w:rPr>
        <w:t>: (i)</w:t>
      </w:r>
      <w:r w:rsidRPr="006C2A0B">
        <w:rPr>
          <w:rFonts w:ascii="Times New Roman" w:hAnsi="Times New Roman"/>
          <w:sz w:val="24"/>
          <w:szCs w:val="24"/>
          <w:lang w:val="es-ES_tradnl"/>
        </w:rPr>
        <w:t xml:space="preserve"> modificar el artículo cuarto del Estatuto Social a fin de </w:t>
      </w:r>
      <w:r>
        <w:rPr>
          <w:rFonts w:ascii="Times New Roman" w:hAnsi="Times New Roman"/>
          <w:sz w:val="24"/>
          <w:szCs w:val="24"/>
          <w:lang w:val="es-ES_tradnl"/>
        </w:rPr>
        <w:t>que el objeto de la Sociedad contemple</w:t>
      </w:r>
      <w:r w:rsidRPr="006C2A0B">
        <w:rPr>
          <w:rFonts w:ascii="Times New Roman" w:hAnsi="Times New Roman"/>
          <w:sz w:val="24"/>
          <w:szCs w:val="24"/>
          <w:lang w:val="es-ES_tradnl"/>
        </w:rPr>
        <w:t xml:space="preserve"> la totalidad de las actividades</w:t>
      </w:r>
      <w:r>
        <w:rPr>
          <w:rFonts w:ascii="Times New Roman" w:hAnsi="Times New Roman"/>
          <w:sz w:val="24"/>
          <w:szCs w:val="24"/>
          <w:lang w:val="es-ES_tradnl"/>
        </w:rPr>
        <w:t xml:space="preserve"> </w:t>
      </w:r>
      <w:r w:rsidRPr="006C2A0B">
        <w:rPr>
          <w:rFonts w:ascii="Times New Roman" w:hAnsi="Times New Roman"/>
          <w:sz w:val="24"/>
          <w:szCs w:val="24"/>
          <w:lang w:val="es-ES_tradnl"/>
        </w:rPr>
        <w:t xml:space="preserve">llevadas a cabo por Central Piedra Buena S.A., cuya fusión con Pampa se propuso aprobar en el décimo primer punto del Orden del Día, </w:t>
      </w:r>
      <w:r w:rsidRPr="006C2A0B">
        <w:rPr>
          <w:rFonts w:ascii="Times New Roman" w:hAnsi="Times New Roman"/>
          <w:sz w:val="24"/>
          <w:szCs w:val="24"/>
        </w:rPr>
        <w:t xml:space="preserve">a saber, </w:t>
      </w:r>
      <w:r>
        <w:rPr>
          <w:rFonts w:ascii="Times New Roman" w:hAnsi="Times New Roman"/>
          <w:sz w:val="24"/>
          <w:szCs w:val="24"/>
        </w:rPr>
        <w:t xml:space="preserve">incluir </w:t>
      </w:r>
      <w:r w:rsidRPr="006C2A0B">
        <w:rPr>
          <w:rFonts w:ascii="Times New Roman" w:hAnsi="Times New Roman"/>
          <w:sz w:val="24"/>
          <w:szCs w:val="24"/>
        </w:rPr>
        <w:t xml:space="preserve">dentro de operaciones comerciales, el </w:t>
      </w:r>
      <w:r w:rsidRPr="006C2A0B">
        <w:rPr>
          <w:rFonts w:ascii="Times New Roman" w:hAnsi="Times New Roman"/>
          <w:i/>
          <w:sz w:val="24"/>
          <w:szCs w:val="24"/>
        </w:rPr>
        <w:t>“almacenamiento”</w:t>
      </w:r>
      <w:r w:rsidRPr="006C2A0B">
        <w:rPr>
          <w:rFonts w:ascii="Times New Roman" w:hAnsi="Times New Roman"/>
          <w:sz w:val="24"/>
          <w:szCs w:val="24"/>
        </w:rPr>
        <w:t xml:space="preserve"> y de </w:t>
      </w:r>
      <w:r w:rsidRPr="006C2A0B">
        <w:rPr>
          <w:rFonts w:ascii="Times New Roman" w:hAnsi="Times New Roman"/>
          <w:i/>
          <w:sz w:val="24"/>
          <w:szCs w:val="24"/>
        </w:rPr>
        <w:t>“subproductos”</w:t>
      </w:r>
      <w:r w:rsidRPr="006C2A0B">
        <w:rPr>
          <w:rFonts w:ascii="Times New Roman" w:hAnsi="Times New Roman"/>
          <w:sz w:val="24"/>
          <w:szCs w:val="24"/>
        </w:rPr>
        <w:t xml:space="preserve"> vinculados con el </w:t>
      </w:r>
      <w:r w:rsidRPr="006C2A0B">
        <w:rPr>
          <w:rFonts w:ascii="Times New Roman" w:hAnsi="Times New Roman"/>
          <w:i/>
          <w:sz w:val="24"/>
          <w:szCs w:val="24"/>
        </w:rPr>
        <w:t>“proceso de generación</w:t>
      </w:r>
      <w:r>
        <w:rPr>
          <w:rFonts w:ascii="Times New Roman" w:hAnsi="Times New Roman"/>
          <w:i/>
          <w:sz w:val="24"/>
          <w:szCs w:val="24"/>
        </w:rPr>
        <w:t xml:space="preserve"> de” </w:t>
      </w:r>
      <w:r>
        <w:rPr>
          <w:rFonts w:ascii="Times New Roman" w:hAnsi="Times New Roman"/>
          <w:sz w:val="24"/>
          <w:szCs w:val="24"/>
        </w:rPr>
        <w:t>energía eléctrica</w:t>
      </w:r>
      <w:r w:rsidRPr="006C2A0B">
        <w:rPr>
          <w:rFonts w:ascii="Times New Roman" w:hAnsi="Times New Roman"/>
          <w:sz w:val="24"/>
          <w:szCs w:val="24"/>
        </w:rPr>
        <w:t xml:space="preserve">. En tal sentido, el artículo cuarto del Estatuto Social de Pampa quedará redactado de la siguiente manera (se resaltan las modificaciones propuestas): </w:t>
      </w:r>
      <w:r w:rsidRPr="006C2A0B">
        <w:rPr>
          <w:rFonts w:ascii="Times New Roman" w:eastAsia="Times New Roman" w:hAnsi="Times New Roman"/>
          <w:i/>
          <w:sz w:val="24"/>
          <w:szCs w:val="24"/>
          <w:lang w:val="es-MX" w:eastAsia="es-ES"/>
        </w:rPr>
        <w:t>“</w:t>
      </w:r>
      <w:r w:rsidRPr="006C2A0B">
        <w:rPr>
          <w:rFonts w:ascii="Times New Roman" w:eastAsia="Times New Roman" w:hAnsi="Times New Roman"/>
          <w:b/>
          <w:i/>
          <w:sz w:val="24"/>
          <w:szCs w:val="24"/>
          <w:lang w:val="es-MX" w:eastAsia="es-ES"/>
        </w:rPr>
        <w:t>Artículo 4.-</w:t>
      </w:r>
      <w:r w:rsidRPr="006C2A0B">
        <w:rPr>
          <w:rFonts w:ascii="Times New Roman" w:eastAsia="Times New Roman" w:hAnsi="Times New Roman"/>
          <w:i/>
          <w:sz w:val="24"/>
          <w:szCs w:val="24"/>
          <w:lang w:val="es-MX" w:eastAsia="es-ES"/>
        </w:rPr>
        <w:t xml:space="preserve"> La Sociedad tiene por objeto llevar a cabo por si, por intermedio de terceros o asociada a terceros, por cuenta propia o de terceros, en el país o en el extranjero: (a) Industriales: 1) Operaciones destinadas a la generación, transformación, transmisión y distribución de energía eléctrica; 2) Explorar, explotar, catear, detectar, sondear y perforar yacimientos, áreas y/o pozos </w:t>
      </w:r>
      <w:proofErr w:type="spellStart"/>
      <w:r w:rsidRPr="006C2A0B">
        <w:rPr>
          <w:rFonts w:ascii="Times New Roman" w:eastAsia="Times New Roman" w:hAnsi="Times New Roman"/>
          <w:i/>
          <w:sz w:val="24"/>
          <w:szCs w:val="24"/>
          <w:lang w:val="es-MX" w:eastAsia="es-ES"/>
        </w:rPr>
        <w:t>hidrocarburíferos</w:t>
      </w:r>
      <w:proofErr w:type="spellEnd"/>
      <w:r w:rsidRPr="006C2A0B">
        <w:rPr>
          <w:rFonts w:ascii="Times New Roman" w:eastAsia="Times New Roman" w:hAnsi="Times New Roman"/>
          <w:i/>
          <w:sz w:val="24"/>
          <w:szCs w:val="24"/>
          <w:lang w:val="es-MX" w:eastAsia="es-ES"/>
        </w:rPr>
        <w:t xml:space="preserve"> y de cualquier otra naturaleza, como así también desarrollar actividades mineras en general; 3) comprar, vender, arrendar y explotar equipos de perforación, sus repuestos y accesorios y celebrar cualquier contrato, acto y operaciones que se vinculen con la extracción minera; 4) Elaborar, procesar, industrializar, comprar, vender, importar, exportar y transportar hidrocarburos y sus derivados, propios o de terceros, sean líquidos, sólidos o gaseosos; 5) Celebrar todo tipo de contratos de obras y/o servicios vinculados a las actividades anteriores; 6) Explotación en todas sus formas de establecimientos agrícolas y/o ganaderos, </w:t>
      </w:r>
      <w:proofErr w:type="spellStart"/>
      <w:r w:rsidRPr="006C2A0B">
        <w:rPr>
          <w:rFonts w:ascii="Times New Roman" w:eastAsia="Times New Roman" w:hAnsi="Times New Roman"/>
          <w:i/>
          <w:sz w:val="24"/>
          <w:szCs w:val="24"/>
          <w:lang w:val="es-MX" w:eastAsia="es-ES"/>
        </w:rPr>
        <w:t>frutihortícolas</w:t>
      </w:r>
      <w:proofErr w:type="spellEnd"/>
      <w:r w:rsidRPr="006C2A0B">
        <w:rPr>
          <w:rFonts w:ascii="Times New Roman" w:eastAsia="Times New Roman" w:hAnsi="Times New Roman"/>
          <w:i/>
          <w:sz w:val="24"/>
          <w:szCs w:val="24"/>
          <w:lang w:val="es-MX" w:eastAsia="es-ES"/>
        </w:rPr>
        <w:t xml:space="preserve">, viñedos y olivares, cultivos forestales y/o explotaciones granjeras; y 7) Elaboración mediante cualquier tipo de proceso industrial de productos o subproductos agropecuarios y vitivinícolas. (b) Comerciales: Operaciones comerciales mediante la importación, exportación, compraventa, transporte, </w:t>
      </w:r>
      <w:r w:rsidRPr="006C2A0B">
        <w:rPr>
          <w:rFonts w:ascii="Times New Roman" w:eastAsia="Times New Roman" w:hAnsi="Times New Roman"/>
          <w:b/>
          <w:i/>
          <w:sz w:val="24"/>
          <w:szCs w:val="24"/>
          <w:u w:val="single"/>
          <w:lang w:val="es-MX" w:eastAsia="es-ES"/>
        </w:rPr>
        <w:lastRenderedPageBreak/>
        <w:t>almacenamiento</w:t>
      </w:r>
      <w:r w:rsidRPr="006C2A0B">
        <w:rPr>
          <w:rFonts w:ascii="Times New Roman" w:eastAsia="Times New Roman" w:hAnsi="Times New Roman"/>
          <w:i/>
          <w:sz w:val="24"/>
          <w:szCs w:val="24"/>
          <w:lang w:val="es-MX" w:eastAsia="es-ES"/>
        </w:rPr>
        <w:t xml:space="preserve"> y distribución de productos, </w:t>
      </w:r>
      <w:r w:rsidRPr="006C2A0B">
        <w:rPr>
          <w:rFonts w:ascii="Times New Roman" w:eastAsia="Times New Roman" w:hAnsi="Times New Roman"/>
          <w:b/>
          <w:i/>
          <w:sz w:val="24"/>
          <w:szCs w:val="24"/>
          <w:u w:val="single"/>
          <w:lang w:val="es-MX" w:eastAsia="es-ES"/>
        </w:rPr>
        <w:t>subproductos</w:t>
      </w:r>
      <w:r w:rsidRPr="006C2A0B">
        <w:rPr>
          <w:rFonts w:ascii="Times New Roman" w:eastAsia="Times New Roman" w:hAnsi="Times New Roman"/>
          <w:i/>
          <w:sz w:val="24"/>
          <w:szCs w:val="24"/>
          <w:lang w:val="es-MX" w:eastAsia="es-ES"/>
        </w:rPr>
        <w:t xml:space="preserve"> y mercaderías vinculados con </w:t>
      </w:r>
      <w:r w:rsidRPr="006C2A0B">
        <w:rPr>
          <w:rFonts w:ascii="Times New Roman" w:eastAsia="Times New Roman" w:hAnsi="Times New Roman"/>
          <w:b/>
          <w:i/>
          <w:sz w:val="24"/>
          <w:szCs w:val="24"/>
          <w:u w:val="single"/>
          <w:lang w:val="es-MX" w:eastAsia="es-ES"/>
        </w:rPr>
        <w:t>el proceso de generación de</w:t>
      </w:r>
      <w:r w:rsidRPr="006C2A0B">
        <w:rPr>
          <w:rFonts w:ascii="Times New Roman" w:eastAsia="Times New Roman" w:hAnsi="Times New Roman"/>
          <w:i/>
          <w:sz w:val="24"/>
          <w:szCs w:val="24"/>
          <w:lang w:val="es-MX" w:eastAsia="es-ES"/>
        </w:rPr>
        <w:t xml:space="preserve"> energía eléctrica, la producción minera y productos y subproductos agropecuarios y vitivinícolas inclusive el ejercicio o desempeño de representaciones, comisiones, consignaciones y mandatos. (c) Financieras: Operaciones financieras en general; préstamos y/o aportes de capitales a particulares o empresas, para negocios realizados o a realizarse; otorgamiento de avales, garantías y fianzas a favor de terceros; compraventa y administración de acciones, títulos públicos, debentures y demás valores mobiliarios en cualquiera de los sistemas o modalidades creadas o a crearse, con excepción de las operaciones comprendidas en las prescripciones de la Ley de Entidades Financieras. (d) Inversión: Actividades de inversión en emprendimientos y en sociedades de cualquier naturaleza, de acuerdo con los límites fijados por la leyes y reglamentaciones vigentes y con sujeción a las mismas; podrá constituir o participar en la constitución de sociedades o adquirir y mantener participaciones accionarias en sociedades existentes o a crearse en la República Argentina o en el Exterior, participar en uniones transitorias, en agrupaciones de colaboración, </w:t>
      </w:r>
      <w:proofErr w:type="spellStart"/>
      <w:r w:rsidRPr="006C2A0B">
        <w:rPr>
          <w:rFonts w:ascii="Times New Roman" w:eastAsia="Times New Roman" w:hAnsi="Times New Roman"/>
          <w:i/>
          <w:sz w:val="24"/>
          <w:szCs w:val="24"/>
          <w:lang w:val="es-MX" w:eastAsia="es-ES"/>
        </w:rPr>
        <w:t>joint</w:t>
      </w:r>
      <w:proofErr w:type="spellEnd"/>
      <w:r w:rsidRPr="006C2A0B">
        <w:rPr>
          <w:rFonts w:ascii="Times New Roman" w:eastAsia="Times New Roman" w:hAnsi="Times New Roman"/>
          <w:i/>
          <w:sz w:val="24"/>
          <w:szCs w:val="24"/>
          <w:lang w:val="es-MX" w:eastAsia="es-ES"/>
        </w:rPr>
        <w:t xml:space="preserve"> </w:t>
      </w:r>
      <w:proofErr w:type="spellStart"/>
      <w:r w:rsidRPr="006C2A0B">
        <w:rPr>
          <w:rFonts w:ascii="Times New Roman" w:eastAsia="Times New Roman" w:hAnsi="Times New Roman"/>
          <w:i/>
          <w:sz w:val="24"/>
          <w:szCs w:val="24"/>
          <w:lang w:val="es-MX" w:eastAsia="es-ES"/>
        </w:rPr>
        <w:t>ventures</w:t>
      </w:r>
      <w:proofErr w:type="spellEnd"/>
      <w:r w:rsidRPr="006C2A0B">
        <w:rPr>
          <w:rFonts w:ascii="Times New Roman" w:eastAsia="Times New Roman" w:hAnsi="Times New Roman"/>
          <w:i/>
          <w:sz w:val="24"/>
          <w:szCs w:val="24"/>
          <w:lang w:val="es-MX" w:eastAsia="es-ES"/>
        </w:rPr>
        <w:t>, consorcios. La Sociedad puede también con fines de inversión adquirir, desarrollar y enajenar muebles e inmuebles de cualquier clase así como también gravar los mismos y darlos y tomarlos en locación, concesión o leasing. (e) Servicios: Prestar servicios o mandatos para sí o a favor de terceros. Para su cumplimiento la Sociedad tiene plena capacidad jurídica para adquirir derechos y contraer obligaciones y ejercer los actos que no sean prohibidos por las leyes y por este estatuto.”</w:t>
      </w:r>
      <w:r>
        <w:rPr>
          <w:rFonts w:ascii="Times New Roman" w:eastAsia="Times New Roman" w:hAnsi="Times New Roman"/>
          <w:i/>
          <w:sz w:val="24"/>
          <w:szCs w:val="24"/>
          <w:lang w:val="es-MX" w:eastAsia="es-ES"/>
        </w:rPr>
        <w:t xml:space="preserve">; </w:t>
      </w:r>
      <w:r w:rsidRPr="006C2A0B">
        <w:rPr>
          <w:rFonts w:ascii="Times New Roman" w:eastAsia="Times New Roman" w:hAnsi="Times New Roman"/>
          <w:sz w:val="24"/>
          <w:szCs w:val="24"/>
          <w:lang w:val="es-MX" w:eastAsia="es-ES"/>
        </w:rPr>
        <w:t>y (ii</w:t>
      </w:r>
      <w:r>
        <w:rPr>
          <w:rFonts w:ascii="Times New Roman" w:eastAsia="Times New Roman" w:hAnsi="Times New Roman"/>
          <w:sz w:val="24"/>
          <w:szCs w:val="24"/>
          <w:lang w:val="es-MX" w:eastAsia="es-ES"/>
        </w:rPr>
        <w:t>) aprobar un texto ordenado del Estatuto S</w:t>
      </w:r>
      <w:r w:rsidRPr="006C2A0B">
        <w:rPr>
          <w:rFonts w:ascii="Times New Roman" w:eastAsia="Times New Roman" w:hAnsi="Times New Roman"/>
          <w:sz w:val="24"/>
          <w:szCs w:val="24"/>
          <w:lang w:val="es-MX" w:eastAsia="es-ES"/>
        </w:rPr>
        <w:t>ocial conteniendo las modificaciones propuestas, proponiendo que se omita la lectura del mismo y se transc</w:t>
      </w:r>
      <w:r>
        <w:rPr>
          <w:rFonts w:ascii="Times New Roman" w:eastAsia="Times New Roman" w:hAnsi="Times New Roman"/>
          <w:sz w:val="24"/>
          <w:szCs w:val="24"/>
          <w:lang w:val="es-MX" w:eastAsia="es-ES"/>
        </w:rPr>
        <w:t xml:space="preserve">riba a continuación del acta de </w:t>
      </w:r>
      <w:r w:rsidRPr="006C2A0B">
        <w:rPr>
          <w:rFonts w:ascii="Times New Roman" w:eastAsia="Times New Roman" w:hAnsi="Times New Roman"/>
          <w:sz w:val="24"/>
          <w:szCs w:val="24"/>
          <w:lang w:val="es-MX" w:eastAsia="es-ES"/>
        </w:rPr>
        <w:t>Asamblea.</w:t>
      </w:r>
    </w:p>
    <w:p w:rsidR="00997570" w:rsidRPr="006C2A0B" w:rsidRDefault="00997570" w:rsidP="00997570">
      <w:pPr>
        <w:ind w:hanging="360"/>
        <w:rPr>
          <w:rFonts w:ascii="Times New Roman" w:hAnsi="Times New Roman"/>
          <w:i/>
          <w:sz w:val="24"/>
          <w:szCs w:val="24"/>
        </w:rPr>
      </w:pPr>
    </w:p>
    <w:p w:rsidR="00997570" w:rsidRPr="00B66A5D" w:rsidRDefault="00997570" w:rsidP="00997570">
      <w:pPr>
        <w:pStyle w:val="Prrafodelista"/>
        <w:numPr>
          <w:ilvl w:val="0"/>
          <w:numId w:val="3"/>
        </w:numPr>
        <w:spacing w:after="0" w:line="360" w:lineRule="auto"/>
        <w:jc w:val="both"/>
        <w:rPr>
          <w:rFonts w:ascii="Times New Roman" w:hAnsi="Times New Roman"/>
          <w:sz w:val="24"/>
          <w:szCs w:val="24"/>
        </w:rPr>
      </w:pPr>
      <w:r w:rsidRPr="006C2A0B">
        <w:rPr>
          <w:rFonts w:ascii="Times New Roman" w:hAnsi="Times New Roman"/>
          <w:sz w:val="24"/>
          <w:szCs w:val="24"/>
          <w:lang w:val="es-MX"/>
        </w:rPr>
        <w:t xml:space="preserve">Con relación al décimo </w:t>
      </w:r>
      <w:r>
        <w:rPr>
          <w:rFonts w:ascii="Times New Roman" w:hAnsi="Times New Roman"/>
          <w:sz w:val="24"/>
          <w:szCs w:val="24"/>
          <w:lang w:val="es-MX"/>
        </w:rPr>
        <w:t>cuarto</w:t>
      </w:r>
      <w:r w:rsidRPr="006C2A0B">
        <w:rPr>
          <w:rFonts w:ascii="Times New Roman" w:hAnsi="Times New Roman"/>
          <w:sz w:val="24"/>
          <w:szCs w:val="24"/>
          <w:lang w:val="es-MX"/>
        </w:rPr>
        <w:t xml:space="preserve"> punto del Orden del Día, es decir: </w:t>
      </w:r>
      <w:r w:rsidRPr="00B66A5D">
        <w:rPr>
          <w:rFonts w:ascii="Times New Roman" w:hAnsi="Times New Roman"/>
          <w:i/>
          <w:sz w:val="24"/>
          <w:szCs w:val="24"/>
        </w:rPr>
        <w:t xml:space="preserve">“Otorgamiento de autorizaciones para la realización de los trámites y presentaciones necesarios para la obtención de las inscripciones correspondientes” </w:t>
      </w:r>
      <w:r w:rsidRPr="00B66A5D">
        <w:rPr>
          <w:rFonts w:ascii="Times New Roman" w:hAnsi="Times New Roman"/>
          <w:sz w:val="24"/>
          <w:szCs w:val="24"/>
        </w:rPr>
        <w:t>e</w:t>
      </w:r>
      <w:r w:rsidRPr="00B66A5D">
        <w:rPr>
          <w:rFonts w:ascii="Times New Roman" w:hAnsi="Times New Roman"/>
          <w:sz w:val="24"/>
          <w:szCs w:val="24"/>
          <w:lang w:val="es-AR"/>
        </w:rPr>
        <w:t xml:space="preserve">l Directorio resuelve por unanimidad proponer a la Asamblea de Accionistas </w:t>
      </w:r>
      <w:r w:rsidRPr="00B66A5D">
        <w:rPr>
          <w:rFonts w:ascii="Times New Roman" w:hAnsi="Times New Roman"/>
          <w:sz w:val="24"/>
          <w:szCs w:val="24"/>
        </w:rPr>
        <w:t xml:space="preserve">que se autorice a los Sres. </w:t>
      </w:r>
      <w:r>
        <w:rPr>
          <w:rFonts w:ascii="Times New Roman" w:hAnsi="Times New Roman"/>
          <w:sz w:val="24"/>
          <w:szCs w:val="24"/>
        </w:rPr>
        <w:t xml:space="preserve">María </w:t>
      </w:r>
      <w:r w:rsidRPr="00B66A5D">
        <w:rPr>
          <w:rFonts w:ascii="Times New Roman" w:hAnsi="Times New Roman"/>
          <w:sz w:val="24"/>
          <w:szCs w:val="24"/>
        </w:rPr>
        <w:t>Carolina Sigwald, Victoria Hitce,</w:t>
      </w:r>
      <w:r>
        <w:rPr>
          <w:rFonts w:ascii="Times New Roman" w:hAnsi="Times New Roman"/>
          <w:sz w:val="24"/>
          <w:szCs w:val="24"/>
        </w:rPr>
        <w:t xml:space="preserve"> Gerardo Carlos Paz,</w:t>
      </w:r>
      <w:r w:rsidRPr="00B66A5D">
        <w:rPr>
          <w:rFonts w:ascii="Times New Roman" w:hAnsi="Times New Roman"/>
          <w:sz w:val="24"/>
          <w:szCs w:val="24"/>
        </w:rPr>
        <w:t xml:space="preserve"> María Agustina Montes, Maite Zornoza, María Eugenia Sanchez Nuin, Juan Manuel Recio</w:t>
      </w:r>
      <w:r>
        <w:rPr>
          <w:rFonts w:ascii="Times New Roman" w:hAnsi="Times New Roman"/>
          <w:sz w:val="24"/>
          <w:szCs w:val="24"/>
        </w:rPr>
        <w:t xml:space="preserve">, Débora </w:t>
      </w:r>
      <w:proofErr w:type="spellStart"/>
      <w:r>
        <w:rPr>
          <w:rFonts w:ascii="Times New Roman" w:hAnsi="Times New Roman"/>
          <w:sz w:val="24"/>
          <w:szCs w:val="24"/>
        </w:rPr>
        <w:t>Gisele</w:t>
      </w:r>
      <w:proofErr w:type="spellEnd"/>
      <w:r>
        <w:rPr>
          <w:rFonts w:ascii="Times New Roman" w:hAnsi="Times New Roman"/>
          <w:sz w:val="24"/>
          <w:szCs w:val="24"/>
        </w:rPr>
        <w:t xml:space="preserve"> Tortosa </w:t>
      </w:r>
      <w:r>
        <w:rPr>
          <w:rFonts w:ascii="Times New Roman" w:hAnsi="Times New Roman"/>
          <w:sz w:val="24"/>
          <w:szCs w:val="24"/>
        </w:rPr>
        <w:lastRenderedPageBreak/>
        <w:t xml:space="preserve">Chavez, </w:t>
      </w:r>
      <w:r w:rsidRPr="00B66A5D">
        <w:rPr>
          <w:rFonts w:ascii="Times New Roman" w:hAnsi="Times New Roman"/>
          <w:sz w:val="24"/>
          <w:szCs w:val="24"/>
        </w:rPr>
        <w:t>Mabel Silvia Beratta</w:t>
      </w:r>
      <w:r>
        <w:rPr>
          <w:rFonts w:ascii="Times New Roman" w:hAnsi="Times New Roman"/>
          <w:sz w:val="24"/>
          <w:szCs w:val="24"/>
        </w:rPr>
        <w:t xml:space="preserve">, Diego Alexi Vaca Diez Eguez, Luis Agustín León </w:t>
      </w:r>
      <w:proofErr w:type="spellStart"/>
      <w:r>
        <w:rPr>
          <w:rFonts w:ascii="Times New Roman" w:hAnsi="Times New Roman"/>
          <w:sz w:val="24"/>
          <w:szCs w:val="24"/>
        </w:rPr>
        <w:t>Longombardo</w:t>
      </w:r>
      <w:proofErr w:type="spellEnd"/>
      <w:r w:rsidRPr="009E38D6">
        <w:rPr>
          <w:rFonts w:ascii="Times New Roman" w:hAnsi="Times New Roman"/>
          <w:sz w:val="24"/>
          <w:szCs w:val="24"/>
        </w:rPr>
        <w:t>,</w:t>
      </w:r>
      <w:r>
        <w:rPr>
          <w:rFonts w:ascii="Times New Roman" w:hAnsi="Times New Roman"/>
          <w:sz w:val="24"/>
          <w:szCs w:val="24"/>
        </w:rPr>
        <w:t xml:space="preserve"> María José Maure Bruno,</w:t>
      </w:r>
      <w:r w:rsidRPr="009E38D6">
        <w:rPr>
          <w:rFonts w:ascii="Times New Roman" w:hAnsi="Times New Roman"/>
          <w:sz w:val="24"/>
          <w:szCs w:val="24"/>
        </w:rPr>
        <w:t xml:space="preserve"> Francisco Trigo Hu</w:t>
      </w:r>
      <w:r>
        <w:rPr>
          <w:rFonts w:ascii="Times New Roman" w:hAnsi="Times New Roman"/>
          <w:sz w:val="24"/>
          <w:szCs w:val="24"/>
        </w:rPr>
        <w:t xml:space="preserve">marán, Micaela Saieg, </w:t>
      </w:r>
      <w:r w:rsidRPr="009E38D6">
        <w:rPr>
          <w:rFonts w:ascii="Times New Roman" w:hAnsi="Times New Roman"/>
          <w:sz w:val="24"/>
          <w:szCs w:val="24"/>
        </w:rPr>
        <w:t>Martín Ezequiel Gardella, Roberto Mariano Romero de Haz</w:t>
      </w:r>
      <w:r>
        <w:rPr>
          <w:rFonts w:ascii="Times New Roman" w:hAnsi="Times New Roman"/>
          <w:sz w:val="24"/>
          <w:szCs w:val="24"/>
        </w:rPr>
        <w:t>, Paula María Devotto</w:t>
      </w:r>
      <w:r w:rsidRPr="009E38D6">
        <w:rPr>
          <w:rFonts w:ascii="Times New Roman" w:hAnsi="Times New Roman"/>
          <w:sz w:val="24"/>
          <w:szCs w:val="24"/>
        </w:rPr>
        <w:t>,</w:t>
      </w:r>
      <w:r>
        <w:rPr>
          <w:rFonts w:ascii="Times New Roman" w:hAnsi="Times New Roman"/>
          <w:sz w:val="24"/>
          <w:szCs w:val="24"/>
        </w:rPr>
        <w:t xml:space="preserve"> </w:t>
      </w:r>
      <w:r w:rsidRPr="009E38D6">
        <w:rPr>
          <w:rFonts w:ascii="Times New Roman" w:hAnsi="Times New Roman"/>
          <w:sz w:val="24"/>
          <w:szCs w:val="24"/>
        </w:rPr>
        <w:t xml:space="preserve">Gonzalo Carballada, </w:t>
      </w:r>
      <w:r>
        <w:rPr>
          <w:rFonts w:ascii="Times New Roman" w:hAnsi="Times New Roman"/>
          <w:sz w:val="24"/>
          <w:szCs w:val="24"/>
        </w:rPr>
        <w:t xml:space="preserve">Fabiana Marcela Vidal, </w:t>
      </w:r>
      <w:r w:rsidRPr="009E38D6">
        <w:rPr>
          <w:rFonts w:ascii="Times New Roman" w:hAnsi="Times New Roman"/>
          <w:sz w:val="24"/>
          <w:szCs w:val="24"/>
        </w:rPr>
        <w:t xml:space="preserve">Alejandra Paulina Brasesco, </w:t>
      </w:r>
      <w:r>
        <w:rPr>
          <w:rFonts w:ascii="Times New Roman" w:hAnsi="Times New Roman"/>
          <w:sz w:val="24"/>
          <w:szCs w:val="24"/>
        </w:rPr>
        <w:t xml:space="preserve">Fernando Nicolás Villarruel, </w:t>
      </w:r>
      <w:r w:rsidRPr="009E38D6">
        <w:rPr>
          <w:rFonts w:ascii="Times New Roman" w:hAnsi="Times New Roman"/>
          <w:sz w:val="24"/>
          <w:szCs w:val="24"/>
        </w:rPr>
        <w:t xml:space="preserve">Mauricio Penta, </w:t>
      </w:r>
      <w:r>
        <w:rPr>
          <w:rFonts w:ascii="Times New Roman" w:hAnsi="Times New Roman"/>
          <w:sz w:val="24"/>
          <w:szCs w:val="24"/>
        </w:rPr>
        <w:t xml:space="preserve">Martín García Arango, Fernando Rizzi y/o </w:t>
      </w:r>
      <w:r w:rsidRPr="009E38D6">
        <w:rPr>
          <w:rFonts w:ascii="Times New Roman" w:hAnsi="Times New Roman"/>
          <w:sz w:val="24"/>
          <w:szCs w:val="24"/>
        </w:rPr>
        <w:t>V</w:t>
      </w:r>
      <w:r>
        <w:rPr>
          <w:rFonts w:ascii="Times New Roman" w:hAnsi="Times New Roman"/>
          <w:sz w:val="24"/>
          <w:szCs w:val="24"/>
        </w:rPr>
        <w:t xml:space="preserve">anesa Russo </w:t>
      </w:r>
      <w:r w:rsidRPr="00B66A5D">
        <w:rPr>
          <w:rFonts w:ascii="Times New Roman" w:hAnsi="Times New Roman"/>
          <w:sz w:val="24"/>
          <w:szCs w:val="24"/>
        </w:rPr>
        <w:t>a efectos de inscribir las resoluciones que se aprueben en la Asamblea de Accionistas y realizar cuanto trámite sea necesario ante los organismos correspondientes.</w:t>
      </w:r>
    </w:p>
    <w:p w:rsidR="00997570" w:rsidRPr="00770540" w:rsidRDefault="00997570" w:rsidP="00073CBF">
      <w:pPr>
        <w:pStyle w:val="Prrafodelista"/>
        <w:spacing w:after="0" w:line="312" w:lineRule="auto"/>
        <w:ind w:left="0"/>
        <w:jc w:val="both"/>
        <w:rPr>
          <w:rFonts w:ascii="Times New Roman" w:hAnsi="Times New Roman"/>
          <w:sz w:val="24"/>
          <w:szCs w:val="24"/>
        </w:rPr>
      </w:pPr>
    </w:p>
    <w:p w:rsidR="00770540" w:rsidRDefault="00770540"/>
    <w:p w:rsidR="005A3DC4" w:rsidRPr="005A3DC4" w:rsidRDefault="005A3DC4">
      <w:pPr>
        <w:rPr>
          <w:rFonts w:ascii="Times New Roman" w:hAnsi="Times New Roman"/>
          <w:sz w:val="24"/>
          <w:szCs w:val="24"/>
        </w:rPr>
      </w:pPr>
    </w:p>
    <w:p w:rsidR="005A3DC4" w:rsidRPr="005A3DC4" w:rsidRDefault="005A3DC4" w:rsidP="005A3DC4">
      <w:pPr>
        <w:jc w:val="center"/>
        <w:rPr>
          <w:rFonts w:ascii="Times New Roman" w:hAnsi="Times New Roman"/>
          <w:sz w:val="24"/>
          <w:szCs w:val="24"/>
        </w:rPr>
      </w:pPr>
      <w:r w:rsidRPr="005A3DC4">
        <w:rPr>
          <w:rFonts w:ascii="Times New Roman" w:hAnsi="Times New Roman"/>
          <w:sz w:val="24"/>
          <w:szCs w:val="24"/>
        </w:rPr>
        <w:t>________________________</w:t>
      </w:r>
    </w:p>
    <w:p w:rsidR="005A3DC4" w:rsidRPr="005A3DC4" w:rsidRDefault="005A3DC4" w:rsidP="005A3DC4">
      <w:pPr>
        <w:jc w:val="center"/>
        <w:rPr>
          <w:rFonts w:ascii="Times New Roman" w:hAnsi="Times New Roman"/>
          <w:sz w:val="24"/>
          <w:szCs w:val="24"/>
        </w:rPr>
      </w:pPr>
      <w:r w:rsidRPr="005A3DC4">
        <w:rPr>
          <w:rFonts w:ascii="Times New Roman" w:hAnsi="Times New Roman"/>
          <w:sz w:val="24"/>
          <w:szCs w:val="24"/>
        </w:rPr>
        <w:t>Victoria Hitce</w:t>
      </w:r>
    </w:p>
    <w:p w:rsidR="005A3DC4" w:rsidRPr="005A3DC4" w:rsidRDefault="005A3DC4" w:rsidP="005A3DC4">
      <w:pPr>
        <w:jc w:val="center"/>
        <w:rPr>
          <w:rFonts w:ascii="Times New Roman" w:hAnsi="Times New Roman"/>
          <w:sz w:val="24"/>
          <w:szCs w:val="24"/>
        </w:rPr>
      </w:pPr>
      <w:r w:rsidRPr="005A3DC4">
        <w:rPr>
          <w:rFonts w:ascii="Times New Roman" w:hAnsi="Times New Roman"/>
          <w:sz w:val="24"/>
          <w:szCs w:val="24"/>
        </w:rPr>
        <w:t>Responsable de Relaciones con el Mercado</w:t>
      </w:r>
    </w:p>
    <w:sectPr w:rsidR="005A3DC4" w:rsidRPr="005A3D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E2C1F"/>
    <w:multiLevelType w:val="hybridMultilevel"/>
    <w:tmpl w:val="6E72ABFE"/>
    <w:lvl w:ilvl="0" w:tplc="488223B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02265F5"/>
    <w:multiLevelType w:val="hybridMultilevel"/>
    <w:tmpl w:val="14FC80A6"/>
    <w:lvl w:ilvl="0" w:tplc="DF6CDB54">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6B957B20"/>
    <w:multiLevelType w:val="hybridMultilevel"/>
    <w:tmpl w:val="BBAEAAC4"/>
    <w:lvl w:ilvl="0" w:tplc="AEA09B52">
      <w:start w:val="1"/>
      <w:numFmt w:val="decimal"/>
      <w:lvlText w:val="%1."/>
      <w:lvlJc w:val="left"/>
      <w:pPr>
        <w:tabs>
          <w:tab w:val="num" w:pos="502"/>
        </w:tabs>
        <w:ind w:left="502" w:hanging="360"/>
      </w:pPr>
      <w:rPr>
        <w:rFonts w:ascii="Times New Roman" w:hAnsi="Times New Roman" w:cs="Times New Roman" w:hint="default"/>
        <w:b w:val="0"/>
        <w:i w:val="0"/>
        <w:sz w:val="24"/>
        <w:szCs w:val="24"/>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BF"/>
    <w:rsid w:val="00053ECF"/>
    <w:rsid w:val="00073CBF"/>
    <w:rsid w:val="00342587"/>
    <w:rsid w:val="003E5787"/>
    <w:rsid w:val="003F6606"/>
    <w:rsid w:val="0040456A"/>
    <w:rsid w:val="00487CD9"/>
    <w:rsid w:val="00525C4A"/>
    <w:rsid w:val="00551D1B"/>
    <w:rsid w:val="005A3DC4"/>
    <w:rsid w:val="005B517B"/>
    <w:rsid w:val="00753D92"/>
    <w:rsid w:val="0076193E"/>
    <w:rsid w:val="00770540"/>
    <w:rsid w:val="00811C75"/>
    <w:rsid w:val="00935883"/>
    <w:rsid w:val="00997570"/>
    <w:rsid w:val="00AC0267"/>
    <w:rsid w:val="00AC1220"/>
    <w:rsid w:val="00B43961"/>
    <w:rsid w:val="00C0028A"/>
    <w:rsid w:val="00D678D3"/>
    <w:rsid w:val="00D87D45"/>
    <w:rsid w:val="00E81C08"/>
    <w:rsid w:val="00EF4E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I"/>
  <w14:docId w14:val="04E0D60B"/>
  <w15:chartTrackingRefBased/>
  <w15:docId w15:val="{8F31DD2F-5D90-4AE5-AEAD-D192AD26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CBF"/>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CBF"/>
    <w:pPr>
      <w:ind w:left="720"/>
      <w:contextualSpacing/>
    </w:pPr>
  </w:style>
  <w:style w:type="paragraph" w:styleId="Textodeglobo">
    <w:name w:val="Balloon Text"/>
    <w:basedOn w:val="Normal"/>
    <w:link w:val="TextodegloboCar"/>
    <w:uiPriority w:val="99"/>
    <w:semiHidden/>
    <w:unhideWhenUsed/>
    <w:rsid w:val="005A3D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DC4"/>
    <w:rPr>
      <w:rFonts w:ascii="Segoe UI" w:eastAsia="Calibri" w:hAnsi="Segoe UI" w:cs="Segoe UI"/>
      <w:sz w:val="18"/>
      <w:szCs w:val="18"/>
      <w:lang w:val="es-ES"/>
    </w:rPr>
  </w:style>
  <w:style w:type="paragraph" w:styleId="NormalWeb">
    <w:name w:val="Normal (Web)"/>
    <w:basedOn w:val="Normal"/>
    <w:uiPriority w:val="99"/>
    <w:rsid w:val="00EF4E2D"/>
    <w:pPr>
      <w:spacing w:before="100" w:beforeAutospacing="1" w:after="100" w:afterAutospacing="1" w:line="240" w:lineRule="auto"/>
    </w:pPr>
    <w:rPr>
      <w:rFonts w:ascii="Times New Roman" w:eastAsia="Times New Roman" w:hAnsi="Times New Roman"/>
      <w:sz w:val="24"/>
      <w:szCs w:val="24"/>
      <w:lang w:val="en-US"/>
    </w:rPr>
  </w:style>
  <w:style w:type="character" w:styleId="Hipervnculo">
    <w:name w:val="Hyperlink"/>
    <w:basedOn w:val="Fuentedeprrafopredeter"/>
    <w:uiPriority w:val="99"/>
    <w:unhideWhenUsed/>
    <w:rsid w:val="00053E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galcorporativo@pampaenergi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4520</Words>
  <Characters>24864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Pampa Energía</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Zornoza</dc:creator>
  <cp:keywords/>
  <dc:description/>
  <cp:lastModifiedBy>Juan Manuel Recio</cp:lastModifiedBy>
  <cp:revision>4</cp:revision>
  <cp:lastPrinted>2020-03-11T16:30:00Z</cp:lastPrinted>
  <dcterms:created xsi:type="dcterms:W3CDTF">2020-04-14T19:28:00Z</dcterms:created>
  <dcterms:modified xsi:type="dcterms:W3CDTF">2020-04-14T22:19:00Z</dcterms:modified>
</cp:coreProperties>
</file>