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DD579" w14:textId="475177D7" w:rsidR="003F5F3D" w:rsidRDefault="00DF41C7" w:rsidP="00575848">
      <w:pPr>
        <w:widowControl w:val="0"/>
        <w:spacing w:line="276" w:lineRule="auto"/>
        <w:ind w:right="-823"/>
        <w:jc w:val="center"/>
        <w:outlineLvl w:val="0"/>
        <w:rPr>
          <w:b/>
          <w:sz w:val="22"/>
          <w:szCs w:val="22"/>
        </w:rPr>
      </w:pPr>
      <w:r w:rsidRPr="000736A0">
        <w:rPr>
          <w:b/>
          <w:sz w:val="22"/>
          <w:szCs w:val="22"/>
        </w:rPr>
        <w:t>COMPAÑÍA FINANCIERA ARGENTINA S.A.</w:t>
      </w:r>
    </w:p>
    <w:p w14:paraId="696FD22F" w14:textId="77777777" w:rsidR="00B90D9F" w:rsidRDefault="00B90D9F" w:rsidP="00575848">
      <w:pPr>
        <w:widowControl w:val="0"/>
        <w:spacing w:line="276" w:lineRule="auto"/>
        <w:ind w:right="-823"/>
        <w:jc w:val="both"/>
        <w:outlineLvl w:val="0"/>
        <w:rPr>
          <w:b/>
          <w:sz w:val="22"/>
          <w:szCs w:val="22"/>
        </w:rPr>
      </w:pPr>
    </w:p>
    <w:p w14:paraId="0644ED0A" w14:textId="5E4777A2" w:rsidR="00B90D9F" w:rsidRDefault="00B90D9F" w:rsidP="00575848">
      <w:pPr>
        <w:widowControl w:val="0"/>
        <w:spacing w:line="276" w:lineRule="auto"/>
        <w:ind w:left="-1134" w:right="-993"/>
        <w:jc w:val="center"/>
        <w:outlineLvl w:val="0"/>
        <w:rPr>
          <w:b/>
          <w:sz w:val="22"/>
          <w:szCs w:val="22"/>
        </w:rPr>
      </w:pPr>
      <w:r w:rsidRPr="00B90D9F">
        <w:rPr>
          <w:b/>
          <w:sz w:val="22"/>
          <w:szCs w:val="22"/>
        </w:rPr>
        <w:t>Programa global de emis</w:t>
      </w:r>
      <w:r>
        <w:rPr>
          <w:b/>
          <w:sz w:val="22"/>
          <w:szCs w:val="22"/>
        </w:rPr>
        <w:t xml:space="preserve">ión de obligaciones negociables </w:t>
      </w:r>
      <w:r w:rsidRPr="00B90D9F">
        <w:rPr>
          <w:b/>
          <w:sz w:val="22"/>
          <w:szCs w:val="22"/>
        </w:rPr>
        <w:t>simples</w:t>
      </w:r>
      <w:r>
        <w:rPr>
          <w:b/>
          <w:sz w:val="22"/>
          <w:szCs w:val="22"/>
        </w:rPr>
        <w:t xml:space="preserve"> </w:t>
      </w:r>
      <w:r w:rsidRPr="00B90D9F">
        <w:rPr>
          <w:b/>
          <w:sz w:val="22"/>
          <w:szCs w:val="22"/>
        </w:rPr>
        <w:t>a corto, mediano y/o largo plazo por un valor nominal de U$S250.000.000 (o su e</w:t>
      </w:r>
      <w:r>
        <w:rPr>
          <w:b/>
          <w:sz w:val="22"/>
          <w:szCs w:val="22"/>
        </w:rPr>
        <w:t xml:space="preserve">quivalente en otras monedas y/o </w:t>
      </w:r>
      <w:r w:rsidRPr="00B90D9F">
        <w:rPr>
          <w:b/>
          <w:sz w:val="22"/>
          <w:szCs w:val="22"/>
        </w:rPr>
        <w:t>unidades de valor)</w:t>
      </w:r>
    </w:p>
    <w:p w14:paraId="40E3704A" w14:textId="7057A763" w:rsidR="00B90D9F" w:rsidRDefault="00B90D9F" w:rsidP="00575848">
      <w:pPr>
        <w:widowControl w:val="0"/>
        <w:spacing w:line="276" w:lineRule="auto"/>
        <w:ind w:left="-1134" w:right="-993"/>
        <w:jc w:val="both"/>
        <w:outlineLvl w:val="0"/>
        <w:rPr>
          <w:b/>
          <w:sz w:val="22"/>
          <w:szCs w:val="22"/>
        </w:rPr>
      </w:pPr>
    </w:p>
    <w:p w14:paraId="5C0328B8" w14:textId="0FD5889D" w:rsidR="003F5F3D" w:rsidRPr="00DF41C7" w:rsidRDefault="00651966" w:rsidP="00575848">
      <w:pPr>
        <w:pStyle w:val="Textoindependiente"/>
        <w:spacing w:line="276" w:lineRule="auto"/>
        <w:ind w:left="-1134" w:right="-993"/>
        <w:rPr>
          <w:rFonts w:ascii="Times New Roman" w:hAnsi="Times New Roman"/>
          <w:sz w:val="22"/>
          <w:szCs w:val="22"/>
          <w:lang w:val="es-AR"/>
        </w:rPr>
      </w:pPr>
      <w:r>
        <w:rPr>
          <w:rFonts w:ascii="Times New Roman" w:hAnsi="Times New Roman"/>
          <w:sz w:val="22"/>
          <w:szCs w:val="22"/>
        </w:rPr>
        <w:t>Se hace saber</w:t>
      </w:r>
      <w:r w:rsidR="00B90D9F">
        <w:rPr>
          <w:rFonts w:ascii="Times New Roman" w:hAnsi="Times New Roman"/>
          <w:sz w:val="22"/>
          <w:szCs w:val="22"/>
        </w:rPr>
        <w:t xml:space="preserve">, </w:t>
      </w:r>
      <w:r w:rsidR="00B90D9F" w:rsidRPr="00B90D9F">
        <w:rPr>
          <w:rFonts w:ascii="Times New Roman" w:hAnsi="Times New Roman"/>
          <w:sz w:val="22"/>
          <w:szCs w:val="22"/>
        </w:rPr>
        <w:t>por un día, en cumplimiento de lo establecido por el artículo 10 de la Ley N° 23.576 y sus modificatorias (la “</w:t>
      </w:r>
      <w:r w:rsidR="00B90D9F" w:rsidRPr="00447A5E">
        <w:rPr>
          <w:rFonts w:ascii="Times New Roman" w:hAnsi="Times New Roman"/>
          <w:sz w:val="22"/>
          <w:szCs w:val="22"/>
          <w:u w:val="single"/>
        </w:rPr>
        <w:t>LON</w:t>
      </w:r>
      <w:r w:rsidR="00B90D9F" w:rsidRPr="00B90D9F">
        <w:rPr>
          <w:rFonts w:ascii="Times New Roman" w:hAnsi="Times New Roman"/>
          <w:sz w:val="22"/>
          <w:szCs w:val="22"/>
        </w:rPr>
        <w:t xml:space="preserve">”), que: </w:t>
      </w:r>
      <w:r w:rsidR="003F5F3D" w:rsidRPr="000736A0">
        <w:rPr>
          <w:rFonts w:ascii="Times New Roman" w:hAnsi="Times New Roman"/>
          <w:sz w:val="22"/>
          <w:szCs w:val="22"/>
        </w:rPr>
        <w:t xml:space="preserve">(a) </w:t>
      </w:r>
      <w:r w:rsidR="00B90D9F">
        <w:rPr>
          <w:rFonts w:ascii="Times New Roman" w:hAnsi="Times New Roman"/>
          <w:sz w:val="22"/>
          <w:szCs w:val="22"/>
        </w:rPr>
        <w:t xml:space="preserve">mediante Asamblea </w:t>
      </w:r>
      <w:r w:rsidR="00B90D9F" w:rsidRPr="00B90D9F">
        <w:rPr>
          <w:rFonts w:ascii="Times New Roman" w:hAnsi="Times New Roman"/>
          <w:sz w:val="22"/>
          <w:szCs w:val="22"/>
        </w:rPr>
        <w:t>de fecha</w:t>
      </w:r>
      <w:r w:rsidR="00B90D9F">
        <w:rPr>
          <w:rFonts w:ascii="Times New Roman" w:hAnsi="Times New Roman"/>
          <w:sz w:val="22"/>
          <w:szCs w:val="22"/>
        </w:rPr>
        <w:t xml:space="preserve"> </w:t>
      </w:r>
      <w:r w:rsidR="009123EF">
        <w:rPr>
          <w:rFonts w:ascii="Times New Roman" w:hAnsi="Times New Roman"/>
          <w:sz w:val="22"/>
          <w:szCs w:val="22"/>
          <w:lang w:val="es-AR"/>
        </w:rPr>
        <w:t>16 de noviembre de 2020</w:t>
      </w:r>
      <w:r w:rsidR="004164AA">
        <w:rPr>
          <w:rFonts w:ascii="Times New Roman" w:hAnsi="Times New Roman"/>
          <w:sz w:val="22"/>
          <w:szCs w:val="22"/>
        </w:rPr>
        <w:t xml:space="preserve"> y </w:t>
      </w:r>
      <w:r w:rsidR="00575848">
        <w:rPr>
          <w:rFonts w:ascii="Times New Roman" w:hAnsi="Times New Roman"/>
          <w:sz w:val="22"/>
          <w:szCs w:val="22"/>
        </w:rPr>
        <w:t>r</w:t>
      </w:r>
      <w:r w:rsidR="004164AA">
        <w:rPr>
          <w:rFonts w:ascii="Times New Roman" w:hAnsi="Times New Roman"/>
          <w:sz w:val="22"/>
          <w:szCs w:val="22"/>
        </w:rPr>
        <w:t>eunión</w:t>
      </w:r>
      <w:r w:rsidR="00B90D9F" w:rsidRPr="00B90D9F">
        <w:rPr>
          <w:rFonts w:ascii="Times New Roman" w:hAnsi="Times New Roman"/>
          <w:sz w:val="22"/>
          <w:szCs w:val="22"/>
        </w:rPr>
        <w:t xml:space="preserve"> de Directorio de fecha </w:t>
      </w:r>
      <w:r w:rsidR="0047524A">
        <w:rPr>
          <w:rFonts w:ascii="Times New Roman" w:hAnsi="Times New Roman"/>
          <w:sz w:val="22"/>
          <w:szCs w:val="22"/>
        </w:rPr>
        <w:t>16 de noviembre de 2020</w:t>
      </w:r>
      <w:r w:rsidR="0047524A" w:rsidRPr="00B90D9F">
        <w:rPr>
          <w:rFonts w:ascii="Times New Roman" w:hAnsi="Times New Roman"/>
          <w:sz w:val="22"/>
          <w:szCs w:val="22"/>
        </w:rPr>
        <w:t xml:space="preserve">, </w:t>
      </w:r>
      <w:r w:rsidR="00B90D9F">
        <w:rPr>
          <w:rFonts w:ascii="Times New Roman" w:hAnsi="Times New Roman"/>
          <w:sz w:val="22"/>
          <w:szCs w:val="22"/>
        </w:rPr>
        <w:t>Compañía Financiera Argentina</w:t>
      </w:r>
      <w:r w:rsidR="00B90D9F" w:rsidRPr="00B90D9F">
        <w:rPr>
          <w:rFonts w:ascii="Times New Roman" w:hAnsi="Times New Roman"/>
          <w:sz w:val="22"/>
          <w:szCs w:val="22"/>
        </w:rPr>
        <w:t xml:space="preserve"> S.A. (la “</w:t>
      </w:r>
      <w:r w:rsidR="00B90D9F" w:rsidRPr="00B90D9F">
        <w:rPr>
          <w:rFonts w:ascii="Times New Roman" w:hAnsi="Times New Roman"/>
          <w:sz w:val="22"/>
          <w:szCs w:val="22"/>
          <w:u w:val="single"/>
        </w:rPr>
        <w:t>Sociedad</w:t>
      </w:r>
      <w:r w:rsidR="00B90D9F" w:rsidRPr="00B90D9F">
        <w:rPr>
          <w:rFonts w:ascii="Times New Roman" w:hAnsi="Times New Roman"/>
          <w:sz w:val="22"/>
          <w:szCs w:val="22"/>
        </w:rPr>
        <w:t>” o el “</w:t>
      </w:r>
      <w:r w:rsidR="00B90D9F" w:rsidRPr="00B90D9F">
        <w:rPr>
          <w:rFonts w:ascii="Times New Roman" w:hAnsi="Times New Roman"/>
          <w:sz w:val="22"/>
          <w:szCs w:val="22"/>
          <w:u w:val="single"/>
        </w:rPr>
        <w:t>Emisor</w:t>
      </w:r>
      <w:r w:rsidR="00B90D9F" w:rsidRPr="00B90D9F">
        <w:rPr>
          <w:rFonts w:ascii="Times New Roman" w:hAnsi="Times New Roman"/>
          <w:sz w:val="22"/>
          <w:szCs w:val="22"/>
        </w:rPr>
        <w:t>”) resolvió la</w:t>
      </w:r>
      <w:r w:rsidR="004164AA">
        <w:rPr>
          <w:rFonts w:ascii="Times New Roman" w:hAnsi="Times New Roman"/>
          <w:sz w:val="22"/>
          <w:szCs w:val="22"/>
        </w:rPr>
        <w:t xml:space="preserve"> prórroga </w:t>
      </w:r>
      <w:r w:rsidR="0089275E">
        <w:rPr>
          <w:rFonts w:ascii="Times New Roman" w:hAnsi="Times New Roman"/>
          <w:sz w:val="22"/>
          <w:szCs w:val="22"/>
        </w:rPr>
        <w:t xml:space="preserve">y modificación de ciertos términos y condiciones </w:t>
      </w:r>
      <w:r w:rsidR="004164AA">
        <w:rPr>
          <w:rFonts w:ascii="Times New Roman" w:hAnsi="Times New Roman"/>
          <w:sz w:val="22"/>
          <w:szCs w:val="22"/>
        </w:rPr>
        <w:t>del</w:t>
      </w:r>
      <w:r w:rsidR="00B90D9F" w:rsidRPr="00B90D9F">
        <w:rPr>
          <w:rFonts w:ascii="Times New Roman" w:hAnsi="Times New Roman"/>
          <w:sz w:val="22"/>
          <w:szCs w:val="22"/>
        </w:rPr>
        <w:t xml:space="preserve"> </w:t>
      </w:r>
      <w:r w:rsidR="00EE426A">
        <w:rPr>
          <w:rFonts w:ascii="Times New Roman" w:hAnsi="Times New Roman"/>
          <w:sz w:val="22"/>
          <w:szCs w:val="22"/>
        </w:rPr>
        <w:t>p</w:t>
      </w:r>
      <w:r w:rsidR="00EE426A" w:rsidRPr="00EE426A">
        <w:rPr>
          <w:rFonts w:ascii="Times New Roman" w:hAnsi="Times New Roman"/>
          <w:sz w:val="22"/>
          <w:szCs w:val="22"/>
        </w:rPr>
        <w:t>rograma global de emisión de obligaciones negociables simples a corto, mediano y/o largo plazo por un valor nominal de U$S250.000.000 (o su equivalente en otras monedas y/o unidades de valor)</w:t>
      </w:r>
      <w:r w:rsidR="00B90D9F" w:rsidRPr="00B90D9F">
        <w:rPr>
          <w:rFonts w:ascii="Times New Roman" w:hAnsi="Times New Roman"/>
          <w:sz w:val="22"/>
          <w:szCs w:val="22"/>
        </w:rPr>
        <w:t xml:space="preserve"> (el “</w:t>
      </w:r>
      <w:r w:rsidR="00B90D9F" w:rsidRPr="00EE426A">
        <w:rPr>
          <w:rFonts w:ascii="Times New Roman" w:hAnsi="Times New Roman"/>
          <w:sz w:val="22"/>
          <w:szCs w:val="22"/>
          <w:u w:val="single"/>
        </w:rPr>
        <w:t>Programa</w:t>
      </w:r>
      <w:r w:rsidR="00B90D9F" w:rsidRPr="00B90D9F">
        <w:rPr>
          <w:rFonts w:ascii="Times New Roman" w:hAnsi="Times New Roman"/>
          <w:sz w:val="22"/>
          <w:szCs w:val="22"/>
        </w:rPr>
        <w:t>”).</w:t>
      </w:r>
      <w:r w:rsidR="00EE426A">
        <w:rPr>
          <w:rFonts w:ascii="Times New Roman" w:hAnsi="Times New Roman"/>
          <w:sz w:val="22"/>
          <w:szCs w:val="22"/>
        </w:rPr>
        <w:t xml:space="preserve"> </w:t>
      </w:r>
      <w:r w:rsidR="003F5F3D" w:rsidRPr="000736A0">
        <w:rPr>
          <w:rFonts w:ascii="Times New Roman" w:hAnsi="Times New Roman"/>
          <w:sz w:val="22"/>
          <w:szCs w:val="22"/>
        </w:rPr>
        <w:t xml:space="preserve">La creación del Programa ha sido aprobada en la Asamblea de accionistas del Emisor del 21 de noviembre de 2005 y la ampliación del monto del Programa (a la suma de $500.000.000) ha sido aprobada en la Asamblea de accionistas del Emisor del 8 de octubre de 2007. La </w:t>
      </w:r>
      <w:r w:rsidR="00447A5E">
        <w:rPr>
          <w:rFonts w:ascii="Times New Roman" w:hAnsi="Times New Roman"/>
          <w:sz w:val="22"/>
          <w:szCs w:val="22"/>
        </w:rPr>
        <w:t xml:space="preserve">primera </w:t>
      </w:r>
      <w:r w:rsidR="003F5F3D" w:rsidRPr="000736A0">
        <w:rPr>
          <w:rFonts w:ascii="Times New Roman" w:hAnsi="Times New Roman"/>
          <w:sz w:val="22"/>
          <w:szCs w:val="22"/>
        </w:rPr>
        <w:t>prórroga del plazo de vigencia y el aumento del monto del Programa (a la suma de U$S250.000.000) ha sido aprobada en la Asamblea de accionistas del Emisor del 25 de noviembre de 2010</w:t>
      </w:r>
      <w:r w:rsidR="003F5F3D">
        <w:rPr>
          <w:rFonts w:ascii="Times New Roman" w:hAnsi="Times New Roman"/>
          <w:sz w:val="22"/>
          <w:szCs w:val="22"/>
        </w:rPr>
        <w:t>. Asimismo</w:t>
      </w:r>
      <w:r w:rsidR="005E38B1">
        <w:rPr>
          <w:rFonts w:ascii="Times New Roman" w:hAnsi="Times New Roman"/>
          <w:sz w:val="22"/>
          <w:szCs w:val="22"/>
        </w:rPr>
        <w:t>,</w:t>
      </w:r>
      <w:r w:rsidR="003F5F3D">
        <w:rPr>
          <w:rFonts w:ascii="Times New Roman" w:hAnsi="Times New Roman"/>
          <w:sz w:val="22"/>
          <w:szCs w:val="22"/>
        </w:rPr>
        <w:t xml:space="preserve"> </w:t>
      </w:r>
      <w:r w:rsidR="003F5F3D" w:rsidRPr="00DC3283">
        <w:rPr>
          <w:rFonts w:ascii="Times New Roman" w:hAnsi="Times New Roman"/>
          <w:sz w:val="22"/>
          <w:szCs w:val="22"/>
        </w:rPr>
        <w:t xml:space="preserve">mediante </w:t>
      </w:r>
      <w:r w:rsidR="003F5F3D" w:rsidRPr="00E60DE7">
        <w:rPr>
          <w:rFonts w:ascii="Times New Roman" w:hAnsi="Times New Roman"/>
          <w:sz w:val="22"/>
          <w:szCs w:val="22"/>
        </w:rPr>
        <w:t>Asamblea de Accionistas de fecha 17 de abril de 2015 se decidió la</w:t>
      </w:r>
      <w:r w:rsidR="00447A5E">
        <w:rPr>
          <w:rFonts w:ascii="Times New Roman" w:hAnsi="Times New Roman"/>
          <w:sz w:val="22"/>
          <w:szCs w:val="22"/>
        </w:rPr>
        <w:t xml:space="preserve"> segunda</w:t>
      </w:r>
      <w:r w:rsidR="003F5F3D" w:rsidRPr="00E60DE7">
        <w:rPr>
          <w:rFonts w:ascii="Times New Roman" w:hAnsi="Times New Roman"/>
          <w:sz w:val="22"/>
          <w:szCs w:val="22"/>
        </w:rPr>
        <w:t xml:space="preserve"> prórroga del plazo de vigencia del Programa autorizad</w:t>
      </w:r>
      <w:r w:rsidR="00447A5E">
        <w:rPr>
          <w:rFonts w:ascii="Times New Roman" w:hAnsi="Times New Roman"/>
          <w:sz w:val="22"/>
          <w:szCs w:val="22"/>
        </w:rPr>
        <w:t>a</w:t>
      </w:r>
      <w:r w:rsidR="003F5F3D" w:rsidRPr="00E60DE7">
        <w:rPr>
          <w:rFonts w:ascii="Times New Roman" w:hAnsi="Times New Roman"/>
          <w:sz w:val="22"/>
          <w:szCs w:val="22"/>
        </w:rPr>
        <w:t xml:space="preserve"> por Resolución de la Comisión Nacional de Valores (la “</w:t>
      </w:r>
      <w:r w:rsidR="003F5F3D" w:rsidRPr="006E6461">
        <w:rPr>
          <w:rFonts w:ascii="Times New Roman" w:hAnsi="Times New Roman"/>
          <w:sz w:val="22"/>
          <w:szCs w:val="22"/>
          <w:u w:val="single"/>
        </w:rPr>
        <w:t>CNV</w:t>
      </w:r>
      <w:r w:rsidR="003F5F3D" w:rsidRPr="00E60DE7">
        <w:rPr>
          <w:rFonts w:ascii="Times New Roman" w:hAnsi="Times New Roman"/>
          <w:sz w:val="22"/>
          <w:szCs w:val="22"/>
        </w:rPr>
        <w:t>”) Nº 17.958 de fecha 8 de enero de 2016</w:t>
      </w:r>
      <w:r w:rsidR="003F5F3D" w:rsidRPr="000736A0">
        <w:rPr>
          <w:rFonts w:ascii="Times New Roman" w:hAnsi="Times New Roman"/>
          <w:sz w:val="22"/>
          <w:szCs w:val="22"/>
        </w:rPr>
        <w:t xml:space="preserve">. </w:t>
      </w:r>
      <w:r w:rsidR="004164AA" w:rsidRPr="004164AA">
        <w:rPr>
          <w:rFonts w:ascii="Times New Roman" w:hAnsi="Times New Roman"/>
          <w:sz w:val="22"/>
          <w:szCs w:val="22"/>
        </w:rPr>
        <w:t xml:space="preserve">La </w:t>
      </w:r>
      <w:r w:rsidR="004164AA">
        <w:rPr>
          <w:rFonts w:ascii="Times New Roman" w:hAnsi="Times New Roman"/>
          <w:sz w:val="22"/>
          <w:szCs w:val="22"/>
        </w:rPr>
        <w:t xml:space="preserve">última </w:t>
      </w:r>
      <w:r w:rsidR="004164AA" w:rsidRPr="004164AA">
        <w:rPr>
          <w:rFonts w:ascii="Times New Roman" w:hAnsi="Times New Roman"/>
          <w:sz w:val="22"/>
          <w:szCs w:val="22"/>
        </w:rPr>
        <w:t xml:space="preserve">prórroga de la vigencia del Programa y modificación de términos y condiciones fueron autorizados por Disposición de la Gerencia de Emisoras de la </w:t>
      </w:r>
      <w:r w:rsidR="004164AA">
        <w:rPr>
          <w:rFonts w:ascii="Times New Roman" w:hAnsi="Times New Roman"/>
          <w:sz w:val="22"/>
          <w:szCs w:val="22"/>
        </w:rPr>
        <w:t xml:space="preserve">CNV </w:t>
      </w:r>
      <w:r w:rsidR="0047524A">
        <w:rPr>
          <w:rFonts w:ascii="Times New Roman" w:hAnsi="Times New Roman"/>
          <w:sz w:val="22"/>
          <w:szCs w:val="22"/>
          <w:lang w:val="es-AR"/>
        </w:rPr>
        <w:t>DI-2020-55-APN-GE#CNV</w:t>
      </w:r>
      <w:r w:rsidR="0047524A" w:rsidRPr="004164AA">
        <w:rPr>
          <w:rFonts w:ascii="Times New Roman" w:hAnsi="Times New Roman"/>
          <w:sz w:val="22"/>
          <w:szCs w:val="22"/>
        </w:rPr>
        <w:t xml:space="preserve"> </w:t>
      </w:r>
      <w:r w:rsidR="004164AA" w:rsidRPr="004164AA">
        <w:rPr>
          <w:rFonts w:ascii="Times New Roman" w:hAnsi="Times New Roman"/>
          <w:sz w:val="22"/>
          <w:szCs w:val="22"/>
        </w:rPr>
        <w:t xml:space="preserve">de fecha </w:t>
      </w:r>
      <w:r w:rsidR="0047524A">
        <w:rPr>
          <w:rFonts w:ascii="Times New Roman" w:hAnsi="Times New Roman"/>
          <w:sz w:val="22"/>
          <w:szCs w:val="22"/>
        </w:rPr>
        <w:t>21 diciembre</w:t>
      </w:r>
      <w:r w:rsidR="0047524A" w:rsidRPr="004164AA">
        <w:rPr>
          <w:rFonts w:ascii="Times New Roman" w:hAnsi="Times New Roman"/>
          <w:sz w:val="22"/>
          <w:szCs w:val="22"/>
        </w:rPr>
        <w:t xml:space="preserve"> </w:t>
      </w:r>
      <w:r w:rsidR="0004404D">
        <w:rPr>
          <w:rFonts w:ascii="Times New Roman" w:hAnsi="Times New Roman"/>
          <w:sz w:val="22"/>
          <w:szCs w:val="22"/>
        </w:rPr>
        <w:t>de 2020. En consecuencia,</w:t>
      </w:r>
      <w:r w:rsidR="004164AA" w:rsidRPr="004164AA">
        <w:rPr>
          <w:rFonts w:ascii="Times New Roman" w:hAnsi="Times New Roman"/>
          <w:sz w:val="22"/>
          <w:szCs w:val="22"/>
        </w:rPr>
        <w:t xml:space="preserve"> el Programa estará vigente hasta el </w:t>
      </w:r>
      <w:r w:rsidR="0047524A">
        <w:rPr>
          <w:rFonts w:ascii="Times New Roman" w:hAnsi="Times New Roman"/>
          <w:sz w:val="22"/>
          <w:szCs w:val="22"/>
        </w:rPr>
        <w:t>8 de enero</w:t>
      </w:r>
      <w:r w:rsidR="0047524A" w:rsidRPr="004164AA">
        <w:rPr>
          <w:rFonts w:ascii="Times New Roman" w:hAnsi="Times New Roman"/>
          <w:sz w:val="22"/>
          <w:szCs w:val="22"/>
        </w:rPr>
        <w:t xml:space="preserve"> </w:t>
      </w:r>
      <w:r w:rsidR="004164AA" w:rsidRPr="004164AA">
        <w:rPr>
          <w:rFonts w:ascii="Times New Roman" w:hAnsi="Times New Roman"/>
          <w:sz w:val="22"/>
          <w:szCs w:val="22"/>
        </w:rPr>
        <w:t>de 202</w:t>
      </w:r>
      <w:r w:rsidR="0004404D">
        <w:rPr>
          <w:rFonts w:ascii="Times New Roman" w:hAnsi="Times New Roman"/>
          <w:sz w:val="22"/>
          <w:szCs w:val="22"/>
        </w:rPr>
        <w:t>6</w:t>
      </w:r>
      <w:r w:rsidR="00A47DAD">
        <w:rPr>
          <w:rFonts w:ascii="Times New Roman" w:hAnsi="Times New Roman"/>
          <w:sz w:val="22"/>
          <w:szCs w:val="22"/>
        </w:rPr>
        <w:t xml:space="preserve">. </w:t>
      </w:r>
      <w:r w:rsidR="003F5F3D" w:rsidRPr="000736A0">
        <w:rPr>
          <w:rFonts w:ascii="Times New Roman" w:hAnsi="Times New Roman"/>
          <w:sz w:val="22"/>
          <w:szCs w:val="22"/>
        </w:rPr>
        <w:t>(b) El Emisor es Compañía Financiera Argentina S.A., una sociedad anónima constituida en la Ciudad Autónoma de Buenos Aires el 16 de agosto de 1960, e inscripta ante la Inspección General de Justicia con fecha 15 de</w:t>
      </w:r>
      <w:r w:rsidR="000E6169">
        <w:rPr>
          <w:rFonts w:ascii="Times New Roman" w:hAnsi="Times New Roman"/>
          <w:sz w:val="22"/>
          <w:szCs w:val="22"/>
        </w:rPr>
        <w:t xml:space="preserve"> septiembre de 1960 bajo el N°</w:t>
      </w:r>
      <w:r w:rsidR="003F5F3D" w:rsidRPr="000736A0">
        <w:rPr>
          <w:rFonts w:ascii="Times New Roman" w:hAnsi="Times New Roman"/>
          <w:sz w:val="22"/>
          <w:szCs w:val="22"/>
        </w:rPr>
        <w:t xml:space="preserve"> 3.031, al Folio 86 del Libro 53, Tomo “A” de Estatuto Nacionales, con un plazo de duración de 99 años a contar desde la referida fecha de inscripción en el Registro Público mencionado. El domicilio legal de la Sociedad se encuentra fijado en la Ciudad Autónoma de Buenos Aires, </w:t>
      </w:r>
      <w:r w:rsidR="005E38B1">
        <w:rPr>
          <w:rFonts w:ascii="Times New Roman" w:hAnsi="Times New Roman"/>
          <w:sz w:val="22"/>
          <w:szCs w:val="22"/>
        </w:rPr>
        <w:t>encontrándose</w:t>
      </w:r>
      <w:r w:rsidR="005E38B1" w:rsidRPr="000736A0">
        <w:rPr>
          <w:rFonts w:ascii="Times New Roman" w:hAnsi="Times New Roman"/>
          <w:sz w:val="22"/>
          <w:szCs w:val="22"/>
        </w:rPr>
        <w:t xml:space="preserve"> </w:t>
      </w:r>
      <w:r w:rsidR="003F5F3D" w:rsidRPr="000736A0">
        <w:rPr>
          <w:rFonts w:ascii="Times New Roman" w:hAnsi="Times New Roman"/>
          <w:sz w:val="22"/>
          <w:szCs w:val="22"/>
        </w:rPr>
        <w:t>su sede social</w:t>
      </w:r>
      <w:r w:rsidR="0069727A">
        <w:rPr>
          <w:rFonts w:ascii="Times New Roman" w:hAnsi="Times New Roman"/>
          <w:sz w:val="22"/>
          <w:szCs w:val="22"/>
        </w:rPr>
        <w:t xml:space="preserve"> en</w:t>
      </w:r>
      <w:r w:rsidR="003F5F3D" w:rsidRPr="000736A0">
        <w:rPr>
          <w:rFonts w:ascii="Times New Roman" w:hAnsi="Times New Roman"/>
          <w:sz w:val="22"/>
          <w:szCs w:val="22"/>
        </w:rPr>
        <w:t xml:space="preserve"> Av. Paseo Colón 746, Piso 4, Ciudad Autónoma de Buenos Aires. (c) </w:t>
      </w:r>
      <w:r w:rsidR="003F5F3D" w:rsidRPr="00E60DE7">
        <w:rPr>
          <w:rFonts w:ascii="Times New Roman" w:hAnsi="Times New Roman"/>
          <w:sz w:val="22"/>
          <w:szCs w:val="22"/>
        </w:rPr>
        <w:t xml:space="preserve">La Sociedad tiene por objeto realizar por cuenta propia y/o de terceros y/o asociada a terceros: actuar como compañía financiera en los términos de la Ley de Entidades Financieras, y demás disposiciones que al respecto dicte el Banco Central de la República Argentina u otras autoridades y organismos competentes, a cuyo fin podrá realizar todas aquellas operaciones que el ordenamiento precitado no prohíba y todas las actividades previstas por la legislación de mercado de capitales. Asimismo, la actividad principal de la Sociedad es el otorgamiento de préstamos de consumo, los que coloca a través de su red de </w:t>
      </w:r>
      <w:r w:rsidR="003F5F3D" w:rsidRPr="00447A5E">
        <w:rPr>
          <w:rFonts w:ascii="Times New Roman" w:hAnsi="Times New Roman"/>
          <w:sz w:val="22"/>
          <w:szCs w:val="22"/>
        </w:rPr>
        <w:t xml:space="preserve">sucursales, convenios con asociaciones mutuales y tarjetas de crédito y casi la totalidad de sus financiaciones son otorgadas en pesos. (d) </w:t>
      </w:r>
      <w:r w:rsidR="003F5F3D" w:rsidRPr="00447A5E">
        <w:rPr>
          <w:rFonts w:ascii="Times New Roman" w:hAnsi="Times New Roman"/>
          <w:sz w:val="22"/>
          <w:szCs w:val="22"/>
          <w:lang w:val="es-AR"/>
        </w:rPr>
        <w:t xml:space="preserve">Al </w:t>
      </w:r>
      <w:r w:rsidR="00285BC1" w:rsidRPr="00447A5E">
        <w:rPr>
          <w:rFonts w:ascii="Times New Roman" w:hAnsi="Times New Roman"/>
          <w:sz w:val="22"/>
          <w:szCs w:val="22"/>
          <w:lang w:val="es-AR"/>
        </w:rPr>
        <w:t>3</w:t>
      </w:r>
      <w:r w:rsidR="00F5436B" w:rsidRPr="00447A5E">
        <w:rPr>
          <w:rFonts w:ascii="Times New Roman" w:hAnsi="Times New Roman"/>
          <w:sz w:val="22"/>
          <w:szCs w:val="22"/>
          <w:lang w:val="es-AR"/>
        </w:rPr>
        <w:t>0</w:t>
      </w:r>
      <w:r w:rsidR="00285BC1" w:rsidRPr="00447A5E">
        <w:rPr>
          <w:rFonts w:ascii="Times New Roman" w:hAnsi="Times New Roman"/>
          <w:sz w:val="22"/>
          <w:szCs w:val="22"/>
          <w:lang w:val="es-AR"/>
        </w:rPr>
        <w:t xml:space="preserve"> </w:t>
      </w:r>
      <w:r w:rsidR="003F5F3D" w:rsidRPr="00447A5E">
        <w:rPr>
          <w:rFonts w:ascii="Times New Roman" w:hAnsi="Times New Roman"/>
          <w:sz w:val="22"/>
          <w:szCs w:val="22"/>
          <w:lang w:val="es-AR"/>
        </w:rPr>
        <w:t xml:space="preserve">de </w:t>
      </w:r>
      <w:r w:rsidR="0047524A" w:rsidRPr="00447A5E">
        <w:rPr>
          <w:rFonts w:ascii="Times New Roman" w:hAnsi="Times New Roman"/>
          <w:sz w:val="22"/>
          <w:szCs w:val="22"/>
          <w:lang w:val="es-AR"/>
        </w:rPr>
        <w:t xml:space="preserve">septiembre </w:t>
      </w:r>
      <w:r w:rsidR="003F5F3D" w:rsidRPr="00447A5E">
        <w:rPr>
          <w:rFonts w:ascii="Times New Roman" w:hAnsi="Times New Roman"/>
          <w:sz w:val="22"/>
          <w:szCs w:val="22"/>
          <w:lang w:val="es-AR"/>
        </w:rPr>
        <w:t xml:space="preserve">de </w:t>
      </w:r>
      <w:r w:rsidR="00285BC1" w:rsidRPr="00447A5E">
        <w:rPr>
          <w:rFonts w:ascii="Times New Roman" w:hAnsi="Times New Roman"/>
          <w:sz w:val="22"/>
          <w:szCs w:val="22"/>
          <w:lang w:val="es-AR"/>
        </w:rPr>
        <w:t>20</w:t>
      </w:r>
      <w:r w:rsidR="0004404D" w:rsidRPr="00447A5E">
        <w:rPr>
          <w:rFonts w:ascii="Times New Roman" w:hAnsi="Times New Roman"/>
          <w:sz w:val="22"/>
          <w:szCs w:val="22"/>
          <w:lang w:val="es-AR"/>
        </w:rPr>
        <w:t>20</w:t>
      </w:r>
      <w:r w:rsidR="003F5F3D" w:rsidRPr="00447A5E">
        <w:rPr>
          <w:rFonts w:ascii="Times New Roman" w:hAnsi="Times New Roman"/>
          <w:sz w:val="22"/>
          <w:szCs w:val="22"/>
          <w:lang w:val="es-AR"/>
        </w:rPr>
        <w:t xml:space="preserve">, fecha de sus últimos estados contables, el capital social de la Sociedad </w:t>
      </w:r>
      <w:r w:rsidR="005E38B1" w:rsidRPr="00447A5E">
        <w:rPr>
          <w:rFonts w:ascii="Times New Roman" w:hAnsi="Times New Roman"/>
          <w:sz w:val="22"/>
          <w:szCs w:val="22"/>
          <w:lang w:val="es-AR"/>
        </w:rPr>
        <w:t>ascendía a</w:t>
      </w:r>
      <w:r w:rsidR="003F5F3D" w:rsidRPr="00447A5E">
        <w:rPr>
          <w:rFonts w:ascii="Times New Roman" w:hAnsi="Times New Roman"/>
          <w:sz w:val="22"/>
          <w:szCs w:val="22"/>
          <w:lang w:val="es-AR"/>
        </w:rPr>
        <w:t xml:space="preserve"> miles de </w:t>
      </w:r>
      <w:r w:rsidR="00FE36F8" w:rsidRPr="00447A5E">
        <w:rPr>
          <w:rFonts w:ascii="Times New Roman" w:hAnsi="Times New Roman"/>
          <w:sz w:val="22"/>
          <w:szCs w:val="22"/>
          <w:lang w:val="es-AR"/>
        </w:rPr>
        <w:t>$</w:t>
      </w:r>
      <w:r w:rsidR="008B271C" w:rsidRPr="00447A5E">
        <w:rPr>
          <w:rFonts w:ascii="Times New Roman" w:hAnsi="Times New Roman"/>
          <w:sz w:val="22"/>
          <w:szCs w:val="22"/>
          <w:lang w:val="es-AR"/>
        </w:rPr>
        <w:t xml:space="preserve"> </w:t>
      </w:r>
      <w:r w:rsidR="0004404D" w:rsidRPr="00447A5E">
        <w:rPr>
          <w:rFonts w:ascii="Times New Roman" w:hAnsi="Times New Roman"/>
          <w:sz w:val="22"/>
          <w:szCs w:val="22"/>
          <w:lang w:val="es-AR"/>
        </w:rPr>
        <w:t>907.563</w:t>
      </w:r>
      <w:r w:rsidR="00FE36F8" w:rsidRPr="00447A5E">
        <w:rPr>
          <w:rFonts w:ascii="Times New Roman" w:hAnsi="Times New Roman"/>
          <w:sz w:val="22"/>
          <w:szCs w:val="22"/>
          <w:lang w:val="es-AR"/>
        </w:rPr>
        <w:t xml:space="preserve"> </w:t>
      </w:r>
      <w:r w:rsidR="003F5F3D" w:rsidRPr="00447A5E">
        <w:rPr>
          <w:rFonts w:ascii="Times New Roman" w:hAnsi="Times New Roman"/>
          <w:sz w:val="22"/>
          <w:szCs w:val="22"/>
          <w:lang w:val="es-AR"/>
        </w:rPr>
        <w:t xml:space="preserve">y su patrimonio neto </w:t>
      </w:r>
      <w:r w:rsidR="005E38B1" w:rsidRPr="00447A5E">
        <w:rPr>
          <w:rFonts w:ascii="Times New Roman" w:hAnsi="Times New Roman"/>
          <w:sz w:val="22"/>
          <w:szCs w:val="22"/>
          <w:lang w:val="es-AR"/>
        </w:rPr>
        <w:t>a</w:t>
      </w:r>
      <w:r w:rsidR="003F5F3D" w:rsidRPr="00447A5E">
        <w:rPr>
          <w:rFonts w:ascii="Times New Roman" w:hAnsi="Times New Roman"/>
          <w:sz w:val="22"/>
          <w:szCs w:val="22"/>
          <w:lang w:val="es-AR"/>
        </w:rPr>
        <w:t xml:space="preserve"> miles de </w:t>
      </w:r>
      <w:r w:rsidR="003E5707" w:rsidRPr="00447A5E">
        <w:rPr>
          <w:rFonts w:ascii="Times New Roman" w:hAnsi="Times New Roman"/>
          <w:sz w:val="22"/>
          <w:szCs w:val="22"/>
          <w:lang w:val="es-AR"/>
        </w:rPr>
        <w:t>$</w:t>
      </w:r>
      <w:r w:rsidR="00FB6819" w:rsidRPr="00447A5E">
        <w:rPr>
          <w:rFonts w:ascii="Times New Roman" w:hAnsi="Times New Roman"/>
          <w:sz w:val="22"/>
          <w:szCs w:val="22"/>
          <w:lang w:val="es-AR"/>
        </w:rPr>
        <w:t xml:space="preserve"> </w:t>
      </w:r>
      <w:r w:rsidR="004005FF" w:rsidRPr="00447A5E">
        <w:rPr>
          <w:rFonts w:ascii="Times New Roman" w:hAnsi="Times New Roman"/>
          <w:sz w:val="22"/>
          <w:szCs w:val="22"/>
          <w:lang w:val="es-AR"/>
        </w:rPr>
        <w:t>1.995.538</w:t>
      </w:r>
      <w:r w:rsidR="00447A5E" w:rsidRPr="00447A5E">
        <w:rPr>
          <w:rFonts w:ascii="Times New Roman" w:hAnsi="Times New Roman"/>
          <w:sz w:val="22"/>
          <w:szCs w:val="22"/>
          <w:lang w:val="es-AR"/>
        </w:rPr>
        <w:t>.</w:t>
      </w:r>
      <w:r w:rsidR="003E5707">
        <w:rPr>
          <w:rFonts w:ascii="Times New Roman" w:hAnsi="Times New Roman"/>
          <w:sz w:val="22"/>
          <w:szCs w:val="22"/>
          <w:lang w:val="es-AR"/>
        </w:rPr>
        <w:t xml:space="preserve"> </w:t>
      </w:r>
      <w:r w:rsidR="003F5F3D" w:rsidRPr="0017123F">
        <w:rPr>
          <w:rFonts w:ascii="Times New Roman" w:hAnsi="Times New Roman"/>
          <w:sz w:val="22"/>
          <w:szCs w:val="22"/>
        </w:rPr>
        <w:t xml:space="preserve">(e) </w:t>
      </w:r>
      <w:r w:rsidR="00FB6819" w:rsidRPr="00FB6819">
        <w:rPr>
          <w:rFonts w:ascii="Times New Roman" w:hAnsi="Times New Roman"/>
          <w:sz w:val="22"/>
          <w:szCs w:val="22"/>
        </w:rPr>
        <w:t>Las Obligaciones Negociables constituyen obligaciones negociables simples, no convertibles en acciones bajo la L</w:t>
      </w:r>
      <w:r w:rsidR="0089275E">
        <w:rPr>
          <w:rFonts w:ascii="Times New Roman" w:hAnsi="Times New Roman"/>
          <w:sz w:val="22"/>
          <w:szCs w:val="22"/>
        </w:rPr>
        <w:t>ON</w:t>
      </w:r>
      <w:r w:rsidR="00FB6819" w:rsidRPr="00FB6819">
        <w:rPr>
          <w:rFonts w:ascii="Times New Roman" w:hAnsi="Times New Roman"/>
          <w:sz w:val="22"/>
          <w:szCs w:val="22"/>
        </w:rPr>
        <w:t>, y dan derecho a lo</w:t>
      </w:r>
      <w:r w:rsidR="00A47DAD">
        <w:rPr>
          <w:rFonts w:ascii="Times New Roman" w:hAnsi="Times New Roman"/>
          <w:sz w:val="22"/>
          <w:szCs w:val="22"/>
        </w:rPr>
        <w:t xml:space="preserve">s beneficios establecidos en ella </w:t>
      </w:r>
      <w:r w:rsidR="00FB6819" w:rsidRPr="00FB6819">
        <w:rPr>
          <w:rFonts w:ascii="Times New Roman" w:hAnsi="Times New Roman"/>
          <w:sz w:val="22"/>
          <w:szCs w:val="22"/>
        </w:rPr>
        <w:t xml:space="preserve">y están sujetas </w:t>
      </w:r>
      <w:r w:rsidR="00A47DAD">
        <w:rPr>
          <w:rFonts w:ascii="Times New Roman" w:hAnsi="Times New Roman"/>
          <w:sz w:val="22"/>
          <w:szCs w:val="22"/>
        </w:rPr>
        <w:t>sus</w:t>
      </w:r>
      <w:r w:rsidR="00FB6819" w:rsidRPr="00FB6819">
        <w:rPr>
          <w:rFonts w:ascii="Times New Roman" w:hAnsi="Times New Roman"/>
          <w:sz w:val="22"/>
          <w:szCs w:val="22"/>
        </w:rPr>
        <w:t xml:space="preserve"> </w:t>
      </w:r>
      <w:r w:rsidR="00A47DAD">
        <w:rPr>
          <w:rFonts w:ascii="Times New Roman" w:hAnsi="Times New Roman"/>
          <w:sz w:val="22"/>
          <w:szCs w:val="22"/>
        </w:rPr>
        <w:t>requisitos.</w:t>
      </w:r>
      <w:r w:rsidR="00FB6819">
        <w:rPr>
          <w:rFonts w:ascii="Times New Roman" w:hAnsi="Times New Roman"/>
          <w:sz w:val="22"/>
          <w:szCs w:val="22"/>
        </w:rPr>
        <w:t xml:space="preserve"> </w:t>
      </w:r>
      <w:r w:rsidR="00FB6819" w:rsidRPr="00FB6819">
        <w:rPr>
          <w:rFonts w:ascii="Times New Roman" w:hAnsi="Times New Roman"/>
          <w:sz w:val="22"/>
          <w:szCs w:val="22"/>
        </w:rPr>
        <w:t>Las Obligaciones Negociables podrán constituir Obligaciones Negociables con garantía común so</w:t>
      </w:r>
      <w:r w:rsidR="0089275E">
        <w:rPr>
          <w:rFonts w:ascii="Times New Roman" w:hAnsi="Times New Roman"/>
          <w:sz w:val="22"/>
          <w:szCs w:val="22"/>
        </w:rPr>
        <w:t xml:space="preserve">bre el patrimonio de la Emisora o </w:t>
      </w:r>
      <w:r w:rsidR="00FB6819" w:rsidRPr="00FB6819">
        <w:rPr>
          <w:rFonts w:ascii="Times New Roman" w:hAnsi="Times New Roman"/>
          <w:sz w:val="22"/>
          <w:szCs w:val="22"/>
        </w:rPr>
        <w:t>con recurso limitado y e</w:t>
      </w:r>
      <w:r w:rsidR="0089275E">
        <w:rPr>
          <w:rFonts w:ascii="Times New Roman" w:hAnsi="Times New Roman"/>
          <w:sz w:val="22"/>
          <w:szCs w:val="22"/>
        </w:rPr>
        <w:t xml:space="preserve">xclusivo a determinados activos </w:t>
      </w:r>
      <w:r w:rsidR="00FB6819" w:rsidRPr="00FB6819">
        <w:rPr>
          <w:rFonts w:ascii="Times New Roman" w:hAnsi="Times New Roman"/>
          <w:sz w:val="22"/>
          <w:szCs w:val="22"/>
        </w:rPr>
        <w:t>conforme se determine en el Suplemento de Precio aplicable, en los términos del artículo 3 de la Ley de Obligaciones Negociables. Asimismo, se podrán constituir garantías especiales. Las Obligaciones Negociables constituirán obligaciones no subordinadas de la Emisora y, excepto en la medida que estén subordinadas de acuerdo con lo especificado en el Suplemento de Precio (las “</w:t>
      </w:r>
      <w:r w:rsidR="00FB6819" w:rsidRPr="00447A5E">
        <w:rPr>
          <w:rFonts w:ascii="Times New Roman" w:hAnsi="Times New Roman"/>
          <w:sz w:val="22"/>
          <w:szCs w:val="22"/>
          <w:u w:val="single"/>
        </w:rPr>
        <w:t>Obligaciones Negociables Subordinadas</w:t>
      </w:r>
      <w:r w:rsidR="00FB6819" w:rsidRPr="00FB6819">
        <w:rPr>
          <w:rFonts w:ascii="Times New Roman" w:hAnsi="Times New Roman"/>
          <w:sz w:val="22"/>
          <w:szCs w:val="22"/>
        </w:rPr>
        <w:t xml:space="preserve">”), calificarán </w:t>
      </w:r>
      <w:r w:rsidR="00FB6819" w:rsidRPr="0089275E">
        <w:rPr>
          <w:rFonts w:ascii="Times New Roman" w:hAnsi="Times New Roman"/>
          <w:i/>
          <w:sz w:val="22"/>
          <w:szCs w:val="22"/>
        </w:rPr>
        <w:t>pari</w:t>
      </w:r>
      <w:r w:rsidR="00FB6819" w:rsidRPr="00FB6819">
        <w:rPr>
          <w:rFonts w:ascii="Times New Roman" w:hAnsi="Times New Roman"/>
          <w:sz w:val="22"/>
          <w:szCs w:val="22"/>
        </w:rPr>
        <w:t xml:space="preserve"> </w:t>
      </w:r>
      <w:r w:rsidR="00FB6819" w:rsidRPr="0089275E">
        <w:rPr>
          <w:rFonts w:ascii="Times New Roman" w:hAnsi="Times New Roman"/>
          <w:i/>
          <w:sz w:val="22"/>
          <w:szCs w:val="22"/>
        </w:rPr>
        <w:t>passu</w:t>
      </w:r>
      <w:r w:rsidR="00FB6819" w:rsidRPr="00FB6819">
        <w:rPr>
          <w:rFonts w:ascii="Times New Roman" w:hAnsi="Times New Roman"/>
          <w:sz w:val="22"/>
          <w:szCs w:val="22"/>
        </w:rPr>
        <w:t xml:space="preserve"> y</w:t>
      </w:r>
      <w:r w:rsidR="00FB6819">
        <w:rPr>
          <w:rFonts w:ascii="Times New Roman" w:hAnsi="Times New Roman"/>
          <w:sz w:val="22"/>
          <w:szCs w:val="22"/>
        </w:rPr>
        <w:t xml:space="preserve"> sin prioridad de pago alguna. </w:t>
      </w:r>
      <w:r w:rsidR="00FB6819" w:rsidRPr="00FB6819">
        <w:rPr>
          <w:rFonts w:ascii="Times New Roman" w:hAnsi="Times New Roman"/>
          <w:sz w:val="22"/>
          <w:szCs w:val="22"/>
        </w:rPr>
        <w:t>Las Obligaciones Negociables con Garantía Común y no subordinadas constituirán obligaciones directas, incondicionales y no garantizadas de la Emisora y serán tratadas en todo momento en igualdad de condiciones entre sí y con todas las demás obligaciones comunes presentes y futuras de la Emisora que no se encuentren garantizadas ni subordinadas ni limitadas a determinados activos, ni que cuenten con privilegios y/o preferencias por disposiciones legales.</w:t>
      </w:r>
      <w:r w:rsidR="00FB6819">
        <w:rPr>
          <w:rFonts w:ascii="Times New Roman" w:hAnsi="Times New Roman"/>
          <w:sz w:val="22"/>
          <w:szCs w:val="22"/>
        </w:rPr>
        <w:t xml:space="preserve"> </w:t>
      </w:r>
      <w:r w:rsidR="00FB6819" w:rsidRPr="00FB6819">
        <w:rPr>
          <w:rFonts w:ascii="Times New Roman" w:hAnsi="Times New Roman"/>
          <w:sz w:val="22"/>
          <w:szCs w:val="22"/>
        </w:rPr>
        <w:t>Las Obligaciones Negociables con Garantía Especial, podrán emitirse con garantía común, garantía especial o flotante, o estar avaladas, afianzadas o garantizadas por cualquier medio que se especifique en el Suplemento de Precio aplicable (incluyendo, sin limitación, avales, fianzas o garantías otorgadas por entidades financieras y/o bancos del exterior, cesiones de créditos de garantía, prend</w:t>
      </w:r>
      <w:r w:rsidR="00FB6819">
        <w:rPr>
          <w:rFonts w:ascii="Times New Roman" w:hAnsi="Times New Roman"/>
          <w:sz w:val="22"/>
          <w:szCs w:val="22"/>
        </w:rPr>
        <w:t xml:space="preserve">as y fideicomisos de garantía). </w:t>
      </w:r>
      <w:r w:rsidR="00FB6819" w:rsidRPr="00FB6819">
        <w:rPr>
          <w:rFonts w:ascii="Times New Roman" w:hAnsi="Times New Roman"/>
          <w:sz w:val="22"/>
          <w:szCs w:val="22"/>
        </w:rPr>
        <w:t>A su vez, las Obligaciones Negociables podrán ser emitidas con recurso limitado y exclusivo a determinados activos de la Emisora, pudiendo constituir garantías sobre dichos activos, y sobre los cuales los acreedores tendrán únicamente recurso, todo ello de conformidad con lo dispuesto por el artículo 3° de la Ley de Obligaciones Negociables.</w:t>
      </w:r>
      <w:r w:rsidR="00FB6819">
        <w:rPr>
          <w:rFonts w:ascii="Times New Roman" w:hAnsi="Times New Roman"/>
          <w:sz w:val="22"/>
          <w:szCs w:val="22"/>
        </w:rPr>
        <w:t xml:space="preserve"> </w:t>
      </w:r>
      <w:r w:rsidR="00FB6819" w:rsidRPr="00FB6819">
        <w:rPr>
          <w:rFonts w:ascii="Times New Roman" w:hAnsi="Times New Roman"/>
          <w:sz w:val="22"/>
          <w:szCs w:val="22"/>
        </w:rPr>
        <w:t>Las Obligaciones Negociables podrán ser emitidas en diversas Clases y/o Series. Asimismo, las Obligaciones Negociables de una misma Clase podrán ser emitidas en diversas Series. Las Obligaciones Negociables emitidas en diferentes Clases podrán otorgar derechos diferentes, según se especifique en el correspondiente Suplemento de Precio aplicable. Las Obligaciones Negociables que se emitan en una misma Serie otorgarán los mismos derechos. Podrá resolverse la reapertura de Clases y/o Series en caso de que así lo decida la Emisora.</w:t>
      </w:r>
      <w:r w:rsidR="00FB6819">
        <w:rPr>
          <w:rFonts w:ascii="Times New Roman" w:hAnsi="Times New Roman"/>
          <w:sz w:val="22"/>
          <w:szCs w:val="22"/>
        </w:rPr>
        <w:t xml:space="preserve"> </w:t>
      </w:r>
      <w:r w:rsidR="00FB6819" w:rsidRPr="00FB6819">
        <w:rPr>
          <w:rFonts w:ascii="Times New Roman" w:hAnsi="Times New Roman"/>
          <w:sz w:val="22"/>
          <w:szCs w:val="22"/>
        </w:rPr>
        <w:t xml:space="preserve">El monto máximo del capital total de las Obligaciones Negociables en circulación en cualquier momento no podrá supera los U$S 250.000.000 (o su equivalente en otra monedas y/o unidades de valor </w:t>
      </w:r>
      <w:r w:rsidR="00447A5E">
        <w:rPr>
          <w:rFonts w:ascii="Times New Roman" w:hAnsi="Times New Roman"/>
          <w:sz w:val="22"/>
          <w:szCs w:val="22"/>
        </w:rPr>
        <w:t>-</w:t>
      </w:r>
      <w:r w:rsidR="00FB6819" w:rsidRPr="00FB6819">
        <w:rPr>
          <w:rFonts w:ascii="Times New Roman" w:hAnsi="Times New Roman"/>
          <w:sz w:val="22"/>
          <w:szCs w:val="22"/>
        </w:rPr>
        <w:t>incluyendo UVAs y/o UVIs</w:t>
      </w:r>
      <w:r w:rsidR="00447A5E">
        <w:rPr>
          <w:rFonts w:ascii="Times New Roman" w:hAnsi="Times New Roman"/>
          <w:sz w:val="22"/>
          <w:szCs w:val="22"/>
        </w:rPr>
        <w:t>-</w:t>
      </w:r>
      <w:r w:rsidR="00FB6819" w:rsidRPr="00FB6819">
        <w:rPr>
          <w:rFonts w:ascii="Times New Roman" w:hAnsi="Times New Roman"/>
          <w:sz w:val="22"/>
          <w:szCs w:val="22"/>
        </w:rPr>
        <w:t>), sujeto a cualquier aumento debidamente autorizado. Las Obligaciones Negociables tendrán los plazos de vencimiento y los plazos y formas de amortización que se fijen en el correspondiente Suplemento de Precio, respetando los plazos mínimos y máximos que resulten aplicables de acuerdo con las normas vigentes contados a partir de su fecha de emisión original.</w:t>
      </w:r>
      <w:r w:rsidR="00FB6819">
        <w:rPr>
          <w:rFonts w:ascii="Times New Roman" w:hAnsi="Times New Roman"/>
          <w:sz w:val="22"/>
          <w:szCs w:val="22"/>
        </w:rPr>
        <w:t xml:space="preserve"> </w:t>
      </w:r>
      <w:r w:rsidR="00FB6819" w:rsidRPr="00FB6819">
        <w:rPr>
          <w:rFonts w:ascii="Times New Roman" w:hAnsi="Times New Roman"/>
          <w:sz w:val="22"/>
          <w:szCs w:val="22"/>
        </w:rPr>
        <w:t>Las Obligaciones Negociables podrán (i) devengar intereses a una tasa fija o a una tasa flotante o variable determinada mediante referencia a una o más tasas básicas, índices o fórmulas que se especifiquen en el Suplemento de Precio, (ii) emitirse sobre una base totalmente descontada y no devengar intereses, y/o (iii) cualquier combinación</w:t>
      </w:r>
      <w:r w:rsidR="00A47DAD">
        <w:rPr>
          <w:rFonts w:ascii="Times New Roman" w:hAnsi="Times New Roman"/>
          <w:sz w:val="22"/>
          <w:szCs w:val="22"/>
        </w:rPr>
        <w:t xml:space="preserve"> de las alternativas anteriores.</w:t>
      </w:r>
      <w:r w:rsidR="00FB6819">
        <w:rPr>
          <w:rFonts w:ascii="Times New Roman" w:hAnsi="Times New Roman"/>
          <w:sz w:val="22"/>
          <w:szCs w:val="22"/>
        </w:rPr>
        <w:t xml:space="preserve"> </w:t>
      </w:r>
      <w:r w:rsidR="00A47DAD">
        <w:rPr>
          <w:rFonts w:ascii="Times New Roman" w:hAnsi="Times New Roman"/>
          <w:sz w:val="22"/>
          <w:szCs w:val="22"/>
        </w:rPr>
        <w:t>S</w:t>
      </w:r>
      <w:r w:rsidR="00FB6819" w:rsidRPr="00FB6819">
        <w:rPr>
          <w:rFonts w:ascii="Times New Roman" w:hAnsi="Times New Roman"/>
          <w:sz w:val="22"/>
          <w:szCs w:val="22"/>
        </w:rPr>
        <w:t>egún lo permitan las normas aplicables, las Obligaciones Negociables podrán ser escriturales, estar representadas en títulos cartulares definitivos al portador o nominativos (y en este último caso, ser endosables o no), o estar representadas en certificados o títulos globales (para su depósito con depositarios de la República Argentina y/o del exterior, autorizados por las normas vigentes de la jurisdicción que corresponda), según se especifique en el Suplemento de Precio aplicable. De conformidad con lo dispuesto por la Ley de Nominatividad, actualmente los valores negociables privados emitidos en la República Argentina deben ser nominativos no endosables o escriturales.</w:t>
      </w:r>
      <w:r w:rsidR="00FB6819">
        <w:rPr>
          <w:rFonts w:ascii="Times New Roman" w:hAnsi="Times New Roman"/>
          <w:sz w:val="22"/>
          <w:szCs w:val="22"/>
        </w:rPr>
        <w:t xml:space="preserve"> </w:t>
      </w:r>
      <w:r w:rsidR="00FB6819" w:rsidRPr="00FB6819">
        <w:rPr>
          <w:rFonts w:ascii="Times New Roman" w:hAnsi="Times New Roman"/>
          <w:sz w:val="22"/>
          <w:szCs w:val="22"/>
        </w:rPr>
        <w:t>Las condiciones específicas de cada Clase y/o Serie de las Obligaciones Negociables ofrecida bajo el Programa se establecerán en el Suplemento de Precio aplicable, el cual identificará entre otras cuestiones, en cada caso, el monto de capital ofrecido, la tasa de interés y la oportunidad de pago de los intereses, de corresponder, las denominaciones mínimas de suscripción y negociación , la moneda de denominación, suscripción y pago, el vencimiento, su garantía, preferencia y/o prima, si las hubiere, cualesquier condiciones para su rescate, la forma de las Obligaciones Negociables, el precio y cualesquier otras condiciones que pudieren resultar de aplicación respecto de la oferta y venta de dicha Clase y/o Serie de las Obligaciones Negociables.</w:t>
      </w:r>
      <w:r w:rsidR="00E84DC2">
        <w:rPr>
          <w:rFonts w:ascii="Times New Roman" w:hAnsi="Times New Roman"/>
          <w:sz w:val="22"/>
          <w:szCs w:val="22"/>
        </w:rPr>
        <w:t xml:space="preserve"> </w:t>
      </w:r>
      <w:r w:rsidR="00E84DC2" w:rsidRPr="00E84DC2">
        <w:rPr>
          <w:rFonts w:ascii="Times New Roman" w:hAnsi="Times New Roman"/>
          <w:sz w:val="22"/>
          <w:szCs w:val="22"/>
        </w:rPr>
        <w:t>Los fondos netos provenientes de la colocación de las Obligaciones Negociables serán destinados por la Emisora a uno o más de los fines previstos en el artículo 36 de la LON, según lo determine en oportunidad de la emisión de cada Clase y/o Serie en el Suplemento de Precio correspondiente.</w:t>
      </w:r>
      <w:r w:rsidR="00E84DC2">
        <w:rPr>
          <w:rFonts w:ascii="Times New Roman" w:hAnsi="Times New Roman"/>
          <w:sz w:val="22"/>
          <w:szCs w:val="22"/>
        </w:rPr>
        <w:t xml:space="preserve"> Los fondos netos podrán ser destinado</w:t>
      </w:r>
      <w:r w:rsidR="00E84DC2" w:rsidRPr="00E84DC2">
        <w:rPr>
          <w:rFonts w:ascii="Times New Roman" w:hAnsi="Times New Roman"/>
          <w:sz w:val="22"/>
          <w:szCs w:val="22"/>
        </w:rPr>
        <w:t>s a proyectos sociales verdes, y/o sustentables</w:t>
      </w:r>
      <w:r w:rsidR="00E84DC2">
        <w:rPr>
          <w:rFonts w:ascii="Times New Roman" w:hAnsi="Times New Roman"/>
          <w:sz w:val="22"/>
          <w:szCs w:val="22"/>
        </w:rPr>
        <w:t xml:space="preserve">. </w:t>
      </w:r>
      <w:r w:rsidR="003F5F3D" w:rsidRPr="0023198E">
        <w:rPr>
          <w:rFonts w:ascii="Times New Roman" w:hAnsi="Times New Roman"/>
          <w:sz w:val="22"/>
          <w:szCs w:val="22"/>
          <w:lang w:val="es-AR"/>
        </w:rPr>
        <w:t xml:space="preserve">(f) </w:t>
      </w:r>
      <w:r w:rsidR="00E84DC2">
        <w:rPr>
          <w:rFonts w:ascii="Times New Roman" w:hAnsi="Times New Roman"/>
          <w:sz w:val="22"/>
          <w:szCs w:val="22"/>
          <w:lang w:val="es-AR"/>
        </w:rPr>
        <w:t xml:space="preserve">A la fecha del presente, </w:t>
      </w:r>
      <w:r w:rsidR="00885D4B">
        <w:rPr>
          <w:rFonts w:ascii="Times New Roman" w:hAnsi="Times New Roman"/>
          <w:sz w:val="22"/>
          <w:szCs w:val="22"/>
          <w:lang w:val="es-AR"/>
        </w:rPr>
        <w:t>únicamente se encuentra en</w:t>
      </w:r>
      <w:r w:rsidR="00E84DC2">
        <w:rPr>
          <w:rFonts w:ascii="Times New Roman" w:hAnsi="Times New Roman"/>
          <w:sz w:val="22"/>
          <w:szCs w:val="22"/>
          <w:lang w:val="es-AR"/>
        </w:rPr>
        <w:t xml:space="preserve"> circulación</w:t>
      </w:r>
      <w:r w:rsidR="00885D4B">
        <w:rPr>
          <w:rFonts w:ascii="Times New Roman" w:hAnsi="Times New Roman"/>
          <w:sz w:val="22"/>
          <w:szCs w:val="22"/>
          <w:lang w:val="es-AR"/>
        </w:rPr>
        <w:t xml:space="preserve"> la Clase XXIII de Obligaciones Negociables, emitidas el </w:t>
      </w:r>
      <w:r w:rsidR="00885D4B" w:rsidRPr="00885D4B">
        <w:rPr>
          <w:rFonts w:ascii="Times New Roman" w:hAnsi="Times New Roman"/>
          <w:sz w:val="22"/>
          <w:szCs w:val="22"/>
          <w:lang w:val="es-AR"/>
        </w:rPr>
        <w:t>9</w:t>
      </w:r>
      <w:r w:rsidR="00885D4B">
        <w:rPr>
          <w:rFonts w:ascii="Times New Roman" w:hAnsi="Times New Roman"/>
          <w:sz w:val="22"/>
          <w:szCs w:val="22"/>
          <w:lang w:val="es-AR"/>
        </w:rPr>
        <w:t xml:space="preserve"> de diciembre de </w:t>
      </w:r>
      <w:r w:rsidR="00885D4B" w:rsidRPr="00885D4B">
        <w:rPr>
          <w:rFonts w:ascii="Times New Roman" w:hAnsi="Times New Roman"/>
          <w:sz w:val="22"/>
          <w:szCs w:val="22"/>
          <w:lang w:val="es-AR"/>
        </w:rPr>
        <w:t>2020</w:t>
      </w:r>
      <w:r w:rsidR="00885D4B">
        <w:rPr>
          <w:rFonts w:ascii="Times New Roman" w:hAnsi="Times New Roman"/>
          <w:sz w:val="22"/>
          <w:szCs w:val="22"/>
          <w:lang w:val="es-AR"/>
        </w:rPr>
        <w:t xml:space="preserve"> por $</w:t>
      </w:r>
      <w:r w:rsidR="00885D4B" w:rsidRPr="00885D4B">
        <w:rPr>
          <w:rFonts w:ascii="Times New Roman" w:hAnsi="Times New Roman"/>
          <w:sz w:val="22"/>
          <w:szCs w:val="22"/>
          <w:lang w:val="es-AR"/>
        </w:rPr>
        <w:t>450.000.000,00</w:t>
      </w:r>
      <w:r w:rsidR="00885D4B">
        <w:rPr>
          <w:rFonts w:ascii="Times New Roman" w:hAnsi="Times New Roman"/>
          <w:sz w:val="22"/>
          <w:szCs w:val="22"/>
          <w:lang w:val="es-AR"/>
        </w:rPr>
        <w:t xml:space="preserve">, y cuyo vencimiento operará el </w:t>
      </w:r>
      <w:r w:rsidR="00885D4B" w:rsidRPr="00885D4B">
        <w:rPr>
          <w:rFonts w:ascii="Times New Roman" w:hAnsi="Times New Roman"/>
          <w:sz w:val="22"/>
          <w:szCs w:val="22"/>
          <w:lang w:val="es-AR"/>
        </w:rPr>
        <w:t>9</w:t>
      </w:r>
      <w:r w:rsidR="00885D4B">
        <w:rPr>
          <w:rFonts w:ascii="Times New Roman" w:hAnsi="Times New Roman"/>
          <w:sz w:val="22"/>
          <w:szCs w:val="22"/>
          <w:lang w:val="es-AR"/>
        </w:rPr>
        <w:t xml:space="preserve"> diciembre de </w:t>
      </w:r>
      <w:r w:rsidR="00885D4B" w:rsidRPr="00885D4B">
        <w:rPr>
          <w:rFonts w:ascii="Times New Roman" w:hAnsi="Times New Roman"/>
          <w:sz w:val="22"/>
          <w:szCs w:val="22"/>
          <w:lang w:val="es-AR"/>
        </w:rPr>
        <w:t>2021</w:t>
      </w:r>
      <w:r w:rsidR="00E84DC2">
        <w:rPr>
          <w:rFonts w:ascii="Times New Roman" w:hAnsi="Times New Roman"/>
          <w:sz w:val="22"/>
          <w:szCs w:val="22"/>
          <w:lang w:val="es-AR"/>
        </w:rPr>
        <w:t>.</w:t>
      </w:r>
      <w:r w:rsidR="00E84DC2" w:rsidRPr="00817C6F">
        <w:rPr>
          <w:rFonts w:ascii="Times New Roman" w:hAnsi="Times New Roman"/>
          <w:bCs/>
          <w:sz w:val="22"/>
          <w:szCs w:val="22"/>
        </w:rPr>
        <w:t xml:space="preserve"> </w:t>
      </w:r>
    </w:p>
    <w:p w14:paraId="003E09AB" w14:textId="1C7F8FB6" w:rsidR="004D3481" w:rsidRDefault="004D3481" w:rsidP="00575848">
      <w:pPr>
        <w:spacing w:line="276" w:lineRule="auto"/>
        <w:jc w:val="both"/>
      </w:pPr>
    </w:p>
    <w:p w14:paraId="2567B43F" w14:textId="77777777" w:rsidR="00447A5E" w:rsidRDefault="00447A5E" w:rsidP="00447A5E">
      <w:pPr>
        <w:pStyle w:val="Textoindependiente"/>
        <w:widowControl w:val="0"/>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clear" w:pos="5161"/>
          <w:tab w:val="clear" w:pos="5558"/>
          <w:tab w:val="clear" w:pos="5955"/>
          <w:tab w:val="clear" w:pos="6352"/>
          <w:tab w:val="clear" w:pos="6749"/>
          <w:tab w:val="clear" w:pos="7146"/>
          <w:tab w:val="clear" w:pos="7543"/>
          <w:tab w:val="clear" w:pos="7940"/>
          <w:tab w:val="clear" w:pos="8337"/>
          <w:tab w:val="clear" w:pos="8734"/>
          <w:tab w:val="clear" w:pos="9131"/>
          <w:tab w:val="clear" w:pos="9528"/>
        </w:tabs>
        <w:jc w:val="center"/>
        <w:rPr>
          <w:rFonts w:ascii="Times New Roman" w:hAnsi="Times New Roman"/>
          <w:sz w:val="22"/>
          <w:szCs w:val="22"/>
        </w:rPr>
      </w:pPr>
      <w:r>
        <w:rPr>
          <w:rFonts w:ascii="Times New Roman" w:hAnsi="Times New Roman"/>
          <w:sz w:val="22"/>
          <w:szCs w:val="22"/>
        </w:rPr>
        <w:t>Gabriel Andriossi</w:t>
      </w:r>
    </w:p>
    <w:p w14:paraId="167A99AC" w14:textId="77777777" w:rsidR="00447A5E" w:rsidRPr="008530A8" w:rsidRDefault="00447A5E" w:rsidP="00447A5E">
      <w:pPr>
        <w:pStyle w:val="Textoindependiente"/>
        <w:widowControl w:val="0"/>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clear" w:pos="5161"/>
          <w:tab w:val="clear" w:pos="5558"/>
          <w:tab w:val="clear" w:pos="5955"/>
          <w:tab w:val="clear" w:pos="6352"/>
          <w:tab w:val="clear" w:pos="6749"/>
          <w:tab w:val="clear" w:pos="7146"/>
          <w:tab w:val="clear" w:pos="7543"/>
          <w:tab w:val="clear" w:pos="7940"/>
          <w:tab w:val="clear" w:pos="8337"/>
          <w:tab w:val="clear" w:pos="8734"/>
          <w:tab w:val="clear" w:pos="9131"/>
          <w:tab w:val="clear" w:pos="9528"/>
        </w:tabs>
        <w:jc w:val="center"/>
        <w:rPr>
          <w:rFonts w:ascii="Times New Roman" w:hAnsi="Times New Roman"/>
          <w:i/>
          <w:iCs/>
          <w:sz w:val="22"/>
          <w:szCs w:val="22"/>
        </w:rPr>
      </w:pPr>
      <w:r w:rsidRPr="008530A8">
        <w:rPr>
          <w:rFonts w:ascii="Times New Roman" w:hAnsi="Times New Roman"/>
          <w:i/>
          <w:iCs/>
          <w:sz w:val="22"/>
          <w:szCs w:val="22"/>
        </w:rPr>
        <w:t>Responsable de Relaciones con el Mercado</w:t>
      </w:r>
    </w:p>
    <w:p w14:paraId="78662B94" w14:textId="77777777" w:rsidR="00447A5E" w:rsidRPr="00F073EA" w:rsidRDefault="00447A5E" w:rsidP="00447A5E">
      <w:pPr>
        <w:pStyle w:val="Textoindependiente"/>
        <w:widowControl w:val="0"/>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 w:val="clear" w:pos="5161"/>
          <w:tab w:val="clear" w:pos="5558"/>
          <w:tab w:val="clear" w:pos="5955"/>
          <w:tab w:val="clear" w:pos="6352"/>
          <w:tab w:val="clear" w:pos="6749"/>
          <w:tab w:val="clear" w:pos="7146"/>
          <w:tab w:val="clear" w:pos="7543"/>
          <w:tab w:val="clear" w:pos="7940"/>
          <w:tab w:val="clear" w:pos="8337"/>
          <w:tab w:val="clear" w:pos="8734"/>
          <w:tab w:val="clear" w:pos="9131"/>
          <w:tab w:val="clear" w:pos="9528"/>
        </w:tabs>
        <w:jc w:val="center"/>
        <w:rPr>
          <w:sz w:val="22"/>
          <w:szCs w:val="22"/>
          <w:lang w:val="es-AR"/>
        </w:rPr>
      </w:pPr>
      <w:r>
        <w:rPr>
          <w:rFonts w:ascii="Times New Roman" w:hAnsi="Times New Roman"/>
          <w:b/>
          <w:sz w:val="22"/>
          <w:szCs w:val="22"/>
          <w:lang w:val="es-MX"/>
        </w:rPr>
        <w:t>Compañía Financiera Argentina</w:t>
      </w:r>
      <w:r w:rsidRPr="00F073EA">
        <w:rPr>
          <w:rFonts w:ascii="Times New Roman" w:hAnsi="Times New Roman"/>
          <w:b/>
          <w:sz w:val="22"/>
          <w:szCs w:val="22"/>
        </w:rPr>
        <w:t xml:space="preserve"> S.A.</w:t>
      </w:r>
    </w:p>
    <w:p w14:paraId="64B8ECF7" w14:textId="77777777" w:rsidR="00447A5E" w:rsidRPr="00B21F00" w:rsidRDefault="00447A5E" w:rsidP="00575848">
      <w:pPr>
        <w:spacing w:line="276" w:lineRule="auto"/>
        <w:jc w:val="both"/>
      </w:pPr>
    </w:p>
    <w:sectPr w:rsidR="00447A5E" w:rsidRPr="00B21F00" w:rsidSect="00DF41C7">
      <w:headerReference w:type="default" r:id="rId8"/>
      <w:footerReference w:type="even" r:id="rId9"/>
      <w:footerReference w:type="default" r:id="rId10"/>
      <w:pgSz w:w="11907" w:h="16840" w:code="9"/>
      <w:pgMar w:top="1417" w:right="1701" w:bottom="1417"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6632C" w14:textId="77777777" w:rsidR="004E1780" w:rsidRDefault="004E1780" w:rsidP="0031289D">
      <w:r>
        <w:separator/>
      </w:r>
    </w:p>
  </w:endnote>
  <w:endnote w:type="continuationSeparator" w:id="0">
    <w:p w14:paraId="190B5B9E" w14:textId="77777777" w:rsidR="004E1780" w:rsidRDefault="004E1780" w:rsidP="0031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36E31" w14:textId="77777777" w:rsidR="00486C7B" w:rsidRDefault="00486C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F72B3C" w14:textId="77777777" w:rsidR="00486C7B" w:rsidRDefault="00486C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9B8A" w14:textId="77777777" w:rsidR="00486C7B" w:rsidRPr="006479AC" w:rsidRDefault="00486C7B" w:rsidP="0027315C">
    <w:pPr>
      <w:pStyle w:val="Piedepgina"/>
      <w:tabs>
        <w:tab w:val="clear" w:pos="4320"/>
        <w:tab w:val="clear" w:pos="8640"/>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95733" w14:textId="77777777" w:rsidR="004E1780" w:rsidRDefault="004E1780" w:rsidP="0031289D">
      <w:r>
        <w:separator/>
      </w:r>
    </w:p>
  </w:footnote>
  <w:footnote w:type="continuationSeparator" w:id="0">
    <w:p w14:paraId="03DFAD0C" w14:textId="77777777" w:rsidR="004E1780" w:rsidRDefault="004E1780" w:rsidP="0031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580B" w14:textId="77777777" w:rsidR="00486C7B" w:rsidRPr="00320777" w:rsidRDefault="00486C7B" w:rsidP="0027315C">
    <w:pPr>
      <w:pStyle w:val="Piedepgina"/>
      <w:tabs>
        <w:tab w:val="clear" w:pos="4320"/>
        <w:tab w:val="clear" w:pos="8640"/>
      </w:tabs>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3D"/>
    <w:rsid w:val="00016DA3"/>
    <w:rsid w:val="000319A2"/>
    <w:rsid w:val="0004404D"/>
    <w:rsid w:val="00086CC4"/>
    <w:rsid w:val="000C3B04"/>
    <w:rsid w:val="000C47D5"/>
    <w:rsid w:val="000E6169"/>
    <w:rsid w:val="000F2C6C"/>
    <w:rsid w:val="001056D9"/>
    <w:rsid w:val="0014481F"/>
    <w:rsid w:val="00162B91"/>
    <w:rsid w:val="0017123F"/>
    <w:rsid w:val="00174820"/>
    <w:rsid w:val="001920D5"/>
    <w:rsid w:val="001968FD"/>
    <w:rsid w:val="001A587E"/>
    <w:rsid w:val="001D061E"/>
    <w:rsid w:val="00217807"/>
    <w:rsid w:val="0023529A"/>
    <w:rsid w:val="002659B1"/>
    <w:rsid w:val="0027315C"/>
    <w:rsid w:val="002738F7"/>
    <w:rsid w:val="00285BC1"/>
    <w:rsid w:val="002B6048"/>
    <w:rsid w:val="00301438"/>
    <w:rsid w:val="00307677"/>
    <w:rsid w:val="00307A32"/>
    <w:rsid w:val="0031289D"/>
    <w:rsid w:val="00325058"/>
    <w:rsid w:val="00333551"/>
    <w:rsid w:val="003346F2"/>
    <w:rsid w:val="00363F9C"/>
    <w:rsid w:val="003B0621"/>
    <w:rsid w:val="003C39F9"/>
    <w:rsid w:val="003E5707"/>
    <w:rsid w:val="003F5F3D"/>
    <w:rsid w:val="004005FF"/>
    <w:rsid w:val="004164AA"/>
    <w:rsid w:val="00426A16"/>
    <w:rsid w:val="00426FDC"/>
    <w:rsid w:val="00434018"/>
    <w:rsid w:val="00447A5E"/>
    <w:rsid w:val="0045196A"/>
    <w:rsid w:val="00451E99"/>
    <w:rsid w:val="00462740"/>
    <w:rsid w:val="0047524A"/>
    <w:rsid w:val="00477302"/>
    <w:rsid w:val="00486C7B"/>
    <w:rsid w:val="004C08FB"/>
    <w:rsid w:val="004D3481"/>
    <w:rsid w:val="004E0C00"/>
    <w:rsid w:val="004E1780"/>
    <w:rsid w:val="004E7FD1"/>
    <w:rsid w:val="004F2099"/>
    <w:rsid w:val="00522A99"/>
    <w:rsid w:val="005303D0"/>
    <w:rsid w:val="00551F93"/>
    <w:rsid w:val="00554C8B"/>
    <w:rsid w:val="0057012B"/>
    <w:rsid w:val="00575848"/>
    <w:rsid w:val="0058140A"/>
    <w:rsid w:val="00587BA8"/>
    <w:rsid w:val="005C208A"/>
    <w:rsid w:val="005C21B7"/>
    <w:rsid w:val="005C3220"/>
    <w:rsid w:val="005C55EC"/>
    <w:rsid w:val="005E1AF1"/>
    <w:rsid w:val="005E2A94"/>
    <w:rsid w:val="005E38B1"/>
    <w:rsid w:val="005F6384"/>
    <w:rsid w:val="006241A9"/>
    <w:rsid w:val="00635A47"/>
    <w:rsid w:val="00644343"/>
    <w:rsid w:val="00647FBB"/>
    <w:rsid w:val="00651966"/>
    <w:rsid w:val="00654C1C"/>
    <w:rsid w:val="00676C15"/>
    <w:rsid w:val="006863E9"/>
    <w:rsid w:val="00693479"/>
    <w:rsid w:val="0069727A"/>
    <w:rsid w:val="006C18D9"/>
    <w:rsid w:val="006D7B18"/>
    <w:rsid w:val="006E0AF8"/>
    <w:rsid w:val="006E6461"/>
    <w:rsid w:val="006F3133"/>
    <w:rsid w:val="00720189"/>
    <w:rsid w:val="00725B03"/>
    <w:rsid w:val="0073165B"/>
    <w:rsid w:val="00733144"/>
    <w:rsid w:val="00761DF0"/>
    <w:rsid w:val="00766411"/>
    <w:rsid w:val="007903B5"/>
    <w:rsid w:val="007917CE"/>
    <w:rsid w:val="007933D2"/>
    <w:rsid w:val="007A7CFB"/>
    <w:rsid w:val="007B3965"/>
    <w:rsid w:val="007B4407"/>
    <w:rsid w:val="007D03B9"/>
    <w:rsid w:val="007E5B09"/>
    <w:rsid w:val="008162F2"/>
    <w:rsid w:val="00817C6F"/>
    <w:rsid w:val="008276A7"/>
    <w:rsid w:val="00844355"/>
    <w:rsid w:val="008457FF"/>
    <w:rsid w:val="00874E1C"/>
    <w:rsid w:val="0088093D"/>
    <w:rsid w:val="00882D2D"/>
    <w:rsid w:val="00883617"/>
    <w:rsid w:val="00885D4B"/>
    <w:rsid w:val="0089275E"/>
    <w:rsid w:val="008A5A97"/>
    <w:rsid w:val="008A600C"/>
    <w:rsid w:val="008B1A1C"/>
    <w:rsid w:val="008B271C"/>
    <w:rsid w:val="008C57B2"/>
    <w:rsid w:val="008D1D06"/>
    <w:rsid w:val="008D6BA9"/>
    <w:rsid w:val="008E50BF"/>
    <w:rsid w:val="008F0524"/>
    <w:rsid w:val="009013E7"/>
    <w:rsid w:val="009123EF"/>
    <w:rsid w:val="00913309"/>
    <w:rsid w:val="0093157E"/>
    <w:rsid w:val="00964A53"/>
    <w:rsid w:val="00984AAF"/>
    <w:rsid w:val="00993968"/>
    <w:rsid w:val="009A0B03"/>
    <w:rsid w:val="009B45A8"/>
    <w:rsid w:val="009C670F"/>
    <w:rsid w:val="009E57B4"/>
    <w:rsid w:val="009F6BFB"/>
    <w:rsid w:val="00A373DA"/>
    <w:rsid w:val="00A4424D"/>
    <w:rsid w:val="00A46DFE"/>
    <w:rsid w:val="00A47267"/>
    <w:rsid w:val="00A47DAD"/>
    <w:rsid w:val="00A56004"/>
    <w:rsid w:val="00A6414A"/>
    <w:rsid w:val="00A678AB"/>
    <w:rsid w:val="00A728CC"/>
    <w:rsid w:val="00A92826"/>
    <w:rsid w:val="00AA5BA3"/>
    <w:rsid w:val="00AB5FDD"/>
    <w:rsid w:val="00AD2E52"/>
    <w:rsid w:val="00AD3B3C"/>
    <w:rsid w:val="00AD540E"/>
    <w:rsid w:val="00AE1BE8"/>
    <w:rsid w:val="00AE64F9"/>
    <w:rsid w:val="00B02ABD"/>
    <w:rsid w:val="00B03B63"/>
    <w:rsid w:val="00B21F00"/>
    <w:rsid w:val="00B249E6"/>
    <w:rsid w:val="00B30F12"/>
    <w:rsid w:val="00B4084C"/>
    <w:rsid w:val="00B42E11"/>
    <w:rsid w:val="00B5126E"/>
    <w:rsid w:val="00B53F7B"/>
    <w:rsid w:val="00B615C0"/>
    <w:rsid w:val="00B62A9C"/>
    <w:rsid w:val="00B77201"/>
    <w:rsid w:val="00B90D9F"/>
    <w:rsid w:val="00B91753"/>
    <w:rsid w:val="00B92CCE"/>
    <w:rsid w:val="00BA06BF"/>
    <w:rsid w:val="00BA28DD"/>
    <w:rsid w:val="00BB165E"/>
    <w:rsid w:val="00BB70B4"/>
    <w:rsid w:val="00BC2585"/>
    <w:rsid w:val="00BE07D1"/>
    <w:rsid w:val="00BF3CF7"/>
    <w:rsid w:val="00C12741"/>
    <w:rsid w:val="00C174C8"/>
    <w:rsid w:val="00C23E75"/>
    <w:rsid w:val="00C5383E"/>
    <w:rsid w:val="00C64EC9"/>
    <w:rsid w:val="00C75134"/>
    <w:rsid w:val="00C955C5"/>
    <w:rsid w:val="00CD2E9F"/>
    <w:rsid w:val="00D873F2"/>
    <w:rsid w:val="00D87A82"/>
    <w:rsid w:val="00D92E78"/>
    <w:rsid w:val="00DB1656"/>
    <w:rsid w:val="00DB2D8A"/>
    <w:rsid w:val="00DC7428"/>
    <w:rsid w:val="00DC7935"/>
    <w:rsid w:val="00DD7311"/>
    <w:rsid w:val="00DE62F9"/>
    <w:rsid w:val="00DF41C7"/>
    <w:rsid w:val="00E02990"/>
    <w:rsid w:val="00E24A26"/>
    <w:rsid w:val="00E30010"/>
    <w:rsid w:val="00E37EE2"/>
    <w:rsid w:val="00E45FA3"/>
    <w:rsid w:val="00E6219D"/>
    <w:rsid w:val="00E625E1"/>
    <w:rsid w:val="00E70D9E"/>
    <w:rsid w:val="00E748A0"/>
    <w:rsid w:val="00E84DC2"/>
    <w:rsid w:val="00E9671C"/>
    <w:rsid w:val="00EB2C1E"/>
    <w:rsid w:val="00EB62B0"/>
    <w:rsid w:val="00EC5A7C"/>
    <w:rsid w:val="00ED3E08"/>
    <w:rsid w:val="00EE426A"/>
    <w:rsid w:val="00EF6C28"/>
    <w:rsid w:val="00F00B81"/>
    <w:rsid w:val="00F2258B"/>
    <w:rsid w:val="00F5092E"/>
    <w:rsid w:val="00F5275F"/>
    <w:rsid w:val="00F5436B"/>
    <w:rsid w:val="00F77229"/>
    <w:rsid w:val="00F95DC7"/>
    <w:rsid w:val="00FB6819"/>
    <w:rsid w:val="00FC369F"/>
    <w:rsid w:val="00FE006E"/>
    <w:rsid w:val="00FE1E02"/>
    <w:rsid w:val="00FE3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FFD6"/>
  <w15:docId w15:val="{D3590E1D-44F4-48D0-AAC4-2603230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3D"/>
    <w:pPr>
      <w:spacing w:after="0" w:line="240" w:lineRule="auto"/>
    </w:pPr>
    <w:rPr>
      <w:rFonts w:ascii="Times New Roman" w:eastAsia="Times New Roman" w:hAnsi="Times New Roman" w:cs="Times New Roman"/>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3F5F3D"/>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 w:val="left" w:pos="9131"/>
        <w:tab w:val="left" w:pos="9528"/>
      </w:tabs>
      <w:jc w:val="both"/>
    </w:pPr>
    <w:rPr>
      <w:rFonts w:ascii="Palatino" w:hAnsi="Palatino"/>
      <w:lang w:val="es-ES"/>
    </w:rPr>
  </w:style>
  <w:style w:type="character" w:customStyle="1" w:styleId="TextoindependienteCar">
    <w:name w:val="Texto independiente Car"/>
    <w:basedOn w:val="Fuentedeprrafopredeter"/>
    <w:link w:val="Textoindependiente"/>
    <w:semiHidden/>
    <w:rsid w:val="003F5F3D"/>
    <w:rPr>
      <w:rFonts w:ascii="Palatino" w:eastAsia="Times New Roman" w:hAnsi="Palatino" w:cs="Times New Roman"/>
      <w:sz w:val="24"/>
      <w:szCs w:val="24"/>
    </w:rPr>
  </w:style>
  <w:style w:type="paragraph" w:styleId="Piedepgina">
    <w:name w:val="footer"/>
    <w:basedOn w:val="Normal"/>
    <w:link w:val="PiedepginaCar"/>
    <w:semiHidden/>
    <w:rsid w:val="003F5F3D"/>
    <w:pPr>
      <w:tabs>
        <w:tab w:val="center" w:pos="4320"/>
        <w:tab w:val="right" w:pos="8640"/>
      </w:tabs>
    </w:pPr>
  </w:style>
  <w:style w:type="character" w:customStyle="1" w:styleId="PiedepginaCar">
    <w:name w:val="Pie de página Car"/>
    <w:basedOn w:val="Fuentedeprrafopredeter"/>
    <w:link w:val="Piedepgina"/>
    <w:semiHidden/>
    <w:rsid w:val="003F5F3D"/>
    <w:rPr>
      <w:rFonts w:ascii="Times New Roman" w:eastAsia="Times New Roman" w:hAnsi="Times New Roman" w:cs="Times New Roman"/>
      <w:sz w:val="24"/>
      <w:szCs w:val="24"/>
      <w:lang w:val="es-AR"/>
    </w:rPr>
  </w:style>
  <w:style w:type="character" w:styleId="Nmerodepgina">
    <w:name w:val="page number"/>
    <w:basedOn w:val="Fuentedeprrafopredeter"/>
    <w:semiHidden/>
    <w:rsid w:val="003F5F3D"/>
  </w:style>
  <w:style w:type="paragraph" w:styleId="Textodeglobo">
    <w:name w:val="Balloon Text"/>
    <w:basedOn w:val="Normal"/>
    <w:link w:val="TextodegloboCar"/>
    <w:uiPriority w:val="99"/>
    <w:semiHidden/>
    <w:unhideWhenUsed/>
    <w:rsid w:val="007B3965"/>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965"/>
    <w:rPr>
      <w:rFonts w:ascii="Tahoma" w:eastAsia="Times New Roman" w:hAnsi="Tahoma" w:cs="Tahoma"/>
      <w:sz w:val="16"/>
      <w:szCs w:val="16"/>
      <w:lang w:val="es-AR"/>
    </w:rPr>
  </w:style>
  <w:style w:type="character" w:styleId="Refdecomentario">
    <w:name w:val="annotation reference"/>
    <w:basedOn w:val="Fuentedeprrafopredeter"/>
    <w:uiPriority w:val="99"/>
    <w:semiHidden/>
    <w:unhideWhenUsed/>
    <w:rsid w:val="00B62A9C"/>
    <w:rPr>
      <w:sz w:val="16"/>
      <w:szCs w:val="16"/>
    </w:rPr>
  </w:style>
  <w:style w:type="paragraph" w:styleId="Textocomentario">
    <w:name w:val="annotation text"/>
    <w:basedOn w:val="Normal"/>
    <w:link w:val="TextocomentarioCar"/>
    <w:uiPriority w:val="99"/>
    <w:semiHidden/>
    <w:unhideWhenUsed/>
    <w:rsid w:val="00B62A9C"/>
    <w:rPr>
      <w:sz w:val="20"/>
      <w:szCs w:val="20"/>
    </w:rPr>
  </w:style>
  <w:style w:type="character" w:customStyle="1" w:styleId="TextocomentarioCar">
    <w:name w:val="Texto comentario Car"/>
    <w:basedOn w:val="Fuentedeprrafopredeter"/>
    <w:link w:val="Textocomentario"/>
    <w:uiPriority w:val="99"/>
    <w:semiHidden/>
    <w:rsid w:val="00B62A9C"/>
    <w:rPr>
      <w:rFonts w:ascii="Times New Roman" w:eastAsia="Times New Roman" w:hAnsi="Times New Roman"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B62A9C"/>
    <w:rPr>
      <w:b/>
      <w:bCs/>
    </w:rPr>
  </w:style>
  <w:style w:type="character" w:customStyle="1" w:styleId="AsuntodelcomentarioCar">
    <w:name w:val="Asunto del comentario Car"/>
    <w:basedOn w:val="TextocomentarioCar"/>
    <w:link w:val="Asuntodelcomentario"/>
    <w:uiPriority w:val="99"/>
    <w:semiHidden/>
    <w:rsid w:val="00B62A9C"/>
    <w:rPr>
      <w:rFonts w:ascii="Times New Roman" w:eastAsia="Times New Roman" w:hAnsi="Times New Roman" w:cs="Times New Roman"/>
      <w:b/>
      <w:bCs/>
      <w:sz w:val="20"/>
      <w:szCs w:val="20"/>
      <w:lang w:val="es-AR"/>
    </w:rPr>
  </w:style>
  <w:style w:type="paragraph" w:styleId="Revisin">
    <w:name w:val="Revision"/>
    <w:hidden/>
    <w:uiPriority w:val="99"/>
    <w:semiHidden/>
    <w:rsid w:val="00B62A9C"/>
    <w:pPr>
      <w:spacing w:after="0" w:line="240" w:lineRule="auto"/>
    </w:pPr>
    <w:rPr>
      <w:rFonts w:ascii="Times New Roman" w:eastAsia="Times New Roman" w:hAnsi="Times New Roman" w:cs="Times New Roman"/>
      <w:sz w:val="24"/>
      <w:szCs w:val="24"/>
      <w:lang w:val="es-AR"/>
    </w:rPr>
  </w:style>
  <w:style w:type="paragraph" w:styleId="Mapadeldocumento">
    <w:name w:val="Document Map"/>
    <w:basedOn w:val="Normal"/>
    <w:link w:val="MapadeldocumentoCar"/>
    <w:uiPriority w:val="99"/>
    <w:semiHidden/>
    <w:unhideWhenUsed/>
    <w:rsid w:val="00AE64F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E64F9"/>
    <w:rPr>
      <w:rFonts w:ascii="Tahoma" w:eastAsia="Times New Roman" w:hAnsi="Tahoma" w:cs="Tahoma"/>
      <w:sz w:val="16"/>
      <w:szCs w:val="16"/>
      <w:lang w:val="es-AR"/>
    </w:rPr>
  </w:style>
  <w:style w:type="paragraph" w:styleId="Encabezado">
    <w:name w:val="header"/>
    <w:basedOn w:val="Normal"/>
    <w:link w:val="EncabezadoCar"/>
    <w:uiPriority w:val="99"/>
    <w:semiHidden/>
    <w:unhideWhenUsed/>
    <w:rsid w:val="00C5383E"/>
    <w:pPr>
      <w:tabs>
        <w:tab w:val="center" w:pos="4252"/>
        <w:tab w:val="right" w:pos="8504"/>
      </w:tabs>
    </w:pPr>
  </w:style>
  <w:style w:type="character" w:customStyle="1" w:styleId="EncabezadoCar">
    <w:name w:val="Encabezado Car"/>
    <w:basedOn w:val="Fuentedeprrafopredeter"/>
    <w:link w:val="Encabezado"/>
    <w:uiPriority w:val="99"/>
    <w:semiHidden/>
    <w:rsid w:val="00C5383E"/>
    <w:rPr>
      <w:rFonts w:ascii="Times New Roman" w:eastAsia="Times New Roman" w:hAnsi="Times New Roman" w:cs="Times New Roman"/>
      <w:sz w:val="24"/>
      <w:szCs w:val="24"/>
      <w:lang w:val="es-AR"/>
    </w:rPr>
  </w:style>
  <w:style w:type="paragraph" w:styleId="Textonotapie">
    <w:name w:val="footnote text"/>
    <w:basedOn w:val="Normal"/>
    <w:link w:val="TextonotapieCar"/>
    <w:uiPriority w:val="99"/>
    <w:semiHidden/>
    <w:unhideWhenUsed/>
    <w:rsid w:val="00DF41C7"/>
    <w:rPr>
      <w:sz w:val="20"/>
      <w:szCs w:val="20"/>
    </w:rPr>
  </w:style>
  <w:style w:type="character" w:customStyle="1" w:styleId="TextonotapieCar">
    <w:name w:val="Texto nota pie Car"/>
    <w:basedOn w:val="Fuentedeprrafopredeter"/>
    <w:link w:val="Textonotapie"/>
    <w:uiPriority w:val="99"/>
    <w:semiHidden/>
    <w:rsid w:val="00DF41C7"/>
    <w:rPr>
      <w:rFonts w:ascii="Times New Roman" w:eastAsia="Times New Roman" w:hAnsi="Times New Roman" w:cs="Times New Roman"/>
      <w:sz w:val="20"/>
      <w:szCs w:val="20"/>
      <w:lang w:val="es-AR"/>
    </w:rPr>
  </w:style>
  <w:style w:type="character" w:styleId="Refdenotaalpie">
    <w:name w:val="footnote reference"/>
    <w:basedOn w:val="Fuentedeprrafopredeter"/>
    <w:uiPriority w:val="99"/>
    <w:semiHidden/>
    <w:unhideWhenUsed/>
    <w:rsid w:val="00DF4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516690">
      <w:bodyDiv w:val="1"/>
      <w:marLeft w:val="0"/>
      <w:marRight w:val="0"/>
      <w:marTop w:val="0"/>
      <w:marBottom w:val="0"/>
      <w:divBdr>
        <w:top w:val="none" w:sz="0" w:space="0" w:color="auto"/>
        <w:left w:val="none" w:sz="0" w:space="0" w:color="auto"/>
        <w:bottom w:val="none" w:sz="0" w:space="0" w:color="auto"/>
        <w:right w:val="none" w:sz="0" w:space="0" w:color="auto"/>
      </w:divBdr>
    </w:div>
    <w:div w:id="966005334">
      <w:bodyDiv w:val="1"/>
      <w:marLeft w:val="0"/>
      <w:marRight w:val="0"/>
      <w:marTop w:val="0"/>
      <w:marBottom w:val="0"/>
      <w:divBdr>
        <w:top w:val="none" w:sz="0" w:space="0" w:color="auto"/>
        <w:left w:val="none" w:sz="0" w:space="0" w:color="auto"/>
        <w:bottom w:val="none" w:sz="0" w:space="0" w:color="auto"/>
        <w:right w:val="none" w:sz="0" w:space="0" w:color="auto"/>
      </w:divBdr>
    </w:div>
    <w:div w:id="1947535759">
      <w:bodyDiv w:val="1"/>
      <w:marLeft w:val="0"/>
      <w:marRight w:val="0"/>
      <w:marTop w:val="0"/>
      <w:marBottom w:val="0"/>
      <w:divBdr>
        <w:top w:val="none" w:sz="0" w:space="0" w:color="auto"/>
        <w:left w:val="none" w:sz="0" w:space="0" w:color="auto"/>
        <w:bottom w:val="none" w:sz="0" w:space="0" w:color="auto"/>
        <w:right w:val="none" w:sz="0" w:space="0" w:color="auto"/>
      </w:divBdr>
    </w:div>
    <w:div w:id="194939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E2842-3054-4520-A009-34FC66B4D427}">
  <ds:schemaRefs>
    <ds:schemaRef ds:uri="http://schemas.openxmlformats.org/officeDocument/2006/bibliography"/>
  </ds:schemaRefs>
</ds:datastoreItem>
</file>

<file path=customXml/itemProps2.xml><?xml version="1.0" encoding="utf-8"?>
<ds:datastoreItem xmlns:ds="http://schemas.openxmlformats.org/officeDocument/2006/customXml" ds:itemID="{E879FDFD-B00F-4ABD-9E18-10D8A6C8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1397</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Estudio Beccar Varela</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mtutzer</dc:creator>
  <cp:lastModifiedBy>Victoria Pavani</cp:lastModifiedBy>
  <cp:revision>2</cp:revision>
  <cp:lastPrinted>2019-01-04T13:57:00Z</cp:lastPrinted>
  <dcterms:created xsi:type="dcterms:W3CDTF">2021-01-04T13:25:00Z</dcterms:created>
  <dcterms:modified xsi:type="dcterms:W3CDTF">2021-01-04T13:25:00Z</dcterms:modified>
</cp:coreProperties>
</file>