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41" w:rsidRDefault="00F54F41" w:rsidP="00F54F41">
      <w:pPr>
        <w:outlineLvl w:val="0"/>
        <w:rPr>
          <w:rFonts w:ascii="Century Gothic" w:hAnsi="Century Gothic"/>
          <w:snapToGrid w:val="0"/>
          <w:sz w:val="20"/>
          <w:lang w:eastAsia="en-US"/>
        </w:rPr>
      </w:pPr>
    </w:p>
    <w:p w:rsidR="002E710B" w:rsidRPr="00435602" w:rsidRDefault="002E710B" w:rsidP="00435602">
      <w:pPr>
        <w:ind w:left="4608" w:hanging="137"/>
        <w:jc w:val="right"/>
        <w:outlineLvl w:val="0"/>
        <w:rPr>
          <w:rFonts w:ascii="Century Gothic" w:hAnsi="Century Gothic"/>
          <w:snapToGrid w:val="0"/>
          <w:sz w:val="20"/>
          <w:lang w:eastAsia="en-US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t xml:space="preserve">Buenos Aires, </w:t>
      </w:r>
      <w:r w:rsidR="00B578E3">
        <w:rPr>
          <w:rFonts w:ascii="Century Gothic" w:hAnsi="Century Gothic"/>
          <w:snapToGrid w:val="0"/>
          <w:sz w:val="20"/>
          <w:lang w:eastAsia="en-US"/>
        </w:rPr>
        <w:t>01</w:t>
      </w:r>
      <w:bookmarkStart w:id="0" w:name="_GoBack"/>
      <w:bookmarkEnd w:id="0"/>
      <w:r w:rsidR="001950B3">
        <w:rPr>
          <w:rFonts w:ascii="Century Gothic" w:hAnsi="Century Gothic"/>
          <w:snapToGrid w:val="0"/>
          <w:sz w:val="20"/>
          <w:lang w:eastAsia="en-US"/>
        </w:rPr>
        <w:t xml:space="preserve"> </w:t>
      </w:r>
      <w:r w:rsidRPr="002E710B">
        <w:rPr>
          <w:rFonts w:ascii="Century Gothic" w:hAnsi="Century Gothic"/>
          <w:snapToGrid w:val="0"/>
          <w:sz w:val="20"/>
          <w:lang w:eastAsia="en-US"/>
        </w:rPr>
        <w:t xml:space="preserve">de </w:t>
      </w:r>
      <w:r w:rsidR="00B578E3">
        <w:rPr>
          <w:rFonts w:ascii="Century Gothic" w:hAnsi="Century Gothic"/>
          <w:snapToGrid w:val="0"/>
          <w:sz w:val="20"/>
          <w:lang w:eastAsia="en-US"/>
        </w:rPr>
        <w:t>Juni</w:t>
      </w:r>
      <w:r w:rsidR="00207818">
        <w:rPr>
          <w:rFonts w:ascii="Century Gothic" w:hAnsi="Century Gothic"/>
          <w:snapToGrid w:val="0"/>
          <w:sz w:val="20"/>
          <w:lang w:eastAsia="en-US"/>
        </w:rPr>
        <w:t>o</w:t>
      </w:r>
      <w:r w:rsidRPr="002E710B">
        <w:rPr>
          <w:rFonts w:ascii="Century Gothic" w:hAnsi="Century Gothic"/>
          <w:snapToGrid w:val="0"/>
          <w:sz w:val="20"/>
          <w:lang w:eastAsia="en-US"/>
        </w:rPr>
        <w:t xml:space="preserve"> de 20</w:t>
      </w:r>
      <w:r w:rsidR="00207818">
        <w:rPr>
          <w:rFonts w:ascii="Century Gothic" w:hAnsi="Century Gothic"/>
          <w:snapToGrid w:val="0"/>
          <w:sz w:val="20"/>
          <w:lang w:eastAsia="en-US"/>
        </w:rPr>
        <w:t>21</w:t>
      </w:r>
    </w:p>
    <w:p w:rsidR="00336D48" w:rsidRDefault="00336D48" w:rsidP="00336D48">
      <w:pPr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>
        <w:rPr>
          <w:rFonts w:ascii="Century Gothic" w:hAnsi="Century Gothic"/>
          <w:b/>
          <w:snapToGrid w:val="0"/>
          <w:sz w:val="20"/>
          <w:lang w:eastAsia="en-US"/>
        </w:rPr>
        <w:t>Sres.</w:t>
      </w:r>
    </w:p>
    <w:p w:rsidR="00336D48" w:rsidRDefault="00336D48" w:rsidP="00336D48">
      <w:pPr>
        <w:jc w:val="both"/>
        <w:rPr>
          <w:rFonts w:ascii="Century Gothic" w:hAnsi="Century Gothic"/>
          <w:snapToGrid w:val="0"/>
          <w:sz w:val="20"/>
          <w:lang w:eastAsia="en-US"/>
        </w:rPr>
      </w:pPr>
      <w:r>
        <w:rPr>
          <w:rFonts w:ascii="Century Gothic" w:hAnsi="Century Gothic"/>
          <w:snapToGrid w:val="0"/>
          <w:sz w:val="20"/>
          <w:lang w:eastAsia="en-US"/>
        </w:rPr>
        <w:t>Comisión Nacional de Valores</w:t>
      </w:r>
    </w:p>
    <w:p w:rsidR="00435602" w:rsidRPr="002E710B" w:rsidRDefault="00435602" w:rsidP="00435602">
      <w:pPr>
        <w:jc w:val="both"/>
        <w:outlineLvl w:val="0"/>
        <w:rPr>
          <w:rFonts w:ascii="Century Gothic" w:hAnsi="Century Gothic"/>
          <w:snapToGrid w:val="0"/>
          <w:sz w:val="20"/>
          <w:u w:val="single"/>
          <w:lang w:eastAsia="en-US"/>
        </w:rPr>
      </w:pPr>
      <w:r w:rsidRPr="002E710B">
        <w:rPr>
          <w:rFonts w:ascii="Century Gothic" w:hAnsi="Century Gothic"/>
          <w:snapToGrid w:val="0"/>
          <w:sz w:val="20"/>
          <w:u w:val="single"/>
          <w:lang w:eastAsia="en-US"/>
        </w:rPr>
        <w:t>Presente</w:t>
      </w:r>
    </w:p>
    <w:p w:rsidR="00BF2889" w:rsidRPr="002E710B" w:rsidRDefault="00BF2889">
      <w:pPr>
        <w:jc w:val="right"/>
        <w:rPr>
          <w:rFonts w:ascii="Century Gothic" w:hAnsi="Century Gothic"/>
          <w:b/>
          <w:snapToGrid w:val="0"/>
          <w:sz w:val="20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lang w:eastAsia="en-US"/>
        </w:rPr>
        <w:t xml:space="preserve">Ref: Compañía Financiera Argentina S.A. </w:t>
      </w:r>
    </w:p>
    <w:p w:rsidR="00BF2889" w:rsidRPr="002E710B" w:rsidRDefault="00BF2889">
      <w:pPr>
        <w:jc w:val="right"/>
        <w:rPr>
          <w:rFonts w:ascii="Century Gothic" w:hAnsi="Century Gothic"/>
          <w:b/>
          <w:snapToGrid w:val="0"/>
          <w:sz w:val="20"/>
          <w:lang w:eastAsia="en-US"/>
        </w:rPr>
      </w:pPr>
      <w:r w:rsidRPr="002E710B">
        <w:rPr>
          <w:rFonts w:ascii="Century Gothic" w:hAnsi="Century Gothic"/>
          <w:b/>
          <w:sz w:val="20"/>
        </w:rPr>
        <w:t xml:space="preserve">Obligaciones Negociables </w:t>
      </w:r>
      <w:r w:rsidR="006F1607">
        <w:rPr>
          <w:rFonts w:ascii="Century Gothic" w:hAnsi="Century Gothic"/>
          <w:b/>
          <w:sz w:val="20"/>
        </w:rPr>
        <w:t xml:space="preserve">Clase </w:t>
      </w:r>
      <w:r w:rsidR="00C379FB">
        <w:rPr>
          <w:rFonts w:ascii="Century Gothic" w:hAnsi="Century Gothic"/>
          <w:b/>
          <w:sz w:val="20"/>
        </w:rPr>
        <w:t>X</w:t>
      </w:r>
      <w:r w:rsidR="00C32A50">
        <w:rPr>
          <w:rFonts w:ascii="Century Gothic" w:hAnsi="Century Gothic"/>
          <w:b/>
          <w:sz w:val="20"/>
        </w:rPr>
        <w:t>X</w:t>
      </w:r>
      <w:r w:rsidR="00512277">
        <w:rPr>
          <w:rFonts w:ascii="Century Gothic" w:hAnsi="Century Gothic"/>
          <w:b/>
          <w:sz w:val="20"/>
        </w:rPr>
        <w:t>I</w:t>
      </w:r>
      <w:r w:rsidR="00CE54C2">
        <w:rPr>
          <w:rFonts w:ascii="Century Gothic" w:hAnsi="Century Gothic"/>
          <w:b/>
          <w:sz w:val="20"/>
        </w:rPr>
        <w:t>I</w:t>
      </w:r>
      <w:r w:rsidR="00207818">
        <w:rPr>
          <w:rFonts w:ascii="Century Gothic" w:hAnsi="Century Gothic"/>
          <w:b/>
          <w:sz w:val="20"/>
        </w:rPr>
        <w:t>I</w:t>
      </w:r>
      <w:r w:rsidR="00F07DD5">
        <w:rPr>
          <w:rFonts w:ascii="Century Gothic" w:hAnsi="Century Gothic"/>
          <w:b/>
          <w:sz w:val="20"/>
        </w:rPr>
        <w:t xml:space="preserve"> </w:t>
      </w:r>
      <w:r w:rsidRPr="002E710B">
        <w:rPr>
          <w:rFonts w:ascii="Century Gothic" w:hAnsi="Century Gothic"/>
          <w:b/>
          <w:sz w:val="20"/>
        </w:rPr>
        <w:t xml:space="preserve">Serie </w:t>
      </w:r>
      <w:r w:rsidR="00FE5B8E">
        <w:rPr>
          <w:rFonts w:ascii="Century Gothic" w:hAnsi="Century Gothic"/>
          <w:b/>
          <w:sz w:val="20"/>
        </w:rPr>
        <w:t>1</w:t>
      </w:r>
      <w:r w:rsidRPr="002E710B">
        <w:rPr>
          <w:rFonts w:ascii="Century Gothic" w:hAnsi="Century Gothic"/>
          <w:b/>
          <w:sz w:val="20"/>
        </w:rPr>
        <w:t xml:space="preserve"> - </w:t>
      </w:r>
      <w:r w:rsidR="00C21B83" w:rsidRPr="002E710B">
        <w:rPr>
          <w:rFonts w:ascii="Century Gothic" w:hAnsi="Century Gothic"/>
          <w:b/>
          <w:sz w:val="20"/>
        </w:rPr>
        <w:t xml:space="preserve">Pago </w:t>
      </w:r>
      <w:r w:rsidR="00071AD5">
        <w:rPr>
          <w:rFonts w:ascii="Century Gothic" w:hAnsi="Century Gothic"/>
          <w:b/>
          <w:sz w:val="20"/>
        </w:rPr>
        <w:t>de</w:t>
      </w:r>
      <w:r w:rsidR="00C21B83">
        <w:rPr>
          <w:rFonts w:ascii="Century Gothic" w:hAnsi="Century Gothic"/>
          <w:b/>
          <w:sz w:val="20"/>
        </w:rPr>
        <w:t xml:space="preserve"> </w:t>
      </w:r>
      <w:r w:rsidR="00C21B83" w:rsidRPr="002E710B">
        <w:rPr>
          <w:rFonts w:ascii="Century Gothic" w:hAnsi="Century Gothic"/>
          <w:b/>
          <w:sz w:val="20"/>
        </w:rPr>
        <w:t>Intereses</w:t>
      </w:r>
      <w:r w:rsidRPr="002E710B">
        <w:rPr>
          <w:rFonts w:ascii="Century Gothic" w:hAnsi="Century Gothic"/>
          <w:b/>
          <w:sz w:val="20"/>
        </w:rPr>
        <w:t>.</w:t>
      </w:r>
    </w:p>
    <w:p w:rsidR="00BF2889" w:rsidRPr="002E710B" w:rsidRDefault="00BF2889">
      <w:pPr>
        <w:ind w:left="360"/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BF2889" w:rsidRPr="002E710B" w:rsidRDefault="00BF2889">
      <w:pPr>
        <w:jc w:val="both"/>
        <w:rPr>
          <w:rFonts w:ascii="Century Gothic" w:hAnsi="Century Gothic"/>
          <w:snapToGrid w:val="0"/>
          <w:sz w:val="20"/>
          <w:lang w:eastAsia="en-US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t>De nuestra mayor consideración:</w:t>
      </w:r>
    </w:p>
    <w:p w:rsidR="00BF2889" w:rsidRPr="002E710B" w:rsidRDefault="00BF2889">
      <w:pPr>
        <w:ind w:left="360"/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BF2889" w:rsidRPr="002E710B" w:rsidRDefault="00BF2889">
      <w:pPr>
        <w:jc w:val="both"/>
        <w:rPr>
          <w:rFonts w:ascii="Century Gothic" w:hAnsi="Century Gothic"/>
          <w:sz w:val="20"/>
        </w:rPr>
      </w:pPr>
      <w:r w:rsidRPr="002E710B">
        <w:rPr>
          <w:rFonts w:ascii="Century Gothic" w:hAnsi="Century Gothic"/>
          <w:sz w:val="20"/>
        </w:rPr>
        <w:t xml:space="preserve">Nos dirigimos a </w:t>
      </w:r>
      <w:r w:rsidRPr="00B85FD1">
        <w:rPr>
          <w:rFonts w:ascii="Century Gothic" w:hAnsi="Century Gothic"/>
          <w:sz w:val="20"/>
        </w:rPr>
        <w:t>Ud. por medio de la presente a efe</w:t>
      </w:r>
      <w:r w:rsidR="002E710B" w:rsidRPr="00B85FD1">
        <w:rPr>
          <w:rFonts w:ascii="Century Gothic" w:hAnsi="Century Gothic"/>
          <w:sz w:val="20"/>
        </w:rPr>
        <w:t xml:space="preserve">ctos de comunicarle que el día </w:t>
      </w:r>
      <w:r w:rsidR="00207818">
        <w:rPr>
          <w:rFonts w:ascii="Century Gothic" w:hAnsi="Century Gothic"/>
          <w:b/>
          <w:sz w:val="20"/>
        </w:rPr>
        <w:t>9</w:t>
      </w:r>
      <w:r w:rsidR="002E710B" w:rsidRPr="00B85FD1">
        <w:rPr>
          <w:rFonts w:ascii="Century Gothic" w:hAnsi="Century Gothic"/>
          <w:b/>
          <w:sz w:val="20"/>
        </w:rPr>
        <w:t xml:space="preserve"> de </w:t>
      </w:r>
      <w:r w:rsidR="00B578E3">
        <w:rPr>
          <w:rFonts w:ascii="Century Gothic" w:hAnsi="Century Gothic"/>
          <w:b/>
          <w:sz w:val="20"/>
        </w:rPr>
        <w:t>Juni</w:t>
      </w:r>
      <w:r w:rsidR="00207818">
        <w:rPr>
          <w:rFonts w:ascii="Century Gothic" w:hAnsi="Century Gothic"/>
          <w:b/>
          <w:sz w:val="20"/>
        </w:rPr>
        <w:t>o</w:t>
      </w:r>
      <w:r w:rsidR="00B53277">
        <w:rPr>
          <w:rFonts w:ascii="Century Gothic" w:hAnsi="Century Gothic"/>
          <w:b/>
          <w:sz w:val="20"/>
        </w:rPr>
        <w:t xml:space="preserve"> </w:t>
      </w:r>
      <w:r w:rsidR="002E710B" w:rsidRPr="00B85FD1">
        <w:rPr>
          <w:rFonts w:ascii="Century Gothic" w:hAnsi="Century Gothic"/>
          <w:b/>
          <w:sz w:val="20"/>
        </w:rPr>
        <w:t>de 20</w:t>
      </w:r>
      <w:r w:rsidR="00207818">
        <w:rPr>
          <w:rFonts w:ascii="Century Gothic" w:hAnsi="Century Gothic"/>
          <w:b/>
          <w:sz w:val="20"/>
        </w:rPr>
        <w:t>21</w:t>
      </w:r>
      <w:r w:rsidR="002E710B" w:rsidRPr="00B85FD1">
        <w:rPr>
          <w:rFonts w:ascii="Century Gothic" w:hAnsi="Century Gothic"/>
          <w:b/>
          <w:sz w:val="20"/>
        </w:rPr>
        <w:t xml:space="preserve"> </w:t>
      </w:r>
      <w:r w:rsidRPr="00B85FD1">
        <w:rPr>
          <w:rFonts w:ascii="Century Gothic" w:hAnsi="Century Gothic"/>
          <w:sz w:val="20"/>
        </w:rPr>
        <w:t>Compañía Financiera</w:t>
      </w:r>
      <w:r w:rsidRPr="002E710B">
        <w:rPr>
          <w:rFonts w:ascii="Century Gothic" w:hAnsi="Century Gothic"/>
          <w:sz w:val="20"/>
        </w:rPr>
        <w:t xml:space="preserve"> Argentina S.A. (en adelante la “Sociedad”) pagará el servicio de</w:t>
      </w:r>
      <w:r w:rsidR="00DB5733">
        <w:rPr>
          <w:rFonts w:ascii="Century Gothic" w:hAnsi="Century Gothic"/>
          <w:sz w:val="20"/>
        </w:rPr>
        <w:t xml:space="preserve"> </w:t>
      </w:r>
      <w:r w:rsidRPr="002E710B">
        <w:rPr>
          <w:rFonts w:ascii="Century Gothic" w:hAnsi="Century Gothic"/>
          <w:sz w:val="20"/>
        </w:rPr>
        <w:t xml:space="preserve">intereses correspondientes a las Obligaciones Negociables </w:t>
      </w:r>
      <w:r w:rsidR="006F1607">
        <w:rPr>
          <w:rFonts w:ascii="Century Gothic" w:hAnsi="Century Gothic"/>
          <w:sz w:val="20"/>
        </w:rPr>
        <w:t xml:space="preserve">Clase </w:t>
      </w:r>
      <w:r w:rsidR="00C379FB">
        <w:rPr>
          <w:rFonts w:ascii="Century Gothic" w:hAnsi="Century Gothic"/>
          <w:sz w:val="20"/>
        </w:rPr>
        <w:t>X</w:t>
      </w:r>
      <w:r w:rsidR="00C32A50">
        <w:rPr>
          <w:rFonts w:ascii="Century Gothic" w:hAnsi="Century Gothic"/>
          <w:sz w:val="20"/>
        </w:rPr>
        <w:t>X</w:t>
      </w:r>
      <w:r w:rsidR="00007A07">
        <w:rPr>
          <w:rFonts w:ascii="Century Gothic" w:hAnsi="Century Gothic"/>
          <w:sz w:val="20"/>
        </w:rPr>
        <w:t>I</w:t>
      </w:r>
      <w:r w:rsidR="00207818">
        <w:rPr>
          <w:rFonts w:ascii="Century Gothic" w:hAnsi="Century Gothic"/>
          <w:sz w:val="20"/>
        </w:rPr>
        <w:t>I</w:t>
      </w:r>
      <w:r w:rsidR="00CE54C2">
        <w:rPr>
          <w:rFonts w:ascii="Century Gothic" w:hAnsi="Century Gothic"/>
          <w:sz w:val="20"/>
        </w:rPr>
        <w:t>I</w:t>
      </w:r>
      <w:r w:rsidR="00F07DD5">
        <w:rPr>
          <w:rFonts w:ascii="Century Gothic" w:hAnsi="Century Gothic"/>
          <w:sz w:val="20"/>
        </w:rPr>
        <w:t xml:space="preserve"> </w:t>
      </w:r>
      <w:r w:rsidRPr="002E710B">
        <w:rPr>
          <w:rFonts w:ascii="Century Gothic" w:hAnsi="Century Gothic"/>
          <w:sz w:val="20"/>
        </w:rPr>
        <w:t xml:space="preserve">Serie </w:t>
      </w:r>
      <w:r w:rsidR="00C379FB">
        <w:rPr>
          <w:rFonts w:ascii="Century Gothic" w:hAnsi="Century Gothic"/>
          <w:sz w:val="20"/>
        </w:rPr>
        <w:t>1</w:t>
      </w:r>
      <w:r w:rsidRPr="002E710B">
        <w:rPr>
          <w:rFonts w:ascii="Century Gothic" w:hAnsi="Century Gothic"/>
          <w:sz w:val="20"/>
        </w:rPr>
        <w:t xml:space="preserve"> por $ </w:t>
      </w:r>
      <w:r w:rsidR="00207818">
        <w:rPr>
          <w:rFonts w:ascii="Century Gothic" w:hAnsi="Century Gothic"/>
          <w:sz w:val="20"/>
        </w:rPr>
        <w:t>450.000.000.-</w:t>
      </w:r>
      <w:r w:rsidRPr="002E710B">
        <w:rPr>
          <w:rFonts w:ascii="Century Gothic" w:hAnsi="Century Gothic"/>
          <w:sz w:val="20"/>
        </w:rPr>
        <w:t xml:space="preserve"> </w:t>
      </w:r>
      <w:r w:rsidR="00207818">
        <w:rPr>
          <w:rFonts w:ascii="Century Gothic" w:hAnsi="Century Gothic"/>
          <w:sz w:val="20"/>
          <w:lang w:val="es-ES"/>
        </w:rPr>
        <w:t>con vencimiento en el año 2021</w:t>
      </w:r>
      <w:r w:rsidRPr="002E710B">
        <w:rPr>
          <w:rFonts w:ascii="Century Gothic" w:hAnsi="Century Gothic"/>
          <w:sz w:val="20"/>
          <w:lang w:val="es-ES"/>
        </w:rPr>
        <w:t xml:space="preserve">, </w:t>
      </w:r>
      <w:r w:rsidRPr="00F07DD5">
        <w:rPr>
          <w:rFonts w:ascii="Century Gothic" w:hAnsi="Century Gothic"/>
          <w:b/>
          <w:sz w:val="20"/>
          <w:lang w:val="es-ES"/>
        </w:rPr>
        <w:t>C</w:t>
      </w:r>
      <w:r w:rsidRPr="002E710B">
        <w:rPr>
          <w:rFonts w:ascii="Century Gothic" w:hAnsi="Century Gothic"/>
          <w:b/>
          <w:sz w:val="20"/>
          <w:lang w:val="es-ES"/>
        </w:rPr>
        <w:t xml:space="preserve">ódigo de Especie en Caja de Valores </w:t>
      </w:r>
      <w:r w:rsidRPr="005B2A92">
        <w:rPr>
          <w:rFonts w:ascii="Century Gothic" w:hAnsi="Century Gothic"/>
          <w:b/>
          <w:color w:val="000000" w:themeColor="text1"/>
          <w:sz w:val="20"/>
          <w:lang w:val="es-ES"/>
        </w:rPr>
        <w:t xml:space="preserve">SA Nº </w:t>
      </w:r>
      <w:r w:rsidR="00C32A50" w:rsidRPr="005B2A92">
        <w:rPr>
          <w:rFonts w:ascii="Century Gothic" w:hAnsi="Century Gothic"/>
          <w:b/>
          <w:color w:val="000000" w:themeColor="text1"/>
          <w:sz w:val="20"/>
          <w:lang w:val="es-ES"/>
        </w:rPr>
        <w:t>5</w:t>
      </w:r>
      <w:r w:rsidR="000F7F3F">
        <w:rPr>
          <w:rFonts w:ascii="Century Gothic" w:hAnsi="Century Gothic"/>
          <w:b/>
          <w:color w:val="000000" w:themeColor="text1"/>
          <w:sz w:val="20"/>
          <w:lang w:val="es-ES"/>
        </w:rPr>
        <w:t>5063</w:t>
      </w:r>
      <w:r w:rsidRPr="005B2A92">
        <w:rPr>
          <w:rFonts w:ascii="Century Gothic" w:hAnsi="Century Gothic"/>
          <w:color w:val="000000" w:themeColor="text1"/>
          <w:sz w:val="20"/>
          <w:lang w:val="es-ES"/>
        </w:rPr>
        <w:t xml:space="preserve">, </w:t>
      </w:r>
      <w:r w:rsidR="00F07DD5" w:rsidRPr="009C3411">
        <w:rPr>
          <w:rFonts w:ascii="Century Gothic" w:hAnsi="Century Gothic"/>
          <w:sz w:val="20"/>
          <w:lang w:val="es-ES"/>
        </w:rPr>
        <w:t xml:space="preserve">emitidas </w:t>
      </w:r>
      <w:r w:rsidR="00F07DD5" w:rsidRPr="009C3411">
        <w:rPr>
          <w:rFonts w:ascii="Century Gothic" w:hAnsi="Century Gothic"/>
          <w:sz w:val="20"/>
        </w:rPr>
        <w:t>bajo el Programa Global de Emisión de Obligaciones Negociables Simples, a Corto, Mediano y/o Largo Plazo, por un monto máximo en circulación de hasta U$S250.000.000, o su equivalente en otras monedas</w:t>
      </w:r>
      <w:r w:rsidRPr="002E710B">
        <w:rPr>
          <w:rFonts w:ascii="Century Gothic" w:hAnsi="Century Gothic"/>
          <w:sz w:val="20"/>
        </w:rPr>
        <w:t xml:space="preserve">, actuando la Sociedad como agente de cálculo. </w:t>
      </w:r>
    </w:p>
    <w:p w:rsidR="00BF2889" w:rsidRPr="002E710B" w:rsidRDefault="00BF2889">
      <w:pPr>
        <w:pStyle w:val="Textoindependiente"/>
        <w:rPr>
          <w:rFonts w:ascii="Century Gothic" w:hAnsi="Century Gothic"/>
          <w:sz w:val="20"/>
        </w:rPr>
      </w:pPr>
    </w:p>
    <w:p w:rsidR="00071AD5" w:rsidRPr="002E710B" w:rsidRDefault="00071AD5" w:rsidP="00071AD5">
      <w:pPr>
        <w:jc w:val="center"/>
        <w:rPr>
          <w:rFonts w:ascii="Century Gothic" w:hAnsi="Century Gothic"/>
          <w:b/>
          <w:snapToGrid w:val="0"/>
          <w:sz w:val="20"/>
          <w:u w:val="single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 xml:space="preserve">Obligaciones Negociables </w:t>
      </w:r>
      <w:r>
        <w:rPr>
          <w:rFonts w:ascii="Century Gothic" w:hAnsi="Century Gothic"/>
          <w:b/>
          <w:snapToGrid w:val="0"/>
          <w:sz w:val="20"/>
          <w:u w:val="single"/>
          <w:lang w:eastAsia="en-US"/>
        </w:rPr>
        <w:t>Clase X</w:t>
      </w:r>
      <w:r w:rsidR="0022693C">
        <w:rPr>
          <w:rFonts w:ascii="Century Gothic" w:hAnsi="Century Gothic"/>
          <w:b/>
          <w:snapToGrid w:val="0"/>
          <w:sz w:val="20"/>
          <w:u w:val="single"/>
          <w:lang w:eastAsia="en-US"/>
        </w:rPr>
        <w:t>X</w:t>
      </w:r>
      <w:r w:rsidR="00957586">
        <w:rPr>
          <w:rFonts w:ascii="Century Gothic" w:hAnsi="Century Gothic"/>
          <w:b/>
          <w:snapToGrid w:val="0"/>
          <w:sz w:val="20"/>
          <w:u w:val="single"/>
          <w:lang w:eastAsia="en-US"/>
        </w:rPr>
        <w:t>I</w:t>
      </w:r>
      <w:r w:rsidR="00207818">
        <w:rPr>
          <w:rFonts w:ascii="Century Gothic" w:hAnsi="Century Gothic"/>
          <w:b/>
          <w:snapToGrid w:val="0"/>
          <w:sz w:val="20"/>
          <w:u w:val="single"/>
          <w:lang w:eastAsia="en-US"/>
        </w:rPr>
        <w:t>II</w:t>
      </w:r>
      <w:r>
        <w:rPr>
          <w:rFonts w:ascii="Century Gothic" w:hAnsi="Century Gothic"/>
          <w:b/>
          <w:snapToGrid w:val="0"/>
          <w:sz w:val="20"/>
          <w:u w:val="single"/>
          <w:lang w:eastAsia="en-US"/>
        </w:rPr>
        <w:t xml:space="preserve"> </w:t>
      </w: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 xml:space="preserve">Serie </w:t>
      </w:r>
      <w:r w:rsidR="00207818">
        <w:rPr>
          <w:rFonts w:ascii="Century Gothic" w:hAnsi="Century Gothic"/>
          <w:b/>
          <w:snapToGrid w:val="0"/>
          <w:sz w:val="20"/>
          <w:u w:val="single"/>
          <w:lang w:eastAsia="en-US"/>
        </w:rPr>
        <w:t>1</w:t>
      </w: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 xml:space="preserve"> por $ </w:t>
      </w:r>
      <w:r w:rsidR="00207818">
        <w:rPr>
          <w:rFonts w:ascii="Century Gothic" w:hAnsi="Century Gothic"/>
          <w:b/>
          <w:snapToGrid w:val="0"/>
          <w:sz w:val="20"/>
          <w:u w:val="single"/>
          <w:lang w:eastAsia="en-US"/>
        </w:rPr>
        <w:t>450.000.000.-</w:t>
      </w:r>
    </w:p>
    <w:p w:rsidR="00071AD5" w:rsidRDefault="00071AD5" w:rsidP="00071AD5">
      <w:pPr>
        <w:jc w:val="center"/>
        <w:rPr>
          <w:rFonts w:ascii="Century Gothic" w:hAnsi="Century Gothic"/>
          <w:b/>
          <w:snapToGrid w:val="0"/>
          <w:sz w:val="20"/>
          <w:u w:val="single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>con</w:t>
      </w:r>
      <w:r w:rsidR="00956791">
        <w:rPr>
          <w:rFonts w:ascii="Century Gothic" w:hAnsi="Century Gothic"/>
          <w:b/>
          <w:snapToGrid w:val="0"/>
          <w:sz w:val="20"/>
          <w:u w:val="single"/>
          <w:lang w:eastAsia="en-US"/>
        </w:rPr>
        <w:t xml:space="preserve"> vencimien</w:t>
      </w:r>
      <w:r w:rsidR="00207818">
        <w:rPr>
          <w:rFonts w:ascii="Century Gothic" w:hAnsi="Century Gothic"/>
          <w:b/>
          <w:snapToGrid w:val="0"/>
          <w:sz w:val="20"/>
          <w:u w:val="single"/>
          <w:lang w:eastAsia="en-US"/>
        </w:rPr>
        <w:t>to en el año 2021</w:t>
      </w:r>
    </w:p>
    <w:p w:rsidR="00071AD5" w:rsidRPr="002E710B" w:rsidRDefault="00071AD5" w:rsidP="00071AD5">
      <w:pPr>
        <w:jc w:val="center"/>
        <w:rPr>
          <w:rFonts w:ascii="Century Gothic" w:hAnsi="Century Gothic"/>
          <w:b/>
          <w:snapToGrid w:val="0"/>
          <w:sz w:val="20"/>
          <w:u w:val="single"/>
          <w:lang w:eastAsia="en-US"/>
        </w:rPr>
      </w:pPr>
    </w:p>
    <w:p w:rsidR="00071AD5" w:rsidRPr="002E710B" w:rsidRDefault="00071AD5" w:rsidP="00071AD5">
      <w:pPr>
        <w:pStyle w:val="Ttulo4"/>
        <w:rPr>
          <w:rFonts w:ascii="Century Gothic" w:hAnsi="Century Gothic"/>
          <w:color w:val="auto"/>
          <w:sz w:val="20"/>
        </w:rPr>
      </w:pPr>
      <w:r w:rsidRPr="00ED043D">
        <w:rPr>
          <w:rFonts w:ascii="Century Gothic" w:hAnsi="Century Gothic"/>
          <w:color w:val="auto"/>
          <w:sz w:val="20"/>
        </w:rPr>
        <w:t xml:space="preserve">CODIGO: </w:t>
      </w:r>
      <w:r w:rsidR="000F7F3F">
        <w:rPr>
          <w:rFonts w:ascii="Century Gothic" w:hAnsi="Century Gothic"/>
          <w:color w:val="auto"/>
          <w:sz w:val="20"/>
        </w:rPr>
        <w:t>55063</w:t>
      </w:r>
    </w:p>
    <w:p w:rsidR="00071AD5" w:rsidRPr="002E710B" w:rsidRDefault="00071AD5" w:rsidP="00071AD5">
      <w:pPr>
        <w:ind w:left="1440" w:hanging="731"/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071AD5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>Domicilio donde se efectuará el pago</w:t>
      </w:r>
      <w:r w:rsidRPr="002E710B">
        <w:rPr>
          <w:rFonts w:ascii="Century Gothic" w:hAnsi="Century Gothic"/>
          <w:b/>
          <w:snapToGrid w:val="0"/>
          <w:sz w:val="20"/>
          <w:lang w:eastAsia="en-US"/>
        </w:rPr>
        <w:t>: Caja de Valores S.A., 25 de mayo 362, Ciudad de Buenos Aires.</w:t>
      </w:r>
    </w:p>
    <w:p w:rsidR="00071AD5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>Horario dentro del cual se efectuará el pago</w:t>
      </w:r>
      <w:r w:rsidRPr="002E710B">
        <w:rPr>
          <w:rFonts w:ascii="Century Gothic" w:hAnsi="Century Gothic"/>
          <w:b/>
          <w:snapToGrid w:val="0"/>
          <w:sz w:val="20"/>
          <w:lang w:eastAsia="en-US"/>
        </w:rPr>
        <w:t>: Horario bancario.</w:t>
      </w:r>
    </w:p>
    <w:p w:rsidR="00071AD5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 w:rsidRPr="002E710B">
        <w:rPr>
          <w:rFonts w:ascii="Century Gothic" w:hAnsi="Century Gothic"/>
          <w:b/>
          <w:snapToGrid w:val="0"/>
          <w:sz w:val="20"/>
          <w:u w:val="single"/>
          <w:lang w:eastAsia="en-US"/>
        </w:rPr>
        <w:t>Fecha en que se efectuará el pago</w:t>
      </w:r>
      <w:r w:rsidRPr="002E710B">
        <w:rPr>
          <w:rFonts w:ascii="Century Gothic" w:hAnsi="Century Gothic"/>
          <w:b/>
          <w:snapToGrid w:val="0"/>
          <w:sz w:val="20"/>
          <w:lang w:eastAsia="en-US"/>
        </w:rPr>
        <w:t xml:space="preserve">: </w:t>
      </w:r>
      <w:r w:rsidR="00207818">
        <w:rPr>
          <w:rFonts w:ascii="Century Gothic" w:hAnsi="Century Gothic"/>
          <w:b/>
          <w:snapToGrid w:val="0"/>
          <w:sz w:val="20"/>
          <w:lang w:eastAsia="en-US"/>
        </w:rPr>
        <w:t>9</w:t>
      </w:r>
      <w:r w:rsidR="00D23F01" w:rsidRPr="00B85FD1">
        <w:rPr>
          <w:rFonts w:ascii="Century Gothic" w:hAnsi="Century Gothic"/>
          <w:b/>
          <w:snapToGrid w:val="0"/>
          <w:sz w:val="20"/>
          <w:lang w:eastAsia="en-US"/>
        </w:rPr>
        <w:t xml:space="preserve"> de</w:t>
      </w:r>
      <w:r w:rsidR="00D23F01">
        <w:rPr>
          <w:rFonts w:ascii="Century Gothic" w:hAnsi="Century Gothic"/>
          <w:b/>
          <w:snapToGrid w:val="0"/>
          <w:sz w:val="20"/>
          <w:lang w:eastAsia="en-US"/>
        </w:rPr>
        <w:t xml:space="preserve"> 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Juni</w:t>
      </w:r>
      <w:r w:rsidR="00207818">
        <w:rPr>
          <w:rFonts w:ascii="Century Gothic" w:hAnsi="Century Gothic"/>
          <w:b/>
          <w:snapToGrid w:val="0"/>
          <w:sz w:val="20"/>
          <w:lang w:eastAsia="en-US"/>
        </w:rPr>
        <w:t>o de 2021</w:t>
      </w:r>
      <w:r w:rsidR="00D23F01">
        <w:rPr>
          <w:rFonts w:ascii="Century Gothic" w:hAnsi="Century Gothic"/>
          <w:b/>
          <w:snapToGrid w:val="0"/>
          <w:sz w:val="20"/>
          <w:lang w:eastAsia="en-US"/>
        </w:rPr>
        <w:t>.</w:t>
      </w:r>
    </w:p>
    <w:p w:rsidR="00071AD5" w:rsidRPr="00F61B91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 w:rsidRPr="00B85FD1">
        <w:rPr>
          <w:rFonts w:ascii="Century Gothic" w:hAnsi="Century Gothic"/>
          <w:b/>
          <w:snapToGrid w:val="0"/>
          <w:sz w:val="20"/>
          <w:u w:val="single"/>
          <w:lang w:eastAsia="en-US"/>
        </w:rPr>
        <w:t>Tasa de Interés Conforme Condiciones de Emisión</w:t>
      </w:r>
      <w:r w:rsidRPr="00B85FD1">
        <w:rPr>
          <w:rFonts w:ascii="Century Gothic" w:hAnsi="Century Gothic"/>
          <w:b/>
          <w:snapToGrid w:val="0"/>
          <w:sz w:val="20"/>
          <w:lang w:eastAsia="en-US"/>
        </w:rPr>
        <w:t xml:space="preserve">: </w:t>
      </w:r>
      <w:r w:rsidR="00207818">
        <w:rPr>
          <w:rFonts w:ascii="Century Gothic" w:hAnsi="Century Gothic"/>
          <w:b/>
          <w:i/>
          <w:iCs/>
          <w:snapToGrid w:val="0"/>
          <w:sz w:val="20"/>
          <w:lang w:eastAsia="en-US"/>
        </w:rPr>
        <w:t>42</w:t>
      </w:r>
      <w:r w:rsidR="00D23F01">
        <w:rPr>
          <w:rFonts w:ascii="Century Gothic" w:hAnsi="Century Gothic"/>
          <w:b/>
          <w:i/>
          <w:iCs/>
          <w:snapToGrid w:val="0"/>
          <w:sz w:val="20"/>
          <w:lang w:eastAsia="en-US"/>
        </w:rPr>
        <w:t>,</w:t>
      </w:r>
      <w:r w:rsidR="00CE54C2">
        <w:rPr>
          <w:rFonts w:ascii="Century Gothic" w:hAnsi="Century Gothic"/>
          <w:b/>
          <w:i/>
          <w:iCs/>
          <w:snapToGrid w:val="0"/>
          <w:sz w:val="20"/>
          <w:lang w:eastAsia="en-US"/>
        </w:rPr>
        <w:t>0000000</w:t>
      </w:r>
      <w:r w:rsidR="00D23F01" w:rsidRPr="00DA4412">
        <w:rPr>
          <w:rFonts w:ascii="Century Gothic" w:hAnsi="Century Gothic"/>
          <w:b/>
          <w:i/>
          <w:iCs/>
          <w:snapToGrid w:val="0"/>
          <w:sz w:val="20"/>
          <w:lang w:eastAsia="en-US"/>
        </w:rPr>
        <w:t xml:space="preserve"> </w:t>
      </w:r>
      <w:r w:rsidRPr="00B85FD1">
        <w:rPr>
          <w:rFonts w:ascii="Century Gothic" w:hAnsi="Century Gothic"/>
          <w:b/>
          <w:i/>
          <w:iCs/>
          <w:snapToGrid w:val="0"/>
          <w:sz w:val="20"/>
          <w:lang w:eastAsia="en-US"/>
        </w:rPr>
        <w:t>(%)</w:t>
      </w:r>
    </w:p>
    <w:p w:rsidR="00071AD5" w:rsidRPr="00B85FD1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0"/>
          <w:lang w:eastAsia="es-AR"/>
        </w:rPr>
      </w:pPr>
      <w:r>
        <w:rPr>
          <w:rFonts w:ascii="Century Gothic" w:hAnsi="Century Gothic"/>
          <w:b/>
          <w:i/>
          <w:iCs/>
          <w:snapToGrid w:val="0"/>
          <w:sz w:val="20"/>
          <w:u w:val="single"/>
          <w:lang w:eastAsia="en-US"/>
        </w:rPr>
        <w:t>Porcentaje</w:t>
      </w:r>
      <w:r w:rsidRPr="00B85FD1">
        <w:rPr>
          <w:rFonts w:ascii="Century Gothic" w:hAnsi="Century Gothic"/>
          <w:b/>
          <w:i/>
          <w:iCs/>
          <w:snapToGrid w:val="0"/>
          <w:sz w:val="20"/>
          <w:u w:val="single"/>
          <w:lang w:eastAsia="en-US"/>
        </w:rPr>
        <w:t xml:space="preserve"> de Interés Aplicable al Período</w:t>
      </w:r>
      <w:r w:rsidRPr="00B85FD1">
        <w:rPr>
          <w:rFonts w:ascii="Century Gothic" w:hAnsi="Century Gothic"/>
          <w:b/>
          <w:i/>
          <w:iCs/>
          <w:snapToGrid w:val="0"/>
          <w:sz w:val="20"/>
          <w:lang w:eastAsia="en-US"/>
        </w:rPr>
        <w:t xml:space="preserve">: </w:t>
      </w:r>
      <w:r w:rsidR="00207818">
        <w:rPr>
          <w:rFonts w:ascii="Century Gothic" w:hAnsi="Century Gothic"/>
          <w:b/>
          <w:i/>
          <w:iCs/>
          <w:snapToGrid w:val="0"/>
          <w:sz w:val="20"/>
          <w:lang w:eastAsia="en-US"/>
        </w:rPr>
        <w:t>10</w:t>
      </w:r>
      <w:r w:rsidR="00D23F01" w:rsidRPr="00DA4412">
        <w:rPr>
          <w:rFonts w:ascii="Century Gothic" w:hAnsi="Century Gothic"/>
          <w:b/>
          <w:i/>
          <w:iCs/>
          <w:snapToGrid w:val="0"/>
          <w:sz w:val="20"/>
          <w:lang w:eastAsia="en-US"/>
        </w:rPr>
        <w:t>,</w:t>
      </w:r>
      <w:r w:rsidR="00B578E3">
        <w:rPr>
          <w:rFonts w:ascii="Century Gothic" w:hAnsi="Century Gothic"/>
          <w:b/>
          <w:i/>
          <w:iCs/>
          <w:snapToGrid w:val="0"/>
          <w:sz w:val="20"/>
          <w:lang w:eastAsia="en-US"/>
        </w:rPr>
        <w:t>58630137</w:t>
      </w:r>
      <w:r w:rsidR="00D23F01">
        <w:rPr>
          <w:rFonts w:ascii="Century Gothic" w:hAnsi="Century Gothic"/>
          <w:b/>
          <w:i/>
          <w:iCs/>
          <w:snapToGrid w:val="0"/>
          <w:sz w:val="20"/>
          <w:lang w:eastAsia="en-US"/>
        </w:rPr>
        <w:t xml:space="preserve"> </w:t>
      </w:r>
      <w:r w:rsidRPr="00B85FD1">
        <w:rPr>
          <w:rFonts w:ascii="Century Gothic" w:hAnsi="Century Gothic"/>
          <w:b/>
          <w:i/>
          <w:iCs/>
          <w:snapToGrid w:val="0"/>
          <w:sz w:val="20"/>
          <w:lang w:eastAsia="en-US"/>
        </w:rPr>
        <w:t>(%)</w:t>
      </w:r>
    </w:p>
    <w:p w:rsidR="00071AD5" w:rsidRPr="00DA4412" w:rsidRDefault="00071AD5" w:rsidP="00071AD5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bCs/>
          <w:sz w:val="20"/>
          <w:lang w:eastAsia="es-AR"/>
        </w:rPr>
      </w:pPr>
      <w:r w:rsidRPr="00B85FD1">
        <w:rPr>
          <w:rFonts w:ascii="Century Gothic" w:hAnsi="Century Gothic"/>
          <w:b/>
          <w:snapToGrid w:val="0"/>
          <w:sz w:val="20"/>
          <w:u w:val="single"/>
          <w:lang w:eastAsia="en-US"/>
        </w:rPr>
        <w:t>Monto total de intereses a abonar:</w:t>
      </w:r>
      <w:r>
        <w:rPr>
          <w:rFonts w:ascii="Century Gothic" w:hAnsi="Century Gothic"/>
          <w:b/>
          <w:snapToGrid w:val="0"/>
          <w:sz w:val="20"/>
          <w:lang w:eastAsia="en-US"/>
        </w:rPr>
        <w:t xml:space="preserve"> </w:t>
      </w:r>
      <w:r w:rsidR="00D23F01" w:rsidRPr="00DA4412">
        <w:rPr>
          <w:rFonts w:ascii="Century Gothic" w:hAnsi="Century Gothic"/>
          <w:b/>
          <w:snapToGrid w:val="0"/>
          <w:sz w:val="20"/>
          <w:lang w:eastAsia="en-US"/>
        </w:rPr>
        <w:t xml:space="preserve">$ </w:t>
      </w:r>
      <w:r w:rsidR="008B7A58">
        <w:rPr>
          <w:rFonts w:ascii="Century Gothic" w:hAnsi="Century Gothic"/>
          <w:b/>
          <w:snapToGrid w:val="0"/>
          <w:sz w:val="20"/>
          <w:lang w:eastAsia="en-US"/>
        </w:rPr>
        <w:t>4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7</w:t>
      </w:r>
      <w:r w:rsidR="00D23F01" w:rsidRPr="00DA4412">
        <w:rPr>
          <w:rFonts w:ascii="Century Gothic" w:hAnsi="Century Gothic"/>
          <w:b/>
          <w:snapToGrid w:val="0"/>
          <w:sz w:val="20"/>
          <w:lang w:eastAsia="en-US"/>
        </w:rPr>
        <w:t>.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638</w:t>
      </w:r>
      <w:r w:rsidR="00D23F01" w:rsidRPr="00DA4412">
        <w:rPr>
          <w:rFonts w:ascii="Century Gothic" w:hAnsi="Century Gothic"/>
          <w:b/>
          <w:snapToGrid w:val="0"/>
          <w:sz w:val="20"/>
          <w:lang w:eastAsia="en-US"/>
        </w:rPr>
        <w:t>.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356</w:t>
      </w:r>
      <w:r w:rsidR="00D23F01" w:rsidRPr="00DA4412">
        <w:rPr>
          <w:rFonts w:ascii="Century Gothic" w:hAnsi="Century Gothic"/>
          <w:b/>
          <w:snapToGrid w:val="0"/>
          <w:sz w:val="20"/>
          <w:lang w:eastAsia="en-US"/>
        </w:rPr>
        <w:t>,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16</w:t>
      </w:r>
      <w:r w:rsidR="00D23F01" w:rsidRPr="00DA4412">
        <w:rPr>
          <w:rFonts w:ascii="Century Gothic" w:hAnsi="Century Gothic"/>
          <w:b/>
          <w:snapToGrid w:val="0"/>
          <w:sz w:val="20"/>
          <w:lang w:eastAsia="en-US"/>
        </w:rPr>
        <w:t>.-</w:t>
      </w:r>
    </w:p>
    <w:p w:rsidR="00071AD5" w:rsidRPr="00B85FD1" w:rsidRDefault="00071AD5" w:rsidP="00071AD5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b/>
          <w:snapToGrid w:val="0"/>
          <w:sz w:val="20"/>
          <w:lang w:eastAsia="en-US"/>
        </w:rPr>
      </w:pPr>
      <w:r w:rsidRPr="00B85FD1">
        <w:rPr>
          <w:rFonts w:ascii="Century Gothic" w:hAnsi="Century Gothic"/>
          <w:b/>
          <w:snapToGrid w:val="0"/>
          <w:sz w:val="20"/>
          <w:u w:val="single"/>
          <w:lang w:eastAsia="en-US"/>
        </w:rPr>
        <w:t>Período al que corresponde el pago:</w:t>
      </w:r>
      <w:r w:rsidRPr="00B85FD1">
        <w:rPr>
          <w:rFonts w:ascii="Century Gothic" w:hAnsi="Century Gothic"/>
          <w:b/>
          <w:snapToGrid w:val="0"/>
          <w:sz w:val="20"/>
          <w:lang w:eastAsia="en-US"/>
        </w:rPr>
        <w:t xml:space="preserve"> </w:t>
      </w:r>
      <w:r w:rsidR="00D23F01" w:rsidRPr="00B85FD1">
        <w:rPr>
          <w:rFonts w:ascii="Century Gothic" w:hAnsi="Century Gothic"/>
          <w:b/>
          <w:snapToGrid w:val="0"/>
          <w:sz w:val="20"/>
          <w:lang w:eastAsia="en-US"/>
        </w:rPr>
        <w:t xml:space="preserve">Período iniciado el </w:t>
      </w:r>
      <w:r w:rsidR="00207818">
        <w:rPr>
          <w:rFonts w:ascii="Century Gothic" w:hAnsi="Century Gothic"/>
          <w:b/>
          <w:snapToGrid w:val="0"/>
          <w:sz w:val="20"/>
          <w:lang w:eastAsia="en-US"/>
        </w:rPr>
        <w:t>9</w:t>
      </w:r>
      <w:r w:rsidR="00D23F01" w:rsidRPr="00B85FD1">
        <w:rPr>
          <w:rFonts w:ascii="Century Gothic" w:hAnsi="Century Gothic"/>
          <w:b/>
          <w:snapToGrid w:val="0"/>
          <w:sz w:val="20"/>
          <w:lang w:eastAsia="en-US"/>
        </w:rPr>
        <w:t xml:space="preserve"> de 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Marzo</w:t>
      </w:r>
      <w:r w:rsidR="00207818">
        <w:rPr>
          <w:rFonts w:ascii="Century Gothic" w:hAnsi="Century Gothic"/>
          <w:b/>
          <w:snapToGrid w:val="0"/>
          <w:sz w:val="20"/>
          <w:lang w:eastAsia="en-US"/>
        </w:rPr>
        <w:t xml:space="preserve"> de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 xml:space="preserve"> 2021</w:t>
      </w:r>
      <w:r w:rsidR="00D23F01">
        <w:rPr>
          <w:rFonts w:ascii="Century Gothic" w:hAnsi="Century Gothic"/>
          <w:b/>
          <w:snapToGrid w:val="0"/>
          <w:sz w:val="20"/>
          <w:lang w:eastAsia="en-US"/>
        </w:rPr>
        <w:t xml:space="preserve"> y finalizado el  </w:t>
      </w:r>
      <w:r w:rsidR="00B578E3">
        <w:rPr>
          <w:rFonts w:ascii="Century Gothic" w:hAnsi="Century Gothic"/>
          <w:b/>
          <w:snapToGrid w:val="0"/>
          <w:sz w:val="20"/>
          <w:lang w:eastAsia="en-US"/>
        </w:rPr>
        <w:t>8 de Juni</w:t>
      </w:r>
      <w:r w:rsidR="00207818">
        <w:rPr>
          <w:rFonts w:ascii="Century Gothic" w:hAnsi="Century Gothic"/>
          <w:b/>
          <w:snapToGrid w:val="0"/>
          <w:sz w:val="20"/>
          <w:lang w:eastAsia="en-US"/>
        </w:rPr>
        <w:t>o de 2021</w:t>
      </w:r>
      <w:r w:rsidR="00D23F01" w:rsidRPr="00B85FD1">
        <w:rPr>
          <w:rFonts w:ascii="Century Gothic" w:hAnsi="Century Gothic"/>
          <w:b/>
          <w:snapToGrid w:val="0"/>
          <w:sz w:val="20"/>
          <w:lang w:eastAsia="en-US"/>
        </w:rPr>
        <w:t>.</w:t>
      </w:r>
    </w:p>
    <w:p w:rsidR="00435602" w:rsidRPr="002E710B" w:rsidRDefault="00435602" w:rsidP="00435602">
      <w:pPr>
        <w:jc w:val="both"/>
        <w:rPr>
          <w:rFonts w:ascii="Century Gothic" w:hAnsi="Century Gothic"/>
          <w:snapToGrid w:val="0"/>
          <w:sz w:val="20"/>
          <w:lang w:eastAsia="en-US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lastRenderedPageBreak/>
        <w:t>Conforme lo indicado por Uds., la S</w:t>
      </w:r>
      <w:r w:rsidR="003C72D5">
        <w:rPr>
          <w:rFonts w:ascii="Century Gothic" w:hAnsi="Century Gothic"/>
          <w:snapToGrid w:val="0"/>
          <w:sz w:val="20"/>
          <w:lang w:eastAsia="en-US"/>
        </w:rPr>
        <w:t>ociedad transferirá el monto de</w:t>
      </w:r>
      <w:r w:rsidR="00186D6D">
        <w:rPr>
          <w:rFonts w:ascii="Century Gothic" w:hAnsi="Century Gothic"/>
          <w:snapToGrid w:val="0"/>
          <w:sz w:val="20"/>
          <w:lang w:eastAsia="en-US"/>
        </w:rPr>
        <w:t xml:space="preserve"> </w:t>
      </w:r>
      <w:r w:rsidRPr="002E710B">
        <w:rPr>
          <w:rFonts w:ascii="Century Gothic" w:hAnsi="Century Gothic"/>
          <w:snapToGrid w:val="0"/>
          <w:sz w:val="20"/>
          <w:lang w:eastAsia="en-US"/>
        </w:rPr>
        <w:t xml:space="preserve">intereses a abonarse a la cuenta que Caja de Valores S.A. mantiene con el Banco Central de la República Argentina </w:t>
      </w:r>
      <w:r w:rsidRPr="00E108D5">
        <w:rPr>
          <w:rFonts w:ascii="Century Gothic" w:hAnsi="Century Gothic"/>
          <w:snapToGrid w:val="0"/>
          <w:sz w:val="20"/>
          <w:lang w:eastAsia="en-US"/>
        </w:rPr>
        <w:t>Nº 901.-</w:t>
      </w:r>
    </w:p>
    <w:p w:rsidR="00435602" w:rsidRPr="002E710B" w:rsidRDefault="00435602" w:rsidP="00435602">
      <w:pPr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C379FB" w:rsidRPr="003A439B" w:rsidRDefault="00435602">
      <w:pPr>
        <w:jc w:val="both"/>
        <w:rPr>
          <w:rFonts w:ascii="Century Gothic" w:hAnsi="Century Gothic"/>
          <w:sz w:val="20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t xml:space="preserve">Sin otro particular, saluda a Ud. muy atentamente, </w:t>
      </w:r>
    </w:p>
    <w:p w:rsidR="00071AD5" w:rsidRDefault="00071AD5" w:rsidP="00071AD5">
      <w:pPr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DB5733" w:rsidRDefault="00DB5733" w:rsidP="00071AD5">
      <w:pPr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3A439B" w:rsidRDefault="003A439B" w:rsidP="00071AD5">
      <w:pPr>
        <w:jc w:val="both"/>
        <w:rPr>
          <w:rFonts w:ascii="Century Gothic" w:hAnsi="Century Gothic"/>
          <w:snapToGrid w:val="0"/>
          <w:sz w:val="20"/>
          <w:lang w:eastAsia="en-US"/>
        </w:rPr>
      </w:pPr>
    </w:p>
    <w:p w:rsidR="00071AD5" w:rsidRPr="002E710B" w:rsidRDefault="00071AD5" w:rsidP="00071AD5">
      <w:pPr>
        <w:jc w:val="center"/>
        <w:rPr>
          <w:rFonts w:ascii="Century Gothic" w:hAnsi="Century Gothic"/>
          <w:snapToGrid w:val="0"/>
          <w:sz w:val="20"/>
          <w:lang w:eastAsia="en-US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t>Compañía Financiera Argentina S.A.</w:t>
      </w:r>
    </w:p>
    <w:p w:rsidR="00071AD5" w:rsidRDefault="00CE54C2" w:rsidP="00071AD5">
      <w:pPr>
        <w:jc w:val="center"/>
        <w:rPr>
          <w:rFonts w:ascii="Century Gothic" w:hAnsi="Century Gothic"/>
          <w:snapToGrid w:val="0"/>
          <w:sz w:val="20"/>
          <w:lang w:eastAsia="en-US"/>
        </w:rPr>
      </w:pPr>
      <w:r>
        <w:rPr>
          <w:rFonts w:ascii="Century Gothic" w:hAnsi="Century Gothic"/>
          <w:snapToGrid w:val="0"/>
          <w:sz w:val="20"/>
          <w:lang w:eastAsia="en-US"/>
        </w:rPr>
        <w:t>Gabriel Andriossi</w:t>
      </w:r>
    </w:p>
    <w:p w:rsidR="00C379FB" w:rsidRPr="002E710B" w:rsidRDefault="00071AD5" w:rsidP="00071AD5">
      <w:pPr>
        <w:jc w:val="center"/>
        <w:rPr>
          <w:rFonts w:ascii="Century Gothic" w:hAnsi="Century Gothic"/>
          <w:sz w:val="20"/>
        </w:rPr>
      </w:pPr>
      <w:r w:rsidRPr="002E710B">
        <w:rPr>
          <w:rFonts w:ascii="Century Gothic" w:hAnsi="Century Gothic"/>
          <w:snapToGrid w:val="0"/>
          <w:sz w:val="20"/>
          <w:lang w:eastAsia="en-US"/>
        </w:rPr>
        <w:t>Responsable de Relaciones con el Mercado</w:t>
      </w:r>
    </w:p>
    <w:sectPr w:rsidR="00C379FB" w:rsidRPr="002E710B" w:rsidSect="00C21B83">
      <w:pgSz w:w="12240" w:h="15840" w:code="1"/>
      <w:pgMar w:top="2090" w:right="1701" w:bottom="1134" w:left="85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E1" w:rsidRDefault="00445DE1">
      <w:r>
        <w:separator/>
      </w:r>
    </w:p>
  </w:endnote>
  <w:endnote w:type="continuationSeparator" w:id="0">
    <w:p w:rsidR="00445DE1" w:rsidRDefault="0044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E1" w:rsidRDefault="00445DE1">
      <w:r>
        <w:separator/>
      </w:r>
    </w:p>
  </w:footnote>
  <w:footnote w:type="continuationSeparator" w:id="0">
    <w:p w:rsidR="00445DE1" w:rsidRDefault="0044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D30"/>
    <w:multiLevelType w:val="hybridMultilevel"/>
    <w:tmpl w:val="DAFC8F8E"/>
    <w:lvl w:ilvl="0" w:tplc="B036A31C">
      <w:start w:val="4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AB1DE0"/>
    <w:multiLevelType w:val="hybridMultilevel"/>
    <w:tmpl w:val="AB403D28"/>
    <w:lvl w:ilvl="0" w:tplc="2FFE8B04">
      <w:start w:val="4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E6F44D4"/>
    <w:multiLevelType w:val="hybridMultilevel"/>
    <w:tmpl w:val="94AAD3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C6083"/>
    <w:multiLevelType w:val="hybridMultilevel"/>
    <w:tmpl w:val="7018C330"/>
    <w:lvl w:ilvl="0" w:tplc="50B483B0">
      <w:start w:val="4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62D2159"/>
    <w:multiLevelType w:val="hybridMultilevel"/>
    <w:tmpl w:val="FDCC2C56"/>
    <w:lvl w:ilvl="0" w:tplc="518A897C">
      <w:start w:val="4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AEE0A27"/>
    <w:multiLevelType w:val="hybridMultilevel"/>
    <w:tmpl w:val="3740FEA2"/>
    <w:lvl w:ilvl="0" w:tplc="5D8C4C9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B086132"/>
    <w:multiLevelType w:val="hybridMultilevel"/>
    <w:tmpl w:val="284E8C8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8308DB"/>
    <w:multiLevelType w:val="hybridMultilevel"/>
    <w:tmpl w:val="CE38F838"/>
    <w:lvl w:ilvl="0" w:tplc="0AF6EA44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26372E3"/>
    <w:multiLevelType w:val="hybridMultilevel"/>
    <w:tmpl w:val="64B8726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24070D"/>
    <w:multiLevelType w:val="hybridMultilevel"/>
    <w:tmpl w:val="54605D3A"/>
    <w:lvl w:ilvl="0" w:tplc="5598101C">
      <w:start w:val="5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BBC6095"/>
    <w:multiLevelType w:val="hybridMultilevel"/>
    <w:tmpl w:val="88E2C510"/>
    <w:lvl w:ilvl="0" w:tplc="104EC642">
      <w:start w:val="4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F4250C3"/>
    <w:multiLevelType w:val="hybridMultilevel"/>
    <w:tmpl w:val="95E4B37E"/>
    <w:lvl w:ilvl="0" w:tplc="D49AC120">
      <w:start w:val="5"/>
      <w:numFmt w:val="lowerLetter"/>
      <w:lvlText w:val="%1)"/>
      <w:lvlJc w:val="left"/>
      <w:pPr>
        <w:ind w:left="1504" w:hanging="360"/>
      </w:pPr>
      <w:rPr>
        <w:rFonts w:ascii="Century Gothic" w:hAnsi="Century Gothic" w:cs="Times New Roman"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2224" w:hanging="360"/>
      </w:pPr>
    </w:lvl>
    <w:lvl w:ilvl="2" w:tplc="2C0A001B" w:tentative="1">
      <w:start w:val="1"/>
      <w:numFmt w:val="lowerRoman"/>
      <w:lvlText w:val="%3."/>
      <w:lvlJc w:val="right"/>
      <w:pPr>
        <w:ind w:left="2944" w:hanging="180"/>
      </w:pPr>
    </w:lvl>
    <w:lvl w:ilvl="3" w:tplc="2C0A000F" w:tentative="1">
      <w:start w:val="1"/>
      <w:numFmt w:val="decimal"/>
      <w:lvlText w:val="%4."/>
      <w:lvlJc w:val="left"/>
      <w:pPr>
        <w:ind w:left="3664" w:hanging="360"/>
      </w:pPr>
    </w:lvl>
    <w:lvl w:ilvl="4" w:tplc="2C0A0019" w:tentative="1">
      <w:start w:val="1"/>
      <w:numFmt w:val="lowerLetter"/>
      <w:lvlText w:val="%5."/>
      <w:lvlJc w:val="left"/>
      <w:pPr>
        <w:ind w:left="4384" w:hanging="360"/>
      </w:pPr>
    </w:lvl>
    <w:lvl w:ilvl="5" w:tplc="2C0A001B" w:tentative="1">
      <w:start w:val="1"/>
      <w:numFmt w:val="lowerRoman"/>
      <w:lvlText w:val="%6."/>
      <w:lvlJc w:val="right"/>
      <w:pPr>
        <w:ind w:left="5104" w:hanging="180"/>
      </w:pPr>
    </w:lvl>
    <w:lvl w:ilvl="6" w:tplc="2C0A000F" w:tentative="1">
      <w:start w:val="1"/>
      <w:numFmt w:val="decimal"/>
      <w:lvlText w:val="%7."/>
      <w:lvlJc w:val="left"/>
      <w:pPr>
        <w:ind w:left="5824" w:hanging="360"/>
      </w:pPr>
    </w:lvl>
    <w:lvl w:ilvl="7" w:tplc="2C0A0019" w:tentative="1">
      <w:start w:val="1"/>
      <w:numFmt w:val="lowerLetter"/>
      <w:lvlText w:val="%8."/>
      <w:lvlJc w:val="left"/>
      <w:pPr>
        <w:ind w:left="6544" w:hanging="360"/>
      </w:pPr>
    </w:lvl>
    <w:lvl w:ilvl="8" w:tplc="2C0A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89"/>
    <w:rsid w:val="00001A6C"/>
    <w:rsid w:val="00007A07"/>
    <w:rsid w:val="00071AD5"/>
    <w:rsid w:val="00073675"/>
    <w:rsid w:val="0009086E"/>
    <w:rsid w:val="000A5215"/>
    <w:rsid w:val="000B6F7E"/>
    <w:rsid w:val="000E3304"/>
    <w:rsid w:val="000F1F95"/>
    <w:rsid w:val="000F28C3"/>
    <w:rsid w:val="000F7F3F"/>
    <w:rsid w:val="0011461F"/>
    <w:rsid w:val="00120544"/>
    <w:rsid w:val="00186D6D"/>
    <w:rsid w:val="001950B3"/>
    <w:rsid w:val="001B3259"/>
    <w:rsid w:val="001E0FAA"/>
    <w:rsid w:val="001E3EAC"/>
    <w:rsid w:val="001E727B"/>
    <w:rsid w:val="00207335"/>
    <w:rsid w:val="00207818"/>
    <w:rsid w:val="00213FC7"/>
    <w:rsid w:val="0022693C"/>
    <w:rsid w:val="00252DDB"/>
    <w:rsid w:val="00282450"/>
    <w:rsid w:val="002870CE"/>
    <w:rsid w:val="002900B4"/>
    <w:rsid w:val="002D23F0"/>
    <w:rsid w:val="002E710B"/>
    <w:rsid w:val="002F6D31"/>
    <w:rsid w:val="00336D48"/>
    <w:rsid w:val="00366A25"/>
    <w:rsid w:val="00370803"/>
    <w:rsid w:val="003710AE"/>
    <w:rsid w:val="00390DB4"/>
    <w:rsid w:val="003A439B"/>
    <w:rsid w:val="003C0872"/>
    <w:rsid w:val="003C72D5"/>
    <w:rsid w:val="003E1E49"/>
    <w:rsid w:val="003F54AD"/>
    <w:rsid w:val="00415849"/>
    <w:rsid w:val="00435602"/>
    <w:rsid w:val="00436D42"/>
    <w:rsid w:val="0044465A"/>
    <w:rsid w:val="00445DE1"/>
    <w:rsid w:val="00447A22"/>
    <w:rsid w:val="0047078C"/>
    <w:rsid w:val="004729F7"/>
    <w:rsid w:val="00485BE3"/>
    <w:rsid w:val="004B36ED"/>
    <w:rsid w:val="004D17D4"/>
    <w:rsid w:val="004E2004"/>
    <w:rsid w:val="004F3753"/>
    <w:rsid w:val="00501332"/>
    <w:rsid w:val="00502996"/>
    <w:rsid w:val="00512277"/>
    <w:rsid w:val="00550B92"/>
    <w:rsid w:val="0055187C"/>
    <w:rsid w:val="005A035D"/>
    <w:rsid w:val="005A1167"/>
    <w:rsid w:val="005A3AC1"/>
    <w:rsid w:val="005B2A92"/>
    <w:rsid w:val="005C138F"/>
    <w:rsid w:val="005D0E18"/>
    <w:rsid w:val="005D6B6E"/>
    <w:rsid w:val="005E7DA7"/>
    <w:rsid w:val="005F4CF9"/>
    <w:rsid w:val="00636A1D"/>
    <w:rsid w:val="006461D6"/>
    <w:rsid w:val="006554C0"/>
    <w:rsid w:val="00674BC3"/>
    <w:rsid w:val="006767F7"/>
    <w:rsid w:val="006F1607"/>
    <w:rsid w:val="007247E1"/>
    <w:rsid w:val="00725779"/>
    <w:rsid w:val="007449F0"/>
    <w:rsid w:val="0075148A"/>
    <w:rsid w:val="0075176A"/>
    <w:rsid w:val="00752F7C"/>
    <w:rsid w:val="00754838"/>
    <w:rsid w:val="00781806"/>
    <w:rsid w:val="0078745E"/>
    <w:rsid w:val="00825B20"/>
    <w:rsid w:val="008410B8"/>
    <w:rsid w:val="00874403"/>
    <w:rsid w:val="008868A1"/>
    <w:rsid w:val="00886B67"/>
    <w:rsid w:val="008A1969"/>
    <w:rsid w:val="008B2652"/>
    <w:rsid w:val="008B7A58"/>
    <w:rsid w:val="00917ABE"/>
    <w:rsid w:val="009206DA"/>
    <w:rsid w:val="00955145"/>
    <w:rsid w:val="00956791"/>
    <w:rsid w:val="00957586"/>
    <w:rsid w:val="009629FB"/>
    <w:rsid w:val="009C3411"/>
    <w:rsid w:val="00A03ACD"/>
    <w:rsid w:val="00A06BB5"/>
    <w:rsid w:val="00A220CA"/>
    <w:rsid w:val="00A41FC5"/>
    <w:rsid w:val="00A81B19"/>
    <w:rsid w:val="00A838E7"/>
    <w:rsid w:val="00A96687"/>
    <w:rsid w:val="00AD7308"/>
    <w:rsid w:val="00AF4440"/>
    <w:rsid w:val="00B20EB8"/>
    <w:rsid w:val="00B2227A"/>
    <w:rsid w:val="00B2571A"/>
    <w:rsid w:val="00B43C55"/>
    <w:rsid w:val="00B53277"/>
    <w:rsid w:val="00B54A6C"/>
    <w:rsid w:val="00B578E3"/>
    <w:rsid w:val="00B82011"/>
    <w:rsid w:val="00B85FD1"/>
    <w:rsid w:val="00B9197B"/>
    <w:rsid w:val="00BD0488"/>
    <w:rsid w:val="00BD0C8D"/>
    <w:rsid w:val="00BF2889"/>
    <w:rsid w:val="00C21B83"/>
    <w:rsid w:val="00C309FF"/>
    <w:rsid w:val="00C32A50"/>
    <w:rsid w:val="00C379FB"/>
    <w:rsid w:val="00C82E17"/>
    <w:rsid w:val="00CB450E"/>
    <w:rsid w:val="00CB4F33"/>
    <w:rsid w:val="00CC33F1"/>
    <w:rsid w:val="00CE0F33"/>
    <w:rsid w:val="00CE54C2"/>
    <w:rsid w:val="00CE6F29"/>
    <w:rsid w:val="00D1682F"/>
    <w:rsid w:val="00D23F01"/>
    <w:rsid w:val="00D47488"/>
    <w:rsid w:val="00D67730"/>
    <w:rsid w:val="00D76529"/>
    <w:rsid w:val="00D9379B"/>
    <w:rsid w:val="00D9631A"/>
    <w:rsid w:val="00DB5733"/>
    <w:rsid w:val="00DC3E32"/>
    <w:rsid w:val="00DD43F0"/>
    <w:rsid w:val="00DE1500"/>
    <w:rsid w:val="00DE4D7A"/>
    <w:rsid w:val="00E049FA"/>
    <w:rsid w:val="00E079B1"/>
    <w:rsid w:val="00E108D5"/>
    <w:rsid w:val="00E179F5"/>
    <w:rsid w:val="00E30407"/>
    <w:rsid w:val="00E468AB"/>
    <w:rsid w:val="00E7741F"/>
    <w:rsid w:val="00E81FAD"/>
    <w:rsid w:val="00E84113"/>
    <w:rsid w:val="00E933F1"/>
    <w:rsid w:val="00EA49B7"/>
    <w:rsid w:val="00EA5608"/>
    <w:rsid w:val="00ED182F"/>
    <w:rsid w:val="00EE0D51"/>
    <w:rsid w:val="00F07DD5"/>
    <w:rsid w:val="00F11E81"/>
    <w:rsid w:val="00F27E76"/>
    <w:rsid w:val="00F436D6"/>
    <w:rsid w:val="00F54F41"/>
    <w:rsid w:val="00F6144B"/>
    <w:rsid w:val="00F61B91"/>
    <w:rsid w:val="00FB74EB"/>
    <w:rsid w:val="00FC0E97"/>
    <w:rsid w:val="00FC4C78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FA1A7A-287C-4988-A190-017E31A8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8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D47488"/>
    <w:pPr>
      <w:keepNext/>
      <w:ind w:left="360"/>
      <w:jc w:val="both"/>
      <w:outlineLvl w:val="0"/>
    </w:pPr>
    <w:rPr>
      <w:b/>
      <w:snapToGrid w:val="0"/>
      <w:sz w:val="22"/>
      <w:szCs w:val="26"/>
      <w:lang w:eastAsia="en-US"/>
    </w:rPr>
  </w:style>
  <w:style w:type="paragraph" w:styleId="Ttulo2">
    <w:name w:val="heading 2"/>
    <w:basedOn w:val="Normal"/>
    <w:next w:val="Normal"/>
    <w:qFormat/>
    <w:rsid w:val="00D47488"/>
    <w:pPr>
      <w:keepNext/>
      <w:jc w:val="both"/>
      <w:outlineLvl w:val="1"/>
    </w:pPr>
    <w:rPr>
      <w:b/>
      <w:snapToGrid w:val="0"/>
      <w:sz w:val="22"/>
      <w:lang w:eastAsia="en-US"/>
    </w:rPr>
  </w:style>
  <w:style w:type="paragraph" w:styleId="Ttulo3">
    <w:name w:val="heading 3"/>
    <w:basedOn w:val="Normal"/>
    <w:next w:val="Normal"/>
    <w:qFormat/>
    <w:rsid w:val="00D47488"/>
    <w:pPr>
      <w:keepNext/>
      <w:jc w:val="both"/>
      <w:outlineLvl w:val="2"/>
    </w:pPr>
    <w:rPr>
      <w:b/>
      <w:i/>
      <w:iCs/>
      <w:color w:val="FF0000"/>
      <w:sz w:val="22"/>
      <w:szCs w:val="26"/>
    </w:rPr>
  </w:style>
  <w:style w:type="paragraph" w:styleId="Ttulo4">
    <w:name w:val="heading 4"/>
    <w:basedOn w:val="Normal"/>
    <w:next w:val="Normal"/>
    <w:qFormat/>
    <w:rsid w:val="00D47488"/>
    <w:pPr>
      <w:keepNext/>
      <w:jc w:val="center"/>
      <w:outlineLvl w:val="3"/>
    </w:pPr>
    <w:rPr>
      <w:b/>
      <w:i/>
      <w:iCs/>
      <w:snapToGrid w:val="0"/>
      <w:color w:val="FF0000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47488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D47488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rsid w:val="00D47488"/>
    <w:pPr>
      <w:jc w:val="both"/>
    </w:pPr>
    <w:rPr>
      <w:snapToGrid w:val="0"/>
      <w:sz w:val="26"/>
      <w:lang w:eastAsia="en-US"/>
    </w:rPr>
  </w:style>
  <w:style w:type="paragraph" w:styleId="Sangra3detindependiente">
    <w:name w:val="Body Text Indent 3"/>
    <w:basedOn w:val="Normal"/>
    <w:rsid w:val="00D47488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D474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292C-E4D1-452C-AD34-56D942BF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2C2C2849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5 de marzo de 2007</vt:lpstr>
    </vt:vector>
  </TitlesOfParts>
  <Company>Baker &amp; McKenzie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5 de marzo de 2007</dc:title>
  <dc:creator>BUAJPA</dc:creator>
  <cp:lastModifiedBy>Zerar Maria Teresa</cp:lastModifiedBy>
  <cp:revision>2</cp:revision>
  <cp:lastPrinted>2013-12-17T17:16:00Z</cp:lastPrinted>
  <dcterms:created xsi:type="dcterms:W3CDTF">2021-06-02T16:15:00Z</dcterms:created>
  <dcterms:modified xsi:type="dcterms:W3CDTF">2021-06-02T16:15:00Z</dcterms:modified>
</cp:coreProperties>
</file>