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1543A" w:rsidRDefault="0071543A" w:rsidP="0071543A">
      <w:pPr>
        <w:pStyle w:val="Default"/>
      </w:pPr>
    </w:p>
    <w:p w:rsidR="0071543A" w:rsidRPr="0071543A" w:rsidRDefault="00AD6D7A" w:rsidP="00AD6D7A">
      <w:pPr>
        <w:pStyle w:val="Default"/>
        <w:ind w:left="2832"/>
        <w:rPr>
          <w:sz w:val="22"/>
          <w:szCs w:val="22"/>
        </w:rPr>
      </w:pPr>
      <w:r>
        <w:rPr>
          <w:sz w:val="22"/>
          <w:szCs w:val="22"/>
        </w:rPr>
        <w:t xml:space="preserve">        </w:t>
      </w:r>
      <w:r w:rsidR="0071543A" w:rsidRPr="0071543A">
        <w:rPr>
          <w:sz w:val="22"/>
          <w:szCs w:val="22"/>
        </w:rPr>
        <w:t>C</w:t>
      </w:r>
      <w:r w:rsidR="00966377">
        <w:rPr>
          <w:sz w:val="22"/>
          <w:szCs w:val="22"/>
        </w:rPr>
        <w:t xml:space="preserve">iudad Autónoma de Buenos Aires, 27 </w:t>
      </w:r>
      <w:r w:rsidR="0071543A" w:rsidRPr="0071543A">
        <w:rPr>
          <w:sz w:val="22"/>
          <w:szCs w:val="22"/>
        </w:rPr>
        <w:t xml:space="preserve">de </w:t>
      </w:r>
      <w:r w:rsidR="00966377">
        <w:rPr>
          <w:sz w:val="22"/>
          <w:szCs w:val="22"/>
        </w:rPr>
        <w:t xml:space="preserve">junio </w:t>
      </w:r>
      <w:r w:rsidR="0071543A" w:rsidRPr="0071543A">
        <w:rPr>
          <w:sz w:val="22"/>
          <w:szCs w:val="22"/>
        </w:rPr>
        <w:t>de 201</w:t>
      </w:r>
      <w:r w:rsidR="00966377">
        <w:rPr>
          <w:sz w:val="22"/>
          <w:szCs w:val="22"/>
        </w:rPr>
        <w:t>9</w:t>
      </w:r>
    </w:p>
    <w:p w:rsidR="0071543A" w:rsidRDefault="0071543A" w:rsidP="0071543A">
      <w:pPr>
        <w:pStyle w:val="Default"/>
        <w:rPr>
          <w:sz w:val="22"/>
          <w:szCs w:val="22"/>
        </w:rPr>
      </w:pPr>
    </w:p>
    <w:p w:rsidR="0071543A" w:rsidRPr="0071543A" w:rsidRDefault="0071543A" w:rsidP="0071543A">
      <w:pPr>
        <w:pStyle w:val="Default"/>
        <w:rPr>
          <w:sz w:val="22"/>
          <w:szCs w:val="22"/>
        </w:rPr>
      </w:pPr>
      <w:r w:rsidRPr="0071543A">
        <w:rPr>
          <w:sz w:val="22"/>
          <w:szCs w:val="22"/>
        </w:rPr>
        <w:t xml:space="preserve">Señores </w:t>
      </w:r>
    </w:p>
    <w:p w:rsidR="00B611B1" w:rsidRDefault="00B611B1" w:rsidP="0071543A">
      <w:pPr>
        <w:pStyle w:val="Default"/>
        <w:rPr>
          <w:sz w:val="22"/>
          <w:szCs w:val="22"/>
        </w:rPr>
      </w:pPr>
      <w:r>
        <w:rPr>
          <w:sz w:val="22"/>
          <w:szCs w:val="22"/>
        </w:rPr>
        <w:t>Comisión Nacional de Valores</w:t>
      </w:r>
    </w:p>
    <w:p w:rsidR="00B611B1" w:rsidRDefault="00B611B1" w:rsidP="0071543A">
      <w:pPr>
        <w:pStyle w:val="Default"/>
        <w:rPr>
          <w:sz w:val="22"/>
          <w:szCs w:val="22"/>
        </w:rPr>
      </w:pPr>
      <w:r>
        <w:rPr>
          <w:sz w:val="22"/>
          <w:szCs w:val="22"/>
        </w:rPr>
        <w:t xml:space="preserve">25 de </w:t>
      </w:r>
      <w:proofErr w:type="gramStart"/>
      <w:r>
        <w:rPr>
          <w:sz w:val="22"/>
          <w:szCs w:val="22"/>
        </w:rPr>
        <w:t>Mayo</w:t>
      </w:r>
      <w:proofErr w:type="gramEnd"/>
      <w:r>
        <w:rPr>
          <w:sz w:val="22"/>
          <w:szCs w:val="22"/>
        </w:rPr>
        <w:t xml:space="preserve"> 175</w:t>
      </w:r>
    </w:p>
    <w:p w:rsidR="0071543A" w:rsidRPr="0071543A" w:rsidRDefault="00B611B1" w:rsidP="0071543A">
      <w:pPr>
        <w:pStyle w:val="Default"/>
        <w:rPr>
          <w:sz w:val="22"/>
          <w:szCs w:val="22"/>
        </w:rPr>
      </w:pPr>
      <w:r>
        <w:rPr>
          <w:sz w:val="22"/>
          <w:szCs w:val="22"/>
        </w:rPr>
        <w:t>Ciudad Autónoma de Buenos Aires</w:t>
      </w:r>
      <w:r w:rsidR="0071543A" w:rsidRPr="0071543A">
        <w:rPr>
          <w:sz w:val="22"/>
          <w:szCs w:val="22"/>
        </w:rPr>
        <w:t xml:space="preserve"> </w:t>
      </w:r>
    </w:p>
    <w:p w:rsidR="0071543A" w:rsidRPr="009F6557" w:rsidRDefault="0071543A" w:rsidP="0071543A">
      <w:pPr>
        <w:pStyle w:val="Default"/>
        <w:rPr>
          <w:sz w:val="22"/>
          <w:szCs w:val="22"/>
          <w:u w:val="single"/>
        </w:rPr>
      </w:pPr>
      <w:r w:rsidRPr="009F6557">
        <w:rPr>
          <w:sz w:val="22"/>
          <w:szCs w:val="22"/>
          <w:u w:val="single"/>
        </w:rPr>
        <w:t xml:space="preserve">Presente </w:t>
      </w:r>
    </w:p>
    <w:p w:rsidR="0071543A" w:rsidRPr="0071543A" w:rsidRDefault="00AD6D7A" w:rsidP="0071543A">
      <w:pPr>
        <w:pStyle w:val="Default"/>
        <w:ind w:left="3540" w:firstLine="708"/>
        <w:rPr>
          <w:sz w:val="22"/>
          <w:szCs w:val="22"/>
        </w:rPr>
      </w:pPr>
      <w:r>
        <w:rPr>
          <w:sz w:val="22"/>
          <w:szCs w:val="22"/>
        </w:rPr>
        <w:t xml:space="preserve">               </w:t>
      </w:r>
      <w:r w:rsidR="0071543A" w:rsidRPr="0071543A">
        <w:rPr>
          <w:sz w:val="22"/>
          <w:szCs w:val="22"/>
        </w:rPr>
        <w:t xml:space="preserve">Ref.: YPF S.A. - Pago de Dividendos </w:t>
      </w:r>
    </w:p>
    <w:p w:rsidR="0071543A" w:rsidRPr="0071543A" w:rsidRDefault="0071543A" w:rsidP="0071543A">
      <w:pPr>
        <w:pStyle w:val="Default"/>
        <w:rPr>
          <w:sz w:val="22"/>
          <w:szCs w:val="22"/>
        </w:rPr>
      </w:pPr>
    </w:p>
    <w:p w:rsidR="0071543A" w:rsidRPr="0071543A" w:rsidRDefault="0071543A" w:rsidP="0071543A">
      <w:pPr>
        <w:pStyle w:val="Default"/>
        <w:rPr>
          <w:sz w:val="22"/>
          <w:szCs w:val="22"/>
        </w:rPr>
      </w:pPr>
      <w:r w:rsidRPr="0071543A">
        <w:rPr>
          <w:sz w:val="22"/>
          <w:szCs w:val="22"/>
        </w:rPr>
        <w:t xml:space="preserve">De nuestra consideración: </w:t>
      </w:r>
    </w:p>
    <w:p w:rsidR="0071543A" w:rsidRPr="009F6557" w:rsidRDefault="0071543A" w:rsidP="0071543A">
      <w:pPr>
        <w:pStyle w:val="Default"/>
        <w:rPr>
          <w:sz w:val="22"/>
          <w:szCs w:val="22"/>
        </w:rPr>
      </w:pPr>
    </w:p>
    <w:p w:rsidR="0071543A" w:rsidRDefault="0071543A" w:rsidP="00AD6D7A">
      <w:pPr>
        <w:pStyle w:val="Default"/>
        <w:jc w:val="both"/>
        <w:rPr>
          <w:sz w:val="22"/>
        </w:rPr>
      </w:pPr>
      <w:r w:rsidRPr="009F6557">
        <w:rPr>
          <w:sz w:val="22"/>
          <w:szCs w:val="22"/>
        </w:rPr>
        <w:t>Nos dirigimos a Uds. en cumplimiento</w:t>
      </w:r>
      <w:r w:rsidR="00B12354">
        <w:rPr>
          <w:sz w:val="22"/>
          <w:szCs w:val="22"/>
        </w:rPr>
        <w:t xml:space="preserve"> del</w:t>
      </w:r>
      <w:r w:rsidRPr="009F6557">
        <w:rPr>
          <w:sz w:val="22"/>
          <w:szCs w:val="22"/>
        </w:rPr>
        <w:t xml:space="preserve"> </w:t>
      </w:r>
      <w:r w:rsidR="00B12354" w:rsidRPr="00D00C2E">
        <w:rPr>
          <w:sz w:val="22"/>
        </w:rPr>
        <w:t>artículo 2, Capítulo I, Título XII de las Normas de la Comisión Nacional de Valores</w:t>
      </w:r>
      <w:r w:rsidR="00B12354">
        <w:rPr>
          <w:sz w:val="22"/>
        </w:rPr>
        <w:t>.</w:t>
      </w:r>
    </w:p>
    <w:p w:rsidR="00B12354" w:rsidRPr="009F6557" w:rsidRDefault="00B12354" w:rsidP="00AD6D7A">
      <w:pPr>
        <w:pStyle w:val="Default"/>
        <w:jc w:val="both"/>
        <w:rPr>
          <w:sz w:val="22"/>
          <w:szCs w:val="22"/>
        </w:rPr>
      </w:pPr>
      <w:bookmarkStart w:id="0" w:name="_GoBack"/>
      <w:bookmarkEnd w:id="0"/>
    </w:p>
    <w:p w:rsidR="0071543A" w:rsidRPr="009F6557" w:rsidRDefault="0071543A" w:rsidP="00AD6D7A">
      <w:pPr>
        <w:widowControl w:val="0"/>
        <w:autoSpaceDE w:val="0"/>
        <w:autoSpaceDN w:val="0"/>
        <w:adjustRightInd w:val="0"/>
        <w:spacing w:after="0" w:line="240" w:lineRule="auto"/>
        <w:jc w:val="both"/>
        <w:rPr>
          <w:rFonts w:ascii="Arial" w:hAnsi="Arial" w:cs="Arial"/>
        </w:rPr>
      </w:pPr>
      <w:r w:rsidRPr="009F6557">
        <w:rPr>
          <w:rFonts w:ascii="Arial" w:hAnsi="Arial" w:cs="Arial"/>
        </w:rPr>
        <w:t xml:space="preserve">En tal sentido, se </w:t>
      </w:r>
      <w:r w:rsidRPr="00966377">
        <w:rPr>
          <w:rFonts w:ascii="Arial" w:hAnsi="Arial" w:cs="Arial"/>
        </w:rPr>
        <w:t>informa que, de acuerdo a las facultades otorgadas por la Asamblea General O</w:t>
      </w:r>
      <w:r w:rsidR="00966377" w:rsidRPr="00966377">
        <w:rPr>
          <w:rFonts w:ascii="Arial" w:hAnsi="Arial" w:cs="Arial"/>
        </w:rPr>
        <w:t>rdinaria y Extraordinaria del 26</w:t>
      </w:r>
      <w:r w:rsidRPr="00966377">
        <w:rPr>
          <w:rFonts w:ascii="Arial" w:hAnsi="Arial" w:cs="Arial"/>
        </w:rPr>
        <w:t xml:space="preserve"> </w:t>
      </w:r>
      <w:r w:rsidR="00966377" w:rsidRPr="00966377">
        <w:rPr>
          <w:rFonts w:ascii="Arial" w:hAnsi="Arial" w:cs="Arial"/>
        </w:rPr>
        <w:t>de abril de 2019</w:t>
      </w:r>
      <w:r w:rsidRPr="00966377">
        <w:rPr>
          <w:rFonts w:ascii="Arial" w:hAnsi="Arial" w:cs="Arial"/>
        </w:rPr>
        <w:t xml:space="preserve">, en el cuarto punto del Orden del día, apartado </w:t>
      </w:r>
      <w:r w:rsidR="009F6557" w:rsidRPr="00966377">
        <w:rPr>
          <w:rFonts w:ascii="Arial" w:hAnsi="Arial" w:cs="Arial"/>
        </w:rPr>
        <w:t>2</w:t>
      </w:r>
      <w:r w:rsidRPr="00966377">
        <w:rPr>
          <w:rFonts w:ascii="Arial" w:hAnsi="Arial" w:cs="Arial"/>
        </w:rPr>
        <w:t xml:space="preserve">) </w:t>
      </w:r>
      <w:r w:rsidR="009F6557" w:rsidRPr="00966377">
        <w:rPr>
          <w:rFonts w:ascii="Arial" w:hAnsi="Arial" w:cs="Arial"/>
        </w:rPr>
        <w:t>c</w:t>
      </w:r>
      <w:r w:rsidRPr="00966377">
        <w:rPr>
          <w:rFonts w:ascii="Arial" w:hAnsi="Arial" w:cs="Arial"/>
        </w:rPr>
        <w:t xml:space="preserve">), </w:t>
      </w:r>
      <w:r w:rsidR="00A253E7">
        <w:rPr>
          <w:rFonts w:ascii="Arial" w:hAnsi="Arial" w:cs="Arial"/>
        </w:rPr>
        <w:t xml:space="preserve">en la cual se resolvió </w:t>
      </w:r>
      <w:r w:rsidR="00966377" w:rsidRPr="00966377">
        <w:rPr>
          <w:rFonts w:ascii="Arial" w:hAnsi="Arial" w:cs="Arial"/>
        </w:rPr>
        <w:t>destinar la suma de $4.800 millones a una reserva para futuros dividendos, facultando al Directorio, hasta la fecha de la próxima Asamblea General Ordinaria de Accionistas que trate los Estados Financieros cerrados al 31 de diciembre de 2019, a determinar la oportunid</w:t>
      </w:r>
      <w:r w:rsidR="00AD6D7A">
        <w:rPr>
          <w:rFonts w:ascii="Arial" w:hAnsi="Arial" w:cs="Arial"/>
        </w:rPr>
        <w:t>ad y monto para su distribución;</w:t>
      </w:r>
      <w:r w:rsidR="009F6557" w:rsidRPr="00966377">
        <w:rPr>
          <w:rFonts w:ascii="Arial" w:hAnsi="Arial" w:cs="Arial"/>
        </w:rPr>
        <w:t xml:space="preserve"> </w:t>
      </w:r>
      <w:r w:rsidRPr="00966377">
        <w:rPr>
          <w:rFonts w:ascii="Arial" w:hAnsi="Arial" w:cs="Arial"/>
        </w:rPr>
        <w:t>el Directorio de YPF S.A. (en adelante “la Sociedad”),</w:t>
      </w:r>
      <w:r w:rsidR="00966377" w:rsidRPr="00966377">
        <w:rPr>
          <w:rFonts w:ascii="Arial" w:hAnsi="Arial" w:cs="Arial"/>
        </w:rPr>
        <w:t xml:space="preserve"> en su reunión del 27</w:t>
      </w:r>
      <w:r w:rsidRPr="00966377">
        <w:rPr>
          <w:rFonts w:ascii="Arial" w:hAnsi="Arial" w:cs="Arial"/>
        </w:rPr>
        <w:t xml:space="preserve"> de </w:t>
      </w:r>
      <w:r w:rsidR="00966377" w:rsidRPr="00966377">
        <w:rPr>
          <w:rFonts w:ascii="Arial" w:hAnsi="Arial" w:cs="Arial"/>
        </w:rPr>
        <w:t>junio</w:t>
      </w:r>
      <w:r w:rsidRPr="00966377">
        <w:rPr>
          <w:rFonts w:ascii="Arial" w:hAnsi="Arial" w:cs="Arial"/>
        </w:rPr>
        <w:t xml:space="preserve"> del corriente, resolvió el pago de un dividendo en efectivo de $</w:t>
      </w:r>
      <w:r w:rsidR="00966377" w:rsidRPr="00966377">
        <w:rPr>
          <w:rFonts w:ascii="Arial" w:hAnsi="Arial" w:cs="Arial"/>
        </w:rPr>
        <w:t>5</w:t>
      </w:r>
      <w:r w:rsidR="00966377">
        <w:rPr>
          <w:rFonts w:ascii="Arial" w:hAnsi="Arial" w:cs="Arial"/>
        </w:rPr>
        <w:t>,</w:t>
      </w:r>
      <w:r w:rsidR="008E412F">
        <w:rPr>
          <w:rFonts w:ascii="Arial" w:hAnsi="Arial" w:cs="Arial"/>
        </w:rPr>
        <w:t xml:space="preserve">8478 </w:t>
      </w:r>
      <w:r w:rsidRPr="00966377">
        <w:rPr>
          <w:rFonts w:ascii="Arial" w:hAnsi="Arial" w:cs="Arial"/>
        </w:rPr>
        <w:t xml:space="preserve">por acción, sin distinción de clases accionarias, poniendo dicho dividendo a disposición de todos los accionistas el </w:t>
      </w:r>
      <w:r w:rsidR="00966377" w:rsidRPr="00966377">
        <w:rPr>
          <w:rFonts w:ascii="Arial" w:hAnsi="Arial" w:cs="Arial"/>
        </w:rPr>
        <w:t>11</w:t>
      </w:r>
      <w:r w:rsidRPr="00966377">
        <w:rPr>
          <w:rFonts w:ascii="Arial" w:hAnsi="Arial" w:cs="Arial"/>
        </w:rPr>
        <w:t xml:space="preserve"> de </w:t>
      </w:r>
      <w:r w:rsidR="00966377" w:rsidRPr="00966377">
        <w:rPr>
          <w:rFonts w:ascii="Arial" w:hAnsi="Arial" w:cs="Arial"/>
        </w:rPr>
        <w:t>julio de 2019</w:t>
      </w:r>
      <w:r w:rsidRPr="00144473">
        <w:rPr>
          <w:rFonts w:ascii="Arial" w:hAnsi="Arial" w:cs="Arial"/>
        </w:rPr>
        <w:t>, o en la fecha posterior que resulte por la aplicación de normas que rijan en las jurisdicciones donde cotiza la acción de la</w:t>
      </w:r>
      <w:r w:rsidRPr="009F6557">
        <w:rPr>
          <w:rFonts w:ascii="Arial" w:hAnsi="Arial" w:cs="Arial"/>
        </w:rPr>
        <w:t xml:space="preserve"> sociedad. El tipo de cambio a aplicar para los pagos de los </w:t>
      </w:r>
      <w:proofErr w:type="gramStart"/>
      <w:r w:rsidRPr="009F6557">
        <w:rPr>
          <w:rFonts w:ascii="Arial" w:hAnsi="Arial" w:cs="Arial"/>
        </w:rPr>
        <w:t>ADR,</w:t>
      </w:r>
      <w:proofErr w:type="gramEnd"/>
      <w:r w:rsidRPr="009F6557">
        <w:rPr>
          <w:rFonts w:ascii="Arial" w:hAnsi="Arial" w:cs="Arial"/>
        </w:rPr>
        <w:t xml:space="preserve"> será el del dólar estadounidense en el mercado libre de cambio –tipo vendedor– al cierre del día hábil anterior a la fecha de puesta a disposición de los dividendos en la República Argentina. </w:t>
      </w:r>
    </w:p>
    <w:p w:rsidR="0071543A" w:rsidRPr="009F6557" w:rsidRDefault="0071543A" w:rsidP="00AD6D7A">
      <w:pPr>
        <w:pStyle w:val="Default"/>
        <w:jc w:val="both"/>
        <w:rPr>
          <w:sz w:val="22"/>
          <w:szCs w:val="22"/>
        </w:rPr>
      </w:pPr>
    </w:p>
    <w:p w:rsidR="0071543A" w:rsidRPr="0071543A" w:rsidRDefault="0071543A" w:rsidP="00AD6D7A">
      <w:pPr>
        <w:spacing w:before="120" w:after="120" w:line="240" w:lineRule="auto"/>
        <w:jc w:val="both"/>
        <w:rPr>
          <w:rFonts w:ascii="Arial" w:hAnsi="Arial" w:cs="Arial"/>
        </w:rPr>
      </w:pPr>
      <w:proofErr w:type="gramStart"/>
      <w:r w:rsidRPr="009F6557">
        <w:rPr>
          <w:rFonts w:ascii="Arial" w:hAnsi="Arial" w:cs="Arial"/>
        </w:rPr>
        <w:t>Asimismo</w:t>
      </w:r>
      <w:proofErr w:type="gramEnd"/>
      <w:r w:rsidRPr="009F6557">
        <w:rPr>
          <w:rFonts w:ascii="Arial" w:hAnsi="Arial" w:cs="Arial"/>
        </w:rPr>
        <w:t xml:space="preserve"> se informa que sobre el monto a abonar por dicho concepto, se </w:t>
      </w:r>
      <w:r w:rsidR="00144473">
        <w:rPr>
          <w:rFonts w:ascii="Arial" w:hAnsi="Arial" w:cs="Arial"/>
        </w:rPr>
        <w:t>efectuarán las</w:t>
      </w:r>
      <w:r w:rsidR="00294F93">
        <w:rPr>
          <w:rFonts w:ascii="Arial" w:hAnsi="Arial" w:cs="Arial"/>
        </w:rPr>
        <w:t xml:space="preserve"> </w:t>
      </w:r>
      <w:r w:rsidRPr="009F6557">
        <w:rPr>
          <w:rFonts w:ascii="Arial" w:hAnsi="Arial" w:cs="Arial"/>
        </w:rPr>
        <w:t>retenciones impositivas</w:t>
      </w:r>
      <w:r w:rsidRPr="0071543A">
        <w:rPr>
          <w:rFonts w:ascii="Arial" w:hAnsi="Arial" w:cs="Arial"/>
        </w:rPr>
        <w:t xml:space="preserve"> </w:t>
      </w:r>
      <w:r w:rsidR="00144473">
        <w:rPr>
          <w:rFonts w:ascii="Arial" w:hAnsi="Arial" w:cs="Arial"/>
        </w:rPr>
        <w:t>confor</w:t>
      </w:r>
      <w:r w:rsidRPr="0071543A">
        <w:rPr>
          <w:rFonts w:ascii="Arial" w:hAnsi="Arial" w:cs="Arial"/>
        </w:rPr>
        <w:t xml:space="preserve">me la legislación aplicable, </w:t>
      </w:r>
      <w:r w:rsidR="00144473">
        <w:rPr>
          <w:rFonts w:ascii="Arial" w:hAnsi="Arial" w:cs="Arial"/>
        </w:rPr>
        <w:t>en caso de corresponder</w:t>
      </w:r>
      <w:r w:rsidRPr="0071543A">
        <w:rPr>
          <w:rFonts w:ascii="Arial" w:hAnsi="Arial" w:cs="Arial"/>
        </w:rPr>
        <w:t>.</w:t>
      </w:r>
    </w:p>
    <w:tbl>
      <w:tblPr>
        <w:tblW w:w="9180" w:type="dxa"/>
        <w:tblInd w:w="-108" w:type="dxa"/>
        <w:tblBorders>
          <w:top w:val="nil"/>
          <w:left w:val="nil"/>
          <w:bottom w:val="nil"/>
          <w:right w:val="nil"/>
        </w:tblBorders>
        <w:tblLayout w:type="fixed"/>
        <w:tblLook w:val="0000" w:firstRow="0" w:lastRow="0" w:firstColumn="0" w:lastColumn="0" w:noHBand="0" w:noVBand="0"/>
      </w:tblPr>
      <w:tblGrid>
        <w:gridCol w:w="9180"/>
      </w:tblGrid>
      <w:tr w:rsidR="0071543A" w:rsidRPr="0071543A" w:rsidTr="0071543A">
        <w:trPr>
          <w:trHeight w:val="355"/>
        </w:trPr>
        <w:tc>
          <w:tcPr>
            <w:tcW w:w="9180" w:type="dxa"/>
          </w:tcPr>
          <w:p w:rsidR="0071543A" w:rsidRPr="0071543A" w:rsidRDefault="0071543A" w:rsidP="00AD6D7A">
            <w:pPr>
              <w:pStyle w:val="Default"/>
              <w:jc w:val="center"/>
              <w:rPr>
                <w:sz w:val="22"/>
                <w:szCs w:val="22"/>
              </w:rPr>
            </w:pPr>
          </w:p>
          <w:p w:rsidR="0071543A" w:rsidRPr="0071543A" w:rsidRDefault="0071543A" w:rsidP="00AD6D7A">
            <w:pPr>
              <w:pStyle w:val="Default"/>
              <w:rPr>
                <w:sz w:val="22"/>
                <w:szCs w:val="22"/>
              </w:rPr>
            </w:pPr>
            <w:r w:rsidRPr="0071543A">
              <w:rPr>
                <w:sz w:val="22"/>
                <w:szCs w:val="22"/>
              </w:rPr>
              <w:t>Sin otro particular, saludamos a Uds. muy atentamente.</w:t>
            </w:r>
          </w:p>
          <w:p w:rsidR="0071543A" w:rsidRDefault="0071543A" w:rsidP="00AD6D7A">
            <w:pPr>
              <w:pStyle w:val="Default"/>
              <w:jc w:val="center"/>
              <w:rPr>
                <w:sz w:val="22"/>
                <w:szCs w:val="22"/>
              </w:rPr>
            </w:pPr>
          </w:p>
          <w:p w:rsidR="009F6557" w:rsidRDefault="009F6557" w:rsidP="00AD6D7A">
            <w:pPr>
              <w:pStyle w:val="Default"/>
              <w:jc w:val="center"/>
              <w:rPr>
                <w:sz w:val="22"/>
                <w:szCs w:val="22"/>
              </w:rPr>
            </w:pPr>
          </w:p>
          <w:p w:rsidR="009F6557" w:rsidRDefault="009F6557" w:rsidP="00AD6D7A">
            <w:pPr>
              <w:pStyle w:val="Default"/>
              <w:jc w:val="center"/>
              <w:rPr>
                <w:sz w:val="22"/>
                <w:szCs w:val="22"/>
              </w:rPr>
            </w:pPr>
          </w:p>
          <w:p w:rsidR="0071543A" w:rsidRPr="0071543A" w:rsidRDefault="00966377" w:rsidP="00AD6D7A">
            <w:pPr>
              <w:pStyle w:val="Default"/>
              <w:jc w:val="center"/>
              <w:rPr>
                <w:sz w:val="22"/>
                <w:szCs w:val="22"/>
              </w:rPr>
            </w:pPr>
            <w:r>
              <w:rPr>
                <w:sz w:val="22"/>
                <w:szCs w:val="22"/>
              </w:rPr>
              <w:t xml:space="preserve">Ignacio </w:t>
            </w:r>
            <w:proofErr w:type="spellStart"/>
            <w:r>
              <w:rPr>
                <w:sz w:val="22"/>
                <w:szCs w:val="22"/>
              </w:rPr>
              <w:t>Rostagno</w:t>
            </w:r>
            <w:proofErr w:type="spellEnd"/>
          </w:p>
          <w:p w:rsidR="0071543A" w:rsidRPr="0071543A" w:rsidRDefault="0071543A" w:rsidP="00AD6D7A">
            <w:pPr>
              <w:pStyle w:val="Default"/>
              <w:jc w:val="center"/>
              <w:rPr>
                <w:sz w:val="22"/>
                <w:szCs w:val="22"/>
              </w:rPr>
            </w:pPr>
            <w:r w:rsidRPr="0071543A">
              <w:rPr>
                <w:sz w:val="22"/>
                <w:szCs w:val="22"/>
              </w:rPr>
              <w:t>Responsable de Relaciones con el Mercado</w:t>
            </w:r>
          </w:p>
          <w:p w:rsidR="0071543A" w:rsidRPr="0071543A" w:rsidRDefault="0071543A" w:rsidP="00AD6D7A">
            <w:pPr>
              <w:pStyle w:val="Default"/>
              <w:jc w:val="center"/>
              <w:rPr>
                <w:sz w:val="22"/>
                <w:szCs w:val="22"/>
              </w:rPr>
            </w:pPr>
            <w:r w:rsidRPr="0071543A">
              <w:rPr>
                <w:sz w:val="22"/>
                <w:szCs w:val="22"/>
              </w:rPr>
              <w:t>YPF S.A.</w:t>
            </w:r>
          </w:p>
        </w:tc>
      </w:tr>
      <w:tr w:rsidR="00AD6D7A" w:rsidRPr="0071543A" w:rsidTr="0071543A">
        <w:trPr>
          <w:trHeight w:val="355"/>
        </w:trPr>
        <w:tc>
          <w:tcPr>
            <w:tcW w:w="9180" w:type="dxa"/>
          </w:tcPr>
          <w:p w:rsidR="00AD6D7A" w:rsidRPr="0071543A" w:rsidRDefault="00AD6D7A" w:rsidP="00AD6D7A">
            <w:pPr>
              <w:pStyle w:val="Default"/>
              <w:jc w:val="center"/>
              <w:rPr>
                <w:sz w:val="22"/>
                <w:szCs w:val="22"/>
              </w:rPr>
            </w:pPr>
          </w:p>
        </w:tc>
      </w:tr>
      <w:tr w:rsidR="00AD6D7A" w:rsidRPr="0071543A" w:rsidTr="0071543A">
        <w:trPr>
          <w:trHeight w:val="355"/>
        </w:trPr>
        <w:tc>
          <w:tcPr>
            <w:tcW w:w="9180" w:type="dxa"/>
          </w:tcPr>
          <w:p w:rsidR="00AD6D7A" w:rsidRPr="0071543A" w:rsidRDefault="00AD6D7A" w:rsidP="00AD6D7A">
            <w:pPr>
              <w:pStyle w:val="Default"/>
              <w:jc w:val="both"/>
              <w:rPr>
                <w:sz w:val="22"/>
                <w:szCs w:val="22"/>
              </w:rPr>
            </w:pPr>
          </w:p>
        </w:tc>
      </w:tr>
    </w:tbl>
    <w:p w:rsidR="004D0E41" w:rsidRDefault="00B12354"/>
    <w:sectPr w:rsidR="004D0E41">
      <w:headerReference w:type="default" r:id="rId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14A70" w:rsidRDefault="00D14A70" w:rsidP="00ED437F">
      <w:pPr>
        <w:spacing w:after="0" w:line="240" w:lineRule="auto"/>
      </w:pPr>
      <w:r>
        <w:separator/>
      </w:r>
    </w:p>
  </w:endnote>
  <w:endnote w:type="continuationSeparator" w:id="0">
    <w:p w:rsidR="00D14A70" w:rsidRDefault="00D14A70" w:rsidP="00ED43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14A70" w:rsidRDefault="00D14A70" w:rsidP="00ED437F">
      <w:pPr>
        <w:spacing w:after="0" w:line="240" w:lineRule="auto"/>
      </w:pPr>
      <w:r>
        <w:separator/>
      </w:r>
    </w:p>
  </w:footnote>
  <w:footnote w:type="continuationSeparator" w:id="0">
    <w:p w:rsidR="00D14A70" w:rsidRDefault="00D14A70" w:rsidP="00ED43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437F" w:rsidRDefault="00ED437F">
    <w:pPr>
      <w:pStyle w:val="Encabezado"/>
    </w:pPr>
    <w:r w:rsidRPr="000F6B24">
      <w:rPr>
        <w:noProof/>
        <w:lang w:eastAsia="es-AR"/>
      </w:rPr>
      <w:drawing>
        <wp:inline distT="0" distB="0" distL="0" distR="0">
          <wp:extent cx="1019175" cy="685800"/>
          <wp:effectExtent l="0" t="0" r="9525" b="0"/>
          <wp:docPr id="1" name="Imagen 1" descr="recuadro para 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recuadro para wor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9175" cy="6858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655D1C"/>
    <w:multiLevelType w:val="hybridMultilevel"/>
    <w:tmpl w:val="8BC6C1EE"/>
    <w:lvl w:ilvl="0" w:tplc="924C0058">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543A"/>
    <w:rsid w:val="00103426"/>
    <w:rsid w:val="001057F3"/>
    <w:rsid w:val="00144473"/>
    <w:rsid w:val="00270D8F"/>
    <w:rsid w:val="002807D1"/>
    <w:rsid w:val="00294F93"/>
    <w:rsid w:val="00313DC5"/>
    <w:rsid w:val="0064358C"/>
    <w:rsid w:val="0071543A"/>
    <w:rsid w:val="0082667B"/>
    <w:rsid w:val="0083609A"/>
    <w:rsid w:val="008E412F"/>
    <w:rsid w:val="00966377"/>
    <w:rsid w:val="009922BA"/>
    <w:rsid w:val="009F400E"/>
    <w:rsid w:val="009F6557"/>
    <w:rsid w:val="00A253E7"/>
    <w:rsid w:val="00AD6D7A"/>
    <w:rsid w:val="00B12354"/>
    <w:rsid w:val="00B34AD0"/>
    <w:rsid w:val="00B40CE8"/>
    <w:rsid w:val="00B54C46"/>
    <w:rsid w:val="00B611B1"/>
    <w:rsid w:val="00D14A70"/>
    <w:rsid w:val="00D71C27"/>
    <w:rsid w:val="00DD77A6"/>
    <w:rsid w:val="00DE560C"/>
    <w:rsid w:val="00ED437F"/>
    <w:rsid w:val="00FB41F5"/>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6775C2"/>
  <w15:chartTrackingRefBased/>
  <w15:docId w15:val="{DF7182F8-73F2-407C-94ED-B4FA1E8EC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1543A"/>
    <w:pPr>
      <w:spacing w:after="200" w:line="276" w:lineRule="auto"/>
    </w:pPr>
    <w:rPr>
      <w:rFonts w:ascii="Calibri" w:hAnsi="Calibri" w:cs="Calibri"/>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71543A"/>
    <w:pPr>
      <w:autoSpaceDE w:val="0"/>
      <w:autoSpaceDN w:val="0"/>
      <w:adjustRightInd w:val="0"/>
      <w:spacing w:after="0" w:line="240" w:lineRule="auto"/>
    </w:pPr>
    <w:rPr>
      <w:rFonts w:ascii="Arial" w:hAnsi="Arial" w:cs="Arial"/>
      <w:color w:val="000000"/>
      <w:sz w:val="24"/>
      <w:szCs w:val="24"/>
    </w:rPr>
  </w:style>
  <w:style w:type="paragraph" w:styleId="Textodeglobo">
    <w:name w:val="Balloon Text"/>
    <w:basedOn w:val="Normal"/>
    <w:link w:val="TextodegloboCar"/>
    <w:uiPriority w:val="99"/>
    <w:semiHidden/>
    <w:unhideWhenUsed/>
    <w:rsid w:val="009F655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F6557"/>
    <w:rPr>
      <w:rFonts w:ascii="Segoe UI" w:hAnsi="Segoe UI" w:cs="Segoe UI"/>
      <w:sz w:val="18"/>
      <w:szCs w:val="18"/>
    </w:rPr>
  </w:style>
  <w:style w:type="paragraph" w:styleId="Encabezado">
    <w:name w:val="header"/>
    <w:basedOn w:val="Normal"/>
    <w:link w:val="EncabezadoCar"/>
    <w:uiPriority w:val="99"/>
    <w:unhideWhenUsed/>
    <w:rsid w:val="00ED437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D437F"/>
    <w:rPr>
      <w:rFonts w:ascii="Calibri" w:hAnsi="Calibri" w:cs="Calibri"/>
    </w:rPr>
  </w:style>
  <w:style w:type="paragraph" w:styleId="Piedepgina">
    <w:name w:val="footer"/>
    <w:basedOn w:val="Normal"/>
    <w:link w:val="PiedepginaCar"/>
    <w:uiPriority w:val="99"/>
    <w:unhideWhenUsed/>
    <w:rsid w:val="00ED437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D437F"/>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24434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287</Words>
  <Characters>1584</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MOGLIA, VALERIA</dc:creator>
  <cp:keywords/>
  <dc:description/>
  <cp:lastModifiedBy>VOLMAN, CAROLINA DAIANA</cp:lastModifiedBy>
  <cp:revision>3</cp:revision>
  <cp:lastPrinted>2019-06-27T20:01:00Z</cp:lastPrinted>
  <dcterms:created xsi:type="dcterms:W3CDTF">2019-06-27T20:30:00Z</dcterms:created>
  <dcterms:modified xsi:type="dcterms:W3CDTF">2019-06-27T20:30:00Z</dcterms:modified>
</cp:coreProperties>
</file>