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7F0E" w14:textId="09C9BD01" w:rsidR="00C354DE" w:rsidRDefault="00C354DE" w:rsidP="00C354DE">
      <w:pPr>
        <w:ind w:right="99"/>
        <w:jc w:val="right"/>
        <w:outlineLvl w:val="0"/>
        <w:rPr>
          <w:rFonts w:ascii="Arial" w:hAnsi="Arial"/>
          <w:sz w:val="22"/>
        </w:rPr>
      </w:pPr>
      <w:r>
        <w:rPr>
          <w:rFonts w:ascii="Arial" w:hAnsi="Arial"/>
          <w:sz w:val="22"/>
        </w:rPr>
        <w:t xml:space="preserve">Ciudad Autónoma de Buenos Aires, </w:t>
      </w:r>
      <w:r w:rsidR="00485F80">
        <w:rPr>
          <w:rFonts w:ascii="Arial" w:hAnsi="Arial"/>
          <w:sz w:val="22"/>
        </w:rPr>
        <w:t>7</w:t>
      </w:r>
      <w:r w:rsidR="009A17AE">
        <w:rPr>
          <w:rFonts w:ascii="Arial" w:hAnsi="Arial"/>
          <w:sz w:val="22"/>
        </w:rPr>
        <w:t xml:space="preserve"> de </w:t>
      </w:r>
      <w:r w:rsidR="00485F80">
        <w:rPr>
          <w:rFonts w:ascii="Arial" w:hAnsi="Arial"/>
          <w:sz w:val="22"/>
        </w:rPr>
        <w:t>noviembre</w:t>
      </w:r>
      <w:r>
        <w:rPr>
          <w:rFonts w:ascii="Arial" w:hAnsi="Arial"/>
          <w:sz w:val="22"/>
        </w:rPr>
        <w:t xml:space="preserve"> </w:t>
      </w:r>
      <w:r w:rsidRPr="000E5CDE">
        <w:rPr>
          <w:rFonts w:ascii="Arial" w:hAnsi="Arial"/>
          <w:sz w:val="22"/>
        </w:rPr>
        <w:t>de 201</w:t>
      </w:r>
      <w:r w:rsidR="00A3695F">
        <w:rPr>
          <w:rFonts w:ascii="Arial" w:hAnsi="Arial"/>
          <w:sz w:val="22"/>
        </w:rPr>
        <w:t>9</w:t>
      </w:r>
    </w:p>
    <w:p w14:paraId="69712E33" w14:textId="77777777" w:rsidR="00C354DE" w:rsidRDefault="00C354DE" w:rsidP="00C354DE">
      <w:pPr>
        <w:ind w:right="99"/>
        <w:jc w:val="right"/>
        <w:outlineLvl w:val="0"/>
        <w:rPr>
          <w:rFonts w:ascii="Arial" w:hAnsi="Arial"/>
          <w:sz w:val="22"/>
        </w:rPr>
      </w:pPr>
    </w:p>
    <w:p w14:paraId="36064CF2" w14:textId="77777777" w:rsidR="00C354DE" w:rsidRDefault="00C354DE" w:rsidP="00C354DE">
      <w:pPr>
        <w:ind w:right="99"/>
        <w:jc w:val="right"/>
        <w:outlineLvl w:val="0"/>
        <w:rPr>
          <w:rFonts w:ascii="Arial" w:hAnsi="Arial"/>
          <w:sz w:val="22"/>
        </w:rPr>
      </w:pPr>
    </w:p>
    <w:p w14:paraId="2AC2A167" w14:textId="77777777" w:rsidR="00C354DE" w:rsidRDefault="00C354DE" w:rsidP="00C354DE">
      <w:pPr>
        <w:ind w:right="856"/>
        <w:outlineLvl w:val="0"/>
        <w:rPr>
          <w:rFonts w:ascii="Arial" w:hAnsi="Arial"/>
          <w:sz w:val="22"/>
        </w:rPr>
      </w:pPr>
      <w:r>
        <w:rPr>
          <w:rFonts w:ascii="Arial" w:hAnsi="Arial"/>
          <w:sz w:val="22"/>
        </w:rPr>
        <w:t>Señores:</w:t>
      </w:r>
    </w:p>
    <w:p w14:paraId="51D7F28B" w14:textId="77777777" w:rsidR="004003EA" w:rsidRDefault="004003EA" w:rsidP="004003EA">
      <w:pPr>
        <w:ind w:right="856"/>
        <w:outlineLvl w:val="0"/>
        <w:rPr>
          <w:rFonts w:ascii="Arial" w:hAnsi="Arial"/>
          <w:b/>
          <w:sz w:val="22"/>
          <w:u w:val="single"/>
        </w:rPr>
      </w:pPr>
      <w:r>
        <w:rPr>
          <w:rFonts w:ascii="Arial" w:hAnsi="Arial"/>
          <w:b/>
          <w:sz w:val="22"/>
        </w:rPr>
        <w:t>Comisión Nacional de Valores</w:t>
      </w:r>
    </w:p>
    <w:p w14:paraId="087673F2" w14:textId="77777777" w:rsidR="00C354DE" w:rsidRDefault="00C354DE" w:rsidP="00C354DE">
      <w:pPr>
        <w:ind w:right="567"/>
        <w:jc w:val="both"/>
        <w:rPr>
          <w:rFonts w:ascii="Arial" w:hAnsi="Arial"/>
          <w:sz w:val="22"/>
          <w:u w:val="single"/>
        </w:rPr>
      </w:pPr>
      <w:r>
        <w:rPr>
          <w:rFonts w:ascii="Arial" w:hAnsi="Arial"/>
          <w:sz w:val="22"/>
          <w:u w:val="single"/>
        </w:rPr>
        <w:t>Presente</w:t>
      </w:r>
    </w:p>
    <w:p w14:paraId="434AD279" w14:textId="77777777" w:rsidR="00C354DE" w:rsidRDefault="00C354DE" w:rsidP="00C354DE">
      <w:pPr>
        <w:ind w:right="567"/>
        <w:jc w:val="both"/>
        <w:rPr>
          <w:rFonts w:ascii="Arial" w:hAnsi="Arial"/>
          <w:sz w:val="22"/>
        </w:rPr>
      </w:pPr>
    </w:p>
    <w:p w14:paraId="28793158" w14:textId="4E1CFC4C" w:rsidR="00C354DE" w:rsidRDefault="00C354DE" w:rsidP="00C354DE">
      <w:pPr>
        <w:ind w:left="4962" w:right="27" w:hanging="714"/>
        <w:jc w:val="right"/>
        <w:outlineLvl w:val="0"/>
        <w:rPr>
          <w:rFonts w:ascii="Arial" w:hAnsi="Arial"/>
          <w:sz w:val="22"/>
        </w:rPr>
      </w:pPr>
      <w:r>
        <w:rPr>
          <w:rFonts w:ascii="Arial" w:hAnsi="Arial"/>
          <w:sz w:val="22"/>
          <w:u w:val="single"/>
        </w:rPr>
        <w:t>Ref.</w:t>
      </w:r>
      <w:r>
        <w:rPr>
          <w:rFonts w:ascii="Arial" w:hAnsi="Arial"/>
          <w:sz w:val="22"/>
        </w:rPr>
        <w:t xml:space="preserve">: Estados </w:t>
      </w:r>
      <w:r w:rsidR="00D80950">
        <w:rPr>
          <w:rFonts w:ascii="Arial" w:hAnsi="Arial"/>
          <w:sz w:val="22"/>
        </w:rPr>
        <w:t>F</w:t>
      </w:r>
      <w:r w:rsidR="008014D1">
        <w:rPr>
          <w:rFonts w:ascii="Arial" w:hAnsi="Arial"/>
          <w:sz w:val="22"/>
        </w:rPr>
        <w:t xml:space="preserve">inancieros </w:t>
      </w:r>
      <w:r w:rsidR="00485F80">
        <w:rPr>
          <w:rFonts w:ascii="Arial" w:hAnsi="Arial"/>
          <w:sz w:val="22"/>
        </w:rPr>
        <w:t>al 30/09</w:t>
      </w:r>
      <w:r>
        <w:rPr>
          <w:rFonts w:ascii="Arial" w:hAnsi="Arial"/>
          <w:sz w:val="22"/>
        </w:rPr>
        <w:t>/</w:t>
      </w:r>
      <w:r w:rsidR="00D80950">
        <w:rPr>
          <w:rFonts w:ascii="Arial" w:hAnsi="Arial"/>
          <w:sz w:val="22"/>
        </w:rPr>
        <w:t>2019</w:t>
      </w:r>
    </w:p>
    <w:p w14:paraId="4C66B816" w14:textId="77777777" w:rsidR="00C354DE" w:rsidRDefault="00C354DE" w:rsidP="00C354DE">
      <w:pPr>
        <w:ind w:left="3544" w:right="567" w:firstLine="704"/>
        <w:jc w:val="both"/>
        <w:outlineLvl w:val="0"/>
        <w:rPr>
          <w:rFonts w:ascii="Arial" w:hAnsi="Arial" w:cs="Arial"/>
          <w:sz w:val="22"/>
        </w:rPr>
      </w:pPr>
    </w:p>
    <w:p w14:paraId="71D5713A" w14:textId="55A714DC" w:rsidR="00A3695F" w:rsidRDefault="00A3695F" w:rsidP="00A3695F">
      <w:pPr>
        <w:pStyle w:val="Default"/>
        <w:jc w:val="both"/>
        <w:rPr>
          <w:sz w:val="22"/>
          <w:szCs w:val="22"/>
        </w:rPr>
      </w:pPr>
      <w:r>
        <w:rPr>
          <w:sz w:val="22"/>
          <w:szCs w:val="22"/>
        </w:rPr>
        <w:t>Nos dirigimos a Uds. al efecto de cumplir con l</w:t>
      </w:r>
      <w:r w:rsidR="00D80950">
        <w:rPr>
          <w:sz w:val="22"/>
          <w:szCs w:val="22"/>
        </w:rPr>
        <w:t>o requerido por el artículo N°63</w:t>
      </w:r>
      <w:r>
        <w:rPr>
          <w:sz w:val="22"/>
          <w:szCs w:val="22"/>
        </w:rPr>
        <w:t xml:space="preserve"> del Reglamento del Listado de ByMA. </w:t>
      </w:r>
    </w:p>
    <w:p w14:paraId="2465B283" w14:textId="77777777" w:rsidR="00A3695F" w:rsidRDefault="00A3695F" w:rsidP="00A3695F">
      <w:pPr>
        <w:pStyle w:val="Default"/>
        <w:jc w:val="both"/>
        <w:rPr>
          <w:sz w:val="22"/>
          <w:szCs w:val="22"/>
        </w:rPr>
      </w:pPr>
    </w:p>
    <w:p w14:paraId="6C7E098E" w14:textId="20BA6F5D" w:rsidR="00C354DE" w:rsidRPr="00D80950" w:rsidRDefault="00A3695F" w:rsidP="00D80950">
      <w:pPr>
        <w:pStyle w:val="Default"/>
        <w:jc w:val="both"/>
      </w:pPr>
      <w:r>
        <w:rPr>
          <w:sz w:val="22"/>
          <w:szCs w:val="22"/>
        </w:rPr>
        <w:t xml:space="preserve">En tal sentido, informamos que el Directorio de YPF S.A. (la “Sociedad”) aprobó, en su reunión celebrada el </w:t>
      </w:r>
      <w:r w:rsidR="00485F80">
        <w:rPr>
          <w:sz w:val="22"/>
          <w:szCs w:val="22"/>
        </w:rPr>
        <w:t>7</w:t>
      </w:r>
      <w:r w:rsidR="009A17AE">
        <w:rPr>
          <w:sz w:val="22"/>
          <w:szCs w:val="22"/>
        </w:rPr>
        <w:t xml:space="preserve"> de </w:t>
      </w:r>
      <w:r w:rsidR="00485F80">
        <w:rPr>
          <w:sz w:val="22"/>
          <w:szCs w:val="22"/>
        </w:rPr>
        <w:t>noviembre</w:t>
      </w:r>
      <w:r w:rsidR="00D80950">
        <w:rPr>
          <w:sz w:val="22"/>
          <w:szCs w:val="22"/>
        </w:rPr>
        <w:t xml:space="preserve"> </w:t>
      </w:r>
      <w:r>
        <w:rPr>
          <w:sz w:val="22"/>
          <w:szCs w:val="22"/>
        </w:rPr>
        <w:t xml:space="preserve">del corriente, </w:t>
      </w:r>
      <w:r w:rsidR="00D80950" w:rsidRPr="00D80950">
        <w:rPr>
          <w:sz w:val="22"/>
          <w:szCs w:val="22"/>
        </w:rPr>
        <w:t>los estados financieros intermedios co</w:t>
      </w:r>
      <w:r w:rsidR="009A17AE">
        <w:rPr>
          <w:sz w:val="22"/>
          <w:szCs w:val="22"/>
        </w:rPr>
        <w:t xml:space="preserve">ndensados por el período de </w:t>
      </w:r>
      <w:r w:rsidR="00485F80">
        <w:rPr>
          <w:sz w:val="22"/>
          <w:szCs w:val="22"/>
        </w:rPr>
        <w:t>nueve</w:t>
      </w:r>
      <w:r w:rsidR="00D80950" w:rsidRPr="00D80950">
        <w:rPr>
          <w:sz w:val="22"/>
          <w:szCs w:val="22"/>
        </w:rPr>
        <w:t xml:space="preserve"> meses f</w:t>
      </w:r>
      <w:r w:rsidR="009A17AE">
        <w:rPr>
          <w:sz w:val="22"/>
          <w:szCs w:val="22"/>
        </w:rPr>
        <w:t xml:space="preserve">inalizado el 30 de </w:t>
      </w:r>
      <w:r w:rsidR="00485F80">
        <w:rPr>
          <w:sz w:val="22"/>
          <w:szCs w:val="22"/>
        </w:rPr>
        <w:t>septiembre</w:t>
      </w:r>
      <w:r w:rsidR="00D80950">
        <w:rPr>
          <w:sz w:val="22"/>
          <w:szCs w:val="22"/>
        </w:rPr>
        <w:t xml:space="preserve"> de 2019</w:t>
      </w:r>
      <w:r>
        <w:rPr>
          <w:sz w:val="22"/>
          <w:szCs w:val="22"/>
        </w:rPr>
        <w:t xml:space="preserve">. Se detalla a continuación la información relevante </w:t>
      </w:r>
      <w:r w:rsidR="00B05756">
        <w:rPr>
          <w:sz w:val="22"/>
          <w:szCs w:val="22"/>
        </w:rPr>
        <w:t>de</w:t>
      </w:r>
      <w:r>
        <w:rPr>
          <w:sz w:val="22"/>
          <w:szCs w:val="22"/>
        </w:rPr>
        <w:t xml:space="preserve"> los estados financieros</w:t>
      </w:r>
      <w:r w:rsidR="00831963">
        <w:rPr>
          <w:sz w:val="22"/>
          <w:szCs w:val="22"/>
        </w:rPr>
        <w:t xml:space="preserve"> intermedios condensados</w:t>
      </w:r>
      <w:r>
        <w:rPr>
          <w:sz w:val="22"/>
          <w:szCs w:val="22"/>
        </w:rPr>
        <w:t xml:space="preserve"> consolidados de la Sociedad:</w:t>
      </w:r>
    </w:p>
    <w:p w14:paraId="3A416EBE" w14:textId="77777777" w:rsidR="00A3695F" w:rsidRPr="00A3695F" w:rsidRDefault="00A3695F" w:rsidP="00A3695F">
      <w:pPr>
        <w:pStyle w:val="Default"/>
        <w:jc w:val="both"/>
        <w:rPr>
          <w:sz w:val="22"/>
          <w:szCs w:val="22"/>
        </w:rPr>
      </w:pPr>
    </w:p>
    <w:p w14:paraId="7B424710" w14:textId="23D20C8E" w:rsidR="00C354DE" w:rsidRDefault="00C354DE" w:rsidP="00C354DE">
      <w:pPr>
        <w:numPr>
          <w:ilvl w:val="0"/>
          <w:numId w:val="1"/>
        </w:numPr>
        <w:ind w:left="284" w:right="522" w:hanging="284"/>
        <w:jc w:val="both"/>
        <w:rPr>
          <w:rFonts w:ascii="Arial" w:hAnsi="Arial"/>
          <w:sz w:val="22"/>
        </w:rPr>
      </w:pPr>
      <w:r>
        <w:rPr>
          <w:rFonts w:ascii="Arial" w:hAnsi="Arial"/>
          <w:b/>
          <w:bCs/>
          <w:sz w:val="22"/>
          <w:u w:val="single"/>
        </w:rPr>
        <w:t xml:space="preserve">Resultado </w:t>
      </w:r>
      <w:r w:rsidR="00234C78">
        <w:rPr>
          <w:rFonts w:ascii="Arial" w:hAnsi="Arial"/>
          <w:b/>
          <w:bCs/>
          <w:sz w:val="22"/>
          <w:u w:val="single"/>
        </w:rPr>
        <w:t xml:space="preserve">neto </w:t>
      </w:r>
      <w:r w:rsidRPr="0077165A">
        <w:rPr>
          <w:rFonts w:ascii="Arial" w:hAnsi="Arial"/>
          <w:sz w:val="22"/>
        </w:rPr>
        <w:t>(en millones de pesos)</w:t>
      </w:r>
    </w:p>
    <w:p w14:paraId="38AD1B10" w14:textId="77777777" w:rsidR="00C354DE" w:rsidRDefault="00C354DE" w:rsidP="00C354DE">
      <w:pPr>
        <w:tabs>
          <w:tab w:val="right" w:pos="6237"/>
          <w:tab w:val="right" w:pos="7088"/>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AF4B4D" w:rsidRPr="00A404AF" w14:paraId="6C5B590C" w14:textId="77777777" w:rsidTr="008D21F5">
        <w:tc>
          <w:tcPr>
            <w:tcW w:w="7863" w:type="dxa"/>
            <w:vAlign w:val="bottom"/>
          </w:tcPr>
          <w:p w14:paraId="63F3FE2A" w14:textId="77777777" w:rsidR="00AF4B4D" w:rsidRPr="00A404AF" w:rsidRDefault="00AF4B4D" w:rsidP="00067482">
            <w:pPr>
              <w:tabs>
                <w:tab w:val="right" w:leader="dot" w:pos="7647"/>
              </w:tabs>
              <w:ind w:right="522"/>
              <w:rPr>
                <w:rFonts w:ascii="Arial" w:hAnsi="Arial"/>
                <w:sz w:val="22"/>
              </w:rPr>
            </w:pPr>
            <w:r w:rsidRPr="00A404AF">
              <w:rPr>
                <w:rFonts w:ascii="Arial" w:hAnsi="Arial"/>
                <w:sz w:val="22"/>
              </w:rPr>
              <w:t>Atribuible a los accionistas de la controlante</w:t>
            </w:r>
            <w:r w:rsidR="00067482" w:rsidRPr="00A404AF">
              <w:rPr>
                <w:rFonts w:ascii="Arial" w:hAnsi="Arial"/>
                <w:sz w:val="22"/>
              </w:rPr>
              <w:tab/>
            </w:r>
          </w:p>
        </w:tc>
        <w:tc>
          <w:tcPr>
            <w:tcW w:w="1474" w:type="dxa"/>
            <w:vAlign w:val="bottom"/>
          </w:tcPr>
          <w:p w14:paraId="226A8ACB" w14:textId="399B3EEF" w:rsidR="00AF4B4D" w:rsidRPr="00A404AF" w:rsidRDefault="009C484D" w:rsidP="008D21F5">
            <w:pPr>
              <w:tabs>
                <w:tab w:val="decimal" w:pos="1168"/>
              </w:tabs>
              <w:jc w:val="right"/>
              <w:rPr>
                <w:rFonts w:ascii="Arial" w:hAnsi="Arial" w:cs="Arial"/>
                <w:sz w:val="22"/>
                <w:lang w:val="es-AR"/>
              </w:rPr>
            </w:pPr>
            <w:r>
              <w:rPr>
                <w:rFonts w:ascii="Arial" w:hAnsi="Arial" w:cs="Arial"/>
                <w:sz w:val="22"/>
                <w:lang w:val="es-AR"/>
              </w:rPr>
              <w:t>(23.595)</w:t>
            </w:r>
          </w:p>
        </w:tc>
      </w:tr>
      <w:tr w:rsidR="00AF4B4D" w:rsidRPr="00A404AF" w14:paraId="45B0AA31" w14:textId="77777777" w:rsidTr="008D21F5">
        <w:tc>
          <w:tcPr>
            <w:tcW w:w="7863" w:type="dxa"/>
            <w:vAlign w:val="bottom"/>
          </w:tcPr>
          <w:p w14:paraId="07741042" w14:textId="77777777" w:rsidR="00AF4B4D" w:rsidRPr="00A404AF" w:rsidRDefault="00AF4B4D" w:rsidP="00067482">
            <w:pPr>
              <w:tabs>
                <w:tab w:val="right" w:leader="dot" w:pos="7647"/>
              </w:tabs>
              <w:ind w:right="522"/>
              <w:rPr>
                <w:rFonts w:ascii="Arial" w:hAnsi="Arial"/>
                <w:sz w:val="22"/>
              </w:rPr>
            </w:pPr>
            <w:r w:rsidRPr="00A404AF">
              <w:rPr>
                <w:rFonts w:ascii="Arial" w:hAnsi="Arial"/>
                <w:sz w:val="22"/>
              </w:rPr>
              <w:t>Atribuible al interés no controlante</w:t>
            </w:r>
            <w:r w:rsidR="00067482" w:rsidRPr="00A404AF">
              <w:rPr>
                <w:rFonts w:ascii="Arial" w:hAnsi="Arial"/>
                <w:sz w:val="22"/>
              </w:rPr>
              <w:tab/>
            </w:r>
          </w:p>
        </w:tc>
        <w:tc>
          <w:tcPr>
            <w:tcW w:w="1474" w:type="dxa"/>
            <w:tcBorders>
              <w:bottom w:val="single" w:sz="4" w:space="0" w:color="auto"/>
            </w:tcBorders>
            <w:vAlign w:val="bottom"/>
          </w:tcPr>
          <w:p w14:paraId="0AA060DD" w14:textId="1FFFA65B" w:rsidR="00AF4B4D" w:rsidRPr="00A404AF" w:rsidRDefault="009C484D" w:rsidP="008D21F5">
            <w:pPr>
              <w:tabs>
                <w:tab w:val="decimal" w:pos="1168"/>
              </w:tabs>
              <w:jc w:val="right"/>
              <w:rPr>
                <w:rFonts w:ascii="Arial" w:hAnsi="Arial" w:cs="Arial"/>
                <w:sz w:val="22"/>
                <w:lang w:val="es-AR"/>
              </w:rPr>
            </w:pPr>
            <w:r>
              <w:rPr>
                <w:rFonts w:ascii="Arial" w:hAnsi="Arial" w:cs="Arial"/>
                <w:sz w:val="22"/>
                <w:lang w:val="es-AR"/>
              </w:rPr>
              <w:t>572</w:t>
            </w:r>
          </w:p>
        </w:tc>
      </w:tr>
      <w:tr w:rsidR="00AF4B4D" w:rsidRPr="00A404AF" w14:paraId="181E67EF" w14:textId="77777777" w:rsidTr="008D21F5">
        <w:tc>
          <w:tcPr>
            <w:tcW w:w="7863" w:type="dxa"/>
            <w:vAlign w:val="bottom"/>
          </w:tcPr>
          <w:p w14:paraId="257E0493" w14:textId="29CCA2D6" w:rsidR="00AF4B4D" w:rsidRPr="00A404AF" w:rsidRDefault="00AF4B4D" w:rsidP="008D21F5">
            <w:pPr>
              <w:tabs>
                <w:tab w:val="right" w:leader="dot" w:pos="7647"/>
              </w:tabs>
              <w:ind w:right="522"/>
              <w:rPr>
                <w:rFonts w:ascii="Arial" w:hAnsi="Arial"/>
                <w:b/>
                <w:sz w:val="22"/>
              </w:rPr>
            </w:pPr>
            <w:r w:rsidRPr="00A404AF">
              <w:rPr>
                <w:rFonts w:ascii="Arial" w:hAnsi="Arial"/>
                <w:b/>
                <w:sz w:val="22"/>
              </w:rPr>
              <w:t xml:space="preserve">Total </w:t>
            </w:r>
            <w:r w:rsidR="00B8458F" w:rsidRPr="00A404AF">
              <w:rPr>
                <w:rFonts w:ascii="Arial" w:hAnsi="Arial"/>
                <w:b/>
                <w:sz w:val="22"/>
              </w:rPr>
              <w:t>resultado neto</w:t>
            </w:r>
            <w:r w:rsidR="00BF13DE" w:rsidRPr="00A404AF">
              <w:rPr>
                <w:rFonts w:ascii="Arial" w:hAnsi="Arial"/>
                <w:b/>
                <w:sz w:val="22"/>
              </w:rPr>
              <w:tab/>
            </w:r>
          </w:p>
        </w:tc>
        <w:tc>
          <w:tcPr>
            <w:tcW w:w="1474" w:type="dxa"/>
            <w:tcBorders>
              <w:top w:val="single" w:sz="4" w:space="0" w:color="auto"/>
              <w:bottom w:val="double" w:sz="4" w:space="0" w:color="auto"/>
            </w:tcBorders>
            <w:vAlign w:val="bottom"/>
          </w:tcPr>
          <w:p w14:paraId="6E824F05" w14:textId="64F6F8D8" w:rsidR="00AF4B4D" w:rsidRPr="00A404AF" w:rsidRDefault="001A7B6C" w:rsidP="001A7B6C">
            <w:pPr>
              <w:tabs>
                <w:tab w:val="decimal" w:pos="1168"/>
              </w:tabs>
              <w:ind w:left="220"/>
              <w:jc w:val="right"/>
              <w:rPr>
                <w:rFonts w:ascii="Arial" w:hAnsi="Arial" w:cs="Arial"/>
                <w:b/>
                <w:sz w:val="22"/>
                <w:lang w:val="es-AR"/>
              </w:rPr>
            </w:pPr>
            <w:r w:rsidRPr="00A404AF">
              <w:rPr>
                <w:rFonts w:ascii="Arial" w:hAnsi="Arial" w:cs="Arial"/>
                <w:b/>
                <w:sz w:val="22"/>
                <w:lang w:val="es-AR"/>
              </w:rPr>
              <w:t xml:space="preserve">  </w:t>
            </w:r>
            <w:r w:rsidR="00223EB4">
              <w:rPr>
                <w:rFonts w:ascii="Arial" w:hAnsi="Arial" w:cs="Arial"/>
                <w:b/>
                <w:sz w:val="22"/>
                <w:lang w:val="es-AR"/>
              </w:rPr>
              <w:t>(</w:t>
            </w:r>
            <w:r w:rsidR="009C484D">
              <w:rPr>
                <w:rFonts w:ascii="Arial" w:hAnsi="Arial" w:cs="Arial"/>
                <w:b/>
                <w:sz w:val="22"/>
                <w:lang w:val="es-AR"/>
              </w:rPr>
              <w:t>23.023</w:t>
            </w:r>
            <w:r w:rsidR="00223EB4">
              <w:rPr>
                <w:rFonts w:ascii="Arial" w:hAnsi="Arial" w:cs="Arial"/>
                <w:b/>
                <w:sz w:val="22"/>
                <w:lang w:val="es-AR"/>
              </w:rPr>
              <w:t>)</w:t>
            </w:r>
            <w:bookmarkStart w:id="0" w:name="_GoBack"/>
            <w:bookmarkEnd w:id="0"/>
          </w:p>
        </w:tc>
      </w:tr>
    </w:tbl>
    <w:p w14:paraId="6185EBB4" w14:textId="77777777" w:rsidR="00AF4B4D" w:rsidRPr="008864E1" w:rsidRDefault="00AF4B4D" w:rsidP="00C354DE">
      <w:pPr>
        <w:tabs>
          <w:tab w:val="right" w:pos="6237"/>
          <w:tab w:val="right" w:pos="7088"/>
        </w:tabs>
        <w:ind w:right="522"/>
        <w:jc w:val="both"/>
        <w:rPr>
          <w:rFonts w:ascii="Arial" w:hAnsi="Arial"/>
          <w:sz w:val="24"/>
          <w:highlight w:val="yellow"/>
        </w:rPr>
      </w:pPr>
    </w:p>
    <w:p w14:paraId="69B034DA" w14:textId="688D5772" w:rsidR="00C354DE" w:rsidRPr="00A404AF" w:rsidRDefault="00C354DE" w:rsidP="00C354DE">
      <w:pPr>
        <w:numPr>
          <w:ilvl w:val="0"/>
          <w:numId w:val="1"/>
        </w:numPr>
        <w:tabs>
          <w:tab w:val="right" w:pos="284"/>
        </w:tabs>
        <w:ind w:right="522" w:hanging="644"/>
        <w:jc w:val="both"/>
        <w:rPr>
          <w:rFonts w:ascii="Arial" w:hAnsi="Arial"/>
          <w:sz w:val="24"/>
        </w:rPr>
      </w:pPr>
      <w:r w:rsidRPr="00A404AF">
        <w:rPr>
          <w:rFonts w:ascii="Arial" w:hAnsi="Arial"/>
          <w:b/>
          <w:bCs/>
          <w:sz w:val="22"/>
          <w:u w:val="single"/>
        </w:rPr>
        <w:t xml:space="preserve">Otros resultados integrales </w:t>
      </w:r>
      <w:r w:rsidRPr="00A404AF">
        <w:rPr>
          <w:rFonts w:ascii="Arial" w:hAnsi="Arial"/>
          <w:sz w:val="22"/>
        </w:rPr>
        <w:t>(en millones de pesos)</w:t>
      </w:r>
    </w:p>
    <w:p w14:paraId="27E86E95" w14:textId="77777777" w:rsidR="00C354DE" w:rsidRPr="00A404AF" w:rsidRDefault="00C354DE" w:rsidP="00C354DE">
      <w:pPr>
        <w:tabs>
          <w:tab w:val="right" w:pos="284"/>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B8458F" w:rsidRPr="00A404AF" w14:paraId="22407FC8" w14:textId="77777777" w:rsidTr="00CF2AB3">
        <w:tc>
          <w:tcPr>
            <w:tcW w:w="7863" w:type="dxa"/>
            <w:vAlign w:val="bottom"/>
          </w:tcPr>
          <w:p w14:paraId="1AE70660" w14:textId="77777777" w:rsidR="00B8458F" w:rsidRPr="00A404AF" w:rsidRDefault="00B8458F" w:rsidP="00067482">
            <w:pPr>
              <w:tabs>
                <w:tab w:val="right" w:leader="dot" w:pos="7647"/>
              </w:tabs>
              <w:ind w:right="522"/>
              <w:rPr>
                <w:rFonts w:ascii="Arial" w:hAnsi="Arial"/>
                <w:sz w:val="22"/>
              </w:rPr>
            </w:pPr>
            <w:r w:rsidRPr="00A404AF">
              <w:rPr>
                <w:rFonts w:ascii="Arial" w:hAnsi="Arial"/>
                <w:sz w:val="22"/>
              </w:rPr>
              <w:t>Atribuible a los accionistas de la controlante</w:t>
            </w:r>
            <w:r w:rsidR="00067482" w:rsidRPr="00A404AF">
              <w:rPr>
                <w:rFonts w:ascii="Arial" w:hAnsi="Arial"/>
                <w:sz w:val="22"/>
              </w:rPr>
              <w:tab/>
            </w:r>
          </w:p>
        </w:tc>
        <w:tc>
          <w:tcPr>
            <w:tcW w:w="1474" w:type="dxa"/>
            <w:vAlign w:val="bottom"/>
          </w:tcPr>
          <w:p w14:paraId="2BEC45DA" w14:textId="3B94B662" w:rsidR="00B8458F" w:rsidRPr="00A404AF" w:rsidRDefault="009C484D" w:rsidP="008D21F5">
            <w:pPr>
              <w:ind w:right="57"/>
              <w:jc w:val="right"/>
              <w:rPr>
                <w:rFonts w:ascii="Arial" w:hAnsi="Arial" w:cs="Arial"/>
                <w:sz w:val="22"/>
                <w:lang w:val="es-AR"/>
              </w:rPr>
            </w:pPr>
            <w:r>
              <w:rPr>
                <w:rFonts w:ascii="Arial" w:hAnsi="Arial" w:cs="Arial"/>
                <w:sz w:val="22"/>
                <w:lang w:val="es-AR"/>
              </w:rPr>
              <w:t>189.943</w:t>
            </w:r>
          </w:p>
        </w:tc>
      </w:tr>
      <w:tr w:rsidR="00B8458F" w:rsidRPr="00A404AF" w14:paraId="3889258E" w14:textId="77777777" w:rsidTr="00CF2AB3">
        <w:tc>
          <w:tcPr>
            <w:tcW w:w="7863" w:type="dxa"/>
            <w:vAlign w:val="bottom"/>
          </w:tcPr>
          <w:p w14:paraId="1F72EF5A" w14:textId="77777777" w:rsidR="00B8458F" w:rsidRPr="00A404AF" w:rsidRDefault="00B8458F" w:rsidP="00067482">
            <w:pPr>
              <w:tabs>
                <w:tab w:val="right" w:leader="dot" w:pos="7647"/>
              </w:tabs>
              <w:ind w:right="522"/>
              <w:rPr>
                <w:rFonts w:ascii="Arial" w:hAnsi="Arial"/>
                <w:sz w:val="22"/>
              </w:rPr>
            </w:pPr>
            <w:r w:rsidRPr="00A404AF">
              <w:rPr>
                <w:rFonts w:ascii="Arial" w:hAnsi="Arial"/>
                <w:sz w:val="22"/>
              </w:rPr>
              <w:t>Atribuible al interés no controlante</w:t>
            </w:r>
            <w:r w:rsidR="00067482" w:rsidRPr="00A404AF">
              <w:rPr>
                <w:rFonts w:ascii="Arial" w:hAnsi="Arial"/>
                <w:sz w:val="22"/>
              </w:rPr>
              <w:tab/>
            </w:r>
          </w:p>
        </w:tc>
        <w:tc>
          <w:tcPr>
            <w:tcW w:w="1474" w:type="dxa"/>
            <w:tcBorders>
              <w:bottom w:val="single" w:sz="4" w:space="0" w:color="auto"/>
            </w:tcBorders>
            <w:vAlign w:val="bottom"/>
          </w:tcPr>
          <w:p w14:paraId="1755256B" w14:textId="7134979C" w:rsidR="00B8458F" w:rsidRPr="00A404AF" w:rsidRDefault="009C484D" w:rsidP="008D21F5">
            <w:pPr>
              <w:ind w:right="57"/>
              <w:jc w:val="right"/>
              <w:rPr>
                <w:rFonts w:ascii="Arial" w:hAnsi="Arial" w:cs="Arial"/>
                <w:sz w:val="22"/>
                <w:lang w:val="es-AR"/>
              </w:rPr>
            </w:pPr>
            <w:r>
              <w:rPr>
                <w:rFonts w:ascii="Arial" w:hAnsi="Arial" w:cs="Arial"/>
                <w:sz w:val="22"/>
                <w:lang w:val="es-AR"/>
              </w:rPr>
              <w:t>1.175</w:t>
            </w:r>
          </w:p>
        </w:tc>
      </w:tr>
      <w:tr w:rsidR="00B8458F" w:rsidRPr="008864E1" w14:paraId="51A31140" w14:textId="77777777" w:rsidTr="00CF2AB3">
        <w:tc>
          <w:tcPr>
            <w:tcW w:w="7863" w:type="dxa"/>
            <w:vAlign w:val="bottom"/>
          </w:tcPr>
          <w:p w14:paraId="00728E75" w14:textId="0C2F5B80" w:rsidR="00B8458F" w:rsidRPr="00A404AF" w:rsidRDefault="00B8458F" w:rsidP="008D21F5">
            <w:pPr>
              <w:tabs>
                <w:tab w:val="right" w:leader="dot" w:pos="7647"/>
              </w:tabs>
              <w:ind w:right="522"/>
              <w:rPr>
                <w:rFonts w:ascii="Arial" w:hAnsi="Arial"/>
                <w:b/>
                <w:sz w:val="22"/>
              </w:rPr>
            </w:pPr>
            <w:r w:rsidRPr="00A404AF">
              <w:rPr>
                <w:rFonts w:ascii="Arial" w:hAnsi="Arial"/>
                <w:b/>
                <w:sz w:val="22"/>
              </w:rPr>
              <w:t>Total otros resultados integrales</w:t>
            </w:r>
            <w:r w:rsidR="00523192" w:rsidRPr="00A404AF">
              <w:rPr>
                <w:rFonts w:ascii="Arial" w:hAnsi="Arial"/>
                <w:b/>
                <w:sz w:val="22"/>
              </w:rPr>
              <w:tab/>
            </w:r>
          </w:p>
        </w:tc>
        <w:tc>
          <w:tcPr>
            <w:tcW w:w="1474" w:type="dxa"/>
            <w:tcBorders>
              <w:top w:val="single" w:sz="4" w:space="0" w:color="auto"/>
              <w:bottom w:val="double" w:sz="4" w:space="0" w:color="auto"/>
            </w:tcBorders>
            <w:vAlign w:val="bottom"/>
          </w:tcPr>
          <w:p w14:paraId="45CFD820" w14:textId="477FEBDA" w:rsidR="009A17AE" w:rsidRPr="00A404AF" w:rsidRDefault="001A7B6C" w:rsidP="009A17AE">
            <w:pPr>
              <w:ind w:right="57"/>
              <w:jc w:val="right"/>
              <w:rPr>
                <w:rFonts w:ascii="Arial" w:hAnsi="Arial" w:cs="Arial"/>
                <w:b/>
                <w:sz w:val="22"/>
                <w:lang w:val="es-AR"/>
              </w:rPr>
            </w:pPr>
            <w:r w:rsidRPr="00A404AF">
              <w:rPr>
                <w:rFonts w:ascii="Arial" w:hAnsi="Arial" w:cs="Arial"/>
                <w:b/>
                <w:sz w:val="22"/>
                <w:lang w:val="es-AR"/>
              </w:rPr>
              <w:t xml:space="preserve"> </w:t>
            </w:r>
            <w:r w:rsidR="009C484D">
              <w:rPr>
                <w:rFonts w:ascii="Arial" w:hAnsi="Arial" w:cs="Arial"/>
                <w:b/>
                <w:sz w:val="22"/>
                <w:lang w:val="es-AR"/>
              </w:rPr>
              <w:t>191.118</w:t>
            </w:r>
          </w:p>
        </w:tc>
      </w:tr>
    </w:tbl>
    <w:p w14:paraId="77D9B072" w14:textId="77777777" w:rsidR="00A06C39" w:rsidRPr="008864E1" w:rsidRDefault="00A06C39" w:rsidP="00C354DE">
      <w:pPr>
        <w:tabs>
          <w:tab w:val="right" w:pos="284"/>
        </w:tabs>
        <w:ind w:right="522"/>
        <w:jc w:val="both"/>
        <w:rPr>
          <w:rFonts w:ascii="Arial" w:hAnsi="Arial"/>
          <w:sz w:val="24"/>
          <w:highlight w:val="yellow"/>
        </w:rPr>
      </w:pPr>
    </w:p>
    <w:p w14:paraId="7552EA57" w14:textId="1F67A307" w:rsidR="00C354DE" w:rsidRPr="00A404AF" w:rsidRDefault="00C354DE" w:rsidP="00C354DE">
      <w:pPr>
        <w:numPr>
          <w:ilvl w:val="0"/>
          <w:numId w:val="1"/>
        </w:numPr>
        <w:tabs>
          <w:tab w:val="right" w:pos="284"/>
        </w:tabs>
        <w:ind w:right="522" w:hanging="644"/>
        <w:jc w:val="both"/>
        <w:rPr>
          <w:rFonts w:ascii="Arial" w:hAnsi="Arial"/>
          <w:b/>
          <w:bCs/>
          <w:sz w:val="22"/>
          <w:u w:val="single"/>
        </w:rPr>
      </w:pPr>
      <w:r w:rsidRPr="00A404AF">
        <w:rPr>
          <w:rFonts w:ascii="Arial" w:hAnsi="Arial"/>
          <w:b/>
          <w:bCs/>
          <w:sz w:val="22"/>
          <w:u w:val="single"/>
        </w:rPr>
        <w:t xml:space="preserve">Resultado integral total </w:t>
      </w:r>
      <w:r w:rsidRPr="00A404AF">
        <w:rPr>
          <w:rFonts w:ascii="Arial" w:hAnsi="Arial"/>
          <w:sz w:val="22"/>
        </w:rPr>
        <w:t>(en millones de pesos)</w:t>
      </w:r>
    </w:p>
    <w:p w14:paraId="08F4FF39" w14:textId="77777777" w:rsidR="00C354DE" w:rsidRPr="00A404AF" w:rsidRDefault="00C354DE" w:rsidP="00C354DE">
      <w:pPr>
        <w:tabs>
          <w:tab w:val="right" w:pos="284"/>
        </w:tabs>
        <w:ind w:right="522"/>
        <w:jc w:val="both"/>
        <w:rPr>
          <w:rFonts w:ascii="Arial" w:hAnsi="Arial"/>
          <w:b/>
          <w:bCs/>
          <w:sz w:val="22"/>
          <w:u w:val="single"/>
        </w:rPr>
      </w:pPr>
    </w:p>
    <w:tbl>
      <w:tblPr>
        <w:tblW w:w="9337" w:type="dxa"/>
        <w:tblLayout w:type="fixed"/>
        <w:tblLook w:val="01E0" w:firstRow="1" w:lastRow="1" w:firstColumn="1" w:lastColumn="1" w:noHBand="0" w:noVBand="0"/>
      </w:tblPr>
      <w:tblGrid>
        <w:gridCol w:w="7863"/>
        <w:gridCol w:w="1474"/>
      </w:tblGrid>
      <w:tr w:rsidR="00B8458F" w:rsidRPr="00A404AF" w14:paraId="27FEF679" w14:textId="77777777" w:rsidTr="00CF2AB3">
        <w:tc>
          <w:tcPr>
            <w:tcW w:w="7863" w:type="dxa"/>
            <w:vAlign w:val="bottom"/>
          </w:tcPr>
          <w:p w14:paraId="39EFEBAC" w14:textId="77777777" w:rsidR="00B8458F" w:rsidRPr="00A404AF" w:rsidRDefault="00B8458F" w:rsidP="00067482">
            <w:pPr>
              <w:tabs>
                <w:tab w:val="right" w:leader="dot" w:pos="7647"/>
              </w:tabs>
              <w:ind w:right="522"/>
              <w:rPr>
                <w:rFonts w:ascii="Arial" w:hAnsi="Arial"/>
                <w:sz w:val="22"/>
              </w:rPr>
            </w:pPr>
            <w:r w:rsidRPr="00A404AF">
              <w:rPr>
                <w:rFonts w:ascii="Arial" w:hAnsi="Arial"/>
                <w:sz w:val="22"/>
              </w:rPr>
              <w:t>Atribuible a los accionistas de la controlante</w:t>
            </w:r>
            <w:r w:rsidR="00067482" w:rsidRPr="00A404AF">
              <w:rPr>
                <w:rFonts w:ascii="Arial" w:hAnsi="Arial"/>
                <w:sz w:val="22"/>
              </w:rPr>
              <w:tab/>
            </w:r>
          </w:p>
        </w:tc>
        <w:tc>
          <w:tcPr>
            <w:tcW w:w="1474" w:type="dxa"/>
            <w:vAlign w:val="bottom"/>
          </w:tcPr>
          <w:p w14:paraId="443107A4" w14:textId="655D974D" w:rsidR="00B8458F" w:rsidRPr="00A404AF" w:rsidRDefault="009C484D">
            <w:pPr>
              <w:tabs>
                <w:tab w:val="decimal" w:pos="1168"/>
              </w:tabs>
              <w:jc w:val="right"/>
              <w:rPr>
                <w:rFonts w:ascii="Arial" w:hAnsi="Arial" w:cs="Arial"/>
                <w:sz w:val="22"/>
                <w:lang w:val="es-AR"/>
              </w:rPr>
            </w:pPr>
            <w:r>
              <w:rPr>
                <w:rFonts w:ascii="Arial" w:hAnsi="Arial" w:cs="Arial"/>
                <w:sz w:val="22"/>
                <w:lang w:val="es-AR"/>
              </w:rPr>
              <w:t>166.348</w:t>
            </w:r>
          </w:p>
        </w:tc>
      </w:tr>
      <w:tr w:rsidR="00B8458F" w:rsidRPr="00A404AF" w14:paraId="3EAC887E" w14:textId="77777777" w:rsidTr="00CF2AB3">
        <w:tc>
          <w:tcPr>
            <w:tcW w:w="7863" w:type="dxa"/>
            <w:vAlign w:val="bottom"/>
          </w:tcPr>
          <w:p w14:paraId="7B4235E7" w14:textId="77777777" w:rsidR="00B8458F" w:rsidRPr="00A404AF" w:rsidRDefault="00B8458F" w:rsidP="00067482">
            <w:pPr>
              <w:tabs>
                <w:tab w:val="right" w:leader="dot" w:pos="7647"/>
              </w:tabs>
              <w:ind w:right="522"/>
              <w:rPr>
                <w:rFonts w:ascii="Arial" w:hAnsi="Arial"/>
                <w:sz w:val="22"/>
              </w:rPr>
            </w:pPr>
            <w:r w:rsidRPr="00A404AF">
              <w:rPr>
                <w:rFonts w:ascii="Arial" w:hAnsi="Arial"/>
                <w:sz w:val="22"/>
              </w:rPr>
              <w:t>Atribuible al interés no controlante</w:t>
            </w:r>
            <w:r w:rsidR="00067482" w:rsidRPr="00A404AF">
              <w:rPr>
                <w:rFonts w:ascii="Arial" w:hAnsi="Arial"/>
                <w:sz w:val="22"/>
              </w:rPr>
              <w:tab/>
            </w:r>
          </w:p>
        </w:tc>
        <w:tc>
          <w:tcPr>
            <w:tcW w:w="1474" w:type="dxa"/>
            <w:tcBorders>
              <w:bottom w:val="single" w:sz="4" w:space="0" w:color="auto"/>
            </w:tcBorders>
            <w:vAlign w:val="bottom"/>
          </w:tcPr>
          <w:p w14:paraId="361AD6BB" w14:textId="00B3EDB7" w:rsidR="00B8458F" w:rsidRPr="00A404AF" w:rsidRDefault="009C484D" w:rsidP="00CF2AB3">
            <w:pPr>
              <w:tabs>
                <w:tab w:val="decimal" w:pos="1168"/>
              </w:tabs>
              <w:jc w:val="right"/>
              <w:rPr>
                <w:rFonts w:ascii="Arial" w:hAnsi="Arial" w:cs="Arial"/>
                <w:sz w:val="22"/>
                <w:lang w:val="es-AR"/>
              </w:rPr>
            </w:pPr>
            <w:r>
              <w:rPr>
                <w:rFonts w:ascii="Arial" w:hAnsi="Arial" w:cs="Arial"/>
                <w:sz w:val="22"/>
                <w:lang w:val="es-AR"/>
              </w:rPr>
              <w:t>1.747</w:t>
            </w:r>
          </w:p>
        </w:tc>
      </w:tr>
      <w:tr w:rsidR="00B8458F" w:rsidRPr="00DA5441" w14:paraId="145806F6" w14:textId="77777777" w:rsidTr="00CF2AB3">
        <w:tc>
          <w:tcPr>
            <w:tcW w:w="7863" w:type="dxa"/>
            <w:vAlign w:val="bottom"/>
          </w:tcPr>
          <w:p w14:paraId="7BFD2B54" w14:textId="7A7E480D" w:rsidR="00B8458F" w:rsidRPr="00A404AF" w:rsidRDefault="00B8458F" w:rsidP="008D21F5">
            <w:pPr>
              <w:tabs>
                <w:tab w:val="right" w:leader="dot" w:pos="7647"/>
              </w:tabs>
              <w:ind w:right="522"/>
              <w:rPr>
                <w:rFonts w:ascii="Arial" w:hAnsi="Arial"/>
                <w:b/>
                <w:sz w:val="22"/>
              </w:rPr>
            </w:pPr>
            <w:r w:rsidRPr="00A404AF">
              <w:rPr>
                <w:rFonts w:ascii="Arial" w:hAnsi="Arial"/>
                <w:b/>
                <w:sz w:val="22"/>
              </w:rPr>
              <w:t>Total resultado integral</w:t>
            </w:r>
            <w:r w:rsidR="00523192" w:rsidRPr="00A404AF">
              <w:rPr>
                <w:rFonts w:ascii="Arial" w:hAnsi="Arial"/>
                <w:b/>
                <w:sz w:val="22"/>
              </w:rPr>
              <w:tab/>
            </w:r>
          </w:p>
        </w:tc>
        <w:tc>
          <w:tcPr>
            <w:tcW w:w="1474" w:type="dxa"/>
            <w:tcBorders>
              <w:top w:val="single" w:sz="4" w:space="0" w:color="auto"/>
              <w:bottom w:val="double" w:sz="4" w:space="0" w:color="auto"/>
            </w:tcBorders>
            <w:vAlign w:val="bottom"/>
          </w:tcPr>
          <w:p w14:paraId="3A742263" w14:textId="5AEB331E" w:rsidR="00B8458F" w:rsidRPr="00A404AF" w:rsidRDefault="009C484D">
            <w:pPr>
              <w:tabs>
                <w:tab w:val="decimal" w:pos="1168"/>
              </w:tabs>
              <w:jc w:val="right"/>
              <w:rPr>
                <w:rFonts w:ascii="Arial" w:hAnsi="Arial" w:cs="Arial"/>
                <w:b/>
                <w:sz w:val="22"/>
                <w:lang w:val="es-AR"/>
              </w:rPr>
            </w:pPr>
            <w:r>
              <w:rPr>
                <w:rFonts w:ascii="Arial" w:hAnsi="Arial" w:cs="Arial"/>
                <w:b/>
                <w:sz w:val="22"/>
                <w:lang w:val="es-AR"/>
              </w:rPr>
              <w:t>168.095</w:t>
            </w:r>
          </w:p>
        </w:tc>
      </w:tr>
    </w:tbl>
    <w:p w14:paraId="100FBA6D" w14:textId="77777777" w:rsidR="00A06C39" w:rsidRDefault="00A06C39" w:rsidP="00C354DE">
      <w:pPr>
        <w:tabs>
          <w:tab w:val="right" w:pos="284"/>
        </w:tabs>
        <w:ind w:right="522"/>
        <w:jc w:val="both"/>
        <w:rPr>
          <w:rFonts w:ascii="Arial" w:hAnsi="Arial"/>
          <w:b/>
          <w:bCs/>
          <w:sz w:val="22"/>
          <w:u w:val="single"/>
        </w:rPr>
      </w:pPr>
    </w:p>
    <w:p w14:paraId="466F9DC5" w14:textId="77777777" w:rsidR="00A06C39" w:rsidRDefault="00A06C39" w:rsidP="00C354DE">
      <w:pPr>
        <w:tabs>
          <w:tab w:val="right" w:pos="284"/>
        </w:tabs>
        <w:ind w:right="522"/>
        <w:jc w:val="both"/>
        <w:rPr>
          <w:rFonts w:ascii="Arial" w:hAnsi="Arial"/>
          <w:b/>
          <w:bCs/>
          <w:sz w:val="22"/>
          <w:u w:val="single"/>
        </w:rPr>
      </w:pPr>
    </w:p>
    <w:p w14:paraId="430474EB" w14:textId="40013B37" w:rsidR="00C354DE" w:rsidRPr="00754F99" w:rsidRDefault="00C354DE" w:rsidP="00C354DE">
      <w:pPr>
        <w:numPr>
          <w:ilvl w:val="0"/>
          <w:numId w:val="1"/>
        </w:numPr>
        <w:tabs>
          <w:tab w:val="right" w:pos="284"/>
        </w:tabs>
        <w:ind w:right="522" w:hanging="644"/>
        <w:jc w:val="both"/>
        <w:rPr>
          <w:rFonts w:ascii="Arial" w:hAnsi="Arial"/>
          <w:b/>
          <w:bCs/>
          <w:sz w:val="22"/>
          <w:u w:val="single"/>
        </w:rPr>
      </w:pPr>
      <w:r w:rsidRPr="00754F99">
        <w:rPr>
          <w:rFonts w:ascii="Arial" w:hAnsi="Arial"/>
          <w:b/>
          <w:bCs/>
          <w:sz w:val="22"/>
          <w:u w:val="single"/>
        </w:rPr>
        <w:t xml:space="preserve">Detalle del </w:t>
      </w:r>
      <w:r w:rsidR="00E45231">
        <w:rPr>
          <w:rFonts w:ascii="Arial" w:hAnsi="Arial"/>
          <w:b/>
          <w:bCs/>
          <w:sz w:val="22"/>
          <w:u w:val="single"/>
        </w:rPr>
        <w:t>p</w:t>
      </w:r>
      <w:r w:rsidR="00E45231" w:rsidRPr="00754F99">
        <w:rPr>
          <w:rFonts w:ascii="Arial" w:hAnsi="Arial"/>
          <w:b/>
          <w:bCs/>
          <w:sz w:val="22"/>
          <w:u w:val="single"/>
        </w:rPr>
        <w:t xml:space="preserve">atrimonio </w:t>
      </w:r>
      <w:r w:rsidRPr="00754F99">
        <w:rPr>
          <w:rFonts w:ascii="Arial" w:hAnsi="Arial"/>
          <w:b/>
          <w:bCs/>
          <w:sz w:val="22"/>
          <w:u w:val="single"/>
        </w:rPr>
        <w:t xml:space="preserve">al </w:t>
      </w:r>
      <w:r w:rsidR="0034678B">
        <w:rPr>
          <w:rFonts w:ascii="Arial" w:hAnsi="Arial"/>
          <w:b/>
          <w:bCs/>
          <w:sz w:val="22"/>
          <w:u w:val="single"/>
        </w:rPr>
        <w:t>30/09</w:t>
      </w:r>
      <w:r w:rsidRPr="00754F99">
        <w:rPr>
          <w:rFonts w:ascii="Arial" w:hAnsi="Arial"/>
          <w:b/>
          <w:bCs/>
          <w:sz w:val="22"/>
          <w:u w:val="single"/>
        </w:rPr>
        <w:t>/</w:t>
      </w:r>
      <w:r w:rsidR="00A1516B" w:rsidRPr="00754F99">
        <w:rPr>
          <w:rFonts w:ascii="Arial" w:hAnsi="Arial"/>
          <w:b/>
          <w:bCs/>
          <w:sz w:val="22"/>
          <w:u w:val="single"/>
        </w:rPr>
        <w:t>201</w:t>
      </w:r>
      <w:r w:rsidR="00680FF4">
        <w:rPr>
          <w:rFonts w:ascii="Arial" w:hAnsi="Arial"/>
          <w:b/>
          <w:bCs/>
          <w:sz w:val="22"/>
          <w:u w:val="single"/>
        </w:rPr>
        <w:t>9</w:t>
      </w:r>
      <w:r w:rsidR="00A1516B" w:rsidRPr="008D21F5">
        <w:rPr>
          <w:rFonts w:ascii="Arial" w:hAnsi="Arial"/>
          <w:b/>
          <w:bCs/>
          <w:sz w:val="22"/>
        </w:rPr>
        <w:t xml:space="preserve"> </w:t>
      </w:r>
      <w:r w:rsidRPr="0077165A">
        <w:rPr>
          <w:rFonts w:ascii="Arial" w:hAnsi="Arial"/>
          <w:sz w:val="22"/>
        </w:rPr>
        <w:t>(en millones de pesos)</w:t>
      </w:r>
    </w:p>
    <w:p w14:paraId="1D0639DC" w14:textId="77777777" w:rsidR="00C354DE" w:rsidRPr="00FC45D6" w:rsidRDefault="00C354DE" w:rsidP="00C354DE">
      <w:pPr>
        <w:tabs>
          <w:tab w:val="right" w:pos="6237"/>
          <w:tab w:val="right" w:pos="7088"/>
        </w:tabs>
        <w:ind w:right="522"/>
        <w:jc w:val="both"/>
        <w:rPr>
          <w:rFonts w:ascii="Arial" w:hAnsi="Arial"/>
          <w:sz w:val="22"/>
        </w:rPr>
      </w:pPr>
    </w:p>
    <w:tbl>
      <w:tblPr>
        <w:tblW w:w="9337" w:type="dxa"/>
        <w:tblLayout w:type="fixed"/>
        <w:tblLook w:val="01E0" w:firstRow="1" w:lastRow="1" w:firstColumn="1" w:lastColumn="1" w:noHBand="0" w:noVBand="0"/>
      </w:tblPr>
      <w:tblGrid>
        <w:gridCol w:w="7863"/>
        <w:gridCol w:w="1474"/>
      </w:tblGrid>
      <w:tr w:rsidR="00523192" w:rsidRPr="00C94633" w14:paraId="70DBE239" w14:textId="77777777" w:rsidTr="00BF13DE">
        <w:tc>
          <w:tcPr>
            <w:tcW w:w="7863" w:type="dxa"/>
            <w:vAlign w:val="bottom"/>
          </w:tcPr>
          <w:p w14:paraId="12E66246" w14:textId="77777777" w:rsidR="00523192" w:rsidRPr="00FC45D6" w:rsidRDefault="00523192">
            <w:pPr>
              <w:tabs>
                <w:tab w:val="right" w:leader="dot" w:pos="7647"/>
              </w:tabs>
              <w:ind w:right="522"/>
              <w:rPr>
                <w:rFonts w:ascii="Arial" w:hAnsi="Arial"/>
                <w:sz w:val="22"/>
              </w:rPr>
            </w:pPr>
            <w:r w:rsidRPr="00FC45D6">
              <w:rPr>
                <w:rFonts w:ascii="Arial" w:hAnsi="Arial"/>
                <w:sz w:val="22"/>
              </w:rPr>
              <w:t>Aportes de los propietarios:</w:t>
            </w:r>
          </w:p>
        </w:tc>
        <w:tc>
          <w:tcPr>
            <w:tcW w:w="1474" w:type="dxa"/>
            <w:vAlign w:val="bottom"/>
          </w:tcPr>
          <w:p w14:paraId="2B54D77F" w14:textId="77777777" w:rsidR="00523192" w:rsidRPr="00CF2AB3" w:rsidRDefault="00523192" w:rsidP="00BF13DE">
            <w:pPr>
              <w:ind w:right="57"/>
              <w:jc w:val="right"/>
              <w:rPr>
                <w:rFonts w:ascii="Arial" w:hAnsi="Arial" w:cs="Arial"/>
                <w:sz w:val="22"/>
                <w:lang w:val="es-AR"/>
              </w:rPr>
            </w:pPr>
          </w:p>
        </w:tc>
      </w:tr>
      <w:tr w:rsidR="00BF13DE" w:rsidRPr="00C94633" w14:paraId="08C183F8" w14:textId="77777777" w:rsidTr="008D21F5">
        <w:tc>
          <w:tcPr>
            <w:tcW w:w="7863" w:type="dxa"/>
            <w:vAlign w:val="bottom"/>
          </w:tcPr>
          <w:p w14:paraId="3E82A2A9" w14:textId="77777777" w:rsidR="00BF13DE" w:rsidRPr="00FC45D6" w:rsidRDefault="00BF13DE" w:rsidP="008D21F5">
            <w:pPr>
              <w:tabs>
                <w:tab w:val="right" w:leader="dot" w:pos="7647"/>
              </w:tabs>
              <w:ind w:left="318" w:right="522"/>
              <w:rPr>
                <w:rFonts w:ascii="Arial" w:hAnsi="Arial"/>
                <w:sz w:val="22"/>
              </w:rPr>
            </w:pPr>
            <w:r w:rsidRPr="00FC45D6">
              <w:rPr>
                <w:rFonts w:ascii="Arial" w:hAnsi="Arial"/>
                <w:sz w:val="22"/>
              </w:rPr>
              <w:t>Capital suscripto</w:t>
            </w:r>
            <w:r w:rsidRPr="00FC45D6">
              <w:rPr>
                <w:rFonts w:ascii="Arial" w:hAnsi="Arial"/>
                <w:sz w:val="22"/>
              </w:rPr>
              <w:tab/>
            </w:r>
          </w:p>
        </w:tc>
        <w:tc>
          <w:tcPr>
            <w:tcW w:w="1474" w:type="dxa"/>
            <w:vAlign w:val="bottom"/>
          </w:tcPr>
          <w:p w14:paraId="34A71446" w14:textId="7B6E6265" w:rsidR="00BF13DE" w:rsidRPr="00BA72AB" w:rsidRDefault="00E509BD" w:rsidP="008D21F5">
            <w:pPr>
              <w:ind w:right="57"/>
              <w:jc w:val="right"/>
              <w:rPr>
                <w:rFonts w:ascii="Arial" w:hAnsi="Arial" w:cs="Arial"/>
                <w:sz w:val="22"/>
                <w:lang w:val="es-AR"/>
              </w:rPr>
            </w:pPr>
            <w:r w:rsidRPr="00BA72AB">
              <w:rPr>
                <w:rFonts w:ascii="Arial" w:hAnsi="Arial" w:cs="Arial"/>
                <w:sz w:val="22"/>
                <w:lang w:val="es-AR"/>
              </w:rPr>
              <w:t>3.924</w:t>
            </w:r>
          </w:p>
        </w:tc>
      </w:tr>
      <w:tr w:rsidR="00BF13DE" w:rsidRPr="00C94633" w14:paraId="776CBCE3" w14:textId="77777777" w:rsidTr="008D21F5">
        <w:tc>
          <w:tcPr>
            <w:tcW w:w="7863" w:type="dxa"/>
            <w:vAlign w:val="bottom"/>
          </w:tcPr>
          <w:p w14:paraId="02F07FF6" w14:textId="77777777" w:rsidR="00BF13DE" w:rsidRPr="00FC45D6" w:rsidRDefault="00BF13DE" w:rsidP="008D21F5">
            <w:pPr>
              <w:tabs>
                <w:tab w:val="right" w:leader="dot" w:pos="7647"/>
              </w:tabs>
              <w:ind w:left="318" w:right="522"/>
              <w:rPr>
                <w:rFonts w:ascii="Arial" w:hAnsi="Arial"/>
                <w:sz w:val="22"/>
              </w:rPr>
            </w:pPr>
            <w:r w:rsidRPr="00FC45D6">
              <w:rPr>
                <w:rFonts w:ascii="Arial" w:hAnsi="Arial"/>
                <w:sz w:val="22"/>
              </w:rPr>
              <w:t>Ajuste del capital</w:t>
            </w:r>
            <w:r w:rsidRPr="00FC45D6">
              <w:rPr>
                <w:rFonts w:ascii="Arial" w:hAnsi="Arial"/>
                <w:sz w:val="22"/>
              </w:rPr>
              <w:tab/>
            </w:r>
          </w:p>
        </w:tc>
        <w:tc>
          <w:tcPr>
            <w:tcW w:w="1474" w:type="dxa"/>
            <w:vAlign w:val="bottom"/>
          </w:tcPr>
          <w:p w14:paraId="5F69C30D" w14:textId="08312510" w:rsidR="00BF13DE" w:rsidRPr="00BA72AB" w:rsidRDefault="00E509BD" w:rsidP="008D21F5">
            <w:pPr>
              <w:ind w:right="57"/>
              <w:jc w:val="right"/>
              <w:rPr>
                <w:rFonts w:ascii="Arial" w:hAnsi="Arial" w:cs="Arial"/>
                <w:sz w:val="22"/>
                <w:lang w:val="es-AR"/>
              </w:rPr>
            </w:pPr>
            <w:r w:rsidRPr="00BA72AB">
              <w:rPr>
                <w:rFonts w:ascii="Arial" w:hAnsi="Arial" w:cs="Arial"/>
                <w:sz w:val="22"/>
                <w:lang w:val="es-AR"/>
              </w:rPr>
              <w:t>6.085</w:t>
            </w:r>
          </w:p>
        </w:tc>
      </w:tr>
      <w:tr w:rsidR="00BF13DE" w:rsidRPr="00C94633" w14:paraId="33FAAE41" w14:textId="77777777" w:rsidTr="008D21F5">
        <w:tc>
          <w:tcPr>
            <w:tcW w:w="7863" w:type="dxa"/>
            <w:vAlign w:val="bottom"/>
          </w:tcPr>
          <w:p w14:paraId="21974847" w14:textId="77777777" w:rsidR="00BF13DE" w:rsidRPr="00FC45D6" w:rsidDel="00AF4B4D" w:rsidRDefault="00BF13DE" w:rsidP="008D21F5">
            <w:pPr>
              <w:tabs>
                <w:tab w:val="right" w:leader="dot" w:pos="7647"/>
              </w:tabs>
              <w:ind w:left="318" w:right="522"/>
              <w:rPr>
                <w:rFonts w:ascii="Arial" w:hAnsi="Arial"/>
                <w:sz w:val="22"/>
              </w:rPr>
            </w:pPr>
            <w:r>
              <w:rPr>
                <w:rFonts w:ascii="Arial" w:hAnsi="Arial"/>
                <w:sz w:val="22"/>
              </w:rPr>
              <w:t>Acciones propias en cartera</w:t>
            </w:r>
            <w:r w:rsidRPr="00FC45D6">
              <w:rPr>
                <w:rFonts w:ascii="Arial" w:hAnsi="Arial"/>
                <w:sz w:val="22"/>
              </w:rPr>
              <w:tab/>
            </w:r>
          </w:p>
        </w:tc>
        <w:tc>
          <w:tcPr>
            <w:tcW w:w="1474" w:type="dxa"/>
            <w:vAlign w:val="bottom"/>
          </w:tcPr>
          <w:p w14:paraId="43BC905A" w14:textId="06963E42" w:rsidR="00BF13DE" w:rsidRPr="00BA72AB" w:rsidRDefault="00E509BD" w:rsidP="008D21F5">
            <w:pPr>
              <w:ind w:right="57"/>
              <w:jc w:val="right"/>
              <w:rPr>
                <w:rFonts w:ascii="Arial" w:hAnsi="Arial" w:cs="Arial"/>
                <w:sz w:val="22"/>
                <w:lang w:val="es-AR"/>
              </w:rPr>
            </w:pPr>
            <w:r w:rsidRPr="00BA72AB">
              <w:rPr>
                <w:rFonts w:ascii="Arial" w:hAnsi="Arial" w:cs="Arial"/>
                <w:sz w:val="22"/>
                <w:lang w:val="es-AR"/>
              </w:rPr>
              <w:t>9</w:t>
            </w:r>
          </w:p>
        </w:tc>
      </w:tr>
      <w:tr w:rsidR="00BF13DE" w:rsidRPr="00C94633" w14:paraId="2ECCC92A" w14:textId="77777777" w:rsidTr="008D21F5">
        <w:tc>
          <w:tcPr>
            <w:tcW w:w="7863" w:type="dxa"/>
            <w:vAlign w:val="bottom"/>
          </w:tcPr>
          <w:p w14:paraId="32FBBA1F" w14:textId="77777777" w:rsidR="00BF13DE" w:rsidRPr="00FC45D6" w:rsidDel="00AF4B4D" w:rsidRDefault="00BF13DE" w:rsidP="008D21F5">
            <w:pPr>
              <w:tabs>
                <w:tab w:val="right" w:leader="dot" w:pos="7647"/>
              </w:tabs>
              <w:ind w:left="318" w:right="522"/>
              <w:rPr>
                <w:rFonts w:ascii="Arial" w:hAnsi="Arial"/>
                <w:sz w:val="22"/>
              </w:rPr>
            </w:pPr>
            <w:r>
              <w:rPr>
                <w:rFonts w:ascii="Arial" w:hAnsi="Arial"/>
                <w:sz w:val="22"/>
              </w:rPr>
              <w:t>Ajuste de acciones propias en cartera</w:t>
            </w:r>
            <w:r w:rsidRPr="00FC45D6">
              <w:rPr>
                <w:rFonts w:ascii="Arial" w:hAnsi="Arial"/>
                <w:sz w:val="22"/>
              </w:rPr>
              <w:tab/>
            </w:r>
          </w:p>
        </w:tc>
        <w:tc>
          <w:tcPr>
            <w:tcW w:w="1474" w:type="dxa"/>
            <w:vAlign w:val="bottom"/>
          </w:tcPr>
          <w:p w14:paraId="7E200E2D" w14:textId="4F219D08" w:rsidR="00BF13DE" w:rsidRPr="00BA72AB" w:rsidRDefault="00E509BD" w:rsidP="008D21F5">
            <w:pPr>
              <w:ind w:right="57"/>
              <w:jc w:val="right"/>
              <w:rPr>
                <w:rFonts w:ascii="Arial" w:hAnsi="Arial" w:cs="Arial"/>
                <w:sz w:val="22"/>
                <w:lang w:val="es-AR"/>
              </w:rPr>
            </w:pPr>
            <w:r w:rsidRPr="00BA72AB">
              <w:rPr>
                <w:rFonts w:ascii="Arial" w:hAnsi="Arial" w:cs="Arial"/>
                <w:sz w:val="22"/>
                <w:lang w:val="es-AR"/>
              </w:rPr>
              <w:t>16</w:t>
            </w:r>
          </w:p>
        </w:tc>
      </w:tr>
      <w:tr w:rsidR="00BF13DE" w:rsidRPr="00C94633" w14:paraId="0B69556E" w14:textId="77777777" w:rsidTr="008D21F5">
        <w:tc>
          <w:tcPr>
            <w:tcW w:w="7863" w:type="dxa"/>
            <w:vAlign w:val="bottom"/>
          </w:tcPr>
          <w:p w14:paraId="014E0AA2" w14:textId="77777777" w:rsidR="00BF13DE" w:rsidRPr="00FC45D6" w:rsidDel="00AF4B4D" w:rsidRDefault="00BF13DE" w:rsidP="008D21F5">
            <w:pPr>
              <w:tabs>
                <w:tab w:val="right" w:leader="dot" w:pos="7647"/>
              </w:tabs>
              <w:ind w:left="318" w:right="522"/>
              <w:rPr>
                <w:rFonts w:ascii="Arial" w:hAnsi="Arial"/>
                <w:sz w:val="22"/>
              </w:rPr>
            </w:pPr>
            <w:r>
              <w:rPr>
                <w:rFonts w:ascii="Arial" w:hAnsi="Arial"/>
                <w:sz w:val="22"/>
              </w:rPr>
              <w:t>Planes de beneficios en acciones</w:t>
            </w:r>
            <w:r w:rsidR="00523192" w:rsidRPr="00FC45D6">
              <w:rPr>
                <w:rFonts w:ascii="Arial" w:hAnsi="Arial"/>
                <w:sz w:val="22"/>
              </w:rPr>
              <w:tab/>
            </w:r>
          </w:p>
        </w:tc>
        <w:tc>
          <w:tcPr>
            <w:tcW w:w="1474" w:type="dxa"/>
            <w:vAlign w:val="bottom"/>
          </w:tcPr>
          <w:p w14:paraId="29FA8913" w14:textId="2C9CAF4C" w:rsidR="00BF13DE" w:rsidRPr="00BA72AB" w:rsidRDefault="005C3BE1" w:rsidP="008D21F5">
            <w:pPr>
              <w:ind w:right="57"/>
              <w:jc w:val="right"/>
              <w:rPr>
                <w:rFonts w:ascii="Arial" w:hAnsi="Arial" w:cs="Arial"/>
                <w:sz w:val="22"/>
                <w:lang w:val="es-AR"/>
              </w:rPr>
            </w:pPr>
            <w:r w:rsidRPr="00BA72AB">
              <w:rPr>
                <w:rFonts w:ascii="Arial" w:hAnsi="Arial" w:cs="Arial"/>
                <w:sz w:val="22"/>
                <w:lang w:val="es-AR"/>
              </w:rPr>
              <w:t>(</w:t>
            </w:r>
            <w:r w:rsidR="009A17AE" w:rsidRPr="00BA72AB">
              <w:rPr>
                <w:rFonts w:ascii="Arial" w:hAnsi="Arial" w:cs="Arial"/>
                <w:sz w:val="22"/>
                <w:lang w:val="es-AR"/>
              </w:rPr>
              <w:t>5</w:t>
            </w:r>
            <w:r w:rsidRPr="00BA72AB">
              <w:rPr>
                <w:rFonts w:ascii="Arial" w:hAnsi="Arial" w:cs="Arial"/>
                <w:sz w:val="22"/>
                <w:lang w:val="es-AR"/>
              </w:rPr>
              <w:t>)</w:t>
            </w:r>
          </w:p>
        </w:tc>
      </w:tr>
      <w:tr w:rsidR="00BF13DE" w:rsidRPr="00C94633" w14:paraId="471403B3" w14:textId="77777777" w:rsidTr="008D21F5">
        <w:tc>
          <w:tcPr>
            <w:tcW w:w="7863" w:type="dxa"/>
            <w:vAlign w:val="bottom"/>
          </w:tcPr>
          <w:p w14:paraId="62FF0C6D" w14:textId="77777777" w:rsidR="00BF13DE" w:rsidRPr="00FC45D6" w:rsidDel="00AF4B4D" w:rsidRDefault="00BF13DE" w:rsidP="008D21F5">
            <w:pPr>
              <w:tabs>
                <w:tab w:val="right" w:leader="dot" w:pos="7647"/>
              </w:tabs>
              <w:ind w:left="318" w:right="522"/>
              <w:rPr>
                <w:rFonts w:ascii="Arial" w:hAnsi="Arial"/>
                <w:sz w:val="22"/>
              </w:rPr>
            </w:pPr>
            <w:r>
              <w:rPr>
                <w:rFonts w:ascii="Arial" w:hAnsi="Arial"/>
                <w:sz w:val="22"/>
              </w:rPr>
              <w:t>Costo de adquisición de acciones propias</w:t>
            </w:r>
            <w:r w:rsidR="00523192" w:rsidRPr="00FC45D6">
              <w:rPr>
                <w:rFonts w:ascii="Arial" w:hAnsi="Arial"/>
                <w:sz w:val="22"/>
              </w:rPr>
              <w:tab/>
            </w:r>
          </w:p>
        </w:tc>
        <w:tc>
          <w:tcPr>
            <w:tcW w:w="1474" w:type="dxa"/>
            <w:vAlign w:val="bottom"/>
          </w:tcPr>
          <w:p w14:paraId="6D8CA147" w14:textId="3AD129FA" w:rsidR="00BF13DE" w:rsidRPr="00BA72AB" w:rsidRDefault="005C3BE1" w:rsidP="008D21F5">
            <w:pPr>
              <w:ind w:right="57"/>
              <w:jc w:val="right"/>
              <w:rPr>
                <w:rFonts w:ascii="Arial" w:hAnsi="Arial" w:cs="Arial"/>
                <w:sz w:val="22"/>
                <w:lang w:val="es-AR"/>
              </w:rPr>
            </w:pPr>
            <w:r w:rsidRPr="00BA72AB">
              <w:rPr>
                <w:rFonts w:ascii="Arial" w:hAnsi="Arial" w:cs="Arial"/>
                <w:sz w:val="22"/>
                <w:lang w:val="es-AR"/>
              </w:rPr>
              <w:t>177</w:t>
            </w:r>
          </w:p>
        </w:tc>
      </w:tr>
      <w:tr w:rsidR="00BF13DE" w:rsidRPr="00C94633" w14:paraId="0FF7994D" w14:textId="77777777" w:rsidTr="008D21F5">
        <w:tc>
          <w:tcPr>
            <w:tcW w:w="7863" w:type="dxa"/>
            <w:vAlign w:val="bottom"/>
          </w:tcPr>
          <w:p w14:paraId="65DEBADF" w14:textId="77777777" w:rsidR="00BF13DE" w:rsidRPr="00FC45D6" w:rsidDel="00AF4B4D" w:rsidRDefault="00BF13DE" w:rsidP="008D21F5">
            <w:pPr>
              <w:tabs>
                <w:tab w:val="right" w:leader="dot" w:pos="7647"/>
              </w:tabs>
              <w:ind w:left="318" w:right="522"/>
              <w:rPr>
                <w:rFonts w:ascii="Arial" w:hAnsi="Arial"/>
                <w:sz w:val="22"/>
              </w:rPr>
            </w:pPr>
            <w:r>
              <w:rPr>
                <w:rFonts w:ascii="Arial" w:hAnsi="Arial"/>
                <w:sz w:val="22"/>
              </w:rPr>
              <w:t>Prima de negociación de acciones propias</w:t>
            </w:r>
            <w:r w:rsidR="00523192" w:rsidRPr="00FC45D6">
              <w:rPr>
                <w:rFonts w:ascii="Arial" w:hAnsi="Arial"/>
                <w:sz w:val="22"/>
              </w:rPr>
              <w:tab/>
            </w:r>
          </w:p>
        </w:tc>
        <w:tc>
          <w:tcPr>
            <w:tcW w:w="1474" w:type="dxa"/>
            <w:vAlign w:val="bottom"/>
          </w:tcPr>
          <w:p w14:paraId="2CB3FCD7" w14:textId="1285DD79" w:rsidR="00BF13DE" w:rsidRPr="00BA72AB" w:rsidRDefault="001D07EA" w:rsidP="008D21F5">
            <w:pPr>
              <w:ind w:right="57"/>
              <w:jc w:val="right"/>
              <w:rPr>
                <w:rFonts w:ascii="Arial" w:hAnsi="Arial" w:cs="Arial"/>
                <w:sz w:val="22"/>
                <w:lang w:val="es-AR"/>
              </w:rPr>
            </w:pPr>
            <w:r w:rsidRPr="00BA72AB">
              <w:rPr>
                <w:rFonts w:ascii="Arial" w:hAnsi="Arial" w:cs="Arial"/>
                <w:sz w:val="22"/>
                <w:lang w:val="es-AR"/>
              </w:rPr>
              <w:t xml:space="preserve"> </w:t>
            </w:r>
            <w:r w:rsidR="005C3BE1" w:rsidRPr="00BA72AB">
              <w:rPr>
                <w:rFonts w:ascii="Arial" w:hAnsi="Arial" w:cs="Arial"/>
                <w:sz w:val="22"/>
                <w:lang w:val="es-AR"/>
              </w:rPr>
              <w:t xml:space="preserve"> (396</w:t>
            </w:r>
            <w:r w:rsidR="001A7B6C" w:rsidRPr="00BA72AB">
              <w:rPr>
                <w:rFonts w:ascii="Arial" w:hAnsi="Arial" w:cs="Arial"/>
                <w:sz w:val="22"/>
                <w:lang w:val="es-AR"/>
              </w:rPr>
              <w:t>)</w:t>
            </w:r>
          </w:p>
        </w:tc>
      </w:tr>
      <w:tr w:rsidR="00BF13DE" w:rsidRPr="00C94633" w14:paraId="5362F4C1" w14:textId="77777777" w:rsidTr="008D21F5">
        <w:tc>
          <w:tcPr>
            <w:tcW w:w="7863" w:type="dxa"/>
            <w:vAlign w:val="bottom"/>
          </w:tcPr>
          <w:p w14:paraId="28C0E69B" w14:textId="77777777" w:rsidR="00BF13DE" w:rsidRPr="00FC45D6" w:rsidRDefault="00BF13DE" w:rsidP="008D21F5">
            <w:pPr>
              <w:tabs>
                <w:tab w:val="right" w:leader="dot" w:pos="7647"/>
              </w:tabs>
              <w:ind w:left="318" w:right="522"/>
              <w:rPr>
                <w:rFonts w:ascii="Arial" w:hAnsi="Arial"/>
                <w:sz w:val="22"/>
              </w:rPr>
            </w:pPr>
            <w:r w:rsidRPr="00FC45D6">
              <w:rPr>
                <w:rFonts w:ascii="Arial" w:hAnsi="Arial"/>
                <w:sz w:val="22"/>
              </w:rPr>
              <w:t>Primas de emisión</w:t>
            </w:r>
            <w:r w:rsidR="00523192" w:rsidRPr="00FC45D6">
              <w:rPr>
                <w:rFonts w:ascii="Arial" w:hAnsi="Arial"/>
                <w:sz w:val="22"/>
              </w:rPr>
              <w:tab/>
            </w:r>
          </w:p>
        </w:tc>
        <w:tc>
          <w:tcPr>
            <w:tcW w:w="1474" w:type="dxa"/>
            <w:tcBorders>
              <w:bottom w:val="single" w:sz="4" w:space="0" w:color="auto"/>
            </w:tcBorders>
            <w:vAlign w:val="bottom"/>
          </w:tcPr>
          <w:p w14:paraId="0B5B94AA" w14:textId="77777777" w:rsidR="00BF13DE" w:rsidRPr="00BA72AB" w:rsidRDefault="00BF13DE" w:rsidP="008D21F5">
            <w:pPr>
              <w:ind w:right="57"/>
              <w:jc w:val="right"/>
              <w:rPr>
                <w:rFonts w:ascii="Arial" w:hAnsi="Arial" w:cs="Arial"/>
                <w:sz w:val="22"/>
                <w:lang w:val="es-AR"/>
              </w:rPr>
            </w:pPr>
            <w:r w:rsidRPr="00BA72AB">
              <w:rPr>
                <w:rFonts w:ascii="Arial" w:hAnsi="Arial" w:cs="Arial"/>
                <w:sz w:val="22"/>
                <w:lang w:val="es-AR"/>
              </w:rPr>
              <w:t>640</w:t>
            </w:r>
          </w:p>
        </w:tc>
      </w:tr>
      <w:tr w:rsidR="00BF13DE" w:rsidRPr="00C94633" w14:paraId="03098B4E" w14:textId="77777777" w:rsidTr="008D21F5">
        <w:tc>
          <w:tcPr>
            <w:tcW w:w="7863" w:type="dxa"/>
            <w:vAlign w:val="bottom"/>
          </w:tcPr>
          <w:p w14:paraId="16547665" w14:textId="77777777" w:rsidR="00BF13DE" w:rsidRPr="00FC45D6" w:rsidRDefault="00BF13DE" w:rsidP="008D21F5">
            <w:pPr>
              <w:tabs>
                <w:tab w:val="right" w:leader="dot" w:pos="7647"/>
              </w:tabs>
              <w:ind w:right="522"/>
              <w:rPr>
                <w:rFonts w:ascii="Arial" w:hAnsi="Arial"/>
                <w:sz w:val="22"/>
              </w:rPr>
            </w:pPr>
            <w:r w:rsidRPr="00FC45D6">
              <w:rPr>
                <w:rFonts w:ascii="Arial" w:hAnsi="Arial"/>
                <w:sz w:val="22"/>
              </w:rPr>
              <w:t xml:space="preserve">Total </w:t>
            </w:r>
            <w:r>
              <w:rPr>
                <w:rFonts w:ascii="Arial" w:hAnsi="Arial"/>
                <w:sz w:val="22"/>
              </w:rPr>
              <w:t>a</w:t>
            </w:r>
            <w:r w:rsidRPr="00FC45D6">
              <w:rPr>
                <w:rFonts w:ascii="Arial" w:hAnsi="Arial"/>
                <w:sz w:val="22"/>
              </w:rPr>
              <w:t>porte de los propietarios</w:t>
            </w:r>
            <w:r w:rsidR="00523192" w:rsidRPr="00FC45D6">
              <w:rPr>
                <w:rFonts w:ascii="Arial" w:hAnsi="Arial"/>
                <w:sz w:val="22"/>
              </w:rPr>
              <w:tab/>
            </w:r>
          </w:p>
        </w:tc>
        <w:tc>
          <w:tcPr>
            <w:tcW w:w="1474" w:type="dxa"/>
            <w:tcBorders>
              <w:top w:val="single" w:sz="4" w:space="0" w:color="auto"/>
              <w:bottom w:val="single" w:sz="4" w:space="0" w:color="auto"/>
            </w:tcBorders>
            <w:vAlign w:val="bottom"/>
          </w:tcPr>
          <w:p w14:paraId="414EB1D8" w14:textId="700881AB" w:rsidR="00BF13DE" w:rsidRPr="00BA72AB" w:rsidRDefault="00BF13DE" w:rsidP="008D21F5">
            <w:pPr>
              <w:ind w:right="57"/>
              <w:jc w:val="right"/>
              <w:rPr>
                <w:rFonts w:ascii="Arial" w:hAnsi="Arial" w:cs="Arial"/>
                <w:sz w:val="22"/>
                <w:lang w:val="es-AR"/>
              </w:rPr>
            </w:pPr>
            <w:r w:rsidRPr="00BA72AB">
              <w:rPr>
                <w:rFonts w:ascii="Arial" w:hAnsi="Arial" w:cs="Arial"/>
                <w:sz w:val="22"/>
                <w:lang w:val="es-AR"/>
              </w:rPr>
              <w:t>10.</w:t>
            </w:r>
            <w:r w:rsidR="005C3BE1" w:rsidRPr="00BA72AB">
              <w:rPr>
                <w:rFonts w:ascii="Arial" w:hAnsi="Arial" w:cs="Arial"/>
                <w:sz w:val="22"/>
                <w:lang w:val="es-AR"/>
              </w:rPr>
              <w:t>450</w:t>
            </w:r>
          </w:p>
        </w:tc>
      </w:tr>
      <w:tr w:rsidR="00BF13DE" w:rsidRPr="00C94633" w14:paraId="7178B55D" w14:textId="77777777" w:rsidTr="008D21F5">
        <w:tc>
          <w:tcPr>
            <w:tcW w:w="7863" w:type="dxa"/>
            <w:vAlign w:val="bottom"/>
          </w:tcPr>
          <w:p w14:paraId="2031EF07" w14:textId="77777777" w:rsidR="00BF13DE" w:rsidRPr="00FC45D6" w:rsidRDefault="00BF13DE" w:rsidP="008D21F5">
            <w:pPr>
              <w:tabs>
                <w:tab w:val="right" w:leader="dot" w:pos="7647"/>
              </w:tabs>
              <w:ind w:right="522"/>
              <w:rPr>
                <w:rFonts w:ascii="Arial" w:hAnsi="Arial"/>
                <w:sz w:val="22"/>
              </w:rPr>
            </w:pPr>
            <w:r w:rsidRPr="00FC45D6">
              <w:rPr>
                <w:rFonts w:ascii="Arial" w:hAnsi="Arial"/>
                <w:sz w:val="22"/>
              </w:rPr>
              <w:t>Reserva legal</w:t>
            </w:r>
            <w:r w:rsidR="00523192" w:rsidRPr="00FC45D6">
              <w:rPr>
                <w:rFonts w:ascii="Arial" w:hAnsi="Arial"/>
                <w:sz w:val="22"/>
              </w:rPr>
              <w:tab/>
            </w:r>
          </w:p>
        </w:tc>
        <w:tc>
          <w:tcPr>
            <w:tcW w:w="1474" w:type="dxa"/>
            <w:tcBorders>
              <w:top w:val="single" w:sz="4" w:space="0" w:color="auto"/>
            </w:tcBorders>
            <w:vAlign w:val="bottom"/>
          </w:tcPr>
          <w:p w14:paraId="36ABA228" w14:textId="77777777" w:rsidR="00BF13DE" w:rsidRPr="00BA72AB" w:rsidRDefault="00BF13DE" w:rsidP="008D21F5">
            <w:pPr>
              <w:ind w:right="57"/>
              <w:jc w:val="right"/>
              <w:rPr>
                <w:rFonts w:ascii="Arial" w:hAnsi="Arial" w:cs="Arial"/>
                <w:sz w:val="22"/>
                <w:lang w:val="es-AR"/>
              </w:rPr>
            </w:pPr>
            <w:r w:rsidRPr="00BA72AB">
              <w:rPr>
                <w:rFonts w:ascii="Arial" w:hAnsi="Arial" w:cs="Arial"/>
                <w:sz w:val="22"/>
                <w:lang w:val="es-AR"/>
              </w:rPr>
              <w:t>2.007</w:t>
            </w:r>
          </w:p>
        </w:tc>
      </w:tr>
      <w:tr w:rsidR="00BF13DE" w:rsidRPr="00C94633" w14:paraId="5522374F" w14:textId="77777777" w:rsidTr="008D21F5">
        <w:tc>
          <w:tcPr>
            <w:tcW w:w="7863" w:type="dxa"/>
            <w:vAlign w:val="bottom"/>
          </w:tcPr>
          <w:p w14:paraId="3ED2B303" w14:textId="77777777" w:rsidR="00BF13DE" w:rsidRPr="00FC45D6" w:rsidRDefault="00BF13DE" w:rsidP="008D21F5">
            <w:pPr>
              <w:tabs>
                <w:tab w:val="right" w:leader="dot" w:pos="7647"/>
              </w:tabs>
              <w:ind w:right="522"/>
              <w:rPr>
                <w:rFonts w:ascii="Arial" w:hAnsi="Arial"/>
                <w:sz w:val="22"/>
              </w:rPr>
            </w:pPr>
            <w:r w:rsidRPr="00FC45D6">
              <w:rPr>
                <w:rFonts w:ascii="Arial" w:hAnsi="Arial"/>
                <w:sz w:val="22"/>
              </w:rPr>
              <w:lastRenderedPageBreak/>
              <w:t>Reserva para futuros dividendos</w:t>
            </w:r>
            <w:r w:rsidR="00523192" w:rsidRPr="00FC45D6">
              <w:rPr>
                <w:rFonts w:ascii="Arial" w:hAnsi="Arial"/>
                <w:sz w:val="22"/>
              </w:rPr>
              <w:tab/>
            </w:r>
          </w:p>
        </w:tc>
        <w:tc>
          <w:tcPr>
            <w:tcW w:w="1474" w:type="dxa"/>
            <w:vAlign w:val="bottom"/>
          </w:tcPr>
          <w:p w14:paraId="342A483E" w14:textId="26EA2080" w:rsidR="00BF13DE" w:rsidRPr="00BA72AB" w:rsidRDefault="005D749A" w:rsidP="005D749A">
            <w:pPr>
              <w:ind w:right="57"/>
              <w:jc w:val="right"/>
              <w:rPr>
                <w:rFonts w:ascii="Arial" w:hAnsi="Arial" w:cs="Arial"/>
                <w:sz w:val="22"/>
                <w:lang w:val="es-AR"/>
              </w:rPr>
            </w:pPr>
            <w:r w:rsidRPr="00BA72AB">
              <w:rPr>
                <w:rFonts w:ascii="Arial" w:hAnsi="Arial" w:cs="Arial"/>
                <w:sz w:val="22"/>
                <w:lang w:val="es-AR"/>
              </w:rPr>
              <w:t>2.500</w:t>
            </w:r>
          </w:p>
        </w:tc>
      </w:tr>
      <w:tr w:rsidR="00BF13DE" w:rsidRPr="00C94633" w14:paraId="79645870" w14:textId="77777777" w:rsidTr="008D21F5">
        <w:tc>
          <w:tcPr>
            <w:tcW w:w="7863" w:type="dxa"/>
            <w:vAlign w:val="bottom"/>
          </w:tcPr>
          <w:p w14:paraId="1CB0A1CD" w14:textId="77777777" w:rsidR="00BF13DE" w:rsidRPr="00FC45D6" w:rsidRDefault="00BF13DE" w:rsidP="008D21F5">
            <w:pPr>
              <w:tabs>
                <w:tab w:val="right" w:leader="dot" w:pos="7647"/>
              </w:tabs>
              <w:ind w:right="522"/>
              <w:rPr>
                <w:rFonts w:ascii="Arial" w:hAnsi="Arial"/>
                <w:sz w:val="22"/>
              </w:rPr>
            </w:pPr>
            <w:r>
              <w:rPr>
                <w:rFonts w:ascii="Arial" w:hAnsi="Arial"/>
                <w:sz w:val="22"/>
              </w:rPr>
              <w:t>Reserva para inversiones</w:t>
            </w:r>
            <w:r w:rsidR="00523192" w:rsidRPr="00FC45D6">
              <w:rPr>
                <w:rFonts w:ascii="Arial" w:hAnsi="Arial"/>
                <w:sz w:val="22"/>
              </w:rPr>
              <w:tab/>
            </w:r>
          </w:p>
        </w:tc>
        <w:tc>
          <w:tcPr>
            <w:tcW w:w="1474" w:type="dxa"/>
            <w:vAlign w:val="bottom"/>
          </w:tcPr>
          <w:p w14:paraId="3F3BEF9E" w14:textId="320FDF11" w:rsidR="00BF13DE" w:rsidRPr="00BA72AB" w:rsidRDefault="005D749A" w:rsidP="008D21F5">
            <w:pPr>
              <w:ind w:right="57"/>
              <w:jc w:val="right"/>
              <w:rPr>
                <w:rFonts w:ascii="Arial" w:hAnsi="Arial" w:cs="Arial"/>
                <w:sz w:val="22"/>
                <w:lang w:val="es-AR"/>
              </w:rPr>
            </w:pPr>
            <w:r w:rsidRPr="00BA72AB">
              <w:rPr>
                <w:rFonts w:ascii="Arial" w:hAnsi="Arial" w:cs="Arial"/>
                <w:sz w:val="22"/>
                <w:lang w:val="es-AR"/>
              </w:rPr>
              <w:t>44.255</w:t>
            </w:r>
          </w:p>
        </w:tc>
      </w:tr>
      <w:tr w:rsidR="00BF13DE" w:rsidRPr="00C94633" w14:paraId="08C7E1AC" w14:textId="77777777" w:rsidTr="008D21F5">
        <w:tc>
          <w:tcPr>
            <w:tcW w:w="7863" w:type="dxa"/>
            <w:vAlign w:val="bottom"/>
          </w:tcPr>
          <w:p w14:paraId="19A1AAF0" w14:textId="77777777" w:rsidR="00BF13DE" w:rsidRPr="00FC45D6" w:rsidRDefault="00BF13DE" w:rsidP="008D21F5">
            <w:pPr>
              <w:tabs>
                <w:tab w:val="right" w:leader="dot" w:pos="7647"/>
              </w:tabs>
              <w:ind w:right="522"/>
              <w:rPr>
                <w:rFonts w:ascii="Arial" w:hAnsi="Arial"/>
                <w:sz w:val="22"/>
              </w:rPr>
            </w:pPr>
            <w:r>
              <w:rPr>
                <w:rFonts w:ascii="Arial" w:hAnsi="Arial"/>
                <w:sz w:val="22"/>
              </w:rPr>
              <w:t>Reserva para compra de acciones propias</w:t>
            </w:r>
            <w:r w:rsidR="00523192" w:rsidRPr="00FC45D6">
              <w:rPr>
                <w:rFonts w:ascii="Arial" w:hAnsi="Arial"/>
                <w:sz w:val="22"/>
              </w:rPr>
              <w:tab/>
            </w:r>
          </w:p>
        </w:tc>
        <w:tc>
          <w:tcPr>
            <w:tcW w:w="1474" w:type="dxa"/>
            <w:vAlign w:val="bottom"/>
          </w:tcPr>
          <w:p w14:paraId="6A27828A" w14:textId="20875481" w:rsidR="00BF13DE" w:rsidRPr="00BA72AB" w:rsidRDefault="005D749A" w:rsidP="008D21F5">
            <w:pPr>
              <w:ind w:right="57"/>
              <w:jc w:val="right"/>
              <w:rPr>
                <w:rFonts w:ascii="Arial" w:hAnsi="Arial" w:cs="Arial"/>
                <w:sz w:val="22"/>
                <w:lang w:val="es-AR"/>
              </w:rPr>
            </w:pPr>
            <w:r w:rsidRPr="00BA72AB">
              <w:rPr>
                <w:rFonts w:ascii="Arial" w:hAnsi="Arial" w:cs="Arial"/>
                <w:sz w:val="22"/>
                <w:lang w:val="es-AR"/>
              </w:rPr>
              <w:t>500</w:t>
            </w:r>
          </w:p>
        </w:tc>
      </w:tr>
      <w:tr w:rsidR="00BF13DE" w:rsidRPr="00C94633" w14:paraId="10F2133D" w14:textId="77777777" w:rsidTr="008D21F5">
        <w:tc>
          <w:tcPr>
            <w:tcW w:w="7863" w:type="dxa"/>
            <w:vAlign w:val="bottom"/>
          </w:tcPr>
          <w:p w14:paraId="7729286C" w14:textId="77777777" w:rsidR="00BF13DE" w:rsidRPr="00FC45D6" w:rsidRDefault="00BF13DE" w:rsidP="008D21F5">
            <w:pPr>
              <w:tabs>
                <w:tab w:val="right" w:leader="dot" w:pos="7647"/>
              </w:tabs>
              <w:ind w:right="522"/>
              <w:rPr>
                <w:rFonts w:ascii="Arial" w:hAnsi="Arial"/>
                <w:sz w:val="22"/>
              </w:rPr>
            </w:pPr>
            <w:r>
              <w:rPr>
                <w:rFonts w:ascii="Arial" w:hAnsi="Arial"/>
                <w:sz w:val="22"/>
              </w:rPr>
              <w:t>Reserva especial ajuste inicial NIIF</w:t>
            </w:r>
            <w:r w:rsidR="00523192" w:rsidRPr="00FC45D6">
              <w:rPr>
                <w:rFonts w:ascii="Arial" w:hAnsi="Arial"/>
                <w:sz w:val="22"/>
              </w:rPr>
              <w:tab/>
            </w:r>
          </w:p>
        </w:tc>
        <w:tc>
          <w:tcPr>
            <w:tcW w:w="1474" w:type="dxa"/>
            <w:vAlign w:val="bottom"/>
          </w:tcPr>
          <w:p w14:paraId="0100A622" w14:textId="77777777" w:rsidR="00BF13DE" w:rsidRPr="00BA72AB" w:rsidRDefault="001A7B6C" w:rsidP="008D21F5">
            <w:pPr>
              <w:ind w:right="57"/>
              <w:jc w:val="right"/>
              <w:rPr>
                <w:rFonts w:ascii="Arial" w:hAnsi="Arial" w:cs="Arial"/>
                <w:sz w:val="22"/>
                <w:lang w:val="es-AR"/>
              </w:rPr>
            </w:pPr>
            <w:r w:rsidRPr="00BA72AB">
              <w:rPr>
                <w:rFonts w:ascii="Arial" w:hAnsi="Arial" w:cs="Arial"/>
                <w:sz w:val="22"/>
                <w:lang w:val="es-AR"/>
              </w:rPr>
              <w:t>-</w:t>
            </w:r>
          </w:p>
        </w:tc>
      </w:tr>
      <w:tr w:rsidR="00BF13DE" w:rsidRPr="00C94633" w14:paraId="684F070B" w14:textId="77777777" w:rsidTr="008D21F5">
        <w:tc>
          <w:tcPr>
            <w:tcW w:w="7863" w:type="dxa"/>
            <w:vAlign w:val="bottom"/>
          </w:tcPr>
          <w:p w14:paraId="31D8B712" w14:textId="77777777" w:rsidR="00BF13DE" w:rsidRPr="00FC45D6" w:rsidRDefault="00BF13DE" w:rsidP="008D21F5">
            <w:pPr>
              <w:tabs>
                <w:tab w:val="right" w:leader="dot" w:pos="7647"/>
              </w:tabs>
              <w:ind w:right="522"/>
              <w:rPr>
                <w:rFonts w:ascii="Arial" w:hAnsi="Arial"/>
                <w:sz w:val="22"/>
              </w:rPr>
            </w:pPr>
            <w:r w:rsidRPr="00DA5441">
              <w:rPr>
                <w:rFonts w:ascii="Arial" w:hAnsi="Arial"/>
                <w:sz w:val="22"/>
              </w:rPr>
              <w:t>Otros resultados integrales</w:t>
            </w:r>
            <w:r w:rsidR="00523192" w:rsidRPr="00FC45D6">
              <w:rPr>
                <w:rFonts w:ascii="Arial" w:hAnsi="Arial"/>
                <w:sz w:val="22"/>
              </w:rPr>
              <w:tab/>
            </w:r>
          </w:p>
        </w:tc>
        <w:tc>
          <w:tcPr>
            <w:tcW w:w="1474" w:type="dxa"/>
            <w:vAlign w:val="bottom"/>
          </w:tcPr>
          <w:p w14:paraId="61F3FD73" w14:textId="1F8BE7B3" w:rsidR="00BF13DE" w:rsidRPr="00BA72AB" w:rsidRDefault="006573F7" w:rsidP="00472F09">
            <w:pPr>
              <w:ind w:right="57"/>
              <w:jc w:val="right"/>
              <w:rPr>
                <w:rFonts w:ascii="Arial" w:hAnsi="Arial" w:cs="Arial"/>
                <w:sz w:val="22"/>
                <w:lang w:val="es-AR"/>
              </w:rPr>
            </w:pPr>
            <w:r>
              <w:rPr>
                <w:rFonts w:ascii="Arial" w:hAnsi="Arial" w:cs="Arial"/>
                <w:sz w:val="22"/>
                <w:lang w:val="es-AR"/>
              </w:rPr>
              <w:t>487.</w:t>
            </w:r>
            <w:r w:rsidR="00B55AE4" w:rsidRPr="00BA72AB">
              <w:rPr>
                <w:rFonts w:ascii="Arial" w:hAnsi="Arial" w:cs="Arial"/>
                <w:sz w:val="22"/>
                <w:lang w:val="es-AR"/>
              </w:rPr>
              <w:t>063</w:t>
            </w:r>
          </w:p>
        </w:tc>
      </w:tr>
      <w:tr w:rsidR="00BF13DE" w:rsidRPr="00C94633" w14:paraId="56C3AE8D" w14:textId="77777777" w:rsidTr="008D21F5">
        <w:tc>
          <w:tcPr>
            <w:tcW w:w="7863" w:type="dxa"/>
            <w:vAlign w:val="bottom"/>
          </w:tcPr>
          <w:p w14:paraId="3ACE267C" w14:textId="77777777" w:rsidR="00BF13DE" w:rsidRPr="00FC45D6" w:rsidRDefault="00BF13DE" w:rsidP="008D21F5">
            <w:pPr>
              <w:tabs>
                <w:tab w:val="right" w:leader="dot" w:pos="7647"/>
              </w:tabs>
              <w:ind w:right="522"/>
              <w:rPr>
                <w:rFonts w:ascii="Arial" w:hAnsi="Arial"/>
                <w:sz w:val="22"/>
              </w:rPr>
            </w:pPr>
            <w:r w:rsidRPr="00FC45D6">
              <w:rPr>
                <w:rFonts w:ascii="Arial" w:hAnsi="Arial"/>
                <w:sz w:val="22"/>
              </w:rPr>
              <w:t xml:space="preserve">Resultados </w:t>
            </w:r>
            <w:r>
              <w:rPr>
                <w:rFonts w:ascii="Arial" w:hAnsi="Arial"/>
                <w:sz w:val="22"/>
              </w:rPr>
              <w:t>acumulados</w:t>
            </w:r>
            <w:r w:rsidR="00523192" w:rsidRPr="00FC45D6">
              <w:rPr>
                <w:rFonts w:ascii="Arial" w:hAnsi="Arial"/>
                <w:sz w:val="22"/>
              </w:rPr>
              <w:tab/>
            </w:r>
          </w:p>
        </w:tc>
        <w:tc>
          <w:tcPr>
            <w:tcW w:w="1474" w:type="dxa"/>
            <w:tcBorders>
              <w:bottom w:val="single" w:sz="4" w:space="0" w:color="auto"/>
            </w:tcBorders>
            <w:vAlign w:val="bottom"/>
          </w:tcPr>
          <w:p w14:paraId="11A735B2" w14:textId="06D54ABF" w:rsidR="00BF13DE" w:rsidRPr="00BA72AB" w:rsidRDefault="009C484D" w:rsidP="00A06C39">
            <w:pPr>
              <w:ind w:right="57"/>
              <w:jc w:val="right"/>
              <w:rPr>
                <w:rFonts w:ascii="Arial" w:hAnsi="Arial" w:cs="Arial"/>
                <w:sz w:val="22"/>
                <w:lang w:val="es-AR"/>
              </w:rPr>
            </w:pPr>
            <w:r w:rsidRPr="00BA72AB">
              <w:rPr>
                <w:rFonts w:ascii="Arial" w:hAnsi="Arial" w:cs="Arial"/>
                <w:sz w:val="22"/>
                <w:lang w:val="es-AR"/>
              </w:rPr>
              <w:t>(23.595)</w:t>
            </w:r>
          </w:p>
        </w:tc>
      </w:tr>
      <w:tr w:rsidR="00BF13DE" w:rsidRPr="0083016F" w14:paraId="2CEB959A" w14:textId="77777777" w:rsidTr="008D21F5">
        <w:tc>
          <w:tcPr>
            <w:tcW w:w="7863" w:type="dxa"/>
            <w:vAlign w:val="bottom"/>
          </w:tcPr>
          <w:p w14:paraId="2C0C3C9A" w14:textId="77777777" w:rsidR="00BF13DE" w:rsidRPr="0083016F" w:rsidRDefault="00BF13DE" w:rsidP="008D21F5">
            <w:pPr>
              <w:tabs>
                <w:tab w:val="right" w:leader="dot" w:pos="7647"/>
              </w:tabs>
              <w:ind w:right="522"/>
              <w:rPr>
                <w:rFonts w:ascii="Arial" w:hAnsi="Arial"/>
                <w:b/>
                <w:sz w:val="22"/>
              </w:rPr>
            </w:pPr>
            <w:r w:rsidRPr="0083016F">
              <w:rPr>
                <w:rFonts w:ascii="Arial" w:hAnsi="Arial"/>
                <w:b/>
                <w:sz w:val="22"/>
              </w:rPr>
              <w:t>Patrimonio atribuible a los accionistas de la controlante</w:t>
            </w:r>
            <w:r w:rsidR="00523192" w:rsidRPr="0083016F">
              <w:rPr>
                <w:rFonts w:ascii="Arial" w:hAnsi="Arial"/>
                <w:b/>
                <w:sz w:val="22"/>
              </w:rPr>
              <w:tab/>
            </w:r>
          </w:p>
        </w:tc>
        <w:tc>
          <w:tcPr>
            <w:tcW w:w="1474" w:type="dxa"/>
            <w:tcBorders>
              <w:top w:val="single" w:sz="4" w:space="0" w:color="auto"/>
              <w:bottom w:val="single" w:sz="4" w:space="0" w:color="auto"/>
            </w:tcBorders>
            <w:vAlign w:val="bottom"/>
          </w:tcPr>
          <w:p w14:paraId="6C7DB091" w14:textId="710F2B5B" w:rsidR="00BF13DE" w:rsidRPr="00BA72AB" w:rsidRDefault="009C484D" w:rsidP="008D21F5">
            <w:pPr>
              <w:ind w:right="57"/>
              <w:jc w:val="right"/>
              <w:rPr>
                <w:rFonts w:ascii="Arial" w:hAnsi="Arial" w:cs="Arial"/>
                <w:b/>
                <w:sz w:val="22"/>
                <w:lang w:val="es-AR"/>
              </w:rPr>
            </w:pPr>
            <w:r w:rsidRPr="00BA72AB">
              <w:rPr>
                <w:rFonts w:ascii="Arial" w:hAnsi="Arial" w:cs="Arial"/>
                <w:b/>
                <w:sz w:val="22"/>
                <w:lang w:val="es-AR"/>
              </w:rPr>
              <w:t>523.180</w:t>
            </w:r>
          </w:p>
        </w:tc>
      </w:tr>
      <w:tr w:rsidR="00BF13DE" w:rsidRPr="0083016F" w14:paraId="7D57CA4C" w14:textId="77777777" w:rsidTr="008D21F5">
        <w:tc>
          <w:tcPr>
            <w:tcW w:w="7863" w:type="dxa"/>
            <w:vAlign w:val="bottom"/>
          </w:tcPr>
          <w:p w14:paraId="64D6F036" w14:textId="77777777" w:rsidR="00BF13DE" w:rsidRPr="0083016F" w:rsidRDefault="00BF13DE" w:rsidP="008D21F5">
            <w:pPr>
              <w:tabs>
                <w:tab w:val="right" w:leader="dot" w:pos="7647"/>
              </w:tabs>
              <w:ind w:right="522"/>
              <w:rPr>
                <w:rFonts w:ascii="Arial" w:hAnsi="Arial"/>
                <w:sz w:val="22"/>
              </w:rPr>
            </w:pPr>
            <w:r w:rsidRPr="0083016F">
              <w:rPr>
                <w:rFonts w:ascii="Arial" w:hAnsi="Arial"/>
                <w:sz w:val="22"/>
              </w:rPr>
              <w:t>Interés no controlante</w:t>
            </w:r>
            <w:r w:rsidR="00523192" w:rsidRPr="0083016F">
              <w:rPr>
                <w:rFonts w:ascii="Arial" w:hAnsi="Arial"/>
                <w:sz w:val="22"/>
              </w:rPr>
              <w:tab/>
            </w:r>
          </w:p>
        </w:tc>
        <w:tc>
          <w:tcPr>
            <w:tcW w:w="1474" w:type="dxa"/>
            <w:tcBorders>
              <w:top w:val="single" w:sz="4" w:space="0" w:color="auto"/>
              <w:bottom w:val="single" w:sz="4" w:space="0" w:color="auto"/>
            </w:tcBorders>
            <w:vAlign w:val="bottom"/>
          </w:tcPr>
          <w:p w14:paraId="24CA3B75" w14:textId="0F2EF8CF" w:rsidR="00BF13DE" w:rsidRPr="00BA72AB" w:rsidRDefault="009C484D" w:rsidP="00A06C39">
            <w:pPr>
              <w:ind w:right="57"/>
              <w:jc w:val="right"/>
              <w:rPr>
                <w:rFonts w:ascii="Arial" w:hAnsi="Arial" w:cs="Arial"/>
                <w:sz w:val="22"/>
                <w:lang w:val="es-AR"/>
              </w:rPr>
            </w:pPr>
            <w:r w:rsidRPr="00BA72AB">
              <w:rPr>
                <w:rFonts w:ascii="Arial" w:hAnsi="Arial" w:cs="Arial"/>
                <w:sz w:val="22"/>
                <w:lang w:val="es-AR"/>
              </w:rPr>
              <w:t>4.904</w:t>
            </w:r>
          </w:p>
        </w:tc>
      </w:tr>
      <w:tr w:rsidR="00BF13DE" w:rsidRPr="0083016F" w14:paraId="59F39F42" w14:textId="77777777" w:rsidTr="008D21F5">
        <w:tc>
          <w:tcPr>
            <w:tcW w:w="7863" w:type="dxa"/>
            <w:vAlign w:val="bottom"/>
          </w:tcPr>
          <w:p w14:paraId="2BF8BACC" w14:textId="77777777" w:rsidR="00BF13DE" w:rsidRPr="0083016F" w:rsidRDefault="00BF13DE" w:rsidP="008D21F5">
            <w:pPr>
              <w:tabs>
                <w:tab w:val="right" w:leader="dot" w:pos="7647"/>
              </w:tabs>
              <w:ind w:right="522"/>
              <w:rPr>
                <w:rFonts w:ascii="Arial" w:hAnsi="Arial"/>
                <w:b/>
                <w:sz w:val="22"/>
              </w:rPr>
            </w:pPr>
            <w:r w:rsidRPr="0083016F">
              <w:rPr>
                <w:rFonts w:ascii="Arial" w:hAnsi="Arial"/>
                <w:b/>
                <w:sz w:val="22"/>
              </w:rPr>
              <w:t>Total del patrimonio</w:t>
            </w:r>
            <w:r w:rsidR="00523192" w:rsidRPr="0083016F">
              <w:rPr>
                <w:rFonts w:ascii="Arial" w:hAnsi="Arial"/>
                <w:b/>
                <w:sz w:val="22"/>
              </w:rPr>
              <w:tab/>
            </w:r>
          </w:p>
        </w:tc>
        <w:tc>
          <w:tcPr>
            <w:tcW w:w="1474" w:type="dxa"/>
            <w:tcBorders>
              <w:top w:val="single" w:sz="4" w:space="0" w:color="auto"/>
              <w:bottom w:val="double" w:sz="4" w:space="0" w:color="auto"/>
            </w:tcBorders>
            <w:vAlign w:val="bottom"/>
          </w:tcPr>
          <w:p w14:paraId="00230140" w14:textId="0C9FE6F4" w:rsidR="00BF13DE" w:rsidRPr="00BA72AB" w:rsidRDefault="009C484D" w:rsidP="008D21F5">
            <w:pPr>
              <w:ind w:right="57"/>
              <w:jc w:val="right"/>
              <w:rPr>
                <w:rFonts w:ascii="Arial" w:hAnsi="Arial" w:cs="Arial"/>
                <w:b/>
                <w:sz w:val="22"/>
                <w:lang w:val="es-AR"/>
              </w:rPr>
            </w:pPr>
            <w:r w:rsidRPr="00BA72AB">
              <w:rPr>
                <w:rFonts w:ascii="Arial" w:hAnsi="Arial" w:cs="Arial"/>
                <w:b/>
                <w:sz w:val="22"/>
                <w:lang w:val="es-AR"/>
              </w:rPr>
              <w:t>528.084</w:t>
            </w:r>
          </w:p>
        </w:tc>
      </w:tr>
    </w:tbl>
    <w:p w14:paraId="72318ADB" w14:textId="77777777" w:rsidR="00C354DE" w:rsidRDefault="00C354DE" w:rsidP="00C354DE">
      <w:pPr>
        <w:jc w:val="both"/>
        <w:outlineLvl w:val="0"/>
        <w:rPr>
          <w:rFonts w:ascii="Arial" w:hAnsi="Arial" w:cs="Arial"/>
          <w:b/>
          <w:bCs/>
          <w:sz w:val="22"/>
          <w:u w:val="single"/>
        </w:rPr>
      </w:pPr>
    </w:p>
    <w:p w14:paraId="5B498890" w14:textId="182AD0E2" w:rsidR="007C60F8" w:rsidRPr="006844F0" w:rsidRDefault="007C60F8" w:rsidP="007C60F8">
      <w:pPr>
        <w:jc w:val="both"/>
        <w:outlineLvl w:val="0"/>
        <w:rPr>
          <w:rFonts w:ascii="Arial" w:hAnsi="Arial" w:cs="Arial"/>
          <w:b/>
          <w:bCs/>
          <w:sz w:val="22"/>
          <w:u w:val="single"/>
        </w:rPr>
      </w:pPr>
    </w:p>
    <w:p w14:paraId="2F08E97C" w14:textId="4974F9A0" w:rsidR="007C60F8" w:rsidRPr="0038676B" w:rsidRDefault="009E44D8" w:rsidP="007C60F8">
      <w:pPr>
        <w:jc w:val="both"/>
        <w:outlineLvl w:val="0"/>
        <w:rPr>
          <w:rFonts w:ascii="Arial" w:hAnsi="Arial" w:cs="Arial"/>
          <w:b/>
          <w:bCs/>
          <w:sz w:val="22"/>
          <w:u w:val="single"/>
        </w:rPr>
      </w:pPr>
      <w:r>
        <w:rPr>
          <w:rFonts w:ascii="Arial" w:hAnsi="Arial" w:cs="Arial"/>
          <w:b/>
          <w:bCs/>
          <w:sz w:val="22"/>
          <w:u w:val="single"/>
        </w:rPr>
        <w:t>5</w:t>
      </w:r>
      <w:r w:rsidR="007C60F8">
        <w:rPr>
          <w:rFonts w:ascii="Arial" w:hAnsi="Arial" w:cs="Arial"/>
          <w:b/>
          <w:bCs/>
          <w:sz w:val="22"/>
          <w:u w:val="single"/>
        </w:rPr>
        <w:t xml:space="preserve">. </w:t>
      </w:r>
      <w:r w:rsidR="007C60F8" w:rsidRPr="0038676B">
        <w:rPr>
          <w:rFonts w:ascii="Arial" w:hAnsi="Arial" w:cs="Arial"/>
          <w:b/>
          <w:bCs/>
          <w:sz w:val="22"/>
          <w:u w:val="single"/>
        </w:rPr>
        <w:t xml:space="preserve">Acciones que pertenecen al </w:t>
      </w:r>
      <w:r w:rsidR="00B05756">
        <w:rPr>
          <w:rFonts w:ascii="Arial" w:hAnsi="Arial" w:cs="Arial"/>
          <w:b/>
          <w:bCs/>
          <w:sz w:val="22"/>
          <w:u w:val="single"/>
        </w:rPr>
        <w:t>accionista</w:t>
      </w:r>
      <w:r w:rsidR="00B05756" w:rsidRPr="0038676B">
        <w:rPr>
          <w:rFonts w:ascii="Arial" w:hAnsi="Arial" w:cs="Arial"/>
          <w:b/>
          <w:bCs/>
          <w:sz w:val="22"/>
          <w:u w:val="single"/>
        </w:rPr>
        <w:t xml:space="preserve"> </w:t>
      </w:r>
      <w:r w:rsidR="007C60F8" w:rsidRPr="0038676B">
        <w:rPr>
          <w:rFonts w:ascii="Arial" w:hAnsi="Arial" w:cs="Arial"/>
          <w:b/>
          <w:bCs/>
          <w:sz w:val="22"/>
          <w:u w:val="single"/>
        </w:rPr>
        <w:t>controlante</w:t>
      </w:r>
    </w:p>
    <w:p w14:paraId="03F2067A" w14:textId="77777777" w:rsidR="007C60F8" w:rsidRDefault="007C60F8" w:rsidP="007C60F8">
      <w:pPr>
        <w:rPr>
          <w:rFonts w:ascii="Arial" w:hAnsi="Arial" w:cs="Arial"/>
          <w:sz w:val="22"/>
          <w:szCs w:val="22"/>
        </w:rPr>
      </w:pPr>
    </w:p>
    <w:p w14:paraId="76EF3448" w14:textId="53BAD953" w:rsidR="007C60F8" w:rsidRDefault="005C3BE1" w:rsidP="007C60F8">
      <w:pPr>
        <w:jc w:val="both"/>
        <w:outlineLvl w:val="0"/>
        <w:rPr>
          <w:rFonts w:ascii="Arial" w:hAnsi="Arial" w:cs="Arial"/>
          <w:sz w:val="22"/>
          <w:szCs w:val="22"/>
        </w:rPr>
      </w:pPr>
      <w:r>
        <w:rPr>
          <w:rFonts w:ascii="Arial" w:hAnsi="Arial" w:cs="Arial"/>
          <w:sz w:val="22"/>
          <w:szCs w:val="22"/>
        </w:rPr>
        <w:t>Al 30 de septiembre</w:t>
      </w:r>
      <w:r w:rsidR="001D179F">
        <w:rPr>
          <w:rFonts w:ascii="Arial" w:hAnsi="Arial" w:cs="Arial"/>
          <w:sz w:val="22"/>
          <w:szCs w:val="22"/>
        </w:rPr>
        <w:t xml:space="preserve"> de 2019</w:t>
      </w:r>
      <w:r w:rsidR="007C60F8">
        <w:rPr>
          <w:rFonts w:ascii="Arial" w:hAnsi="Arial" w:cs="Arial"/>
          <w:sz w:val="22"/>
          <w:szCs w:val="22"/>
        </w:rPr>
        <w:t xml:space="preserve">, la cantidad de acciones que pertenecen al accionista controlante </w:t>
      </w:r>
      <w:r w:rsidR="007C60F8" w:rsidRPr="001E6F99">
        <w:rPr>
          <w:rFonts w:ascii="Arial" w:hAnsi="Arial" w:cs="Arial"/>
          <w:sz w:val="22"/>
          <w:szCs w:val="22"/>
        </w:rPr>
        <w:t>de la Sociedad asciende a 200.59</w:t>
      </w:r>
      <w:r w:rsidR="007C60F8">
        <w:rPr>
          <w:rFonts w:ascii="Arial" w:hAnsi="Arial" w:cs="Arial"/>
          <w:sz w:val="22"/>
          <w:szCs w:val="22"/>
        </w:rPr>
        <w:t>3</w:t>
      </w:r>
      <w:r w:rsidR="007C60F8" w:rsidRPr="001E6F99">
        <w:rPr>
          <w:rFonts w:ascii="Arial" w:hAnsi="Arial" w:cs="Arial"/>
          <w:sz w:val="22"/>
          <w:szCs w:val="22"/>
        </w:rPr>
        <w:t>.</w:t>
      </w:r>
      <w:r w:rsidR="007C60F8">
        <w:rPr>
          <w:rFonts w:ascii="Arial" w:hAnsi="Arial" w:cs="Arial"/>
          <w:sz w:val="22"/>
          <w:szCs w:val="22"/>
        </w:rPr>
        <w:t>289</w:t>
      </w:r>
      <w:r w:rsidR="007C60F8" w:rsidRPr="001E6F99">
        <w:rPr>
          <w:rFonts w:ascii="Arial" w:hAnsi="Arial" w:cs="Arial"/>
          <w:sz w:val="22"/>
          <w:szCs w:val="22"/>
        </w:rPr>
        <w:t xml:space="preserve">, las cuales incluyen 200.589.525 acciones clase D y </w:t>
      </w:r>
      <w:r w:rsidR="007C60F8">
        <w:rPr>
          <w:rFonts w:ascii="Arial" w:hAnsi="Arial" w:cs="Arial"/>
          <w:sz w:val="22"/>
          <w:szCs w:val="22"/>
        </w:rPr>
        <w:t xml:space="preserve">3.764 </w:t>
      </w:r>
      <w:r w:rsidR="007C60F8" w:rsidRPr="001E6F99">
        <w:rPr>
          <w:rFonts w:ascii="Arial" w:hAnsi="Arial" w:cs="Arial"/>
          <w:sz w:val="22"/>
          <w:szCs w:val="22"/>
        </w:rPr>
        <w:t xml:space="preserve">acciones Clase A. </w:t>
      </w:r>
    </w:p>
    <w:p w14:paraId="51B5B6AD" w14:textId="77777777" w:rsidR="007C60F8" w:rsidRDefault="007C60F8" w:rsidP="007C60F8">
      <w:pPr>
        <w:jc w:val="both"/>
        <w:outlineLvl w:val="0"/>
        <w:rPr>
          <w:rFonts w:ascii="Arial" w:hAnsi="Arial" w:cs="Arial"/>
          <w:b/>
          <w:bCs/>
          <w:sz w:val="22"/>
          <w:u w:val="single"/>
        </w:rPr>
      </w:pPr>
    </w:p>
    <w:p w14:paraId="432DE2E3" w14:textId="6F760B3F" w:rsidR="007C60F8" w:rsidRDefault="009E44D8" w:rsidP="007C60F8">
      <w:pPr>
        <w:jc w:val="both"/>
        <w:outlineLvl w:val="0"/>
        <w:rPr>
          <w:rFonts w:ascii="Arial" w:hAnsi="Arial" w:cs="Arial"/>
          <w:sz w:val="22"/>
        </w:rPr>
      </w:pPr>
      <w:r>
        <w:rPr>
          <w:rFonts w:ascii="Arial" w:hAnsi="Arial" w:cs="Arial"/>
          <w:b/>
          <w:bCs/>
          <w:sz w:val="22"/>
          <w:u w:val="single"/>
        </w:rPr>
        <w:t>6</w:t>
      </w:r>
      <w:r w:rsidR="007C60F8">
        <w:rPr>
          <w:rFonts w:ascii="Arial" w:hAnsi="Arial" w:cs="Arial"/>
          <w:b/>
          <w:bCs/>
          <w:sz w:val="22"/>
          <w:u w:val="single"/>
        </w:rPr>
        <w:t>. Acciones que dan derecho a valores representativos de deuda convertibles en acciones y/u opciones de compra de acciones de la sociedad, correspondiente a la titularidad del accionista o grupo controlante</w:t>
      </w:r>
    </w:p>
    <w:p w14:paraId="526608B6" w14:textId="77777777" w:rsidR="007C60F8" w:rsidRDefault="007C60F8" w:rsidP="007C60F8">
      <w:pPr>
        <w:jc w:val="both"/>
        <w:outlineLvl w:val="0"/>
        <w:rPr>
          <w:rFonts w:ascii="Arial" w:hAnsi="Arial" w:cs="Arial"/>
          <w:sz w:val="22"/>
        </w:rPr>
      </w:pPr>
    </w:p>
    <w:p w14:paraId="2F691DB0" w14:textId="77777777" w:rsidR="007C60F8" w:rsidRPr="007C60F8" w:rsidRDefault="007C60F8" w:rsidP="007C60F8">
      <w:pPr>
        <w:jc w:val="both"/>
        <w:outlineLvl w:val="0"/>
        <w:rPr>
          <w:rFonts w:ascii="Arial" w:hAnsi="Arial" w:cs="Arial"/>
          <w:sz w:val="22"/>
          <w:szCs w:val="22"/>
        </w:rPr>
      </w:pPr>
      <w:r w:rsidRPr="007C60F8">
        <w:rPr>
          <w:rFonts w:ascii="Arial" w:hAnsi="Arial" w:cs="Arial"/>
          <w:sz w:val="22"/>
          <w:szCs w:val="22"/>
        </w:rPr>
        <w:t>No existen.</w:t>
      </w:r>
    </w:p>
    <w:p w14:paraId="3EBAA188" w14:textId="15747EDE" w:rsidR="00034E45" w:rsidRDefault="00034E45" w:rsidP="007C60F8">
      <w:pPr>
        <w:jc w:val="both"/>
        <w:outlineLvl w:val="0"/>
        <w:rPr>
          <w:rFonts w:ascii="Arial" w:hAnsi="Arial" w:cs="Arial"/>
          <w:b/>
          <w:bCs/>
          <w:sz w:val="22"/>
          <w:u w:val="single"/>
        </w:rPr>
      </w:pPr>
    </w:p>
    <w:p w14:paraId="18D3A644" w14:textId="24C83FBE" w:rsidR="007C60F8" w:rsidRDefault="009E44D8" w:rsidP="007C60F8">
      <w:pPr>
        <w:jc w:val="both"/>
        <w:outlineLvl w:val="0"/>
        <w:rPr>
          <w:rFonts w:ascii="Arial" w:hAnsi="Arial" w:cs="Arial"/>
          <w:b/>
          <w:bCs/>
          <w:sz w:val="22"/>
          <w:u w:val="single"/>
        </w:rPr>
      </w:pPr>
      <w:r>
        <w:rPr>
          <w:rFonts w:ascii="Arial" w:hAnsi="Arial" w:cs="Arial"/>
          <w:b/>
          <w:bCs/>
          <w:sz w:val="22"/>
          <w:u w:val="single"/>
        </w:rPr>
        <w:t>7</w:t>
      </w:r>
      <w:r w:rsidR="007C60F8">
        <w:rPr>
          <w:rFonts w:ascii="Arial" w:hAnsi="Arial" w:cs="Arial"/>
          <w:b/>
          <w:bCs/>
          <w:sz w:val="22"/>
          <w:u w:val="single"/>
        </w:rPr>
        <w:t>.  Accionista controlante de la sociedad</w:t>
      </w:r>
    </w:p>
    <w:p w14:paraId="0A9E399A" w14:textId="77777777" w:rsidR="007C60F8" w:rsidRPr="001D07EA" w:rsidRDefault="007C60F8" w:rsidP="007C60F8">
      <w:pPr>
        <w:jc w:val="both"/>
        <w:outlineLvl w:val="0"/>
        <w:rPr>
          <w:rFonts w:ascii="Arial" w:hAnsi="Arial" w:cs="Arial"/>
          <w:sz w:val="22"/>
          <w:szCs w:val="22"/>
        </w:rPr>
      </w:pPr>
    </w:p>
    <w:p w14:paraId="73147394" w14:textId="77777777" w:rsidR="001D07EA" w:rsidRPr="001D07EA" w:rsidRDefault="001D07EA" w:rsidP="001D07EA">
      <w:pPr>
        <w:jc w:val="both"/>
        <w:outlineLvl w:val="0"/>
        <w:rPr>
          <w:rFonts w:ascii="Arial" w:hAnsi="Arial" w:cs="Arial"/>
          <w:sz w:val="22"/>
          <w:szCs w:val="22"/>
        </w:rPr>
      </w:pPr>
      <w:r w:rsidRPr="001D07EA">
        <w:rPr>
          <w:rFonts w:ascii="Arial" w:hAnsi="Arial" w:cs="Arial"/>
          <w:sz w:val="22"/>
          <w:szCs w:val="22"/>
        </w:rPr>
        <w:t>Estado Nacional – Secretaría de Gobierno de Energía, con domicilio legal en Hipólito Yrigoyen 250, Ciudad Autónoma de Buenos Aires.</w:t>
      </w:r>
    </w:p>
    <w:p w14:paraId="72A2DC2A" w14:textId="77777777" w:rsidR="00E6546F" w:rsidRDefault="00E6546F" w:rsidP="00E6546F">
      <w:pPr>
        <w:pStyle w:val="Textoindependiente2"/>
        <w:rPr>
          <w:rFonts w:cs="Arial"/>
        </w:rPr>
      </w:pPr>
    </w:p>
    <w:p w14:paraId="6CE52A92" w14:textId="77777777" w:rsidR="007C60F8" w:rsidRDefault="007C60F8" w:rsidP="00C354DE">
      <w:pPr>
        <w:pStyle w:val="Textoindependiente2"/>
        <w:rPr>
          <w:rFonts w:ascii="Arial" w:hAnsi="Arial" w:cs="Arial"/>
          <w:sz w:val="22"/>
          <w:szCs w:val="22"/>
          <w:lang w:eastAsia="es-ES"/>
        </w:rPr>
      </w:pPr>
    </w:p>
    <w:p w14:paraId="2E9F11DC" w14:textId="77777777" w:rsidR="00C354DE" w:rsidRPr="00AF4B18" w:rsidRDefault="00C354DE" w:rsidP="00C354DE">
      <w:pPr>
        <w:pStyle w:val="Textoindependiente2"/>
        <w:rPr>
          <w:rFonts w:ascii="Arial" w:hAnsi="Arial" w:cs="Arial"/>
          <w:sz w:val="22"/>
          <w:szCs w:val="22"/>
          <w:lang w:eastAsia="es-ES"/>
        </w:rPr>
      </w:pPr>
      <w:r w:rsidRPr="00AF4B18">
        <w:rPr>
          <w:rFonts w:ascii="Arial" w:hAnsi="Arial" w:cs="Arial"/>
          <w:sz w:val="22"/>
          <w:szCs w:val="22"/>
          <w:lang w:eastAsia="es-ES"/>
        </w:rPr>
        <w:t>Sin otro particular, saludo a Uds. muy atentamente.</w:t>
      </w:r>
    </w:p>
    <w:p w14:paraId="277CF147" w14:textId="77777777" w:rsidR="00C354DE" w:rsidRDefault="00C354DE" w:rsidP="00C354DE">
      <w:pPr>
        <w:pStyle w:val="Textoindependiente2"/>
      </w:pPr>
    </w:p>
    <w:p w14:paraId="7F40E7C9" w14:textId="77777777" w:rsidR="00582011" w:rsidRDefault="00582011" w:rsidP="00C354DE">
      <w:pPr>
        <w:pStyle w:val="Textoindependiente2"/>
      </w:pPr>
    </w:p>
    <w:p w14:paraId="780916A8" w14:textId="77777777" w:rsidR="00582011" w:rsidRDefault="00582011" w:rsidP="00C354DE">
      <w:pPr>
        <w:pStyle w:val="Textoindependiente2"/>
      </w:pPr>
    </w:p>
    <w:p w14:paraId="0FB728FD" w14:textId="77777777" w:rsidR="00B45E75" w:rsidRDefault="00B45E75" w:rsidP="00C354DE">
      <w:pPr>
        <w:pStyle w:val="Textoindependiente2"/>
      </w:pPr>
    </w:p>
    <w:p w14:paraId="69174222" w14:textId="4B95494E" w:rsidR="00B45E75" w:rsidRDefault="00B45E75" w:rsidP="00C354DE">
      <w:pPr>
        <w:pStyle w:val="Textoindependiente2"/>
      </w:pPr>
    </w:p>
    <w:p w14:paraId="3C50F795" w14:textId="77777777" w:rsidR="00582011" w:rsidRDefault="00582011" w:rsidP="00C354DE">
      <w:pPr>
        <w:pStyle w:val="Textoindependiente2"/>
      </w:pPr>
    </w:p>
    <w:tbl>
      <w:tblPr>
        <w:tblW w:w="0" w:type="auto"/>
        <w:tblLook w:val="01E0" w:firstRow="1" w:lastRow="1" w:firstColumn="1" w:lastColumn="1" w:noHBand="0" w:noVBand="0"/>
      </w:tblPr>
      <w:tblGrid>
        <w:gridCol w:w="3794"/>
        <w:gridCol w:w="4645"/>
      </w:tblGrid>
      <w:tr w:rsidR="00C354DE" w:rsidRPr="009E20E2" w14:paraId="0EE10B9B" w14:textId="77777777" w:rsidTr="00E2186B">
        <w:tc>
          <w:tcPr>
            <w:tcW w:w="3794" w:type="dxa"/>
          </w:tcPr>
          <w:p w14:paraId="0936DD48" w14:textId="77777777" w:rsidR="00C354DE" w:rsidRPr="00FC45D6" w:rsidRDefault="00C354DE" w:rsidP="00E2186B">
            <w:pPr>
              <w:pStyle w:val="Encabezado"/>
              <w:tabs>
                <w:tab w:val="clear" w:pos="4320"/>
                <w:tab w:val="clear" w:pos="8640"/>
              </w:tabs>
              <w:rPr>
                <w:rFonts w:ascii="Arial" w:hAnsi="Arial" w:cs="Arial"/>
                <w:sz w:val="22"/>
                <w:szCs w:val="22"/>
                <w:lang w:val="es-AR" w:eastAsia="en-US"/>
              </w:rPr>
            </w:pPr>
          </w:p>
        </w:tc>
        <w:tc>
          <w:tcPr>
            <w:tcW w:w="4645" w:type="dxa"/>
          </w:tcPr>
          <w:p w14:paraId="18D3D7F1" w14:textId="2DB8652C" w:rsidR="00C354DE" w:rsidRPr="00FC45D6" w:rsidRDefault="005D749A" w:rsidP="00E2186B">
            <w:pPr>
              <w:pStyle w:val="Encabezado"/>
              <w:tabs>
                <w:tab w:val="clear" w:pos="4320"/>
                <w:tab w:val="clear" w:pos="8640"/>
              </w:tabs>
              <w:jc w:val="center"/>
              <w:rPr>
                <w:rFonts w:ascii="Arial" w:hAnsi="Arial" w:cs="Arial"/>
                <w:b/>
                <w:sz w:val="22"/>
                <w:szCs w:val="22"/>
                <w:lang w:val="es-ES" w:eastAsia="en-US"/>
              </w:rPr>
            </w:pPr>
            <w:r>
              <w:rPr>
                <w:rFonts w:ascii="Arial" w:hAnsi="Arial" w:cs="Arial"/>
                <w:b/>
                <w:sz w:val="22"/>
                <w:szCs w:val="22"/>
                <w:lang w:val="es-ES" w:eastAsia="en-US"/>
              </w:rPr>
              <w:t>Ignacio Rostagno</w:t>
            </w:r>
          </w:p>
          <w:p w14:paraId="121008A7" w14:textId="77777777" w:rsidR="00C354DE" w:rsidRDefault="00C354DE" w:rsidP="00E2186B">
            <w:pPr>
              <w:pStyle w:val="Encabezado"/>
              <w:tabs>
                <w:tab w:val="clear" w:pos="4320"/>
                <w:tab w:val="clear" w:pos="8640"/>
              </w:tabs>
              <w:jc w:val="center"/>
              <w:rPr>
                <w:rFonts w:ascii="Arial" w:hAnsi="Arial" w:cs="Arial"/>
                <w:sz w:val="22"/>
                <w:szCs w:val="22"/>
                <w:lang w:val="es-ES" w:eastAsia="en-US"/>
              </w:rPr>
            </w:pPr>
            <w:r w:rsidRPr="00256C7E">
              <w:rPr>
                <w:rFonts w:ascii="Arial" w:hAnsi="Arial" w:cs="Arial"/>
                <w:sz w:val="22"/>
                <w:szCs w:val="22"/>
                <w:lang w:val="es-ES" w:eastAsia="en-US"/>
              </w:rPr>
              <w:t>Responsable de Relaciones con el Mercado</w:t>
            </w:r>
          </w:p>
          <w:p w14:paraId="0C28A8D1" w14:textId="77777777" w:rsidR="00C354DE" w:rsidRPr="00292389" w:rsidRDefault="00C354DE" w:rsidP="00E2186B">
            <w:pPr>
              <w:pStyle w:val="Textoindependiente2"/>
              <w:jc w:val="center"/>
              <w:rPr>
                <w:rFonts w:ascii="Arial" w:hAnsi="Arial"/>
                <w:sz w:val="22"/>
                <w:lang w:eastAsia="es-ES"/>
              </w:rPr>
            </w:pPr>
            <w:r w:rsidRPr="00292389">
              <w:rPr>
                <w:rFonts w:ascii="Arial" w:hAnsi="Arial"/>
                <w:sz w:val="22"/>
                <w:lang w:eastAsia="es-ES"/>
              </w:rPr>
              <w:t>YPF S.A.</w:t>
            </w:r>
          </w:p>
        </w:tc>
      </w:tr>
    </w:tbl>
    <w:p w14:paraId="6A86FD31" w14:textId="77777777" w:rsidR="00C409CB" w:rsidRDefault="00C409CB" w:rsidP="008D21F5"/>
    <w:sectPr w:rsidR="00C409CB" w:rsidSect="00E2186B">
      <w:headerReference w:type="even" r:id="rId11"/>
      <w:headerReference w:type="default" r:id="rId12"/>
      <w:footerReference w:type="even" r:id="rId13"/>
      <w:footerReference w:type="default" r:id="rId14"/>
      <w:headerReference w:type="first" r:id="rId15"/>
      <w:footerReference w:type="first" r:id="rId16"/>
      <w:pgSz w:w="11906" w:h="16838"/>
      <w:pgMar w:top="2127" w:right="1106" w:bottom="158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8835" w14:textId="77777777" w:rsidR="00232896" w:rsidRDefault="00232896">
      <w:r>
        <w:separator/>
      </w:r>
    </w:p>
  </w:endnote>
  <w:endnote w:type="continuationSeparator" w:id="0">
    <w:p w14:paraId="6E74FEC8" w14:textId="77777777" w:rsidR="00232896" w:rsidRDefault="002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28B1" w14:textId="77777777" w:rsidR="00D350A0" w:rsidRDefault="00D350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B30B" w14:textId="1D991BAB" w:rsidR="00A06C39" w:rsidRDefault="00485F80">
    <w:pPr>
      <w:pStyle w:val="Piedepgina"/>
    </w:pPr>
    <w:r>
      <w:rPr>
        <w:noProof/>
      </w:rPr>
      <mc:AlternateContent>
        <mc:Choice Requires="wps">
          <w:drawing>
            <wp:anchor distT="0" distB="0" distL="114300" distR="114300" simplePos="0" relativeHeight="251660288" behindDoc="0" locked="0" layoutInCell="0" allowOverlap="1" wp14:anchorId="15C73FD2" wp14:editId="20016B4A">
              <wp:simplePos x="0" y="0"/>
              <wp:positionH relativeFrom="page">
                <wp:posOffset>0</wp:posOffset>
              </wp:positionH>
              <wp:positionV relativeFrom="page">
                <wp:posOffset>10234930</wp:posOffset>
              </wp:positionV>
              <wp:extent cx="7560310" cy="266700"/>
              <wp:effectExtent l="0" t="0" r="0" b="0"/>
              <wp:wrapNone/>
              <wp:docPr id="3" name="MSIPCM86894cd7be7abdfccd8ed9e0" descr="{&quot;HashCode&quot;:-14501361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759FAC" w14:textId="7BB79276" w:rsidR="00485F80" w:rsidRPr="00485F80" w:rsidRDefault="00485F80" w:rsidP="00485F80">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5C73FD2" id="_x0000_t202" coordsize="21600,21600" o:spt="202" path="m,l,21600r21600,l21600,xe">
              <v:stroke joinstyle="miter"/>
              <v:path gradientshapeok="t" o:connecttype="rect"/>
            </v:shapetype>
            <v:shape id="MSIPCM86894cd7be7abdfccd8ed9e0" o:spid="_x0000_s1027" type="#_x0000_t202" alt="{&quot;HashCode&quot;:-1450136114,&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" o:allowincell="f" filled="f" stroked="f" strokeweight=".5pt">
              <v:textbox inset=",0,20pt,0">
                <w:txbxContent>
                  <w:p w14:paraId="0C759FAC" w14:textId="7BB79276" w:rsidR="00485F80" w:rsidRPr="00485F80" w:rsidRDefault="00485F80" w:rsidP="00485F80">
                    <w:pPr>
                      <w:jc w:val="right"/>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2D30" w14:textId="77777777" w:rsidR="00D350A0" w:rsidRDefault="00D35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108F" w14:textId="77777777" w:rsidR="00232896" w:rsidRDefault="00232896">
      <w:r>
        <w:separator/>
      </w:r>
    </w:p>
  </w:footnote>
  <w:footnote w:type="continuationSeparator" w:id="0">
    <w:p w14:paraId="5048D8A6" w14:textId="77777777" w:rsidR="00232896" w:rsidRDefault="0023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F9B9" w14:textId="77777777" w:rsidR="00D350A0" w:rsidRDefault="00D350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FA2F" w14:textId="5F39E0BA" w:rsidR="00E2186B" w:rsidRDefault="00485F80">
    <w:pPr>
      <w:pStyle w:val="Encabezado"/>
    </w:pPr>
    <w:r>
      <w:rPr>
        <w:noProof/>
        <w:lang w:val="es-AR" w:eastAsia="es-AR"/>
      </w:rPr>
      <mc:AlternateContent>
        <mc:Choice Requires="wps">
          <w:drawing>
            <wp:anchor distT="0" distB="0" distL="114300" distR="114300" simplePos="0" relativeHeight="251659264" behindDoc="0" locked="0" layoutInCell="0" allowOverlap="1" wp14:anchorId="4A6F2E17" wp14:editId="11FDDE31">
              <wp:simplePos x="0" y="0"/>
              <wp:positionH relativeFrom="page">
                <wp:posOffset>0</wp:posOffset>
              </wp:positionH>
              <wp:positionV relativeFrom="page">
                <wp:posOffset>190500</wp:posOffset>
              </wp:positionV>
              <wp:extent cx="7560310" cy="266700"/>
              <wp:effectExtent l="0" t="0" r="0" b="0"/>
              <wp:wrapNone/>
              <wp:docPr id="2" name="MSIPCMf61c44418d556166267a44be" descr="{&quot;HashCode&quot;:-147427368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97E43" w14:textId="2E974179" w:rsidR="00485F80" w:rsidRPr="00485F80" w:rsidRDefault="00485F80" w:rsidP="00485F80">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6F2E17" id="_x0000_t202" coordsize="21600,21600" o:spt="202" path="m,l,21600r21600,l21600,xe">
              <v:stroke joinstyle="miter"/>
              <v:path gradientshapeok="t" o:connecttype="rect"/>
            </v:shapetype>
            <v:shape id="MSIPCMf61c44418d556166267a44be" o:spid="_x0000_s1026" type="#_x0000_t202" alt="{&quot;HashCode&quot;:-147427368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KxnmzIcAwAAOAYAAA4AAAAAAAAAAAAA&#10;AAAALgIAAGRycy9lMm9Eb2MueG1sUEsBAi0AFAAGAAgAAAAhADekejrcAAAABwEAAA8AAAAAAAAA&#10;AAAAAAAAdgUAAGRycy9kb3ducmV2LnhtbFBLBQYAAAAABAAEAPMAAAB/BgAAAAA=&#10;" o:allowincell="f" filled="f" stroked="f" strokeweight=".5pt">
              <v:textbox inset=",0,20pt,0">
                <w:txbxContent>
                  <w:p w14:paraId="77497E43" w14:textId="2E974179" w:rsidR="00485F80" w:rsidRPr="00485F80" w:rsidRDefault="00485F80" w:rsidP="00485F80">
                    <w:pPr>
                      <w:jc w:val="right"/>
                      <w:rPr>
                        <w:rFonts w:ascii="Calibri" w:hAnsi="Calibri" w:cs="Calibri"/>
                        <w:color w:val="000000"/>
                      </w:rPr>
                    </w:pPr>
                  </w:p>
                </w:txbxContent>
              </v:textbox>
              <w10:wrap anchorx="page" anchory="page"/>
            </v:shape>
          </w:pict>
        </mc:Fallback>
      </mc:AlternateContent>
    </w:r>
    <w:r w:rsidR="00E01A50" w:rsidRPr="00C354DE">
      <w:rPr>
        <w:noProof/>
        <w:lang w:val="es-AR" w:eastAsia="es-AR"/>
      </w:rPr>
      <w:drawing>
        <wp:inline distT="0" distB="0" distL="0" distR="0" wp14:anchorId="607A470D" wp14:editId="4E04AF17">
          <wp:extent cx="1019175" cy="685800"/>
          <wp:effectExtent l="0" t="0" r="9525" b="0"/>
          <wp:docPr id="1" name="Imagen 1" descr="recuadro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cuadro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CD7E" w14:textId="77777777" w:rsidR="00D350A0" w:rsidRDefault="00D350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86C"/>
    <w:multiLevelType w:val="hybridMultilevel"/>
    <w:tmpl w:val="CA2ED640"/>
    <w:lvl w:ilvl="0" w:tplc="DA2A0B3C">
      <w:start w:val="1"/>
      <w:numFmt w:val="decimal"/>
      <w:lvlText w:val="%1)"/>
      <w:lvlJc w:val="left"/>
      <w:pPr>
        <w:ind w:left="644" w:hanging="360"/>
      </w:pPr>
      <w:rPr>
        <w:rFonts w:hint="default"/>
        <w:b/>
        <w:u w:val="none"/>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C354DE"/>
    <w:rsid w:val="00023E45"/>
    <w:rsid w:val="00034E45"/>
    <w:rsid w:val="00035761"/>
    <w:rsid w:val="00066167"/>
    <w:rsid w:val="00067482"/>
    <w:rsid w:val="00081C91"/>
    <w:rsid w:val="00083BF1"/>
    <w:rsid w:val="000B319A"/>
    <w:rsid w:val="001A7B6C"/>
    <w:rsid w:val="001C50F7"/>
    <w:rsid w:val="001D07EA"/>
    <w:rsid w:val="001D179F"/>
    <w:rsid w:val="0020161F"/>
    <w:rsid w:val="00223EB4"/>
    <w:rsid w:val="00226EFF"/>
    <w:rsid w:val="00232896"/>
    <w:rsid w:val="00234C78"/>
    <w:rsid w:val="002463DF"/>
    <w:rsid w:val="00265455"/>
    <w:rsid w:val="00266D69"/>
    <w:rsid w:val="00285128"/>
    <w:rsid w:val="002A0FFE"/>
    <w:rsid w:val="002B399C"/>
    <w:rsid w:val="002E61EA"/>
    <w:rsid w:val="003119B7"/>
    <w:rsid w:val="0034678B"/>
    <w:rsid w:val="00363364"/>
    <w:rsid w:val="00381CFD"/>
    <w:rsid w:val="003A4B51"/>
    <w:rsid w:val="003E2C47"/>
    <w:rsid w:val="003E794E"/>
    <w:rsid w:val="003F3009"/>
    <w:rsid w:val="004003EA"/>
    <w:rsid w:val="00462AB3"/>
    <w:rsid w:val="00462C0B"/>
    <w:rsid w:val="00472F09"/>
    <w:rsid w:val="00485F80"/>
    <w:rsid w:val="0051146A"/>
    <w:rsid w:val="00515B51"/>
    <w:rsid w:val="00516466"/>
    <w:rsid w:val="00521363"/>
    <w:rsid w:val="00523192"/>
    <w:rsid w:val="005601C2"/>
    <w:rsid w:val="00571004"/>
    <w:rsid w:val="00577947"/>
    <w:rsid w:val="00582011"/>
    <w:rsid w:val="005863CD"/>
    <w:rsid w:val="005C3BE1"/>
    <w:rsid w:val="005D749A"/>
    <w:rsid w:val="00606F85"/>
    <w:rsid w:val="00624AF3"/>
    <w:rsid w:val="006573F7"/>
    <w:rsid w:val="006609E5"/>
    <w:rsid w:val="006720EE"/>
    <w:rsid w:val="00680FF4"/>
    <w:rsid w:val="006844F0"/>
    <w:rsid w:val="00714915"/>
    <w:rsid w:val="00715B15"/>
    <w:rsid w:val="0072336D"/>
    <w:rsid w:val="007272E1"/>
    <w:rsid w:val="007823EA"/>
    <w:rsid w:val="007C5418"/>
    <w:rsid w:val="007C60F8"/>
    <w:rsid w:val="007E62FF"/>
    <w:rsid w:val="008014D1"/>
    <w:rsid w:val="0083016F"/>
    <w:rsid w:val="00831963"/>
    <w:rsid w:val="00832E76"/>
    <w:rsid w:val="008553A5"/>
    <w:rsid w:val="008864E1"/>
    <w:rsid w:val="0089359A"/>
    <w:rsid w:val="008B6685"/>
    <w:rsid w:val="008D21F5"/>
    <w:rsid w:val="008F4AD2"/>
    <w:rsid w:val="00963AF6"/>
    <w:rsid w:val="009A00C4"/>
    <w:rsid w:val="009A17AE"/>
    <w:rsid w:val="009C484D"/>
    <w:rsid w:val="009E44D8"/>
    <w:rsid w:val="00A049D7"/>
    <w:rsid w:val="00A06C39"/>
    <w:rsid w:val="00A1516B"/>
    <w:rsid w:val="00A17350"/>
    <w:rsid w:val="00A36796"/>
    <w:rsid w:val="00A3695F"/>
    <w:rsid w:val="00A404AF"/>
    <w:rsid w:val="00A550DB"/>
    <w:rsid w:val="00AA2396"/>
    <w:rsid w:val="00AA3990"/>
    <w:rsid w:val="00AF4B4D"/>
    <w:rsid w:val="00B05756"/>
    <w:rsid w:val="00B42F24"/>
    <w:rsid w:val="00B45E75"/>
    <w:rsid w:val="00B55AE4"/>
    <w:rsid w:val="00B8458F"/>
    <w:rsid w:val="00BA1BE5"/>
    <w:rsid w:val="00BA72AB"/>
    <w:rsid w:val="00BE6CB6"/>
    <w:rsid w:val="00BF0D4A"/>
    <w:rsid w:val="00BF13DE"/>
    <w:rsid w:val="00C354DE"/>
    <w:rsid w:val="00C409CB"/>
    <w:rsid w:val="00C42F1A"/>
    <w:rsid w:val="00C62073"/>
    <w:rsid w:val="00C714EC"/>
    <w:rsid w:val="00C717B1"/>
    <w:rsid w:val="00CA4090"/>
    <w:rsid w:val="00CC4550"/>
    <w:rsid w:val="00CE1145"/>
    <w:rsid w:val="00D17D8D"/>
    <w:rsid w:val="00D350A0"/>
    <w:rsid w:val="00D80950"/>
    <w:rsid w:val="00DD5B38"/>
    <w:rsid w:val="00E01A50"/>
    <w:rsid w:val="00E2186B"/>
    <w:rsid w:val="00E35119"/>
    <w:rsid w:val="00E45231"/>
    <w:rsid w:val="00E509BD"/>
    <w:rsid w:val="00E6546F"/>
    <w:rsid w:val="00F06056"/>
    <w:rsid w:val="00F577F8"/>
    <w:rsid w:val="00FE2A9C"/>
    <w:rsid w:val="00FF01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1A5C39"/>
  <w15:docId w15:val="{9DF759A6-4F9B-49AE-8D4A-722C57D3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4DE"/>
    <w:rPr>
      <w:rFonts w:ascii="Times New Roman" w:eastAsia="Times New Roman" w:hAnsi="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C354DE"/>
    <w:pPr>
      <w:jc w:val="both"/>
    </w:pPr>
    <w:rPr>
      <w:lang w:eastAsia="x-none"/>
    </w:rPr>
  </w:style>
  <w:style w:type="character" w:customStyle="1" w:styleId="TextoindependienteCar">
    <w:name w:val="Texto independiente Car"/>
    <w:link w:val="Textoindependiente"/>
    <w:uiPriority w:val="99"/>
    <w:rsid w:val="00C354DE"/>
    <w:rPr>
      <w:rFonts w:ascii="Times New Roman" w:eastAsia="Times New Roman" w:hAnsi="Times New Roman" w:cs="Times New Roman"/>
      <w:sz w:val="20"/>
      <w:szCs w:val="20"/>
      <w:lang w:val="es-ES_tradnl" w:eastAsia="x-none"/>
    </w:rPr>
  </w:style>
  <w:style w:type="paragraph" w:styleId="Textoindependiente2">
    <w:name w:val="Body Text 2"/>
    <w:basedOn w:val="Normal"/>
    <w:link w:val="Textoindependiente2Car"/>
    <w:uiPriority w:val="99"/>
    <w:rsid w:val="00C354DE"/>
    <w:pPr>
      <w:ind w:right="-136"/>
    </w:pPr>
    <w:rPr>
      <w:lang w:eastAsia="x-none"/>
    </w:rPr>
  </w:style>
  <w:style w:type="character" w:customStyle="1" w:styleId="Textoindependiente2Car">
    <w:name w:val="Texto independiente 2 Car"/>
    <w:link w:val="Textoindependiente2"/>
    <w:uiPriority w:val="99"/>
    <w:rsid w:val="00C354DE"/>
    <w:rPr>
      <w:rFonts w:ascii="Times New Roman" w:eastAsia="Times New Roman" w:hAnsi="Times New Roman" w:cs="Times New Roman"/>
      <w:sz w:val="20"/>
      <w:szCs w:val="20"/>
      <w:lang w:val="es-ES_tradnl" w:eastAsia="x-none"/>
    </w:rPr>
  </w:style>
  <w:style w:type="paragraph" w:styleId="Encabezado">
    <w:name w:val="header"/>
    <w:basedOn w:val="Normal"/>
    <w:link w:val="EncabezadoCar"/>
    <w:uiPriority w:val="99"/>
    <w:rsid w:val="00C354DE"/>
    <w:pPr>
      <w:tabs>
        <w:tab w:val="center" w:pos="4320"/>
        <w:tab w:val="right" w:pos="8640"/>
      </w:tabs>
    </w:pPr>
    <w:rPr>
      <w:lang w:eastAsia="x-none"/>
    </w:rPr>
  </w:style>
  <w:style w:type="character" w:customStyle="1" w:styleId="EncabezadoCar">
    <w:name w:val="Encabezado Car"/>
    <w:link w:val="Encabezado"/>
    <w:uiPriority w:val="99"/>
    <w:rsid w:val="00C354DE"/>
    <w:rPr>
      <w:rFonts w:ascii="Times New Roman" w:eastAsia="Times New Roman" w:hAnsi="Times New Roman" w:cs="Times New Roman"/>
      <w:sz w:val="20"/>
      <w:szCs w:val="20"/>
      <w:lang w:val="es-ES_tradnl" w:eastAsia="x-none"/>
    </w:rPr>
  </w:style>
  <w:style w:type="paragraph" w:customStyle="1" w:styleId="DPWfdPF">
    <w:name w:val="DPW fd PF"/>
    <w:aliases w:val="p,f,D,DPW fd PF Char1 Char Char,DPW fd PF Char1 Char Char1,DPW fd PF Char1 Char Char Char Char Char Char,DPW fd PF Char1 Char Char Char Char Char Char Char Char,f Car,DPW PF,pf"/>
    <w:basedOn w:val="Normal"/>
    <w:link w:val="DPWfdPFChar"/>
    <w:rsid w:val="00C354DE"/>
    <w:pPr>
      <w:spacing w:after="200"/>
      <w:ind w:firstLine="360"/>
    </w:pPr>
    <w:rPr>
      <w:lang w:val="es-ES" w:eastAsia="en-US"/>
    </w:rPr>
  </w:style>
  <w:style w:type="paragraph" w:styleId="Textodeglobo">
    <w:name w:val="Balloon Text"/>
    <w:basedOn w:val="Normal"/>
    <w:link w:val="TextodegloboCar"/>
    <w:uiPriority w:val="99"/>
    <w:semiHidden/>
    <w:unhideWhenUsed/>
    <w:rsid w:val="00C354DE"/>
    <w:rPr>
      <w:rFonts w:ascii="Tahoma" w:hAnsi="Tahoma" w:cs="Tahoma"/>
      <w:sz w:val="16"/>
      <w:szCs w:val="16"/>
    </w:rPr>
  </w:style>
  <w:style w:type="character" w:customStyle="1" w:styleId="TextodegloboCar">
    <w:name w:val="Texto de globo Car"/>
    <w:link w:val="Textodeglobo"/>
    <w:uiPriority w:val="99"/>
    <w:semiHidden/>
    <w:rsid w:val="00C354DE"/>
    <w:rPr>
      <w:rFonts w:ascii="Tahoma" w:eastAsia="Times New Roman" w:hAnsi="Tahoma" w:cs="Tahoma"/>
      <w:sz w:val="16"/>
      <w:szCs w:val="16"/>
      <w:lang w:val="es-ES_tradnl" w:eastAsia="es-ES"/>
    </w:rPr>
  </w:style>
  <w:style w:type="paragraph" w:styleId="Textonotapie">
    <w:name w:val="footnote text"/>
    <w:basedOn w:val="Normal"/>
    <w:link w:val="TextonotapieCar"/>
    <w:uiPriority w:val="99"/>
    <w:semiHidden/>
    <w:unhideWhenUsed/>
    <w:rsid w:val="00DD5B38"/>
  </w:style>
  <w:style w:type="character" w:customStyle="1" w:styleId="TextonotapieCar">
    <w:name w:val="Texto nota pie Car"/>
    <w:link w:val="Textonotapie"/>
    <w:uiPriority w:val="99"/>
    <w:semiHidden/>
    <w:rsid w:val="00DD5B38"/>
    <w:rPr>
      <w:rFonts w:ascii="Times New Roman" w:eastAsia="Times New Roman" w:hAnsi="Times New Roman"/>
      <w:lang w:val="es-ES_tradnl" w:eastAsia="es-ES"/>
    </w:rPr>
  </w:style>
  <w:style w:type="character" w:styleId="Refdenotaalpie">
    <w:name w:val="footnote reference"/>
    <w:uiPriority w:val="99"/>
    <w:semiHidden/>
    <w:unhideWhenUsed/>
    <w:rsid w:val="00DD5B38"/>
    <w:rPr>
      <w:vertAlign w:val="superscript"/>
    </w:rPr>
  </w:style>
  <w:style w:type="paragraph" w:customStyle="1" w:styleId="Default">
    <w:name w:val="Default"/>
    <w:rsid w:val="00A3695F"/>
    <w:pPr>
      <w:autoSpaceDE w:val="0"/>
      <w:autoSpaceDN w:val="0"/>
      <w:adjustRightInd w:val="0"/>
    </w:pPr>
    <w:rPr>
      <w:rFonts w:ascii="Arial" w:hAnsi="Arial" w:cs="Arial"/>
      <w:color w:val="000000"/>
      <w:sz w:val="24"/>
      <w:szCs w:val="24"/>
    </w:rPr>
  </w:style>
  <w:style w:type="paragraph" w:styleId="Piedepgina">
    <w:name w:val="footer"/>
    <w:basedOn w:val="Normal"/>
    <w:link w:val="PiedepginaCar"/>
    <w:uiPriority w:val="99"/>
    <w:unhideWhenUsed/>
    <w:rsid w:val="00A06C39"/>
    <w:pPr>
      <w:tabs>
        <w:tab w:val="center" w:pos="4252"/>
        <w:tab w:val="right" w:pos="8504"/>
      </w:tabs>
    </w:pPr>
  </w:style>
  <w:style w:type="character" w:customStyle="1" w:styleId="PiedepginaCar">
    <w:name w:val="Pie de página Car"/>
    <w:basedOn w:val="Fuentedeprrafopredeter"/>
    <w:link w:val="Piedepgina"/>
    <w:uiPriority w:val="99"/>
    <w:rsid w:val="00A06C39"/>
    <w:rPr>
      <w:rFonts w:ascii="Times New Roman" w:eastAsia="Times New Roman" w:hAnsi="Times New Roman"/>
      <w:lang w:val="es-ES_tradnl" w:eastAsia="es-ES"/>
    </w:rPr>
  </w:style>
  <w:style w:type="character" w:customStyle="1" w:styleId="DPWfdPFChar">
    <w:name w:val="DPW fd PF Char"/>
    <w:aliases w:val="D Char,p Char,f Char,p Char Char,p Char1,DPW fd PF Char1"/>
    <w:basedOn w:val="Fuentedeprrafopredeter"/>
    <w:link w:val="DPWfdPF"/>
    <w:locked/>
    <w:rsid w:val="00606F85"/>
    <w:rPr>
      <w:rFonts w:ascii="Times New Roman" w:eastAsia="Times New Roman" w:hAnsi="Times New Roman"/>
      <w:lang w:val="es-ES" w:eastAsia="en-US"/>
    </w:rPr>
  </w:style>
  <w:style w:type="character" w:styleId="Refdecomentario">
    <w:name w:val="annotation reference"/>
    <w:basedOn w:val="Fuentedeprrafopredeter"/>
    <w:uiPriority w:val="99"/>
    <w:semiHidden/>
    <w:unhideWhenUsed/>
    <w:rsid w:val="00AA2396"/>
    <w:rPr>
      <w:sz w:val="16"/>
      <w:szCs w:val="16"/>
    </w:rPr>
  </w:style>
  <w:style w:type="paragraph" w:styleId="Textocomentario">
    <w:name w:val="annotation text"/>
    <w:basedOn w:val="Normal"/>
    <w:link w:val="TextocomentarioCar"/>
    <w:uiPriority w:val="99"/>
    <w:semiHidden/>
    <w:unhideWhenUsed/>
    <w:rsid w:val="00AA2396"/>
  </w:style>
  <w:style w:type="character" w:customStyle="1" w:styleId="TextocomentarioCar">
    <w:name w:val="Texto comentario Car"/>
    <w:basedOn w:val="Fuentedeprrafopredeter"/>
    <w:link w:val="Textocomentario"/>
    <w:uiPriority w:val="99"/>
    <w:semiHidden/>
    <w:rsid w:val="00AA2396"/>
    <w:rPr>
      <w:rFonts w:ascii="Times New Roman" w:eastAsia="Times New Roman" w:hAnsi="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AA2396"/>
    <w:rPr>
      <w:b/>
      <w:bCs/>
    </w:rPr>
  </w:style>
  <w:style w:type="character" w:customStyle="1" w:styleId="AsuntodelcomentarioCar">
    <w:name w:val="Asunto del comentario Car"/>
    <w:basedOn w:val="TextocomentarioCar"/>
    <w:link w:val="Asuntodelcomentario"/>
    <w:uiPriority w:val="99"/>
    <w:semiHidden/>
    <w:rsid w:val="00AA2396"/>
    <w:rPr>
      <w:rFonts w:ascii="Times New Roman" w:eastAsia="Times New Roman" w:hAnsi="Times New Roman"/>
      <w:b/>
      <w:bCs/>
      <w:lang w:val="es-ES_tradnl" w:eastAsia="es-ES"/>
    </w:rPr>
  </w:style>
  <w:style w:type="paragraph" w:styleId="Revisin">
    <w:name w:val="Revision"/>
    <w:hidden/>
    <w:uiPriority w:val="99"/>
    <w:semiHidden/>
    <w:rsid w:val="00AA2396"/>
    <w:rPr>
      <w:rFonts w:ascii="Times New Roman" w:eastAsia="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86240">
      <w:bodyDiv w:val="1"/>
      <w:marLeft w:val="0"/>
      <w:marRight w:val="0"/>
      <w:marTop w:val="0"/>
      <w:marBottom w:val="0"/>
      <w:divBdr>
        <w:top w:val="none" w:sz="0" w:space="0" w:color="auto"/>
        <w:left w:val="none" w:sz="0" w:space="0" w:color="auto"/>
        <w:bottom w:val="none" w:sz="0" w:space="0" w:color="auto"/>
        <w:right w:val="none" w:sz="0" w:space="0" w:color="auto"/>
      </w:divBdr>
    </w:div>
    <w:div w:id="20514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1" ma:contentTypeDescription="Crear nuevo documento." ma:contentTypeScope="" ma:versionID="9ec87867dff6b7cf586c2c12dbdce6d3">
  <xsd:schema xmlns:xsd="http://www.w3.org/2001/XMLSchema" xmlns:xs="http://www.w3.org/2001/XMLSchema" xmlns:p="http://schemas.microsoft.com/office/2006/metadata/properties" xmlns:ns3="f4b7f1b2-1516-40a5-a020-15147e230483" xmlns:ns4="2552a0fe-0201-43a2-a172-d2d9af851966" targetNamespace="http://schemas.microsoft.com/office/2006/metadata/properties" ma:root="true" ma:fieldsID="e6c98ff8c18c74d6f367e5f47faadcdd" ns3:_="" ns4:_="">
    <xsd:import namespace="f4b7f1b2-1516-40a5-a020-15147e230483"/>
    <xsd:import namespace="2552a0fe-0201-43a2-a172-d2d9af8519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3134-7491-4643-8177-D2B0FBAF13C0}">
  <ds:schemaRefs>
    <ds:schemaRef ds:uri="http://schemas.openxmlformats.org/package/2006/metadata/core-properties"/>
    <ds:schemaRef ds:uri="http://schemas.microsoft.com/office/2006/documentManagement/types"/>
    <ds:schemaRef ds:uri="http://schemas.microsoft.com/office/infopath/2007/PartnerControls"/>
    <ds:schemaRef ds:uri="2552a0fe-0201-43a2-a172-d2d9af851966"/>
    <ds:schemaRef ds:uri="http://purl.org/dc/elements/1.1/"/>
    <ds:schemaRef ds:uri="http://schemas.microsoft.com/office/2006/metadata/properties"/>
    <ds:schemaRef ds:uri="f4b7f1b2-1516-40a5-a020-15147e23048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C353408-1576-4E1A-B641-EE406E0B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7f1b2-1516-40a5-a020-15147e230483"/>
    <ds:schemaRef ds:uri="2552a0fe-0201-43a2-a172-d2d9af85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2EBA5-A68A-47D1-9D94-B61296BADA3D}">
  <ds:schemaRefs>
    <ds:schemaRef ds:uri="http://schemas.microsoft.com/sharepoint/v3/contenttype/forms"/>
  </ds:schemaRefs>
</ds:datastoreItem>
</file>

<file path=customXml/itemProps4.xml><?xml version="1.0" encoding="utf-8"?>
<ds:datastoreItem xmlns:ds="http://schemas.openxmlformats.org/officeDocument/2006/customXml" ds:itemID="{BA9292C2-0F96-4AB7-97F9-8A4D6039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YPF</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CALDERONE, PABLO MARTIN</dc:creator>
  <cp:lastModifiedBy>VOLMAN, CAROLINA DAIANA</cp:lastModifiedBy>
  <cp:revision>5</cp:revision>
  <cp:lastPrinted>2017-03-09T22:28:00Z</cp:lastPrinted>
  <dcterms:created xsi:type="dcterms:W3CDTF">2019-11-07T15:13:00Z</dcterms:created>
  <dcterms:modified xsi:type="dcterms:W3CDTF">2019-11-07T20:56:00Z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y fmtid="{D5CDD505-2E9C-101B-9397-08002B2CF9AE}" pid="3" name="MSIP_Label_228ef38c-4357-49c8-b2ae-c9cdaf411188_Enabled">
    <vt:lpwstr>True</vt:lpwstr>
  </property>
  <property fmtid="{D5CDD505-2E9C-101B-9397-08002B2CF9AE}" pid="4" name="MSIP_Label_228ef38c-4357-49c8-b2ae-c9cdaf411188_SiteId">
    <vt:lpwstr>038018c3-616c-4b46-ad9b-aa9007f701b5</vt:lpwstr>
  </property>
  <property fmtid="{D5CDD505-2E9C-101B-9397-08002B2CF9AE}" pid="5" name="MSIP_Label_228ef38c-4357-49c8-b2ae-c9cdaf411188_Owner">
    <vt:lpwstr>RY13841@grupo.ypf.com</vt:lpwstr>
  </property>
  <property fmtid="{D5CDD505-2E9C-101B-9397-08002B2CF9AE}" pid="6" name="MSIP_Label_228ef38c-4357-49c8-b2ae-c9cdaf411188_SetDate">
    <vt:lpwstr>2019-11-07T15:18:11.0040929Z</vt:lpwstr>
  </property>
  <property fmtid="{D5CDD505-2E9C-101B-9397-08002B2CF9AE}" pid="7" name="MSIP_Label_228ef38c-4357-49c8-b2ae-c9cdaf411188_Name">
    <vt:lpwstr>Personal</vt:lpwstr>
  </property>
  <property fmtid="{D5CDD505-2E9C-101B-9397-08002B2CF9AE}" pid="8" name="MSIP_Label_228ef38c-4357-49c8-b2ae-c9cdaf411188_Application">
    <vt:lpwstr>Microsoft Azure Information Protection</vt:lpwstr>
  </property>
  <property fmtid="{D5CDD505-2E9C-101B-9397-08002B2CF9AE}" pid="9" name="MSIP_Label_228ef38c-4357-49c8-b2ae-c9cdaf411188_ActionId">
    <vt:lpwstr>81b7839d-95f3-47ec-9678-886a40a972d8</vt:lpwstr>
  </property>
  <property fmtid="{D5CDD505-2E9C-101B-9397-08002B2CF9AE}" pid="10" name="MSIP_Label_228ef38c-4357-49c8-b2ae-c9cdaf411188_Extended_MSFT_Method">
    <vt:lpwstr>Manual</vt:lpwstr>
  </property>
  <property fmtid="{D5CDD505-2E9C-101B-9397-08002B2CF9AE}" pid="11" name="Sensitivity">
    <vt:lpwstr>Personal</vt:lpwstr>
  </property>
</Properties>
</file>