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14D" w:rsidRPr="0060250D" w:rsidRDefault="00AD114D" w:rsidP="00BA6B2B">
      <w:pPr>
        <w:ind w:right="1353"/>
        <w:jc w:val="center"/>
        <w:rPr>
          <w:rFonts w:ascii="Times New Roman" w:hAnsi="Times New Roman"/>
          <w:b/>
          <w:sz w:val="20"/>
          <w:lang w:val="es-ES_tradnl"/>
        </w:rPr>
      </w:pPr>
      <w:r w:rsidRPr="0060250D">
        <w:rPr>
          <w:rFonts w:ascii="Times New Roman" w:hAnsi="Times New Roman"/>
          <w:b/>
          <w:sz w:val="20"/>
          <w:lang w:val="es-ES_tradnl"/>
        </w:rPr>
        <w:t>ROGIRO ACEROS S.A.</w:t>
      </w:r>
    </w:p>
    <w:p w:rsidR="00A84452" w:rsidRPr="0060250D" w:rsidRDefault="00A84452" w:rsidP="00A84452">
      <w:pPr>
        <w:ind w:right="1353"/>
        <w:jc w:val="center"/>
        <w:rPr>
          <w:rFonts w:ascii="Times New Roman" w:hAnsi="Times New Roman"/>
          <w:b/>
          <w:sz w:val="20"/>
          <w:lang w:val="es-ES_tradnl"/>
        </w:rPr>
      </w:pPr>
      <w:r w:rsidRPr="0060250D">
        <w:rPr>
          <w:rFonts w:ascii="Times New Roman" w:hAnsi="Times New Roman"/>
          <w:b/>
          <w:sz w:val="20"/>
          <w:lang w:val="es-ES_tradnl"/>
        </w:rPr>
        <w:t>Programa Global de Obligaciones Negociables Pyme CNV</w:t>
      </w:r>
    </w:p>
    <w:p w:rsidR="00A84452" w:rsidRPr="0060250D" w:rsidRDefault="00A84452" w:rsidP="00A84452">
      <w:pPr>
        <w:ind w:right="1353"/>
        <w:jc w:val="center"/>
        <w:rPr>
          <w:rFonts w:ascii="Times New Roman" w:hAnsi="Times New Roman"/>
          <w:b/>
          <w:sz w:val="20"/>
          <w:lang w:val="es-ES_tradnl"/>
        </w:rPr>
      </w:pPr>
      <w:r w:rsidRPr="0060250D">
        <w:rPr>
          <w:rFonts w:ascii="Times New Roman" w:hAnsi="Times New Roman"/>
          <w:b/>
          <w:sz w:val="20"/>
          <w:lang w:val="es-ES_tradnl"/>
        </w:rPr>
        <w:t>por hasta un valor nominal de $ 500.000.000</w:t>
      </w:r>
    </w:p>
    <w:p w:rsidR="00A84452" w:rsidRPr="0060250D" w:rsidRDefault="00A84452" w:rsidP="00A84452">
      <w:pPr>
        <w:ind w:right="1353"/>
        <w:jc w:val="center"/>
        <w:rPr>
          <w:rFonts w:ascii="Times New Roman" w:hAnsi="Times New Roman"/>
          <w:b/>
          <w:sz w:val="20"/>
          <w:lang w:val="es-ES_tradnl"/>
        </w:rPr>
      </w:pPr>
      <w:r w:rsidRPr="0060250D">
        <w:rPr>
          <w:rFonts w:ascii="Times New Roman" w:hAnsi="Times New Roman"/>
          <w:b/>
          <w:sz w:val="20"/>
          <w:lang w:val="es-ES_tradnl"/>
        </w:rPr>
        <w:t>(o su equivalente en otras monedas)</w:t>
      </w:r>
    </w:p>
    <w:p w:rsidR="00E41D99" w:rsidRDefault="00AD114D" w:rsidP="00E41D99">
      <w:pPr>
        <w:pStyle w:val="Sangradetextonormal"/>
        <w:ind w:firstLine="0"/>
      </w:pPr>
      <w:r w:rsidRPr="0060250D">
        <w:t xml:space="preserve">Conforme al artículo 10 de la ley 23.576 se hace saber que por </w:t>
      </w:r>
      <w:r w:rsidR="00767E49" w:rsidRPr="0060250D">
        <w:t xml:space="preserve">asamblea de fecha </w:t>
      </w:r>
      <w:r w:rsidR="00A84452" w:rsidRPr="0060250D">
        <w:t>1/12/2019</w:t>
      </w:r>
      <w:r w:rsidR="00767E49" w:rsidRPr="0060250D">
        <w:t xml:space="preserve"> y </w:t>
      </w:r>
      <w:r w:rsidR="00205C6D" w:rsidRPr="0060250D">
        <w:t>reuni</w:t>
      </w:r>
      <w:r w:rsidR="00201F8F" w:rsidRPr="0060250D">
        <w:t>ó</w:t>
      </w:r>
      <w:r w:rsidR="00E44DA7" w:rsidRPr="0060250D">
        <w:t>n</w:t>
      </w:r>
      <w:r w:rsidR="00205C6D" w:rsidRPr="0060250D">
        <w:t xml:space="preserve"> de directorio</w:t>
      </w:r>
      <w:r w:rsidRPr="0060250D">
        <w:t xml:space="preserve"> del </w:t>
      </w:r>
      <w:r w:rsidR="00A84452" w:rsidRPr="0060250D">
        <w:t>0</w:t>
      </w:r>
      <w:r w:rsidR="00767E49" w:rsidRPr="0060250D">
        <w:t>2</w:t>
      </w:r>
      <w:r w:rsidR="00A84452" w:rsidRPr="0060250D">
        <w:t>/01/2020</w:t>
      </w:r>
      <w:r w:rsidRPr="0060250D">
        <w:t>, se aprobó</w:t>
      </w:r>
      <w:r w:rsidR="005F34C2" w:rsidRPr="0060250D">
        <w:t xml:space="preserve"> </w:t>
      </w:r>
      <w:r w:rsidR="00A84452" w:rsidRPr="0060250D">
        <w:t xml:space="preserve">un </w:t>
      </w:r>
      <w:r w:rsidR="00767E49" w:rsidRPr="0060250D">
        <w:t xml:space="preserve">Programa Global de Obligaciones Negociables </w:t>
      </w:r>
      <w:r w:rsidR="00A84452" w:rsidRPr="0060250D">
        <w:t xml:space="preserve">Pyme CNV por </w:t>
      </w:r>
      <w:r w:rsidR="00767E49" w:rsidRPr="0060250D">
        <w:t>hasta un valor nominal de $</w:t>
      </w:r>
      <w:r w:rsidR="00A84452" w:rsidRPr="0060250D">
        <w:t>500</w:t>
      </w:r>
      <w:r w:rsidR="00767E49" w:rsidRPr="0060250D">
        <w:t xml:space="preserve">.000.000 o su equivalente en otras monedas. </w:t>
      </w:r>
      <w:r w:rsidR="00D8395B" w:rsidRPr="0060250D">
        <w:t>con</w:t>
      </w:r>
      <w:r w:rsidRPr="0060250D">
        <w:t>forme a los siguientes datos</w:t>
      </w:r>
      <w:r w:rsidR="006F1DF5" w:rsidRPr="0060250D">
        <w:t>.</w:t>
      </w:r>
      <w:r w:rsidR="00B94273" w:rsidRPr="0060250D">
        <w:t xml:space="preserve"> </w:t>
      </w:r>
    </w:p>
    <w:p w:rsidR="0060250D" w:rsidRPr="0060250D" w:rsidRDefault="0060250D" w:rsidP="00E41D99">
      <w:pPr>
        <w:pStyle w:val="Sangradetextonormal"/>
        <w:ind w:firstLine="0"/>
      </w:pPr>
    </w:p>
    <w:p w:rsidR="0060250D" w:rsidRPr="0060250D" w:rsidRDefault="0060250D" w:rsidP="0060250D">
      <w:pPr>
        <w:pStyle w:val="Textoindependiente3"/>
        <w:widowControl w:val="0"/>
        <w:suppressLineNumbers/>
        <w:suppressAutoHyphens/>
        <w:rPr>
          <w:rFonts w:ascii="Times New Roman" w:hAnsi="Times New Roman"/>
          <w:b/>
          <w:sz w:val="20"/>
          <w:szCs w:val="20"/>
        </w:rPr>
      </w:pPr>
      <w:r w:rsidRPr="0060250D">
        <w:rPr>
          <w:rFonts w:ascii="Times New Roman" w:hAnsi="Times New Roman"/>
          <w:b/>
          <w:sz w:val="20"/>
          <w:szCs w:val="20"/>
        </w:rPr>
        <w:t>Emisión y monto de las Obligaciones Negociables</w:t>
      </w:r>
    </w:p>
    <w:p w:rsidR="0060250D" w:rsidRPr="0060250D" w:rsidRDefault="0060250D" w:rsidP="0060250D">
      <w:pPr>
        <w:rPr>
          <w:rFonts w:ascii="Times New Roman" w:hAnsi="Times New Roman"/>
          <w:sz w:val="20"/>
        </w:rPr>
      </w:pPr>
      <w:r w:rsidRPr="0060250D">
        <w:rPr>
          <w:rFonts w:ascii="Times New Roman" w:hAnsi="Times New Roman"/>
          <w:sz w:val="20"/>
        </w:rPr>
        <w:t>Bajo el Programa se emitirán Obligaciones Negociables simples, el monto del capital total de todas las Series de Obligaciones Negociables en circulación en cualquier fecha no superará el monto de $ 500.000.000 (pesos quinientos millones) o el equivalente en otras monedas. Una vez cubierto en forma total el monto máximo del Programa sólo se podrá emitir nuevas Series por el valor nominal de Obligaciones Negociables que se cancelen en forma total o parcial.</w:t>
      </w:r>
    </w:p>
    <w:p w:rsidR="0060250D" w:rsidRPr="0060250D" w:rsidRDefault="0060250D" w:rsidP="0060250D">
      <w:pPr>
        <w:rPr>
          <w:rFonts w:ascii="Times New Roman" w:hAnsi="Times New Roman"/>
          <w:sz w:val="20"/>
        </w:rPr>
      </w:pPr>
    </w:p>
    <w:p w:rsidR="0060250D" w:rsidRPr="0060250D" w:rsidRDefault="0060250D" w:rsidP="0060250D">
      <w:pPr>
        <w:pStyle w:val="Textoindependiente"/>
        <w:widowControl w:val="0"/>
        <w:suppressLineNumbers/>
        <w:suppressAutoHyphens/>
        <w:rPr>
          <w:rFonts w:ascii="Times New Roman" w:hAnsi="Times New Roman"/>
          <w:b/>
          <w:bCs/>
          <w:sz w:val="20"/>
        </w:rPr>
      </w:pPr>
      <w:r w:rsidRPr="0060250D">
        <w:rPr>
          <w:rFonts w:ascii="Times New Roman" w:hAnsi="Times New Roman"/>
          <w:b/>
          <w:bCs/>
          <w:sz w:val="20"/>
        </w:rPr>
        <w:t>Plazo del Programa</w:t>
      </w:r>
    </w:p>
    <w:p w:rsidR="0060250D" w:rsidRPr="0060250D" w:rsidRDefault="0060250D" w:rsidP="0060250D">
      <w:pPr>
        <w:pStyle w:val="notaalpie"/>
        <w:widowControl w:val="0"/>
        <w:suppressLineNumbers/>
        <w:suppressAutoHyphens/>
        <w:rPr>
          <w:rFonts w:ascii="Times New Roman" w:hAnsi="Times New Roman"/>
        </w:rPr>
      </w:pPr>
      <w:r w:rsidRPr="0060250D">
        <w:rPr>
          <w:rFonts w:ascii="Times New Roman" w:hAnsi="Times New Roman"/>
        </w:rPr>
        <w:t>El Programa tiene un plazo de cinco (5) años a contar desde la fecha de autorización de la CNV es decir el 21 de mayo de 2025.</w:t>
      </w:r>
    </w:p>
    <w:p w:rsidR="0060250D" w:rsidRPr="0060250D" w:rsidRDefault="0060250D" w:rsidP="0060250D">
      <w:pPr>
        <w:pStyle w:val="Textoindependiente"/>
        <w:widowControl w:val="0"/>
        <w:suppressLineNumbers/>
        <w:suppressAutoHyphens/>
        <w:rPr>
          <w:rFonts w:ascii="Times New Roman" w:hAnsi="Times New Roman"/>
          <w:b/>
          <w:bCs/>
          <w:sz w:val="20"/>
          <w:lang w:val="es-ES_tradnl"/>
        </w:rPr>
      </w:pPr>
    </w:p>
    <w:p w:rsidR="0060250D" w:rsidRPr="0060250D" w:rsidRDefault="0060250D" w:rsidP="0060250D">
      <w:pPr>
        <w:pStyle w:val="Textoindependiente"/>
        <w:widowControl w:val="0"/>
        <w:suppressLineNumbers/>
        <w:suppressAutoHyphens/>
        <w:rPr>
          <w:rFonts w:ascii="Times New Roman" w:hAnsi="Times New Roman"/>
          <w:sz w:val="20"/>
        </w:rPr>
      </w:pPr>
      <w:r w:rsidRPr="0060250D">
        <w:rPr>
          <w:rFonts w:ascii="Times New Roman" w:hAnsi="Times New Roman"/>
          <w:b/>
          <w:bCs/>
          <w:sz w:val="20"/>
        </w:rPr>
        <w:t>Moneda</w:t>
      </w:r>
    </w:p>
    <w:p w:rsidR="0060250D" w:rsidRPr="0060250D" w:rsidRDefault="0060250D" w:rsidP="0060250D">
      <w:pPr>
        <w:rPr>
          <w:rFonts w:ascii="Times New Roman" w:hAnsi="Times New Roman"/>
          <w:spacing w:val="-2"/>
          <w:sz w:val="20"/>
        </w:rPr>
      </w:pPr>
      <w:r w:rsidRPr="0060250D">
        <w:rPr>
          <w:rFonts w:ascii="Times New Roman" w:hAnsi="Times New Roman"/>
          <w:spacing w:val="-2"/>
          <w:sz w:val="20"/>
        </w:rPr>
        <w:t>Las Obligaciones Negociables podrán estar denominadas en pesos o cualquier otra moneda conforme se indique en cada Serie, sujeto a todos los requisitos legales o reglamentarios aplicables a la emisión de dicha moneda.</w:t>
      </w:r>
    </w:p>
    <w:p w:rsidR="0060250D" w:rsidRPr="0060250D" w:rsidRDefault="0060250D" w:rsidP="0060250D">
      <w:pPr>
        <w:rPr>
          <w:rFonts w:ascii="Times New Roman" w:hAnsi="Times New Roman"/>
          <w:b/>
          <w:bCs/>
          <w:sz w:val="20"/>
        </w:rPr>
      </w:pPr>
    </w:p>
    <w:p w:rsidR="0060250D" w:rsidRPr="0060250D" w:rsidRDefault="0060250D" w:rsidP="0060250D">
      <w:pPr>
        <w:pStyle w:val="BodyText21"/>
        <w:suppressLineNumbers/>
        <w:suppressAutoHyphens/>
        <w:rPr>
          <w:bCs/>
          <w:sz w:val="20"/>
          <w:lang w:val="es-ES"/>
        </w:rPr>
      </w:pPr>
      <w:r w:rsidRPr="0060250D">
        <w:rPr>
          <w:bCs/>
          <w:sz w:val="20"/>
          <w:lang w:val="es-ES"/>
        </w:rPr>
        <w:t>Emisión en Series y Clases</w:t>
      </w:r>
    </w:p>
    <w:p w:rsidR="0060250D" w:rsidRPr="0060250D" w:rsidRDefault="0060250D" w:rsidP="0060250D">
      <w:pPr>
        <w:rPr>
          <w:rFonts w:ascii="Times New Roman" w:hAnsi="Times New Roman"/>
          <w:sz w:val="20"/>
        </w:rPr>
      </w:pPr>
      <w:r w:rsidRPr="0060250D">
        <w:rPr>
          <w:rFonts w:ascii="Times New Roman" w:hAnsi="Times New Roman"/>
          <w:sz w:val="20"/>
        </w:rPr>
        <w:t>Las Obligaciones Negociables se emitirán en una o más Series, y dentro de éstas podrán emitirse diferentes Clases. Las Obligaciones Negociables que se emitan en una misma Clase otorgarán los mismos derechos.</w:t>
      </w:r>
    </w:p>
    <w:p w:rsidR="0060250D" w:rsidRPr="0060250D" w:rsidRDefault="0060250D" w:rsidP="0060250D">
      <w:pPr>
        <w:pStyle w:val="Textoindependiente"/>
        <w:widowControl w:val="0"/>
        <w:suppressLineNumbers/>
        <w:suppressAutoHyphens/>
        <w:rPr>
          <w:rFonts w:ascii="Times New Roman" w:hAnsi="Times New Roman"/>
          <w:sz w:val="20"/>
        </w:rPr>
      </w:pPr>
    </w:p>
    <w:p w:rsidR="0060250D" w:rsidRPr="0060250D" w:rsidRDefault="0060250D" w:rsidP="0060250D">
      <w:pPr>
        <w:pStyle w:val="Textoindependiente"/>
        <w:widowControl w:val="0"/>
        <w:suppressLineNumbers/>
        <w:suppressAutoHyphens/>
        <w:rPr>
          <w:rFonts w:ascii="Times New Roman" w:hAnsi="Times New Roman"/>
          <w:b/>
          <w:bCs/>
          <w:sz w:val="20"/>
        </w:rPr>
      </w:pPr>
      <w:r w:rsidRPr="0060250D">
        <w:rPr>
          <w:rFonts w:ascii="Times New Roman" w:hAnsi="Times New Roman"/>
          <w:b/>
          <w:bCs/>
          <w:sz w:val="20"/>
        </w:rPr>
        <w:t>Tasa de Interés</w:t>
      </w:r>
    </w:p>
    <w:p w:rsidR="0060250D" w:rsidRPr="0060250D" w:rsidRDefault="0060250D" w:rsidP="0060250D">
      <w:pPr>
        <w:rPr>
          <w:rFonts w:ascii="Times New Roman" w:hAnsi="Times New Roman"/>
          <w:spacing w:val="-2"/>
          <w:sz w:val="20"/>
        </w:rPr>
      </w:pPr>
      <w:r w:rsidRPr="0060250D">
        <w:rPr>
          <w:rFonts w:ascii="Times New Roman" w:hAnsi="Times New Roman"/>
          <w:spacing w:val="-2"/>
          <w:sz w:val="20"/>
        </w:rPr>
        <w:t>Las Obligaciones Negociables podrán emitirse con o sin interés, según se establezca en cada Serie y/o Clase. En el caso que se disponga la emisión con intereses, éstos podrán ser a tasa fija o variable o de la manera que se contemple en cada emisión y se computarán conforme lo que allí se indique. Cuando existan importes adeudados que no hayan sido cancelados en su respectiva fecha de vencimiento, se devengarán, en forma adicional a los intereses compensatorios en su caso, intereses moratorios a una tasa equivalente a una vez y media la última tasa de interés fijada, o la tasa que se determine en cada Serie.</w:t>
      </w:r>
    </w:p>
    <w:p w:rsidR="0060250D" w:rsidRPr="0060250D" w:rsidRDefault="0060250D" w:rsidP="0060250D">
      <w:pPr>
        <w:pStyle w:val="Textoindependiente"/>
        <w:widowControl w:val="0"/>
        <w:suppressLineNumbers/>
        <w:suppressAutoHyphens/>
        <w:rPr>
          <w:rFonts w:ascii="Times New Roman" w:hAnsi="Times New Roman"/>
          <w:sz w:val="20"/>
          <w:lang w:val="es-ES"/>
        </w:rPr>
      </w:pPr>
    </w:p>
    <w:p w:rsidR="0060250D" w:rsidRPr="0060250D" w:rsidRDefault="0060250D" w:rsidP="0060250D">
      <w:pPr>
        <w:pStyle w:val="Textoindependiente"/>
        <w:widowControl w:val="0"/>
        <w:suppressLineNumbers/>
        <w:suppressAutoHyphens/>
        <w:rPr>
          <w:rFonts w:ascii="Times New Roman" w:hAnsi="Times New Roman"/>
          <w:sz w:val="20"/>
        </w:rPr>
      </w:pPr>
      <w:r w:rsidRPr="0060250D">
        <w:rPr>
          <w:rFonts w:ascii="Times New Roman" w:hAnsi="Times New Roman"/>
          <w:b/>
          <w:bCs/>
          <w:sz w:val="20"/>
        </w:rPr>
        <w:t>Pagos de Interés y Amortizaciones</w:t>
      </w:r>
    </w:p>
    <w:p w:rsidR="0060250D" w:rsidRPr="0060250D" w:rsidRDefault="0060250D" w:rsidP="0060250D">
      <w:pPr>
        <w:pStyle w:val="Textoindependiente"/>
        <w:widowControl w:val="0"/>
        <w:suppressLineNumbers/>
        <w:suppressAutoHyphens/>
        <w:rPr>
          <w:rFonts w:ascii="Times New Roman" w:hAnsi="Times New Roman"/>
          <w:sz w:val="20"/>
        </w:rPr>
      </w:pPr>
      <w:r w:rsidRPr="0060250D">
        <w:rPr>
          <w:rFonts w:ascii="Times New Roman" w:hAnsi="Times New Roman"/>
          <w:spacing w:val="-2"/>
          <w:sz w:val="20"/>
        </w:rPr>
        <w:t>Los intereses y/o amortizaciones de capital (“</w:t>
      </w:r>
      <w:r w:rsidRPr="0060250D">
        <w:rPr>
          <w:rFonts w:ascii="Times New Roman" w:hAnsi="Times New Roman"/>
          <w:spacing w:val="-2"/>
          <w:sz w:val="20"/>
          <w:u w:val="single"/>
        </w:rPr>
        <w:t>Servicios</w:t>
      </w:r>
      <w:r w:rsidRPr="0060250D">
        <w:rPr>
          <w:rFonts w:ascii="Times New Roman" w:hAnsi="Times New Roman"/>
          <w:spacing w:val="-2"/>
          <w:sz w:val="20"/>
        </w:rPr>
        <w:t xml:space="preserve">”) respecto de las Obligaciones Negociables serán pagaderos en las fechas que se estipulen en las condiciones de emisión de cada Serie y/o Clase y en el Suplemento correspondiente. Si la fecha fijada para el pago fuera un día inhábil, quedará pospuesta al siguiente día hábil, sin que se devenguen intereses sobre dicho pago por el o los días que se posponga el vencimiento. Las obligaciones de pago se considerarán cumplidas y liberadas en la medida en que la Sociedad ponga a disposición de los inversores, o del agente de pago de existir éste, o de la Caja de Valores S.A. en cuanto a </w:t>
      </w:r>
      <w:r w:rsidRPr="0060250D">
        <w:rPr>
          <w:rFonts w:ascii="Times New Roman" w:hAnsi="Times New Roman"/>
          <w:spacing w:val="-2"/>
          <w:sz w:val="20"/>
        </w:rPr>
        <w:lastRenderedPageBreak/>
        <w:t>las Obligaciones Negociables allí depositadas, los fondos correspondientes. Se entenderá por “Día Hábil” cualquier día lunes a viernes, salvo aquellos en los que las entidades financieras están obligadas a cerrar en la ciudades de Buenos Aires o Rosario, según lo ordene el BCRA. El plazo de amortización será de no menos de treinta (30) días ni superiores a diez (10) años contados desde la fecha de emisión, según se establezca en cada emisión y en cada caso sujeto a las leyes y reglamentaciones aplicables.</w:t>
      </w:r>
    </w:p>
    <w:p w:rsidR="0060250D" w:rsidRPr="0060250D" w:rsidRDefault="0060250D" w:rsidP="0060250D">
      <w:pPr>
        <w:pStyle w:val="Textoindependiente"/>
        <w:widowControl w:val="0"/>
        <w:suppressLineNumbers/>
        <w:suppressAutoHyphens/>
        <w:rPr>
          <w:rFonts w:ascii="Times New Roman" w:hAnsi="Times New Roman"/>
          <w:sz w:val="20"/>
        </w:rPr>
      </w:pPr>
    </w:p>
    <w:p w:rsidR="0060250D" w:rsidRPr="0060250D" w:rsidRDefault="0060250D" w:rsidP="0060250D">
      <w:pPr>
        <w:pStyle w:val="BodyText21"/>
        <w:suppressLineNumbers/>
        <w:suppressAutoHyphens/>
        <w:rPr>
          <w:bCs/>
          <w:sz w:val="20"/>
          <w:lang w:val="es-ES"/>
        </w:rPr>
      </w:pPr>
      <w:r w:rsidRPr="0060250D">
        <w:rPr>
          <w:bCs/>
          <w:sz w:val="20"/>
          <w:lang w:val="es-ES"/>
        </w:rPr>
        <w:t>Garantías</w:t>
      </w:r>
    </w:p>
    <w:p w:rsidR="0060250D" w:rsidRPr="0060250D" w:rsidRDefault="0060250D" w:rsidP="0060250D">
      <w:pPr>
        <w:widowControl w:val="0"/>
        <w:suppressLineNumbers/>
        <w:suppressAutoHyphens/>
        <w:rPr>
          <w:rFonts w:ascii="Times New Roman" w:hAnsi="Times New Roman"/>
          <w:sz w:val="20"/>
        </w:rPr>
      </w:pPr>
      <w:r w:rsidRPr="0060250D">
        <w:rPr>
          <w:rFonts w:ascii="Times New Roman" w:hAnsi="Times New Roman"/>
          <w:sz w:val="20"/>
        </w:rPr>
        <w:t>Las Obligaciones Negociables se emitirán con o sin garantía.</w:t>
      </w:r>
    </w:p>
    <w:p w:rsidR="0060250D" w:rsidRPr="0060250D" w:rsidRDefault="0060250D" w:rsidP="0060250D">
      <w:pPr>
        <w:widowControl w:val="0"/>
        <w:suppressLineNumbers/>
        <w:suppressAutoHyphens/>
        <w:rPr>
          <w:rFonts w:ascii="Times New Roman" w:hAnsi="Times New Roman"/>
          <w:sz w:val="20"/>
        </w:rPr>
      </w:pPr>
    </w:p>
    <w:p w:rsidR="0060250D" w:rsidRPr="0060250D" w:rsidRDefault="0060250D" w:rsidP="0060250D">
      <w:pPr>
        <w:pStyle w:val="BodyText21"/>
        <w:suppressLineNumbers/>
        <w:suppressAutoHyphens/>
        <w:rPr>
          <w:bCs/>
          <w:sz w:val="20"/>
          <w:lang w:val="es-ES"/>
        </w:rPr>
      </w:pPr>
      <w:r w:rsidRPr="0060250D">
        <w:rPr>
          <w:bCs/>
          <w:sz w:val="20"/>
          <w:lang w:val="es-ES"/>
        </w:rPr>
        <w:t>Aspectos impositivos</w:t>
      </w:r>
    </w:p>
    <w:p w:rsidR="0060250D" w:rsidRPr="0060250D" w:rsidRDefault="0060250D" w:rsidP="0060250D">
      <w:pPr>
        <w:rPr>
          <w:rFonts w:ascii="Times New Roman" w:hAnsi="Times New Roman"/>
          <w:sz w:val="20"/>
        </w:rPr>
      </w:pPr>
      <w:r w:rsidRPr="0060250D">
        <w:rPr>
          <w:rFonts w:ascii="Times New Roman" w:hAnsi="Times New Roman"/>
          <w:sz w:val="20"/>
        </w:rPr>
        <w:t>Todos los pagos relacionados con las Obligaciones Negociables serán efectuados por el Emisor sin retención o deducción por o a cuenta de cualesquiera impuestos, derechos, gravámenes, tasas, retenciones o gastos de transferencia de cualquier naturaleza, presentes o futuros (los “Tributos”), excepto que el Emisor</w:t>
      </w:r>
      <w:r w:rsidRPr="0060250D">
        <w:rPr>
          <w:rFonts w:ascii="Times New Roman" w:hAnsi="Times New Roman"/>
          <w:color w:val="0D0D0D"/>
          <w:sz w:val="20"/>
        </w:rPr>
        <w:t xml:space="preserve">, </w:t>
      </w:r>
      <w:r w:rsidRPr="0060250D">
        <w:rPr>
          <w:rFonts w:ascii="Times New Roman" w:hAnsi="Times New Roman"/>
          <w:sz w:val="20"/>
        </w:rPr>
        <w:t>o el agente de pago de existir éste, o de la Caja de Valores S.A. en cuanto a las Obligaciones Negociables allí depositadas, esté obligado por disposiciones legales y/o reglamentarias –vigentes o futuras- a actuar como agente de retención de cualquier Tributo que pudiere recaer sobre el pago de los servicios bajo las Obligaciones Negociables cuyo pago corresponda a los obligacionistas con motivo de la tenencia y/o disposición de las Obligaciones Negociables, en cuyo caso las sumas adeudadas a los obligacionistas serán abonadas previa deducción y/o retención del Tributo correspondiente.</w:t>
      </w:r>
    </w:p>
    <w:p w:rsidR="0060250D" w:rsidRPr="0060250D" w:rsidRDefault="0060250D" w:rsidP="0060250D">
      <w:pPr>
        <w:pStyle w:val="BodyText21"/>
        <w:widowControl/>
        <w:rPr>
          <w:bCs/>
          <w:spacing w:val="-2"/>
          <w:sz w:val="20"/>
        </w:rPr>
      </w:pPr>
    </w:p>
    <w:p w:rsidR="0060250D" w:rsidRPr="0060250D" w:rsidRDefault="0060250D" w:rsidP="0060250D">
      <w:pPr>
        <w:pStyle w:val="BodyText21"/>
        <w:widowControl/>
        <w:rPr>
          <w:bCs/>
          <w:spacing w:val="-2"/>
          <w:sz w:val="20"/>
          <w:lang w:val="es-ES"/>
        </w:rPr>
      </w:pPr>
      <w:r w:rsidRPr="0060250D">
        <w:rPr>
          <w:bCs/>
          <w:spacing w:val="-2"/>
          <w:sz w:val="20"/>
          <w:lang w:val="es-ES"/>
        </w:rPr>
        <w:t>Forma de las Obligaciones Negociables</w:t>
      </w:r>
    </w:p>
    <w:p w:rsidR="0060250D" w:rsidRPr="0060250D" w:rsidRDefault="0060250D" w:rsidP="0060250D">
      <w:pPr>
        <w:rPr>
          <w:rFonts w:ascii="Times New Roman" w:hAnsi="Times New Roman"/>
          <w:sz w:val="20"/>
        </w:rPr>
      </w:pPr>
      <w:r w:rsidRPr="0060250D">
        <w:rPr>
          <w:rFonts w:ascii="Times New Roman" w:hAnsi="Times New Roman"/>
          <w:spacing w:val="-2"/>
          <w:sz w:val="20"/>
        </w:rPr>
        <w:t>Las Obligaciones Negociables que se emitan bajo el Programa podrán serlo: (i) en forma escritural o (ii) estar representadas por participaciones un certificado global nominativo no endosable que será depositado en ocasión de la emisión de cada Serie y/o Clase en un régimen de depósito colectivo, conforme se determinará en el Suplemento pertinente.</w:t>
      </w:r>
      <w:r>
        <w:rPr>
          <w:rFonts w:ascii="Times New Roman" w:hAnsi="Times New Roman"/>
          <w:sz w:val="20"/>
        </w:rPr>
        <w:t xml:space="preserve"> </w:t>
      </w:r>
      <w:r w:rsidRPr="0060250D">
        <w:rPr>
          <w:rFonts w:ascii="Times New Roman" w:hAnsi="Times New Roman"/>
          <w:sz w:val="20"/>
        </w:rPr>
        <w:t>El registro de las Obligaciones Negociables será llevado por la Sociedad, o podrá ser asignado a un agente de registro, que será un banco comercial o a la Caja de Valores S.A. (la “</w:t>
      </w:r>
      <w:r w:rsidRPr="0060250D">
        <w:rPr>
          <w:rFonts w:ascii="Times New Roman" w:hAnsi="Times New Roman"/>
          <w:sz w:val="20"/>
          <w:u w:val="single"/>
        </w:rPr>
        <w:t>Caja de Valores</w:t>
      </w:r>
      <w:r w:rsidRPr="0060250D">
        <w:rPr>
          <w:rFonts w:ascii="Times New Roman" w:hAnsi="Times New Roman"/>
          <w:sz w:val="20"/>
        </w:rPr>
        <w:t xml:space="preserve">”). </w:t>
      </w:r>
    </w:p>
    <w:p w:rsidR="0060250D" w:rsidRPr="0060250D" w:rsidRDefault="0060250D" w:rsidP="0060250D">
      <w:pPr>
        <w:rPr>
          <w:rFonts w:ascii="Times New Roman" w:hAnsi="Times New Roman"/>
          <w:b/>
          <w:bCs/>
          <w:spacing w:val="-2"/>
          <w:sz w:val="20"/>
        </w:rPr>
      </w:pPr>
    </w:p>
    <w:p w:rsidR="0060250D" w:rsidRPr="0060250D" w:rsidRDefault="0060250D" w:rsidP="0060250D">
      <w:pPr>
        <w:rPr>
          <w:rFonts w:ascii="Times New Roman" w:hAnsi="Times New Roman"/>
          <w:b/>
          <w:bCs/>
          <w:spacing w:val="-2"/>
          <w:sz w:val="20"/>
        </w:rPr>
      </w:pPr>
      <w:r w:rsidRPr="0060250D">
        <w:rPr>
          <w:rFonts w:ascii="Times New Roman" w:hAnsi="Times New Roman"/>
          <w:b/>
          <w:bCs/>
          <w:spacing w:val="-2"/>
          <w:sz w:val="20"/>
        </w:rPr>
        <w:t>Precio de emisión</w:t>
      </w:r>
    </w:p>
    <w:p w:rsidR="0060250D" w:rsidRPr="0060250D" w:rsidRDefault="0060250D" w:rsidP="0060250D">
      <w:pPr>
        <w:widowControl w:val="0"/>
        <w:suppressLineNumbers/>
        <w:suppressAutoHyphens/>
        <w:rPr>
          <w:rFonts w:ascii="Times New Roman" w:hAnsi="Times New Roman"/>
          <w:sz w:val="20"/>
        </w:rPr>
      </w:pPr>
      <w:r w:rsidRPr="0060250D">
        <w:rPr>
          <w:rFonts w:ascii="Times New Roman" w:hAnsi="Times New Roman"/>
          <w:sz w:val="20"/>
        </w:rPr>
        <w:t>Las Obligaciones Negociables podrán ser emitidas a la par, con descuento o con prima sobre el valor par, según se indique en cada Serie y/o Clase en los Suplementos correspondientes.</w:t>
      </w:r>
    </w:p>
    <w:p w:rsidR="0060250D" w:rsidRPr="0060250D" w:rsidRDefault="0060250D" w:rsidP="0060250D">
      <w:pPr>
        <w:rPr>
          <w:rFonts w:ascii="Times New Roman" w:hAnsi="Times New Roman"/>
          <w:b/>
          <w:bCs/>
          <w:spacing w:val="-2"/>
          <w:sz w:val="20"/>
        </w:rPr>
      </w:pPr>
    </w:p>
    <w:p w:rsidR="0060250D" w:rsidRPr="0060250D" w:rsidRDefault="0060250D" w:rsidP="0060250D">
      <w:pPr>
        <w:rPr>
          <w:rFonts w:ascii="Times New Roman" w:hAnsi="Times New Roman"/>
          <w:b/>
          <w:bCs/>
          <w:spacing w:val="-2"/>
          <w:sz w:val="20"/>
        </w:rPr>
      </w:pPr>
      <w:r w:rsidRPr="0060250D">
        <w:rPr>
          <w:rFonts w:ascii="Times New Roman" w:hAnsi="Times New Roman"/>
          <w:b/>
          <w:bCs/>
          <w:spacing w:val="-2"/>
          <w:sz w:val="20"/>
        </w:rPr>
        <w:t>Denominaciones</w:t>
      </w:r>
    </w:p>
    <w:p w:rsidR="0060250D" w:rsidRPr="0060250D" w:rsidRDefault="0060250D" w:rsidP="0060250D">
      <w:pPr>
        <w:widowControl w:val="0"/>
        <w:suppressLineNumbers/>
        <w:suppressAutoHyphens/>
        <w:rPr>
          <w:rFonts w:ascii="Times New Roman" w:hAnsi="Times New Roman"/>
          <w:sz w:val="20"/>
        </w:rPr>
      </w:pPr>
      <w:r w:rsidRPr="0060250D">
        <w:rPr>
          <w:rFonts w:ascii="Times New Roman" w:hAnsi="Times New Roman"/>
          <w:sz w:val="20"/>
        </w:rPr>
        <w:t>Las Obligaciones Negociables tendrán una denominación de $ 1.000 y múltiplos de $ 1 por encima de dicho monto, a menos que se especifique lo contrario en los Suplementos correspondientes.</w:t>
      </w:r>
    </w:p>
    <w:p w:rsidR="0060250D" w:rsidRPr="0060250D" w:rsidRDefault="0060250D" w:rsidP="0060250D">
      <w:pPr>
        <w:widowControl w:val="0"/>
        <w:suppressLineNumbers/>
        <w:suppressAutoHyphens/>
        <w:rPr>
          <w:rFonts w:ascii="Times New Roman" w:hAnsi="Times New Roman"/>
          <w:sz w:val="20"/>
        </w:rPr>
      </w:pPr>
    </w:p>
    <w:p w:rsidR="0060250D" w:rsidRPr="0060250D" w:rsidRDefault="0060250D" w:rsidP="0060250D">
      <w:pPr>
        <w:rPr>
          <w:rFonts w:ascii="Times New Roman" w:hAnsi="Times New Roman"/>
          <w:b/>
          <w:bCs/>
          <w:spacing w:val="-2"/>
          <w:sz w:val="20"/>
        </w:rPr>
      </w:pPr>
      <w:r w:rsidRPr="0060250D">
        <w:rPr>
          <w:rFonts w:ascii="Times New Roman" w:hAnsi="Times New Roman"/>
          <w:b/>
          <w:bCs/>
          <w:spacing w:val="-2"/>
          <w:sz w:val="20"/>
        </w:rPr>
        <w:t>Pagos</w:t>
      </w:r>
    </w:p>
    <w:p w:rsidR="0060250D" w:rsidRPr="0060250D" w:rsidRDefault="0060250D" w:rsidP="0060250D">
      <w:pPr>
        <w:widowControl w:val="0"/>
        <w:suppressLineNumbers/>
        <w:suppressAutoHyphens/>
        <w:rPr>
          <w:rFonts w:ascii="Times New Roman" w:hAnsi="Times New Roman"/>
          <w:sz w:val="20"/>
        </w:rPr>
      </w:pPr>
      <w:r w:rsidRPr="0060250D">
        <w:rPr>
          <w:rFonts w:ascii="Times New Roman" w:hAnsi="Times New Roman"/>
          <w:sz w:val="20"/>
        </w:rPr>
        <w:t xml:space="preserve">A menos que se especifique lo contrario en los Suplementos correspondientes, el agente de registro será asimismo agente de pago, salvo que las Obligaciones Negociables estén documentadas en certificados globales, en cuyo caso los Servicios serán pagados mediante la transferencia de los importes correspondientes a la entidad que administre el régimen de depósito colectivo que corresponda, para su acreditación en las respectivas cuentas de los participantes o depositantes y comitentes con derecho al cobro. </w:t>
      </w:r>
    </w:p>
    <w:p w:rsidR="0060250D" w:rsidRPr="0060250D" w:rsidRDefault="0060250D" w:rsidP="0060250D">
      <w:pPr>
        <w:widowControl w:val="0"/>
        <w:suppressLineNumbers/>
        <w:suppressAutoHyphens/>
        <w:rPr>
          <w:rFonts w:ascii="Times New Roman" w:hAnsi="Times New Roman"/>
          <w:sz w:val="20"/>
        </w:rPr>
      </w:pPr>
    </w:p>
    <w:p w:rsidR="0060250D" w:rsidRPr="0060250D" w:rsidRDefault="0060250D" w:rsidP="0060250D">
      <w:pPr>
        <w:widowControl w:val="0"/>
        <w:suppressLineNumbers/>
        <w:suppressAutoHyphens/>
        <w:rPr>
          <w:rFonts w:ascii="Times New Roman" w:hAnsi="Times New Roman"/>
          <w:sz w:val="20"/>
        </w:rPr>
      </w:pPr>
      <w:r w:rsidRPr="0060250D">
        <w:rPr>
          <w:rFonts w:ascii="Times New Roman" w:hAnsi="Times New Roman"/>
          <w:sz w:val="20"/>
        </w:rPr>
        <w:t xml:space="preserve">Con la anticipación que determinen las normas reglamentarias a cada Fecha de Pago de </w:t>
      </w:r>
      <w:r w:rsidRPr="0060250D">
        <w:rPr>
          <w:rFonts w:ascii="Times New Roman" w:hAnsi="Times New Roman"/>
          <w:sz w:val="20"/>
        </w:rPr>
        <w:lastRenderedPageBreak/>
        <w:t>Servicios, la Sociedad publicará un aviso consignando los conceptos y montos a pagar.</w:t>
      </w:r>
    </w:p>
    <w:p w:rsidR="0060250D" w:rsidRPr="0060250D" w:rsidRDefault="0060250D" w:rsidP="0060250D">
      <w:pPr>
        <w:widowControl w:val="0"/>
        <w:suppressLineNumbers/>
        <w:suppressAutoHyphens/>
        <w:rPr>
          <w:rFonts w:ascii="Times New Roman" w:hAnsi="Times New Roman"/>
          <w:sz w:val="20"/>
        </w:rPr>
      </w:pPr>
    </w:p>
    <w:p w:rsidR="0060250D" w:rsidRPr="0060250D" w:rsidRDefault="0060250D" w:rsidP="0060250D">
      <w:pPr>
        <w:rPr>
          <w:rFonts w:ascii="Times New Roman" w:hAnsi="Times New Roman"/>
          <w:b/>
          <w:bCs/>
          <w:spacing w:val="-2"/>
          <w:sz w:val="20"/>
        </w:rPr>
      </w:pPr>
      <w:r w:rsidRPr="0060250D">
        <w:rPr>
          <w:rFonts w:ascii="Times New Roman" w:hAnsi="Times New Roman"/>
          <w:b/>
          <w:bCs/>
          <w:spacing w:val="-2"/>
          <w:sz w:val="20"/>
        </w:rPr>
        <w:t xml:space="preserve">Compromisos generales de la Sociedad </w:t>
      </w:r>
    </w:p>
    <w:p w:rsidR="0060250D" w:rsidRPr="0060250D" w:rsidRDefault="0060250D" w:rsidP="0060250D">
      <w:pPr>
        <w:rPr>
          <w:rFonts w:ascii="Times New Roman" w:hAnsi="Times New Roman"/>
          <w:sz w:val="20"/>
        </w:rPr>
      </w:pPr>
      <w:r w:rsidRPr="0060250D">
        <w:rPr>
          <w:rFonts w:ascii="Times New Roman" w:hAnsi="Times New Roman"/>
          <w:sz w:val="20"/>
        </w:rPr>
        <w:t xml:space="preserve">En la medida en que permanezca pendiente el pago de cualquier servicio con relación a las Obligaciones Negociables bajo el Programa, la Sociedad se compromete a cumplir los siguientes compromisos, sin perjuicio de los que se omitan o establezcan con relación a cada Serie y/o Clase (incluidas limitaciones al pago de dividendos, enajenación de activos, constitución de gravámenes y endeudamiento): </w:t>
      </w:r>
      <w:r w:rsidRPr="0060250D">
        <w:rPr>
          <w:rFonts w:ascii="Times New Roman" w:hAnsi="Times New Roman"/>
          <w:b/>
          <w:sz w:val="20"/>
        </w:rPr>
        <w:t>(a)</w:t>
      </w:r>
      <w:r w:rsidRPr="0060250D">
        <w:rPr>
          <w:rFonts w:ascii="Times New Roman" w:hAnsi="Times New Roman"/>
          <w:sz w:val="20"/>
        </w:rPr>
        <w:t xml:space="preserve"> </w:t>
      </w:r>
      <w:r w:rsidRPr="0060250D">
        <w:rPr>
          <w:rFonts w:ascii="Times New Roman" w:hAnsi="Times New Roman"/>
          <w:sz w:val="20"/>
          <w:u w:val="single"/>
        </w:rPr>
        <w:t>Conservación de Propiedades</w:t>
      </w:r>
      <w:r w:rsidRPr="0060250D">
        <w:rPr>
          <w:rFonts w:ascii="Times New Roman" w:hAnsi="Times New Roman"/>
          <w:sz w:val="20"/>
        </w:rPr>
        <w:t xml:space="preserve">: la Sociedad hará que todas sus propiedades inmuebles utilizadas en o útiles para el desarrollo de sus actividades sean mantenidas en buenas condiciones de mantenimiento y funcionamiento, con excepción de aquellas manutenciones, reparaciones, renovaciones, reemplazos y mejoras cuya falta u omisión no pudiera tener un efecto significativamente adverso sobre las operaciones, actividades, situación (financiera o económica) de la Sociedad, consideradas como un todo; </w:t>
      </w:r>
      <w:r w:rsidRPr="0060250D">
        <w:rPr>
          <w:rFonts w:ascii="Times New Roman" w:hAnsi="Times New Roman"/>
          <w:b/>
          <w:sz w:val="20"/>
        </w:rPr>
        <w:t xml:space="preserve">(b) </w:t>
      </w:r>
      <w:r w:rsidRPr="0060250D">
        <w:rPr>
          <w:rFonts w:ascii="Times New Roman" w:hAnsi="Times New Roman"/>
          <w:sz w:val="20"/>
          <w:u w:val="single"/>
        </w:rPr>
        <w:t>Pago de Impuestos y otros Reclamos</w:t>
      </w:r>
      <w:r w:rsidRPr="0060250D">
        <w:rPr>
          <w:rFonts w:ascii="Times New Roman" w:hAnsi="Times New Roman"/>
          <w:sz w:val="20"/>
        </w:rPr>
        <w:t xml:space="preserve">: La Sociedad pagará o extinguirá, o hará que sean pagados o extinguidos antes de que entre en mora (i) todos los impuestos, tasas, contribuciones y cánones que graven a la Sociedad o a sus ingresos, utilidades o activos, y (ii) reclamos legítimos de naturaleza laboral, por prestación de servicios o provisión de materiales que, en caso de no ser cancelados podrían tener un efecto significativamente adverso sobre las operaciones, actividades y situación (financiera o económica) de la Sociedad. </w:t>
      </w:r>
      <w:r w:rsidRPr="0060250D">
        <w:rPr>
          <w:rFonts w:ascii="Times New Roman" w:hAnsi="Times New Roman"/>
          <w:b/>
          <w:sz w:val="20"/>
        </w:rPr>
        <w:t>(c)</w:t>
      </w:r>
      <w:r w:rsidRPr="0060250D">
        <w:rPr>
          <w:rFonts w:ascii="Times New Roman" w:hAnsi="Times New Roman"/>
          <w:sz w:val="20"/>
        </w:rPr>
        <w:t xml:space="preserve"> </w:t>
      </w:r>
      <w:r w:rsidRPr="0060250D">
        <w:rPr>
          <w:rFonts w:ascii="Times New Roman" w:hAnsi="Times New Roman"/>
          <w:sz w:val="20"/>
          <w:u w:val="single"/>
        </w:rPr>
        <w:t>Seguros</w:t>
      </w:r>
      <w:r w:rsidRPr="0060250D">
        <w:rPr>
          <w:rFonts w:ascii="Times New Roman" w:hAnsi="Times New Roman"/>
          <w:sz w:val="20"/>
        </w:rPr>
        <w:t xml:space="preserve">: La Sociedad deberá contratar y mantener pagos todos los seguros que resulten pertinentes conforme a su actividad. </w:t>
      </w:r>
      <w:r w:rsidRPr="0060250D">
        <w:rPr>
          <w:rFonts w:ascii="Times New Roman" w:hAnsi="Times New Roman"/>
          <w:b/>
          <w:sz w:val="20"/>
        </w:rPr>
        <w:t>(d)</w:t>
      </w:r>
      <w:r w:rsidRPr="0060250D">
        <w:rPr>
          <w:rFonts w:ascii="Times New Roman" w:hAnsi="Times New Roman"/>
          <w:sz w:val="20"/>
        </w:rPr>
        <w:t xml:space="preserve"> </w:t>
      </w:r>
      <w:r w:rsidRPr="0060250D">
        <w:rPr>
          <w:rFonts w:ascii="Times New Roman" w:hAnsi="Times New Roman"/>
          <w:sz w:val="20"/>
          <w:u w:val="single"/>
        </w:rPr>
        <w:t>Mantenimiento de Libros y Registros</w:t>
      </w:r>
      <w:r w:rsidRPr="0060250D">
        <w:rPr>
          <w:rFonts w:ascii="Times New Roman" w:hAnsi="Times New Roman"/>
          <w:sz w:val="20"/>
        </w:rPr>
        <w:t xml:space="preserve">: La Sociedad mantendrá sus libros y registros de conformidad con los principios contables generalmente aceptados en la Argentina. </w:t>
      </w:r>
    </w:p>
    <w:p w:rsidR="0060250D" w:rsidRPr="0060250D" w:rsidRDefault="0060250D" w:rsidP="0060250D">
      <w:pPr>
        <w:pStyle w:val="Piedepgina"/>
        <w:jc w:val="both"/>
        <w:rPr>
          <w:b/>
          <w:sz w:val="20"/>
          <w:szCs w:val="20"/>
        </w:rPr>
      </w:pPr>
    </w:p>
    <w:p w:rsidR="0060250D" w:rsidRPr="0060250D" w:rsidRDefault="0060250D" w:rsidP="0060250D">
      <w:pPr>
        <w:rPr>
          <w:rFonts w:ascii="Times New Roman" w:hAnsi="Times New Roman"/>
          <w:b/>
          <w:sz w:val="20"/>
        </w:rPr>
      </w:pPr>
      <w:r w:rsidRPr="0060250D">
        <w:rPr>
          <w:rFonts w:ascii="Times New Roman" w:hAnsi="Times New Roman"/>
          <w:b/>
          <w:sz w:val="20"/>
        </w:rPr>
        <w:t>Avisos</w:t>
      </w:r>
    </w:p>
    <w:p w:rsidR="0060250D" w:rsidRPr="0060250D" w:rsidRDefault="0060250D" w:rsidP="0060250D">
      <w:pPr>
        <w:rPr>
          <w:rFonts w:ascii="Times New Roman" w:hAnsi="Times New Roman"/>
          <w:sz w:val="20"/>
        </w:rPr>
      </w:pPr>
      <w:r w:rsidRPr="0060250D">
        <w:rPr>
          <w:rFonts w:ascii="Times New Roman" w:hAnsi="Times New Roman"/>
          <w:sz w:val="20"/>
        </w:rPr>
        <w:t>Salvo que en las condiciones de emisión de una Serie se dispusiera de otro modo, todos los avisos relacionados con las Obligaciones Negociables deberán cursarse mediante publicación por un día en los sistemas de información donde las Obligaciones Negociables se listen o en un diario de gran circulación en la República Argentina, y en la AIF (</w:t>
      </w:r>
      <w:hyperlink r:id="rId11" w:history="1">
        <w:r w:rsidRPr="0060250D">
          <w:rPr>
            <w:rStyle w:val="Hipervnculo"/>
            <w:rFonts w:ascii="Times New Roman" w:hAnsi="Times New Roman"/>
            <w:sz w:val="20"/>
          </w:rPr>
          <w:t>www.cnv.gov.ar</w:t>
        </w:r>
      </w:hyperlink>
      <w:r w:rsidRPr="0060250D">
        <w:rPr>
          <w:rFonts w:ascii="Times New Roman" w:hAnsi="Times New Roman"/>
          <w:sz w:val="20"/>
        </w:rPr>
        <w:t>).</w:t>
      </w:r>
    </w:p>
    <w:p w:rsidR="0060250D" w:rsidRPr="0060250D" w:rsidRDefault="0060250D" w:rsidP="0060250D">
      <w:pPr>
        <w:rPr>
          <w:rFonts w:ascii="Times New Roman" w:hAnsi="Times New Roman"/>
          <w:sz w:val="20"/>
        </w:rPr>
      </w:pPr>
    </w:p>
    <w:p w:rsidR="0060250D" w:rsidRPr="0060250D" w:rsidRDefault="0060250D" w:rsidP="0060250D">
      <w:pPr>
        <w:rPr>
          <w:rFonts w:ascii="Times New Roman" w:hAnsi="Times New Roman"/>
          <w:b/>
          <w:bCs/>
          <w:spacing w:val="-2"/>
          <w:sz w:val="20"/>
        </w:rPr>
      </w:pPr>
      <w:r w:rsidRPr="0060250D">
        <w:rPr>
          <w:rFonts w:ascii="Times New Roman" w:hAnsi="Times New Roman"/>
          <w:b/>
          <w:bCs/>
          <w:spacing w:val="-2"/>
          <w:sz w:val="20"/>
        </w:rPr>
        <w:t>Reembolso anticipado a opción de la Sociedad</w:t>
      </w:r>
    </w:p>
    <w:p w:rsidR="0060250D" w:rsidRPr="0060250D" w:rsidRDefault="0060250D" w:rsidP="0060250D">
      <w:pPr>
        <w:widowControl w:val="0"/>
        <w:suppressLineNumbers/>
        <w:suppressAutoHyphens/>
        <w:rPr>
          <w:rFonts w:ascii="Times New Roman" w:hAnsi="Times New Roman"/>
          <w:sz w:val="20"/>
        </w:rPr>
      </w:pPr>
      <w:r w:rsidRPr="0060250D">
        <w:rPr>
          <w:rFonts w:ascii="Times New Roman" w:hAnsi="Times New Roman"/>
          <w:sz w:val="20"/>
        </w:rPr>
        <w:t>La Sociedad podrá (a menos que en las condiciones de emisión de una Serie se especifique de otro modo) reembolsar anticipadamente la totalidad o una parte de las Obligaciones Negociables de dicha Serie que se encuentren en circulación, al valor nominal con más los intereses devengados hasta la fecha de pago del valor de reembolso. El importe a pagar a los obligacionistas será el valor de reembolso, que resultará de sumar al valor nominal - total o parcial, según el caso - los intereses devengados conforme a las condiciones de emisión hasta el día de pago del valor de reembolso. La Sociedad deberá garantizar la igualdad de trato entre los tenedores de Obligaciones Negociables (los “</w:t>
      </w:r>
      <w:r w:rsidRPr="0060250D">
        <w:rPr>
          <w:rFonts w:ascii="Times New Roman" w:hAnsi="Times New Roman"/>
          <w:sz w:val="20"/>
          <w:u w:val="single"/>
        </w:rPr>
        <w:t>Obligacionistas</w:t>
      </w:r>
      <w:r w:rsidRPr="0060250D">
        <w:rPr>
          <w:rFonts w:ascii="Times New Roman" w:hAnsi="Times New Roman"/>
          <w:sz w:val="20"/>
        </w:rPr>
        <w:t>”). La decisión será publicada en los sistemas de información donde las Obligaciones Negociables se listen y en la AIF. Tal publicación constituirá notificación suficiente para los obligacionistas. El valor de reembolso se pagará en un plazo no mayor a treinta (30) días desde la publicación del aviso correspondiente.</w:t>
      </w:r>
    </w:p>
    <w:p w:rsidR="0060250D" w:rsidRPr="0060250D" w:rsidRDefault="0060250D" w:rsidP="0060250D">
      <w:pPr>
        <w:widowControl w:val="0"/>
        <w:suppressLineNumbers/>
        <w:suppressAutoHyphens/>
        <w:rPr>
          <w:rFonts w:ascii="Times New Roman" w:hAnsi="Times New Roman"/>
          <w:sz w:val="20"/>
        </w:rPr>
      </w:pPr>
    </w:p>
    <w:p w:rsidR="0060250D" w:rsidRPr="0060250D" w:rsidRDefault="0060250D" w:rsidP="0060250D">
      <w:pPr>
        <w:rPr>
          <w:rFonts w:ascii="Times New Roman" w:hAnsi="Times New Roman"/>
          <w:b/>
          <w:bCs/>
          <w:spacing w:val="-2"/>
          <w:sz w:val="20"/>
        </w:rPr>
      </w:pPr>
      <w:r w:rsidRPr="0060250D">
        <w:rPr>
          <w:rFonts w:ascii="Times New Roman" w:hAnsi="Times New Roman"/>
          <w:b/>
          <w:bCs/>
          <w:spacing w:val="-2"/>
          <w:sz w:val="20"/>
        </w:rPr>
        <w:t>Reembolso anticipado a opción de los Obligacionistas</w:t>
      </w:r>
    </w:p>
    <w:p w:rsidR="0060250D" w:rsidRPr="0060250D" w:rsidRDefault="0060250D" w:rsidP="0060250D">
      <w:pPr>
        <w:widowControl w:val="0"/>
        <w:suppressLineNumbers/>
        <w:suppressAutoHyphens/>
        <w:rPr>
          <w:rFonts w:ascii="Times New Roman" w:hAnsi="Times New Roman"/>
          <w:sz w:val="20"/>
        </w:rPr>
      </w:pPr>
      <w:r w:rsidRPr="0060250D">
        <w:rPr>
          <w:rFonts w:ascii="Times New Roman" w:hAnsi="Times New Roman"/>
          <w:sz w:val="20"/>
        </w:rPr>
        <w:t>Las Obligaciones Negociables no serán rescatables total o parcialmente a opción de los Obligacionistas de las mismas con anterioridad a su fecha de vencimiento, ni los Obligacionistas tendrán derecho a solicitar a la Sociedad la adquisición de las mismas de otra manera con anterioridad a dicha fecha, excepto en el caso que así se especifique en el Suplemento correspondientes y de conformidad con los términos y condiciones especificados en el mismo.</w:t>
      </w:r>
    </w:p>
    <w:p w:rsidR="0060250D" w:rsidRPr="0060250D" w:rsidRDefault="0060250D" w:rsidP="0060250D">
      <w:pPr>
        <w:widowControl w:val="0"/>
        <w:suppressLineNumbers/>
        <w:suppressAutoHyphens/>
        <w:rPr>
          <w:rFonts w:ascii="Times New Roman" w:hAnsi="Times New Roman"/>
          <w:sz w:val="20"/>
        </w:rPr>
      </w:pPr>
    </w:p>
    <w:p w:rsidR="0060250D" w:rsidRPr="0060250D" w:rsidRDefault="0060250D" w:rsidP="0060250D">
      <w:pPr>
        <w:rPr>
          <w:rFonts w:ascii="Times New Roman" w:hAnsi="Times New Roman"/>
          <w:b/>
          <w:bCs/>
          <w:spacing w:val="-2"/>
          <w:sz w:val="20"/>
        </w:rPr>
      </w:pPr>
      <w:r w:rsidRPr="0060250D">
        <w:rPr>
          <w:rFonts w:ascii="Times New Roman" w:hAnsi="Times New Roman"/>
          <w:b/>
          <w:bCs/>
          <w:spacing w:val="-2"/>
          <w:sz w:val="20"/>
        </w:rPr>
        <w:t>Reembolso anticipado por razones impositivas</w:t>
      </w:r>
    </w:p>
    <w:p w:rsidR="0060250D" w:rsidRPr="0060250D" w:rsidRDefault="0060250D" w:rsidP="0060250D">
      <w:pPr>
        <w:widowControl w:val="0"/>
        <w:suppressLineNumbers/>
        <w:suppressAutoHyphens/>
        <w:rPr>
          <w:rFonts w:ascii="Times New Roman" w:hAnsi="Times New Roman"/>
          <w:sz w:val="20"/>
        </w:rPr>
      </w:pPr>
      <w:r w:rsidRPr="0060250D">
        <w:rPr>
          <w:rFonts w:ascii="Times New Roman" w:hAnsi="Times New Roman"/>
          <w:sz w:val="20"/>
        </w:rPr>
        <w:t>A menos que se especifique lo contrario en los Suplementos correspondientes, las Obligaciones Negociables de cualquier Serie y/o Clase podrán ser rescatadas a opción de la Sociedad en su totalidad, pero no parcialmente, en caso que tuvieran lugar ciertos cambios impositivos que generen en la Sociedad la obligación de pagar montos adicionales bajo las Obligaciones Negociables, conforme surja de un dictamen emanado de un asesor impositivo de reconocido prestigio. En tal supuesto, se procederá como se indica en el apartado “Reembolso anticipado a Opción de la Sociedad”. La Sociedad deberá garantizar la igualdad de trato entre los Obligacionistas.</w:t>
      </w:r>
    </w:p>
    <w:p w:rsidR="0060250D" w:rsidRPr="0060250D" w:rsidRDefault="0060250D" w:rsidP="0060250D">
      <w:pPr>
        <w:widowControl w:val="0"/>
        <w:suppressLineNumbers/>
        <w:suppressAutoHyphens/>
        <w:rPr>
          <w:rFonts w:ascii="Times New Roman" w:hAnsi="Times New Roman"/>
          <w:sz w:val="20"/>
        </w:rPr>
      </w:pPr>
    </w:p>
    <w:p w:rsidR="0060250D" w:rsidRPr="0060250D" w:rsidRDefault="0060250D" w:rsidP="0060250D">
      <w:pPr>
        <w:rPr>
          <w:rFonts w:ascii="Times New Roman" w:hAnsi="Times New Roman"/>
          <w:b/>
          <w:bCs/>
          <w:spacing w:val="-2"/>
          <w:sz w:val="20"/>
        </w:rPr>
      </w:pPr>
      <w:r w:rsidRPr="0060250D">
        <w:rPr>
          <w:rFonts w:ascii="Times New Roman" w:hAnsi="Times New Roman"/>
          <w:b/>
          <w:bCs/>
          <w:spacing w:val="-2"/>
          <w:sz w:val="20"/>
        </w:rPr>
        <w:t xml:space="preserve">Causales de Incumplimiento </w:t>
      </w:r>
    </w:p>
    <w:p w:rsidR="0060250D" w:rsidRPr="0060250D" w:rsidRDefault="0060250D" w:rsidP="0060250D">
      <w:pPr>
        <w:rPr>
          <w:rFonts w:ascii="Times New Roman" w:hAnsi="Times New Roman"/>
          <w:sz w:val="20"/>
        </w:rPr>
      </w:pPr>
      <w:r w:rsidRPr="0060250D">
        <w:rPr>
          <w:rFonts w:ascii="Times New Roman" w:hAnsi="Times New Roman"/>
          <w:sz w:val="20"/>
        </w:rPr>
        <w:t xml:space="preserve">Una Causal de Incumplimiento será cualquiera de los siguientes hechos (salvo que en las condiciones de Emisión de una Serie y/o Clase se establezca lo contrario, o se agreguen o modifiquen Causales de Incumplimientos), sea cual fuere el motivo de dicha Causal de Incumplimiento: </w:t>
      </w:r>
      <w:r w:rsidRPr="0060250D">
        <w:rPr>
          <w:rFonts w:ascii="Times New Roman" w:hAnsi="Times New Roman"/>
          <w:b/>
          <w:sz w:val="20"/>
        </w:rPr>
        <w:t>(a)</w:t>
      </w:r>
      <w:r w:rsidRPr="0060250D">
        <w:rPr>
          <w:rFonts w:ascii="Times New Roman" w:hAnsi="Times New Roman"/>
          <w:sz w:val="20"/>
        </w:rPr>
        <w:t xml:space="preserve"> Falta de pago de los Servicios de intereses y/o capital adeudados respecto de cualquiera de las Obligaciones Negociables de una Serie cuando los mismos resulten vencidos y exigibles, y dicha falta de pago persistiera por un período de treinta (30) días; o </w:t>
      </w:r>
      <w:r w:rsidRPr="0060250D">
        <w:rPr>
          <w:rFonts w:ascii="Times New Roman" w:hAnsi="Times New Roman"/>
          <w:b/>
          <w:sz w:val="20"/>
        </w:rPr>
        <w:t>(b)</w:t>
      </w:r>
      <w:r w:rsidRPr="0060250D">
        <w:rPr>
          <w:rFonts w:ascii="Times New Roman" w:hAnsi="Times New Roman"/>
          <w:sz w:val="20"/>
        </w:rPr>
        <w:t xml:space="preserve"> Si la Sociedad no cumpliera ni observara debidamente cualquier término o compromiso establecidos en las condiciones de emisión de las Obligaciones Negociables y dicha falta de cumplimiento u observancia continuara sin ser reparada dentro de los treinta (30) días después de que cualquier inversor – o el agente de los obligacionistas en los términos del art. 13 de la ley 23.576, en su caso - haya cursado aviso por escrito al respecto a la Sociedad; o </w:t>
      </w:r>
      <w:r w:rsidRPr="0060250D">
        <w:rPr>
          <w:rFonts w:ascii="Times New Roman" w:hAnsi="Times New Roman"/>
          <w:b/>
          <w:sz w:val="20"/>
        </w:rPr>
        <w:t>(c)</w:t>
      </w:r>
      <w:r w:rsidRPr="0060250D">
        <w:rPr>
          <w:rFonts w:ascii="Times New Roman" w:hAnsi="Times New Roman"/>
          <w:sz w:val="20"/>
        </w:rPr>
        <w:t xml:space="preserve"> Si un tribunal de jurisdicción competente hubiera dictado un laudo o sentencia definitiva, mandamiento u orden contra la Sociedad, para el pago de dinero por un monto superior al cincuenta por ciento del valor nominal de Obligaciones Negociables en circulación y hubieran transcurrido sesenta (60) días desde la notificación de dicha sentencia definitiva, mandamiento u orden sin que se los haya cumplido, apelado o suspendido. </w:t>
      </w:r>
      <w:r w:rsidRPr="0060250D">
        <w:rPr>
          <w:rFonts w:ascii="Times New Roman" w:hAnsi="Times New Roman"/>
          <w:b/>
          <w:sz w:val="20"/>
        </w:rPr>
        <w:t>(d)</w:t>
      </w:r>
      <w:r w:rsidRPr="0060250D">
        <w:rPr>
          <w:rFonts w:ascii="Times New Roman" w:hAnsi="Times New Roman"/>
          <w:sz w:val="20"/>
        </w:rPr>
        <w:t xml:space="preserve"> Conforme a laudo del Tribunal Arbitral, si cualquier declaración, garantía o certificación realizada por la Sociedad (o cualquiera de sus funcionarios debidamente autorizados) en las condiciones de emisión de las Obligaciones Negociables o en cualquier documento entregado por la Sociedad conforme a las condiciones de emisión resultara haber sido incorrecta, incompleta o engañosa, en cualquier aspecto importante, en el momento de su realización; o </w:t>
      </w:r>
      <w:r w:rsidRPr="0060250D">
        <w:rPr>
          <w:rFonts w:ascii="Times New Roman" w:hAnsi="Times New Roman"/>
          <w:b/>
          <w:sz w:val="20"/>
        </w:rPr>
        <w:t xml:space="preserve">(e) </w:t>
      </w:r>
      <w:r w:rsidRPr="0060250D">
        <w:rPr>
          <w:rFonts w:ascii="Times New Roman" w:hAnsi="Times New Roman"/>
          <w:sz w:val="20"/>
        </w:rPr>
        <w:t xml:space="preserve">la Sociedad solicitara la formación de concurso preventivo de acreedores o la declaración de su propia quiebra; o </w:t>
      </w:r>
      <w:r w:rsidRPr="0060250D">
        <w:rPr>
          <w:rFonts w:ascii="Times New Roman" w:hAnsi="Times New Roman"/>
          <w:b/>
          <w:sz w:val="20"/>
        </w:rPr>
        <w:t>(f)</w:t>
      </w:r>
      <w:r w:rsidRPr="0060250D">
        <w:rPr>
          <w:rFonts w:ascii="Times New Roman" w:hAnsi="Times New Roman"/>
          <w:sz w:val="20"/>
        </w:rPr>
        <w:t xml:space="preserve"> Si la Sociedad iniciara procedimientos para un acuerdo preventivo extrajudicial en los términos de la legislación concursal; o </w:t>
      </w:r>
      <w:r w:rsidRPr="0060250D">
        <w:rPr>
          <w:rFonts w:ascii="Times New Roman" w:hAnsi="Times New Roman"/>
          <w:b/>
          <w:sz w:val="20"/>
        </w:rPr>
        <w:t>(g)</w:t>
      </w:r>
      <w:r w:rsidRPr="0060250D">
        <w:rPr>
          <w:rFonts w:ascii="Times New Roman" w:hAnsi="Times New Roman"/>
          <w:sz w:val="20"/>
        </w:rPr>
        <w:t xml:space="preserve"> Si el mercado donde se listen  las Obligaciones Negociables cancelara la autorización de listado; Entonces, en cada uno de esos casos, cualquier titular de Obligaciones Negociables de una Serie que en ese momento se encuentren en circulación que represente un veinte por ciento (20%) del capital total no amortizado de dicha Serie podrá declarar inmediatamente vencido y exigible el capital de todos las Obligaciones Negociables de esa Serie, junto con los intereses devengados hasta la fecha de caducidad de plazos, mediante envío de aviso por escrito a la Sociedad, a la CNV y, en su caso, a los  mercados donde se listen  las Obligaciones Negociables, salvo que de otro modo se estipule con relación a una Serie. Ante dicha declaración el capital se tornará inmediatamente vencido y exigible, sin ninguna otra acción o aviso de cualquier naturaleza a menos que con anterioridad a la fecha de entrega de ese aviso se hubieran remediado todas las Causales de Incumplimiento que lo hubieran motivado, y no se verificaran otras nuevas. Si en cualquier momento con posterioridad a que el capital de las Obligaciones Negociables de una Serie haya sido declarado vencido y exigible, y antes de que se haya obtenido o registrado una venta de bienes en virtud de una sentencia o mandamiento para el pago del dinero adeudado, la Sociedad abonara una suma suficiente para pagar todos los montos </w:t>
      </w:r>
      <w:r w:rsidRPr="0060250D">
        <w:rPr>
          <w:rFonts w:ascii="Times New Roman" w:hAnsi="Times New Roman"/>
          <w:sz w:val="20"/>
        </w:rPr>
        <w:lastRenderedPageBreak/>
        <w:t>vencidos de capital e intereses respecto de la totalidad de las Obligaciones Negociables de dicha Serie que se hayan tornado vencidos, con más los intereses moratorios, y se hayan reparado cualesquiera otros incumplimientos referidos a esos Obligaciones Negociables, entonces la declaración de caducidad quedará sin efecto.</w:t>
      </w:r>
    </w:p>
    <w:p w:rsidR="0060250D" w:rsidRPr="0060250D" w:rsidRDefault="0060250D" w:rsidP="0060250D">
      <w:pPr>
        <w:widowControl w:val="0"/>
        <w:suppressLineNumbers/>
        <w:suppressAutoHyphens/>
        <w:rPr>
          <w:rFonts w:ascii="Times New Roman" w:hAnsi="Times New Roman"/>
          <w:sz w:val="20"/>
        </w:rPr>
      </w:pPr>
    </w:p>
    <w:p w:rsidR="0060250D" w:rsidRPr="0060250D" w:rsidRDefault="0060250D" w:rsidP="0060250D">
      <w:pPr>
        <w:rPr>
          <w:rFonts w:ascii="Times New Roman" w:hAnsi="Times New Roman"/>
          <w:b/>
          <w:bCs/>
          <w:spacing w:val="-2"/>
          <w:sz w:val="20"/>
        </w:rPr>
      </w:pPr>
      <w:r w:rsidRPr="0060250D">
        <w:rPr>
          <w:rFonts w:ascii="Times New Roman" w:hAnsi="Times New Roman"/>
          <w:b/>
          <w:bCs/>
          <w:spacing w:val="-2"/>
          <w:sz w:val="20"/>
        </w:rPr>
        <w:t>Prelación de las Obligaciones Negociables</w:t>
      </w:r>
    </w:p>
    <w:p w:rsidR="0060250D" w:rsidRPr="0060250D" w:rsidRDefault="0060250D" w:rsidP="0060250D">
      <w:pPr>
        <w:widowControl w:val="0"/>
        <w:suppressLineNumbers/>
        <w:suppressAutoHyphens/>
        <w:rPr>
          <w:rFonts w:ascii="Times New Roman" w:hAnsi="Times New Roman"/>
          <w:sz w:val="20"/>
        </w:rPr>
      </w:pPr>
      <w:r w:rsidRPr="0060250D">
        <w:rPr>
          <w:rFonts w:ascii="Times New Roman" w:hAnsi="Times New Roman"/>
          <w:sz w:val="20"/>
        </w:rPr>
        <w:t>Las Obligaciones Negociables podrán ser total o parcialmente subordinadas a otros pasivos de la Sociedad.</w:t>
      </w:r>
    </w:p>
    <w:p w:rsidR="0060250D" w:rsidRPr="0060250D" w:rsidRDefault="0060250D" w:rsidP="0060250D">
      <w:pPr>
        <w:widowControl w:val="0"/>
        <w:suppressLineNumbers/>
        <w:suppressAutoHyphens/>
        <w:rPr>
          <w:rFonts w:ascii="Times New Roman" w:hAnsi="Times New Roman"/>
          <w:sz w:val="20"/>
        </w:rPr>
      </w:pPr>
    </w:p>
    <w:p w:rsidR="0060250D" w:rsidRPr="0060250D" w:rsidRDefault="0060250D" w:rsidP="0060250D">
      <w:pPr>
        <w:rPr>
          <w:rFonts w:ascii="Times New Roman" w:hAnsi="Times New Roman"/>
          <w:b/>
          <w:bCs/>
          <w:spacing w:val="-2"/>
          <w:sz w:val="20"/>
        </w:rPr>
      </w:pPr>
      <w:r w:rsidRPr="0060250D">
        <w:rPr>
          <w:rFonts w:ascii="Times New Roman" w:hAnsi="Times New Roman"/>
          <w:b/>
          <w:bCs/>
          <w:spacing w:val="-2"/>
          <w:sz w:val="20"/>
        </w:rPr>
        <w:t>Agentes en los términos del artículo 13 de la ley de Obligaciones Negociables</w:t>
      </w:r>
    </w:p>
    <w:p w:rsidR="0060250D" w:rsidRPr="0060250D" w:rsidRDefault="0060250D" w:rsidP="0060250D">
      <w:pPr>
        <w:widowControl w:val="0"/>
        <w:suppressLineNumbers/>
        <w:suppressAutoHyphens/>
        <w:rPr>
          <w:rFonts w:ascii="Times New Roman" w:hAnsi="Times New Roman"/>
          <w:sz w:val="20"/>
        </w:rPr>
      </w:pPr>
      <w:r w:rsidRPr="0060250D">
        <w:rPr>
          <w:rFonts w:ascii="Times New Roman" w:hAnsi="Times New Roman"/>
          <w:sz w:val="20"/>
        </w:rPr>
        <w:t>La Sociedad podrá celebrar con relación a una emisión de Obligaciones Negociables contratos de agencia en los términos del artículo 13 de la LON, lo cual será especificado en los Suplementos correspondientes.</w:t>
      </w:r>
    </w:p>
    <w:p w:rsidR="0060250D" w:rsidRPr="0060250D" w:rsidRDefault="0060250D" w:rsidP="0060250D">
      <w:pPr>
        <w:widowControl w:val="0"/>
        <w:suppressLineNumbers/>
        <w:suppressAutoHyphens/>
        <w:rPr>
          <w:rFonts w:ascii="Times New Roman" w:hAnsi="Times New Roman"/>
          <w:sz w:val="20"/>
        </w:rPr>
      </w:pPr>
    </w:p>
    <w:p w:rsidR="0060250D" w:rsidRPr="0060250D" w:rsidRDefault="0060250D" w:rsidP="0060250D">
      <w:pPr>
        <w:rPr>
          <w:rFonts w:ascii="Times New Roman" w:hAnsi="Times New Roman"/>
          <w:b/>
          <w:bCs/>
          <w:spacing w:val="-2"/>
          <w:sz w:val="20"/>
        </w:rPr>
      </w:pPr>
      <w:r w:rsidRPr="0060250D">
        <w:rPr>
          <w:rFonts w:ascii="Times New Roman" w:hAnsi="Times New Roman"/>
          <w:b/>
          <w:bCs/>
          <w:spacing w:val="-2"/>
          <w:sz w:val="20"/>
        </w:rPr>
        <w:t>Colocación. Condicionamiento. Resultado</w:t>
      </w:r>
    </w:p>
    <w:p w:rsidR="0060250D" w:rsidRPr="0060250D" w:rsidRDefault="0060250D" w:rsidP="0060250D">
      <w:pPr>
        <w:pStyle w:val="Textosinformato"/>
        <w:jc w:val="both"/>
        <w:rPr>
          <w:rFonts w:ascii="Times New Roman" w:hAnsi="Times New Roman"/>
          <w:iCs/>
          <w:sz w:val="20"/>
          <w:szCs w:val="20"/>
          <w:lang w:val="es-ES_tradnl"/>
        </w:rPr>
      </w:pPr>
      <w:r w:rsidRPr="0060250D">
        <w:rPr>
          <w:rFonts w:ascii="Times New Roman" w:hAnsi="Times New Roman"/>
          <w:sz w:val="20"/>
          <w:szCs w:val="20"/>
        </w:rPr>
        <w:t>Las Obligaciones Negociables serán colocadas a través de oferta pública, conforme con los términos de la ley 26.831 y las Normas de la CNV.</w:t>
      </w:r>
      <w:r w:rsidRPr="0060250D">
        <w:rPr>
          <w:rStyle w:val="TextosinformatoCar1"/>
          <w:rFonts w:ascii="Times New Roman" w:hAnsi="Times New Roman"/>
          <w:color w:val="000000"/>
          <w:sz w:val="20"/>
          <w:szCs w:val="20"/>
          <w:lang w:val="es-AR"/>
        </w:rPr>
        <w:t xml:space="preserve"> </w:t>
      </w:r>
      <w:r w:rsidRPr="0060250D">
        <w:rPr>
          <w:rStyle w:val="a1"/>
          <w:rFonts w:ascii="Times New Roman" w:hAnsi="Times New Roman" w:cs="Times New Roman"/>
          <w:color w:val="000000"/>
          <w:sz w:val="20"/>
          <w:szCs w:val="20"/>
          <w:lang w:val="es-AR"/>
        </w:rPr>
        <w:t xml:space="preserve">En los Suplementos correspondientes se detallará el plan de distribución aplicable a las Obligaciones Negociables de una </w:t>
      </w:r>
      <w:r w:rsidRPr="0060250D">
        <w:rPr>
          <w:rFonts w:ascii="Times New Roman" w:hAnsi="Times New Roman"/>
          <w:sz w:val="20"/>
          <w:szCs w:val="20"/>
        </w:rPr>
        <w:t>clase y/o serie</w:t>
      </w:r>
      <w:r w:rsidRPr="0060250D">
        <w:rPr>
          <w:rStyle w:val="a1"/>
          <w:rFonts w:ascii="Times New Roman" w:hAnsi="Times New Roman" w:cs="Times New Roman"/>
          <w:color w:val="000000"/>
          <w:sz w:val="20"/>
          <w:szCs w:val="20"/>
          <w:lang w:val="es-AR"/>
        </w:rPr>
        <w:t xml:space="preserve">, el cual deberá ajustarse a lo previsto en las Normas de la CNV. El plan de distribución podrá establecer que las Obligaciones Negociables sean integradas por los correspondientes suscriptores en efectivo y/o mediante la entrega de obligaciones negociables en circulación. </w:t>
      </w:r>
      <w:r w:rsidRPr="0060250D">
        <w:rPr>
          <w:rFonts w:ascii="Times New Roman" w:hAnsi="Times New Roman"/>
          <w:iCs/>
          <w:sz w:val="20"/>
          <w:szCs w:val="20"/>
          <w:lang w:val="es-ES_tradnl"/>
        </w:rPr>
        <w:t>Las Obligaciones Negociables a ser emitidas bajo el Programa podrán listarse en mercados autorizados</w:t>
      </w:r>
      <w:r w:rsidRPr="0060250D">
        <w:rPr>
          <w:rFonts w:ascii="Times New Roman" w:hAnsi="Times New Roman"/>
          <w:sz w:val="20"/>
          <w:szCs w:val="20"/>
        </w:rPr>
        <w:t xml:space="preserve"> </w:t>
      </w:r>
      <w:r w:rsidRPr="0060250D">
        <w:rPr>
          <w:rFonts w:ascii="Times New Roman" w:hAnsi="Times New Roman"/>
          <w:iCs/>
          <w:sz w:val="20"/>
          <w:szCs w:val="20"/>
          <w:lang w:val="es-ES_tradnl"/>
        </w:rPr>
        <w:t>del país y/o del exterior según se especifique en los Suplementos correspondientes.</w:t>
      </w:r>
    </w:p>
    <w:p w:rsidR="0060250D" w:rsidRPr="0060250D" w:rsidRDefault="0060250D" w:rsidP="0060250D">
      <w:pPr>
        <w:widowControl w:val="0"/>
        <w:suppressLineNumbers/>
        <w:suppressAutoHyphens/>
        <w:rPr>
          <w:rFonts w:ascii="Times New Roman" w:hAnsi="Times New Roman"/>
          <w:sz w:val="20"/>
        </w:rPr>
      </w:pPr>
    </w:p>
    <w:p w:rsidR="0060250D" w:rsidRPr="0060250D" w:rsidRDefault="0060250D" w:rsidP="0060250D">
      <w:pPr>
        <w:rPr>
          <w:rFonts w:ascii="Times New Roman" w:hAnsi="Times New Roman"/>
          <w:b/>
          <w:bCs/>
          <w:spacing w:val="-2"/>
          <w:sz w:val="20"/>
        </w:rPr>
      </w:pPr>
      <w:r w:rsidRPr="0060250D">
        <w:rPr>
          <w:rFonts w:ascii="Times New Roman" w:hAnsi="Times New Roman"/>
          <w:b/>
          <w:bCs/>
          <w:spacing w:val="-2"/>
          <w:sz w:val="20"/>
        </w:rPr>
        <w:t>Otras emisiones de Obligaciones Negociables</w:t>
      </w:r>
    </w:p>
    <w:p w:rsidR="0060250D" w:rsidRPr="0060250D" w:rsidRDefault="0060250D" w:rsidP="0060250D">
      <w:pPr>
        <w:widowControl w:val="0"/>
        <w:suppressLineNumbers/>
        <w:suppressAutoHyphens/>
        <w:rPr>
          <w:rFonts w:ascii="Times New Roman" w:hAnsi="Times New Roman"/>
          <w:sz w:val="20"/>
        </w:rPr>
      </w:pPr>
      <w:r w:rsidRPr="0060250D">
        <w:rPr>
          <w:rFonts w:ascii="Times New Roman" w:hAnsi="Times New Roman"/>
          <w:sz w:val="20"/>
        </w:rPr>
        <w:t>A menos que se especifique lo contrario en los Suplementos correspondientes, la Sociedad, sin el consentimiento de los Obligacionistas de Obligaciones Negociables emitidas bajo cualquier Serie y/o Clase en circulación, podrá en cualquier momento emitir nuevas Obligaciones Negociables que tengan los mismos términos y condiciones que las Obligaciones Negociables de cualquier Clase en circulación y que sean iguales en todo sentido, excepto por sus fechas de emisión y/o precios de emisión, de manera que tales Obligaciones Negociables de la misma Clase que dichas Obligaciones Negociables en circulación sean fungibles con las mismas. Tales nuevas Obligaciones Negociables serán de una Serie distinta dentro de la Clase en cuestión.</w:t>
      </w:r>
    </w:p>
    <w:p w:rsidR="0060250D" w:rsidRPr="0060250D" w:rsidRDefault="0060250D" w:rsidP="0060250D">
      <w:pPr>
        <w:widowControl w:val="0"/>
        <w:suppressLineNumbers/>
        <w:suppressAutoHyphens/>
        <w:rPr>
          <w:rFonts w:ascii="Times New Roman" w:hAnsi="Times New Roman"/>
          <w:sz w:val="20"/>
        </w:rPr>
      </w:pPr>
    </w:p>
    <w:p w:rsidR="0060250D" w:rsidRPr="0060250D" w:rsidRDefault="0060250D" w:rsidP="0060250D">
      <w:pPr>
        <w:rPr>
          <w:rFonts w:ascii="Times New Roman" w:hAnsi="Times New Roman"/>
          <w:b/>
          <w:bCs/>
          <w:spacing w:val="-2"/>
          <w:sz w:val="20"/>
        </w:rPr>
      </w:pPr>
      <w:r w:rsidRPr="0060250D">
        <w:rPr>
          <w:rFonts w:ascii="Times New Roman" w:hAnsi="Times New Roman"/>
          <w:b/>
          <w:bCs/>
          <w:spacing w:val="-2"/>
          <w:sz w:val="20"/>
        </w:rPr>
        <w:t>Uso de los fondos</w:t>
      </w:r>
    </w:p>
    <w:p w:rsidR="0060250D" w:rsidRPr="0060250D" w:rsidRDefault="0060250D" w:rsidP="0060250D">
      <w:pPr>
        <w:widowControl w:val="0"/>
        <w:suppressLineNumbers/>
        <w:suppressAutoHyphens/>
        <w:rPr>
          <w:rFonts w:ascii="Times New Roman" w:hAnsi="Times New Roman"/>
          <w:sz w:val="20"/>
        </w:rPr>
      </w:pPr>
      <w:r w:rsidRPr="0060250D">
        <w:rPr>
          <w:rFonts w:ascii="Times New Roman" w:hAnsi="Times New Roman"/>
          <w:spacing w:val="-2"/>
          <w:sz w:val="20"/>
        </w:rPr>
        <w:t xml:space="preserve">En cumplimiento de la ley de Obligaciones Negociables, los fondos netos provenientes de la emisión de cada Serie o Clase de Obligaciones Negociables serán utilizados por la Sociedad, para uno o más de los siguientes fines: </w:t>
      </w:r>
      <w:r w:rsidRPr="0060250D">
        <w:rPr>
          <w:rFonts w:ascii="Times New Roman" w:hAnsi="Times New Roman"/>
          <w:bCs/>
          <w:sz w:val="20"/>
        </w:rPr>
        <w:t>(i) inversiones en activos físicos y bienes de capital situados en el país, (ii) adquisición de fondos de comercio situados en el país, (iii) integración de capital de trabajo en el país o refinanciación de pasivos, (iv) a la integración de aportes de capital en sociedades controladas o vinculadas a la sociedad emisora, (v) a la adquisición de participaciones sociales y/o financiamiento del giro comercial de su negocio, cuyo producido se aplique exclusivamente a los destinos antes especificados</w:t>
      </w:r>
      <w:r w:rsidRPr="0060250D" w:rsidDel="00B73D5D">
        <w:rPr>
          <w:rFonts w:ascii="Times New Roman" w:hAnsi="Times New Roman"/>
          <w:spacing w:val="-2"/>
          <w:sz w:val="20"/>
        </w:rPr>
        <w:t xml:space="preserve"> </w:t>
      </w:r>
    </w:p>
    <w:p w:rsidR="0060250D" w:rsidRPr="0060250D" w:rsidRDefault="0060250D" w:rsidP="0060250D">
      <w:pPr>
        <w:rPr>
          <w:rFonts w:ascii="Times New Roman" w:hAnsi="Times New Roman"/>
          <w:b/>
          <w:sz w:val="20"/>
        </w:rPr>
      </w:pPr>
    </w:p>
    <w:p w:rsidR="0060250D" w:rsidRPr="0060250D" w:rsidRDefault="0060250D" w:rsidP="0060250D">
      <w:pPr>
        <w:rPr>
          <w:rFonts w:ascii="Times New Roman" w:hAnsi="Times New Roman"/>
          <w:b/>
          <w:sz w:val="20"/>
        </w:rPr>
      </w:pPr>
      <w:r w:rsidRPr="0060250D">
        <w:rPr>
          <w:rFonts w:ascii="Times New Roman" w:hAnsi="Times New Roman"/>
          <w:b/>
          <w:sz w:val="20"/>
        </w:rPr>
        <w:t>Asamblea de Obligacionistas</w:t>
      </w:r>
    </w:p>
    <w:p w:rsidR="0060250D" w:rsidRPr="0060250D" w:rsidRDefault="0060250D" w:rsidP="0060250D">
      <w:pPr>
        <w:rPr>
          <w:rFonts w:ascii="Times New Roman" w:hAnsi="Times New Roman"/>
          <w:sz w:val="20"/>
        </w:rPr>
      </w:pPr>
      <w:r w:rsidRPr="0060250D">
        <w:rPr>
          <w:rFonts w:ascii="Times New Roman" w:hAnsi="Times New Roman"/>
          <w:bCs/>
          <w:color w:val="000000"/>
          <w:sz w:val="20"/>
        </w:rPr>
        <w:t xml:space="preserve">Las asambleas serán convocadas y se desarrollarán de conformidad con lo dispuesto por el artículo 14 y siguientes de Ley de Obligaciones Negociables. </w:t>
      </w:r>
      <w:r w:rsidRPr="0060250D">
        <w:rPr>
          <w:rFonts w:ascii="Times New Roman" w:hAnsi="Times New Roman"/>
          <w:sz w:val="20"/>
        </w:rPr>
        <w:t>Las asambleas se celebrarán en la Ciudad de Rosario, en la fecha y en el lugar que determine la Emisora.</w:t>
      </w:r>
    </w:p>
    <w:p w:rsidR="0060250D" w:rsidRPr="0060250D" w:rsidRDefault="0060250D" w:rsidP="0060250D">
      <w:pPr>
        <w:rPr>
          <w:rFonts w:ascii="Times New Roman" w:hAnsi="Times New Roman"/>
          <w:sz w:val="20"/>
        </w:rPr>
      </w:pPr>
      <w:r w:rsidRPr="0060250D">
        <w:rPr>
          <w:rFonts w:ascii="Times New Roman" w:hAnsi="Times New Roman"/>
          <w:sz w:val="20"/>
        </w:rPr>
        <w:t xml:space="preserve">Las asambleas de obligacionistas pueden ser ordinarias o extraordinarias. Corresponde a la asamblea ordinaria la consideración de cualquier autorización, instrucción, o notificación y, </w:t>
      </w:r>
      <w:r w:rsidRPr="0060250D">
        <w:rPr>
          <w:rFonts w:ascii="Times New Roman" w:hAnsi="Times New Roman"/>
          <w:sz w:val="20"/>
        </w:rPr>
        <w:lastRenderedPageBreak/>
        <w:t xml:space="preserve">en general, todos los asuntos que no sean competencia de la asamblea extraordinaria. Corresponde a la asamblea extraordinaria (i) toda modificación a los términos y condiciones de las </w:t>
      </w:r>
      <w:r w:rsidRPr="0060250D">
        <w:rPr>
          <w:rFonts w:ascii="Times New Roman" w:eastAsia="SimSun" w:hAnsi="Times New Roman"/>
          <w:color w:val="000000"/>
          <w:sz w:val="20"/>
        </w:rPr>
        <w:t>Obligaciones Negociables</w:t>
      </w:r>
      <w:r w:rsidRPr="0060250D">
        <w:rPr>
          <w:rFonts w:ascii="Times New Roman" w:hAnsi="Times New Roman"/>
          <w:sz w:val="20"/>
        </w:rPr>
        <w:t xml:space="preserve"> y (ii) las dispensas a cualquier disposición de las </w:t>
      </w:r>
      <w:r w:rsidRPr="0060250D">
        <w:rPr>
          <w:rFonts w:ascii="Times New Roman" w:eastAsia="SimSun" w:hAnsi="Times New Roman"/>
          <w:color w:val="000000"/>
          <w:sz w:val="20"/>
        </w:rPr>
        <w:t>Obligaciones Negociables</w:t>
      </w:r>
      <w:r w:rsidRPr="0060250D">
        <w:rPr>
          <w:rFonts w:ascii="Times New Roman" w:hAnsi="Times New Roman"/>
          <w:sz w:val="20"/>
        </w:rPr>
        <w:t xml:space="preserve"> (incluyendo, pero no limitado a, las dispensas a un incumplimiento pasado o a Causales de Incumplimiento bajo las mismas).</w:t>
      </w:r>
    </w:p>
    <w:p w:rsidR="0060250D" w:rsidRPr="0060250D" w:rsidRDefault="0060250D" w:rsidP="0060250D">
      <w:pPr>
        <w:rPr>
          <w:rFonts w:ascii="Times New Roman" w:hAnsi="Times New Roman"/>
          <w:sz w:val="20"/>
        </w:rPr>
      </w:pPr>
    </w:p>
    <w:p w:rsidR="0060250D" w:rsidRPr="0060250D" w:rsidRDefault="0060250D" w:rsidP="0060250D">
      <w:pPr>
        <w:rPr>
          <w:rFonts w:ascii="Times New Roman" w:hAnsi="Times New Roman"/>
          <w:sz w:val="20"/>
        </w:rPr>
      </w:pPr>
      <w:r w:rsidRPr="0060250D">
        <w:rPr>
          <w:rFonts w:ascii="Times New Roman" w:hAnsi="Times New Roman"/>
          <w:sz w:val="20"/>
        </w:rPr>
        <w:t xml:space="preserve">El quórum para la primera convocatoria estará constituido por obligacionistas que representen no menos del 60% (en el caso de una asamblea extraordinaria) o la mayoría (en el caso de una asamblea ordinaria) del valor nominal en circulación de las </w:t>
      </w:r>
      <w:r w:rsidRPr="0060250D">
        <w:rPr>
          <w:rFonts w:ascii="Times New Roman" w:eastAsia="SimSun" w:hAnsi="Times New Roman"/>
          <w:color w:val="000000"/>
          <w:sz w:val="20"/>
        </w:rPr>
        <w:t>Obligaciones Negociables</w:t>
      </w:r>
      <w:r w:rsidRPr="0060250D">
        <w:rPr>
          <w:rFonts w:ascii="Times New Roman" w:hAnsi="Times New Roman"/>
          <w:sz w:val="20"/>
        </w:rPr>
        <w:t xml:space="preserve"> de la Serie y/o Clase que corresponda, y si no se llegase a completar dicho quórum, los titulares que representen no menos del 30% del valor nominal en circulación de las </w:t>
      </w:r>
      <w:r w:rsidRPr="0060250D">
        <w:rPr>
          <w:rFonts w:ascii="Times New Roman" w:eastAsia="SimSun" w:hAnsi="Times New Roman"/>
          <w:color w:val="000000"/>
          <w:sz w:val="20"/>
        </w:rPr>
        <w:t>Obligaciones Negociables</w:t>
      </w:r>
      <w:r w:rsidRPr="0060250D">
        <w:rPr>
          <w:rFonts w:ascii="Times New Roman" w:hAnsi="Times New Roman"/>
          <w:sz w:val="20"/>
        </w:rPr>
        <w:t xml:space="preserve"> de la Serie y/o Clase que corresponda (en el caso de una asamblea extraordinaria) o la persona o personas presentes en dicha asamblea (en el caso de una asamblea ordinaria) constituirán quórum para la asamblea convocada en segunda convocatoria. </w:t>
      </w:r>
    </w:p>
    <w:p w:rsidR="0060250D" w:rsidRPr="0060250D" w:rsidRDefault="0060250D" w:rsidP="0060250D">
      <w:pPr>
        <w:rPr>
          <w:rFonts w:ascii="Times New Roman" w:hAnsi="Times New Roman"/>
          <w:sz w:val="20"/>
        </w:rPr>
      </w:pPr>
      <w:r w:rsidRPr="0060250D">
        <w:rPr>
          <w:rFonts w:ascii="Times New Roman" w:hAnsi="Times New Roman"/>
          <w:sz w:val="20"/>
        </w:rPr>
        <w:t xml:space="preserve">Tanto en las asambleas ordinarias como en las extraordinarias, ya sea en primera o en segunda convocatoria, las decisiones se tomarán por el voto afirmativo de obligacionistas que representen la mayoría absoluta del valor nominal en circulación de las </w:t>
      </w:r>
      <w:r w:rsidRPr="0060250D">
        <w:rPr>
          <w:rFonts w:ascii="Times New Roman" w:eastAsia="SimSun" w:hAnsi="Times New Roman"/>
          <w:color w:val="000000"/>
          <w:sz w:val="20"/>
        </w:rPr>
        <w:t>Obligaciones Negociables</w:t>
      </w:r>
      <w:r w:rsidRPr="0060250D">
        <w:rPr>
          <w:rFonts w:ascii="Times New Roman" w:hAnsi="Times New Roman"/>
          <w:sz w:val="20"/>
        </w:rPr>
        <w:t xml:space="preserve"> de la Serie y/o Clase que corresponda según sea el caso, presentes o representados en las asambleas en cuestión, estableciéndose, sin embargo, que se requerirá el voto afirmativo de obligacionistas que representen el porcentaje correspondiente del valor nominal en ese momento en circulación de las </w:t>
      </w:r>
      <w:r w:rsidRPr="0060250D">
        <w:rPr>
          <w:rFonts w:ascii="Times New Roman" w:eastAsia="SimSun" w:hAnsi="Times New Roman"/>
          <w:color w:val="000000"/>
          <w:sz w:val="20"/>
        </w:rPr>
        <w:t>Obligaciones Negociables</w:t>
      </w:r>
      <w:r w:rsidRPr="0060250D">
        <w:rPr>
          <w:rFonts w:ascii="Times New Roman" w:hAnsi="Times New Roman"/>
          <w:sz w:val="20"/>
        </w:rPr>
        <w:t xml:space="preserve"> de cualquier Serie y/o Clase que se especifica en </w:t>
      </w:r>
      <w:r w:rsidRPr="0060250D">
        <w:rPr>
          <w:rFonts w:ascii="Times New Roman" w:hAnsi="Times New Roman"/>
          <w:i/>
          <w:sz w:val="20"/>
        </w:rPr>
        <w:t>“Causales de Incumplimiento”</w:t>
      </w:r>
      <w:r w:rsidRPr="0060250D">
        <w:rPr>
          <w:rFonts w:ascii="Times New Roman" w:hAnsi="Times New Roman"/>
          <w:sz w:val="20"/>
        </w:rPr>
        <w:t xml:space="preserve"> para adoptar las medidas especificadas en dicho título. No obstante lo anterior, se requerirá el voto afirmativo del 70% de los tenedores de las </w:t>
      </w:r>
      <w:r w:rsidRPr="0060250D">
        <w:rPr>
          <w:rFonts w:ascii="Times New Roman" w:eastAsia="SimSun" w:hAnsi="Times New Roman"/>
          <w:color w:val="000000"/>
          <w:sz w:val="20"/>
        </w:rPr>
        <w:t>Obligaciones Negociables</w:t>
      </w:r>
      <w:r w:rsidRPr="0060250D">
        <w:rPr>
          <w:rFonts w:ascii="Times New Roman" w:hAnsi="Times New Roman"/>
          <w:sz w:val="20"/>
        </w:rPr>
        <w:t xml:space="preserve"> de cualquier Serie y/o Clase afectados en relación con toda modificación de términos esenciales de la emisión, incluyendo, sin carácter limitativo, a las siguientes modificaciones (las “Modificaciones a los Términos Esenciales de Emisión”):</w:t>
      </w:r>
    </w:p>
    <w:p w:rsidR="0060250D" w:rsidRPr="0060250D" w:rsidRDefault="0060250D" w:rsidP="0060250D">
      <w:pPr>
        <w:pStyle w:val="Prrafodelista"/>
        <w:numPr>
          <w:ilvl w:val="0"/>
          <w:numId w:val="1"/>
        </w:numPr>
        <w:ind w:left="0" w:firstLine="360"/>
        <w:contextualSpacing/>
        <w:jc w:val="both"/>
        <w:rPr>
          <w:rFonts w:ascii="Times New Roman" w:hAnsi="Times New Roman"/>
          <w:sz w:val="20"/>
          <w:szCs w:val="20"/>
        </w:rPr>
      </w:pPr>
      <w:r w:rsidRPr="0060250D">
        <w:rPr>
          <w:rFonts w:ascii="Times New Roman" w:hAnsi="Times New Roman"/>
          <w:sz w:val="20"/>
          <w:szCs w:val="20"/>
        </w:rPr>
        <w:t xml:space="preserve"> cambio de las fechas de pago de capital, intereses y/o cualquier otro monto bajo las </w:t>
      </w:r>
      <w:r w:rsidRPr="0060250D">
        <w:rPr>
          <w:rFonts w:ascii="Times New Roman" w:eastAsia="SimSun" w:hAnsi="Times New Roman"/>
          <w:color w:val="000000"/>
          <w:sz w:val="20"/>
          <w:szCs w:val="20"/>
        </w:rPr>
        <w:t>Obligaciones Negociables</w:t>
      </w:r>
      <w:r w:rsidRPr="0060250D">
        <w:rPr>
          <w:rFonts w:ascii="Times New Roman" w:hAnsi="Times New Roman"/>
          <w:sz w:val="20"/>
          <w:szCs w:val="20"/>
        </w:rPr>
        <w:t xml:space="preserve"> de la Serie y/o Clase en cuestión;</w:t>
      </w:r>
    </w:p>
    <w:p w:rsidR="0060250D" w:rsidRPr="0060250D" w:rsidRDefault="0060250D" w:rsidP="0060250D">
      <w:pPr>
        <w:pStyle w:val="Prrafodelista"/>
        <w:numPr>
          <w:ilvl w:val="0"/>
          <w:numId w:val="1"/>
        </w:numPr>
        <w:ind w:left="0" w:firstLine="360"/>
        <w:contextualSpacing/>
        <w:jc w:val="both"/>
        <w:rPr>
          <w:rFonts w:ascii="Times New Roman" w:hAnsi="Times New Roman"/>
          <w:sz w:val="20"/>
          <w:szCs w:val="20"/>
        </w:rPr>
      </w:pPr>
      <w:r w:rsidRPr="0060250D">
        <w:rPr>
          <w:rFonts w:ascii="Times New Roman" w:hAnsi="Times New Roman"/>
          <w:sz w:val="20"/>
          <w:szCs w:val="20"/>
        </w:rPr>
        <w:t xml:space="preserve"> reducción del monto de capital, de la tasa de interés y/o de cualquier otro monto pagadero bajo las </w:t>
      </w:r>
      <w:r w:rsidRPr="0060250D">
        <w:rPr>
          <w:rFonts w:ascii="Times New Roman" w:eastAsia="SimSun" w:hAnsi="Times New Roman"/>
          <w:color w:val="000000"/>
          <w:sz w:val="20"/>
          <w:szCs w:val="20"/>
        </w:rPr>
        <w:t>Obligaciones Negociables</w:t>
      </w:r>
      <w:r w:rsidRPr="0060250D">
        <w:rPr>
          <w:rFonts w:ascii="Times New Roman" w:hAnsi="Times New Roman"/>
          <w:sz w:val="20"/>
          <w:szCs w:val="20"/>
        </w:rPr>
        <w:t xml:space="preserve"> de la Serie y/o Clase en cuestión;</w:t>
      </w:r>
    </w:p>
    <w:p w:rsidR="0060250D" w:rsidRPr="0060250D" w:rsidRDefault="0060250D" w:rsidP="0060250D">
      <w:pPr>
        <w:pStyle w:val="Prrafodelista"/>
        <w:numPr>
          <w:ilvl w:val="0"/>
          <w:numId w:val="1"/>
        </w:numPr>
        <w:ind w:left="0" w:firstLine="360"/>
        <w:contextualSpacing/>
        <w:jc w:val="both"/>
        <w:rPr>
          <w:rFonts w:ascii="Times New Roman" w:hAnsi="Times New Roman"/>
          <w:sz w:val="20"/>
          <w:szCs w:val="20"/>
        </w:rPr>
      </w:pPr>
      <w:r w:rsidRPr="0060250D">
        <w:rPr>
          <w:rFonts w:ascii="Times New Roman" w:hAnsi="Times New Roman"/>
          <w:sz w:val="20"/>
          <w:szCs w:val="20"/>
        </w:rPr>
        <w:t xml:space="preserve"> cambio del lugar y/o moneda de pago de capital, intereses y/o cualquier otro monto bajo las </w:t>
      </w:r>
      <w:r w:rsidRPr="0060250D">
        <w:rPr>
          <w:rFonts w:ascii="Times New Roman" w:eastAsia="SimSun" w:hAnsi="Times New Roman"/>
          <w:color w:val="000000"/>
          <w:sz w:val="20"/>
          <w:szCs w:val="20"/>
        </w:rPr>
        <w:t>Obligaciones Negociables</w:t>
      </w:r>
      <w:r w:rsidRPr="0060250D">
        <w:rPr>
          <w:rFonts w:ascii="Times New Roman" w:hAnsi="Times New Roman"/>
          <w:sz w:val="20"/>
          <w:szCs w:val="20"/>
        </w:rPr>
        <w:t xml:space="preserve"> de la Serie y/o Clase en cuestión;</w:t>
      </w:r>
    </w:p>
    <w:p w:rsidR="0060250D" w:rsidRPr="0060250D" w:rsidRDefault="0060250D" w:rsidP="0060250D">
      <w:pPr>
        <w:pStyle w:val="Prrafodelista"/>
        <w:numPr>
          <w:ilvl w:val="0"/>
          <w:numId w:val="1"/>
        </w:numPr>
        <w:ind w:left="0" w:firstLine="360"/>
        <w:contextualSpacing/>
        <w:jc w:val="both"/>
        <w:rPr>
          <w:rFonts w:ascii="Times New Roman" w:hAnsi="Times New Roman"/>
          <w:sz w:val="20"/>
          <w:szCs w:val="20"/>
        </w:rPr>
      </w:pPr>
      <w:r w:rsidRPr="0060250D">
        <w:rPr>
          <w:rFonts w:ascii="Times New Roman" w:hAnsi="Times New Roman"/>
          <w:sz w:val="20"/>
          <w:szCs w:val="20"/>
        </w:rPr>
        <w:t xml:space="preserve"> reducción del porcentaje del valor nominal en circulación de las </w:t>
      </w:r>
      <w:r w:rsidRPr="0060250D">
        <w:rPr>
          <w:rFonts w:ascii="Times New Roman" w:eastAsia="SimSun" w:hAnsi="Times New Roman"/>
          <w:color w:val="000000"/>
          <w:sz w:val="20"/>
          <w:szCs w:val="20"/>
        </w:rPr>
        <w:t>Obligaciones Negociables</w:t>
      </w:r>
      <w:r w:rsidRPr="0060250D">
        <w:rPr>
          <w:rFonts w:ascii="Times New Roman" w:hAnsi="Times New Roman"/>
          <w:sz w:val="20"/>
          <w:szCs w:val="20"/>
        </w:rPr>
        <w:t xml:space="preserve"> de la Serie y/o Clase en cuestión necesario para modificar o enmendar los términos y condiciones de las </w:t>
      </w:r>
      <w:r w:rsidRPr="0060250D">
        <w:rPr>
          <w:rFonts w:ascii="Times New Roman" w:eastAsia="SimSun" w:hAnsi="Times New Roman"/>
          <w:color w:val="000000"/>
          <w:sz w:val="20"/>
          <w:szCs w:val="20"/>
        </w:rPr>
        <w:t>Obligaciones Negociables</w:t>
      </w:r>
      <w:r w:rsidRPr="0060250D">
        <w:rPr>
          <w:rFonts w:ascii="Times New Roman" w:hAnsi="Times New Roman"/>
          <w:sz w:val="20"/>
          <w:szCs w:val="20"/>
        </w:rPr>
        <w:t xml:space="preserve"> de la Serie y/o Clase en cuestión, y/o para prestar su consentimiento a una dispensa bajo las </w:t>
      </w:r>
      <w:r w:rsidRPr="0060250D">
        <w:rPr>
          <w:rFonts w:ascii="Times New Roman" w:eastAsia="SimSun" w:hAnsi="Times New Roman"/>
          <w:color w:val="000000"/>
          <w:sz w:val="20"/>
          <w:szCs w:val="20"/>
        </w:rPr>
        <w:t>Obligaciones Negociables</w:t>
      </w:r>
      <w:r w:rsidRPr="0060250D">
        <w:rPr>
          <w:rFonts w:ascii="Times New Roman" w:hAnsi="Times New Roman"/>
          <w:sz w:val="20"/>
          <w:szCs w:val="20"/>
        </w:rPr>
        <w:t xml:space="preserve"> de la Serie y/o Clase en cuestión, cuando sea aplicable a las </w:t>
      </w:r>
      <w:r w:rsidRPr="0060250D">
        <w:rPr>
          <w:rFonts w:ascii="Times New Roman" w:eastAsia="SimSun" w:hAnsi="Times New Roman"/>
          <w:color w:val="000000"/>
          <w:sz w:val="20"/>
          <w:szCs w:val="20"/>
        </w:rPr>
        <w:t>Obligaciones Negociables</w:t>
      </w:r>
      <w:r w:rsidRPr="0060250D">
        <w:rPr>
          <w:rFonts w:ascii="Times New Roman" w:hAnsi="Times New Roman"/>
          <w:sz w:val="20"/>
          <w:szCs w:val="20"/>
        </w:rPr>
        <w:t xml:space="preserve"> de la Serie y/o Clase en cuestión, y/o reducir los requisitos para votar o constituir quórum descriptos anteriormente;</w:t>
      </w:r>
    </w:p>
    <w:p w:rsidR="0060250D" w:rsidRPr="0060250D" w:rsidRDefault="0060250D" w:rsidP="0060250D">
      <w:pPr>
        <w:pStyle w:val="Prrafodelista"/>
        <w:numPr>
          <w:ilvl w:val="0"/>
          <w:numId w:val="1"/>
        </w:numPr>
        <w:spacing w:after="0" w:line="240" w:lineRule="auto"/>
        <w:ind w:left="0" w:firstLine="357"/>
        <w:contextualSpacing/>
        <w:jc w:val="both"/>
        <w:rPr>
          <w:rFonts w:ascii="Times New Roman" w:hAnsi="Times New Roman"/>
          <w:sz w:val="20"/>
          <w:szCs w:val="20"/>
        </w:rPr>
      </w:pPr>
      <w:r w:rsidRPr="0060250D">
        <w:rPr>
          <w:rFonts w:ascii="Times New Roman" w:hAnsi="Times New Roman"/>
          <w:sz w:val="20"/>
          <w:szCs w:val="20"/>
        </w:rPr>
        <w:t xml:space="preserve"> eliminación y/o modificación de las Causales de Incumplimiento de las </w:t>
      </w:r>
      <w:r w:rsidRPr="0060250D">
        <w:rPr>
          <w:rFonts w:ascii="Times New Roman" w:eastAsia="SimSun" w:hAnsi="Times New Roman"/>
          <w:color w:val="000000"/>
          <w:sz w:val="20"/>
          <w:szCs w:val="20"/>
        </w:rPr>
        <w:t>Obligaciones Negociables</w:t>
      </w:r>
      <w:r w:rsidRPr="0060250D">
        <w:rPr>
          <w:rFonts w:ascii="Times New Roman" w:hAnsi="Times New Roman"/>
          <w:sz w:val="20"/>
          <w:szCs w:val="20"/>
        </w:rPr>
        <w:t xml:space="preserve"> de la Serie y/o Clase en cuestión; y/o</w:t>
      </w:r>
    </w:p>
    <w:p w:rsidR="0060250D" w:rsidRPr="0060250D" w:rsidRDefault="0060250D" w:rsidP="0060250D">
      <w:pPr>
        <w:ind w:firstLine="357"/>
        <w:rPr>
          <w:rFonts w:ascii="Times New Roman" w:hAnsi="Times New Roman"/>
          <w:sz w:val="20"/>
        </w:rPr>
      </w:pPr>
      <w:r w:rsidRPr="0060250D">
        <w:rPr>
          <w:rFonts w:ascii="Times New Roman" w:hAnsi="Times New Roman"/>
          <w:sz w:val="20"/>
        </w:rPr>
        <w:t xml:space="preserve">(vi) modificación de los requisitos anteriores y/o reducción del porcentaje del monto de capital en circulación de las </w:t>
      </w:r>
      <w:r w:rsidRPr="0060250D">
        <w:rPr>
          <w:rFonts w:ascii="Times New Roman" w:eastAsia="SimSun" w:hAnsi="Times New Roman"/>
          <w:color w:val="000000"/>
          <w:sz w:val="20"/>
        </w:rPr>
        <w:t>Obligaciones Negociables</w:t>
      </w:r>
      <w:r w:rsidRPr="0060250D">
        <w:rPr>
          <w:rFonts w:ascii="Times New Roman" w:hAnsi="Times New Roman"/>
          <w:sz w:val="20"/>
        </w:rPr>
        <w:t xml:space="preserve"> de la Serie y/o Clase en cuestión necesario para dispensar una Causal de Incumplimiento.</w:t>
      </w:r>
    </w:p>
    <w:p w:rsidR="0060250D" w:rsidRPr="0060250D" w:rsidRDefault="0060250D" w:rsidP="0060250D">
      <w:pPr>
        <w:rPr>
          <w:rFonts w:ascii="Times New Roman" w:hAnsi="Times New Roman"/>
          <w:sz w:val="20"/>
        </w:rPr>
      </w:pPr>
      <w:r w:rsidRPr="0060250D">
        <w:rPr>
          <w:rFonts w:ascii="Times New Roman" w:hAnsi="Times New Roman"/>
          <w:sz w:val="20"/>
        </w:rPr>
        <w:t xml:space="preserve">Todas las decisiones adoptadas por la asamblea serán concluyentes y vinculantes para todos los titulares de las </w:t>
      </w:r>
      <w:r w:rsidRPr="0060250D">
        <w:rPr>
          <w:rFonts w:ascii="Times New Roman" w:eastAsia="SimSun" w:hAnsi="Times New Roman"/>
          <w:color w:val="000000"/>
          <w:sz w:val="20"/>
        </w:rPr>
        <w:t>Obligaciones Negociables</w:t>
      </w:r>
      <w:r w:rsidRPr="0060250D">
        <w:rPr>
          <w:rFonts w:ascii="Times New Roman" w:hAnsi="Times New Roman"/>
          <w:sz w:val="20"/>
        </w:rPr>
        <w:t xml:space="preserve"> de la Serie y/o Clase en cuestión, independientemente de si estaban presentes en la asamblea o no y de que hayan votado o no.</w:t>
      </w:r>
    </w:p>
    <w:p w:rsidR="0060250D" w:rsidRPr="0060250D" w:rsidRDefault="0060250D" w:rsidP="0060250D">
      <w:pPr>
        <w:rPr>
          <w:rFonts w:ascii="Times New Roman" w:hAnsi="Times New Roman"/>
          <w:sz w:val="20"/>
        </w:rPr>
      </w:pPr>
      <w:r w:rsidRPr="0060250D">
        <w:rPr>
          <w:rFonts w:ascii="Times New Roman" w:hAnsi="Times New Roman"/>
          <w:sz w:val="20"/>
        </w:rPr>
        <w:lastRenderedPageBreak/>
        <w:t xml:space="preserve">Salvo que se disponga lo contrario o de otro modo en el Suplemento aplicable, se podrá, sin necesidad de reunión ni emisión de voto en Asamblea, si se obtuviera el consentimiento de la mayoría absoluta de obligacionistas cuando se trate de decisiones que correspondan a la asamblea ordinaria o extraordinaria, salvo que se trate de Modificaciones a los Términos Esenciales de Emisión que se requerirá el consentimiento de obligacionistas que representen el setenta por ciento (70%) del capital total pendiente de pago de las </w:t>
      </w:r>
      <w:r w:rsidRPr="0060250D">
        <w:rPr>
          <w:rFonts w:ascii="Times New Roman" w:eastAsia="SimSun" w:hAnsi="Times New Roman"/>
          <w:color w:val="000000"/>
          <w:sz w:val="20"/>
        </w:rPr>
        <w:t>Obligaciones Negociables</w:t>
      </w:r>
      <w:r w:rsidRPr="0060250D">
        <w:rPr>
          <w:rFonts w:ascii="Times New Roman" w:hAnsi="Times New Roman"/>
          <w:sz w:val="20"/>
        </w:rPr>
        <w:t xml:space="preserve"> de la Serie y/o Clase en circulación, si los obligacionistas manifiestan su voluntad mediante notas por escrito dirigidas a la Emisora y que cuenten con certificación notarial de la firma y facultades de quien suscribe.</w:t>
      </w:r>
    </w:p>
    <w:p w:rsidR="0060250D" w:rsidRPr="0060250D" w:rsidRDefault="0060250D" w:rsidP="0060250D">
      <w:pPr>
        <w:rPr>
          <w:rFonts w:ascii="Times New Roman" w:hAnsi="Times New Roman"/>
          <w:iCs/>
          <w:sz w:val="20"/>
        </w:rPr>
      </w:pPr>
      <w:r w:rsidRPr="0060250D">
        <w:rPr>
          <w:rFonts w:ascii="Times New Roman" w:hAnsi="Times New Roman"/>
          <w:iCs/>
          <w:sz w:val="20"/>
        </w:rPr>
        <w:t>Las asambleas se regirán por las disposiciones de la Ley de Obligaciones Negociables y las demás normas y requisitos vigentes establecidos por la CNV y los mercados en los que las obligaciones negociables estén listadas.</w:t>
      </w:r>
    </w:p>
    <w:p w:rsidR="0060250D" w:rsidRPr="0060250D" w:rsidRDefault="0060250D" w:rsidP="0060250D">
      <w:pPr>
        <w:widowControl w:val="0"/>
        <w:suppressLineNumbers/>
        <w:suppressAutoHyphens/>
        <w:rPr>
          <w:rFonts w:ascii="Times New Roman" w:hAnsi="Times New Roman"/>
          <w:sz w:val="20"/>
        </w:rPr>
      </w:pPr>
    </w:p>
    <w:p w:rsidR="0060250D" w:rsidRPr="0060250D" w:rsidRDefault="0060250D" w:rsidP="0060250D">
      <w:pPr>
        <w:pStyle w:val="Encabezado"/>
        <w:rPr>
          <w:rFonts w:ascii="Times New Roman" w:hAnsi="Times New Roman"/>
          <w:b/>
          <w:bCs/>
          <w:color w:val="000000"/>
          <w:sz w:val="20"/>
        </w:rPr>
      </w:pPr>
      <w:r w:rsidRPr="0060250D">
        <w:rPr>
          <w:rFonts w:ascii="Times New Roman" w:hAnsi="Times New Roman"/>
          <w:b/>
          <w:bCs/>
          <w:color w:val="000000"/>
          <w:sz w:val="20"/>
        </w:rPr>
        <w:t>Resolución de conflictos</w:t>
      </w:r>
    </w:p>
    <w:p w:rsidR="0060250D" w:rsidRPr="0060250D" w:rsidRDefault="0060250D" w:rsidP="0060250D">
      <w:pPr>
        <w:pStyle w:val="Encabezado"/>
        <w:rPr>
          <w:rFonts w:ascii="Times New Roman" w:hAnsi="Times New Roman"/>
          <w:color w:val="000000"/>
          <w:sz w:val="20"/>
        </w:rPr>
      </w:pPr>
      <w:r w:rsidRPr="0060250D">
        <w:rPr>
          <w:rFonts w:ascii="Times New Roman" w:hAnsi="Times New Roman"/>
          <w:color w:val="000000"/>
          <w:sz w:val="20"/>
        </w:rPr>
        <w:t xml:space="preserve"> Conforme a lo dispuesto en el artículo 46 de la Ley de Mercado de Capitales, todo conflicto que se suscite entre los obligacionistas y el Emisor y/o el Organizador y/o el Agente Colocador relativo al Programa, el presente Prospecto, los Suplementos de Prospecto bajo el Programa, las condiciones de emisión de una Serie y/o Clase de ON, su suscripción, y todos los actos y documentos relacionados, será resuelto, a opción de los obligacionistas (a) en forma inapelable por el Tribunal de Arbitraje Permanente de la Bolsa de Comercio de Rosario o (b) ante los tribunales competentes del domicilio del Emisor cuando se trate de acciones contra entidades autorreguladas y sus agentes. Ello, sin perjuicio de la acción ejecutiva de cobro que tramitará ante los tribunales competentes del domicilio del Emisor. </w:t>
      </w:r>
    </w:p>
    <w:p w:rsidR="003D1B9F" w:rsidRPr="0060250D" w:rsidRDefault="003D1B9F" w:rsidP="0060250D">
      <w:pPr>
        <w:pStyle w:val="Sangradetextonormal"/>
        <w:ind w:firstLine="0"/>
        <w:rPr>
          <w:b/>
          <w:bCs/>
        </w:rPr>
      </w:pPr>
      <w:r w:rsidRPr="0060250D">
        <w:rPr>
          <w:b/>
          <w:bCs/>
        </w:rPr>
        <w:t>DATOS DEL EMISOR:</w:t>
      </w:r>
      <w:r w:rsidRPr="0060250D">
        <w:rPr>
          <w:bCs/>
        </w:rPr>
        <w:t xml:space="preserve"> </w:t>
      </w:r>
      <w:r w:rsidR="0060250D" w:rsidRPr="00004530">
        <w:rPr>
          <w:bCs/>
        </w:rPr>
        <w:t xml:space="preserve">Rogiro Aceros S.A. (a) Domicilio social: </w:t>
      </w:r>
      <w:r w:rsidR="0060250D">
        <w:rPr>
          <w:bCs/>
        </w:rPr>
        <w:t>Av de las Palmeras</w:t>
      </w:r>
      <w:r w:rsidR="0060250D" w:rsidRPr="00004530">
        <w:rPr>
          <w:bCs/>
        </w:rPr>
        <w:t xml:space="preserve"> 4515 A-Rosario-Pcia. de Santa Fe. (b) Datos de constitución: constituida en la Ciudad de Rosario, Provincia de Santa Fe el 12 de junio de 1979 inscripta en el Registro Público de Comercio de Rosario el 26 de julio de 1979 al Tomo 60, Folio 1202 Nro 525. (c) Plazo: 75 años desde la fecha de inscripción en el Registro Público de Comercio de Rosario; (d) Objeto social: Tiene por objeto dedicarse por cuenta propia o de terceros o asociada a terceros a las siguientes actividades: a) COMERCIALES E INDUSTRIALES: Compraventa, explotación e industrialización de productos siderometalúrgicos; b) INMOBILIARIAS: Construcción de obras privadas o públicas. Compraventa de inmuebles de cualquier naturaleza, urbanos o rurales, así como también su explotación. En todos estos casos, para cumplimentar las disposiciones legales pertinentes se contará con la asistencia de profesionales de la matrícula correspondiente. Podrá inclusive realizar todas las operaciones sobre inmuebles que autoricen las leyes y las comprendidas en la ley de propiedad horizontal y c) FINANCIERAS: Mediante aportes de capital en sociedades por acciones, constituidas o a constituirse, cualquiera sea su objeto, en forma accidental o continuada y celebrar contratos de colaboración empresaria todo dentro de los marcos legales respectivos. A tales fines la sociedad tiene plena capacidad jurídica para adquirir derechos, contraer obligaciones y ejercer los actos que no sean prohibidos por las leyes o por el estatuto. Se excluyen las actividades reguladas por la Ley de Entidades Financieras. La actividad principal de la sociedad es Siderometalúrgica: distribución, comercialización </w:t>
      </w:r>
      <w:r w:rsidR="0060250D" w:rsidRPr="00B5718D">
        <w:rPr>
          <w:bCs/>
        </w:rPr>
        <w:t xml:space="preserve">y transformación de hierros, aceros y perfiles para la industria y la construcción. (e) Capital social al </w:t>
      </w:r>
      <w:r w:rsidR="0021090D" w:rsidRPr="00B5718D">
        <w:rPr>
          <w:bCs/>
        </w:rPr>
        <w:t>31 de diciembre de 2019 $ 161.315.748</w:t>
      </w:r>
      <w:r w:rsidR="0021090D" w:rsidRPr="00B5718D" w:rsidDel="009E0454">
        <w:rPr>
          <w:bCs/>
        </w:rPr>
        <w:t xml:space="preserve"> </w:t>
      </w:r>
      <w:r w:rsidR="0021090D" w:rsidRPr="00B5718D">
        <w:rPr>
          <w:bCs/>
        </w:rPr>
        <w:t>.- (pesos ciento sesenta y un millones trescientos quince mil setecientos cuarenta y ocho)</w:t>
      </w:r>
      <w:r w:rsidR="0060250D" w:rsidRPr="00B5718D">
        <w:rPr>
          <w:bCs/>
        </w:rPr>
        <w:t xml:space="preserve">. (f) Patrimonio neto al </w:t>
      </w:r>
      <w:r w:rsidR="0021090D" w:rsidRPr="00B5718D">
        <w:rPr>
          <w:bCs/>
        </w:rPr>
        <w:t>31 de diciembre de 2019: $ 680.267.861.- (pesos seiscientos ochenta millones doscientos sesenta y siete mil ochocientos sesenta y uno)</w:t>
      </w:r>
      <w:r w:rsidR="0060250D" w:rsidRPr="00B5718D">
        <w:rPr>
          <w:bCs/>
        </w:rPr>
        <w:t xml:space="preserve">. (g) La emisora </w:t>
      </w:r>
      <w:r w:rsidR="0021090D" w:rsidRPr="00B5718D">
        <w:rPr>
          <w:bCs/>
        </w:rPr>
        <w:t xml:space="preserve">no </w:t>
      </w:r>
      <w:r w:rsidR="0060250D" w:rsidRPr="00B5718D">
        <w:rPr>
          <w:bCs/>
        </w:rPr>
        <w:t xml:space="preserve">tiene obligaciones negociables </w:t>
      </w:r>
      <w:r w:rsidR="0021090D" w:rsidRPr="00B5718D">
        <w:rPr>
          <w:bCs/>
        </w:rPr>
        <w:t>en circulación</w:t>
      </w:r>
      <w:r w:rsidR="0060250D" w:rsidRPr="00B5718D">
        <w:rPr>
          <w:bCs/>
        </w:rPr>
        <w:t xml:space="preserve">. </w:t>
      </w:r>
    </w:p>
    <w:p w:rsidR="003D1B9F" w:rsidRPr="0060250D" w:rsidRDefault="003D1B9F" w:rsidP="009631AB">
      <w:pPr>
        <w:pStyle w:val="BodyText21"/>
        <w:rPr>
          <w:b w:val="0"/>
          <w:bCs/>
          <w:sz w:val="20"/>
        </w:rPr>
      </w:pPr>
    </w:p>
    <w:sectPr w:rsidR="003D1B9F" w:rsidRPr="0060250D" w:rsidSect="00586F22">
      <w:headerReference w:type="default" r:id="rId12"/>
      <w:pgSz w:w="12240" w:h="15840"/>
      <w:pgMar w:top="2268" w:right="2175" w:bottom="1418" w:left="272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6EB" w:rsidRDefault="007106EB">
      <w:r>
        <w:separator/>
      </w:r>
    </w:p>
  </w:endnote>
  <w:endnote w:type="continuationSeparator" w:id="1">
    <w:p w:rsidR="007106EB" w:rsidRDefault="007106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6EB" w:rsidRDefault="007106EB">
      <w:r>
        <w:separator/>
      </w:r>
    </w:p>
  </w:footnote>
  <w:footnote w:type="continuationSeparator" w:id="1">
    <w:p w:rsidR="007106EB" w:rsidRDefault="007106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C52" w:rsidRDefault="008C4C52">
    <w:pPr>
      <w:pStyle w:val="Encabezado"/>
      <w:jc w:val="right"/>
      <w:rPr>
        <w:b/>
        <w:bCs/>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04ABE"/>
    <w:multiLevelType w:val="hybridMultilevel"/>
    <w:tmpl w:val="81BEC570"/>
    <w:lvl w:ilvl="0" w:tplc="6B0C289E">
      <w:start w:val="1"/>
      <w:numFmt w:val="low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0"/>
    <w:footnote w:id="1"/>
  </w:footnotePr>
  <w:endnotePr>
    <w:endnote w:id="0"/>
    <w:endnote w:id="1"/>
  </w:endnotePr>
  <w:compat/>
  <w:rsids>
    <w:rsidRoot w:val="00AD114D"/>
    <w:rsid w:val="00004530"/>
    <w:rsid w:val="00015DF1"/>
    <w:rsid w:val="00044BDB"/>
    <w:rsid w:val="000634C0"/>
    <w:rsid w:val="000678C5"/>
    <w:rsid w:val="00077791"/>
    <w:rsid w:val="00091C99"/>
    <w:rsid w:val="000A4F3A"/>
    <w:rsid w:val="000D4894"/>
    <w:rsid w:val="000E109E"/>
    <w:rsid w:val="00101AD4"/>
    <w:rsid w:val="00104B45"/>
    <w:rsid w:val="00106DDC"/>
    <w:rsid w:val="001148A5"/>
    <w:rsid w:val="00115D35"/>
    <w:rsid w:val="00136489"/>
    <w:rsid w:val="0014465A"/>
    <w:rsid w:val="001A3A94"/>
    <w:rsid w:val="001C530D"/>
    <w:rsid w:val="00201F8F"/>
    <w:rsid w:val="00205C6D"/>
    <w:rsid w:val="0021090D"/>
    <w:rsid w:val="00234A3A"/>
    <w:rsid w:val="002503F9"/>
    <w:rsid w:val="00253EC7"/>
    <w:rsid w:val="00255548"/>
    <w:rsid w:val="00270B2B"/>
    <w:rsid w:val="002835AB"/>
    <w:rsid w:val="002E215D"/>
    <w:rsid w:val="002F35A3"/>
    <w:rsid w:val="003620B1"/>
    <w:rsid w:val="003A14BE"/>
    <w:rsid w:val="003A212C"/>
    <w:rsid w:val="003A26C3"/>
    <w:rsid w:val="003C6DD5"/>
    <w:rsid w:val="003D1B9F"/>
    <w:rsid w:val="00402398"/>
    <w:rsid w:val="004100FF"/>
    <w:rsid w:val="004169ED"/>
    <w:rsid w:val="00421C10"/>
    <w:rsid w:val="004270AE"/>
    <w:rsid w:val="00464DA1"/>
    <w:rsid w:val="0048195C"/>
    <w:rsid w:val="004A08E5"/>
    <w:rsid w:val="004B2813"/>
    <w:rsid w:val="004E40A5"/>
    <w:rsid w:val="00510685"/>
    <w:rsid w:val="00512C17"/>
    <w:rsid w:val="0052632E"/>
    <w:rsid w:val="005267EB"/>
    <w:rsid w:val="00551BDC"/>
    <w:rsid w:val="005539E3"/>
    <w:rsid w:val="0057462E"/>
    <w:rsid w:val="0057586E"/>
    <w:rsid w:val="005867AD"/>
    <w:rsid w:val="00586F22"/>
    <w:rsid w:val="005940A2"/>
    <w:rsid w:val="005A4AAF"/>
    <w:rsid w:val="005F34C2"/>
    <w:rsid w:val="0060250D"/>
    <w:rsid w:val="006347E3"/>
    <w:rsid w:val="00667F0B"/>
    <w:rsid w:val="006A2051"/>
    <w:rsid w:val="006A20AE"/>
    <w:rsid w:val="006E03AA"/>
    <w:rsid w:val="006F0A5F"/>
    <w:rsid w:val="006F1DF5"/>
    <w:rsid w:val="007106EB"/>
    <w:rsid w:val="007300F4"/>
    <w:rsid w:val="00767E49"/>
    <w:rsid w:val="00770F68"/>
    <w:rsid w:val="007726C3"/>
    <w:rsid w:val="0078285C"/>
    <w:rsid w:val="007A4B95"/>
    <w:rsid w:val="007B317D"/>
    <w:rsid w:val="007C127A"/>
    <w:rsid w:val="007D7F81"/>
    <w:rsid w:val="007F06A1"/>
    <w:rsid w:val="00815B17"/>
    <w:rsid w:val="008514D6"/>
    <w:rsid w:val="008653C4"/>
    <w:rsid w:val="008962DE"/>
    <w:rsid w:val="008C4C52"/>
    <w:rsid w:val="00905A04"/>
    <w:rsid w:val="00907E0B"/>
    <w:rsid w:val="00943F9C"/>
    <w:rsid w:val="0094532F"/>
    <w:rsid w:val="009631AB"/>
    <w:rsid w:val="00985AB3"/>
    <w:rsid w:val="00990920"/>
    <w:rsid w:val="009C744B"/>
    <w:rsid w:val="009D53AB"/>
    <w:rsid w:val="009E0454"/>
    <w:rsid w:val="009F0333"/>
    <w:rsid w:val="00A06F28"/>
    <w:rsid w:val="00A15AA8"/>
    <w:rsid w:val="00A21E09"/>
    <w:rsid w:val="00A2495C"/>
    <w:rsid w:val="00A40D10"/>
    <w:rsid w:val="00A521FC"/>
    <w:rsid w:val="00A6197C"/>
    <w:rsid w:val="00A67375"/>
    <w:rsid w:val="00A74210"/>
    <w:rsid w:val="00A84452"/>
    <w:rsid w:val="00AA01F1"/>
    <w:rsid w:val="00AA2497"/>
    <w:rsid w:val="00AB2EB5"/>
    <w:rsid w:val="00AC2A7F"/>
    <w:rsid w:val="00AD114D"/>
    <w:rsid w:val="00AE65ED"/>
    <w:rsid w:val="00AF4EBE"/>
    <w:rsid w:val="00B403D8"/>
    <w:rsid w:val="00B5718D"/>
    <w:rsid w:val="00B94273"/>
    <w:rsid w:val="00B973B8"/>
    <w:rsid w:val="00BA6B2B"/>
    <w:rsid w:val="00BC4C57"/>
    <w:rsid w:val="00BE47A8"/>
    <w:rsid w:val="00C01489"/>
    <w:rsid w:val="00C858CE"/>
    <w:rsid w:val="00C90D29"/>
    <w:rsid w:val="00C90D6F"/>
    <w:rsid w:val="00C94E93"/>
    <w:rsid w:val="00C959A7"/>
    <w:rsid w:val="00CB0119"/>
    <w:rsid w:val="00CB7949"/>
    <w:rsid w:val="00CF153D"/>
    <w:rsid w:val="00CF7BAE"/>
    <w:rsid w:val="00D11FD2"/>
    <w:rsid w:val="00D50F90"/>
    <w:rsid w:val="00D6770B"/>
    <w:rsid w:val="00D7362B"/>
    <w:rsid w:val="00D8395B"/>
    <w:rsid w:val="00DB6803"/>
    <w:rsid w:val="00E226DC"/>
    <w:rsid w:val="00E41D99"/>
    <w:rsid w:val="00E44DA7"/>
    <w:rsid w:val="00E53679"/>
    <w:rsid w:val="00E603F2"/>
    <w:rsid w:val="00EE5FA2"/>
    <w:rsid w:val="00F070DB"/>
    <w:rsid w:val="00F125D4"/>
    <w:rsid w:val="00F1570C"/>
    <w:rsid w:val="00F2176D"/>
    <w:rsid w:val="00F267E0"/>
    <w:rsid w:val="00F90E49"/>
    <w:rsid w:val="00FA5ED2"/>
    <w:rsid w:val="00FB4781"/>
    <w:rsid w:val="00FD4E56"/>
    <w:rsid w:val="00FF25B7"/>
    <w:rsid w:val="00FF2B6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14D"/>
    <w:pPr>
      <w:jc w:val="both"/>
    </w:pPr>
    <w:rPr>
      <w:rFonts w:ascii="Arial" w:eastAsia="Times New Roman" w:hAnsi="Arial"/>
      <w:sz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1,encabezado2,Page Header"/>
    <w:basedOn w:val="Normal"/>
    <w:link w:val="EncabezadoCar"/>
    <w:uiPriority w:val="99"/>
    <w:rsid w:val="00AD114D"/>
    <w:pPr>
      <w:tabs>
        <w:tab w:val="center" w:pos="4419"/>
        <w:tab w:val="right" w:pos="8838"/>
      </w:tabs>
    </w:pPr>
  </w:style>
  <w:style w:type="character" w:customStyle="1" w:styleId="EncabezadoCar">
    <w:name w:val="Encabezado Car"/>
    <w:aliases w:val="encabezado Car,encabezado1 Car,encabezado2 Car,Page Header Car"/>
    <w:link w:val="Encabezado"/>
    <w:uiPriority w:val="99"/>
    <w:rsid w:val="00AD114D"/>
    <w:rPr>
      <w:rFonts w:ascii="Arial" w:eastAsia="Times New Roman" w:hAnsi="Arial" w:cs="Times New Roman"/>
      <w:sz w:val="24"/>
      <w:szCs w:val="20"/>
      <w:lang w:val="es-AR" w:eastAsia="es-ES"/>
    </w:rPr>
  </w:style>
  <w:style w:type="paragraph" w:styleId="Textoindependiente2">
    <w:name w:val="Body Text 2"/>
    <w:basedOn w:val="Normal"/>
    <w:link w:val="Textoindependiente2Car"/>
    <w:rsid w:val="00AD114D"/>
    <w:pPr>
      <w:jc w:val="center"/>
    </w:pPr>
    <w:rPr>
      <w:rFonts w:ascii="Times New Roman" w:hAnsi="Times New Roman"/>
      <w:sz w:val="20"/>
      <w:lang w:val="es-ES_tradnl"/>
    </w:rPr>
  </w:style>
  <w:style w:type="character" w:customStyle="1" w:styleId="Textoindependiente2Car">
    <w:name w:val="Texto independiente 2 Car"/>
    <w:link w:val="Textoindependiente2"/>
    <w:rsid w:val="00AD114D"/>
    <w:rPr>
      <w:rFonts w:ascii="Times New Roman" w:eastAsia="Times New Roman" w:hAnsi="Times New Roman" w:cs="Times New Roman"/>
      <w:szCs w:val="20"/>
      <w:lang w:val="es-ES_tradnl" w:eastAsia="es-ES"/>
    </w:rPr>
  </w:style>
  <w:style w:type="paragraph" w:styleId="Sangradetextonormal">
    <w:name w:val="Body Text Indent"/>
    <w:basedOn w:val="Normal"/>
    <w:link w:val="SangradetextonormalCar"/>
    <w:rsid w:val="00AD114D"/>
    <w:pPr>
      <w:ind w:firstLine="708"/>
    </w:pPr>
    <w:rPr>
      <w:rFonts w:ascii="Times New Roman" w:hAnsi="Times New Roman"/>
      <w:sz w:val="20"/>
    </w:rPr>
  </w:style>
  <w:style w:type="character" w:customStyle="1" w:styleId="SangradetextonormalCar">
    <w:name w:val="Sangría de texto normal Car"/>
    <w:link w:val="Sangradetextonormal"/>
    <w:rsid w:val="00AD114D"/>
    <w:rPr>
      <w:rFonts w:ascii="Times New Roman" w:eastAsia="Times New Roman" w:hAnsi="Times New Roman" w:cs="Times New Roman"/>
      <w:sz w:val="20"/>
      <w:szCs w:val="20"/>
      <w:lang w:val="es-AR" w:eastAsia="es-ES"/>
    </w:rPr>
  </w:style>
  <w:style w:type="character" w:styleId="Hipervnculo">
    <w:name w:val="Hyperlink"/>
    <w:uiPriority w:val="99"/>
    <w:unhideWhenUsed/>
    <w:rsid w:val="00AD114D"/>
    <w:rPr>
      <w:color w:val="0000FF"/>
      <w:u w:val="single"/>
    </w:rPr>
  </w:style>
  <w:style w:type="paragraph" w:styleId="Textoindependiente3">
    <w:name w:val="Body Text 3"/>
    <w:basedOn w:val="Normal"/>
    <w:link w:val="Textoindependiente3Car"/>
    <w:uiPriority w:val="99"/>
    <w:unhideWhenUsed/>
    <w:rsid w:val="004B2813"/>
    <w:pPr>
      <w:spacing w:after="120"/>
    </w:pPr>
    <w:rPr>
      <w:sz w:val="16"/>
      <w:szCs w:val="16"/>
    </w:rPr>
  </w:style>
  <w:style w:type="character" w:customStyle="1" w:styleId="Textoindependiente3Car">
    <w:name w:val="Texto independiente 3 Car"/>
    <w:link w:val="Textoindependiente3"/>
    <w:uiPriority w:val="99"/>
    <w:rsid w:val="004B2813"/>
    <w:rPr>
      <w:rFonts w:ascii="Arial" w:eastAsia="Times New Roman" w:hAnsi="Arial"/>
      <w:sz w:val="16"/>
      <w:szCs w:val="16"/>
      <w:lang w:val="es-AR"/>
    </w:rPr>
  </w:style>
  <w:style w:type="paragraph" w:styleId="Textoindependiente">
    <w:name w:val="Body Text"/>
    <w:basedOn w:val="Normal"/>
    <w:link w:val="TextoindependienteCar"/>
    <w:uiPriority w:val="99"/>
    <w:unhideWhenUsed/>
    <w:rsid w:val="006F1DF5"/>
    <w:pPr>
      <w:spacing w:after="120"/>
    </w:pPr>
  </w:style>
  <w:style w:type="character" w:customStyle="1" w:styleId="TextoindependienteCar">
    <w:name w:val="Texto independiente Car"/>
    <w:link w:val="Textoindependiente"/>
    <w:uiPriority w:val="99"/>
    <w:rsid w:val="006F1DF5"/>
    <w:rPr>
      <w:rFonts w:ascii="Arial" w:eastAsia="Times New Roman" w:hAnsi="Arial"/>
      <w:sz w:val="24"/>
      <w:lang w:val="es-AR"/>
    </w:rPr>
  </w:style>
  <w:style w:type="paragraph" w:customStyle="1" w:styleId="BodyText21">
    <w:name w:val="Body Text 21"/>
    <w:basedOn w:val="Normal"/>
    <w:rsid w:val="00B973B8"/>
    <w:pPr>
      <w:widowControl w:val="0"/>
    </w:pPr>
    <w:rPr>
      <w:rFonts w:ascii="Times New Roman" w:hAnsi="Times New Roman"/>
      <w:b/>
      <w:sz w:val="22"/>
    </w:rPr>
  </w:style>
  <w:style w:type="paragraph" w:styleId="Textodeglobo">
    <w:name w:val="Balloon Text"/>
    <w:basedOn w:val="Normal"/>
    <w:link w:val="TextodegloboCar"/>
    <w:semiHidden/>
    <w:unhideWhenUsed/>
    <w:rsid w:val="00F267E0"/>
    <w:rPr>
      <w:rFonts w:ascii="Tahoma" w:hAnsi="Tahoma"/>
      <w:sz w:val="16"/>
      <w:szCs w:val="16"/>
    </w:rPr>
  </w:style>
  <w:style w:type="character" w:customStyle="1" w:styleId="TextodegloboCar">
    <w:name w:val="Texto de globo Car"/>
    <w:link w:val="Textodeglobo"/>
    <w:semiHidden/>
    <w:rsid w:val="00F267E0"/>
    <w:rPr>
      <w:rFonts w:ascii="Tahoma" w:eastAsia="Times New Roman" w:hAnsi="Tahoma" w:cs="Tahoma"/>
      <w:sz w:val="16"/>
      <w:szCs w:val="16"/>
      <w:lang w:val="es-AR"/>
    </w:rPr>
  </w:style>
  <w:style w:type="paragraph" w:customStyle="1" w:styleId="Default">
    <w:name w:val="Default"/>
    <w:rsid w:val="00464DA1"/>
    <w:pPr>
      <w:autoSpaceDE w:val="0"/>
      <w:autoSpaceDN w:val="0"/>
      <w:adjustRightInd w:val="0"/>
    </w:pPr>
    <w:rPr>
      <w:rFonts w:ascii="Times New Roman" w:eastAsia="Times New Roman" w:hAnsi="Times New Roman"/>
      <w:color w:val="000000"/>
      <w:sz w:val="24"/>
      <w:szCs w:val="24"/>
      <w:lang w:val="es-AR" w:eastAsia="es-AR"/>
    </w:rPr>
  </w:style>
  <w:style w:type="paragraph" w:customStyle="1" w:styleId="notaalpie">
    <w:name w:val="nota al pie"/>
    <w:basedOn w:val="Normal"/>
    <w:rsid w:val="00464DA1"/>
    <w:rPr>
      <w:sz w:val="20"/>
      <w:lang w:val="es-ES_tradnl"/>
    </w:rPr>
  </w:style>
  <w:style w:type="paragraph" w:customStyle="1" w:styleId="Textoindependiente22">
    <w:name w:val="Texto independiente 22"/>
    <w:basedOn w:val="Normal"/>
    <w:rsid w:val="00E41D99"/>
    <w:pPr>
      <w:widowControl w:val="0"/>
      <w:suppressAutoHyphens/>
      <w:jc w:val="center"/>
    </w:pPr>
    <w:rPr>
      <w:rFonts w:ascii="Verdana" w:eastAsia="Lucida Sans Unicode" w:hAnsi="Verdana"/>
      <w:kern w:val="1"/>
      <w:sz w:val="18"/>
      <w:szCs w:val="24"/>
      <w:lang w:val="es-ES"/>
    </w:rPr>
  </w:style>
  <w:style w:type="character" w:customStyle="1" w:styleId="contactcontent1">
    <w:name w:val="contact_content1"/>
    <w:rsid w:val="00E41D99"/>
    <w:rPr>
      <w:rFonts w:ascii="Verdana" w:hAnsi="Verdana" w:hint="default"/>
      <w:vanish w:val="0"/>
      <w:webHidden w:val="0"/>
      <w:color w:val="576442"/>
      <w:sz w:val="18"/>
      <w:szCs w:val="18"/>
    </w:rPr>
  </w:style>
  <w:style w:type="character" w:styleId="Refdecomentario">
    <w:name w:val="annotation reference"/>
    <w:uiPriority w:val="99"/>
    <w:semiHidden/>
    <w:unhideWhenUsed/>
    <w:rsid w:val="00770F68"/>
    <w:rPr>
      <w:sz w:val="16"/>
      <w:szCs w:val="16"/>
    </w:rPr>
  </w:style>
  <w:style w:type="paragraph" w:styleId="Textocomentario">
    <w:name w:val="annotation text"/>
    <w:basedOn w:val="Normal"/>
    <w:link w:val="TextocomentarioCar"/>
    <w:uiPriority w:val="99"/>
    <w:semiHidden/>
    <w:unhideWhenUsed/>
    <w:rsid w:val="00770F68"/>
    <w:rPr>
      <w:sz w:val="20"/>
    </w:rPr>
  </w:style>
  <w:style w:type="character" w:customStyle="1" w:styleId="TextocomentarioCar">
    <w:name w:val="Texto comentario Car"/>
    <w:link w:val="Textocomentario"/>
    <w:uiPriority w:val="99"/>
    <w:semiHidden/>
    <w:rsid w:val="00770F68"/>
    <w:rPr>
      <w:rFonts w:ascii="Arial" w:eastAsia="Times New Roman" w:hAnsi="Arial"/>
      <w:lang w:eastAsia="es-ES"/>
    </w:rPr>
  </w:style>
  <w:style w:type="paragraph" w:styleId="Asuntodelcomentario">
    <w:name w:val="annotation subject"/>
    <w:basedOn w:val="Textocomentario"/>
    <w:next w:val="Textocomentario"/>
    <w:link w:val="AsuntodelcomentarioCar"/>
    <w:uiPriority w:val="99"/>
    <w:semiHidden/>
    <w:unhideWhenUsed/>
    <w:rsid w:val="00770F68"/>
    <w:rPr>
      <w:b/>
      <w:bCs/>
    </w:rPr>
  </w:style>
  <w:style w:type="character" w:customStyle="1" w:styleId="AsuntodelcomentarioCar">
    <w:name w:val="Asunto del comentario Car"/>
    <w:link w:val="Asuntodelcomentario"/>
    <w:uiPriority w:val="99"/>
    <w:semiHidden/>
    <w:rsid w:val="00770F68"/>
    <w:rPr>
      <w:rFonts w:ascii="Arial" w:eastAsia="Times New Roman" w:hAnsi="Arial"/>
      <w:b/>
      <w:bCs/>
      <w:lang w:eastAsia="es-ES"/>
    </w:rPr>
  </w:style>
  <w:style w:type="paragraph" w:styleId="Piedepgina">
    <w:name w:val="footer"/>
    <w:basedOn w:val="Normal"/>
    <w:link w:val="PiedepginaCar"/>
    <w:semiHidden/>
    <w:rsid w:val="0060250D"/>
    <w:pPr>
      <w:tabs>
        <w:tab w:val="center" w:pos="4419"/>
        <w:tab w:val="right" w:pos="8838"/>
      </w:tabs>
      <w:jc w:val="left"/>
    </w:pPr>
    <w:rPr>
      <w:rFonts w:ascii="Times New Roman" w:hAnsi="Times New Roman"/>
      <w:szCs w:val="24"/>
      <w:lang w:val="es-ES"/>
    </w:rPr>
  </w:style>
  <w:style w:type="character" w:customStyle="1" w:styleId="PiedepginaCar">
    <w:name w:val="Pie de página Car"/>
    <w:link w:val="Piedepgina"/>
    <w:semiHidden/>
    <w:rsid w:val="0060250D"/>
    <w:rPr>
      <w:rFonts w:ascii="Times New Roman" w:eastAsia="Times New Roman" w:hAnsi="Times New Roman"/>
      <w:sz w:val="24"/>
      <w:szCs w:val="24"/>
      <w:lang w:val="es-ES" w:eastAsia="es-ES"/>
    </w:rPr>
  </w:style>
  <w:style w:type="paragraph" w:styleId="Prrafodelista">
    <w:name w:val="List Paragraph"/>
    <w:basedOn w:val="Normal"/>
    <w:uiPriority w:val="34"/>
    <w:qFormat/>
    <w:rsid w:val="0060250D"/>
    <w:pPr>
      <w:spacing w:after="200" w:line="276" w:lineRule="auto"/>
      <w:ind w:left="720"/>
      <w:jc w:val="left"/>
    </w:pPr>
    <w:rPr>
      <w:rFonts w:ascii="Calibri" w:eastAsia="Calibri" w:hAnsi="Calibri"/>
      <w:sz w:val="22"/>
      <w:szCs w:val="22"/>
      <w:lang w:val="es-ES" w:eastAsia="en-US"/>
    </w:rPr>
  </w:style>
  <w:style w:type="paragraph" w:styleId="Textosinformato">
    <w:name w:val="Plain Text"/>
    <w:basedOn w:val="Normal"/>
    <w:link w:val="TextosinformatoCar1"/>
    <w:uiPriority w:val="99"/>
    <w:unhideWhenUsed/>
    <w:rsid w:val="0060250D"/>
    <w:pPr>
      <w:jc w:val="left"/>
    </w:pPr>
    <w:rPr>
      <w:rFonts w:ascii="Consolas" w:eastAsia="Calibri" w:hAnsi="Consolas"/>
      <w:sz w:val="21"/>
      <w:szCs w:val="21"/>
      <w:lang w:val="es-ES" w:eastAsia="en-US"/>
    </w:rPr>
  </w:style>
  <w:style w:type="character" w:customStyle="1" w:styleId="TextosinformatoCar">
    <w:name w:val="Texto sin formato Car"/>
    <w:uiPriority w:val="99"/>
    <w:semiHidden/>
    <w:rsid w:val="0060250D"/>
    <w:rPr>
      <w:rFonts w:ascii="Courier New" w:eastAsia="Times New Roman" w:hAnsi="Courier New" w:cs="Courier New"/>
      <w:lang w:eastAsia="es-ES"/>
    </w:rPr>
  </w:style>
  <w:style w:type="character" w:customStyle="1" w:styleId="TextosinformatoCar1">
    <w:name w:val="Texto sin formato Car1"/>
    <w:link w:val="Textosinformato"/>
    <w:uiPriority w:val="99"/>
    <w:locked/>
    <w:rsid w:val="0060250D"/>
    <w:rPr>
      <w:rFonts w:ascii="Consolas" w:hAnsi="Consolas"/>
      <w:sz w:val="21"/>
      <w:szCs w:val="21"/>
      <w:lang w:val="es-ES" w:eastAsia="en-US"/>
    </w:rPr>
  </w:style>
  <w:style w:type="character" w:customStyle="1" w:styleId="a1">
    <w:name w:val="a1"/>
    <w:uiPriority w:val="99"/>
    <w:rsid w:val="0060250D"/>
    <w:rPr>
      <w:rFonts w:ascii="Courier" w:hAnsi="Courier" w:cs="Courier"/>
      <w:spacing w:val="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nv.gov.a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7215F2EF00494BB4BAB0357830A70D" ma:contentTypeVersion="8" ma:contentTypeDescription="Crear nuevo documento." ma:contentTypeScope="" ma:versionID="3b6cafb02d9835def4ebef63052b0310">
  <xsd:schema xmlns:xsd="http://www.w3.org/2001/XMLSchema" xmlns:xs="http://www.w3.org/2001/XMLSchema" xmlns:p="http://schemas.microsoft.com/office/2006/metadata/properties" xmlns:ns3="3b5cc8e3-01b0-4f40-982c-32c4a3d4e1bc" targetNamespace="http://schemas.microsoft.com/office/2006/metadata/properties" ma:root="true" ma:fieldsID="21f72c4921cc479ccc8ad77f5bed708d" ns3:_="">
    <xsd:import namespace="3b5cc8e3-01b0-4f40-982c-32c4a3d4e1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cc8e3-01b0-4f40-982c-32c4a3d4e1b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4ACB2F4-C259-45B7-A3DD-0B8F14A94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cc8e3-01b0-4f40-982c-32c4a3d4e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BA13E1-BEED-4610-B64C-97A7B6F4794C}">
  <ds:schemaRefs>
    <ds:schemaRef ds:uri="http://schemas.microsoft.com/sharepoint/v3/contenttype/forms"/>
  </ds:schemaRefs>
</ds:datastoreItem>
</file>

<file path=customXml/itemProps3.xml><?xml version="1.0" encoding="utf-8"?>
<ds:datastoreItem xmlns:ds="http://schemas.openxmlformats.org/officeDocument/2006/customXml" ds:itemID="{48052161-D013-49A1-B8D3-AE3E3985619F}">
  <ds:schemaRefs>
    <ds:schemaRef ds:uri="http://schemas.openxmlformats.org/officeDocument/2006/bibliography"/>
  </ds:schemaRefs>
</ds:datastoreItem>
</file>

<file path=customXml/itemProps4.xml><?xml version="1.0" encoding="utf-8"?>
<ds:datastoreItem xmlns:ds="http://schemas.openxmlformats.org/officeDocument/2006/customXml" ds:itemID="{2C596203-B112-484C-8725-10025C98AFE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3921</Words>
  <Characters>21566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25437</CharactersWithSpaces>
  <SharedDoc>false</SharedDoc>
  <HLinks>
    <vt:vector size="6" baseType="variant">
      <vt:variant>
        <vt:i4>6357027</vt:i4>
      </vt:variant>
      <vt:variant>
        <vt:i4>0</vt:i4>
      </vt:variant>
      <vt:variant>
        <vt:i4>0</vt:i4>
      </vt:variant>
      <vt:variant>
        <vt:i4>5</vt:i4>
      </vt:variant>
      <vt:variant>
        <vt:lpwstr>http://www.cnv.gov.ar/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Ferreiro</dc:creator>
  <cp:lastModifiedBy>nataliag</cp:lastModifiedBy>
  <cp:revision>2</cp:revision>
  <cp:lastPrinted>2016-11-11T19:05:00Z</cp:lastPrinted>
  <dcterms:created xsi:type="dcterms:W3CDTF">2020-05-28T19:16:00Z</dcterms:created>
  <dcterms:modified xsi:type="dcterms:W3CDTF">2020-05-28T19:16:00Z</dcterms:modified>
  <cp:contentType>Documento</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0x010100FD7215F2EF00494BB4BAB0357830A70D</vt:lpwstr>
  </property>
</Properties>
</file>