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548" w:rsidRDefault="00526E44">
      <w:r>
        <w:rPr>
          <w:noProof/>
          <w:lang w:eastAsia="es-AR"/>
        </w:rPr>
        <w:drawing>
          <wp:inline distT="0" distB="0" distL="0" distR="0" wp14:anchorId="72F3C35E" wp14:editId="2ABF136A">
            <wp:extent cx="1628775" cy="1123950"/>
            <wp:effectExtent l="0" t="0" r="9525" b="0"/>
            <wp:docPr id="2" name="1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/>
                  </pic:nvPicPr>
                  <pic:blipFill rotWithShape="1">
                    <a:blip r:embed="rId4"/>
                    <a:srcRect l="3761" t="51407" r="77116" b="33965"/>
                    <a:stretch/>
                  </pic:blipFill>
                  <pic:spPr bwMode="auto">
                    <a:xfrm>
                      <a:off x="0" y="0"/>
                      <a:ext cx="1628775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E44" w:rsidRDefault="00526E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06 de octubre de 2021</w:t>
      </w:r>
    </w:p>
    <w:p w:rsidR="00526E44" w:rsidRDefault="00526E44"/>
    <w:p w:rsidR="00526E44" w:rsidRDefault="00526E44">
      <w:r>
        <w:t>De nuestra mayor consideración, respondemos mail enviado por CNV:</w:t>
      </w:r>
    </w:p>
    <w:p w:rsidR="00526E44" w:rsidRDefault="00526E44" w:rsidP="00526E44">
      <w:pPr>
        <w:jc w:val="both"/>
      </w:pPr>
    </w:p>
    <w:p w:rsidR="00526E44" w:rsidRDefault="00526E44" w:rsidP="00526E44">
      <w:pPr>
        <w:jc w:val="both"/>
      </w:pPr>
      <w:r w:rsidRPr="00526E44">
        <w:t>i) La sociedad se encuentra impedida de dar cumplimiento a los plazos para presentación de los estados contables anuales establecidos en las normas CNV, debido a la implementación de un nuevo sistema de ERP: SAP Business. ii) El plazo estimado de presentación es de 30 días desde la fecha. iii) La sociedad se encuentra l</w:t>
      </w:r>
      <w:r>
        <w:t xml:space="preserve">istada en el Mercado Argentino </w:t>
      </w:r>
      <w:r w:rsidRPr="00526E44">
        <w:t>de Valores SA.  iv) Tenemos valores negociables en circulación: un saldo de ON Serie I de $1.200.000. El día 07/10 se licita SERIE II por $10.000.000 avalados por ACINDAR PYMES SGR</w:t>
      </w:r>
      <w:bookmarkStart w:id="0" w:name="_GoBack"/>
      <w:bookmarkEnd w:id="0"/>
    </w:p>
    <w:sectPr w:rsidR="00526E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44"/>
    <w:rsid w:val="00526E44"/>
    <w:rsid w:val="00BD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E4D866"/>
  <w15:chartTrackingRefBased/>
  <w15:docId w15:val="{631695A6-2121-48DF-B637-D2A4306C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Oliva.</dc:creator>
  <cp:keywords/>
  <dc:description/>
  <cp:lastModifiedBy>Celeste Oliva.</cp:lastModifiedBy>
  <cp:revision>1</cp:revision>
  <dcterms:created xsi:type="dcterms:W3CDTF">2021-10-06T20:49:00Z</dcterms:created>
  <dcterms:modified xsi:type="dcterms:W3CDTF">2021-10-06T20:52:00Z</dcterms:modified>
</cp:coreProperties>
</file>