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70E8F" w14:textId="77777777" w:rsidR="00250520" w:rsidRDefault="00250520" w:rsidP="00250520">
      <w:pPr>
        <w:pStyle w:val="Ttulo"/>
        <w:jc w:val="left"/>
        <w:rPr>
          <w:b w:val="0"/>
          <w:sz w:val="16"/>
          <w:szCs w:val="16"/>
          <w:highlight w:val="yellow"/>
        </w:rPr>
      </w:pPr>
      <w:bookmarkStart w:id="0" w:name="_GoBack"/>
      <w:bookmarkEnd w:id="0"/>
    </w:p>
    <w:p w14:paraId="05F65FD1" w14:textId="77777777" w:rsidR="00250520" w:rsidRPr="00752897" w:rsidRDefault="00250520" w:rsidP="00CB72F7">
      <w:pPr>
        <w:ind w:left="-851"/>
        <w:jc w:val="center"/>
        <w:rPr>
          <w:b/>
          <w:sz w:val="16"/>
          <w:szCs w:val="16"/>
          <w:u w:val="single"/>
        </w:rPr>
      </w:pPr>
      <w:r w:rsidRPr="00752897">
        <w:rPr>
          <w:b/>
          <w:sz w:val="16"/>
          <w:szCs w:val="16"/>
          <w:u w:val="single"/>
        </w:rPr>
        <w:t>CÓDIGO DE GOBIERNO SOCIETARIO</w:t>
      </w:r>
    </w:p>
    <w:p w14:paraId="57C67C90" w14:textId="77777777" w:rsidR="00250520" w:rsidRPr="00752897" w:rsidRDefault="00250520" w:rsidP="00CB72F7">
      <w:pPr>
        <w:ind w:left="-851"/>
        <w:jc w:val="center"/>
        <w:rPr>
          <w:b/>
          <w:sz w:val="16"/>
          <w:szCs w:val="16"/>
          <w:u w:val="single"/>
        </w:rPr>
      </w:pPr>
      <w:r w:rsidRPr="00752897">
        <w:rPr>
          <w:b/>
          <w:sz w:val="16"/>
          <w:szCs w:val="16"/>
          <w:u w:val="single"/>
        </w:rPr>
        <w:t>ANEXO IV DEL TÍTULO IV—REGIMEN INFORMATIVO PERIODICO— DE LAS NORMAS CNV (N.T. 2013)</w:t>
      </w:r>
    </w:p>
    <w:p w14:paraId="74A57D85" w14:textId="178F8763" w:rsidR="00250520" w:rsidRPr="00752897" w:rsidRDefault="00250520" w:rsidP="00CB72F7">
      <w:pPr>
        <w:jc w:val="center"/>
        <w:rPr>
          <w:b/>
          <w:sz w:val="16"/>
          <w:szCs w:val="16"/>
          <w:u w:val="single"/>
          <w:lang w:val="es-ES_tradnl"/>
        </w:rPr>
      </w:pPr>
      <w:r w:rsidRPr="00752897">
        <w:rPr>
          <w:b/>
          <w:sz w:val="16"/>
          <w:szCs w:val="16"/>
          <w:u w:val="single"/>
          <w:lang w:val="es-ES_tradnl"/>
        </w:rPr>
        <w:t>INFORME DEL EJERCICIO CERRADO EL 31.12.201</w:t>
      </w:r>
      <w:r w:rsidR="00F60B06">
        <w:rPr>
          <w:b/>
          <w:sz w:val="16"/>
          <w:szCs w:val="16"/>
          <w:u w:val="single"/>
          <w:lang w:val="es-ES_tradnl"/>
        </w:rPr>
        <w:t>8</w:t>
      </w:r>
      <w:r w:rsidRPr="00752897">
        <w:rPr>
          <w:b/>
          <w:sz w:val="16"/>
          <w:szCs w:val="16"/>
          <w:u w:val="single"/>
          <w:lang w:val="es-ES_tradnl"/>
        </w:rPr>
        <w:t xml:space="preserve"> SOBRE EL GRADO DE CUMPLIMIENTO DEL CÓDIGO DE GOBIERNO SOCIETARIO</w:t>
      </w:r>
    </w:p>
    <w:p w14:paraId="0BCD5606" w14:textId="77777777" w:rsidR="00250520" w:rsidRPr="00752897" w:rsidRDefault="00250520" w:rsidP="00CB72F7">
      <w:pPr>
        <w:ind w:left="-851"/>
        <w:jc w:val="center"/>
        <w:rPr>
          <w:b/>
          <w:sz w:val="16"/>
          <w:szCs w:val="16"/>
          <w:lang w:val="es-ES_tradnl"/>
        </w:rPr>
      </w:pPr>
    </w:p>
    <w:p w14:paraId="5F69DDA6" w14:textId="0EE974AC" w:rsidR="00250520" w:rsidRPr="00752897" w:rsidRDefault="00250520" w:rsidP="00250520">
      <w:pPr>
        <w:ind w:left="-851" w:firstLine="709"/>
        <w:jc w:val="center"/>
        <w:rPr>
          <w:sz w:val="16"/>
          <w:szCs w:val="16"/>
        </w:rPr>
      </w:pPr>
      <w:r w:rsidRPr="00752897">
        <w:rPr>
          <w:sz w:val="16"/>
          <w:szCs w:val="16"/>
        </w:rPr>
        <w:t xml:space="preserve">El presente informe ha sido aprobado por el Directorio de Petroquímica Comodoro Rivadavia S.A. (en adelante en forma indistinta la “Sociedad” o “PCR”) </w:t>
      </w:r>
      <w:r w:rsidRPr="007C4596">
        <w:rPr>
          <w:sz w:val="16"/>
        </w:rPr>
        <w:t xml:space="preserve">por </w:t>
      </w:r>
      <w:r w:rsidRPr="00F60B06">
        <w:rPr>
          <w:sz w:val="16"/>
        </w:rPr>
        <w:t>acta N°</w:t>
      </w:r>
      <w:r w:rsidR="00F60B06" w:rsidRPr="00F60B06">
        <w:rPr>
          <w:sz w:val="16"/>
          <w:szCs w:val="16"/>
        </w:rPr>
        <w:t>1469</w:t>
      </w:r>
      <w:r w:rsidRPr="00F60B06">
        <w:rPr>
          <w:sz w:val="16"/>
          <w:szCs w:val="16"/>
        </w:rPr>
        <w:t xml:space="preserve"> del </w:t>
      </w:r>
      <w:r w:rsidR="00F60B06" w:rsidRPr="00F60B06">
        <w:rPr>
          <w:sz w:val="16"/>
          <w:szCs w:val="16"/>
        </w:rPr>
        <w:t>1</w:t>
      </w:r>
      <w:r w:rsidR="007113F7">
        <w:rPr>
          <w:sz w:val="16"/>
          <w:szCs w:val="16"/>
        </w:rPr>
        <w:t>8</w:t>
      </w:r>
      <w:r w:rsidRPr="00F60B06">
        <w:rPr>
          <w:sz w:val="16"/>
          <w:szCs w:val="16"/>
        </w:rPr>
        <w:t xml:space="preserve"> de </w:t>
      </w:r>
      <w:r w:rsidRPr="00F60B06">
        <w:rPr>
          <w:sz w:val="16"/>
        </w:rPr>
        <w:t xml:space="preserve">marzo de </w:t>
      </w:r>
      <w:r w:rsidRPr="00F60B06">
        <w:rPr>
          <w:sz w:val="16"/>
          <w:szCs w:val="16"/>
        </w:rPr>
        <w:t>201</w:t>
      </w:r>
      <w:r w:rsidR="003C276D" w:rsidRPr="00F60B06">
        <w:rPr>
          <w:sz w:val="16"/>
          <w:szCs w:val="16"/>
        </w:rPr>
        <w:t>9</w:t>
      </w:r>
      <w:r w:rsidRPr="00752897">
        <w:rPr>
          <w:sz w:val="16"/>
          <w:szCs w:val="16"/>
        </w:rPr>
        <w:t xml:space="preserve"> </w:t>
      </w:r>
    </w:p>
    <w:p w14:paraId="7B690F5B" w14:textId="77777777" w:rsidR="00250520" w:rsidRPr="00752897" w:rsidRDefault="00250520" w:rsidP="00250520">
      <w:pPr>
        <w:ind w:left="-142"/>
        <w:jc w:val="center"/>
        <w:rPr>
          <w:sz w:val="16"/>
          <w:szCs w:val="16"/>
        </w:rPr>
      </w:pPr>
      <w:r w:rsidRPr="00752897">
        <w:rPr>
          <w:sz w:val="16"/>
          <w:szCs w:val="16"/>
        </w:rPr>
        <w:t>en cumplimiento con el inciso a.1) del artículo 1° de la Sección I, Capítulo I del Título IV “Régimen Informativo Periódico” de las Normas de la Comisión Nacional de Valores (N.T. 2013).</w:t>
      </w:r>
    </w:p>
    <w:p w14:paraId="087EFF09" w14:textId="77777777" w:rsidR="00250520" w:rsidRPr="00752897" w:rsidRDefault="00250520" w:rsidP="00250520">
      <w:pPr>
        <w:rPr>
          <w:sz w:val="16"/>
          <w:szCs w:val="16"/>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851"/>
        <w:gridCol w:w="5244"/>
      </w:tblGrid>
      <w:tr w:rsidR="00250520" w:rsidRPr="00752897" w14:paraId="0EB29768" w14:textId="77777777" w:rsidTr="00585F51">
        <w:trPr>
          <w:trHeight w:val="480"/>
        </w:trPr>
        <w:tc>
          <w:tcPr>
            <w:tcW w:w="3686" w:type="dxa"/>
            <w:hideMark/>
          </w:tcPr>
          <w:p w14:paraId="0B0AC22E" w14:textId="77777777" w:rsidR="00250520" w:rsidRPr="00752897" w:rsidRDefault="00250520" w:rsidP="00585F51">
            <w:pPr>
              <w:spacing w:line="276" w:lineRule="auto"/>
              <w:jc w:val="center"/>
              <w:rPr>
                <w:b/>
                <w:sz w:val="16"/>
                <w:szCs w:val="16"/>
              </w:rPr>
            </w:pPr>
            <w:r w:rsidRPr="00752897">
              <w:rPr>
                <w:b/>
                <w:sz w:val="16"/>
                <w:szCs w:val="16"/>
              </w:rPr>
              <w:t>Principios y recomendaciones</w:t>
            </w:r>
          </w:p>
        </w:tc>
        <w:tc>
          <w:tcPr>
            <w:tcW w:w="851" w:type="dxa"/>
            <w:hideMark/>
          </w:tcPr>
          <w:p w14:paraId="36C8243F" w14:textId="77777777" w:rsidR="00250520" w:rsidRPr="00752897" w:rsidRDefault="00250520" w:rsidP="00585F51">
            <w:pPr>
              <w:jc w:val="center"/>
              <w:rPr>
                <w:b/>
                <w:sz w:val="16"/>
                <w:szCs w:val="16"/>
              </w:rPr>
            </w:pPr>
            <w:r w:rsidRPr="00752897">
              <w:rPr>
                <w:b/>
                <w:sz w:val="16"/>
                <w:szCs w:val="16"/>
              </w:rPr>
              <w:t>Cumple</w:t>
            </w:r>
          </w:p>
          <w:p w14:paraId="37234DF1" w14:textId="77777777" w:rsidR="00250520" w:rsidRPr="00752897" w:rsidRDefault="00250520" w:rsidP="00585F51">
            <w:pPr>
              <w:jc w:val="center"/>
              <w:rPr>
                <w:b/>
                <w:sz w:val="16"/>
                <w:szCs w:val="16"/>
              </w:rPr>
            </w:pPr>
            <w:r w:rsidRPr="00752897">
              <w:rPr>
                <w:b/>
                <w:sz w:val="16"/>
                <w:szCs w:val="16"/>
              </w:rPr>
              <w:t>T / P / I</w:t>
            </w:r>
            <w:r w:rsidRPr="00752897">
              <w:rPr>
                <w:rStyle w:val="Refdenotaalpie"/>
                <w:b/>
                <w:sz w:val="16"/>
                <w:szCs w:val="16"/>
              </w:rPr>
              <w:footnoteReference w:id="2"/>
            </w:r>
          </w:p>
        </w:tc>
        <w:tc>
          <w:tcPr>
            <w:tcW w:w="5244" w:type="dxa"/>
            <w:hideMark/>
          </w:tcPr>
          <w:p w14:paraId="6071F436" w14:textId="77777777" w:rsidR="00250520" w:rsidRPr="00752897" w:rsidRDefault="00250520" w:rsidP="00585F51">
            <w:pPr>
              <w:spacing w:line="276" w:lineRule="auto"/>
              <w:jc w:val="center"/>
              <w:rPr>
                <w:b/>
                <w:sz w:val="16"/>
                <w:szCs w:val="16"/>
              </w:rPr>
            </w:pPr>
            <w:r w:rsidRPr="00752897">
              <w:rPr>
                <w:b/>
                <w:sz w:val="16"/>
                <w:szCs w:val="16"/>
              </w:rPr>
              <w:t>Observación</w:t>
            </w:r>
          </w:p>
        </w:tc>
      </w:tr>
      <w:tr w:rsidR="00250520" w:rsidRPr="00752897" w14:paraId="36D507E5" w14:textId="77777777" w:rsidTr="00585F51">
        <w:trPr>
          <w:trHeight w:val="332"/>
        </w:trPr>
        <w:tc>
          <w:tcPr>
            <w:tcW w:w="9781" w:type="dxa"/>
            <w:gridSpan w:val="3"/>
            <w:hideMark/>
          </w:tcPr>
          <w:p w14:paraId="746737CF" w14:textId="77777777" w:rsidR="00250520" w:rsidRPr="00752897" w:rsidRDefault="00250520" w:rsidP="00585F51">
            <w:pPr>
              <w:rPr>
                <w:b/>
                <w:sz w:val="16"/>
                <w:szCs w:val="16"/>
              </w:rPr>
            </w:pPr>
            <w:r w:rsidRPr="00752897">
              <w:rPr>
                <w:b/>
                <w:sz w:val="16"/>
                <w:szCs w:val="16"/>
              </w:rPr>
              <w:t>PRINCIPIO I. TRANSPARENTAR LA RELACION ENTRE LA EMISORA, EL GRUPO ECONOMICO QUE ENCABEZA Y/O INTEGRA Y SUS PARTES RELACIONADAS</w:t>
            </w:r>
          </w:p>
        </w:tc>
      </w:tr>
      <w:tr w:rsidR="00250520" w:rsidRPr="00752897" w14:paraId="19E384E5" w14:textId="77777777" w:rsidTr="00585F51">
        <w:trPr>
          <w:trHeight w:val="973"/>
        </w:trPr>
        <w:tc>
          <w:tcPr>
            <w:tcW w:w="3686" w:type="dxa"/>
            <w:hideMark/>
          </w:tcPr>
          <w:p w14:paraId="259CB43C" w14:textId="77777777" w:rsidR="00652198" w:rsidRDefault="00250520">
            <w:pPr>
              <w:jc w:val="both"/>
              <w:rPr>
                <w:sz w:val="16"/>
                <w:szCs w:val="16"/>
              </w:rPr>
            </w:pPr>
            <w:r w:rsidRPr="00752897">
              <w:rPr>
                <w:sz w:val="16"/>
                <w:szCs w:val="16"/>
              </w:rPr>
              <w:t>Recomendación I.1: Garantizar la divulgación por parte del Órgano de Administración de políticas aplicables a la relación de la Emisora con el grupo económico que encabeza y/o integra y con sus partes relacionadas</w:t>
            </w:r>
          </w:p>
        </w:tc>
        <w:tc>
          <w:tcPr>
            <w:tcW w:w="851" w:type="dxa"/>
            <w:hideMark/>
          </w:tcPr>
          <w:p w14:paraId="07BB25B0" w14:textId="77777777" w:rsidR="00250520" w:rsidRPr="00752897" w:rsidRDefault="00250520" w:rsidP="00585F51">
            <w:pPr>
              <w:jc w:val="center"/>
              <w:rPr>
                <w:sz w:val="16"/>
                <w:szCs w:val="16"/>
              </w:rPr>
            </w:pPr>
            <w:r w:rsidRPr="00752897">
              <w:rPr>
                <w:sz w:val="16"/>
                <w:szCs w:val="16"/>
              </w:rPr>
              <w:t>T</w:t>
            </w:r>
          </w:p>
        </w:tc>
        <w:tc>
          <w:tcPr>
            <w:tcW w:w="5244" w:type="dxa"/>
            <w:hideMark/>
          </w:tcPr>
          <w:p w14:paraId="31A173C8" w14:textId="5DC42D91" w:rsidR="00652198" w:rsidRDefault="00250520">
            <w:pPr>
              <w:jc w:val="both"/>
              <w:rPr>
                <w:color w:val="FF0000"/>
                <w:sz w:val="16"/>
                <w:szCs w:val="16"/>
              </w:rPr>
            </w:pPr>
            <w:r w:rsidRPr="00752897">
              <w:rPr>
                <w:sz w:val="16"/>
                <w:szCs w:val="16"/>
              </w:rPr>
              <w:t xml:space="preserve">El Directorio ha aprobado, pese a no ser requerido regulatoriamente al no cotizar las acciones de PCR en ninguna bolsa o mercado, un Reglamento del funcionamiento del Comité de Auditoría. Dicho Reglamento, en su artículo 5, establece que las operaciones celebradas entre la PCR y una parte relacionada que involucren un monto que supere el 1 % del patrimonio neto de PCR, se deberán ajustar a lo establecido en el artículo 72 de la Ley de Mercado de Capitales N° 26.831 (artículo 73 de la Ley </w:t>
            </w:r>
            <w:proofErr w:type="spellStart"/>
            <w:r w:rsidRPr="00752897">
              <w:rPr>
                <w:sz w:val="16"/>
                <w:szCs w:val="16"/>
              </w:rPr>
              <w:t>N°</w:t>
            </w:r>
            <w:proofErr w:type="spellEnd"/>
            <w:r w:rsidRPr="00752897">
              <w:rPr>
                <w:sz w:val="16"/>
                <w:szCs w:val="16"/>
              </w:rPr>
              <w:t xml:space="preserve"> 17.811</w:t>
            </w:r>
            <w:r w:rsidR="00757848" w:rsidRPr="00752897">
              <w:rPr>
                <w:sz w:val="16"/>
                <w:szCs w:val="16"/>
              </w:rPr>
              <w:t>). El</w:t>
            </w:r>
            <w:r w:rsidRPr="00752897">
              <w:rPr>
                <w:sz w:val="16"/>
                <w:szCs w:val="16"/>
              </w:rPr>
              <w:t xml:space="preserve"> Comité de Auditoría deberá informar al </w:t>
            </w:r>
            <w:r w:rsidR="00757848" w:rsidRPr="00752897">
              <w:rPr>
                <w:sz w:val="16"/>
                <w:szCs w:val="16"/>
              </w:rPr>
              <w:t>Directorio respecto</w:t>
            </w:r>
            <w:r w:rsidRPr="00752897">
              <w:rPr>
                <w:sz w:val="16"/>
                <w:szCs w:val="16"/>
              </w:rPr>
              <w:t xml:space="preserve"> del cumplimiento de dichas operaciones con las condiciones normales y habituales del mercado.</w:t>
            </w:r>
          </w:p>
        </w:tc>
      </w:tr>
      <w:tr w:rsidR="00250520" w:rsidRPr="00752897" w14:paraId="0E7F5DE9" w14:textId="77777777" w:rsidTr="00585F51">
        <w:trPr>
          <w:trHeight w:val="533"/>
        </w:trPr>
        <w:tc>
          <w:tcPr>
            <w:tcW w:w="3686" w:type="dxa"/>
            <w:hideMark/>
          </w:tcPr>
          <w:p w14:paraId="486DF25F" w14:textId="77777777" w:rsidR="00652198" w:rsidRDefault="00250520">
            <w:pPr>
              <w:jc w:val="both"/>
              <w:rPr>
                <w:sz w:val="16"/>
                <w:szCs w:val="16"/>
              </w:rPr>
            </w:pPr>
            <w:r w:rsidRPr="00752897">
              <w:rPr>
                <w:sz w:val="16"/>
                <w:szCs w:val="16"/>
              </w:rPr>
              <w:t>Recomendación I.2: Asegurar la existencia de mecanismos preventivos de conflictos de interés.</w:t>
            </w:r>
          </w:p>
        </w:tc>
        <w:tc>
          <w:tcPr>
            <w:tcW w:w="851" w:type="dxa"/>
            <w:hideMark/>
          </w:tcPr>
          <w:p w14:paraId="3CF814A8" w14:textId="77777777" w:rsidR="00250520" w:rsidRPr="00752897" w:rsidRDefault="00250520" w:rsidP="00585F51">
            <w:pPr>
              <w:jc w:val="center"/>
              <w:rPr>
                <w:sz w:val="16"/>
                <w:szCs w:val="16"/>
              </w:rPr>
            </w:pPr>
            <w:r w:rsidRPr="00752897">
              <w:rPr>
                <w:sz w:val="16"/>
                <w:szCs w:val="16"/>
              </w:rPr>
              <w:t>T</w:t>
            </w:r>
          </w:p>
        </w:tc>
        <w:tc>
          <w:tcPr>
            <w:tcW w:w="5244" w:type="dxa"/>
            <w:hideMark/>
          </w:tcPr>
          <w:p w14:paraId="143D4B53" w14:textId="231ECDA4" w:rsidR="00652198" w:rsidRDefault="007C4596">
            <w:pPr>
              <w:jc w:val="both"/>
              <w:rPr>
                <w:sz w:val="16"/>
                <w:szCs w:val="16"/>
              </w:rPr>
            </w:pPr>
            <w:r w:rsidRPr="00752897">
              <w:rPr>
                <w:sz w:val="16"/>
                <w:szCs w:val="16"/>
              </w:rPr>
              <w:t>De acuerdo con</w:t>
            </w:r>
            <w:r w:rsidR="00250520" w:rsidRPr="00752897">
              <w:rPr>
                <w:sz w:val="16"/>
                <w:szCs w:val="16"/>
              </w:rPr>
              <w:t xml:space="preserve"> lo establecido en el artículo 5 del Reglamento del Comité de Auditoría de PCR, el Comité de Auditoría deberá proporcionar al mercado información completa respecto de las operaciones en las cuales exista conflicto de intereses con integrantes de los órganos sociales o accionistas controlantes. </w:t>
            </w:r>
            <w:r w:rsidR="00757848" w:rsidRPr="00752897">
              <w:rPr>
                <w:sz w:val="16"/>
                <w:szCs w:val="16"/>
              </w:rPr>
              <w:t>En caso de que</w:t>
            </w:r>
            <w:r w:rsidR="00250520" w:rsidRPr="00752897">
              <w:rPr>
                <w:sz w:val="16"/>
                <w:szCs w:val="16"/>
              </w:rPr>
              <w:t xml:space="preserve"> dicho supuesto se diera, debe emitir una opinión fundada y comunicarla toda vez que en PCR exista o pueda existir un supuesto conflicto de intereses. Dentro de los mecanismos usados para la identificación de potenciales conflictos, PCR cuenta con un procedimiento de revisión de contratos que involucra a las principales gerencias de la compañía.</w:t>
            </w:r>
          </w:p>
        </w:tc>
      </w:tr>
      <w:tr w:rsidR="00250520" w:rsidRPr="00752897" w14:paraId="520D9AE4" w14:textId="77777777" w:rsidTr="00585F51">
        <w:trPr>
          <w:trHeight w:val="541"/>
        </w:trPr>
        <w:tc>
          <w:tcPr>
            <w:tcW w:w="3686" w:type="dxa"/>
            <w:hideMark/>
          </w:tcPr>
          <w:p w14:paraId="4742744F" w14:textId="77777777" w:rsidR="00652198" w:rsidRDefault="00250520">
            <w:pPr>
              <w:jc w:val="both"/>
              <w:rPr>
                <w:sz w:val="16"/>
                <w:szCs w:val="16"/>
              </w:rPr>
            </w:pPr>
            <w:r w:rsidRPr="00752897">
              <w:rPr>
                <w:sz w:val="16"/>
                <w:szCs w:val="16"/>
              </w:rPr>
              <w:t>Recomendación I.3: Prevenir el uso indebido de información privilegiada.</w:t>
            </w:r>
          </w:p>
        </w:tc>
        <w:tc>
          <w:tcPr>
            <w:tcW w:w="851" w:type="dxa"/>
            <w:hideMark/>
          </w:tcPr>
          <w:p w14:paraId="5B74CB2C" w14:textId="77777777" w:rsidR="00250520" w:rsidRPr="00752897" w:rsidRDefault="00250520" w:rsidP="00585F51">
            <w:pPr>
              <w:jc w:val="center"/>
              <w:rPr>
                <w:sz w:val="16"/>
                <w:szCs w:val="16"/>
              </w:rPr>
            </w:pPr>
            <w:r w:rsidRPr="00752897">
              <w:rPr>
                <w:sz w:val="16"/>
                <w:szCs w:val="16"/>
              </w:rPr>
              <w:t>P</w:t>
            </w:r>
          </w:p>
        </w:tc>
        <w:tc>
          <w:tcPr>
            <w:tcW w:w="5244" w:type="dxa"/>
            <w:hideMark/>
          </w:tcPr>
          <w:p w14:paraId="2AA333F9" w14:textId="6FC3CA3E" w:rsidR="00652198" w:rsidRDefault="00757848">
            <w:pPr>
              <w:jc w:val="both"/>
              <w:rPr>
                <w:color w:val="FF0000"/>
                <w:sz w:val="16"/>
                <w:szCs w:val="16"/>
              </w:rPr>
            </w:pPr>
            <w:r w:rsidRPr="00752897">
              <w:rPr>
                <w:sz w:val="16"/>
                <w:szCs w:val="16"/>
              </w:rPr>
              <w:t>De acuerdo con</w:t>
            </w:r>
            <w:r w:rsidR="00250520" w:rsidRPr="00752897">
              <w:rPr>
                <w:sz w:val="16"/>
                <w:szCs w:val="16"/>
              </w:rPr>
              <w:t xml:space="preserve"> lo establecido en el Manual de Políticas y Procedimientos de Recursos Humanos, se fijan ciertos valores prioritarios para PCR, entre los cuales se establecen los de honestidad, ética, transparencia, seguridad, etc. y, cualquier violación a los mismos se considera una falta grave y, en consecuencia, sancionable. Dicha política solo alcanza a empleados de PCR. </w:t>
            </w:r>
          </w:p>
        </w:tc>
      </w:tr>
      <w:tr w:rsidR="00250520" w:rsidRPr="00752897" w14:paraId="55F0303D" w14:textId="77777777" w:rsidTr="00585F51">
        <w:trPr>
          <w:trHeight w:val="297"/>
        </w:trPr>
        <w:tc>
          <w:tcPr>
            <w:tcW w:w="9781" w:type="dxa"/>
            <w:gridSpan w:val="3"/>
            <w:hideMark/>
          </w:tcPr>
          <w:p w14:paraId="6EFC08F2" w14:textId="77777777" w:rsidR="00250520" w:rsidRPr="00752897" w:rsidRDefault="00250520" w:rsidP="00585F51">
            <w:pPr>
              <w:rPr>
                <w:b/>
                <w:sz w:val="16"/>
                <w:szCs w:val="16"/>
              </w:rPr>
            </w:pPr>
            <w:r w:rsidRPr="00752897">
              <w:rPr>
                <w:b/>
                <w:sz w:val="16"/>
                <w:szCs w:val="16"/>
              </w:rPr>
              <w:t>PRINCIPIO II. SENTAR LAS BASES PARA UNA SOLIDA ADMINISTRACION Y SUPERVISION DE LA EMISORA</w:t>
            </w:r>
          </w:p>
        </w:tc>
      </w:tr>
      <w:tr w:rsidR="00250520" w:rsidRPr="00752897" w14:paraId="5F45B74D" w14:textId="77777777" w:rsidTr="00585F51">
        <w:trPr>
          <w:trHeight w:val="529"/>
        </w:trPr>
        <w:tc>
          <w:tcPr>
            <w:tcW w:w="3686" w:type="dxa"/>
            <w:hideMark/>
          </w:tcPr>
          <w:p w14:paraId="7A77659B" w14:textId="77777777" w:rsidR="00652198" w:rsidRDefault="00250520">
            <w:pPr>
              <w:jc w:val="both"/>
              <w:rPr>
                <w:sz w:val="16"/>
                <w:szCs w:val="16"/>
              </w:rPr>
            </w:pPr>
            <w:r w:rsidRPr="00752897">
              <w:rPr>
                <w:sz w:val="16"/>
                <w:szCs w:val="16"/>
              </w:rPr>
              <w:t xml:space="preserve">Recomendación II.1: Garantizar que el Órgano de Administración asuma la administración y supervisión de la Emisora y su orientación estratégica. </w:t>
            </w:r>
          </w:p>
          <w:p w14:paraId="5181D628" w14:textId="77777777" w:rsidR="00652198" w:rsidRDefault="00652198">
            <w:pPr>
              <w:jc w:val="both"/>
              <w:rPr>
                <w:sz w:val="16"/>
                <w:szCs w:val="16"/>
              </w:rPr>
            </w:pPr>
          </w:p>
        </w:tc>
        <w:tc>
          <w:tcPr>
            <w:tcW w:w="851" w:type="dxa"/>
            <w:hideMark/>
          </w:tcPr>
          <w:p w14:paraId="7D019744" w14:textId="77777777" w:rsidR="00250520" w:rsidRPr="00752897" w:rsidRDefault="00250520" w:rsidP="00585F51">
            <w:pPr>
              <w:rPr>
                <w:rFonts w:eastAsia="Calibri"/>
                <w:sz w:val="16"/>
                <w:szCs w:val="16"/>
                <w:lang w:eastAsia="en-US"/>
              </w:rPr>
            </w:pPr>
          </w:p>
        </w:tc>
        <w:tc>
          <w:tcPr>
            <w:tcW w:w="5244" w:type="dxa"/>
            <w:hideMark/>
          </w:tcPr>
          <w:p w14:paraId="41150AA2" w14:textId="77777777" w:rsidR="00250520" w:rsidRPr="00752897" w:rsidRDefault="00250520" w:rsidP="00585F51">
            <w:pPr>
              <w:rPr>
                <w:rFonts w:eastAsia="Calibri"/>
                <w:sz w:val="16"/>
                <w:szCs w:val="16"/>
                <w:lang w:eastAsia="en-US"/>
              </w:rPr>
            </w:pPr>
          </w:p>
        </w:tc>
      </w:tr>
      <w:tr w:rsidR="00250520" w:rsidRPr="00752897" w14:paraId="50BD981D" w14:textId="77777777" w:rsidTr="00585F51">
        <w:trPr>
          <w:trHeight w:val="255"/>
        </w:trPr>
        <w:tc>
          <w:tcPr>
            <w:tcW w:w="3686" w:type="dxa"/>
            <w:hideMark/>
          </w:tcPr>
          <w:p w14:paraId="1095E5A2" w14:textId="77777777" w:rsidR="00652198" w:rsidRDefault="00250520">
            <w:pPr>
              <w:jc w:val="both"/>
              <w:rPr>
                <w:sz w:val="16"/>
                <w:szCs w:val="16"/>
              </w:rPr>
            </w:pPr>
            <w:r w:rsidRPr="00752897">
              <w:rPr>
                <w:sz w:val="16"/>
                <w:szCs w:val="16"/>
              </w:rPr>
              <w:t>II.1.1 el Órgano de Administración aprueba:</w:t>
            </w:r>
          </w:p>
        </w:tc>
        <w:tc>
          <w:tcPr>
            <w:tcW w:w="851" w:type="dxa"/>
            <w:hideMark/>
          </w:tcPr>
          <w:p w14:paraId="61973777" w14:textId="77777777" w:rsidR="00250520" w:rsidRPr="00752897" w:rsidRDefault="00250520" w:rsidP="00585F51">
            <w:pPr>
              <w:jc w:val="center"/>
              <w:rPr>
                <w:sz w:val="16"/>
                <w:szCs w:val="16"/>
              </w:rPr>
            </w:pPr>
          </w:p>
        </w:tc>
        <w:tc>
          <w:tcPr>
            <w:tcW w:w="5244" w:type="dxa"/>
            <w:hideMark/>
          </w:tcPr>
          <w:p w14:paraId="0137B23E" w14:textId="77777777" w:rsidR="00250520" w:rsidRPr="00752897" w:rsidRDefault="00250520" w:rsidP="00585F51">
            <w:pPr>
              <w:rPr>
                <w:sz w:val="16"/>
                <w:szCs w:val="16"/>
              </w:rPr>
            </w:pPr>
          </w:p>
        </w:tc>
      </w:tr>
      <w:tr w:rsidR="00250520" w:rsidRPr="00752897" w14:paraId="44A565BE" w14:textId="77777777" w:rsidTr="00585F51">
        <w:trPr>
          <w:trHeight w:val="255"/>
        </w:trPr>
        <w:tc>
          <w:tcPr>
            <w:tcW w:w="3686" w:type="dxa"/>
            <w:hideMark/>
          </w:tcPr>
          <w:p w14:paraId="14817518" w14:textId="77777777" w:rsidR="00652198" w:rsidRDefault="00250520">
            <w:pPr>
              <w:jc w:val="both"/>
              <w:rPr>
                <w:sz w:val="16"/>
                <w:szCs w:val="16"/>
              </w:rPr>
            </w:pPr>
            <w:r w:rsidRPr="00752897">
              <w:rPr>
                <w:sz w:val="16"/>
                <w:szCs w:val="16"/>
              </w:rPr>
              <w:t>II.1.1.1 el plan estratégico o de negocio, así como los objetivos de gestión y presupuestos anuales.</w:t>
            </w:r>
          </w:p>
        </w:tc>
        <w:tc>
          <w:tcPr>
            <w:tcW w:w="851" w:type="dxa"/>
            <w:hideMark/>
          </w:tcPr>
          <w:p w14:paraId="4575CF84" w14:textId="77777777" w:rsidR="00250520" w:rsidRPr="00752897" w:rsidRDefault="00250520" w:rsidP="00585F51">
            <w:pPr>
              <w:jc w:val="center"/>
              <w:rPr>
                <w:sz w:val="16"/>
                <w:szCs w:val="16"/>
              </w:rPr>
            </w:pPr>
            <w:r w:rsidRPr="00752897">
              <w:rPr>
                <w:sz w:val="16"/>
                <w:szCs w:val="16"/>
              </w:rPr>
              <w:t>T</w:t>
            </w:r>
          </w:p>
        </w:tc>
        <w:tc>
          <w:tcPr>
            <w:tcW w:w="5244" w:type="dxa"/>
            <w:hideMark/>
          </w:tcPr>
          <w:p w14:paraId="53A6E4D3" w14:textId="77777777" w:rsidR="00652198" w:rsidRDefault="00250520">
            <w:pPr>
              <w:jc w:val="both"/>
              <w:rPr>
                <w:sz w:val="16"/>
                <w:szCs w:val="16"/>
              </w:rPr>
            </w:pPr>
            <w:r w:rsidRPr="00752897">
              <w:rPr>
                <w:sz w:val="16"/>
                <w:szCs w:val="16"/>
              </w:rPr>
              <w:t>El Directorio considera y aprueba el presupuesto anual. Asimismo, el Directorio instruye a las gerencias pertinentes para que efectúen el control y seguimiento del presupuesto anual aprobado para detectar desvíos e implementar correcciones, de corresponder.</w:t>
            </w:r>
          </w:p>
        </w:tc>
      </w:tr>
      <w:tr w:rsidR="00250520" w:rsidRPr="00752897" w14:paraId="0589F6FF" w14:textId="77777777" w:rsidTr="00585F51">
        <w:trPr>
          <w:trHeight w:val="255"/>
        </w:trPr>
        <w:tc>
          <w:tcPr>
            <w:tcW w:w="3686" w:type="dxa"/>
            <w:hideMark/>
          </w:tcPr>
          <w:p w14:paraId="183D03DD" w14:textId="77777777" w:rsidR="00652198" w:rsidRDefault="00250520">
            <w:pPr>
              <w:jc w:val="both"/>
              <w:rPr>
                <w:sz w:val="16"/>
                <w:szCs w:val="16"/>
              </w:rPr>
            </w:pPr>
            <w:r w:rsidRPr="00752897">
              <w:rPr>
                <w:sz w:val="16"/>
                <w:szCs w:val="16"/>
              </w:rPr>
              <w:t>II.1.1.2 la política de inversiones (en activos financieros y en bienes de capital), y de financiación.</w:t>
            </w:r>
          </w:p>
        </w:tc>
        <w:tc>
          <w:tcPr>
            <w:tcW w:w="851" w:type="dxa"/>
            <w:hideMark/>
          </w:tcPr>
          <w:p w14:paraId="77CA06F4" w14:textId="77777777" w:rsidR="00250520" w:rsidRPr="00752897" w:rsidRDefault="00250520" w:rsidP="00585F51">
            <w:pPr>
              <w:jc w:val="center"/>
              <w:rPr>
                <w:sz w:val="16"/>
                <w:szCs w:val="16"/>
              </w:rPr>
            </w:pPr>
            <w:r w:rsidRPr="00752897">
              <w:rPr>
                <w:sz w:val="16"/>
                <w:szCs w:val="16"/>
              </w:rPr>
              <w:t>T</w:t>
            </w:r>
          </w:p>
        </w:tc>
        <w:tc>
          <w:tcPr>
            <w:tcW w:w="5244" w:type="dxa"/>
            <w:hideMark/>
          </w:tcPr>
          <w:p w14:paraId="1C79BE65" w14:textId="77777777" w:rsidR="00652198" w:rsidRDefault="00250520">
            <w:pPr>
              <w:jc w:val="both"/>
              <w:rPr>
                <w:sz w:val="16"/>
                <w:szCs w:val="16"/>
              </w:rPr>
            </w:pPr>
            <w:r w:rsidRPr="00752897">
              <w:rPr>
                <w:sz w:val="16"/>
                <w:szCs w:val="16"/>
              </w:rPr>
              <w:t xml:space="preserve">El Directorio considera y aprueba el plan de negocios anual. Asimismo, el Directorio instruye a la gerencia de control de gestión para que efectúe el control y seguimiento </w:t>
            </w:r>
            <w:proofErr w:type="gramStart"/>
            <w:r w:rsidRPr="00752897">
              <w:rPr>
                <w:sz w:val="16"/>
                <w:szCs w:val="16"/>
              </w:rPr>
              <w:t>del mismo</w:t>
            </w:r>
            <w:proofErr w:type="gramEnd"/>
            <w:r w:rsidRPr="00752897">
              <w:rPr>
                <w:sz w:val="16"/>
                <w:szCs w:val="16"/>
              </w:rPr>
              <w:t xml:space="preserve">. Asimismo, con respecto a la política financiera y de endeudamiento de PCR, si bien no existe un procedimiento formal, las decisiones de endeudamiento o cancelación de deudas son analizadas y tomadas en el seno del Comité Ejecutivo, y luego instrumentadas por el </w:t>
            </w:r>
            <w:r w:rsidR="0010456D">
              <w:rPr>
                <w:sz w:val="16"/>
                <w:szCs w:val="16"/>
              </w:rPr>
              <w:t xml:space="preserve">Gerente de Administración y </w:t>
            </w:r>
            <w:r w:rsidRPr="00752897">
              <w:rPr>
                <w:sz w:val="16"/>
                <w:szCs w:val="16"/>
              </w:rPr>
              <w:t xml:space="preserve">Finanzas de PCR en conjunto con la Gerencia de Legales.  </w:t>
            </w:r>
          </w:p>
        </w:tc>
      </w:tr>
      <w:tr w:rsidR="00250520" w:rsidRPr="00752897" w14:paraId="054388E8" w14:textId="77777777" w:rsidTr="00585F51">
        <w:trPr>
          <w:trHeight w:val="255"/>
        </w:trPr>
        <w:tc>
          <w:tcPr>
            <w:tcW w:w="3686" w:type="dxa"/>
            <w:hideMark/>
          </w:tcPr>
          <w:p w14:paraId="18D540FF" w14:textId="77777777" w:rsidR="00652198" w:rsidRDefault="00250520">
            <w:pPr>
              <w:jc w:val="both"/>
              <w:rPr>
                <w:sz w:val="16"/>
                <w:szCs w:val="16"/>
              </w:rPr>
            </w:pPr>
            <w:r w:rsidRPr="00752897">
              <w:rPr>
                <w:sz w:val="16"/>
                <w:szCs w:val="16"/>
              </w:rPr>
              <w:t>II.1.1.3 la política de gobierno societario (cumplimiento Código de Gobierno Societario).</w:t>
            </w:r>
          </w:p>
        </w:tc>
        <w:tc>
          <w:tcPr>
            <w:tcW w:w="851" w:type="dxa"/>
            <w:hideMark/>
          </w:tcPr>
          <w:p w14:paraId="482B3E7E" w14:textId="77777777" w:rsidR="00250520" w:rsidRPr="00752897" w:rsidRDefault="00250520" w:rsidP="00585F51">
            <w:pPr>
              <w:jc w:val="center"/>
              <w:rPr>
                <w:sz w:val="16"/>
                <w:szCs w:val="16"/>
              </w:rPr>
            </w:pPr>
            <w:r w:rsidRPr="00752897">
              <w:rPr>
                <w:sz w:val="16"/>
                <w:szCs w:val="16"/>
              </w:rPr>
              <w:t>P</w:t>
            </w:r>
          </w:p>
        </w:tc>
        <w:tc>
          <w:tcPr>
            <w:tcW w:w="5244" w:type="dxa"/>
            <w:hideMark/>
          </w:tcPr>
          <w:p w14:paraId="3E094908" w14:textId="77777777" w:rsidR="00652198" w:rsidRDefault="00250520">
            <w:pPr>
              <w:jc w:val="both"/>
              <w:rPr>
                <w:sz w:val="16"/>
                <w:szCs w:val="16"/>
              </w:rPr>
            </w:pPr>
            <w:r w:rsidRPr="00752897">
              <w:rPr>
                <w:sz w:val="16"/>
                <w:szCs w:val="16"/>
              </w:rPr>
              <w:t xml:space="preserve">El Directorio asume en forma directa estos temas o los somete a resolución de la Asamblea de accionistas según corresponda. </w:t>
            </w:r>
          </w:p>
        </w:tc>
      </w:tr>
      <w:tr w:rsidR="00250520" w:rsidRPr="00752897" w14:paraId="0D5EDF3E" w14:textId="77777777" w:rsidTr="00585F51">
        <w:trPr>
          <w:trHeight w:val="255"/>
        </w:trPr>
        <w:tc>
          <w:tcPr>
            <w:tcW w:w="3686" w:type="dxa"/>
            <w:hideMark/>
          </w:tcPr>
          <w:p w14:paraId="0AE7ED53" w14:textId="77777777" w:rsidR="00652198" w:rsidRDefault="00250520">
            <w:pPr>
              <w:jc w:val="both"/>
              <w:rPr>
                <w:sz w:val="16"/>
                <w:szCs w:val="16"/>
              </w:rPr>
            </w:pPr>
            <w:r w:rsidRPr="00752897">
              <w:rPr>
                <w:sz w:val="16"/>
                <w:szCs w:val="16"/>
              </w:rPr>
              <w:t>II.1.1.4 la política de selección, evaluación y remuneración de los gerentes de primera línea.</w:t>
            </w:r>
          </w:p>
        </w:tc>
        <w:tc>
          <w:tcPr>
            <w:tcW w:w="851" w:type="dxa"/>
            <w:hideMark/>
          </w:tcPr>
          <w:p w14:paraId="7E882FBD" w14:textId="77777777" w:rsidR="00250520" w:rsidRPr="00752897" w:rsidRDefault="00250520" w:rsidP="00585F51">
            <w:pPr>
              <w:jc w:val="center"/>
              <w:rPr>
                <w:sz w:val="16"/>
                <w:szCs w:val="16"/>
              </w:rPr>
            </w:pPr>
            <w:r w:rsidRPr="00752897">
              <w:rPr>
                <w:sz w:val="16"/>
                <w:szCs w:val="16"/>
              </w:rPr>
              <w:t>T</w:t>
            </w:r>
          </w:p>
        </w:tc>
        <w:tc>
          <w:tcPr>
            <w:tcW w:w="5244" w:type="dxa"/>
            <w:hideMark/>
          </w:tcPr>
          <w:p w14:paraId="499C5467" w14:textId="4532992B" w:rsidR="00652198" w:rsidRDefault="00757848">
            <w:pPr>
              <w:jc w:val="both"/>
              <w:rPr>
                <w:sz w:val="16"/>
                <w:szCs w:val="16"/>
              </w:rPr>
            </w:pPr>
            <w:r w:rsidRPr="00752897">
              <w:rPr>
                <w:sz w:val="16"/>
                <w:szCs w:val="16"/>
              </w:rPr>
              <w:t>De acuerdo con</w:t>
            </w:r>
            <w:r w:rsidR="00250520" w:rsidRPr="00752897">
              <w:rPr>
                <w:sz w:val="16"/>
                <w:szCs w:val="16"/>
              </w:rPr>
              <w:t xml:space="preserve"> lo establecido en el Manual de Políticas y Procedimientos de Recursos Humanos, se fijan criterios para la selección, evaluación y remuneración del personal de PCR, incluyendo los gerentes de primera línea. </w:t>
            </w:r>
          </w:p>
        </w:tc>
      </w:tr>
      <w:tr w:rsidR="00250520" w:rsidRPr="00752897" w14:paraId="5F595823" w14:textId="77777777" w:rsidTr="00585F51">
        <w:trPr>
          <w:trHeight w:val="255"/>
        </w:trPr>
        <w:tc>
          <w:tcPr>
            <w:tcW w:w="3686" w:type="dxa"/>
            <w:hideMark/>
          </w:tcPr>
          <w:p w14:paraId="0BA70F9D" w14:textId="77777777" w:rsidR="00652198" w:rsidRDefault="00250520">
            <w:pPr>
              <w:jc w:val="both"/>
              <w:rPr>
                <w:sz w:val="16"/>
                <w:szCs w:val="16"/>
              </w:rPr>
            </w:pPr>
            <w:r w:rsidRPr="00752897">
              <w:rPr>
                <w:sz w:val="16"/>
                <w:szCs w:val="16"/>
              </w:rPr>
              <w:t>II.1.1.5 la política de asignación de responsabilidades a los gerentes de primera línea.</w:t>
            </w:r>
          </w:p>
        </w:tc>
        <w:tc>
          <w:tcPr>
            <w:tcW w:w="851" w:type="dxa"/>
            <w:noWrap/>
            <w:hideMark/>
          </w:tcPr>
          <w:p w14:paraId="230EB575" w14:textId="77777777" w:rsidR="00250520" w:rsidRPr="00752897" w:rsidRDefault="00250520" w:rsidP="00585F51">
            <w:pPr>
              <w:jc w:val="center"/>
              <w:rPr>
                <w:sz w:val="16"/>
                <w:szCs w:val="16"/>
              </w:rPr>
            </w:pPr>
            <w:r w:rsidRPr="00752897">
              <w:rPr>
                <w:sz w:val="16"/>
                <w:szCs w:val="16"/>
              </w:rPr>
              <w:t>P</w:t>
            </w:r>
          </w:p>
        </w:tc>
        <w:tc>
          <w:tcPr>
            <w:tcW w:w="5244" w:type="dxa"/>
            <w:noWrap/>
            <w:hideMark/>
          </w:tcPr>
          <w:p w14:paraId="0653FE8F" w14:textId="412AEF25" w:rsidR="00652198" w:rsidRDefault="00250520" w:rsidP="000D7B1F">
            <w:pPr>
              <w:jc w:val="both"/>
              <w:rPr>
                <w:sz w:val="16"/>
                <w:szCs w:val="16"/>
              </w:rPr>
            </w:pPr>
            <w:r w:rsidRPr="00752897">
              <w:rPr>
                <w:sz w:val="16"/>
                <w:szCs w:val="16"/>
              </w:rPr>
              <w:t xml:space="preserve">El Directorio no ha aprobado una política escrita y formal de asignación de responsabilidades, por lo que dicha asignación es realizada por el </w:t>
            </w:r>
            <w:proofErr w:type="gramStart"/>
            <w:r w:rsidRPr="00752897">
              <w:rPr>
                <w:sz w:val="16"/>
                <w:szCs w:val="16"/>
              </w:rPr>
              <w:t>Presidente</w:t>
            </w:r>
            <w:proofErr w:type="gramEnd"/>
            <w:r w:rsidRPr="00752897">
              <w:rPr>
                <w:sz w:val="16"/>
                <w:szCs w:val="16"/>
              </w:rPr>
              <w:t xml:space="preserve"> de PCR en función de criterios objetivos, y de acuerdo a los resultados periódicos de las evaluaciones llevadas adelante por </w:t>
            </w:r>
            <w:r w:rsidR="000D7B1F">
              <w:rPr>
                <w:sz w:val="16"/>
                <w:szCs w:val="16"/>
              </w:rPr>
              <w:t>la Gerencia</w:t>
            </w:r>
            <w:r w:rsidRPr="00752897">
              <w:rPr>
                <w:sz w:val="16"/>
                <w:szCs w:val="16"/>
              </w:rPr>
              <w:t xml:space="preserve"> de </w:t>
            </w:r>
            <w:r w:rsidR="0010456D">
              <w:rPr>
                <w:sz w:val="16"/>
                <w:szCs w:val="16"/>
              </w:rPr>
              <w:t>R</w:t>
            </w:r>
            <w:r w:rsidRPr="00752897">
              <w:rPr>
                <w:sz w:val="16"/>
                <w:szCs w:val="16"/>
              </w:rPr>
              <w:t xml:space="preserve">ecursos </w:t>
            </w:r>
            <w:r w:rsidR="0010456D">
              <w:rPr>
                <w:sz w:val="16"/>
                <w:szCs w:val="16"/>
              </w:rPr>
              <w:t>H</w:t>
            </w:r>
            <w:r w:rsidRPr="00752897">
              <w:rPr>
                <w:sz w:val="16"/>
                <w:szCs w:val="16"/>
              </w:rPr>
              <w:t xml:space="preserve">umanos de </w:t>
            </w:r>
            <w:r w:rsidRPr="00752897">
              <w:rPr>
                <w:sz w:val="16"/>
                <w:szCs w:val="16"/>
              </w:rPr>
              <w:lastRenderedPageBreak/>
              <w:t xml:space="preserve">acuerdo a los parámetros establecidos en el Manual de Políticas y Procedimientos de Recursos Humanos. No </w:t>
            </w:r>
            <w:r w:rsidR="00757848" w:rsidRPr="00752897">
              <w:rPr>
                <w:sz w:val="16"/>
                <w:szCs w:val="16"/>
              </w:rPr>
              <w:t>obstante,</w:t>
            </w:r>
            <w:r w:rsidRPr="00752897">
              <w:rPr>
                <w:sz w:val="16"/>
                <w:szCs w:val="16"/>
              </w:rPr>
              <w:t xml:space="preserve"> se requiere a los gerentes de primera línea poseer idoneidad y experiencia en la actividad respectiva para gestionar sus propias áreas del negocio, así como también la gestión y control apropiado del personal a su cargo. </w:t>
            </w:r>
          </w:p>
        </w:tc>
      </w:tr>
      <w:tr w:rsidR="00250520" w:rsidRPr="00752897" w14:paraId="04E305EB" w14:textId="77777777" w:rsidTr="00585F51">
        <w:trPr>
          <w:trHeight w:val="255"/>
        </w:trPr>
        <w:tc>
          <w:tcPr>
            <w:tcW w:w="3686" w:type="dxa"/>
            <w:hideMark/>
          </w:tcPr>
          <w:p w14:paraId="01972CA8" w14:textId="77777777" w:rsidR="00652198" w:rsidRDefault="00250520">
            <w:pPr>
              <w:jc w:val="both"/>
              <w:rPr>
                <w:sz w:val="16"/>
                <w:szCs w:val="16"/>
              </w:rPr>
            </w:pPr>
            <w:r w:rsidRPr="00752897">
              <w:rPr>
                <w:sz w:val="16"/>
                <w:szCs w:val="16"/>
              </w:rPr>
              <w:lastRenderedPageBreak/>
              <w:t>II.1.1.6 la supervisión de los planes de sucesión de los gerentes de primera línea.</w:t>
            </w:r>
          </w:p>
        </w:tc>
        <w:tc>
          <w:tcPr>
            <w:tcW w:w="851" w:type="dxa"/>
            <w:hideMark/>
          </w:tcPr>
          <w:p w14:paraId="1F98D8C3" w14:textId="77777777" w:rsidR="00250520" w:rsidRPr="00752897" w:rsidRDefault="00250520" w:rsidP="00585F51">
            <w:pPr>
              <w:jc w:val="center"/>
              <w:rPr>
                <w:sz w:val="16"/>
                <w:szCs w:val="16"/>
              </w:rPr>
            </w:pPr>
            <w:r w:rsidRPr="00752897">
              <w:rPr>
                <w:sz w:val="16"/>
                <w:szCs w:val="16"/>
              </w:rPr>
              <w:t>P</w:t>
            </w:r>
          </w:p>
        </w:tc>
        <w:tc>
          <w:tcPr>
            <w:tcW w:w="5244" w:type="dxa"/>
            <w:hideMark/>
          </w:tcPr>
          <w:p w14:paraId="45C07F5E" w14:textId="77777777" w:rsidR="00652198" w:rsidRDefault="00250520" w:rsidP="000D7B1F">
            <w:pPr>
              <w:jc w:val="both"/>
              <w:rPr>
                <w:sz w:val="16"/>
                <w:szCs w:val="16"/>
              </w:rPr>
            </w:pPr>
            <w:r w:rsidRPr="00752897">
              <w:rPr>
                <w:sz w:val="16"/>
                <w:szCs w:val="16"/>
              </w:rPr>
              <w:t xml:space="preserve">El Directorio no ha aprobado procedimientos escritos de sucesión de los gerentes de primera línea. Sin embargo, el Presidente de PCR periódicamente analiza y establece pautas para fijar la sucesión de los gerentes de primera línea de manera objetiva y sistemática, con asistencia de consultores externos especializados en el tema. Los planes y acciones pertinentes se informan y aprueban por el comité ejecutivo. </w:t>
            </w:r>
          </w:p>
        </w:tc>
      </w:tr>
      <w:tr w:rsidR="00250520" w:rsidRPr="00752897" w14:paraId="4D7DF476" w14:textId="77777777" w:rsidTr="00585F51">
        <w:trPr>
          <w:trHeight w:val="255"/>
        </w:trPr>
        <w:tc>
          <w:tcPr>
            <w:tcW w:w="3686" w:type="dxa"/>
            <w:hideMark/>
          </w:tcPr>
          <w:p w14:paraId="1466AC31" w14:textId="77777777" w:rsidR="00652198" w:rsidRDefault="00250520">
            <w:pPr>
              <w:jc w:val="both"/>
              <w:rPr>
                <w:sz w:val="16"/>
                <w:szCs w:val="16"/>
              </w:rPr>
            </w:pPr>
            <w:r w:rsidRPr="00752897">
              <w:rPr>
                <w:sz w:val="16"/>
                <w:szCs w:val="16"/>
              </w:rPr>
              <w:t>II.1.1.7 la política de responsabilidad social empresaria.</w:t>
            </w:r>
          </w:p>
        </w:tc>
        <w:tc>
          <w:tcPr>
            <w:tcW w:w="851" w:type="dxa"/>
            <w:hideMark/>
          </w:tcPr>
          <w:p w14:paraId="41E88088" w14:textId="77777777" w:rsidR="00250520" w:rsidRPr="00752897" w:rsidRDefault="00250520" w:rsidP="00585F51">
            <w:pPr>
              <w:jc w:val="center"/>
              <w:rPr>
                <w:sz w:val="16"/>
                <w:szCs w:val="16"/>
              </w:rPr>
            </w:pPr>
            <w:r w:rsidRPr="00752897">
              <w:rPr>
                <w:sz w:val="16"/>
                <w:szCs w:val="16"/>
              </w:rPr>
              <w:t>T</w:t>
            </w:r>
          </w:p>
        </w:tc>
        <w:tc>
          <w:tcPr>
            <w:tcW w:w="5244" w:type="dxa"/>
            <w:hideMark/>
          </w:tcPr>
          <w:p w14:paraId="0F97CC1B" w14:textId="77777777" w:rsidR="00652198" w:rsidRDefault="00250520">
            <w:pPr>
              <w:jc w:val="both"/>
              <w:rPr>
                <w:sz w:val="16"/>
                <w:szCs w:val="16"/>
                <w:lang w:val="es-MX"/>
              </w:rPr>
            </w:pPr>
            <w:r w:rsidRPr="00752897">
              <w:rPr>
                <w:sz w:val="16"/>
                <w:szCs w:val="16"/>
              </w:rPr>
              <w:t>PCR aplica los principios del Pacto Global de Naciones Unidas como fundamento para la política en responsabilidad social, generando capital social en las áreas de influencia directa e indirecta, brindando oportunidades de empleo y crecimiento a los trabajadores en las zonas geográficas de operaciones, con la finalidad de crear un modelo de armonía entre las operaciones, los gobiernos locales, comunidades, gobierno central y empresa, bajo principios de ética corporativa. Para ser coherentes con este propósito, contamos con el Plan de Gestión ambiental. La Empresa en su gestión asumió como ejes transversales de su actividad los diez principios del Pacto Global integrado a los Derechos Humanos, Condiciones Laborales, Medioambiente y el décimo principio Contra la Corrupción. Los principios del Pacto Global están incluidos y contemplados en nuestra misión y visión, pero fundamentalmente en nuestra política de calidad, como parte del sistema de gestión de calidad que estamos implementando en las empresas para lograr las más exigentes certificaciones de calidad. Adicionalmente, y como parte de la política de PCR en la gestión de recursos, PCR viene obteniendo anualmente certificación ISO</w:t>
            </w:r>
            <w:r w:rsidR="0010456D">
              <w:rPr>
                <w:sz w:val="16"/>
                <w:szCs w:val="16"/>
              </w:rPr>
              <w:t>.</w:t>
            </w:r>
            <w:r w:rsidRPr="00752897">
              <w:rPr>
                <w:sz w:val="16"/>
                <w:szCs w:val="16"/>
              </w:rPr>
              <w:t xml:space="preserve"> Como parte del acuerdo de renegociación del yacimiento Sosneado PCR asumió el compromiso de destinar un monto para atender necesidades comunitarias.</w:t>
            </w:r>
          </w:p>
        </w:tc>
      </w:tr>
      <w:tr w:rsidR="00250520" w:rsidRPr="00752897" w14:paraId="200C4027" w14:textId="77777777" w:rsidTr="00585F51">
        <w:trPr>
          <w:trHeight w:val="255"/>
        </w:trPr>
        <w:tc>
          <w:tcPr>
            <w:tcW w:w="3686" w:type="dxa"/>
            <w:hideMark/>
          </w:tcPr>
          <w:p w14:paraId="741825BC" w14:textId="77777777" w:rsidR="00652198" w:rsidRDefault="00250520">
            <w:pPr>
              <w:jc w:val="both"/>
              <w:rPr>
                <w:sz w:val="16"/>
                <w:szCs w:val="16"/>
              </w:rPr>
            </w:pPr>
            <w:r w:rsidRPr="00752897">
              <w:rPr>
                <w:sz w:val="16"/>
                <w:szCs w:val="16"/>
              </w:rPr>
              <w:t>II.1.1.8 las políticas de gestión integral de riesgos y de control interno, y de prevención de fraudes.</w:t>
            </w:r>
          </w:p>
        </w:tc>
        <w:tc>
          <w:tcPr>
            <w:tcW w:w="851" w:type="dxa"/>
            <w:hideMark/>
          </w:tcPr>
          <w:p w14:paraId="5D6C9974" w14:textId="77777777" w:rsidR="00250520" w:rsidRPr="00752897" w:rsidRDefault="00250520" w:rsidP="00585F51">
            <w:pPr>
              <w:jc w:val="center"/>
              <w:rPr>
                <w:sz w:val="16"/>
                <w:szCs w:val="16"/>
              </w:rPr>
            </w:pPr>
            <w:r w:rsidRPr="00752897">
              <w:rPr>
                <w:sz w:val="16"/>
                <w:szCs w:val="16"/>
              </w:rPr>
              <w:t>T</w:t>
            </w:r>
          </w:p>
        </w:tc>
        <w:tc>
          <w:tcPr>
            <w:tcW w:w="5244" w:type="dxa"/>
            <w:hideMark/>
          </w:tcPr>
          <w:p w14:paraId="2A47D03B" w14:textId="27254731" w:rsidR="00652198" w:rsidRDefault="00250520">
            <w:pPr>
              <w:jc w:val="both"/>
              <w:rPr>
                <w:sz w:val="16"/>
                <w:szCs w:val="16"/>
              </w:rPr>
            </w:pPr>
            <w:r w:rsidRPr="00752897">
              <w:rPr>
                <w:sz w:val="16"/>
                <w:szCs w:val="16"/>
              </w:rPr>
              <w:t xml:space="preserve">El Comité de Auditoría tiene la responsabilidad de asistir al Directorio en su obligación de monitoreo del adecuado funcionamiento de los sistemas de control interno sobre la preparación de información financiera. En cumplimiento de sus </w:t>
            </w:r>
            <w:r w:rsidR="00F83486" w:rsidRPr="00752897">
              <w:rPr>
                <w:sz w:val="16"/>
                <w:szCs w:val="16"/>
              </w:rPr>
              <w:t>funciones, el</w:t>
            </w:r>
            <w:r w:rsidRPr="00752897">
              <w:rPr>
                <w:sz w:val="16"/>
                <w:szCs w:val="16"/>
              </w:rPr>
              <w:t xml:space="preserve"> Comité de Auditoría informa al Directorio respecto de la evaluación de los sistemas de control interno, en función de los reportes presentados por la Gerencia de Auditoría Interna y los Auditores Externos. </w:t>
            </w:r>
          </w:p>
        </w:tc>
      </w:tr>
      <w:tr w:rsidR="00250520" w:rsidRPr="00752897" w14:paraId="30EC2450" w14:textId="77777777" w:rsidTr="00585F51">
        <w:trPr>
          <w:trHeight w:val="255"/>
        </w:trPr>
        <w:tc>
          <w:tcPr>
            <w:tcW w:w="3686" w:type="dxa"/>
            <w:hideMark/>
          </w:tcPr>
          <w:p w14:paraId="1105CE0B" w14:textId="77777777" w:rsidR="00652198" w:rsidRDefault="00250520">
            <w:pPr>
              <w:jc w:val="both"/>
              <w:rPr>
                <w:sz w:val="16"/>
                <w:szCs w:val="16"/>
              </w:rPr>
            </w:pPr>
            <w:r w:rsidRPr="00752897">
              <w:rPr>
                <w:sz w:val="16"/>
                <w:szCs w:val="16"/>
              </w:rPr>
              <w:t xml:space="preserve">II.1.1.9 la política de capacitación y entrenamiento continuo para miembros del Órgano de Administración y de los gerentes de primera línea. De contar con estas políticas, hacer una descripción de los principales aspectos de </w:t>
            </w:r>
            <w:proofErr w:type="gramStart"/>
            <w:r w:rsidRPr="00752897">
              <w:rPr>
                <w:sz w:val="16"/>
                <w:szCs w:val="16"/>
              </w:rPr>
              <w:t>las mismas</w:t>
            </w:r>
            <w:proofErr w:type="gramEnd"/>
            <w:r w:rsidRPr="00752897">
              <w:rPr>
                <w:sz w:val="16"/>
                <w:szCs w:val="16"/>
              </w:rPr>
              <w:t xml:space="preserve">. </w:t>
            </w:r>
          </w:p>
        </w:tc>
        <w:tc>
          <w:tcPr>
            <w:tcW w:w="851" w:type="dxa"/>
            <w:hideMark/>
          </w:tcPr>
          <w:p w14:paraId="26BE467A" w14:textId="77777777" w:rsidR="00250520" w:rsidRPr="00752897" w:rsidRDefault="00250520" w:rsidP="00585F51">
            <w:pPr>
              <w:jc w:val="center"/>
              <w:rPr>
                <w:sz w:val="16"/>
                <w:szCs w:val="16"/>
              </w:rPr>
            </w:pPr>
            <w:r w:rsidRPr="00752897">
              <w:rPr>
                <w:sz w:val="16"/>
                <w:szCs w:val="16"/>
              </w:rPr>
              <w:t>T</w:t>
            </w:r>
          </w:p>
        </w:tc>
        <w:tc>
          <w:tcPr>
            <w:tcW w:w="5244" w:type="dxa"/>
            <w:hideMark/>
          </w:tcPr>
          <w:p w14:paraId="6CA27EEC" w14:textId="77777777" w:rsidR="00652198" w:rsidRDefault="00250520">
            <w:pPr>
              <w:jc w:val="both"/>
              <w:rPr>
                <w:sz w:val="16"/>
                <w:szCs w:val="16"/>
              </w:rPr>
            </w:pPr>
            <w:r w:rsidRPr="00752897">
              <w:rPr>
                <w:sz w:val="16"/>
                <w:szCs w:val="16"/>
              </w:rPr>
              <w:t xml:space="preserve">Mediante el Manual de Políticas y Procedimientos de Recursos Humanos se fijan criterios relacionados con los objetivos, alcance y responsabilidades relacionadas con la capacitación y desarrollo continuo del personal. </w:t>
            </w:r>
          </w:p>
        </w:tc>
      </w:tr>
      <w:tr w:rsidR="00250520" w:rsidRPr="00752897" w14:paraId="2ABD2A39" w14:textId="77777777" w:rsidTr="00585F51">
        <w:trPr>
          <w:trHeight w:val="255"/>
        </w:trPr>
        <w:tc>
          <w:tcPr>
            <w:tcW w:w="3686" w:type="dxa"/>
            <w:hideMark/>
          </w:tcPr>
          <w:p w14:paraId="6E39DF36" w14:textId="77777777" w:rsidR="00652198" w:rsidRDefault="00250520">
            <w:pPr>
              <w:jc w:val="both"/>
              <w:rPr>
                <w:sz w:val="16"/>
                <w:szCs w:val="16"/>
              </w:rPr>
            </w:pPr>
            <w:r w:rsidRPr="00752897">
              <w:rPr>
                <w:sz w:val="16"/>
                <w:szCs w:val="16"/>
              </w:rPr>
              <w:t xml:space="preserve">II.1.2 De considerar relevante, agregar otras políticas aplicadas por el Órgano de Administración que no han sido mencionadas y detallar los puntos significativos. </w:t>
            </w:r>
          </w:p>
        </w:tc>
        <w:tc>
          <w:tcPr>
            <w:tcW w:w="851" w:type="dxa"/>
            <w:hideMark/>
          </w:tcPr>
          <w:p w14:paraId="3D3505C4" w14:textId="77777777" w:rsidR="00250520" w:rsidRPr="00752897" w:rsidRDefault="00250520" w:rsidP="00585F51">
            <w:pPr>
              <w:jc w:val="center"/>
              <w:rPr>
                <w:rFonts w:eastAsia="Calibri"/>
                <w:sz w:val="16"/>
                <w:szCs w:val="16"/>
                <w:lang w:eastAsia="en-US"/>
              </w:rPr>
            </w:pPr>
          </w:p>
        </w:tc>
        <w:tc>
          <w:tcPr>
            <w:tcW w:w="5244" w:type="dxa"/>
            <w:hideMark/>
          </w:tcPr>
          <w:p w14:paraId="362B0074" w14:textId="77777777" w:rsidR="00652198" w:rsidRDefault="00250520">
            <w:pPr>
              <w:jc w:val="both"/>
              <w:rPr>
                <w:rFonts w:eastAsia="Calibri"/>
                <w:sz w:val="16"/>
                <w:szCs w:val="16"/>
                <w:lang w:eastAsia="en-US"/>
              </w:rPr>
            </w:pPr>
            <w:r w:rsidRPr="00752897">
              <w:rPr>
                <w:sz w:val="16"/>
                <w:szCs w:val="16"/>
                <w:lang w:val="es-ES_tradnl"/>
              </w:rPr>
              <w:t>N/A</w:t>
            </w:r>
          </w:p>
        </w:tc>
      </w:tr>
      <w:tr w:rsidR="00250520" w:rsidRPr="00752897" w14:paraId="09ECE12B" w14:textId="77777777" w:rsidTr="00585F51">
        <w:trPr>
          <w:trHeight w:val="255"/>
        </w:trPr>
        <w:tc>
          <w:tcPr>
            <w:tcW w:w="3686" w:type="dxa"/>
            <w:hideMark/>
          </w:tcPr>
          <w:p w14:paraId="36099C82" w14:textId="77777777" w:rsidR="00652198" w:rsidRDefault="00250520">
            <w:pPr>
              <w:jc w:val="both"/>
              <w:rPr>
                <w:sz w:val="16"/>
                <w:szCs w:val="16"/>
              </w:rPr>
            </w:pPr>
            <w:r w:rsidRPr="00752897">
              <w:rPr>
                <w:sz w:val="16"/>
                <w:szCs w:val="16"/>
              </w:rPr>
              <w:t>II.1.3 La Emisora cuenta con una política tendiente a garantizar la disponibilidad de información relevante para la toma de decisiones de su Órgano de Administración y una vía de consulta directa de las líneas gerenciales, de un modo que resulte simétrico para todos sus miembros (ejecutivos, externos e independientes) por igual y con una antelación suficiente, que permita el adecuado análisis de su contenido. Explicitar.</w:t>
            </w:r>
          </w:p>
        </w:tc>
        <w:tc>
          <w:tcPr>
            <w:tcW w:w="851" w:type="dxa"/>
            <w:hideMark/>
          </w:tcPr>
          <w:p w14:paraId="29C5EBDD" w14:textId="77777777" w:rsidR="00250520" w:rsidRPr="00752897" w:rsidRDefault="00250520" w:rsidP="00585F51">
            <w:pPr>
              <w:jc w:val="center"/>
              <w:rPr>
                <w:sz w:val="16"/>
                <w:szCs w:val="16"/>
              </w:rPr>
            </w:pPr>
            <w:r w:rsidRPr="00752897">
              <w:rPr>
                <w:sz w:val="16"/>
                <w:szCs w:val="16"/>
              </w:rPr>
              <w:t>T</w:t>
            </w:r>
          </w:p>
        </w:tc>
        <w:tc>
          <w:tcPr>
            <w:tcW w:w="5244" w:type="dxa"/>
            <w:hideMark/>
          </w:tcPr>
          <w:p w14:paraId="28F63F73" w14:textId="77777777" w:rsidR="00652198" w:rsidRDefault="00250520">
            <w:pPr>
              <w:jc w:val="both"/>
              <w:rPr>
                <w:sz w:val="16"/>
                <w:szCs w:val="16"/>
              </w:rPr>
            </w:pPr>
            <w:r w:rsidRPr="00752897">
              <w:rPr>
                <w:sz w:val="16"/>
                <w:szCs w:val="16"/>
                <w:lang w:val="es-ES_tradnl"/>
              </w:rPr>
              <w:t>El Directorio es convocado con la suficiente antelación detallando los puntos del orden del día que se tratarán y se distribuye, según fuera el caso, la documentación que se presentará para su aprobación. Por otra parte, en forma periódica el Comité Ejecutivo recibe información y reportes especiales de evolución de las distintas áreas de PCR.</w:t>
            </w:r>
          </w:p>
        </w:tc>
      </w:tr>
      <w:tr w:rsidR="00250520" w:rsidRPr="00752897" w14:paraId="2AEB8732" w14:textId="77777777" w:rsidTr="00585F51">
        <w:trPr>
          <w:trHeight w:val="255"/>
        </w:trPr>
        <w:tc>
          <w:tcPr>
            <w:tcW w:w="3686" w:type="dxa"/>
            <w:hideMark/>
          </w:tcPr>
          <w:p w14:paraId="5F86DF8C" w14:textId="77777777" w:rsidR="00652198" w:rsidRDefault="00250520">
            <w:pPr>
              <w:jc w:val="both"/>
              <w:rPr>
                <w:sz w:val="16"/>
                <w:szCs w:val="16"/>
              </w:rPr>
            </w:pPr>
            <w:r w:rsidRPr="00752897">
              <w:rPr>
                <w:sz w:val="16"/>
                <w:szCs w:val="16"/>
              </w:rPr>
              <w:t>II.1.4. Los temas sometidos a consideración del Órgano de Administración son acompañados por un análisis de los riesgos asociados a las decisiones que puedan ser adoptadas, teniendo en cuenta el nivel de riesgo empresarial definido como aceptable por la Emisora. Explicitar.</w:t>
            </w:r>
          </w:p>
        </w:tc>
        <w:tc>
          <w:tcPr>
            <w:tcW w:w="851" w:type="dxa"/>
            <w:hideMark/>
          </w:tcPr>
          <w:p w14:paraId="543AEF26" w14:textId="77777777" w:rsidR="00250520" w:rsidRPr="00752897" w:rsidRDefault="00250520" w:rsidP="00585F51">
            <w:pPr>
              <w:jc w:val="center"/>
              <w:rPr>
                <w:sz w:val="16"/>
                <w:szCs w:val="16"/>
              </w:rPr>
            </w:pPr>
            <w:r w:rsidRPr="00752897">
              <w:rPr>
                <w:sz w:val="16"/>
                <w:szCs w:val="16"/>
              </w:rPr>
              <w:t>T</w:t>
            </w:r>
          </w:p>
        </w:tc>
        <w:tc>
          <w:tcPr>
            <w:tcW w:w="5244" w:type="dxa"/>
            <w:hideMark/>
          </w:tcPr>
          <w:p w14:paraId="73F57738" w14:textId="78B1C288" w:rsidR="00652198" w:rsidRDefault="00250520">
            <w:pPr>
              <w:jc w:val="both"/>
              <w:rPr>
                <w:sz w:val="16"/>
                <w:szCs w:val="16"/>
              </w:rPr>
            </w:pPr>
            <w:r w:rsidRPr="00752897">
              <w:rPr>
                <w:sz w:val="16"/>
                <w:szCs w:val="16"/>
                <w:lang w:val="es-ES_tradnl"/>
              </w:rPr>
              <w:t xml:space="preserve">PCR cuenta con un Departamento de Auditoría Interna que reporta al Comité de Auditoría y al Presidente de PCR, y se encarga, entre otras cuestiones, de la identificación y evaluación de riesgos </w:t>
            </w:r>
            <w:r w:rsidR="003D409F" w:rsidRPr="00752897">
              <w:rPr>
                <w:sz w:val="16"/>
                <w:szCs w:val="16"/>
                <w:lang w:val="es-ES_tradnl"/>
              </w:rPr>
              <w:t>críticos,</w:t>
            </w:r>
            <w:r w:rsidRPr="00752897">
              <w:rPr>
                <w:sz w:val="16"/>
                <w:szCs w:val="16"/>
                <w:lang w:val="es-ES_tradnl"/>
              </w:rPr>
              <w:t xml:space="preserve"> así como de proveer recomendaciones tendientes a eliminar o mitigar tales riesgos. A efectos de cumplir con esta función, Auditoría Interna interactúa e informa al Comité de Auditoría, al Presidente de PCR y a las gerencias que correspondan los potenciales riesgos. Adicionalmente, el Directorio de PCR toma especialmente en cuenta los informes emitidos periódicamente por los Auditores Externos. </w:t>
            </w:r>
          </w:p>
        </w:tc>
      </w:tr>
      <w:tr w:rsidR="00250520" w:rsidRPr="00752897" w14:paraId="6BCA1979" w14:textId="77777777" w:rsidTr="00585F51">
        <w:trPr>
          <w:trHeight w:val="255"/>
        </w:trPr>
        <w:tc>
          <w:tcPr>
            <w:tcW w:w="3686" w:type="dxa"/>
            <w:hideMark/>
          </w:tcPr>
          <w:p w14:paraId="28AE59B7" w14:textId="77777777" w:rsidR="00652198" w:rsidRDefault="00250520">
            <w:pPr>
              <w:jc w:val="both"/>
              <w:rPr>
                <w:sz w:val="16"/>
                <w:szCs w:val="16"/>
              </w:rPr>
            </w:pPr>
            <w:r w:rsidRPr="00752897">
              <w:rPr>
                <w:sz w:val="16"/>
                <w:szCs w:val="16"/>
              </w:rPr>
              <w:t>Recomendación II.2: Asegurar un efectivo Control de la Gestión empresaria.</w:t>
            </w:r>
          </w:p>
        </w:tc>
        <w:tc>
          <w:tcPr>
            <w:tcW w:w="851" w:type="dxa"/>
            <w:hideMark/>
          </w:tcPr>
          <w:p w14:paraId="43B47F12" w14:textId="77777777" w:rsidR="00250520" w:rsidRPr="00752897" w:rsidRDefault="00250520" w:rsidP="00585F51">
            <w:pPr>
              <w:rPr>
                <w:rFonts w:eastAsia="Calibri"/>
                <w:sz w:val="16"/>
                <w:szCs w:val="16"/>
                <w:lang w:eastAsia="en-US"/>
              </w:rPr>
            </w:pPr>
          </w:p>
        </w:tc>
        <w:tc>
          <w:tcPr>
            <w:tcW w:w="5244" w:type="dxa"/>
            <w:hideMark/>
          </w:tcPr>
          <w:p w14:paraId="7E7BBB37" w14:textId="77777777" w:rsidR="00250520" w:rsidRPr="00752897" w:rsidRDefault="00250520" w:rsidP="00585F51">
            <w:pPr>
              <w:rPr>
                <w:sz w:val="16"/>
                <w:szCs w:val="16"/>
              </w:rPr>
            </w:pPr>
            <w:r w:rsidRPr="00752897">
              <w:rPr>
                <w:sz w:val="16"/>
                <w:szCs w:val="16"/>
              </w:rPr>
              <w:t> </w:t>
            </w:r>
          </w:p>
        </w:tc>
      </w:tr>
      <w:tr w:rsidR="00250520" w:rsidRPr="00752897" w14:paraId="3CFA42EA" w14:textId="77777777" w:rsidTr="00585F51">
        <w:trPr>
          <w:trHeight w:val="255"/>
        </w:trPr>
        <w:tc>
          <w:tcPr>
            <w:tcW w:w="3686" w:type="dxa"/>
            <w:hideMark/>
          </w:tcPr>
          <w:p w14:paraId="434037C2" w14:textId="77777777" w:rsidR="00652198" w:rsidRDefault="00250520">
            <w:pPr>
              <w:jc w:val="both"/>
              <w:rPr>
                <w:sz w:val="16"/>
                <w:szCs w:val="16"/>
              </w:rPr>
            </w:pPr>
            <w:r w:rsidRPr="00752897">
              <w:rPr>
                <w:sz w:val="16"/>
                <w:szCs w:val="16"/>
              </w:rPr>
              <w:t>II.2.1 el cumplimiento del presupuesto anual y del plan de negocios.</w:t>
            </w:r>
          </w:p>
        </w:tc>
        <w:tc>
          <w:tcPr>
            <w:tcW w:w="851" w:type="dxa"/>
            <w:hideMark/>
          </w:tcPr>
          <w:p w14:paraId="11A7F09C" w14:textId="77777777" w:rsidR="00250520" w:rsidRPr="00752897" w:rsidRDefault="00250520" w:rsidP="00585F51">
            <w:pPr>
              <w:jc w:val="center"/>
              <w:rPr>
                <w:sz w:val="16"/>
                <w:szCs w:val="16"/>
              </w:rPr>
            </w:pPr>
            <w:r w:rsidRPr="00752897">
              <w:rPr>
                <w:sz w:val="16"/>
                <w:szCs w:val="16"/>
              </w:rPr>
              <w:t>T</w:t>
            </w:r>
          </w:p>
        </w:tc>
        <w:tc>
          <w:tcPr>
            <w:tcW w:w="5244" w:type="dxa"/>
            <w:hideMark/>
          </w:tcPr>
          <w:p w14:paraId="72C6500F" w14:textId="77777777" w:rsidR="00652198" w:rsidRDefault="00250520">
            <w:pPr>
              <w:jc w:val="both"/>
              <w:rPr>
                <w:sz w:val="16"/>
                <w:szCs w:val="16"/>
              </w:rPr>
            </w:pPr>
            <w:r w:rsidRPr="00752897">
              <w:rPr>
                <w:sz w:val="16"/>
                <w:szCs w:val="16"/>
              </w:rPr>
              <w:t>El Directorio considera un reporte trimestral preparado por el departamento de Control de Gestión sobre la marcha de los negocios y el grado de cumplimiento del presupuesto. Adicionalmente, el Presidente realiza un seguimiento diario de ciertos indicadores e información de gestión.</w:t>
            </w:r>
          </w:p>
        </w:tc>
      </w:tr>
      <w:tr w:rsidR="00250520" w:rsidRPr="00752897" w14:paraId="2B98D296" w14:textId="77777777" w:rsidTr="00585F51">
        <w:trPr>
          <w:trHeight w:val="255"/>
        </w:trPr>
        <w:tc>
          <w:tcPr>
            <w:tcW w:w="3686" w:type="dxa"/>
            <w:hideMark/>
          </w:tcPr>
          <w:p w14:paraId="67E5E166" w14:textId="77777777" w:rsidR="00652198" w:rsidRDefault="00250520">
            <w:pPr>
              <w:jc w:val="both"/>
              <w:rPr>
                <w:sz w:val="16"/>
                <w:szCs w:val="16"/>
              </w:rPr>
            </w:pPr>
            <w:r w:rsidRPr="00752897">
              <w:rPr>
                <w:sz w:val="16"/>
                <w:szCs w:val="16"/>
              </w:rPr>
              <w:lastRenderedPageBreak/>
              <w:t>II.2.2 el desempeño de los gerentes de primera línea y su cumplimiento de los objetivos a ellos fijados (el nivel de utilidades previstas versus el de utilidades logradas, calificación financiera, calidad del reporte contable, cuota de mercado, etc.</w:t>
            </w:r>
            <w:r w:rsidR="00757848" w:rsidRPr="00752897">
              <w:rPr>
                <w:sz w:val="16"/>
                <w:szCs w:val="16"/>
              </w:rPr>
              <w:t>). Hacer</w:t>
            </w:r>
            <w:r w:rsidRPr="00752897">
              <w:rPr>
                <w:sz w:val="16"/>
                <w:szCs w:val="16"/>
              </w:rPr>
              <w:t xml:space="preserve"> una descripción de los aspectos relevantes de la política de Control de Gestión de la Emisora detallando técnicas empleadas y frecuencia del monitoreo efectuado por el Órgano de Administración.            </w:t>
            </w:r>
          </w:p>
        </w:tc>
        <w:tc>
          <w:tcPr>
            <w:tcW w:w="851" w:type="dxa"/>
            <w:hideMark/>
          </w:tcPr>
          <w:p w14:paraId="7904F073" w14:textId="77777777" w:rsidR="00250520" w:rsidRPr="00752897" w:rsidRDefault="00250520" w:rsidP="00585F51">
            <w:pPr>
              <w:jc w:val="center"/>
              <w:rPr>
                <w:sz w:val="16"/>
                <w:szCs w:val="16"/>
              </w:rPr>
            </w:pPr>
            <w:r w:rsidRPr="00752897">
              <w:rPr>
                <w:sz w:val="16"/>
                <w:szCs w:val="16"/>
              </w:rPr>
              <w:t>T</w:t>
            </w:r>
          </w:p>
        </w:tc>
        <w:tc>
          <w:tcPr>
            <w:tcW w:w="5244" w:type="dxa"/>
            <w:hideMark/>
          </w:tcPr>
          <w:p w14:paraId="4D896948" w14:textId="77777777" w:rsidR="00652198" w:rsidRDefault="000D7B1F">
            <w:pPr>
              <w:jc w:val="both"/>
              <w:rPr>
                <w:sz w:val="16"/>
                <w:szCs w:val="16"/>
              </w:rPr>
            </w:pPr>
            <w:r>
              <w:rPr>
                <w:sz w:val="16"/>
                <w:szCs w:val="16"/>
                <w:lang w:val="es-ES_tradnl"/>
              </w:rPr>
              <w:t>L</w:t>
            </w:r>
            <w:r w:rsidR="00250520" w:rsidRPr="00752897">
              <w:rPr>
                <w:sz w:val="16"/>
                <w:szCs w:val="16"/>
                <w:lang w:val="es-ES_tradnl"/>
              </w:rPr>
              <w:t xml:space="preserve">a Presidencia, controla y supervisa el desempeño de las gerencias de primera línea, verificando que cumplan los objetivos fijados anualmente, efectuando asimismo la correspondiente evaluación por objetivos. </w:t>
            </w:r>
          </w:p>
        </w:tc>
      </w:tr>
      <w:tr w:rsidR="00250520" w:rsidRPr="00752897" w14:paraId="08BAAF1E" w14:textId="77777777" w:rsidTr="00585F51">
        <w:trPr>
          <w:trHeight w:val="464"/>
        </w:trPr>
        <w:tc>
          <w:tcPr>
            <w:tcW w:w="3686" w:type="dxa"/>
            <w:hideMark/>
          </w:tcPr>
          <w:p w14:paraId="20D39FC2" w14:textId="77777777" w:rsidR="00652198" w:rsidRDefault="00250520">
            <w:pPr>
              <w:jc w:val="both"/>
              <w:rPr>
                <w:sz w:val="16"/>
                <w:szCs w:val="16"/>
              </w:rPr>
            </w:pPr>
            <w:r w:rsidRPr="00752897">
              <w:rPr>
                <w:sz w:val="16"/>
                <w:szCs w:val="16"/>
              </w:rPr>
              <w:t xml:space="preserve">Recomendación II.3: Dar a conocer el proceso de evaluación del desempeño del Órgano de Administración y su impacto. </w:t>
            </w:r>
          </w:p>
        </w:tc>
        <w:tc>
          <w:tcPr>
            <w:tcW w:w="851" w:type="dxa"/>
            <w:hideMark/>
          </w:tcPr>
          <w:p w14:paraId="71A49217" w14:textId="77777777" w:rsidR="00250520" w:rsidRPr="00752897" w:rsidRDefault="00250520" w:rsidP="00585F51">
            <w:pPr>
              <w:rPr>
                <w:rFonts w:eastAsia="Calibri"/>
                <w:sz w:val="16"/>
                <w:szCs w:val="16"/>
                <w:lang w:eastAsia="en-US"/>
              </w:rPr>
            </w:pPr>
          </w:p>
        </w:tc>
        <w:tc>
          <w:tcPr>
            <w:tcW w:w="5244" w:type="dxa"/>
            <w:hideMark/>
          </w:tcPr>
          <w:p w14:paraId="51857A89" w14:textId="77777777" w:rsidR="00250520" w:rsidRPr="00752897" w:rsidRDefault="00250520" w:rsidP="00585F51">
            <w:pPr>
              <w:rPr>
                <w:sz w:val="16"/>
                <w:szCs w:val="16"/>
              </w:rPr>
            </w:pPr>
            <w:r w:rsidRPr="00752897">
              <w:rPr>
                <w:sz w:val="16"/>
                <w:szCs w:val="16"/>
              </w:rPr>
              <w:t> </w:t>
            </w:r>
          </w:p>
        </w:tc>
      </w:tr>
      <w:tr w:rsidR="00250520" w:rsidRPr="00752897" w14:paraId="32D51ACA" w14:textId="77777777" w:rsidTr="00585F51">
        <w:trPr>
          <w:trHeight w:val="255"/>
        </w:trPr>
        <w:tc>
          <w:tcPr>
            <w:tcW w:w="3686" w:type="dxa"/>
            <w:hideMark/>
          </w:tcPr>
          <w:p w14:paraId="7CDCC11A" w14:textId="77777777" w:rsidR="00652198" w:rsidRDefault="00250520">
            <w:pPr>
              <w:jc w:val="both"/>
              <w:rPr>
                <w:sz w:val="16"/>
                <w:szCs w:val="16"/>
              </w:rPr>
            </w:pPr>
            <w:r w:rsidRPr="00752897">
              <w:rPr>
                <w:sz w:val="16"/>
                <w:szCs w:val="16"/>
              </w:rPr>
              <w:t xml:space="preserve">II.3.1 Cada miembro del Órgano de Administración cumple con el Estatuto Social y, en su caso, con el Reglamento del funcionamiento del Órgano de Administración. Detallar las principales directrices del Reglamento. Indicar el grado de cumplimiento del Estatuto Social y Reglamento. </w:t>
            </w:r>
          </w:p>
        </w:tc>
        <w:tc>
          <w:tcPr>
            <w:tcW w:w="851" w:type="dxa"/>
            <w:hideMark/>
          </w:tcPr>
          <w:p w14:paraId="3BE8ECEB" w14:textId="77777777" w:rsidR="00250520" w:rsidRPr="00752897" w:rsidRDefault="00250520" w:rsidP="00585F51">
            <w:pPr>
              <w:jc w:val="center"/>
              <w:rPr>
                <w:sz w:val="16"/>
                <w:szCs w:val="16"/>
              </w:rPr>
            </w:pPr>
            <w:r w:rsidRPr="00752897">
              <w:rPr>
                <w:sz w:val="16"/>
                <w:szCs w:val="16"/>
              </w:rPr>
              <w:t>T</w:t>
            </w:r>
          </w:p>
        </w:tc>
        <w:tc>
          <w:tcPr>
            <w:tcW w:w="5244" w:type="dxa"/>
            <w:hideMark/>
          </w:tcPr>
          <w:p w14:paraId="71D5D18E" w14:textId="5C28FA17" w:rsidR="00652198" w:rsidRDefault="00250520">
            <w:pPr>
              <w:jc w:val="both"/>
              <w:rPr>
                <w:sz w:val="16"/>
                <w:szCs w:val="16"/>
              </w:rPr>
            </w:pPr>
            <w:r w:rsidRPr="00752897">
              <w:rPr>
                <w:sz w:val="16"/>
                <w:szCs w:val="16"/>
              </w:rPr>
              <w:t xml:space="preserve">El Directorio cumple con todo lo establecido en el Estatuto Social y en la Ley General de Sociedades, pudiendo celebrar toda clase de actos que tiendan al cumplimiento del objeto social y es el encargado de cumplimentar los objetivos anuales, </w:t>
            </w:r>
            <w:r w:rsidR="00757848" w:rsidRPr="00752897">
              <w:rPr>
                <w:sz w:val="16"/>
                <w:szCs w:val="16"/>
              </w:rPr>
              <w:t>de acuerdo con</w:t>
            </w:r>
            <w:r w:rsidRPr="00752897">
              <w:rPr>
                <w:sz w:val="16"/>
                <w:szCs w:val="16"/>
              </w:rPr>
              <w:t xml:space="preserve"> las políticas y estrategias de negocio. </w:t>
            </w:r>
          </w:p>
        </w:tc>
      </w:tr>
      <w:tr w:rsidR="00250520" w:rsidRPr="00752897" w14:paraId="5ADDC092" w14:textId="77777777" w:rsidTr="00585F51">
        <w:trPr>
          <w:trHeight w:val="255"/>
        </w:trPr>
        <w:tc>
          <w:tcPr>
            <w:tcW w:w="3686" w:type="dxa"/>
            <w:hideMark/>
          </w:tcPr>
          <w:p w14:paraId="347187EF" w14:textId="77777777" w:rsidR="00652198" w:rsidRDefault="00250520">
            <w:pPr>
              <w:jc w:val="both"/>
              <w:rPr>
                <w:sz w:val="16"/>
                <w:szCs w:val="16"/>
              </w:rPr>
            </w:pPr>
            <w:r w:rsidRPr="00752897">
              <w:rPr>
                <w:sz w:val="16"/>
                <w:szCs w:val="16"/>
              </w:rPr>
              <w:t>II.3.2 El Órgano de Administración expone los resultados de su gestión teniendo en cuenta los objetivos fijados al inicio del período, de modo tal que los accionistas puedan evaluar el grado de cumplimiento de tales objetivos, que contienen tanto aspectos financieros como no financieros. Adicionalmente, el Órgano de Administración presenta un diagnóstico acerca del grado de cumplimiento de las políticas mencionadas en la Recomendación II, ítems II.1.1.y II.1.2 Detallar los aspectos principales de la evaluación de la Asamblea General de Accionistas sobre el grado de cumplimiento por parte del Órgano de Administración de los objetivos fijados y de las políticas mencionadas en la Recomendación II, puntos II.1.1 y II.1.2, indicando la fecha de la Asamblea donde se presentó dicha evaluación.</w:t>
            </w:r>
          </w:p>
        </w:tc>
        <w:tc>
          <w:tcPr>
            <w:tcW w:w="851" w:type="dxa"/>
            <w:hideMark/>
          </w:tcPr>
          <w:p w14:paraId="0278996B" w14:textId="77777777" w:rsidR="00250520" w:rsidRPr="00752897" w:rsidRDefault="00250520" w:rsidP="00585F51">
            <w:pPr>
              <w:jc w:val="center"/>
              <w:rPr>
                <w:sz w:val="16"/>
                <w:szCs w:val="16"/>
              </w:rPr>
            </w:pPr>
            <w:r w:rsidRPr="00752897">
              <w:rPr>
                <w:sz w:val="16"/>
                <w:szCs w:val="16"/>
              </w:rPr>
              <w:t>T</w:t>
            </w:r>
          </w:p>
        </w:tc>
        <w:tc>
          <w:tcPr>
            <w:tcW w:w="5244" w:type="dxa"/>
            <w:hideMark/>
          </w:tcPr>
          <w:p w14:paraId="67A25D2F" w14:textId="77777777" w:rsidR="00652198" w:rsidRDefault="00250520">
            <w:pPr>
              <w:jc w:val="both"/>
              <w:rPr>
                <w:sz w:val="16"/>
                <w:szCs w:val="16"/>
              </w:rPr>
            </w:pPr>
            <w:r w:rsidRPr="00752897">
              <w:rPr>
                <w:sz w:val="16"/>
                <w:szCs w:val="16"/>
              </w:rPr>
              <w:t>El Directorio pone a disposición de los accionistas con anterioridad a la Asamblea Ordinaria General de Accionistas, la memoria anual, en la cual se realiza un detalle de la gestión del Directorio durante el ejercicio y se fijan los objetivos para el siguiente ejercicio, que luego es aprobada por la Asamblea Anual de Accionistas.</w:t>
            </w:r>
          </w:p>
        </w:tc>
      </w:tr>
      <w:tr w:rsidR="00250520" w:rsidRPr="00752897" w14:paraId="097E19DF" w14:textId="77777777" w:rsidTr="00585F51">
        <w:trPr>
          <w:trHeight w:val="467"/>
        </w:trPr>
        <w:tc>
          <w:tcPr>
            <w:tcW w:w="3686" w:type="dxa"/>
            <w:hideMark/>
          </w:tcPr>
          <w:p w14:paraId="0831927C" w14:textId="77777777" w:rsidR="00652198" w:rsidRDefault="00250520">
            <w:pPr>
              <w:jc w:val="both"/>
              <w:rPr>
                <w:sz w:val="16"/>
                <w:szCs w:val="16"/>
              </w:rPr>
            </w:pPr>
            <w:r w:rsidRPr="00752897">
              <w:rPr>
                <w:sz w:val="16"/>
                <w:szCs w:val="16"/>
              </w:rPr>
              <w:t xml:space="preserve">Recomendación II.4: Que el número de miembros externos e independientes constituyan una proporción significativa en el Órgano de Administración. </w:t>
            </w:r>
          </w:p>
        </w:tc>
        <w:tc>
          <w:tcPr>
            <w:tcW w:w="851" w:type="dxa"/>
            <w:hideMark/>
          </w:tcPr>
          <w:p w14:paraId="70CD52AB" w14:textId="77777777" w:rsidR="00250520" w:rsidRPr="00752897" w:rsidRDefault="00250520" w:rsidP="00585F51">
            <w:pPr>
              <w:rPr>
                <w:rFonts w:eastAsia="Calibri"/>
                <w:sz w:val="16"/>
                <w:szCs w:val="16"/>
                <w:lang w:eastAsia="en-US"/>
              </w:rPr>
            </w:pPr>
          </w:p>
        </w:tc>
        <w:tc>
          <w:tcPr>
            <w:tcW w:w="5244" w:type="dxa"/>
            <w:hideMark/>
          </w:tcPr>
          <w:p w14:paraId="0FE97019" w14:textId="77777777" w:rsidR="00652198" w:rsidRDefault="00652198">
            <w:pPr>
              <w:jc w:val="both"/>
              <w:rPr>
                <w:rFonts w:eastAsia="Calibri"/>
                <w:sz w:val="16"/>
                <w:szCs w:val="16"/>
                <w:lang w:eastAsia="en-US"/>
              </w:rPr>
            </w:pPr>
          </w:p>
        </w:tc>
      </w:tr>
      <w:tr w:rsidR="00250520" w:rsidRPr="00752897" w14:paraId="20B477A5" w14:textId="77777777" w:rsidTr="00585F51">
        <w:trPr>
          <w:trHeight w:val="255"/>
        </w:trPr>
        <w:tc>
          <w:tcPr>
            <w:tcW w:w="3686" w:type="dxa"/>
            <w:hideMark/>
          </w:tcPr>
          <w:p w14:paraId="45B3289F" w14:textId="77777777" w:rsidR="00652198" w:rsidRDefault="00250520">
            <w:pPr>
              <w:jc w:val="both"/>
              <w:rPr>
                <w:sz w:val="16"/>
                <w:szCs w:val="16"/>
              </w:rPr>
            </w:pPr>
            <w:r w:rsidRPr="00752897">
              <w:rPr>
                <w:sz w:val="16"/>
                <w:szCs w:val="16"/>
              </w:rPr>
              <w:t>II.4.1 La proporción de miembros ejecutivos, externos e independientes (éstos últimos definidos según la normativa de esta Comisión) del Órgano de Administración guarda relación con la estructura de capital de la Emisora. Explicitar.</w:t>
            </w:r>
          </w:p>
        </w:tc>
        <w:tc>
          <w:tcPr>
            <w:tcW w:w="851" w:type="dxa"/>
            <w:hideMark/>
          </w:tcPr>
          <w:p w14:paraId="052A46D7" w14:textId="77777777" w:rsidR="00250520" w:rsidRPr="00752897" w:rsidRDefault="00250520" w:rsidP="00585F51">
            <w:pPr>
              <w:jc w:val="center"/>
              <w:rPr>
                <w:sz w:val="16"/>
                <w:szCs w:val="16"/>
              </w:rPr>
            </w:pPr>
            <w:r w:rsidRPr="00752897">
              <w:rPr>
                <w:sz w:val="16"/>
                <w:szCs w:val="16"/>
              </w:rPr>
              <w:t>T</w:t>
            </w:r>
          </w:p>
        </w:tc>
        <w:tc>
          <w:tcPr>
            <w:tcW w:w="5244" w:type="dxa"/>
            <w:hideMark/>
          </w:tcPr>
          <w:p w14:paraId="41EC48DF" w14:textId="2363A3E9" w:rsidR="00652198" w:rsidRDefault="00250520">
            <w:pPr>
              <w:jc w:val="both"/>
              <w:rPr>
                <w:sz w:val="16"/>
                <w:szCs w:val="16"/>
              </w:rPr>
            </w:pPr>
            <w:r w:rsidRPr="00752897">
              <w:rPr>
                <w:sz w:val="16"/>
                <w:szCs w:val="16"/>
                <w:lang w:val="es-ES_tradnl"/>
              </w:rPr>
              <w:t xml:space="preserve">El Directorio de PCR está compuesto por diez Directores Titulares, de los cuales </w:t>
            </w:r>
            <w:r w:rsidR="003040F0">
              <w:rPr>
                <w:sz w:val="16"/>
                <w:szCs w:val="16"/>
                <w:lang w:val="es-ES_tradnl"/>
              </w:rPr>
              <w:t xml:space="preserve">uno es </w:t>
            </w:r>
            <w:r w:rsidRPr="00752897">
              <w:rPr>
                <w:sz w:val="16"/>
                <w:szCs w:val="16"/>
                <w:lang w:val="es-ES_tradnl"/>
              </w:rPr>
              <w:t xml:space="preserve">independiente según los criterios establecidos en las </w:t>
            </w:r>
            <w:r w:rsidR="003040F0">
              <w:rPr>
                <w:sz w:val="16"/>
                <w:szCs w:val="16"/>
                <w:lang w:val="es-ES_tradnl"/>
              </w:rPr>
              <w:t xml:space="preserve">nuevas </w:t>
            </w:r>
            <w:r w:rsidRPr="00752897">
              <w:rPr>
                <w:sz w:val="16"/>
                <w:szCs w:val="16"/>
                <w:lang w:val="es-ES_tradnl"/>
              </w:rPr>
              <w:t xml:space="preserve">Normas de CNV. </w:t>
            </w:r>
          </w:p>
        </w:tc>
      </w:tr>
      <w:tr w:rsidR="00250520" w:rsidRPr="00752897" w14:paraId="1E2607D0" w14:textId="77777777" w:rsidTr="00585F51">
        <w:trPr>
          <w:trHeight w:val="255"/>
        </w:trPr>
        <w:tc>
          <w:tcPr>
            <w:tcW w:w="3686" w:type="dxa"/>
            <w:hideMark/>
          </w:tcPr>
          <w:p w14:paraId="465EA63F" w14:textId="77777777" w:rsidR="00652198" w:rsidRDefault="00250520">
            <w:pPr>
              <w:jc w:val="both"/>
              <w:rPr>
                <w:sz w:val="16"/>
                <w:szCs w:val="16"/>
              </w:rPr>
            </w:pPr>
            <w:r w:rsidRPr="00752897">
              <w:rPr>
                <w:sz w:val="16"/>
                <w:szCs w:val="16"/>
              </w:rPr>
              <w:t>II.4.2 Durante el año en curso, los accionistas acordaron a través de una Asamblea General una política dirigida a mantener una proporción de al menos 20% de miembros independientes sobre el número total de miembros del Órgano de Administración.  Hacer una descripción de los aspectos relevantes de tal política y de cualquier acuerdo de accionistas que permita comprender el modo en que miembros del Órgano de Administración son designados y por cuánto tiempo. Indicar si la independencia de los miembros del Órgano de Administración fue cuestionada durante el transcurso del año y si se han producido abstenciones por conflictos de interés.</w:t>
            </w:r>
          </w:p>
        </w:tc>
        <w:tc>
          <w:tcPr>
            <w:tcW w:w="851" w:type="dxa"/>
            <w:hideMark/>
          </w:tcPr>
          <w:p w14:paraId="381C864B" w14:textId="77777777" w:rsidR="00250520" w:rsidRPr="00752897" w:rsidRDefault="00250520" w:rsidP="00585F51">
            <w:pPr>
              <w:jc w:val="center"/>
              <w:rPr>
                <w:sz w:val="16"/>
                <w:szCs w:val="16"/>
              </w:rPr>
            </w:pPr>
            <w:r w:rsidRPr="00752897">
              <w:rPr>
                <w:sz w:val="16"/>
                <w:szCs w:val="16"/>
              </w:rPr>
              <w:t>T</w:t>
            </w:r>
          </w:p>
        </w:tc>
        <w:tc>
          <w:tcPr>
            <w:tcW w:w="5244" w:type="dxa"/>
            <w:hideMark/>
          </w:tcPr>
          <w:p w14:paraId="3958C90F" w14:textId="15CEC52B" w:rsidR="00652198" w:rsidRDefault="00250520">
            <w:pPr>
              <w:jc w:val="both"/>
              <w:rPr>
                <w:sz w:val="16"/>
                <w:szCs w:val="16"/>
                <w:lang w:val="es-ES_tradnl"/>
              </w:rPr>
            </w:pPr>
            <w:r w:rsidRPr="008A4998">
              <w:rPr>
                <w:sz w:val="16"/>
                <w:lang w:val="es-ES_tradnl"/>
              </w:rPr>
              <w:t>E</w:t>
            </w:r>
            <w:r w:rsidR="00F52F97" w:rsidRPr="007C4596">
              <w:rPr>
                <w:sz w:val="16"/>
                <w:lang w:val="es-ES_tradnl"/>
              </w:rPr>
              <w:t>n concordancia con lo establecido en las normas aplicables, e</w:t>
            </w:r>
            <w:r w:rsidRPr="008A4998">
              <w:rPr>
                <w:sz w:val="16"/>
                <w:lang w:val="es-ES_tradnl"/>
              </w:rPr>
              <w:t>l Estatuto Social de PCR establece que</w:t>
            </w:r>
            <w:r w:rsidR="00F52F97" w:rsidRPr="007C4596">
              <w:rPr>
                <w:sz w:val="16"/>
                <w:lang w:val="es-ES_tradnl"/>
              </w:rPr>
              <w:t>,</w:t>
            </w:r>
            <w:r w:rsidRPr="008A4998">
              <w:rPr>
                <w:sz w:val="16"/>
                <w:lang w:val="es-ES_tradnl"/>
              </w:rPr>
              <w:t xml:space="preserve"> </w:t>
            </w:r>
            <w:r w:rsidR="00F52F97" w:rsidRPr="007C4596">
              <w:rPr>
                <w:sz w:val="16"/>
                <w:lang w:val="es-ES_tradnl"/>
              </w:rPr>
              <w:t xml:space="preserve">si PCR ingresara en el régimen de oferta pública </w:t>
            </w:r>
            <w:r w:rsidR="008A4998" w:rsidRPr="007C4596">
              <w:rPr>
                <w:sz w:val="16"/>
                <w:lang w:val="es-ES_tradnl"/>
              </w:rPr>
              <w:t>de acciones,</w:t>
            </w:r>
            <w:r w:rsidR="00F52F97" w:rsidRPr="007C4596">
              <w:rPr>
                <w:sz w:val="16"/>
                <w:lang w:val="es-ES_tradnl"/>
              </w:rPr>
              <w:t xml:space="preserve"> </w:t>
            </w:r>
            <w:r w:rsidRPr="008A4998">
              <w:rPr>
                <w:sz w:val="16"/>
                <w:lang w:val="es-ES_tradnl"/>
              </w:rPr>
              <w:t xml:space="preserve">al menos dos directores titulares sobre el número total del Directorio deben ser independientes. </w:t>
            </w:r>
            <w:r w:rsidR="00F52F97" w:rsidRPr="007C4596">
              <w:rPr>
                <w:sz w:val="16"/>
                <w:lang w:val="es-ES_tradnl"/>
              </w:rPr>
              <w:t xml:space="preserve">Pese a que </w:t>
            </w:r>
            <w:r w:rsidR="008A4998" w:rsidRPr="007C4596">
              <w:rPr>
                <w:sz w:val="16"/>
                <w:lang w:val="es-ES_tradnl"/>
              </w:rPr>
              <w:t>PCR no ha realizado oferta pública de acciones, d</w:t>
            </w:r>
            <w:r w:rsidR="00F52F97" w:rsidRPr="007C4596">
              <w:rPr>
                <w:sz w:val="16"/>
                <w:lang w:val="es-ES_tradnl"/>
              </w:rPr>
              <w:t xml:space="preserve">esde el </w:t>
            </w:r>
            <w:r w:rsidR="008A4998" w:rsidRPr="007C4596">
              <w:rPr>
                <w:sz w:val="16"/>
                <w:lang w:val="es-ES_tradnl"/>
              </w:rPr>
              <w:t xml:space="preserve">año </w:t>
            </w:r>
            <w:r w:rsidR="00F52F97" w:rsidRPr="007C4596">
              <w:rPr>
                <w:sz w:val="16"/>
                <w:lang w:val="es-ES_tradnl"/>
              </w:rPr>
              <w:t xml:space="preserve">2007 ha mantenido dos </w:t>
            </w:r>
            <w:r w:rsidR="008A4998" w:rsidRPr="007C4596">
              <w:rPr>
                <w:sz w:val="16"/>
                <w:lang w:val="es-ES_tradnl"/>
              </w:rPr>
              <w:t xml:space="preserve">directores independientes, habiendo uno de ellos perdido dicha calidad el año pasado, como consecuencia de los cambios introducidos en los criterios de independencia por la CNV. </w:t>
            </w:r>
            <w:r w:rsidR="00F52F97" w:rsidRPr="007C4596">
              <w:rPr>
                <w:sz w:val="16"/>
                <w:lang w:val="es-ES_tradnl"/>
              </w:rPr>
              <w:t xml:space="preserve"> </w:t>
            </w:r>
            <w:r w:rsidRPr="008A4998">
              <w:rPr>
                <w:sz w:val="16"/>
                <w:lang w:val="es-ES_tradnl"/>
              </w:rPr>
              <w:t>El modo y término de elección de los miembros del Directorio se detalla en el artículo 13 y siguientes del Estatuto Social. No ha sido cuestionado en todo el año la independencia de los Directores ni se han producido abstenciones por conflicto de interés.</w:t>
            </w:r>
          </w:p>
        </w:tc>
      </w:tr>
      <w:tr w:rsidR="00250520" w:rsidRPr="00752897" w14:paraId="2D666C6A" w14:textId="77777777" w:rsidTr="00585F51">
        <w:trPr>
          <w:trHeight w:val="695"/>
        </w:trPr>
        <w:tc>
          <w:tcPr>
            <w:tcW w:w="3686" w:type="dxa"/>
            <w:hideMark/>
          </w:tcPr>
          <w:p w14:paraId="3406755A" w14:textId="77777777" w:rsidR="00652198" w:rsidRDefault="00250520">
            <w:pPr>
              <w:jc w:val="both"/>
              <w:rPr>
                <w:sz w:val="16"/>
                <w:szCs w:val="16"/>
              </w:rPr>
            </w:pPr>
            <w:r w:rsidRPr="00752897">
              <w:rPr>
                <w:sz w:val="16"/>
                <w:szCs w:val="16"/>
              </w:rPr>
              <w:t>Recomendación II.5: Comprometer a que existan normas y procedimientos inherentes a la selección y propuesta de miembros del Órgano de Administración y gerentes de primera línea.</w:t>
            </w:r>
          </w:p>
        </w:tc>
        <w:tc>
          <w:tcPr>
            <w:tcW w:w="851" w:type="dxa"/>
            <w:noWrap/>
            <w:hideMark/>
          </w:tcPr>
          <w:p w14:paraId="76D0DFC6" w14:textId="77777777" w:rsidR="00250520" w:rsidRPr="00752897" w:rsidRDefault="00250520" w:rsidP="00585F51">
            <w:pPr>
              <w:rPr>
                <w:rFonts w:eastAsia="Calibri"/>
                <w:sz w:val="16"/>
                <w:szCs w:val="16"/>
                <w:lang w:eastAsia="en-US"/>
              </w:rPr>
            </w:pPr>
          </w:p>
        </w:tc>
        <w:tc>
          <w:tcPr>
            <w:tcW w:w="5244" w:type="dxa"/>
            <w:noWrap/>
            <w:hideMark/>
          </w:tcPr>
          <w:p w14:paraId="4625A637" w14:textId="77777777" w:rsidR="00250520" w:rsidRPr="00752897" w:rsidRDefault="00250520" w:rsidP="00585F51">
            <w:pPr>
              <w:rPr>
                <w:sz w:val="16"/>
                <w:szCs w:val="16"/>
              </w:rPr>
            </w:pPr>
            <w:r w:rsidRPr="00752897">
              <w:rPr>
                <w:sz w:val="16"/>
                <w:szCs w:val="16"/>
              </w:rPr>
              <w:t> </w:t>
            </w:r>
          </w:p>
        </w:tc>
      </w:tr>
      <w:tr w:rsidR="00250520" w:rsidRPr="00752897" w14:paraId="7E6EF59C" w14:textId="77777777" w:rsidTr="00585F51">
        <w:trPr>
          <w:trHeight w:val="255"/>
        </w:trPr>
        <w:tc>
          <w:tcPr>
            <w:tcW w:w="3686" w:type="dxa"/>
            <w:hideMark/>
          </w:tcPr>
          <w:p w14:paraId="4D59EF94" w14:textId="77777777" w:rsidR="00652198" w:rsidRDefault="00250520">
            <w:pPr>
              <w:jc w:val="both"/>
              <w:rPr>
                <w:sz w:val="16"/>
                <w:szCs w:val="16"/>
              </w:rPr>
            </w:pPr>
            <w:r w:rsidRPr="00752897">
              <w:rPr>
                <w:sz w:val="16"/>
                <w:szCs w:val="16"/>
              </w:rPr>
              <w:t>II.5.1. La Emisora cuenta con un Comité de Nombramientos:</w:t>
            </w:r>
          </w:p>
        </w:tc>
        <w:tc>
          <w:tcPr>
            <w:tcW w:w="851" w:type="dxa"/>
            <w:hideMark/>
          </w:tcPr>
          <w:p w14:paraId="0E48EF23" w14:textId="77777777" w:rsidR="00250520" w:rsidRPr="00752897" w:rsidRDefault="00250520" w:rsidP="00585F51">
            <w:pPr>
              <w:jc w:val="center"/>
              <w:rPr>
                <w:rFonts w:eastAsia="Calibri"/>
                <w:sz w:val="16"/>
                <w:szCs w:val="16"/>
                <w:lang w:eastAsia="en-US"/>
              </w:rPr>
            </w:pPr>
            <w:r w:rsidRPr="00752897">
              <w:rPr>
                <w:rFonts w:eastAsia="Calibri"/>
                <w:sz w:val="16"/>
                <w:szCs w:val="16"/>
                <w:lang w:eastAsia="en-US"/>
              </w:rPr>
              <w:t>P</w:t>
            </w:r>
          </w:p>
        </w:tc>
        <w:tc>
          <w:tcPr>
            <w:tcW w:w="5244" w:type="dxa"/>
            <w:hideMark/>
          </w:tcPr>
          <w:p w14:paraId="1F0ADA8C" w14:textId="4093F20B" w:rsidR="00652198" w:rsidRDefault="00250520" w:rsidP="000D7B1F">
            <w:pPr>
              <w:jc w:val="both"/>
              <w:rPr>
                <w:sz w:val="16"/>
                <w:szCs w:val="16"/>
              </w:rPr>
            </w:pPr>
            <w:r w:rsidRPr="00752897">
              <w:rPr>
                <w:sz w:val="16"/>
                <w:szCs w:val="16"/>
                <w:lang w:val="es-ES_tradnl"/>
              </w:rPr>
              <w:t xml:space="preserve">Los nombramientos son realizados en forma conjunta por la Presidencia y </w:t>
            </w:r>
            <w:r w:rsidR="000D7B1F">
              <w:rPr>
                <w:sz w:val="16"/>
                <w:szCs w:val="16"/>
                <w:lang w:val="es-ES_tradnl"/>
              </w:rPr>
              <w:t>el Gerente</w:t>
            </w:r>
            <w:r w:rsidRPr="00752897">
              <w:rPr>
                <w:sz w:val="16"/>
                <w:szCs w:val="16"/>
                <w:lang w:val="es-ES_tradnl"/>
              </w:rPr>
              <w:t xml:space="preserve"> de Recursos Humanos, previo acuerdo y aprobación del Comité Ejecutivo de PCR, sobre la base de las evaluaciones de desempeño que, se realizan </w:t>
            </w:r>
            <w:r w:rsidR="00757848" w:rsidRPr="00752897">
              <w:rPr>
                <w:sz w:val="16"/>
                <w:szCs w:val="16"/>
                <w:lang w:val="es-ES_tradnl"/>
              </w:rPr>
              <w:t>de acuerdo con</w:t>
            </w:r>
            <w:r w:rsidRPr="00752897">
              <w:rPr>
                <w:sz w:val="16"/>
                <w:szCs w:val="16"/>
                <w:lang w:val="es-ES_tradnl"/>
              </w:rPr>
              <w:t xml:space="preserve"> lo establecido en el Manual de Políticas y Procedimientos de Recursos Humanos. PCR no cuenta con un Comité de Nombramientos.</w:t>
            </w:r>
          </w:p>
        </w:tc>
      </w:tr>
      <w:tr w:rsidR="00250520" w:rsidRPr="00752897" w14:paraId="71D7E67C" w14:textId="77777777" w:rsidTr="00585F51">
        <w:trPr>
          <w:trHeight w:val="255"/>
        </w:trPr>
        <w:tc>
          <w:tcPr>
            <w:tcW w:w="3686" w:type="dxa"/>
            <w:hideMark/>
          </w:tcPr>
          <w:p w14:paraId="01D17031" w14:textId="77777777" w:rsidR="00652198" w:rsidRDefault="00250520">
            <w:pPr>
              <w:jc w:val="both"/>
              <w:rPr>
                <w:sz w:val="16"/>
                <w:szCs w:val="16"/>
              </w:rPr>
            </w:pPr>
            <w:r w:rsidRPr="00752897">
              <w:rPr>
                <w:sz w:val="16"/>
                <w:szCs w:val="16"/>
              </w:rPr>
              <w:t>II.5.1.1 integrado por al menos tres miembros del Órgano de Administración, en su mayoría independientes,</w:t>
            </w:r>
          </w:p>
        </w:tc>
        <w:tc>
          <w:tcPr>
            <w:tcW w:w="851" w:type="dxa"/>
            <w:hideMark/>
          </w:tcPr>
          <w:p w14:paraId="5AC9A77F" w14:textId="77777777" w:rsidR="00250520" w:rsidRPr="00752897" w:rsidRDefault="00250520" w:rsidP="00585F51">
            <w:pPr>
              <w:jc w:val="center"/>
              <w:rPr>
                <w:sz w:val="16"/>
                <w:szCs w:val="16"/>
              </w:rPr>
            </w:pPr>
          </w:p>
        </w:tc>
        <w:tc>
          <w:tcPr>
            <w:tcW w:w="5244" w:type="dxa"/>
            <w:hideMark/>
          </w:tcPr>
          <w:p w14:paraId="052B869D" w14:textId="77777777" w:rsidR="00652198" w:rsidRDefault="00250520">
            <w:pPr>
              <w:jc w:val="both"/>
              <w:rPr>
                <w:sz w:val="16"/>
                <w:szCs w:val="16"/>
              </w:rPr>
            </w:pPr>
            <w:r w:rsidRPr="00752897">
              <w:rPr>
                <w:sz w:val="16"/>
                <w:szCs w:val="16"/>
                <w:lang w:val="es-ES_tradnl"/>
              </w:rPr>
              <w:t>N/A</w:t>
            </w:r>
          </w:p>
        </w:tc>
      </w:tr>
      <w:tr w:rsidR="00250520" w:rsidRPr="00752897" w14:paraId="4555A092" w14:textId="77777777" w:rsidTr="00585F51">
        <w:trPr>
          <w:trHeight w:val="255"/>
        </w:trPr>
        <w:tc>
          <w:tcPr>
            <w:tcW w:w="3686" w:type="dxa"/>
            <w:hideMark/>
          </w:tcPr>
          <w:p w14:paraId="02B21EC2" w14:textId="77777777" w:rsidR="00652198" w:rsidRDefault="00250520">
            <w:pPr>
              <w:jc w:val="both"/>
              <w:rPr>
                <w:sz w:val="16"/>
                <w:szCs w:val="16"/>
              </w:rPr>
            </w:pPr>
            <w:r w:rsidRPr="00752897">
              <w:rPr>
                <w:sz w:val="16"/>
                <w:szCs w:val="16"/>
              </w:rPr>
              <w:lastRenderedPageBreak/>
              <w:t>II.5.1.2 presidido por un miembro independiente del Órgano de Administración,</w:t>
            </w:r>
          </w:p>
        </w:tc>
        <w:tc>
          <w:tcPr>
            <w:tcW w:w="851" w:type="dxa"/>
            <w:hideMark/>
          </w:tcPr>
          <w:p w14:paraId="0652A7C3" w14:textId="77777777" w:rsidR="00250520" w:rsidRPr="00752897" w:rsidRDefault="00250520" w:rsidP="00585F51">
            <w:pPr>
              <w:jc w:val="center"/>
              <w:rPr>
                <w:sz w:val="16"/>
                <w:szCs w:val="16"/>
              </w:rPr>
            </w:pPr>
          </w:p>
        </w:tc>
        <w:tc>
          <w:tcPr>
            <w:tcW w:w="5244" w:type="dxa"/>
            <w:hideMark/>
          </w:tcPr>
          <w:p w14:paraId="2BFA888F" w14:textId="77777777" w:rsidR="00652198" w:rsidRDefault="00250520">
            <w:pPr>
              <w:jc w:val="both"/>
              <w:rPr>
                <w:sz w:val="16"/>
                <w:szCs w:val="16"/>
              </w:rPr>
            </w:pPr>
            <w:r w:rsidRPr="00752897">
              <w:rPr>
                <w:sz w:val="16"/>
                <w:szCs w:val="16"/>
                <w:lang w:val="es-ES_tradnl"/>
              </w:rPr>
              <w:t>N/A</w:t>
            </w:r>
            <w:r w:rsidRPr="00752897">
              <w:rPr>
                <w:sz w:val="16"/>
                <w:szCs w:val="16"/>
              </w:rPr>
              <w:t xml:space="preserve">. </w:t>
            </w:r>
          </w:p>
        </w:tc>
      </w:tr>
      <w:tr w:rsidR="00250520" w:rsidRPr="00752897" w14:paraId="7A2A965D" w14:textId="77777777" w:rsidTr="00585F51">
        <w:trPr>
          <w:trHeight w:val="255"/>
        </w:trPr>
        <w:tc>
          <w:tcPr>
            <w:tcW w:w="3686" w:type="dxa"/>
            <w:hideMark/>
          </w:tcPr>
          <w:p w14:paraId="00FDC856" w14:textId="77777777" w:rsidR="00652198" w:rsidRDefault="00250520">
            <w:pPr>
              <w:jc w:val="both"/>
              <w:rPr>
                <w:sz w:val="16"/>
                <w:szCs w:val="16"/>
              </w:rPr>
            </w:pPr>
            <w:r w:rsidRPr="00752897">
              <w:rPr>
                <w:sz w:val="16"/>
                <w:szCs w:val="16"/>
              </w:rPr>
              <w:t>II.5.1.3 que cuenta con miembros que acreditan suficiente idoneidad y experiencia en temas de políticas de capital humano,</w:t>
            </w:r>
          </w:p>
        </w:tc>
        <w:tc>
          <w:tcPr>
            <w:tcW w:w="851" w:type="dxa"/>
            <w:hideMark/>
          </w:tcPr>
          <w:p w14:paraId="22FB4B62" w14:textId="77777777" w:rsidR="00250520" w:rsidRPr="00752897" w:rsidRDefault="00250520" w:rsidP="00585F51">
            <w:pPr>
              <w:jc w:val="center"/>
              <w:rPr>
                <w:sz w:val="16"/>
                <w:szCs w:val="16"/>
              </w:rPr>
            </w:pPr>
          </w:p>
        </w:tc>
        <w:tc>
          <w:tcPr>
            <w:tcW w:w="5244" w:type="dxa"/>
            <w:hideMark/>
          </w:tcPr>
          <w:p w14:paraId="1D87B4AA" w14:textId="77777777" w:rsidR="00652198" w:rsidRDefault="00250520">
            <w:pPr>
              <w:jc w:val="both"/>
              <w:rPr>
                <w:sz w:val="16"/>
                <w:szCs w:val="16"/>
              </w:rPr>
            </w:pPr>
            <w:r w:rsidRPr="00752897">
              <w:rPr>
                <w:sz w:val="16"/>
                <w:szCs w:val="16"/>
                <w:lang w:val="es-ES_tradnl"/>
              </w:rPr>
              <w:t>N/A</w:t>
            </w:r>
          </w:p>
        </w:tc>
      </w:tr>
      <w:tr w:rsidR="00250520" w:rsidRPr="00752897" w14:paraId="4E77444B" w14:textId="77777777" w:rsidTr="00585F51">
        <w:trPr>
          <w:trHeight w:val="255"/>
        </w:trPr>
        <w:tc>
          <w:tcPr>
            <w:tcW w:w="3686" w:type="dxa"/>
            <w:hideMark/>
          </w:tcPr>
          <w:p w14:paraId="4ED7639C" w14:textId="77777777" w:rsidR="00652198" w:rsidRDefault="00250520">
            <w:pPr>
              <w:jc w:val="both"/>
              <w:rPr>
                <w:sz w:val="16"/>
                <w:szCs w:val="16"/>
              </w:rPr>
            </w:pPr>
            <w:r w:rsidRPr="00752897">
              <w:rPr>
                <w:sz w:val="16"/>
                <w:szCs w:val="16"/>
              </w:rPr>
              <w:t xml:space="preserve">II.5.1.4 que se reúna al menos dos veces por año. </w:t>
            </w:r>
          </w:p>
        </w:tc>
        <w:tc>
          <w:tcPr>
            <w:tcW w:w="851" w:type="dxa"/>
            <w:hideMark/>
          </w:tcPr>
          <w:p w14:paraId="3815369B" w14:textId="77777777" w:rsidR="00250520" w:rsidRPr="00752897" w:rsidRDefault="00250520" w:rsidP="00585F51">
            <w:pPr>
              <w:jc w:val="center"/>
              <w:rPr>
                <w:sz w:val="16"/>
                <w:szCs w:val="16"/>
              </w:rPr>
            </w:pPr>
          </w:p>
        </w:tc>
        <w:tc>
          <w:tcPr>
            <w:tcW w:w="5244" w:type="dxa"/>
            <w:hideMark/>
          </w:tcPr>
          <w:p w14:paraId="20DCB778" w14:textId="77777777" w:rsidR="00652198" w:rsidRDefault="00250520">
            <w:pPr>
              <w:jc w:val="both"/>
              <w:rPr>
                <w:sz w:val="16"/>
                <w:szCs w:val="16"/>
              </w:rPr>
            </w:pPr>
            <w:r w:rsidRPr="00752897">
              <w:rPr>
                <w:sz w:val="16"/>
                <w:szCs w:val="16"/>
                <w:lang w:val="es-ES_tradnl"/>
              </w:rPr>
              <w:t>N/A</w:t>
            </w:r>
            <w:r w:rsidRPr="00752897">
              <w:rPr>
                <w:sz w:val="16"/>
                <w:szCs w:val="16"/>
              </w:rPr>
              <w:t>.</w:t>
            </w:r>
          </w:p>
        </w:tc>
      </w:tr>
      <w:tr w:rsidR="00250520" w:rsidRPr="00752897" w14:paraId="2CB158B1" w14:textId="77777777" w:rsidTr="00585F51">
        <w:trPr>
          <w:trHeight w:val="255"/>
        </w:trPr>
        <w:tc>
          <w:tcPr>
            <w:tcW w:w="3686" w:type="dxa"/>
            <w:hideMark/>
          </w:tcPr>
          <w:p w14:paraId="5083D8F2" w14:textId="77777777" w:rsidR="00652198" w:rsidRDefault="00250520">
            <w:pPr>
              <w:jc w:val="both"/>
              <w:rPr>
                <w:sz w:val="16"/>
                <w:szCs w:val="16"/>
              </w:rPr>
            </w:pPr>
            <w:r w:rsidRPr="00752897">
              <w:rPr>
                <w:sz w:val="16"/>
                <w:szCs w:val="16"/>
              </w:rPr>
              <w:t>II.5.1.5 cuyas decisiones no son necesariamente vinculantes para la Asamblea General de Accionistas sino de carácter consultivo en lo que hace a la selección de los miembros del Órgano de Administración.</w:t>
            </w:r>
          </w:p>
        </w:tc>
        <w:tc>
          <w:tcPr>
            <w:tcW w:w="851" w:type="dxa"/>
            <w:hideMark/>
          </w:tcPr>
          <w:p w14:paraId="6D26A4BC" w14:textId="77777777" w:rsidR="00250520" w:rsidRPr="00752897" w:rsidRDefault="00250520" w:rsidP="00585F51">
            <w:pPr>
              <w:jc w:val="center"/>
              <w:rPr>
                <w:sz w:val="16"/>
                <w:szCs w:val="16"/>
              </w:rPr>
            </w:pPr>
          </w:p>
        </w:tc>
        <w:tc>
          <w:tcPr>
            <w:tcW w:w="5244" w:type="dxa"/>
            <w:hideMark/>
          </w:tcPr>
          <w:p w14:paraId="7E8AC4EB" w14:textId="77777777" w:rsidR="00652198" w:rsidRDefault="00250520">
            <w:pPr>
              <w:jc w:val="both"/>
              <w:rPr>
                <w:sz w:val="16"/>
                <w:szCs w:val="16"/>
              </w:rPr>
            </w:pPr>
            <w:r w:rsidRPr="00752897">
              <w:rPr>
                <w:sz w:val="16"/>
                <w:szCs w:val="16"/>
                <w:lang w:val="es-ES_tradnl"/>
              </w:rPr>
              <w:t>N/A</w:t>
            </w:r>
          </w:p>
        </w:tc>
      </w:tr>
      <w:tr w:rsidR="00250520" w:rsidRPr="00752897" w14:paraId="004D9601" w14:textId="77777777" w:rsidTr="00585F51">
        <w:trPr>
          <w:trHeight w:val="255"/>
        </w:trPr>
        <w:tc>
          <w:tcPr>
            <w:tcW w:w="3686" w:type="dxa"/>
            <w:hideMark/>
          </w:tcPr>
          <w:p w14:paraId="2AA458BE" w14:textId="77777777" w:rsidR="00652198" w:rsidRDefault="00250520">
            <w:pPr>
              <w:jc w:val="both"/>
              <w:rPr>
                <w:sz w:val="16"/>
                <w:szCs w:val="16"/>
              </w:rPr>
            </w:pPr>
            <w:r w:rsidRPr="00752897">
              <w:rPr>
                <w:sz w:val="16"/>
                <w:szCs w:val="16"/>
              </w:rPr>
              <w:t>II.5. 2 En caso de contar con un Comité de Nombramientos, el mismo:</w:t>
            </w:r>
          </w:p>
        </w:tc>
        <w:tc>
          <w:tcPr>
            <w:tcW w:w="851" w:type="dxa"/>
            <w:hideMark/>
          </w:tcPr>
          <w:p w14:paraId="7DED2DB6" w14:textId="77777777" w:rsidR="00250520" w:rsidRPr="00752897" w:rsidRDefault="00250520" w:rsidP="00585F51">
            <w:pPr>
              <w:jc w:val="center"/>
              <w:rPr>
                <w:sz w:val="16"/>
                <w:szCs w:val="16"/>
              </w:rPr>
            </w:pPr>
          </w:p>
        </w:tc>
        <w:tc>
          <w:tcPr>
            <w:tcW w:w="5244" w:type="dxa"/>
            <w:hideMark/>
          </w:tcPr>
          <w:p w14:paraId="0EFFA445" w14:textId="77777777" w:rsidR="00652198" w:rsidRDefault="00250520">
            <w:pPr>
              <w:jc w:val="both"/>
              <w:rPr>
                <w:color w:val="FF0000"/>
                <w:sz w:val="16"/>
                <w:szCs w:val="16"/>
              </w:rPr>
            </w:pPr>
            <w:r w:rsidRPr="00752897">
              <w:rPr>
                <w:sz w:val="16"/>
                <w:szCs w:val="16"/>
                <w:lang w:val="es-ES_tradnl"/>
              </w:rPr>
              <w:t>N/A</w:t>
            </w:r>
          </w:p>
        </w:tc>
      </w:tr>
      <w:tr w:rsidR="00250520" w:rsidRPr="00752897" w14:paraId="47E4AA48" w14:textId="77777777" w:rsidTr="00585F51">
        <w:trPr>
          <w:trHeight w:val="255"/>
        </w:trPr>
        <w:tc>
          <w:tcPr>
            <w:tcW w:w="3686" w:type="dxa"/>
            <w:hideMark/>
          </w:tcPr>
          <w:p w14:paraId="3B805AE9" w14:textId="77777777" w:rsidR="00652198" w:rsidRDefault="00250520">
            <w:pPr>
              <w:jc w:val="both"/>
              <w:rPr>
                <w:sz w:val="16"/>
                <w:szCs w:val="16"/>
              </w:rPr>
            </w:pPr>
            <w:r w:rsidRPr="00752897">
              <w:rPr>
                <w:sz w:val="16"/>
                <w:szCs w:val="16"/>
              </w:rPr>
              <w:t>II.5.2.1 verifica la revisión y evaluación anual de su reglamento y sugiere al Órgano de Administración las modificaciones para su aprobación,</w:t>
            </w:r>
          </w:p>
        </w:tc>
        <w:tc>
          <w:tcPr>
            <w:tcW w:w="851" w:type="dxa"/>
            <w:hideMark/>
          </w:tcPr>
          <w:p w14:paraId="462C7F7A" w14:textId="77777777" w:rsidR="00250520" w:rsidRPr="00752897" w:rsidRDefault="00250520" w:rsidP="00585F51">
            <w:pPr>
              <w:jc w:val="center"/>
              <w:rPr>
                <w:sz w:val="16"/>
                <w:szCs w:val="16"/>
              </w:rPr>
            </w:pPr>
          </w:p>
        </w:tc>
        <w:tc>
          <w:tcPr>
            <w:tcW w:w="5244" w:type="dxa"/>
            <w:hideMark/>
          </w:tcPr>
          <w:p w14:paraId="34234396" w14:textId="77777777" w:rsidR="00652198" w:rsidRDefault="00250520">
            <w:pPr>
              <w:jc w:val="both"/>
              <w:rPr>
                <w:sz w:val="16"/>
                <w:szCs w:val="16"/>
              </w:rPr>
            </w:pPr>
            <w:r w:rsidRPr="00752897">
              <w:rPr>
                <w:sz w:val="16"/>
                <w:szCs w:val="16"/>
                <w:lang w:val="es-ES_tradnl"/>
              </w:rPr>
              <w:t>N/A</w:t>
            </w:r>
            <w:r w:rsidRPr="00752897">
              <w:rPr>
                <w:sz w:val="16"/>
                <w:szCs w:val="16"/>
              </w:rPr>
              <w:t> </w:t>
            </w:r>
          </w:p>
        </w:tc>
      </w:tr>
      <w:tr w:rsidR="00250520" w:rsidRPr="00752897" w14:paraId="03479AEE" w14:textId="77777777" w:rsidTr="00585F51">
        <w:trPr>
          <w:trHeight w:val="255"/>
        </w:trPr>
        <w:tc>
          <w:tcPr>
            <w:tcW w:w="3686" w:type="dxa"/>
            <w:hideMark/>
          </w:tcPr>
          <w:p w14:paraId="2A656F5D" w14:textId="77777777" w:rsidR="00652198" w:rsidRDefault="00250520">
            <w:pPr>
              <w:jc w:val="both"/>
              <w:rPr>
                <w:sz w:val="16"/>
                <w:szCs w:val="16"/>
              </w:rPr>
            </w:pPr>
            <w:r w:rsidRPr="00752897">
              <w:rPr>
                <w:sz w:val="16"/>
                <w:szCs w:val="16"/>
              </w:rPr>
              <w:t>II.5.2.2 propone el desarrollo de criterios (calificación, experiencia, reputación profesional y ética, otros) para la selección de nuevos miembros del Órgano de Administración y gerentes de primera línea,</w:t>
            </w:r>
          </w:p>
        </w:tc>
        <w:tc>
          <w:tcPr>
            <w:tcW w:w="851" w:type="dxa"/>
            <w:hideMark/>
          </w:tcPr>
          <w:p w14:paraId="106E0925" w14:textId="77777777" w:rsidR="00250520" w:rsidRPr="00752897" w:rsidRDefault="00250520" w:rsidP="00585F51">
            <w:pPr>
              <w:jc w:val="center"/>
              <w:rPr>
                <w:sz w:val="16"/>
                <w:szCs w:val="16"/>
              </w:rPr>
            </w:pPr>
          </w:p>
        </w:tc>
        <w:tc>
          <w:tcPr>
            <w:tcW w:w="5244" w:type="dxa"/>
            <w:hideMark/>
          </w:tcPr>
          <w:p w14:paraId="6861996B" w14:textId="77777777" w:rsidR="00652198" w:rsidRDefault="00250520">
            <w:pPr>
              <w:jc w:val="both"/>
              <w:rPr>
                <w:sz w:val="16"/>
                <w:szCs w:val="16"/>
              </w:rPr>
            </w:pPr>
            <w:r w:rsidRPr="00752897">
              <w:rPr>
                <w:sz w:val="16"/>
                <w:szCs w:val="16"/>
              </w:rPr>
              <w:t> </w:t>
            </w:r>
            <w:r w:rsidRPr="00752897">
              <w:rPr>
                <w:sz w:val="16"/>
                <w:szCs w:val="16"/>
                <w:lang w:val="es-ES_tradnl"/>
              </w:rPr>
              <w:t>N/A</w:t>
            </w:r>
          </w:p>
        </w:tc>
      </w:tr>
      <w:tr w:rsidR="00250520" w:rsidRPr="00752897" w14:paraId="1F552403" w14:textId="77777777" w:rsidTr="00585F51">
        <w:trPr>
          <w:trHeight w:val="255"/>
        </w:trPr>
        <w:tc>
          <w:tcPr>
            <w:tcW w:w="3686" w:type="dxa"/>
            <w:hideMark/>
          </w:tcPr>
          <w:p w14:paraId="6D0F5601" w14:textId="77777777" w:rsidR="00652198" w:rsidRDefault="00250520">
            <w:pPr>
              <w:jc w:val="both"/>
              <w:rPr>
                <w:sz w:val="16"/>
                <w:szCs w:val="16"/>
              </w:rPr>
            </w:pPr>
            <w:r w:rsidRPr="00752897">
              <w:rPr>
                <w:sz w:val="16"/>
                <w:szCs w:val="16"/>
              </w:rPr>
              <w:t xml:space="preserve">II.5.2.3 identifica los candidatos a miembros del Órgano de Administración a ser propuestos por el Comité a la Asamblea General de Accionistas, </w:t>
            </w:r>
          </w:p>
        </w:tc>
        <w:tc>
          <w:tcPr>
            <w:tcW w:w="851" w:type="dxa"/>
            <w:hideMark/>
          </w:tcPr>
          <w:p w14:paraId="00635164" w14:textId="77777777" w:rsidR="00250520" w:rsidRPr="00752897" w:rsidRDefault="00250520" w:rsidP="00585F51">
            <w:pPr>
              <w:jc w:val="center"/>
              <w:rPr>
                <w:sz w:val="16"/>
                <w:szCs w:val="16"/>
              </w:rPr>
            </w:pPr>
          </w:p>
        </w:tc>
        <w:tc>
          <w:tcPr>
            <w:tcW w:w="5244" w:type="dxa"/>
            <w:hideMark/>
          </w:tcPr>
          <w:p w14:paraId="7D361874" w14:textId="77777777" w:rsidR="00652198" w:rsidRDefault="00250520">
            <w:pPr>
              <w:jc w:val="both"/>
              <w:rPr>
                <w:sz w:val="16"/>
                <w:szCs w:val="16"/>
              </w:rPr>
            </w:pPr>
            <w:r w:rsidRPr="00752897">
              <w:rPr>
                <w:sz w:val="16"/>
                <w:szCs w:val="16"/>
                <w:lang w:val="es-ES_tradnl"/>
              </w:rPr>
              <w:t>N/A</w:t>
            </w:r>
          </w:p>
        </w:tc>
      </w:tr>
      <w:tr w:rsidR="00250520" w:rsidRPr="00752897" w14:paraId="79B0E612" w14:textId="77777777" w:rsidTr="00585F51">
        <w:trPr>
          <w:trHeight w:val="255"/>
        </w:trPr>
        <w:tc>
          <w:tcPr>
            <w:tcW w:w="3686" w:type="dxa"/>
            <w:hideMark/>
          </w:tcPr>
          <w:p w14:paraId="20535159" w14:textId="77777777" w:rsidR="00652198" w:rsidRDefault="00250520">
            <w:pPr>
              <w:jc w:val="both"/>
              <w:rPr>
                <w:sz w:val="16"/>
                <w:szCs w:val="16"/>
              </w:rPr>
            </w:pPr>
            <w:r w:rsidRPr="00752897">
              <w:rPr>
                <w:sz w:val="16"/>
                <w:szCs w:val="16"/>
              </w:rPr>
              <w:t>II. 5.2.4 sugiere miembros del Órgano de Administración que habrán de integrar los diferentes Comités del Órgano de Administración acorde a sus antecedentes,</w:t>
            </w:r>
          </w:p>
        </w:tc>
        <w:tc>
          <w:tcPr>
            <w:tcW w:w="851" w:type="dxa"/>
            <w:hideMark/>
          </w:tcPr>
          <w:p w14:paraId="37647709" w14:textId="77777777" w:rsidR="00250520" w:rsidRPr="00752897" w:rsidRDefault="00250520" w:rsidP="00585F51">
            <w:pPr>
              <w:jc w:val="center"/>
              <w:rPr>
                <w:sz w:val="16"/>
                <w:szCs w:val="16"/>
              </w:rPr>
            </w:pPr>
          </w:p>
        </w:tc>
        <w:tc>
          <w:tcPr>
            <w:tcW w:w="5244" w:type="dxa"/>
            <w:hideMark/>
          </w:tcPr>
          <w:p w14:paraId="2437547C" w14:textId="77777777" w:rsidR="00652198" w:rsidRDefault="00250520">
            <w:pPr>
              <w:jc w:val="both"/>
              <w:rPr>
                <w:sz w:val="16"/>
                <w:szCs w:val="16"/>
              </w:rPr>
            </w:pPr>
            <w:r w:rsidRPr="00752897">
              <w:rPr>
                <w:sz w:val="16"/>
                <w:szCs w:val="16"/>
                <w:lang w:val="es-ES_tradnl"/>
              </w:rPr>
              <w:t>N/A</w:t>
            </w:r>
          </w:p>
        </w:tc>
      </w:tr>
      <w:tr w:rsidR="00250520" w:rsidRPr="00752897" w14:paraId="423A7CD1" w14:textId="77777777" w:rsidTr="00585F51">
        <w:trPr>
          <w:trHeight w:val="255"/>
        </w:trPr>
        <w:tc>
          <w:tcPr>
            <w:tcW w:w="3686" w:type="dxa"/>
            <w:hideMark/>
          </w:tcPr>
          <w:p w14:paraId="12773641" w14:textId="77777777" w:rsidR="00652198" w:rsidRDefault="00250520">
            <w:pPr>
              <w:jc w:val="both"/>
              <w:rPr>
                <w:sz w:val="16"/>
                <w:szCs w:val="16"/>
              </w:rPr>
            </w:pPr>
            <w:r w:rsidRPr="00752897">
              <w:rPr>
                <w:sz w:val="16"/>
                <w:szCs w:val="16"/>
              </w:rPr>
              <w:t>II. 5.2.5 recomienda que el Presidente del Directorio no sea a su vez el Gerente General de la Emisora,</w:t>
            </w:r>
          </w:p>
        </w:tc>
        <w:tc>
          <w:tcPr>
            <w:tcW w:w="851" w:type="dxa"/>
            <w:hideMark/>
          </w:tcPr>
          <w:p w14:paraId="02691CE1" w14:textId="77777777" w:rsidR="00250520" w:rsidRPr="00752897" w:rsidRDefault="00250520" w:rsidP="00585F51">
            <w:pPr>
              <w:jc w:val="center"/>
              <w:rPr>
                <w:sz w:val="16"/>
                <w:szCs w:val="16"/>
              </w:rPr>
            </w:pPr>
          </w:p>
        </w:tc>
        <w:tc>
          <w:tcPr>
            <w:tcW w:w="5244" w:type="dxa"/>
            <w:hideMark/>
          </w:tcPr>
          <w:p w14:paraId="15859F3C" w14:textId="77777777" w:rsidR="00652198" w:rsidRDefault="00250520">
            <w:pPr>
              <w:jc w:val="both"/>
              <w:rPr>
                <w:sz w:val="16"/>
                <w:szCs w:val="16"/>
              </w:rPr>
            </w:pPr>
            <w:r w:rsidRPr="00752897">
              <w:rPr>
                <w:sz w:val="16"/>
                <w:szCs w:val="16"/>
                <w:lang w:val="es-ES_tradnl"/>
              </w:rPr>
              <w:t>N/A</w:t>
            </w:r>
          </w:p>
        </w:tc>
      </w:tr>
      <w:tr w:rsidR="00250520" w:rsidRPr="00752897" w14:paraId="5AB97C29" w14:textId="77777777" w:rsidTr="00585F51">
        <w:trPr>
          <w:trHeight w:val="255"/>
        </w:trPr>
        <w:tc>
          <w:tcPr>
            <w:tcW w:w="3686" w:type="dxa"/>
            <w:hideMark/>
          </w:tcPr>
          <w:p w14:paraId="58D33B5C" w14:textId="77777777" w:rsidR="00652198" w:rsidRDefault="00250520">
            <w:pPr>
              <w:jc w:val="both"/>
              <w:rPr>
                <w:sz w:val="16"/>
                <w:szCs w:val="16"/>
              </w:rPr>
            </w:pPr>
            <w:r w:rsidRPr="00752897">
              <w:rPr>
                <w:sz w:val="16"/>
                <w:szCs w:val="16"/>
              </w:rPr>
              <w:t xml:space="preserve">II. 5.2.6 asegura la disponibilidad de los </w:t>
            </w:r>
            <w:proofErr w:type="spellStart"/>
            <w:r w:rsidRPr="00752897">
              <w:rPr>
                <w:sz w:val="16"/>
                <w:szCs w:val="16"/>
              </w:rPr>
              <w:t>curriculum</w:t>
            </w:r>
            <w:proofErr w:type="spellEnd"/>
            <w:r w:rsidRPr="00752897">
              <w:rPr>
                <w:sz w:val="16"/>
                <w:szCs w:val="16"/>
              </w:rPr>
              <w:t xml:space="preserve"> vitae de los miembros del Órgano de Administración y gerentes de la primera línea en la web de la Emisora, donde quede explicitada la duración de sus mandatos en el primer caso,</w:t>
            </w:r>
          </w:p>
        </w:tc>
        <w:tc>
          <w:tcPr>
            <w:tcW w:w="851" w:type="dxa"/>
            <w:hideMark/>
          </w:tcPr>
          <w:p w14:paraId="3A9925AB" w14:textId="77777777" w:rsidR="00250520" w:rsidRPr="00752897" w:rsidRDefault="00250520" w:rsidP="00585F51">
            <w:pPr>
              <w:jc w:val="center"/>
              <w:rPr>
                <w:sz w:val="16"/>
                <w:szCs w:val="16"/>
              </w:rPr>
            </w:pPr>
          </w:p>
        </w:tc>
        <w:tc>
          <w:tcPr>
            <w:tcW w:w="5244" w:type="dxa"/>
            <w:hideMark/>
          </w:tcPr>
          <w:p w14:paraId="2046E485" w14:textId="77777777" w:rsidR="00652198" w:rsidRDefault="00250520">
            <w:pPr>
              <w:jc w:val="both"/>
              <w:rPr>
                <w:sz w:val="16"/>
                <w:szCs w:val="16"/>
              </w:rPr>
            </w:pPr>
            <w:r w:rsidRPr="00752897">
              <w:rPr>
                <w:sz w:val="16"/>
                <w:szCs w:val="16"/>
                <w:lang w:val="es-ES_tradnl"/>
              </w:rPr>
              <w:t>N/A</w:t>
            </w:r>
          </w:p>
        </w:tc>
      </w:tr>
      <w:tr w:rsidR="00250520" w:rsidRPr="00752897" w14:paraId="2A69A8DF" w14:textId="77777777" w:rsidTr="00585F51">
        <w:trPr>
          <w:trHeight w:val="255"/>
        </w:trPr>
        <w:tc>
          <w:tcPr>
            <w:tcW w:w="3686" w:type="dxa"/>
            <w:hideMark/>
          </w:tcPr>
          <w:p w14:paraId="18DD136E" w14:textId="77777777" w:rsidR="00652198" w:rsidRDefault="00250520">
            <w:pPr>
              <w:jc w:val="both"/>
              <w:rPr>
                <w:sz w:val="16"/>
                <w:szCs w:val="16"/>
              </w:rPr>
            </w:pPr>
            <w:r w:rsidRPr="00752897">
              <w:rPr>
                <w:sz w:val="16"/>
                <w:szCs w:val="16"/>
              </w:rPr>
              <w:t>II.5.2.7 constata la existencia de un plan de sucesión del Órgano de Administración y de gerentes de primera línea.</w:t>
            </w:r>
          </w:p>
        </w:tc>
        <w:tc>
          <w:tcPr>
            <w:tcW w:w="851" w:type="dxa"/>
            <w:hideMark/>
          </w:tcPr>
          <w:p w14:paraId="743F10F7" w14:textId="77777777" w:rsidR="00250520" w:rsidRPr="00752897" w:rsidRDefault="00250520" w:rsidP="00585F51">
            <w:pPr>
              <w:jc w:val="center"/>
              <w:rPr>
                <w:sz w:val="16"/>
                <w:szCs w:val="16"/>
              </w:rPr>
            </w:pPr>
          </w:p>
        </w:tc>
        <w:tc>
          <w:tcPr>
            <w:tcW w:w="5244" w:type="dxa"/>
            <w:hideMark/>
          </w:tcPr>
          <w:p w14:paraId="327AC1CD" w14:textId="77777777" w:rsidR="00652198" w:rsidRDefault="00250520">
            <w:pPr>
              <w:jc w:val="both"/>
              <w:rPr>
                <w:sz w:val="16"/>
                <w:szCs w:val="16"/>
              </w:rPr>
            </w:pPr>
            <w:r w:rsidRPr="00752897">
              <w:rPr>
                <w:sz w:val="16"/>
                <w:szCs w:val="16"/>
                <w:lang w:val="es-ES_tradnl"/>
              </w:rPr>
              <w:t>N/A</w:t>
            </w:r>
          </w:p>
        </w:tc>
      </w:tr>
      <w:tr w:rsidR="00250520" w:rsidRPr="00752897" w14:paraId="1E1D456E" w14:textId="77777777" w:rsidTr="00585F51">
        <w:trPr>
          <w:trHeight w:val="255"/>
        </w:trPr>
        <w:tc>
          <w:tcPr>
            <w:tcW w:w="3686" w:type="dxa"/>
            <w:hideMark/>
          </w:tcPr>
          <w:p w14:paraId="32802CDC" w14:textId="77777777" w:rsidR="00652198" w:rsidRDefault="00250520">
            <w:pPr>
              <w:jc w:val="both"/>
              <w:rPr>
                <w:sz w:val="16"/>
                <w:szCs w:val="16"/>
              </w:rPr>
            </w:pPr>
            <w:r w:rsidRPr="00752897">
              <w:rPr>
                <w:sz w:val="16"/>
                <w:szCs w:val="16"/>
              </w:rPr>
              <w:t>I</w:t>
            </w:r>
            <w:r w:rsidRPr="00752897">
              <w:rPr>
                <w:color w:val="000000"/>
                <w:sz w:val="16"/>
                <w:szCs w:val="16"/>
              </w:rPr>
              <w:t>II.5. 3 De considerar relevante agregar políticas implementadas realizadas por el Comité de Nombramientos de la Emisora que no han sido mencionadas en el punto anterior.</w:t>
            </w:r>
          </w:p>
        </w:tc>
        <w:tc>
          <w:tcPr>
            <w:tcW w:w="851" w:type="dxa"/>
            <w:hideMark/>
          </w:tcPr>
          <w:p w14:paraId="7A45B016" w14:textId="77777777" w:rsidR="00250520" w:rsidRPr="00752897" w:rsidRDefault="00250520" w:rsidP="00585F51">
            <w:pPr>
              <w:rPr>
                <w:rFonts w:eastAsia="Calibri"/>
                <w:sz w:val="16"/>
                <w:szCs w:val="16"/>
                <w:lang w:eastAsia="en-US"/>
              </w:rPr>
            </w:pPr>
          </w:p>
        </w:tc>
        <w:tc>
          <w:tcPr>
            <w:tcW w:w="5244" w:type="dxa"/>
            <w:hideMark/>
          </w:tcPr>
          <w:p w14:paraId="5E8136B9" w14:textId="77777777" w:rsidR="00652198" w:rsidRDefault="00250520">
            <w:pPr>
              <w:jc w:val="both"/>
              <w:rPr>
                <w:rFonts w:eastAsia="Calibri"/>
                <w:sz w:val="16"/>
                <w:szCs w:val="16"/>
                <w:lang w:eastAsia="en-US"/>
              </w:rPr>
            </w:pPr>
            <w:r w:rsidRPr="00752897">
              <w:rPr>
                <w:sz w:val="16"/>
                <w:szCs w:val="16"/>
                <w:lang w:val="es-ES_tradnl"/>
              </w:rPr>
              <w:t>N/A</w:t>
            </w:r>
          </w:p>
        </w:tc>
      </w:tr>
      <w:tr w:rsidR="00250520" w:rsidRPr="00752897" w14:paraId="474A01DD" w14:textId="77777777" w:rsidTr="00585F51">
        <w:trPr>
          <w:trHeight w:val="733"/>
        </w:trPr>
        <w:tc>
          <w:tcPr>
            <w:tcW w:w="3686" w:type="dxa"/>
            <w:hideMark/>
          </w:tcPr>
          <w:p w14:paraId="63FD47DA" w14:textId="77777777" w:rsidR="00652198" w:rsidRDefault="00250520">
            <w:pPr>
              <w:jc w:val="both"/>
              <w:rPr>
                <w:sz w:val="16"/>
                <w:szCs w:val="16"/>
              </w:rPr>
            </w:pPr>
            <w:r w:rsidRPr="00752897">
              <w:rPr>
                <w:sz w:val="16"/>
                <w:szCs w:val="16"/>
                <w:lang w:val="es-ES_tradnl"/>
              </w:rPr>
              <w:t>Recomendación II.6: Evaluar la conveniencia de que miembros del Órgano de Administración y/o síndicos y/o consejeros de vigilancia desempeñen funciones en diversas Emisoras.</w:t>
            </w:r>
          </w:p>
        </w:tc>
        <w:tc>
          <w:tcPr>
            <w:tcW w:w="851" w:type="dxa"/>
            <w:hideMark/>
          </w:tcPr>
          <w:p w14:paraId="06BA6D8F" w14:textId="77777777" w:rsidR="00250520" w:rsidRPr="00752897" w:rsidRDefault="00250520" w:rsidP="00585F51">
            <w:pPr>
              <w:jc w:val="center"/>
              <w:rPr>
                <w:sz w:val="16"/>
                <w:szCs w:val="16"/>
              </w:rPr>
            </w:pPr>
            <w:r w:rsidRPr="00752897">
              <w:rPr>
                <w:sz w:val="16"/>
                <w:szCs w:val="16"/>
              </w:rPr>
              <w:t>T</w:t>
            </w:r>
          </w:p>
        </w:tc>
        <w:tc>
          <w:tcPr>
            <w:tcW w:w="5244" w:type="dxa"/>
            <w:hideMark/>
          </w:tcPr>
          <w:p w14:paraId="3909C7FD" w14:textId="52C8E3A1" w:rsidR="00652198" w:rsidRDefault="00250520">
            <w:pPr>
              <w:jc w:val="both"/>
              <w:rPr>
                <w:sz w:val="16"/>
                <w:szCs w:val="16"/>
              </w:rPr>
            </w:pPr>
            <w:r w:rsidRPr="00752897">
              <w:rPr>
                <w:sz w:val="16"/>
                <w:szCs w:val="16"/>
              </w:rPr>
              <w:t xml:space="preserve">El Directorio de PCR </w:t>
            </w:r>
            <w:r w:rsidR="003040F0">
              <w:rPr>
                <w:sz w:val="16"/>
                <w:szCs w:val="16"/>
              </w:rPr>
              <w:t xml:space="preserve">evalúa la </w:t>
            </w:r>
            <w:r w:rsidRPr="00752897">
              <w:rPr>
                <w:sz w:val="16"/>
                <w:szCs w:val="16"/>
              </w:rPr>
              <w:t xml:space="preserve">disponibilidad de tiempo </w:t>
            </w:r>
            <w:r w:rsidR="003040F0">
              <w:rPr>
                <w:sz w:val="16"/>
                <w:szCs w:val="16"/>
              </w:rPr>
              <w:t xml:space="preserve">de los miembros del órgano de Administración y síndicos </w:t>
            </w:r>
            <w:r w:rsidRPr="00752897">
              <w:rPr>
                <w:sz w:val="16"/>
                <w:szCs w:val="16"/>
              </w:rPr>
              <w:t xml:space="preserve">para las tareas a realizar </w:t>
            </w:r>
            <w:r w:rsidR="003040F0">
              <w:rPr>
                <w:sz w:val="16"/>
                <w:szCs w:val="16"/>
              </w:rPr>
              <w:t xml:space="preserve">e </w:t>
            </w:r>
            <w:r w:rsidRPr="00752897">
              <w:rPr>
                <w:sz w:val="16"/>
                <w:szCs w:val="16"/>
              </w:rPr>
              <w:t>incompatibilidad</w:t>
            </w:r>
            <w:r w:rsidR="003040F0">
              <w:rPr>
                <w:sz w:val="16"/>
                <w:szCs w:val="16"/>
              </w:rPr>
              <w:t xml:space="preserve"> de funciones</w:t>
            </w:r>
            <w:r w:rsidR="00E434D1">
              <w:rPr>
                <w:sz w:val="16"/>
                <w:szCs w:val="16"/>
              </w:rPr>
              <w:t xml:space="preserve"> por i</w:t>
            </w:r>
            <w:r w:rsidRPr="00752897">
              <w:rPr>
                <w:sz w:val="16"/>
                <w:szCs w:val="16"/>
              </w:rPr>
              <w:t>ntegr</w:t>
            </w:r>
            <w:r w:rsidR="00E434D1">
              <w:rPr>
                <w:sz w:val="16"/>
                <w:szCs w:val="16"/>
              </w:rPr>
              <w:t>ar</w:t>
            </w:r>
            <w:r w:rsidRPr="00752897">
              <w:rPr>
                <w:sz w:val="16"/>
                <w:szCs w:val="16"/>
              </w:rPr>
              <w:t xml:space="preserve"> órganos de administración de otras sociedades que sean competencia directa. En este sentido, no hubo ninguna violación a dichos límites en ningún caso.</w:t>
            </w:r>
          </w:p>
        </w:tc>
      </w:tr>
      <w:tr w:rsidR="00250520" w:rsidRPr="00752897" w14:paraId="63ABC5D9" w14:textId="77777777" w:rsidTr="00585F51">
        <w:trPr>
          <w:trHeight w:val="543"/>
        </w:trPr>
        <w:tc>
          <w:tcPr>
            <w:tcW w:w="3686" w:type="dxa"/>
            <w:hideMark/>
          </w:tcPr>
          <w:p w14:paraId="7D3643AA" w14:textId="77777777" w:rsidR="00652198" w:rsidRDefault="00250520">
            <w:pPr>
              <w:jc w:val="both"/>
              <w:rPr>
                <w:sz w:val="16"/>
                <w:szCs w:val="16"/>
                <w:lang w:val="es-ES_tradnl"/>
              </w:rPr>
            </w:pPr>
            <w:r w:rsidRPr="00752897">
              <w:rPr>
                <w:sz w:val="16"/>
                <w:szCs w:val="16"/>
                <w:lang w:val="es-ES_tradnl"/>
              </w:rPr>
              <w:t xml:space="preserve">Recomendación II.7: Asegurar la Capacitación y Desarrollo de miembros del Órgano de Administración y gerentes de primera línea de la Emisora. </w:t>
            </w:r>
          </w:p>
        </w:tc>
        <w:tc>
          <w:tcPr>
            <w:tcW w:w="851" w:type="dxa"/>
            <w:hideMark/>
          </w:tcPr>
          <w:p w14:paraId="25CEBC6F" w14:textId="77777777" w:rsidR="00250520" w:rsidRPr="00752897" w:rsidRDefault="00250520" w:rsidP="00585F51">
            <w:pPr>
              <w:rPr>
                <w:rFonts w:eastAsia="Calibri"/>
                <w:sz w:val="16"/>
                <w:szCs w:val="16"/>
                <w:lang w:eastAsia="en-US"/>
              </w:rPr>
            </w:pPr>
          </w:p>
        </w:tc>
        <w:tc>
          <w:tcPr>
            <w:tcW w:w="5244" w:type="dxa"/>
            <w:hideMark/>
          </w:tcPr>
          <w:p w14:paraId="071FA28E" w14:textId="77777777" w:rsidR="00652198" w:rsidRDefault="00652198">
            <w:pPr>
              <w:jc w:val="both"/>
              <w:rPr>
                <w:rFonts w:eastAsia="Calibri"/>
                <w:sz w:val="16"/>
                <w:szCs w:val="16"/>
                <w:lang w:eastAsia="en-US"/>
              </w:rPr>
            </w:pPr>
          </w:p>
        </w:tc>
      </w:tr>
      <w:tr w:rsidR="00250520" w:rsidRPr="00752897" w14:paraId="0ACBE8DC" w14:textId="77777777" w:rsidTr="00585F51">
        <w:trPr>
          <w:trHeight w:val="255"/>
        </w:trPr>
        <w:tc>
          <w:tcPr>
            <w:tcW w:w="3686" w:type="dxa"/>
            <w:hideMark/>
          </w:tcPr>
          <w:p w14:paraId="4FD212BD" w14:textId="77777777" w:rsidR="00652198" w:rsidRDefault="00250520">
            <w:pPr>
              <w:jc w:val="both"/>
              <w:rPr>
                <w:sz w:val="16"/>
                <w:szCs w:val="16"/>
                <w:lang w:val="es-ES_tradnl"/>
              </w:rPr>
            </w:pPr>
            <w:r w:rsidRPr="00752897">
              <w:rPr>
                <w:sz w:val="16"/>
                <w:szCs w:val="16"/>
                <w:lang w:val="es-ES_tradnl"/>
              </w:rPr>
              <w:t xml:space="preserve">II.7.1 La Emisora cuenta con Programas de Capacitación </w:t>
            </w:r>
            <w:proofErr w:type="gramStart"/>
            <w:r w:rsidRPr="00752897">
              <w:rPr>
                <w:sz w:val="16"/>
                <w:szCs w:val="16"/>
                <w:lang w:val="es-ES_tradnl"/>
              </w:rPr>
              <w:t>continua</w:t>
            </w:r>
            <w:proofErr w:type="gramEnd"/>
            <w:r w:rsidRPr="00752897">
              <w:rPr>
                <w:sz w:val="16"/>
                <w:szCs w:val="16"/>
                <w:lang w:val="es-ES_tradnl"/>
              </w:rPr>
              <w:t xml:space="preserve"> vinculado a las necesidades existentes de la Emisora para los miembros del Órgano de Administración y gerentes de primera línea, que incluyen temas acerca de su rol y responsabilidades, la gestión integral de riesgos empresariales, conocimientos específicos del negocio y sus regulaciones, la dinámica de la gobernanza de empresas y temas de responsabilidad social empresaria. En el caso de los miembros del Comité de Auditoría, normas contables internacionales, de auditoría y de control interno y de regulaciones específicas del mercado de capitales.  Describir los programas que se llevaron a cabo en el transcurso del año y su grado de cumplimiento.</w:t>
            </w:r>
          </w:p>
        </w:tc>
        <w:tc>
          <w:tcPr>
            <w:tcW w:w="851" w:type="dxa"/>
            <w:noWrap/>
            <w:hideMark/>
          </w:tcPr>
          <w:p w14:paraId="4925AEA2" w14:textId="77777777" w:rsidR="00250520" w:rsidRPr="00752897" w:rsidRDefault="00250520" w:rsidP="00585F51">
            <w:pPr>
              <w:jc w:val="center"/>
              <w:rPr>
                <w:sz w:val="16"/>
                <w:szCs w:val="16"/>
                <w:lang w:val="es-ES_tradnl"/>
              </w:rPr>
            </w:pPr>
            <w:r w:rsidRPr="00752897">
              <w:rPr>
                <w:sz w:val="16"/>
                <w:szCs w:val="16"/>
                <w:lang w:val="es-ES_tradnl"/>
              </w:rPr>
              <w:t>T</w:t>
            </w:r>
          </w:p>
        </w:tc>
        <w:tc>
          <w:tcPr>
            <w:tcW w:w="5244" w:type="dxa"/>
            <w:noWrap/>
            <w:hideMark/>
          </w:tcPr>
          <w:p w14:paraId="45A94BC0" w14:textId="498E8D18" w:rsidR="00652198" w:rsidRDefault="00250520" w:rsidP="000D7B1F">
            <w:pPr>
              <w:jc w:val="both"/>
              <w:rPr>
                <w:sz w:val="16"/>
                <w:szCs w:val="16"/>
                <w:lang w:val="es-ES_tradnl"/>
              </w:rPr>
            </w:pPr>
            <w:r w:rsidRPr="00752897">
              <w:rPr>
                <w:sz w:val="16"/>
                <w:szCs w:val="16"/>
              </w:rPr>
              <w:t xml:space="preserve">Mediante el Manual de Políticas y Procedimientos de Recursos Humanos se fijan criterios relacionados con los objetivos, alcance y responsabilidades referidas a la capacitación y desarrollo continuo del personal. En particular, en función de las evaluaciones realizadas en conjunto por el Presidente de PCR y </w:t>
            </w:r>
            <w:r w:rsidR="000D7B1F">
              <w:rPr>
                <w:sz w:val="16"/>
                <w:szCs w:val="16"/>
              </w:rPr>
              <w:t>la Gerencia</w:t>
            </w:r>
            <w:r w:rsidRPr="00752897">
              <w:rPr>
                <w:sz w:val="16"/>
                <w:szCs w:val="16"/>
              </w:rPr>
              <w:t xml:space="preserve"> de Recursos Humanos </w:t>
            </w:r>
            <w:r w:rsidR="003D409F" w:rsidRPr="00752897">
              <w:rPr>
                <w:sz w:val="16"/>
                <w:szCs w:val="16"/>
              </w:rPr>
              <w:t>a los gerentes</w:t>
            </w:r>
            <w:r w:rsidRPr="00752897">
              <w:rPr>
                <w:sz w:val="16"/>
                <w:szCs w:val="16"/>
              </w:rPr>
              <w:t xml:space="preserve"> de primera línea, las cuales son realizadas anualmente, se evalúan y detectan necesidades de capacitación relacionadas con </w:t>
            </w:r>
            <w:r w:rsidRPr="00752897">
              <w:rPr>
                <w:sz w:val="16"/>
                <w:szCs w:val="16"/>
                <w:lang w:val="es-ES_tradnl"/>
              </w:rPr>
              <w:t xml:space="preserve">sus respectivos roles, y responsabilidades; y se ofrecen distintos cursos de acción para capacitar a dichos gerentes en los conocimientos específicos necesarios. </w:t>
            </w:r>
          </w:p>
        </w:tc>
      </w:tr>
      <w:tr w:rsidR="00250520" w:rsidRPr="00752897" w14:paraId="49C70A87" w14:textId="77777777" w:rsidTr="00585F51">
        <w:trPr>
          <w:trHeight w:val="255"/>
        </w:trPr>
        <w:tc>
          <w:tcPr>
            <w:tcW w:w="3686" w:type="dxa"/>
            <w:hideMark/>
          </w:tcPr>
          <w:p w14:paraId="4BB0E6CF" w14:textId="77777777" w:rsidR="00652198" w:rsidRDefault="00250520">
            <w:pPr>
              <w:jc w:val="both"/>
              <w:rPr>
                <w:sz w:val="16"/>
                <w:szCs w:val="16"/>
                <w:lang w:val="es-ES_tradnl"/>
              </w:rPr>
            </w:pPr>
            <w:r w:rsidRPr="00752897">
              <w:rPr>
                <w:sz w:val="16"/>
                <w:szCs w:val="16"/>
                <w:lang w:val="es-ES_tradnl"/>
              </w:rPr>
              <w:t xml:space="preserve">II.7.2 La Emisora incentiva, por otros medios no mencionadas en II.7.1, a los miembros de Órgano de Administración y gerentes de primera línea para mantener una capacitación permanente que complemente su nivel de formación de manera que </w:t>
            </w:r>
            <w:r w:rsidRPr="00752897">
              <w:rPr>
                <w:sz w:val="16"/>
                <w:szCs w:val="16"/>
                <w:lang w:val="es-ES_tradnl"/>
              </w:rPr>
              <w:lastRenderedPageBreak/>
              <w:t>agregue valor a la Emisora. Indicar de qué modo lo hace.</w:t>
            </w:r>
          </w:p>
        </w:tc>
        <w:tc>
          <w:tcPr>
            <w:tcW w:w="851" w:type="dxa"/>
            <w:hideMark/>
          </w:tcPr>
          <w:p w14:paraId="5C937774" w14:textId="77777777" w:rsidR="00250520" w:rsidRPr="00752897" w:rsidRDefault="00250520" w:rsidP="00585F51">
            <w:pPr>
              <w:jc w:val="center"/>
              <w:rPr>
                <w:sz w:val="16"/>
                <w:szCs w:val="16"/>
                <w:lang w:val="es-ES_tradnl"/>
              </w:rPr>
            </w:pPr>
            <w:r w:rsidRPr="00752897">
              <w:rPr>
                <w:sz w:val="16"/>
                <w:szCs w:val="16"/>
                <w:lang w:val="es-ES_tradnl"/>
              </w:rPr>
              <w:lastRenderedPageBreak/>
              <w:t>P</w:t>
            </w:r>
          </w:p>
        </w:tc>
        <w:tc>
          <w:tcPr>
            <w:tcW w:w="5244" w:type="dxa"/>
            <w:hideMark/>
          </w:tcPr>
          <w:p w14:paraId="205A7855" w14:textId="77777777" w:rsidR="00652198" w:rsidRDefault="00250520">
            <w:pPr>
              <w:jc w:val="both"/>
              <w:rPr>
                <w:sz w:val="16"/>
                <w:szCs w:val="16"/>
                <w:lang w:val="es-ES_tradnl"/>
              </w:rPr>
            </w:pPr>
            <w:r w:rsidRPr="00752897">
              <w:rPr>
                <w:sz w:val="16"/>
                <w:szCs w:val="16"/>
                <w:lang w:val="es-ES_tradnl"/>
              </w:rPr>
              <w:t>Si bien la Sociedad no considera necesario utilizar medios adicionales a los indicados en el punto II.7.1 para incentivar la capacitación permanente del Directorio y de los gerentes de primera línea, la Sociedad alienta toda capacitación que complemente su nivel de formación.</w:t>
            </w:r>
          </w:p>
        </w:tc>
      </w:tr>
      <w:tr w:rsidR="00250520" w:rsidRPr="00752897" w14:paraId="35244A27" w14:textId="77777777" w:rsidTr="00585F51">
        <w:trPr>
          <w:trHeight w:val="416"/>
        </w:trPr>
        <w:tc>
          <w:tcPr>
            <w:tcW w:w="9781" w:type="dxa"/>
            <w:gridSpan w:val="3"/>
            <w:hideMark/>
          </w:tcPr>
          <w:p w14:paraId="73EBB8FA" w14:textId="77777777" w:rsidR="00652198" w:rsidRDefault="00250520">
            <w:pPr>
              <w:jc w:val="both"/>
              <w:rPr>
                <w:b/>
                <w:sz w:val="16"/>
                <w:szCs w:val="16"/>
              </w:rPr>
            </w:pPr>
            <w:r w:rsidRPr="00752897">
              <w:rPr>
                <w:b/>
                <w:sz w:val="16"/>
                <w:szCs w:val="16"/>
              </w:rPr>
              <w:t>PRINCIPIO III. AVALAR UNA EFECTIVA POLITICA DE IDENTIFICACION, MEDICION, ADMINISTRACION Y DIVULGACION DEL RIESGO EMPRESARIAL</w:t>
            </w:r>
          </w:p>
        </w:tc>
      </w:tr>
      <w:tr w:rsidR="00250520" w:rsidRPr="00752897" w14:paraId="6A462E17" w14:textId="77777777" w:rsidTr="00585F51">
        <w:trPr>
          <w:trHeight w:val="701"/>
        </w:trPr>
        <w:tc>
          <w:tcPr>
            <w:tcW w:w="3686" w:type="dxa"/>
            <w:hideMark/>
          </w:tcPr>
          <w:p w14:paraId="4C3D9368" w14:textId="77777777" w:rsidR="00652198" w:rsidRDefault="00250520">
            <w:pPr>
              <w:jc w:val="both"/>
              <w:rPr>
                <w:sz w:val="16"/>
                <w:szCs w:val="16"/>
              </w:rPr>
            </w:pPr>
            <w:r w:rsidRPr="00752897">
              <w:rPr>
                <w:sz w:val="16"/>
                <w:szCs w:val="16"/>
              </w:rPr>
              <w:t>Recomendación III: El Órgano de Administración debe contar con una política de gestión integral del riesgo empresarial y monitorea su adecuada implementación.</w:t>
            </w:r>
          </w:p>
        </w:tc>
        <w:tc>
          <w:tcPr>
            <w:tcW w:w="851" w:type="dxa"/>
            <w:hideMark/>
          </w:tcPr>
          <w:p w14:paraId="714CE36E" w14:textId="77777777" w:rsidR="00250520" w:rsidRPr="00752897" w:rsidRDefault="00250520" w:rsidP="00585F51">
            <w:pPr>
              <w:rPr>
                <w:rFonts w:eastAsia="Calibri"/>
                <w:sz w:val="16"/>
                <w:szCs w:val="16"/>
                <w:lang w:eastAsia="en-US"/>
              </w:rPr>
            </w:pPr>
          </w:p>
        </w:tc>
        <w:tc>
          <w:tcPr>
            <w:tcW w:w="5244" w:type="dxa"/>
            <w:hideMark/>
          </w:tcPr>
          <w:p w14:paraId="2DBDED52" w14:textId="77777777" w:rsidR="00652198" w:rsidRDefault="00250520">
            <w:pPr>
              <w:jc w:val="both"/>
              <w:rPr>
                <w:sz w:val="16"/>
                <w:szCs w:val="16"/>
              </w:rPr>
            </w:pPr>
            <w:r w:rsidRPr="00752897">
              <w:rPr>
                <w:sz w:val="16"/>
                <w:szCs w:val="16"/>
              </w:rPr>
              <w:t> </w:t>
            </w:r>
          </w:p>
        </w:tc>
      </w:tr>
      <w:tr w:rsidR="00250520" w:rsidRPr="00752897" w14:paraId="0B0B7F8A" w14:textId="77777777" w:rsidTr="00585F51">
        <w:trPr>
          <w:trHeight w:val="255"/>
        </w:trPr>
        <w:tc>
          <w:tcPr>
            <w:tcW w:w="3686" w:type="dxa"/>
            <w:hideMark/>
          </w:tcPr>
          <w:p w14:paraId="21631740" w14:textId="77777777" w:rsidR="00652198" w:rsidRDefault="00250520">
            <w:pPr>
              <w:ind w:left="72"/>
              <w:jc w:val="both"/>
              <w:rPr>
                <w:sz w:val="16"/>
                <w:szCs w:val="16"/>
              </w:rPr>
            </w:pPr>
            <w:r w:rsidRPr="00752897">
              <w:rPr>
                <w:sz w:val="16"/>
                <w:szCs w:val="16"/>
              </w:rPr>
              <w:t xml:space="preserve">III.1 La Emisora cuenta con políticas de gestión integral de riesgos empresariales (de cumplimiento de los objetivos estratégicos, operativos, financieros, de reporte contable, de leyes y regulaciones, otros). Hacer una descripción de los aspectos más relevantes de las mismas. </w:t>
            </w:r>
          </w:p>
        </w:tc>
        <w:tc>
          <w:tcPr>
            <w:tcW w:w="851" w:type="dxa"/>
            <w:hideMark/>
          </w:tcPr>
          <w:p w14:paraId="717FC57E" w14:textId="77777777" w:rsidR="00250520" w:rsidRPr="00752897" w:rsidRDefault="00250520" w:rsidP="00585F51">
            <w:pPr>
              <w:jc w:val="center"/>
              <w:rPr>
                <w:sz w:val="16"/>
                <w:szCs w:val="16"/>
              </w:rPr>
            </w:pPr>
            <w:r w:rsidRPr="00752897">
              <w:rPr>
                <w:sz w:val="16"/>
                <w:szCs w:val="16"/>
              </w:rPr>
              <w:t>T</w:t>
            </w:r>
          </w:p>
        </w:tc>
        <w:tc>
          <w:tcPr>
            <w:tcW w:w="5244" w:type="dxa"/>
            <w:hideMark/>
          </w:tcPr>
          <w:p w14:paraId="4DC86B68" w14:textId="77777777" w:rsidR="00652198" w:rsidRDefault="00250520">
            <w:pPr>
              <w:jc w:val="both"/>
              <w:rPr>
                <w:sz w:val="16"/>
                <w:szCs w:val="16"/>
              </w:rPr>
            </w:pPr>
            <w:r w:rsidRPr="00752897">
              <w:rPr>
                <w:sz w:val="16"/>
                <w:szCs w:val="16"/>
              </w:rPr>
              <w:t xml:space="preserve">PCR cuenta con una estructura que permite el manejo y administración de riesgos a través de las distintas gerencias </w:t>
            </w:r>
            <w:r w:rsidR="00B12A3D">
              <w:rPr>
                <w:sz w:val="16"/>
                <w:szCs w:val="16"/>
              </w:rPr>
              <w:t>y</w:t>
            </w:r>
            <w:r w:rsidRPr="00752897">
              <w:rPr>
                <w:sz w:val="16"/>
                <w:szCs w:val="16"/>
              </w:rPr>
              <w:t xml:space="preserve"> un monitoreo </w:t>
            </w:r>
            <w:r w:rsidR="00B12A3D">
              <w:rPr>
                <w:sz w:val="16"/>
                <w:szCs w:val="16"/>
              </w:rPr>
              <w:t xml:space="preserve">por parte </w:t>
            </w:r>
            <w:r w:rsidRPr="00752897">
              <w:rPr>
                <w:sz w:val="16"/>
                <w:szCs w:val="16"/>
              </w:rPr>
              <w:t xml:space="preserve">de la Presidencia de PCR. Esto permite tener una visión individual e integral de los distintos riesgos y de las acciones para mitigar los mismos. Los principales riesgos se encuentran definidos y los aspectos más relevantes por área son: </w:t>
            </w:r>
          </w:p>
          <w:p w14:paraId="1CCD5FB5" w14:textId="77777777" w:rsidR="00652198" w:rsidRDefault="00652198">
            <w:pPr>
              <w:jc w:val="both"/>
              <w:rPr>
                <w:sz w:val="16"/>
                <w:szCs w:val="16"/>
              </w:rPr>
            </w:pPr>
          </w:p>
          <w:p w14:paraId="0DDD5DF3" w14:textId="21B8EC65" w:rsidR="00652198" w:rsidRDefault="000C071F">
            <w:pPr>
              <w:jc w:val="both"/>
              <w:rPr>
                <w:sz w:val="16"/>
                <w:szCs w:val="16"/>
              </w:rPr>
            </w:pPr>
            <w:r w:rsidRPr="00752897">
              <w:rPr>
                <w:sz w:val="16"/>
                <w:szCs w:val="16"/>
                <w:lang w:val="es-MX"/>
              </w:rPr>
              <w:t>Gerencia de Administración</w:t>
            </w:r>
            <w:r>
              <w:rPr>
                <w:sz w:val="16"/>
                <w:szCs w:val="16"/>
                <w:lang w:val="es-MX"/>
              </w:rPr>
              <w:t xml:space="preserve"> y Finanzas</w:t>
            </w:r>
            <w:r w:rsidRPr="00752897">
              <w:rPr>
                <w:sz w:val="16"/>
                <w:szCs w:val="16"/>
                <w:lang w:val="es-MX"/>
              </w:rPr>
              <w:t xml:space="preserve">: a) independencia de funciones respecto de </w:t>
            </w:r>
            <w:r w:rsidR="003D409F" w:rsidRPr="00752897">
              <w:rPr>
                <w:sz w:val="16"/>
                <w:szCs w:val="16"/>
                <w:lang w:val="es-MX"/>
              </w:rPr>
              <w:t>las áreas</w:t>
            </w:r>
            <w:r w:rsidRPr="00752897">
              <w:rPr>
                <w:sz w:val="16"/>
                <w:szCs w:val="16"/>
                <w:lang w:val="es-MX"/>
              </w:rPr>
              <w:t xml:space="preserve"> operativas</w:t>
            </w:r>
            <w:r>
              <w:rPr>
                <w:sz w:val="16"/>
                <w:szCs w:val="16"/>
                <w:lang w:val="es-MX"/>
              </w:rPr>
              <w:t xml:space="preserve"> y reporte al </w:t>
            </w:r>
            <w:proofErr w:type="gramStart"/>
            <w:r>
              <w:rPr>
                <w:sz w:val="16"/>
                <w:szCs w:val="16"/>
                <w:lang w:val="es-MX"/>
              </w:rPr>
              <w:t>Presidente</w:t>
            </w:r>
            <w:proofErr w:type="gramEnd"/>
            <w:r>
              <w:rPr>
                <w:sz w:val="16"/>
                <w:szCs w:val="16"/>
                <w:lang w:val="es-MX"/>
              </w:rPr>
              <w:t xml:space="preserve"> de PCR</w:t>
            </w:r>
            <w:r w:rsidRPr="00752897">
              <w:rPr>
                <w:sz w:val="16"/>
                <w:szCs w:val="16"/>
                <w:lang w:val="es-MX"/>
              </w:rPr>
              <w:t xml:space="preserve">; b) </w:t>
            </w:r>
            <w:r w:rsidRPr="00752897">
              <w:rPr>
                <w:sz w:val="16"/>
                <w:szCs w:val="16"/>
              </w:rPr>
              <w:t>monitoreo de variables a través de información de gestión</w:t>
            </w:r>
            <w:r>
              <w:rPr>
                <w:sz w:val="16"/>
                <w:szCs w:val="16"/>
              </w:rPr>
              <w:t xml:space="preserve"> c</w:t>
            </w:r>
            <w:r>
              <w:rPr>
                <w:sz w:val="16"/>
                <w:szCs w:val="16"/>
                <w:lang w:val="es-MX"/>
              </w:rPr>
              <w:t xml:space="preserve">) </w:t>
            </w:r>
            <w:r w:rsidRPr="00752897">
              <w:rPr>
                <w:sz w:val="16"/>
                <w:szCs w:val="16"/>
              </w:rPr>
              <w:t xml:space="preserve">monitoreo del funcionamiento de los sistemas de control </w:t>
            </w:r>
            <w:r w:rsidR="0077732C" w:rsidRPr="00752897">
              <w:rPr>
                <w:sz w:val="16"/>
                <w:szCs w:val="16"/>
              </w:rPr>
              <w:t>interno</w:t>
            </w:r>
            <w:r w:rsidR="0077732C" w:rsidRPr="00752897" w:rsidDel="000C071F">
              <w:rPr>
                <w:sz w:val="16"/>
                <w:szCs w:val="16"/>
                <w:lang w:val="es-MX"/>
              </w:rPr>
              <w:t>;</w:t>
            </w:r>
            <w:r w:rsidRPr="00752897">
              <w:rPr>
                <w:sz w:val="16"/>
                <w:szCs w:val="16"/>
                <w:lang w:val="es-MX"/>
              </w:rPr>
              <w:t xml:space="preserve"> </w:t>
            </w:r>
            <w:r w:rsidRPr="00752897">
              <w:rPr>
                <w:sz w:val="16"/>
                <w:szCs w:val="16"/>
              </w:rPr>
              <w:t xml:space="preserve">d) </w:t>
            </w:r>
            <w:r>
              <w:rPr>
                <w:sz w:val="16"/>
                <w:szCs w:val="16"/>
              </w:rPr>
              <w:t>revisión de</w:t>
            </w:r>
            <w:r w:rsidRPr="00752897">
              <w:rPr>
                <w:sz w:val="16"/>
                <w:szCs w:val="16"/>
              </w:rPr>
              <w:t xml:space="preserve"> variables financieras y cumplimiento de </w:t>
            </w:r>
            <w:r w:rsidR="00D60541">
              <w:rPr>
                <w:sz w:val="16"/>
                <w:szCs w:val="16"/>
              </w:rPr>
              <w:t xml:space="preserve">los </w:t>
            </w:r>
            <w:r w:rsidR="003D409F">
              <w:rPr>
                <w:sz w:val="16"/>
                <w:szCs w:val="16"/>
              </w:rPr>
              <w:t>respectivos ratios</w:t>
            </w:r>
            <w:r w:rsidR="00D60541">
              <w:rPr>
                <w:sz w:val="16"/>
                <w:szCs w:val="16"/>
              </w:rPr>
              <w:t xml:space="preserve"> financieros;</w:t>
            </w:r>
            <w:r w:rsidRPr="00752897">
              <w:rPr>
                <w:sz w:val="16"/>
                <w:szCs w:val="16"/>
                <w:lang w:val="es-MX"/>
              </w:rPr>
              <w:t xml:space="preserve"> </w:t>
            </w:r>
            <w:r>
              <w:rPr>
                <w:sz w:val="16"/>
                <w:szCs w:val="16"/>
                <w:lang w:val="es-MX"/>
              </w:rPr>
              <w:t>e</w:t>
            </w:r>
            <w:r w:rsidRPr="00752897">
              <w:rPr>
                <w:sz w:val="16"/>
                <w:szCs w:val="16"/>
                <w:lang w:val="es-MX"/>
              </w:rPr>
              <w:t xml:space="preserve">) control de documentación de las transacciones; </w:t>
            </w:r>
            <w:r>
              <w:rPr>
                <w:sz w:val="16"/>
                <w:szCs w:val="16"/>
                <w:lang w:val="es-MX"/>
              </w:rPr>
              <w:t>f</w:t>
            </w:r>
            <w:r w:rsidRPr="00752897">
              <w:rPr>
                <w:sz w:val="16"/>
                <w:szCs w:val="16"/>
                <w:lang w:val="es-MX"/>
              </w:rPr>
              <w:t>) verificar el cumplimiento de la normativa impositiva</w:t>
            </w:r>
            <w:r w:rsidR="00D60541">
              <w:rPr>
                <w:sz w:val="16"/>
                <w:szCs w:val="16"/>
                <w:lang w:val="es-MX"/>
              </w:rPr>
              <w:t>.</w:t>
            </w:r>
            <w:r>
              <w:rPr>
                <w:sz w:val="16"/>
                <w:szCs w:val="16"/>
                <w:lang w:val="es-MX"/>
              </w:rPr>
              <w:t xml:space="preserve"> </w:t>
            </w:r>
          </w:p>
          <w:p w14:paraId="0069F9CA" w14:textId="77777777" w:rsidR="000C071F" w:rsidRDefault="000C071F" w:rsidP="000C071F">
            <w:pPr>
              <w:jc w:val="both"/>
              <w:rPr>
                <w:sz w:val="16"/>
                <w:szCs w:val="16"/>
              </w:rPr>
            </w:pPr>
          </w:p>
          <w:p w14:paraId="7CA06AEF" w14:textId="2E551FC6" w:rsidR="000C071F" w:rsidRPr="00752897" w:rsidRDefault="000C071F" w:rsidP="000C071F">
            <w:pPr>
              <w:jc w:val="both"/>
              <w:rPr>
                <w:sz w:val="16"/>
                <w:szCs w:val="16"/>
              </w:rPr>
            </w:pPr>
            <w:r w:rsidRPr="00752897">
              <w:rPr>
                <w:sz w:val="16"/>
                <w:szCs w:val="16"/>
              </w:rPr>
              <w:t xml:space="preserve">Gerencia de Auditoría Interna: a) independencia de funciones respecto de todas las áreas bajo </w:t>
            </w:r>
            <w:r w:rsidR="0077732C" w:rsidRPr="00752897">
              <w:rPr>
                <w:sz w:val="16"/>
                <w:szCs w:val="16"/>
              </w:rPr>
              <w:t>revisión; b</w:t>
            </w:r>
            <w:r w:rsidRPr="00752897">
              <w:rPr>
                <w:sz w:val="16"/>
                <w:szCs w:val="16"/>
              </w:rPr>
              <w:t xml:space="preserve">) monitoreo del funcionamiento de los sistemas de control interno con el alcance definido en el plan de auditoría interna y preparado en base a una matriz de riesgos; c) reporte al Presidente de PCR y Comité de Auditoría; y d) identificación y evaluación </w:t>
            </w:r>
            <w:r w:rsidR="0077732C" w:rsidRPr="00752897">
              <w:rPr>
                <w:sz w:val="16"/>
                <w:szCs w:val="16"/>
              </w:rPr>
              <w:t>de riesgos</w:t>
            </w:r>
            <w:r w:rsidRPr="00752897">
              <w:rPr>
                <w:sz w:val="16"/>
                <w:szCs w:val="16"/>
              </w:rPr>
              <w:t xml:space="preserve"> críticos.</w:t>
            </w:r>
          </w:p>
          <w:p w14:paraId="313347A4" w14:textId="77777777" w:rsidR="000C071F" w:rsidRDefault="000C071F" w:rsidP="000C071F">
            <w:pPr>
              <w:jc w:val="both"/>
              <w:rPr>
                <w:sz w:val="16"/>
                <w:szCs w:val="16"/>
              </w:rPr>
            </w:pPr>
          </w:p>
          <w:p w14:paraId="17502756" w14:textId="12B0A927" w:rsidR="000C071F" w:rsidRPr="00752897" w:rsidRDefault="000C071F" w:rsidP="000C071F">
            <w:pPr>
              <w:jc w:val="both"/>
              <w:rPr>
                <w:color w:val="00B050"/>
                <w:sz w:val="16"/>
                <w:szCs w:val="16"/>
                <w:lang w:val="es-MX"/>
              </w:rPr>
            </w:pPr>
            <w:r w:rsidRPr="00752897">
              <w:rPr>
                <w:sz w:val="16"/>
                <w:szCs w:val="16"/>
              </w:rPr>
              <w:t xml:space="preserve">Gerencia de Legales: a) independencia de funciones respecto de todas las áreas bajo </w:t>
            </w:r>
            <w:r w:rsidR="0077732C" w:rsidRPr="00752897">
              <w:rPr>
                <w:sz w:val="16"/>
                <w:szCs w:val="16"/>
              </w:rPr>
              <w:t>revisión; b</w:t>
            </w:r>
            <w:r w:rsidRPr="00752897">
              <w:rPr>
                <w:sz w:val="16"/>
                <w:szCs w:val="16"/>
              </w:rPr>
              <w:t xml:space="preserve">) monitoreo y verificación del </w:t>
            </w:r>
            <w:r w:rsidRPr="00752897">
              <w:rPr>
                <w:sz w:val="16"/>
                <w:szCs w:val="16"/>
                <w:lang w:val="es-MX"/>
              </w:rPr>
              <w:t>cumplimiento de la normativa vigente y de los distintos aspectos regulatorios; c) control y revisión de cada compromiso contractual en que PCR es parte; d) seguimiento de los reclamos administrativos y de terceros que pudieran devenir en causas judiciales y su mitigación, etc.</w:t>
            </w:r>
            <w:r w:rsidRPr="00752897">
              <w:rPr>
                <w:color w:val="00B050"/>
                <w:sz w:val="16"/>
                <w:szCs w:val="16"/>
                <w:lang w:val="es-MX"/>
              </w:rPr>
              <w:t xml:space="preserve"> </w:t>
            </w:r>
          </w:p>
          <w:p w14:paraId="7901D007" w14:textId="77777777" w:rsidR="00652198" w:rsidRDefault="00652198">
            <w:pPr>
              <w:jc w:val="both"/>
              <w:rPr>
                <w:sz w:val="16"/>
                <w:szCs w:val="16"/>
              </w:rPr>
            </w:pPr>
          </w:p>
          <w:p w14:paraId="559688D0" w14:textId="77777777" w:rsidR="00652198" w:rsidRDefault="00652198">
            <w:pPr>
              <w:jc w:val="both"/>
              <w:rPr>
                <w:sz w:val="16"/>
                <w:szCs w:val="16"/>
                <w:lang w:val="es-MX"/>
              </w:rPr>
            </w:pPr>
          </w:p>
        </w:tc>
      </w:tr>
      <w:tr w:rsidR="00250520" w:rsidRPr="00752897" w14:paraId="6EF520B7" w14:textId="77777777" w:rsidTr="00585F51">
        <w:trPr>
          <w:trHeight w:val="255"/>
        </w:trPr>
        <w:tc>
          <w:tcPr>
            <w:tcW w:w="3686" w:type="dxa"/>
            <w:hideMark/>
          </w:tcPr>
          <w:p w14:paraId="53287ACB" w14:textId="77777777" w:rsidR="00652198" w:rsidRDefault="00250520">
            <w:pPr>
              <w:ind w:left="72"/>
              <w:jc w:val="both"/>
              <w:rPr>
                <w:sz w:val="16"/>
                <w:szCs w:val="16"/>
              </w:rPr>
            </w:pPr>
            <w:r w:rsidRPr="00752897">
              <w:rPr>
                <w:sz w:val="16"/>
                <w:szCs w:val="16"/>
              </w:rPr>
              <w:t>III.2 Existe un Comité de Gestión de Riesgos en el seno del Órgano de Administración o de la Gerencia General. Informar sobre la existencia de manuales de procedimientos y detallar los principales factores de riesgos que son específicos para la Emisora o su actividad y las acciones de mitigación implementadas. De no contar con dicho Comité, corresponderá describir el papel de supervisión desempeñado por el Comité de Auditoría en referencia a la gestión de riesgos.</w:t>
            </w:r>
          </w:p>
          <w:p w14:paraId="52FB9749" w14:textId="77777777" w:rsidR="00652198" w:rsidRDefault="00250520">
            <w:pPr>
              <w:ind w:left="72"/>
              <w:jc w:val="both"/>
              <w:rPr>
                <w:sz w:val="16"/>
                <w:szCs w:val="16"/>
              </w:rPr>
            </w:pPr>
            <w:r w:rsidRPr="00752897">
              <w:rPr>
                <w:sz w:val="16"/>
                <w:szCs w:val="16"/>
              </w:rPr>
              <w:t>Asimismo, especificar el grado de interacción entre el Órgano de Administración o de sus Comités con la Gerencia General de la Emisora en materia de gestión integral de riesgos empresariales.</w:t>
            </w:r>
          </w:p>
        </w:tc>
        <w:tc>
          <w:tcPr>
            <w:tcW w:w="851" w:type="dxa"/>
            <w:hideMark/>
          </w:tcPr>
          <w:p w14:paraId="18E7A7AF" w14:textId="77777777" w:rsidR="00250520" w:rsidRPr="00752897" w:rsidRDefault="00250520" w:rsidP="00585F51">
            <w:pPr>
              <w:jc w:val="center"/>
              <w:rPr>
                <w:sz w:val="16"/>
                <w:szCs w:val="16"/>
              </w:rPr>
            </w:pPr>
            <w:r w:rsidRPr="00752897">
              <w:rPr>
                <w:sz w:val="16"/>
                <w:szCs w:val="16"/>
              </w:rPr>
              <w:t>T</w:t>
            </w:r>
          </w:p>
        </w:tc>
        <w:tc>
          <w:tcPr>
            <w:tcW w:w="5244" w:type="dxa"/>
            <w:hideMark/>
          </w:tcPr>
          <w:p w14:paraId="0A18A817" w14:textId="77777777" w:rsidR="00652198" w:rsidRDefault="00250520">
            <w:pPr>
              <w:jc w:val="both"/>
              <w:rPr>
                <w:sz w:val="16"/>
                <w:szCs w:val="16"/>
              </w:rPr>
            </w:pPr>
            <w:r w:rsidRPr="00752897">
              <w:rPr>
                <w:sz w:val="16"/>
                <w:szCs w:val="16"/>
              </w:rPr>
              <w:t xml:space="preserve">Conforme se detalla en los puntos II.1.1.8 y II.1.4, el Comité de Auditoría informa al Directorio respecto de la evaluación de los sistemas de control interno y supervisa la ejecución del plan de auditoría interna. El plan de auditoría detalla y evalúa los riesgos </w:t>
            </w:r>
            <w:r w:rsidR="0077732C" w:rsidRPr="00752897">
              <w:rPr>
                <w:sz w:val="16"/>
                <w:szCs w:val="16"/>
              </w:rPr>
              <w:t>identificados,</w:t>
            </w:r>
            <w:r w:rsidRPr="00752897">
              <w:rPr>
                <w:sz w:val="16"/>
                <w:szCs w:val="16"/>
              </w:rPr>
              <w:t xml:space="preserve"> así como los procedimientos previstos para mitigar tales riesgos. El Comité de Auditoría y el </w:t>
            </w:r>
            <w:r w:rsidR="0077732C">
              <w:rPr>
                <w:sz w:val="16"/>
                <w:szCs w:val="16"/>
              </w:rPr>
              <w:t>P</w:t>
            </w:r>
            <w:r w:rsidR="0077732C" w:rsidRPr="00752897">
              <w:rPr>
                <w:sz w:val="16"/>
                <w:szCs w:val="16"/>
              </w:rPr>
              <w:t>residente</w:t>
            </w:r>
            <w:r w:rsidRPr="00752897">
              <w:rPr>
                <w:sz w:val="16"/>
                <w:szCs w:val="16"/>
              </w:rPr>
              <w:t xml:space="preserve"> reciben informes periódicos de los resultados de la ejecución de los mencionados procedimientos, las deficiencias identificadas y las recomendaciones para su remediación.</w:t>
            </w:r>
          </w:p>
        </w:tc>
      </w:tr>
      <w:tr w:rsidR="00250520" w:rsidRPr="00752897" w14:paraId="5F629D0F" w14:textId="77777777" w:rsidTr="00585F51">
        <w:trPr>
          <w:trHeight w:val="255"/>
        </w:trPr>
        <w:tc>
          <w:tcPr>
            <w:tcW w:w="3686" w:type="dxa"/>
            <w:hideMark/>
          </w:tcPr>
          <w:p w14:paraId="4CF50CAF" w14:textId="77777777" w:rsidR="00652198" w:rsidRDefault="00250520">
            <w:pPr>
              <w:ind w:left="72"/>
              <w:jc w:val="both"/>
              <w:rPr>
                <w:sz w:val="16"/>
                <w:szCs w:val="16"/>
              </w:rPr>
            </w:pPr>
            <w:r w:rsidRPr="00752897">
              <w:rPr>
                <w:sz w:val="16"/>
                <w:szCs w:val="16"/>
              </w:rPr>
              <w:t xml:space="preserve">III.3 Hay una función independiente dentro de la Gerencia General de la Emisora que implementa las políticas de gestión integral de riesgos (función de Oficial de Gestión de Riesgo o equivalente). Especificar. </w:t>
            </w:r>
          </w:p>
        </w:tc>
        <w:tc>
          <w:tcPr>
            <w:tcW w:w="851" w:type="dxa"/>
            <w:hideMark/>
          </w:tcPr>
          <w:p w14:paraId="6FF46752" w14:textId="77777777" w:rsidR="00250520" w:rsidRPr="00752897" w:rsidRDefault="00250520" w:rsidP="00585F51">
            <w:pPr>
              <w:jc w:val="center"/>
              <w:rPr>
                <w:sz w:val="16"/>
                <w:szCs w:val="16"/>
              </w:rPr>
            </w:pPr>
            <w:r w:rsidRPr="00752897">
              <w:rPr>
                <w:sz w:val="16"/>
                <w:szCs w:val="16"/>
              </w:rPr>
              <w:t>T</w:t>
            </w:r>
          </w:p>
        </w:tc>
        <w:tc>
          <w:tcPr>
            <w:tcW w:w="5244" w:type="dxa"/>
            <w:hideMark/>
          </w:tcPr>
          <w:p w14:paraId="0E2C9526" w14:textId="77777777" w:rsidR="00652198" w:rsidRDefault="00250520">
            <w:pPr>
              <w:jc w:val="both"/>
              <w:rPr>
                <w:sz w:val="16"/>
                <w:szCs w:val="16"/>
              </w:rPr>
            </w:pPr>
            <w:r w:rsidRPr="00752897">
              <w:rPr>
                <w:sz w:val="16"/>
                <w:szCs w:val="16"/>
              </w:rPr>
              <w:t xml:space="preserve">El departamento de Auditoría Interna cumple la función de proveer al </w:t>
            </w:r>
            <w:r w:rsidR="00D60541">
              <w:rPr>
                <w:sz w:val="16"/>
                <w:szCs w:val="16"/>
              </w:rPr>
              <w:t>Presidente de PCR</w:t>
            </w:r>
            <w:r w:rsidRPr="00752897">
              <w:rPr>
                <w:sz w:val="16"/>
                <w:szCs w:val="16"/>
              </w:rPr>
              <w:t xml:space="preserve"> de asesoramiento independiente y objetivo para implementar políticas y procedimientos con el objetivo de mejorar la efectividad del control interno y administración de riesgos.</w:t>
            </w:r>
          </w:p>
        </w:tc>
      </w:tr>
      <w:tr w:rsidR="00250520" w:rsidRPr="00752897" w14:paraId="2FCAA7A8" w14:textId="77777777" w:rsidTr="00585F51">
        <w:trPr>
          <w:trHeight w:val="255"/>
        </w:trPr>
        <w:tc>
          <w:tcPr>
            <w:tcW w:w="3686" w:type="dxa"/>
            <w:hideMark/>
          </w:tcPr>
          <w:p w14:paraId="65302283" w14:textId="77777777" w:rsidR="00652198" w:rsidRDefault="00250520">
            <w:pPr>
              <w:ind w:left="72"/>
              <w:jc w:val="both"/>
              <w:rPr>
                <w:sz w:val="16"/>
                <w:szCs w:val="16"/>
              </w:rPr>
            </w:pPr>
            <w:r w:rsidRPr="00752897">
              <w:rPr>
                <w:sz w:val="16"/>
                <w:szCs w:val="16"/>
              </w:rPr>
              <w:t xml:space="preserve">III.4 Las políticas de gestión integral de riesgos son actualizadas permanentemente conforme a las recomendaciones y metodologías reconocidas en la materia. Indicar cuáles (Enterprise </w:t>
            </w:r>
            <w:proofErr w:type="spellStart"/>
            <w:r w:rsidRPr="00752897">
              <w:rPr>
                <w:sz w:val="16"/>
                <w:szCs w:val="16"/>
              </w:rPr>
              <w:t>Risk</w:t>
            </w:r>
            <w:proofErr w:type="spellEnd"/>
            <w:r w:rsidRPr="00752897">
              <w:rPr>
                <w:sz w:val="16"/>
                <w:szCs w:val="16"/>
              </w:rPr>
              <w:t xml:space="preserve"> Management, </w:t>
            </w:r>
            <w:proofErr w:type="gramStart"/>
            <w:r w:rsidRPr="00752897">
              <w:rPr>
                <w:sz w:val="16"/>
                <w:szCs w:val="16"/>
              </w:rPr>
              <w:t>de acuerdo al</w:t>
            </w:r>
            <w:proofErr w:type="gramEnd"/>
            <w:r w:rsidRPr="00752897">
              <w:rPr>
                <w:sz w:val="16"/>
                <w:szCs w:val="16"/>
              </w:rPr>
              <w:t xml:space="preserve"> marco conceptual de COSO – </w:t>
            </w:r>
            <w:proofErr w:type="spellStart"/>
            <w:r w:rsidRPr="00752897">
              <w:rPr>
                <w:sz w:val="16"/>
                <w:szCs w:val="16"/>
              </w:rPr>
              <w:t>Committee</w:t>
            </w:r>
            <w:proofErr w:type="spellEnd"/>
            <w:r w:rsidRPr="00752897">
              <w:rPr>
                <w:sz w:val="16"/>
                <w:szCs w:val="16"/>
              </w:rPr>
              <w:t xml:space="preserve"> </w:t>
            </w:r>
            <w:proofErr w:type="spellStart"/>
            <w:r w:rsidRPr="00752897">
              <w:rPr>
                <w:sz w:val="16"/>
                <w:szCs w:val="16"/>
              </w:rPr>
              <w:t>of</w:t>
            </w:r>
            <w:proofErr w:type="spellEnd"/>
            <w:r w:rsidRPr="00752897">
              <w:rPr>
                <w:sz w:val="16"/>
                <w:szCs w:val="16"/>
              </w:rPr>
              <w:t xml:space="preserve"> </w:t>
            </w:r>
            <w:proofErr w:type="spellStart"/>
            <w:r w:rsidRPr="00752897">
              <w:rPr>
                <w:sz w:val="16"/>
                <w:szCs w:val="16"/>
              </w:rPr>
              <w:t>sponsoring</w:t>
            </w:r>
            <w:proofErr w:type="spellEnd"/>
            <w:r w:rsidRPr="00752897">
              <w:rPr>
                <w:sz w:val="16"/>
                <w:szCs w:val="16"/>
              </w:rPr>
              <w:t xml:space="preserve"> </w:t>
            </w:r>
            <w:proofErr w:type="spellStart"/>
            <w:r w:rsidRPr="00752897">
              <w:rPr>
                <w:sz w:val="16"/>
                <w:szCs w:val="16"/>
              </w:rPr>
              <w:t>organizations</w:t>
            </w:r>
            <w:proofErr w:type="spellEnd"/>
            <w:r w:rsidRPr="00752897">
              <w:rPr>
                <w:sz w:val="16"/>
                <w:szCs w:val="16"/>
              </w:rPr>
              <w:t xml:space="preserve"> </w:t>
            </w:r>
            <w:proofErr w:type="spellStart"/>
            <w:r w:rsidRPr="00752897">
              <w:rPr>
                <w:sz w:val="16"/>
                <w:szCs w:val="16"/>
              </w:rPr>
              <w:t>of</w:t>
            </w:r>
            <w:proofErr w:type="spellEnd"/>
            <w:r w:rsidRPr="00752897">
              <w:rPr>
                <w:sz w:val="16"/>
                <w:szCs w:val="16"/>
              </w:rPr>
              <w:t xml:space="preserve"> </w:t>
            </w:r>
            <w:proofErr w:type="spellStart"/>
            <w:r w:rsidRPr="00752897">
              <w:rPr>
                <w:sz w:val="16"/>
                <w:szCs w:val="16"/>
              </w:rPr>
              <w:t>the</w:t>
            </w:r>
            <w:proofErr w:type="spellEnd"/>
            <w:r w:rsidRPr="00752897">
              <w:rPr>
                <w:sz w:val="16"/>
                <w:szCs w:val="16"/>
              </w:rPr>
              <w:t xml:space="preserve"> </w:t>
            </w:r>
            <w:proofErr w:type="spellStart"/>
            <w:r w:rsidRPr="00752897">
              <w:rPr>
                <w:sz w:val="16"/>
                <w:szCs w:val="16"/>
              </w:rPr>
              <w:t>Treadway</w:t>
            </w:r>
            <w:proofErr w:type="spellEnd"/>
            <w:r w:rsidRPr="00752897">
              <w:rPr>
                <w:sz w:val="16"/>
                <w:szCs w:val="16"/>
              </w:rPr>
              <w:t xml:space="preserve"> </w:t>
            </w:r>
            <w:proofErr w:type="spellStart"/>
            <w:r w:rsidRPr="00752897">
              <w:rPr>
                <w:sz w:val="16"/>
                <w:szCs w:val="16"/>
              </w:rPr>
              <w:t>Commission</w:t>
            </w:r>
            <w:proofErr w:type="spellEnd"/>
            <w:r w:rsidRPr="00752897">
              <w:rPr>
                <w:sz w:val="16"/>
                <w:szCs w:val="16"/>
              </w:rPr>
              <w:t xml:space="preserve"> –, ISO 31000, norma IRAM 17551, sección 404 de la Sarbanes-Oxley </w:t>
            </w:r>
            <w:proofErr w:type="spellStart"/>
            <w:r w:rsidRPr="00752897">
              <w:rPr>
                <w:sz w:val="16"/>
                <w:szCs w:val="16"/>
              </w:rPr>
              <w:t>Act</w:t>
            </w:r>
            <w:proofErr w:type="spellEnd"/>
            <w:r w:rsidRPr="00752897">
              <w:rPr>
                <w:sz w:val="16"/>
                <w:szCs w:val="16"/>
              </w:rPr>
              <w:t>, otras).</w:t>
            </w:r>
          </w:p>
        </w:tc>
        <w:tc>
          <w:tcPr>
            <w:tcW w:w="851" w:type="dxa"/>
            <w:hideMark/>
          </w:tcPr>
          <w:p w14:paraId="02A8E22C" w14:textId="77777777" w:rsidR="00250520" w:rsidRPr="00752897" w:rsidRDefault="00250520" w:rsidP="00585F51">
            <w:pPr>
              <w:jc w:val="center"/>
              <w:rPr>
                <w:sz w:val="16"/>
                <w:szCs w:val="16"/>
              </w:rPr>
            </w:pPr>
            <w:r w:rsidRPr="00752897">
              <w:rPr>
                <w:sz w:val="16"/>
                <w:szCs w:val="16"/>
              </w:rPr>
              <w:t>T</w:t>
            </w:r>
          </w:p>
        </w:tc>
        <w:tc>
          <w:tcPr>
            <w:tcW w:w="5244" w:type="dxa"/>
            <w:hideMark/>
          </w:tcPr>
          <w:p w14:paraId="23F958A6" w14:textId="170DD9E2" w:rsidR="00652198" w:rsidRDefault="00250520">
            <w:pPr>
              <w:jc w:val="both"/>
              <w:rPr>
                <w:sz w:val="16"/>
                <w:szCs w:val="16"/>
              </w:rPr>
            </w:pPr>
            <w:r w:rsidRPr="00752897">
              <w:rPr>
                <w:sz w:val="16"/>
                <w:szCs w:val="16"/>
              </w:rPr>
              <w:t xml:space="preserve">La identificación y </w:t>
            </w:r>
            <w:r w:rsidR="0060661B">
              <w:rPr>
                <w:sz w:val="16"/>
                <w:szCs w:val="16"/>
              </w:rPr>
              <w:t xml:space="preserve">gestión </w:t>
            </w:r>
            <w:r w:rsidRPr="00752897">
              <w:rPr>
                <w:sz w:val="16"/>
                <w:szCs w:val="16"/>
              </w:rPr>
              <w:t xml:space="preserve">de riesgos se </w:t>
            </w:r>
            <w:r w:rsidR="0060661B">
              <w:rPr>
                <w:sz w:val="16"/>
                <w:szCs w:val="16"/>
              </w:rPr>
              <w:t xml:space="preserve">realiza considerando los componentes y principios </w:t>
            </w:r>
            <w:r w:rsidRPr="00752897">
              <w:rPr>
                <w:sz w:val="16"/>
                <w:szCs w:val="16"/>
              </w:rPr>
              <w:t xml:space="preserve">establecidos por el </w:t>
            </w:r>
            <w:proofErr w:type="spellStart"/>
            <w:r w:rsidRPr="00752897">
              <w:rPr>
                <w:sz w:val="16"/>
                <w:szCs w:val="16"/>
              </w:rPr>
              <w:t>Committee</w:t>
            </w:r>
            <w:proofErr w:type="spellEnd"/>
            <w:r w:rsidRPr="00752897">
              <w:rPr>
                <w:sz w:val="16"/>
                <w:szCs w:val="16"/>
              </w:rPr>
              <w:t xml:space="preserve"> </w:t>
            </w:r>
            <w:proofErr w:type="spellStart"/>
            <w:r w:rsidRPr="00752897">
              <w:rPr>
                <w:sz w:val="16"/>
                <w:szCs w:val="16"/>
              </w:rPr>
              <w:t>of</w:t>
            </w:r>
            <w:proofErr w:type="spellEnd"/>
            <w:r w:rsidRPr="00752897">
              <w:rPr>
                <w:sz w:val="16"/>
                <w:szCs w:val="16"/>
              </w:rPr>
              <w:t xml:space="preserve"> </w:t>
            </w:r>
            <w:proofErr w:type="spellStart"/>
            <w:r w:rsidRPr="00752897">
              <w:rPr>
                <w:sz w:val="16"/>
                <w:szCs w:val="16"/>
              </w:rPr>
              <w:t>Sponsoring</w:t>
            </w:r>
            <w:proofErr w:type="spellEnd"/>
            <w:r w:rsidRPr="00752897">
              <w:rPr>
                <w:sz w:val="16"/>
                <w:szCs w:val="16"/>
              </w:rPr>
              <w:t xml:space="preserve"> </w:t>
            </w:r>
            <w:proofErr w:type="spellStart"/>
            <w:r w:rsidRPr="00752897">
              <w:rPr>
                <w:sz w:val="16"/>
                <w:szCs w:val="16"/>
              </w:rPr>
              <w:t>Organizations</w:t>
            </w:r>
            <w:proofErr w:type="spellEnd"/>
            <w:r w:rsidRPr="00752897">
              <w:rPr>
                <w:sz w:val="16"/>
                <w:szCs w:val="16"/>
              </w:rPr>
              <w:t xml:space="preserve"> </w:t>
            </w:r>
            <w:proofErr w:type="spellStart"/>
            <w:r w:rsidRPr="00752897">
              <w:rPr>
                <w:sz w:val="16"/>
                <w:szCs w:val="16"/>
              </w:rPr>
              <w:t>of</w:t>
            </w:r>
            <w:proofErr w:type="spellEnd"/>
            <w:r w:rsidRPr="00752897">
              <w:rPr>
                <w:sz w:val="16"/>
                <w:szCs w:val="16"/>
              </w:rPr>
              <w:t xml:space="preserve"> </w:t>
            </w:r>
            <w:proofErr w:type="spellStart"/>
            <w:r w:rsidRPr="00752897">
              <w:rPr>
                <w:sz w:val="16"/>
                <w:szCs w:val="16"/>
              </w:rPr>
              <w:t>the</w:t>
            </w:r>
            <w:proofErr w:type="spellEnd"/>
            <w:r w:rsidRPr="00752897">
              <w:rPr>
                <w:sz w:val="16"/>
                <w:szCs w:val="16"/>
              </w:rPr>
              <w:t xml:space="preserve"> </w:t>
            </w:r>
            <w:proofErr w:type="spellStart"/>
            <w:r w:rsidRPr="00752897">
              <w:rPr>
                <w:sz w:val="16"/>
                <w:szCs w:val="16"/>
              </w:rPr>
              <w:t>Treadway</w:t>
            </w:r>
            <w:proofErr w:type="spellEnd"/>
            <w:r w:rsidRPr="00752897">
              <w:rPr>
                <w:sz w:val="16"/>
                <w:szCs w:val="16"/>
              </w:rPr>
              <w:t xml:space="preserve"> </w:t>
            </w:r>
            <w:proofErr w:type="spellStart"/>
            <w:r w:rsidRPr="00752897">
              <w:rPr>
                <w:sz w:val="16"/>
                <w:szCs w:val="16"/>
              </w:rPr>
              <w:t>Commission</w:t>
            </w:r>
            <w:proofErr w:type="spellEnd"/>
            <w:r w:rsidRPr="00752897">
              <w:rPr>
                <w:sz w:val="16"/>
                <w:szCs w:val="16"/>
              </w:rPr>
              <w:t xml:space="preserve"> (“COSO”). </w:t>
            </w:r>
          </w:p>
        </w:tc>
      </w:tr>
      <w:tr w:rsidR="00250520" w:rsidRPr="00752897" w14:paraId="562B087E" w14:textId="77777777" w:rsidTr="00585F51">
        <w:trPr>
          <w:trHeight w:val="255"/>
        </w:trPr>
        <w:tc>
          <w:tcPr>
            <w:tcW w:w="3686" w:type="dxa"/>
            <w:hideMark/>
          </w:tcPr>
          <w:p w14:paraId="0C8EB03A" w14:textId="77777777" w:rsidR="00652198" w:rsidRDefault="00250520">
            <w:pPr>
              <w:ind w:left="72"/>
              <w:jc w:val="both"/>
              <w:rPr>
                <w:sz w:val="16"/>
                <w:szCs w:val="16"/>
              </w:rPr>
            </w:pPr>
            <w:r w:rsidRPr="00752897">
              <w:rPr>
                <w:sz w:val="16"/>
                <w:szCs w:val="16"/>
              </w:rPr>
              <w:t xml:space="preserve">III.5 El Órgano de Administración comunica sobre los resultados de la supervisión de la gestión de riesgos realizada </w:t>
            </w:r>
            <w:proofErr w:type="gramStart"/>
            <w:r w:rsidRPr="00752897">
              <w:rPr>
                <w:sz w:val="16"/>
                <w:szCs w:val="16"/>
              </w:rPr>
              <w:t>conjuntamente con</w:t>
            </w:r>
            <w:proofErr w:type="gramEnd"/>
            <w:r w:rsidRPr="00752897">
              <w:rPr>
                <w:sz w:val="16"/>
                <w:szCs w:val="16"/>
              </w:rPr>
              <w:t xml:space="preserve"> la Gerencia General en los estados financieros y en la Memoria anual. Especificar los principales puntos de las exposiciones realizadas</w:t>
            </w:r>
          </w:p>
        </w:tc>
        <w:tc>
          <w:tcPr>
            <w:tcW w:w="851" w:type="dxa"/>
            <w:hideMark/>
          </w:tcPr>
          <w:p w14:paraId="590B4C87" w14:textId="77777777" w:rsidR="00250520" w:rsidRPr="00752897" w:rsidRDefault="00250520" w:rsidP="00585F51">
            <w:pPr>
              <w:jc w:val="center"/>
              <w:rPr>
                <w:sz w:val="16"/>
                <w:szCs w:val="16"/>
              </w:rPr>
            </w:pPr>
            <w:r w:rsidRPr="00752897">
              <w:rPr>
                <w:sz w:val="16"/>
                <w:szCs w:val="16"/>
              </w:rPr>
              <w:t>T</w:t>
            </w:r>
          </w:p>
        </w:tc>
        <w:tc>
          <w:tcPr>
            <w:tcW w:w="5244" w:type="dxa"/>
            <w:hideMark/>
          </w:tcPr>
          <w:p w14:paraId="2183BE5F" w14:textId="003A4807" w:rsidR="00652198" w:rsidRDefault="00250520">
            <w:pPr>
              <w:jc w:val="both"/>
              <w:rPr>
                <w:sz w:val="16"/>
                <w:szCs w:val="16"/>
              </w:rPr>
            </w:pPr>
            <w:r w:rsidRPr="00752897">
              <w:rPr>
                <w:sz w:val="16"/>
                <w:szCs w:val="16"/>
              </w:rPr>
              <w:t xml:space="preserve">En los estados contables, en distintas notas y en la reseña informativa, se informa sobre los distintos riesgos y su situación actual (financiero, regulatorio, litigios, etc.). Se remite a los últimos estados contables aprobados para </w:t>
            </w:r>
            <w:r w:rsidR="003D409F" w:rsidRPr="00752897">
              <w:rPr>
                <w:sz w:val="16"/>
                <w:szCs w:val="16"/>
              </w:rPr>
              <w:t>más información</w:t>
            </w:r>
            <w:r w:rsidRPr="00752897">
              <w:rPr>
                <w:sz w:val="16"/>
                <w:szCs w:val="16"/>
              </w:rPr>
              <w:t xml:space="preserve">. </w:t>
            </w:r>
          </w:p>
        </w:tc>
      </w:tr>
      <w:tr w:rsidR="00250520" w:rsidRPr="00752897" w14:paraId="13DEA484" w14:textId="77777777" w:rsidTr="00585F51">
        <w:trPr>
          <w:trHeight w:val="547"/>
        </w:trPr>
        <w:tc>
          <w:tcPr>
            <w:tcW w:w="9781" w:type="dxa"/>
            <w:gridSpan w:val="3"/>
            <w:hideMark/>
          </w:tcPr>
          <w:p w14:paraId="4BF1BCA3" w14:textId="77777777" w:rsidR="00652198" w:rsidRDefault="00250520">
            <w:pPr>
              <w:jc w:val="both"/>
              <w:rPr>
                <w:b/>
                <w:sz w:val="16"/>
                <w:szCs w:val="16"/>
              </w:rPr>
            </w:pPr>
            <w:r w:rsidRPr="00752897">
              <w:rPr>
                <w:b/>
                <w:sz w:val="16"/>
                <w:szCs w:val="16"/>
              </w:rPr>
              <w:lastRenderedPageBreak/>
              <w:t>PRINCIPIO IV. SALVAGUARDAR LA INTEGRIDAD DE LA INFORMACION FINANCIERA CON AUDITORIAS INDEPENDIENTES</w:t>
            </w:r>
          </w:p>
        </w:tc>
      </w:tr>
      <w:tr w:rsidR="00250520" w:rsidRPr="00752897" w14:paraId="2759041B" w14:textId="77777777" w:rsidTr="00585F51">
        <w:trPr>
          <w:trHeight w:val="699"/>
        </w:trPr>
        <w:tc>
          <w:tcPr>
            <w:tcW w:w="3686" w:type="dxa"/>
            <w:hideMark/>
          </w:tcPr>
          <w:p w14:paraId="5F5A13A0" w14:textId="77777777" w:rsidR="00652198" w:rsidRDefault="00250520">
            <w:pPr>
              <w:jc w:val="both"/>
              <w:rPr>
                <w:sz w:val="16"/>
                <w:szCs w:val="16"/>
              </w:rPr>
            </w:pPr>
            <w:r w:rsidRPr="00752897">
              <w:rPr>
                <w:sz w:val="16"/>
                <w:szCs w:val="16"/>
              </w:rPr>
              <w:t>Recomendación IV: Garantizar la independencia y transparencia de las funciones que le son encomendadas al Comité de Auditoría y al Auditor Externo.</w:t>
            </w:r>
          </w:p>
        </w:tc>
        <w:tc>
          <w:tcPr>
            <w:tcW w:w="851" w:type="dxa"/>
            <w:hideMark/>
          </w:tcPr>
          <w:p w14:paraId="1DAFB965" w14:textId="77777777" w:rsidR="00250520" w:rsidRPr="00752897" w:rsidRDefault="00250520" w:rsidP="00585F51">
            <w:pPr>
              <w:rPr>
                <w:rFonts w:eastAsia="Calibri"/>
                <w:sz w:val="16"/>
                <w:szCs w:val="16"/>
                <w:lang w:eastAsia="en-US"/>
              </w:rPr>
            </w:pPr>
          </w:p>
        </w:tc>
        <w:tc>
          <w:tcPr>
            <w:tcW w:w="5244" w:type="dxa"/>
            <w:hideMark/>
          </w:tcPr>
          <w:p w14:paraId="79680A1D" w14:textId="77777777" w:rsidR="00250520" w:rsidRPr="00752897" w:rsidRDefault="00250520" w:rsidP="00585F51">
            <w:pPr>
              <w:rPr>
                <w:sz w:val="16"/>
                <w:szCs w:val="16"/>
              </w:rPr>
            </w:pPr>
          </w:p>
        </w:tc>
      </w:tr>
      <w:tr w:rsidR="00250520" w:rsidRPr="00752897" w14:paraId="37843720" w14:textId="77777777" w:rsidTr="00585F51">
        <w:trPr>
          <w:trHeight w:val="255"/>
        </w:trPr>
        <w:tc>
          <w:tcPr>
            <w:tcW w:w="3686" w:type="dxa"/>
            <w:hideMark/>
          </w:tcPr>
          <w:p w14:paraId="1CFF462B" w14:textId="77777777" w:rsidR="00652198" w:rsidRDefault="00250520">
            <w:pPr>
              <w:jc w:val="both"/>
              <w:rPr>
                <w:sz w:val="16"/>
                <w:szCs w:val="16"/>
              </w:rPr>
            </w:pPr>
            <w:r w:rsidRPr="00752897">
              <w:rPr>
                <w:sz w:val="16"/>
                <w:szCs w:val="16"/>
              </w:rPr>
              <w:t>IV.1. El Órgano de Administración al elegir a los integrantes del Comité de Auditoría teniendo en cuenta que la mayoría debe revestir el carácter de independiente, evalúa la conveniencia de que sea presidido por un miembro independiente.</w:t>
            </w:r>
          </w:p>
        </w:tc>
        <w:tc>
          <w:tcPr>
            <w:tcW w:w="851" w:type="dxa"/>
            <w:hideMark/>
          </w:tcPr>
          <w:p w14:paraId="0833A89B" w14:textId="77777777" w:rsidR="00250520" w:rsidRPr="00752897" w:rsidRDefault="00250520" w:rsidP="00585F51">
            <w:pPr>
              <w:jc w:val="center"/>
              <w:rPr>
                <w:sz w:val="16"/>
                <w:szCs w:val="16"/>
              </w:rPr>
            </w:pPr>
            <w:r w:rsidRPr="00752897">
              <w:rPr>
                <w:sz w:val="16"/>
                <w:szCs w:val="16"/>
              </w:rPr>
              <w:t>T</w:t>
            </w:r>
          </w:p>
        </w:tc>
        <w:tc>
          <w:tcPr>
            <w:tcW w:w="5244" w:type="dxa"/>
            <w:hideMark/>
          </w:tcPr>
          <w:p w14:paraId="40D7F2A3" w14:textId="085AF24F" w:rsidR="00652198" w:rsidRDefault="00250520">
            <w:pPr>
              <w:jc w:val="both"/>
              <w:rPr>
                <w:b/>
                <w:bCs/>
                <w:snapToGrid w:val="0"/>
                <w:color w:val="4F81BD"/>
                <w:sz w:val="16"/>
                <w:szCs w:val="16"/>
                <w:lang w:val="es-ES_tradnl"/>
              </w:rPr>
            </w:pPr>
            <w:r w:rsidRPr="00752897">
              <w:rPr>
                <w:bCs/>
                <w:snapToGrid w:val="0"/>
                <w:sz w:val="16"/>
                <w:szCs w:val="16"/>
                <w:lang w:val="es-ES_tradnl"/>
              </w:rPr>
              <w:t>Si bien PCR no cotiza sus acciones en ninguna Bolsa o Mercado de Valores, desde agosto de 2007 ha establecido un Comité de Auditoría que se rige</w:t>
            </w:r>
            <w:r w:rsidR="008A4998">
              <w:rPr>
                <w:bCs/>
                <w:snapToGrid w:val="0"/>
                <w:sz w:val="16"/>
                <w:szCs w:val="16"/>
                <w:lang w:val="es-ES_tradnl"/>
              </w:rPr>
              <w:t>, en términos generales,</w:t>
            </w:r>
            <w:r w:rsidRPr="00752897">
              <w:rPr>
                <w:bCs/>
                <w:snapToGrid w:val="0"/>
                <w:sz w:val="16"/>
                <w:szCs w:val="16"/>
                <w:lang w:val="es-ES_tradnl"/>
              </w:rPr>
              <w:t xml:space="preserve"> </w:t>
            </w:r>
            <w:r w:rsidR="003D409F" w:rsidRPr="00752897">
              <w:rPr>
                <w:bCs/>
                <w:snapToGrid w:val="0"/>
                <w:sz w:val="16"/>
                <w:szCs w:val="16"/>
                <w:lang w:val="es-ES_tradnl"/>
              </w:rPr>
              <w:t>de acuerdo con</w:t>
            </w:r>
            <w:r w:rsidRPr="00752897">
              <w:rPr>
                <w:bCs/>
                <w:snapToGrid w:val="0"/>
                <w:sz w:val="16"/>
                <w:szCs w:val="16"/>
                <w:lang w:val="es-ES_tradnl"/>
              </w:rPr>
              <w:t xml:space="preserve"> las normas y regulaciones aplicables para la materia. </w:t>
            </w:r>
            <w:r w:rsidRPr="00752897">
              <w:rPr>
                <w:sz w:val="16"/>
                <w:szCs w:val="16"/>
              </w:rPr>
              <w:t> </w:t>
            </w:r>
            <w:r w:rsidR="003D409F" w:rsidRPr="00752897">
              <w:rPr>
                <w:bCs/>
                <w:snapToGrid w:val="0"/>
                <w:sz w:val="16"/>
                <w:szCs w:val="16"/>
                <w:lang w:val="es-ES_tradnl"/>
              </w:rPr>
              <w:t>De acuerdo con</w:t>
            </w:r>
            <w:r w:rsidRPr="00752897">
              <w:rPr>
                <w:bCs/>
                <w:snapToGrid w:val="0"/>
                <w:sz w:val="16"/>
                <w:szCs w:val="16"/>
                <w:lang w:val="es-ES_tradnl"/>
              </w:rPr>
              <w:t xml:space="preserve"> lo establecido en el Reglamento del Comité de Auditoría, el Comité está integrado por tres miembros titulares y un número igual o menor de suplentes, </w:t>
            </w:r>
            <w:r>
              <w:rPr>
                <w:bCs/>
                <w:snapToGrid w:val="0"/>
                <w:sz w:val="16"/>
                <w:szCs w:val="16"/>
                <w:lang w:val="es-ES_tradnl"/>
              </w:rPr>
              <w:t>los que se eli</w:t>
            </w:r>
            <w:r w:rsidRPr="00752897">
              <w:rPr>
                <w:bCs/>
                <w:snapToGrid w:val="0"/>
                <w:sz w:val="16"/>
                <w:szCs w:val="16"/>
                <w:lang w:val="es-ES_tradnl"/>
              </w:rPr>
              <w:t xml:space="preserve">gen entre los Directores titulares de PCR. </w:t>
            </w:r>
            <w:r w:rsidR="008A4998">
              <w:rPr>
                <w:bCs/>
                <w:snapToGrid w:val="0"/>
                <w:sz w:val="16"/>
                <w:szCs w:val="16"/>
                <w:lang w:val="es-ES_tradnl"/>
              </w:rPr>
              <w:t xml:space="preserve">Hasta el año 2018, </w:t>
            </w:r>
            <w:r w:rsidRPr="00752897">
              <w:rPr>
                <w:bCs/>
                <w:snapToGrid w:val="0"/>
                <w:sz w:val="16"/>
                <w:szCs w:val="16"/>
                <w:lang w:val="es-ES_tradnl"/>
              </w:rPr>
              <w:t>dos miembros titulares y un miembro suplente del Comité revist</w:t>
            </w:r>
            <w:r w:rsidR="008A4998">
              <w:rPr>
                <w:bCs/>
                <w:snapToGrid w:val="0"/>
                <w:sz w:val="16"/>
                <w:szCs w:val="16"/>
                <w:lang w:val="es-ES_tradnl"/>
              </w:rPr>
              <w:t>ieron</w:t>
            </w:r>
            <w:r w:rsidRPr="00752897">
              <w:rPr>
                <w:bCs/>
                <w:snapToGrid w:val="0"/>
                <w:sz w:val="16"/>
                <w:szCs w:val="16"/>
                <w:lang w:val="es-ES_tradnl"/>
              </w:rPr>
              <w:t xml:space="preserve"> la condición de independientes</w:t>
            </w:r>
            <w:r w:rsidR="008A4998">
              <w:rPr>
                <w:bCs/>
                <w:snapToGrid w:val="0"/>
                <w:sz w:val="16"/>
                <w:szCs w:val="16"/>
                <w:lang w:val="es-ES_tradnl"/>
              </w:rPr>
              <w:t xml:space="preserve">, </w:t>
            </w:r>
            <w:r w:rsidR="008A4998" w:rsidRPr="00665ABD">
              <w:rPr>
                <w:sz w:val="16"/>
                <w:lang w:val="es-ES_tradnl"/>
              </w:rPr>
              <w:t>habiendo un</w:t>
            </w:r>
            <w:r w:rsidR="008A4998">
              <w:rPr>
                <w:sz w:val="16"/>
                <w:lang w:val="es-ES_tradnl"/>
              </w:rPr>
              <w:t xml:space="preserve"> miembro titular </w:t>
            </w:r>
            <w:r w:rsidR="008A4998" w:rsidRPr="00665ABD">
              <w:rPr>
                <w:sz w:val="16"/>
                <w:lang w:val="es-ES_tradnl"/>
              </w:rPr>
              <w:t>perdido dicha calidad el año pasado, como consecuencia de los cambios introducidos en los criterios de independencia por la CNV</w:t>
            </w:r>
            <w:r w:rsidRPr="00752897">
              <w:rPr>
                <w:bCs/>
                <w:snapToGrid w:val="0"/>
                <w:sz w:val="16"/>
                <w:szCs w:val="16"/>
                <w:lang w:val="es-ES_tradnl"/>
              </w:rPr>
              <w:t xml:space="preserve">. De acuerdo al Artículo 5 de dicho Reglamento el </w:t>
            </w:r>
            <w:proofErr w:type="gramStart"/>
            <w:r w:rsidRPr="00752897">
              <w:rPr>
                <w:bCs/>
                <w:snapToGrid w:val="0"/>
                <w:sz w:val="16"/>
                <w:szCs w:val="16"/>
                <w:lang w:val="es-ES_tradnl"/>
              </w:rPr>
              <w:t>Presidente</w:t>
            </w:r>
            <w:proofErr w:type="gramEnd"/>
            <w:r w:rsidRPr="00752897">
              <w:rPr>
                <w:bCs/>
                <w:snapToGrid w:val="0"/>
                <w:sz w:val="16"/>
                <w:szCs w:val="16"/>
                <w:lang w:val="es-ES_tradnl"/>
              </w:rPr>
              <w:t xml:space="preserve"> del Comité de Auditoría deberá ser siempre un miembro titular e independiente del Directorio.</w:t>
            </w:r>
          </w:p>
        </w:tc>
      </w:tr>
      <w:tr w:rsidR="00250520" w:rsidRPr="00752897" w14:paraId="34A12204" w14:textId="77777777" w:rsidTr="00585F51">
        <w:trPr>
          <w:trHeight w:val="255"/>
        </w:trPr>
        <w:tc>
          <w:tcPr>
            <w:tcW w:w="3686" w:type="dxa"/>
            <w:hideMark/>
          </w:tcPr>
          <w:p w14:paraId="66438D48" w14:textId="77777777" w:rsidR="00652198" w:rsidRDefault="00250520">
            <w:pPr>
              <w:jc w:val="both"/>
              <w:rPr>
                <w:sz w:val="16"/>
                <w:szCs w:val="16"/>
              </w:rPr>
            </w:pPr>
            <w:r w:rsidRPr="00752897">
              <w:rPr>
                <w:sz w:val="16"/>
                <w:szCs w:val="16"/>
              </w:rPr>
              <w:t xml:space="preserve">IV.2 Existe una función de auditoría interna que reporta al Comité de Auditoría o al Presidente del Órgano de Administración y que es responsable de la evaluación del sistema de control interno.  Indicar si el Comité de Auditoría o el Órgano de Administración hace una evaluación anual sobre el desempeño del área de auditoría interna y el grado de independencia de su labor profesional, entendiéndose por tal que los profesionales a cargo de tal función son independientes de las restantes áreas operativas y además cumplen con requisitos de independencia respecto a los accionistas de control o entidades relacionadas que ejerzan influencia significativa en la Emisora.  Especificar, asimismo, si la función de auditoría interna realiza su trabajo </w:t>
            </w:r>
            <w:proofErr w:type="gramStart"/>
            <w:r w:rsidRPr="00752897">
              <w:rPr>
                <w:sz w:val="16"/>
                <w:szCs w:val="16"/>
              </w:rPr>
              <w:t>de acuerdo a</w:t>
            </w:r>
            <w:proofErr w:type="gramEnd"/>
            <w:r w:rsidRPr="00752897">
              <w:rPr>
                <w:sz w:val="16"/>
                <w:szCs w:val="16"/>
              </w:rPr>
              <w:t xml:space="preserve"> las normas internacionales para el ejercicio profesional de la auditoría interna emitidas por el </w:t>
            </w:r>
            <w:proofErr w:type="spellStart"/>
            <w:r w:rsidRPr="00752897">
              <w:rPr>
                <w:sz w:val="16"/>
                <w:szCs w:val="16"/>
              </w:rPr>
              <w:t>Institute</w:t>
            </w:r>
            <w:proofErr w:type="spellEnd"/>
            <w:r w:rsidRPr="00752897">
              <w:rPr>
                <w:sz w:val="16"/>
                <w:szCs w:val="16"/>
              </w:rPr>
              <w:t xml:space="preserve"> </w:t>
            </w:r>
            <w:proofErr w:type="spellStart"/>
            <w:r w:rsidRPr="00752897">
              <w:rPr>
                <w:sz w:val="16"/>
                <w:szCs w:val="16"/>
              </w:rPr>
              <w:t>of</w:t>
            </w:r>
            <w:proofErr w:type="spellEnd"/>
            <w:r w:rsidRPr="00752897">
              <w:rPr>
                <w:sz w:val="16"/>
                <w:szCs w:val="16"/>
              </w:rPr>
              <w:t xml:space="preserve"> </w:t>
            </w:r>
            <w:proofErr w:type="spellStart"/>
            <w:r w:rsidRPr="00752897">
              <w:rPr>
                <w:sz w:val="16"/>
                <w:szCs w:val="16"/>
              </w:rPr>
              <w:t>Internal</w:t>
            </w:r>
            <w:proofErr w:type="spellEnd"/>
            <w:r w:rsidRPr="00752897">
              <w:rPr>
                <w:sz w:val="16"/>
                <w:szCs w:val="16"/>
              </w:rPr>
              <w:t xml:space="preserve"> </w:t>
            </w:r>
            <w:proofErr w:type="spellStart"/>
            <w:r w:rsidRPr="00752897">
              <w:rPr>
                <w:sz w:val="16"/>
                <w:szCs w:val="16"/>
              </w:rPr>
              <w:t>Auditors</w:t>
            </w:r>
            <w:proofErr w:type="spellEnd"/>
            <w:r w:rsidRPr="00752897">
              <w:rPr>
                <w:sz w:val="16"/>
                <w:szCs w:val="16"/>
              </w:rPr>
              <w:t xml:space="preserve"> (IIA). </w:t>
            </w:r>
          </w:p>
        </w:tc>
        <w:tc>
          <w:tcPr>
            <w:tcW w:w="851" w:type="dxa"/>
            <w:hideMark/>
          </w:tcPr>
          <w:p w14:paraId="488FE802" w14:textId="77777777" w:rsidR="00250520" w:rsidRPr="00752897" w:rsidRDefault="00250520" w:rsidP="00585F51">
            <w:pPr>
              <w:jc w:val="center"/>
              <w:rPr>
                <w:sz w:val="16"/>
                <w:szCs w:val="16"/>
              </w:rPr>
            </w:pPr>
            <w:r w:rsidRPr="00752897">
              <w:rPr>
                <w:sz w:val="16"/>
                <w:szCs w:val="16"/>
              </w:rPr>
              <w:t>T</w:t>
            </w:r>
          </w:p>
        </w:tc>
        <w:tc>
          <w:tcPr>
            <w:tcW w:w="5244" w:type="dxa"/>
            <w:hideMark/>
          </w:tcPr>
          <w:p w14:paraId="53C4814C" w14:textId="56F971A2" w:rsidR="00652198" w:rsidRDefault="00250520">
            <w:pPr>
              <w:tabs>
                <w:tab w:val="right" w:pos="10368"/>
              </w:tabs>
              <w:jc w:val="both"/>
              <w:rPr>
                <w:sz w:val="16"/>
                <w:szCs w:val="16"/>
              </w:rPr>
            </w:pPr>
            <w:r w:rsidRPr="00752897">
              <w:rPr>
                <w:sz w:val="16"/>
                <w:szCs w:val="16"/>
              </w:rPr>
              <w:t>Conforme se indica en II.1.4, el Gerente de Auditoría Interna reporta al Comité de Auditoría y al Presidente del Directorio y es responsable de la evaluación del sistema de control interno. Entre sus funciones se encuentran la de supervisar el funcionamiento de los sistemas de control interno. Los resultados de los procedimientos realizados por Auditoría Interna se comunican al Presidente del Directorio y al Comité de Auditoría. Auditoría Interna realiza su trabajo de acuerdo con metodología</w:t>
            </w:r>
            <w:r w:rsidR="000A7B32">
              <w:rPr>
                <w:sz w:val="16"/>
                <w:szCs w:val="16"/>
              </w:rPr>
              <w:t>s y estándares internacionales</w:t>
            </w:r>
            <w:r w:rsidR="003D409F">
              <w:rPr>
                <w:sz w:val="16"/>
                <w:szCs w:val="16"/>
              </w:rPr>
              <w:t xml:space="preserve"> para el ejercicio profesional de auditoría interna </w:t>
            </w:r>
            <w:r w:rsidRPr="00752897">
              <w:rPr>
                <w:sz w:val="16"/>
                <w:szCs w:val="16"/>
              </w:rPr>
              <w:t xml:space="preserve">emitidas por el </w:t>
            </w:r>
            <w:proofErr w:type="spellStart"/>
            <w:r w:rsidRPr="00752897">
              <w:rPr>
                <w:sz w:val="16"/>
                <w:szCs w:val="16"/>
              </w:rPr>
              <w:t>Institute</w:t>
            </w:r>
            <w:proofErr w:type="spellEnd"/>
            <w:r w:rsidRPr="00752897">
              <w:rPr>
                <w:sz w:val="16"/>
                <w:szCs w:val="16"/>
              </w:rPr>
              <w:t xml:space="preserve"> </w:t>
            </w:r>
            <w:proofErr w:type="spellStart"/>
            <w:r w:rsidRPr="00752897">
              <w:rPr>
                <w:sz w:val="16"/>
                <w:szCs w:val="16"/>
              </w:rPr>
              <w:t>of</w:t>
            </w:r>
            <w:proofErr w:type="spellEnd"/>
            <w:r w:rsidRPr="00752897">
              <w:rPr>
                <w:sz w:val="16"/>
                <w:szCs w:val="16"/>
              </w:rPr>
              <w:t xml:space="preserve"> </w:t>
            </w:r>
            <w:proofErr w:type="spellStart"/>
            <w:r w:rsidRPr="00752897">
              <w:rPr>
                <w:sz w:val="16"/>
                <w:szCs w:val="16"/>
              </w:rPr>
              <w:t>Internal</w:t>
            </w:r>
            <w:proofErr w:type="spellEnd"/>
            <w:r w:rsidRPr="00752897">
              <w:rPr>
                <w:sz w:val="16"/>
                <w:szCs w:val="16"/>
              </w:rPr>
              <w:t xml:space="preserve"> </w:t>
            </w:r>
            <w:proofErr w:type="spellStart"/>
            <w:r w:rsidRPr="00752897">
              <w:rPr>
                <w:sz w:val="16"/>
                <w:szCs w:val="16"/>
              </w:rPr>
              <w:t>Auditors</w:t>
            </w:r>
            <w:proofErr w:type="spellEnd"/>
            <w:r w:rsidRPr="00752897">
              <w:rPr>
                <w:sz w:val="16"/>
                <w:szCs w:val="16"/>
              </w:rPr>
              <w:t xml:space="preserve"> (IIA). El Comité de Auditoría realiza una evaluación anual sobre el desempeño del área de Auditoría Interna y el grado de independencia de su labor profesional.</w:t>
            </w:r>
          </w:p>
        </w:tc>
      </w:tr>
      <w:tr w:rsidR="00250520" w:rsidRPr="00752897" w14:paraId="56D423DA" w14:textId="77777777" w:rsidTr="00585F51">
        <w:trPr>
          <w:trHeight w:val="255"/>
        </w:trPr>
        <w:tc>
          <w:tcPr>
            <w:tcW w:w="3686" w:type="dxa"/>
            <w:hideMark/>
          </w:tcPr>
          <w:p w14:paraId="24A2D264" w14:textId="77777777" w:rsidR="00652198" w:rsidRDefault="00250520">
            <w:pPr>
              <w:jc w:val="both"/>
              <w:rPr>
                <w:sz w:val="16"/>
                <w:szCs w:val="16"/>
              </w:rPr>
            </w:pPr>
            <w:r w:rsidRPr="00752897">
              <w:rPr>
                <w:sz w:val="16"/>
                <w:szCs w:val="16"/>
              </w:rPr>
              <w:t>IV.3 Los integrantes del Comité de Auditoría hacen una evaluación anual de la idoneidad, independencia y desempeño de los Auditores Externos, designados por la Asamblea de Accionistas. Describir los aspectos relevantes de los procedimientos empleados para realizar la evaluación.</w:t>
            </w:r>
          </w:p>
        </w:tc>
        <w:tc>
          <w:tcPr>
            <w:tcW w:w="851" w:type="dxa"/>
            <w:hideMark/>
          </w:tcPr>
          <w:p w14:paraId="156DFF20" w14:textId="77777777" w:rsidR="00250520" w:rsidRPr="00752897" w:rsidRDefault="00250520" w:rsidP="00585F51">
            <w:pPr>
              <w:jc w:val="center"/>
              <w:rPr>
                <w:sz w:val="16"/>
                <w:szCs w:val="16"/>
              </w:rPr>
            </w:pPr>
            <w:r w:rsidRPr="00752897">
              <w:rPr>
                <w:sz w:val="16"/>
                <w:szCs w:val="16"/>
              </w:rPr>
              <w:t>T</w:t>
            </w:r>
          </w:p>
        </w:tc>
        <w:tc>
          <w:tcPr>
            <w:tcW w:w="5244" w:type="dxa"/>
            <w:hideMark/>
          </w:tcPr>
          <w:p w14:paraId="37E13C54" w14:textId="77777777" w:rsidR="00652198" w:rsidRDefault="00250520">
            <w:pPr>
              <w:jc w:val="both"/>
              <w:rPr>
                <w:sz w:val="16"/>
                <w:szCs w:val="16"/>
              </w:rPr>
            </w:pPr>
            <w:r w:rsidRPr="00752897">
              <w:rPr>
                <w:sz w:val="16"/>
                <w:szCs w:val="16"/>
                <w:lang w:val="es-ES_tradnl"/>
              </w:rPr>
              <w:t xml:space="preserve">El Comité de Auditoría efectúa una evaluación anual de la idoneidad, independencia y desempeño de los Auditores Externos, designados por la Asamblea de Accionistas, y sus conclusiones se incluyen en el Informe Anual del Comité de Auditoría que se adjuntan a los estados contables anuales de la Sociedad. Con esta finalidad se revisan los planes anuales de los Auditores Externos y, particularmente, se mantienen reuniones periódicas con ellos a fin de informarse respecto de los resultados de los procedimientos efectuados. </w:t>
            </w:r>
          </w:p>
        </w:tc>
      </w:tr>
      <w:tr w:rsidR="00250520" w:rsidRPr="00752897" w14:paraId="314F1855" w14:textId="77777777" w:rsidTr="00585F51">
        <w:trPr>
          <w:trHeight w:val="255"/>
        </w:trPr>
        <w:tc>
          <w:tcPr>
            <w:tcW w:w="3686" w:type="dxa"/>
            <w:hideMark/>
          </w:tcPr>
          <w:p w14:paraId="23704B06" w14:textId="77777777" w:rsidR="00652198" w:rsidRDefault="00250520">
            <w:pPr>
              <w:jc w:val="both"/>
              <w:rPr>
                <w:sz w:val="16"/>
                <w:szCs w:val="16"/>
              </w:rPr>
            </w:pPr>
            <w:r w:rsidRPr="00752897">
              <w:rPr>
                <w:sz w:val="16"/>
                <w:szCs w:val="16"/>
              </w:rPr>
              <w:t>IV.4 La Emisora cuenta con una política referida a la rotación de los miembros de la Comisión Fiscalizadora y/o del Auditor Externo; y a propósito del último, si la rotación incluye a la firma de auditoría externa o únicamente a los sujetos físicos</w:t>
            </w:r>
          </w:p>
        </w:tc>
        <w:tc>
          <w:tcPr>
            <w:tcW w:w="851" w:type="dxa"/>
            <w:hideMark/>
          </w:tcPr>
          <w:p w14:paraId="25FADD14" w14:textId="77777777" w:rsidR="00250520" w:rsidRPr="00752897" w:rsidRDefault="00250520" w:rsidP="00585F51">
            <w:pPr>
              <w:keepNext/>
              <w:keepLines/>
              <w:spacing w:before="200"/>
              <w:jc w:val="center"/>
              <w:outlineLvl w:val="1"/>
              <w:rPr>
                <w:b/>
                <w:bCs/>
                <w:color w:val="4F81BD"/>
                <w:sz w:val="16"/>
                <w:szCs w:val="16"/>
              </w:rPr>
            </w:pPr>
            <w:r w:rsidRPr="00752897">
              <w:rPr>
                <w:sz w:val="16"/>
                <w:szCs w:val="16"/>
              </w:rPr>
              <w:t>T</w:t>
            </w:r>
          </w:p>
        </w:tc>
        <w:tc>
          <w:tcPr>
            <w:tcW w:w="5244" w:type="dxa"/>
            <w:hideMark/>
          </w:tcPr>
          <w:p w14:paraId="24000F13" w14:textId="3A89443F" w:rsidR="00652198" w:rsidRDefault="00250520">
            <w:pPr>
              <w:jc w:val="both"/>
              <w:rPr>
                <w:b/>
                <w:bCs/>
                <w:color w:val="4F81BD"/>
                <w:sz w:val="16"/>
                <w:szCs w:val="16"/>
              </w:rPr>
            </w:pPr>
            <w:r w:rsidRPr="00752897">
              <w:rPr>
                <w:sz w:val="16"/>
                <w:szCs w:val="16"/>
              </w:rPr>
              <w:t xml:space="preserve">Si bien PCR no cuenta con una política específica escrita referida a la rotación de los miembros de la Comisión Fiscalizadora y/o del Auditor </w:t>
            </w:r>
            <w:r w:rsidR="000A7B32" w:rsidRPr="00752897">
              <w:rPr>
                <w:sz w:val="16"/>
                <w:szCs w:val="16"/>
              </w:rPr>
              <w:t xml:space="preserve">externo, </w:t>
            </w:r>
            <w:r w:rsidR="000A7B32" w:rsidRPr="00752897">
              <w:rPr>
                <w:sz w:val="16"/>
                <w:szCs w:val="16"/>
                <w:lang w:val="es-ES_tradnl"/>
              </w:rPr>
              <w:t>cumple</w:t>
            </w:r>
            <w:r w:rsidRPr="00752897">
              <w:rPr>
                <w:sz w:val="16"/>
                <w:szCs w:val="16"/>
                <w:lang w:val="es-ES_tradnl"/>
              </w:rPr>
              <w:t xml:space="preserve"> con lo establecido en las normas de la Comisión Nacional de Valores (N.T. 2013) para la rotación de los Auditores. </w:t>
            </w:r>
            <w:r w:rsidRPr="00752897">
              <w:rPr>
                <w:sz w:val="16"/>
                <w:szCs w:val="16"/>
              </w:rPr>
              <w:t xml:space="preserve">Los miembros titulares de la Comisión Fiscalizadora no pertenecen, ni lo han hecho en los últimos años, a la firma que presta servicios de auditoría externa para la Emisora. </w:t>
            </w:r>
          </w:p>
        </w:tc>
      </w:tr>
      <w:tr w:rsidR="00250520" w:rsidRPr="00752897" w14:paraId="3F5C6AA0" w14:textId="77777777" w:rsidTr="00585F51">
        <w:trPr>
          <w:trHeight w:val="265"/>
        </w:trPr>
        <w:tc>
          <w:tcPr>
            <w:tcW w:w="9781" w:type="dxa"/>
            <w:gridSpan w:val="3"/>
            <w:hideMark/>
          </w:tcPr>
          <w:p w14:paraId="426532D8" w14:textId="77777777" w:rsidR="00652198" w:rsidRDefault="00250520">
            <w:pPr>
              <w:jc w:val="both"/>
              <w:rPr>
                <w:b/>
                <w:sz w:val="16"/>
                <w:szCs w:val="16"/>
              </w:rPr>
            </w:pPr>
            <w:r w:rsidRPr="00752897">
              <w:rPr>
                <w:b/>
                <w:sz w:val="16"/>
                <w:szCs w:val="16"/>
              </w:rPr>
              <w:t>PRINCIPIO V. RESPETAR LOS DERECHOS DE LOS ACCIONISTAS</w:t>
            </w:r>
          </w:p>
        </w:tc>
      </w:tr>
      <w:tr w:rsidR="00250520" w:rsidRPr="00752897" w14:paraId="3F6BBC3A" w14:textId="77777777" w:rsidTr="00585F51">
        <w:trPr>
          <w:trHeight w:val="480"/>
        </w:trPr>
        <w:tc>
          <w:tcPr>
            <w:tcW w:w="3686" w:type="dxa"/>
            <w:hideMark/>
          </w:tcPr>
          <w:p w14:paraId="57735404" w14:textId="77777777" w:rsidR="00652198" w:rsidRDefault="00250520">
            <w:pPr>
              <w:jc w:val="both"/>
              <w:rPr>
                <w:sz w:val="16"/>
                <w:szCs w:val="16"/>
              </w:rPr>
            </w:pPr>
            <w:r w:rsidRPr="00752897">
              <w:rPr>
                <w:sz w:val="16"/>
                <w:szCs w:val="16"/>
              </w:rPr>
              <w:t>Recomendación V.1: Asegurar que los accionistas tengan acceso a la información de la Emisora.</w:t>
            </w:r>
          </w:p>
        </w:tc>
        <w:tc>
          <w:tcPr>
            <w:tcW w:w="851" w:type="dxa"/>
            <w:noWrap/>
            <w:hideMark/>
          </w:tcPr>
          <w:p w14:paraId="7E6AF9C3" w14:textId="77777777" w:rsidR="00250520" w:rsidRPr="00752897" w:rsidRDefault="00250520" w:rsidP="00585F51">
            <w:pPr>
              <w:rPr>
                <w:rFonts w:eastAsia="Calibri"/>
                <w:sz w:val="16"/>
                <w:szCs w:val="16"/>
                <w:lang w:eastAsia="en-US"/>
              </w:rPr>
            </w:pPr>
          </w:p>
        </w:tc>
        <w:tc>
          <w:tcPr>
            <w:tcW w:w="5244" w:type="dxa"/>
            <w:noWrap/>
            <w:hideMark/>
          </w:tcPr>
          <w:p w14:paraId="68FCA5A6" w14:textId="77777777" w:rsidR="00250520" w:rsidRPr="00752897" w:rsidRDefault="00250520" w:rsidP="00585F51">
            <w:pPr>
              <w:rPr>
                <w:sz w:val="16"/>
                <w:szCs w:val="16"/>
              </w:rPr>
            </w:pPr>
            <w:r w:rsidRPr="00752897">
              <w:rPr>
                <w:sz w:val="16"/>
                <w:szCs w:val="16"/>
              </w:rPr>
              <w:t> </w:t>
            </w:r>
          </w:p>
        </w:tc>
      </w:tr>
      <w:tr w:rsidR="00250520" w:rsidRPr="00752897" w14:paraId="0F76BB0A" w14:textId="77777777" w:rsidTr="00585F51">
        <w:trPr>
          <w:trHeight w:val="255"/>
        </w:trPr>
        <w:tc>
          <w:tcPr>
            <w:tcW w:w="3686" w:type="dxa"/>
            <w:hideMark/>
          </w:tcPr>
          <w:p w14:paraId="2320DEA1" w14:textId="77777777" w:rsidR="00652198" w:rsidRDefault="00250520">
            <w:pPr>
              <w:jc w:val="both"/>
              <w:rPr>
                <w:color w:val="000000"/>
                <w:sz w:val="16"/>
                <w:szCs w:val="16"/>
              </w:rPr>
            </w:pPr>
            <w:r w:rsidRPr="00752897">
              <w:rPr>
                <w:color w:val="000000"/>
                <w:sz w:val="16"/>
                <w:szCs w:val="16"/>
              </w:rPr>
              <w:t>V.1.1 El Órgano de Administración promueve reuniones informativas periódicas con los accionistas coincidiendo con la presentación de los estados financieros intermedios. Explicitar indicando la cantidad y frecuencia de las reuniones realizadas en el transcurso del año.</w:t>
            </w:r>
          </w:p>
        </w:tc>
        <w:tc>
          <w:tcPr>
            <w:tcW w:w="851" w:type="dxa"/>
            <w:hideMark/>
          </w:tcPr>
          <w:p w14:paraId="3F098CFF" w14:textId="77777777" w:rsidR="00250520" w:rsidRPr="00752897" w:rsidRDefault="00250520" w:rsidP="00585F51">
            <w:pPr>
              <w:jc w:val="center"/>
              <w:rPr>
                <w:sz w:val="16"/>
                <w:szCs w:val="16"/>
              </w:rPr>
            </w:pPr>
            <w:r w:rsidRPr="00752897">
              <w:rPr>
                <w:sz w:val="16"/>
                <w:szCs w:val="16"/>
              </w:rPr>
              <w:t>T</w:t>
            </w:r>
          </w:p>
        </w:tc>
        <w:tc>
          <w:tcPr>
            <w:tcW w:w="5244" w:type="dxa"/>
            <w:hideMark/>
          </w:tcPr>
          <w:p w14:paraId="6C72E98D" w14:textId="2917ED8A" w:rsidR="00652198" w:rsidRDefault="00250520">
            <w:pPr>
              <w:jc w:val="both"/>
              <w:rPr>
                <w:sz w:val="16"/>
                <w:szCs w:val="16"/>
              </w:rPr>
            </w:pPr>
            <w:r w:rsidRPr="00752897">
              <w:rPr>
                <w:sz w:val="16"/>
                <w:szCs w:val="16"/>
              </w:rPr>
              <w:t xml:space="preserve">Se informa que ciertos miembros de las familias Brandi y Cavallo, ejercen el control de PCR mediante una participación directa e indirecta del 99,96%. </w:t>
            </w:r>
            <w:r w:rsidRPr="00752897">
              <w:rPr>
                <w:bCs/>
                <w:snapToGrid w:val="0"/>
                <w:sz w:val="16"/>
                <w:szCs w:val="16"/>
                <w:lang w:val="es-ES_tradnl"/>
              </w:rPr>
              <w:t xml:space="preserve">Adicionalmente, PCR no cotiza sus acciones en ninguna Bolsa o Mercado de Valores, en </w:t>
            </w:r>
            <w:r w:rsidR="003D409F" w:rsidRPr="00752897">
              <w:rPr>
                <w:bCs/>
                <w:snapToGrid w:val="0"/>
                <w:sz w:val="16"/>
                <w:szCs w:val="16"/>
                <w:lang w:val="es-ES_tradnl"/>
              </w:rPr>
              <w:t>consecuencia,</w:t>
            </w:r>
            <w:r w:rsidRPr="00752897">
              <w:rPr>
                <w:bCs/>
                <w:snapToGrid w:val="0"/>
                <w:sz w:val="16"/>
                <w:szCs w:val="16"/>
                <w:lang w:val="es-ES_tradnl"/>
              </w:rPr>
              <w:t xml:space="preserve"> no cuenta con accionistas públicos. Los accionistas minoritarios (0,04% formado por cientos de personas físicas) no se han presentado a ninguna de las últimas asambleas generales de accionistas, pese a las convocatorias efectuadas en legal forma. </w:t>
            </w:r>
            <w:r w:rsidRPr="00752897">
              <w:rPr>
                <w:sz w:val="16"/>
                <w:szCs w:val="16"/>
              </w:rPr>
              <w:t xml:space="preserve"> En consecuencia, el Directorio de PCR (formado en su mayoría por representantes de los accionistas miembros de las familias Brandi y Cavallo), en cada aprobación de </w:t>
            </w:r>
            <w:r w:rsidRPr="00752897">
              <w:rPr>
                <w:color w:val="000000"/>
                <w:sz w:val="16"/>
                <w:szCs w:val="16"/>
              </w:rPr>
              <w:t xml:space="preserve">los estados financieros intermedios, se </w:t>
            </w:r>
            <w:r w:rsidRPr="00752897">
              <w:rPr>
                <w:sz w:val="16"/>
                <w:szCs w:val="16"/>
              </w:rPr>
              <w:t>informa sobre los resultados, hechos relevantes y se responden las dudas y consultas que se formulen</w:t>
            </w:r>
            <w:r w:rsidRPr="00752897">
              <w:rPr>
                <w:color w:val="000000"/>
                <w:sz w:val="16"/>
                <w:szCs w:val="16"/>
              </w:rPr>
              <w:t>.</w:t>
            </w:r>
            <w:r w:rsidRPr="00752897">
              <w:rPr>
                <w:color w:val="FF0000"/>
                <w:sz w:val="16"/>
                <w:szCs w:val="16"/>
              </w:rPr>
              <w:t xml:space="preserve"> </w:t>
            </w:r>
          </w:p>
        </w:tc>
      </w:tr>
      <w:tr w:rsidR="00250520" w:rsidRPr="00752897" w14:paraId="5A0E98CD" w14:textId="77777777" w:rsidTr="00585F51">
        <w:trPr>
          <w:trHeight w:val="255"/>
        </w:trPr>
        <w:tc>
          <w:tcPr>
            <w:tcW w:w="3686" w:type="dxa"/>
            <w:hideMark/>
          </w:tcPr>
          <w:p w14:paraId="58F22900" w14:textId="77777777" w:rsidR="00652198" w:rsidRDefault="00250520">
            <w:pPr>
              <w:jc w:val="both"/>
              <w:rPr>
                <w:color w:val="000000"/>
                <w:sz w:val="16"/>
                <w:szCs w:val="16"/>
              </w:rPr>
            </w:pPr>
            <w:r w:rsidRPr="00752897">
              <w:rPr>
                <w:color w:val="000000"/>
                <w:sz w:val="16"/>
                <w:szCs w:val="16"/>
              </w:rPr>
              <w:t xml:space="preserve">V.1.2 La Emisora cuenta con mecanismos de información a inversores y con un área especializada para la atención de sus consultas. Adicionalmente cuenta con un sitio web que puedan acceder los accionistas y otros inversores, y que permita un canal </w:t>
            </w:r>
            <w:r w:rsidRPr="00752897">
              <w:rPr>
                <w:color w:val="000000"/>
                <w:sz w:val="16"/>
                <w:szCs w:val="16"/>
              </w:rPr>
              <w:lastRenderedPageBreak/>
              <w:t>de acceso para que puedan establecer contacto entre sí. Detallar.</w:t>
            </w:r>
          </w:p>
        </w:tc>
        <w:tc>
          <w:tcPr>
            <w:tcW w:w="851" w:type="dxa"/>
            <w:hideMark/>
          </w:tcPr>
          <w:p w14:paraId="5D1BD1F2" w14:textId="77777777" w:rsidR="00250520" w:rsidRPr="00752897" w:rsidRDefault="00250520" w:rsidP="00585F51">
            <w:pPr>
              <w:jc w:val="center"/>
              <w:rPr>
                <w:sz w:val="16"/>
                <w:szCs w:val="16"/>
              </w:rPr>
            </w:pPr>
            <w:r w:rsidRPr="00752897">
              <w:rPr>
                <w:sz w:val="16"/>
                <w:szCs w:val="16"/>
              </w:rPr>
              <w:lastRenderedPageBreak/>
              <w:t>T</w:t>
            </w:r>
          </w:p>
        </w:tc>
        <w:tc>
          <w:tcPr>
            <w:tcW w:w="5244" w:type="dxa"/>
            <w:hideMark/>
          </w:tcPr>
          <w:p w14:paraId="0F520ECD" w14:textId="77777777" w:rsidR="00652198" w:rsidRDefault="00250520">
            <w:pPr>
              <w:jc w:val="both"/>
              <w:rPr>
                <w:color w:val="FF0000"/>
                <w:sz w:val="16"/>
                <w:szCs w:val="16"/>
              </w:rPr>
            </w:pPr>
            <w:r w:rsidRPr="00752897">
              <w:rPr>
                <w:bCs/>
                <w:snapToGrid w:val="0"/>
                <w:sz w:val="16"/>
                <w:szCs w:val="16"/>
                <w:lang w:val="es-ES_tradnl"/>
              </w:rPr>
              <w:t xml:space="preserve">Conforme se indica en el punto anterior, PCR no cotiza sus acciones en ninguna Bolsa o Mercado de Valores, en </w:t>
            </w:r>
            <w:r w:rsidR="00757848" w:rsidRPr="00752897">
              <w:rPr>
                <w:bCs/>
                <w:snapToGrid w:val="0"/>
                <w:sz w:val="16"/>
                <w:szCs w:val="16"/>
                <w:lang w:val="es-ES_tradnl"/>
              </w:rPr>
              <w:t>consecuencia,</w:t>
            </w:r>
            <w:r w:rsidRPr="00752897">
              <w:rPr>
                <w:bCs/>
                <w:snapToGrid w:val="0"/>
                <w:sz w:val="16"/>
                <w:szCs w:val="16"/>
                <w:lang w:val="es-ES_tradnl"/>
              </w:rPr>
              <w:t xml:space="preserve"> no cuenta con accionistas públicos. Adicionalmente, e</w:t>
            </w:r>
            <w:r w:rsidRPr="00752897">
              <w:rPr>
                <w:sz w:val="16"/>
                <w:szCs w:val="16"/>
              </w:rPr>
              <w:t xml:space="preserve">n la actualidad PCR no cuenta con títulos valores en circulación. Sin perjuicio de ello, cuenta con una página web </w:t>
            </w:r>
            <w:r w:rsidRPr="00752897">
              <w:rPr>
                <w:sz w:val="16"/>
                <w:szCs w:val="16"/>
              </w:rPr>
              <w:lastRenderedPageBreak/>
              <w:t>(</w:t>
            </w:r>
            <w:hyperlink r:id="rId6" w:history="1">
              <w:r w:rsidRPr="00752897">
                <w:rPr>
                  <w:rStyle w:val="Hipervnculo"/>
                  <w:sz w:val="16"/>
                  <w:szCs w:val="16"/>
                </w:rPr>
                <w:t>www.pcr.com.ar</w:t>
              </w:r>
            </w:hyperlink>
            <w:r w:rsidRPr="00752897">
              <w:rPr>
                <w:sz w:val="16"/>
                <w:szCs w:val="16"/>
              </w:rPr>
              <w:t xml:space="preserve">) que remite a la información presentada ante la CNV, mecanismo de información por excelencia para los futuros inversores. </w:t>
            </w:r>
          </w:p>
        </w:tc>
      </w:tr>
      <w:tr w:rsidR="00250520" w:rsidRPr="00752897" w14:paraId="61FB825E" w14:textId="77777777" w:rsidTr="00585F51">
        <w:trPr>
          <w:trHeight w:val="271"/>
        </w:trPr>
        <w:tc>
          <w:tcPr>
            <w:tcW w:w="3686" w:type="dxa"/>
            <w:hideMark/>
          </w:tcPr>
          <w:p w14:paraId="7D08D180" w14:textId="77777777" w:rsidR="00652198" w:rsidRDefault="00250520">
            <w:pPr>
              <w:jc w:val="both"/>
              <w:rPr>
                <w:sz w:val="16"/>
                <w:szCs w:val="16"/>
              </w:rPr>
            </w:pPr>
            <w:r w:rsidRPr="00752897">
              <w:rPr>
                <w:sz w:val="16"/>
                <w:szCs w:val="16"/>
              </w:rPr>
              <w:lastRenderedPageBreak/>
              <w:t xml:space="preserve">Recomendación V.2: Promover la </w:t>
            </w:r>
            <w:proofErr w:type="gramStart"/>
            <w:r w:rsidRPr="00752897">
              <w:rPr>
                <w:sz w:val="16"/>
                <w:szCs w:val="16"/>
              </w:rPr>
              <w:t>participación activa</w:t>
            </w:r>
            <w:proofErr w:type="gramEnd"/>
            <w:r w:rsidRPr="00752897">
              <w:rPr>
                <w:sz w:val="16"/>
                <w:szCs w:val="16"/>
              </w:rPr>
              <w:t xml:space="preserve"> de todos los accionistas.</w:t>
            </w:r>
          </w:p>
        </w:tc>
        <w:tc>
          <w:tcPr>
            <w:tcW w:w="851" w:type="dxa"/>
            <w:hideMark/>
          </w:tcPr>
          <w:p w14:paraId="565A2451" w14:textId="77777777" w:rsidR="00250520" w:rsidRPr="00752897" w:rsidRDefault="00250520" w:rsidP="00585F51">
            <w:pPr>
              <w:jc w:val="center"/>
              <w:rPr>
                <w:rFonts w:eastAsia="Calibri"/>
                <w:sz w:val="16"/>
                <w:szCs w:val="16"/>
                <w:lang w:eastAsia="en-US"/>
              </w:rPr>
            </w:pPr>
          </w:p>
        </w:tc>
        <w:tc>
          <w:tcPr>
            <w:tcW w:w="5244" w:type="dxa"/>
            <w:hideMark/>
          </w:tcPr>
          <w:p w14:paraId="5B302B57" w14:textId="77777777" w:rsidR="00652198" w:rsidRDefault="00652198">
            <w:pPr>
              <w:jc w:val="both"/>
              <w:rPr>
                <w:sz w:val="16"/>
                <w:szCs w:val="16"/>
              </w:rPr>
            </w:pPr>
          </w:p>
        </w:tc>
      </w:tr>
      <w:tr w:rsidR="00250520" w:rsidRPr="00752897" w14:paraId="00C4D467" w14:textId="77777777" w:rsidTr="00585F51">
        <w:trPr>
          <w:trHeight w:val="255"/>
        </w:trPr>
        <w:tc>
          <w:tcPr>
            <w:tcW w:w="3686" w:type="dxa"/>
            <w:hideMark/>
          </w:tcPr>
          <w:p w14:paraId="08C54138" w14:textId="77777777" w:rsidR="00652198" w:rsidRDefault="00250520">
            <w:pPr>
              <w:jc w:val="both"/>
              <w:rPr>
                <w:sz w:val="16"/>
                <w:szCs w:val="16"/>
              </w:rPr>
            </w:pPr>
            <w:r w:rsidRPr="00752897">
              <w:rPr>
                <w:sz w:val="16"/>
                <w:szCs w:val="16"/>
              </w:rPr>
              <w:t xml:space="preserve">V.2.1 El Órgano de Administración adopta medidas para promover la participación de todos los accionistas en las Asambleas Generales de Accionistas. Explicitar, diferenciando las medidas exigidas por ley de las ofrecidas voluntariamente por la Emisora a sus accionistas. </w:t>
            </w:r>
          </w:p>
        </w:tc>
        <w:tc>
          <w:tcPr>
            <w:tcW w:w="851" w:type="dxa"/>
            <w:hideMark/>
          </w:tcPr>
          <w:p w14:paraId="1263B87E" w14:textId="77777777" w:rsidR="00250520" w:rsidRPr="00752897" w:rsidRDefault="00250520" w:rsidP="00585F51">
            <w:pPr>
              <w:jc w:val="center"/>
              <w:rPr>
                <w:sz w:val="16"/>
                <w:szCs w:val="16"/>
              </w:rPr>
            </w:pPr>
            <w:r w:rsidRPr="00752897">
              <w:rPr>
                <w:sz w:val="16"/>
                <w:szCs w:val="16"/>
              </w:rPr>
              <w:t>T</w:t>
            </w:r>
          </w:p>
        </w:tc>
        <w:tc>
          <w:tcPr>
            <w:tcW w:w="5244" w:type="dxa"/>
            <w:hideMark/>
          </w:tcPr>
          <w:p w14:paraId="16A987A0" w14:textId="77777777" w:rsidR="00652198" w:rsidRDefault="00250520">
            <w:pPr>
              <w:jc w:val="both"/>
              <w:rPr>
                <w:sz w:val="16"/>
                <w:szCs w:val="16"/>
              </w:rPr>
            </w:pPr>
            <w:r w:rsidRPr="00752897">
              <w:rPr>
                <w:sz w:val="16"/>
                <w:szCs w:val="16"/>
              </w:rPr>
              <w:t xml:space="preserve">Se realizan las convocatorias a participar de las asambleas por los medios que tanto el estatuto social como la normativa vigente prescriben. </w:t>
            </w:r>
            <w:r w:rsidRPr="00752897">
              <w:rPr>
                <w:sz w:val="16"/>
                <w:szCs w:val="16"/>
                <w:lang w:val="es-ES_tradnl"/>
              </w:rPr>
              <w:t>Entre ellos, mencionamos al Boletín Oficial, Autopista de la Información Financiera, Boletín de la Bolsa de Comercio de Buenos Aires, Diario de gran circulación. De esta manera, se promueve la participación de todos los accionistas.</w:t>
            </w:r>
          </w:p>
        </w:tc>
      </w:tr>
      <w:tr w:rsidR="00250520" w:rsidRPr="00752897" w14:paraId="54465482" w14:textId="77777777" w:rsidTr="00585F51">
        <w:trPr>
          <w:trHeight w:val="255"/>
        </w:trPr>
        <w:tc>
          <w:tcPr>
            <w:tcW w:w="3686" w:type="dxa"/>
            <w:hideMark/>
          </w:tcPr>
          <w:p w14:paraId="1A152DA4" w14:textId="77777777" w:rsidR="00652198" w:rsidRDefault="00250520">
            <w:pPr>
              <w:jc w:val="both"/>
              <w:rPr>
                <w:sz w:val="16"/>
                <w:szCs w:val="16"/>
              </w:rPr>
            </w:pPr>
            <w:r w:rsidRPr="00752897">
              <w:rPr>
                <w:sz w:val="16"/>
                <w:szCs w:val="16"/>
              </w:rPr>
              <w:t xml:space="preserve">V.2.2 La Asamblea General de Accionistas cuenta con un Reglamento para su funcionamiento que asegura que la información esté disponible para los accionistas, con suficiente antelación para la toma de decisiones. Describir los principales lineamientos </w:t>
            </w:r>
            <w:proofErr w:type="gramStart"/>
            <w:r w:rsidRPr="00752897">
              <w:rPr>
                <w:sz w:val="16"/>
                <w:szCs w:val="16"/>
              </w:rPr>
              <w:t>del mismo</w:t>
            </w:r>
            <w:proofErr w:type="gramEnd"/>
            <w:r w:rsidRPr="00752897">
              <w:rPr>
                <w:sz w:val="16"/>
                <w:szCs w:val="16"/>
              </w:rPr>
              <w:t>.</w:t>
            </w:r>
          </w:p>
        </w:tc>
        <w:tc>
          <w:tcPr>
            <w:tcW w:w="851" w:type="dxa"/>
            <w:hideMark/>
          </w:tcPr>
          <w:p w14:paraId="3984A53A" w14:textId="77777777" w:rsidR="00250520" w:rsidRPr="00752897" w:rsidRDefault="00250520" w:rsidP="00585F51">
            <w:pPr>
              <w:jc w:val="center"/>
              <w:rPr>
                <w:sz w:val="16"/>
                <w:szCs w:val="16"/>
              </w:rPr>
            </w:pPr>
            <w:r w:rsidRPr="00752897">
              <w:rPr>
                <w:sz w:val="16"/>
                <w:szCs w:val="16"/>
              </w:rPr>
              <w:t>T</w:t>
            </w:r>
          </w:p>
        </w:tc>
        <w:tc>
          <w:tcPr>
            <w:tcW w:w="5244" w:type="dxa"/>
            <w:hideMark/>
          </w:tcPr>
          <w:p w14:paraId="30C36D56" w14:textId="77777777" w:rsidR="00652198" w:rsidRDefault="00250520">
            <w:pPr>
              <w:jc w:val="both"/>
              <w:rPr>
                <w:sz w:val="16"/>
                <w:szCs w:val="16"/>
              </w:rPr>
            </w:pPr>
            <w:r w:rsidRPr="00752897">
              <w:rPr>
                <w:sz w:val="16"/>
                <w:szCs w:val="16"/>
                <w:lang w:val="es-ES_tradnl"/>
              </w:rPr>
              <w:t>Con anterioridad a la celebración de cada Asamblea, mediante el acta de Directorio donde se convoca a la misma, se establecen los temas que serán tratados en el Orden del Día, tal cual lo exige la normativa vigente. En caso de que algún punto necesite un análisis previo, se les hace entrega del correspondiente informe con el material necesario para poder emitir su voto. La Asamblea no cuenta con un Reglamento para su funcionamiento.</w:t>
            </w:r>
          </w:p>
        </w:tc>
      </w:tr>
      <w:tr w:rsidR="00250520" w:rsidRPr="00752897" w14:paraId="74515E17" w14:textId="77777777" w:rsidTr="00585F51">
        <w:trPr>
          <w:trHeight w:val="255"/>
        </w:trPr>
        <w:tc>
          <w:tcPr>
            <w:tcW w:w="3686" w:type="dxa"/>
            <w:hideMark/>
          </w:tcPr>
          <w:p w14:paraId="2924D805" w14:textId="77777777" w:rsidR="00652198" w:rsidRDefault="00250520">
            <w:pPr>
              <w:jc w:val="both"/>
              <w:rPr>
                <w:sz w:val="16"/>
                <w:szCs w:val="16"/>
              </w:rPr>
            </w:pPr>
            <w:r w:rsidRPr="00752897">
              <w:rPr>
                <w:sz w:val="16"/>
                <w:szCs w:val="16"/>
              </w:rPr>
              <w:t xml:space="preserve">V.2.3 Resultan aplicables los mecanismos implementados por la Emisora </w:t>
            </w:r>
            <w:r w:rsidR="00757848" w:rsidRPr="00752897">
              <w:rPr>
                <w:sz w:val="16"/>
                <w:szCs w:val="16"/>
              </w:rPr>
              <w:t>a fin de que</w:t>
            </w:r>
            <w:r w:rsidRPr="00752897">
              <w:rPr>
                <w:sz w:val="16"/>
                <w:szCs w:val="16"/>
              </w:rPr>
              <w:t xml:space="preserve"> los accionistas minoritarios propongan asuntos para debatir en la Asamblea General de Accionistas de conformidad con lo previsto en la normativa vigente. Explicitar los resultados.</w:t>
            </w:r>
          </w:p>
        </w:tc>
        <w:tc>
          <w:tcPr>
            <w:tcW w:w="851" w:type="dxa"/>
            <w:hideMark/>
          </w:tcPr>
          <w:p w14:paraId="057FF4A9" w14:textId="77777777" w:rsidR="00250520" w:rsidRPr="00752897" w:rsidRDefault="00250520" w:rsidP="00585F51">
            <w:pPr>
              <w:jc w:val="center"/>
              <w:rPr>
                <w:sz w:val="16"/>
                <w:szCs w:val="16"/>
              </w:rPr>
            </w:pPr>
            <w:r w:rsidRPr="00752897">
              <w:rPr>
                <w:sz w:val="16"/>
                <w:szCs w:val="16"/>
              </w:rPr>
              <w:t>T</w:t>
            </w:r>
          </w:p>
        </w:tc>
        <w:tc>
          <w:tcPr>
            <w:tcW w:w="5244" w:type="dxa"/>
            <w:hideMark/>
          </w:tcPr>
          <w:p w14:paraId="18D9BDC1" w14:textId="77777777" w:rsidR="00652198" w:rsidRDefault="00250520">
            <w:pPr>
              <w:jc w:val="both"/>
              <w:rPr>
                <w:sz w:val="16"/>
                <w:szCs w:val="16"/>
              </w:rPr>
            </w:pPr>
            <w:r w:rsidRPr="00752897">
              <w:rPr>
                <w:sz w:val="16"/>
                <w:szCs w:val="16"/>
                <w:lang w:val="es-ES_tradnl"/>
              </w:rPr>
              <w:t xml:space="preserve">Si bien, como aclaramos al principio de este apartado, no se han presentado accionistas minoritarios en ninguna de las últimas asambleas de PCR, cualquiera de los accionistas podría efectuar las consultas y propuestas que estimen convenientes relacionadas a los puntos del orden del día que se están tratando en la Asamblea. </w:t>
            </w:r>
          </w:p>
        </w:tc>
      </w:tr>
      <w:tr w:rsidR="00250520" w:rsidRPr="00752897" w14:paraId="2DE00FA4" w14:textId="77777777" w:rsidTr="00585F51">
        <w:trPr>
          <w:trHeight w:val="255"/>
        </w:trPr>
        <w:tc>
          <w:tcPr>
            <w:tcW w:w="3686" w:type="dxa"/>
            <w:hideMark/>
          </w:tcPr>
          <w:p w14:paraId="70939568" w14:textId="77777777" w:rsidR="00652198" w:rsidRDefault="00250520">
            <w:pPr>
              <w:jc w:val="both"/>
              <w:rPr>
                <w:sz w:val="16"/>
                <w:szCs w:val="16"/>
              </w:rPr>
            </w:pPr>
            <w:r w:rsidRPr="00752897">
              <w:rPr>
                <w:sz w:val="16"/>
                <w:szCs w:val="16"/>
              </w:rPr>
              <w:t>V.2.4 La Emisora cuenta con políticas de estímulo a la participación de accionistas de mayor relevancia, tales como los inversores institucionales. Especificar.</w:t>
            </w:r>
          </w:p>
        </w:tc>
        <w:tc>
          <w:tcPr>
            <w:tcW w:w="851" w:type="dxa"/>
            <w:hideMark/>
          </w:tcPr>
          <w:p w14:paraId="68D7BD20" w14:textId="77777777" w:rsidR="00250520" w:rsidRPr="00752897" w:rsidRDefault="00250520" w:rsidP="00585F51">
            <w:pPr>
              <w:rPr>
                <w:rFonts w:eastAsia="Calibri"/>
                <w:sz w:val="16"/>
                <w:szCs w:val="16"/>
                <w:lang w:val="en-US" w:eastAsia="en-US"/>
              </w:rPr>
            </w:pPr>
          </w:p>
        </w:tc>
        <w:tc>
          <w:tcPr>
            <w:tcW w:w="5244" w:type="dxa"/>
            <w:hideMark/>
          </w:tcPr>
          <w:p w14:paraId="377F68B1" w14:textId="77777777" w:rsidR="00652198" w:rsidRDefault="00250520">
            <w:pPr>
              <w:jc w:val="both"/>
              <w:rPr>
                <w:sz w:val="16"/>
                <w:szCs w:val="16"/>
              </w:rPr>
            </w:pPr>
            <w:r w:rsidRPr="00752897">
              <w:rPr>
                <w:sz w:val="16"/>
                <w:szCs w:val="16"/>
                <w:lang w:val="es-ES_tradnl"/>
              </w:rPr>
              <w:t>Dada la composición accionaria de PCR (99,96% a cargo de las familias Brandi y Cavallo), esta recomendación no es aplicable.</w:t>
            </w:r>
          </w:p>
        </w:tc>
      </w:tr>
      <w:tr w:rsidR="00250520" w:rsidRPr="00752897" w14:paraId="4388766D" w14:textId="77777777" w:rsidTr="00585F51">
        <w:trPr>
          <w:trHeight w:val="255"/>
        </w:trPr>
        <w:tc>
          <w:tcPr>
            <w:tcW w:w="3686" w:type="dxa"/>
            <w:hideMark/>
          </w:tcPr>
          <w:p w14:paraId="07C4C90B" w14:textId="77777777" w:rsidR="00652198" w:rsidRDefault="00250520">
            <w:pPr>
              <w:jc w:val="both"/>
              <w:rPr>
                <w:sz w:val="16"/>
                <w:szCs w:val="16"/>
              </w:rPr>
            </w:pPr>
            <w:r w:rsidRPr="00752897">
              <w:rPr>
                <w:sz w:val="16"/>
                <w:szCs w:val="16"/>
              </w:rPr>
              <w:t>V.2.5 En las Asambleas de Accionistas donde se proponen designaciones de miembros del Órgano de Administración se dan a conocer, con carácter previo a la votación: (i) la postura de cada uno de los candidatos respecto de la adopción o no de un Código de Gobierno Societario; y (</w:t>
            </w:r>
            <w:proofErr w:type="spellStart"/>
            <w:r w:rsidRPr="00752897">
              <w:rPr>
                <w:sz w:val="16"/>
                <w:szCs w:val="16"/>
              </w:rPr>
              <w:t>ii</w:t>
            </w:r>
            <w:proofErr w:type="spellEnd"/>
            <w:r w:rsidRPr="00752897">
              <w:rPr>
                <w:sz w:val="16"/>
                <w:szCs w:val="16"/>
              </w:rPr>
              <w:t>) los fundamentos de dicha postura.</w:t>
            </w:r>
          </w:p>
        </w:tc>
        <w:tc>
          <w:tcPr>
            <w:tcW w:w="851" w:type="dxa"/>
            <w:hideMark/>
          </w:tcPr>
          <w:p w14:paraId="236162E5" w14:textId="77777777" w:rsidR="00250520" w:rsidRPr="00752897" w:rsidRDefault="00250520" w:rsidP="00585F51">
            <w:pPr>
              <w:rPr>
                <w:rFonts w:eastAsia="Calibri"/>
                <w:sz w:val="16"/>
                <w:szCs w:val="16"/>
                <w:lang w:eastAsia="en-US"/>
              </w:rPr>
            </w:pPr>
          </w:p>
        </w:tc>
        <w:tc>
          <w:tcPr>
            <w:tcW w:w="5244" w:type="dxa"/>
            <w:hideMark/>
          </w:tcPr>
          <w:p w14:paraId="6A1BB1FF" w14:textId="77777777" w:rsidR="00652198" w:rsidRDefault="00250520">
            <w:pPr>
              <w:jc w:val="both"/>
              <w:rPr>
                <w:sz w:val="16"/>
                <w:szCs w:val="16"/>
              </w:rPr>
            </w:pPr>
            <w:r w:rsidRPr="00752897">
              <w:rPr>
                <w:sz w:val="16"/>
                <w:szCs w:val="16"/>
                <w:lang w:val="es-ES_tradnl"/>
              </w:rPr>
              <w:t>Dada la composición accionaria de PCR antes informada, y la no obligatoriedad de PCR de contar con un Código de Gobierno Societario, esta recomendación no es aplicable.</w:t>
            </w:r>
          </w:p>
        </w:tc>
      </w:tr>
      <w:tr w:rsidR="00250520" w:rsidRPr="00752897" w14:paraId="1BBCDB2D" w14:textId="77777777" w:rsidTr="00585F51">
        <w:trPr>
          <w:trHeight w:val="339"/>
        </w:trPr>
        <w:tc>
          <w:tcPr>
            <w:tcW w:w="3686" w:type="dxa"/>
            <w:hideMark/>
          </w:tcPr>
          <w:p w14:paraId="653417ED" w14:textId="77777777" w:rsidR="00652198" w:rsidRDefault="00250520">
            <w:pPr>
              <w:jc w:val="both"/>
              <w:rPr>
                <w:sz w:val="16"/>
                <w:szCs w:val="16"/>
              </w:rPr>
            </w:pPr>
            <w:r w:rsidRPr="00752897">
              <w:rPr>
                <w:sz w:val="16"/>
                <w:szCs w:val="16"/>
              </w:rPr>
              <w:t>Recomendación V.3: Garantizar el principio de igualdad entre acción y voto.</w:t>
            </w:r>
          </w:p>
        </w:tc>
        <w:tc>
          <w:tcPr>
            <w:tcW w:w="851" w:type="dxa"/>
            <w:hideMark/>
          </w:tcPr>
          <w:p w14:paraId="1A86C142" w14:textId="77777777" w:rsidR="00250520" w:rsidRPr="00752897" w:rsidRDefault="00250520" w:rsidP="00585F51">
            <w:pPr>
              <w:jc w:val="center"/>
              <w:rPr>
                <w:sz w:val="16"/>
                <w:szCs w:val="16"/>
              </w:rPr>
            </w:pPr>
            <w:r w:rsidRPr="00752897">
              <w:rPr>
                <w:sz w:val="16"/>
                <w:szCs w:val="16"/>
              </w:rPr>
              <w:t>T</w:t>
            </w:r>
          </w:p>
        </w:tc>
        <w:tc>
          <w:tcPr>
            <w:tcW w:w="5244" w:type="dxa"/>
            <w:hideMark/>
          </w:tcPr>
          <w:p w14:paraId="3EB0B281" w14:textId="77777777" w:rsidR="00652198" w:rsidRDefault="00250520">
            <w:pPr>
              <w:jc w:val="both"/>
              <w:rPr>
                <w:sz w:val="16"/>
                <w:szCs w:val="16"/>
              </w:rPr>
            </w:pPr>
            <w:r w:rsidRPr="00752897">
              <w:rPr>
                <w:sz w:val="16"/>
                <w:szCs w:val="16"/>
                <w:lang w:val="es-ES_tradnl"/>
              </w:rPr>
              <w:t xml:space="preserve">Dada la composición accionaria de PCR antes informada, esta recomendación no es aplicable. Sin perjuicio de ello, se informa </w:t>
            </w:r>
            <w:r w:rsidR="00757848" w:rsidRPr="00752897">
              <w:rPr>
                <w:sz w:val="16"/>
                <w:szCs w:val="16"/>
                <w:lang w:val="es-ES_tradnl"/>
              </w:rPr>
              <w:t>que,</w:t>
            </w:r>
            <w:r w:rsidRPr="00752897">
              <w:rPr>
                <w:sz w:val="16"/>
                <w:szCs w:val="16"/>
                <w:lang w:val="es-ES_tradnl"/>
              </w:rPr>
              <w:t xml:space="preserve"> en la actualidad, la totalidad de las acciones circulantes de PCR son ordinarias escriturales de 5 votos por acción.</w:t>
            </w:r>
          </w:p>
        </w:tc>
      </w:tr>
      <w:tr w:rsidR="00250520" w:rsidRPr="00752897" w14:paraId="6BED68E6" w14:textId="77777777" w:rsidTr="00585F51">
        <w:trPr>
          <w:trHeight w:val="521"/>
        </w:trPr>
        <w:tc>
          <w:tcPr>
            <w:tcW w:w="3686" w:type="dxa"/>
            <w:hideMark/>
          </w:tcPr>
          <w:p w14:paraId="37311ECC" w14:textId="77777777" w:rsidR="00652198" w:rsidRDefault="00250520">
            <w:pPr>
              <w:jc w:val="both"/>
              <w:rPr>
                <w:sz w:val="16"/>
                <w:szCs w:val="16"/>
              </w:rPr>
            </w:pPr>
            <w:r w:rsidRPr="00752897">
              <w:rPr>
                <w:sz w:val="16"/>
                <w:szCs w:val="16"/>
              </w:rPr>
              <w:t>Recomendación V.4: Establecer mecanismos de protección de todos los accionistas frente a las tomas de control.</w:t>
            </w:r>
          </w:p>
        </w:tc>
        <w:tc>
          <w:tcPr>
            <w:tcW w:w="851" w:type="dxa"/>
            <w:hideMark/>
          </w:tcPr>
          <w:p w14:paraId="72773C97" w14:textId="77777777" w:rsidR="00250520" w:rsidRPr="00752897" w:rsidRDefault="00250520" w:rsidP="00585F51">
            <w:pPr>
              <w:jc w:val="center"/>
              <w:rPr>
                <w:sz w:val="16"/>
                <w:szCs w:val="16"/>
              </w:rPr>
            </w:pPr>
            <w:r w:rsidRPr="00752897">
              <w:rPr>
                <w:sz w:val="16"/>
                <w:szCs w:val="16"/>
              </w:rPr>
              <w:t>T</w:t>
            </w:r>
          </w:p>
        </w:tc>
        <w:tc>
          <w:tcPr>
            <w:tcW w:w="5244" w:type="dxa"/>
            <w:hideMark/>
          </w:tcPr>
          <w:p w14:paraId="635C6DCE" w14:textId="77777777" w:rsidR="00652198" w:rsidRDefault="00250520">
            <w:pPr>
              <w:jc w:val="both"/>
              <w:rPr>
                <w:sz w:val="16"/>
                <w:szCs w:val="16"/>
              </w:rPr>
            </w:pPr>
            <w:r w:rsidRPr="00752897">
              <w:rPr>
                <w:sz w:val="16"/>
                <w:szCs w:val="16"/>
                <w:lang w:val="es-ES_tradnl"/>
              </w:rPr>
              <w:t>El art. 90 de la Ley de Mercado de Capitales establece la obligatoriedad para todas las emisoras de adherirse al Régimen de oferta pública de adquisición obligatoria. En efecto, mediante el Artículo 5° del Estatuto Social de PCR, se establece la adhesión expresa a dicho régimen en la medida que PCR se encuentre autorizada a realizar oferta pública de sus acciones.</w:t>
            </w:r>
          </w:p>
        </w:tc>
      </w:tr>
      <w:tr w:rsidR="00250520" w:rsidRPr="00752897" w14:paraId="03D56454" w14:textId="77777777" w:rsidTr="00585F51">
        <w:trPr>
          <w:trHeight w:val="557"/>
        </w:trPr>
        <w:tc>
          <w:tcPr>
            <w:tcW w:w="3686" w:type="dxa"/>
            <w:hideMark/>
          </w:tcPr>
          <w:p w14:paraId="0DDE436F" w14:textId="77777777" w:rsidR="00652198" w:rsidRDefault="00250520">
            <w:pPr>
              <w:jc w:val="both"/>
              <w:rPr>
                <w:sz w:val="16"/>
                <w:szCs w:val="16"/>
              </w:rPr>
            </w:pPr>
            <w:r w:rsidRPr="00752897">
              <w:rPr>
                <w:sz w:val="16"/>
                <w:szCs w:val="16"/>
              </w:rPr>
              <w:t>Recomendación V.5: Incrementar el porcentaje acciones en circulación sobre el capital.</w:t>
            </w:r>
          </w:p>
        </w:tc>
        <w:tc>
          <w:tcPr>
            <w:tcW w:w="851" w:type="dxa"/>
            <w:hideMark/>
          </w:tcPr>
          <w:p w14:paraId="22CDA0D0" w14:textId="77777777" w:rsidR="00250520" w:rsidRPr="00752897" w:rsidRDefault="00250520" w:rsidP="00585F51">
            <w:pPr>
              <w:rPr>
                <w:rFonts w:eastAsia="Calibri"/>
                <w:sz w:val="16"/>
                <w:szCs w:val="16"/>
                <w:lang w:eastAsia="en-US"/>
              </w:rPr>
            </w:pPr>
          </w:p>
        </w:tc>
        <w:tc>
          <w:tcPr>
            <w:tcW w:w="5244" w:type="dxa"/>
            <w:hideMark/>
          </w:tcPr>
          <w:p w14:paraId="459F1AD6" w14:textId="77777777" w:rsidR="00652198" w:rsidRDefault="00250520">
            <w:pPr>
              <w:jc w:val="both"/>
              <w:rPr>
                <w:sz w:val="16"/>
                <w:szCs w:val="16"/>
              </w:rPr>
            </w:pPr>
            <w:r w:rsidRPr="00752897">
              <w:rPr>
                <w:sz w:val="16"/>
                <w:szCs w:val="16"/>
                <w:lang w:val="es-ES_tradnl"/>
              </w:rPr>
              <w:t>Dada la composición accionaria de PCR antes informada, esta recomendación no es aplicable.</w:t>
            </w:r>
          </w:p>
        </w:tc>
      </w:tr>
      <w:tr w:rsidR="00250520" w:rsidRPr="00752897" w14:paraId="63D85F8D" w14:textId="77777777" w:rsidTr="00585F51">
        <w:trPr>
          <w:trHeight w:val="480"/>
        </w:trPr>
        <w:tc>
          <w:tcPr>
            <w:tcW w:w="3686" w:type="dxa"/>
            <w:hideMark/>
          </w:tcPr>
          <w:p w14:paraId="2C76A32A" w14:textId="77777777" w:rsidR="00652198" w:rsidRDefault="00250520">
            <w:pPr>
              <w:jc w:val="both"/>
              <w:rPr>
                <w:sz w:val="16"/>
                <w:szCs w:val="16"/>
              </w:rPr>
            </w:pPr>
            <w:r w:rsidRPr="00752897">
              <w:rPr>
                <w:sz w:val="16"/>
                <w:szCs w:val="16"/>
              </w:rPr>
              <w:t>Recomendación V.6: Asegurar que haya una política de dividendos transparente.</w:t>
            </w:r>
          </w:p>
        </w:tc>
        <w:tc>
          <w:tcPr>
            <w:tcW w:w="851" w:type="dxa"/>
            <w:hideMark/>
          </w:tcPr>
          <w:p w14:paraId="5E5E4205" w14:textId="77777777" w:rsidR="00250520" w:rsidRPr="00752897" w:rsidRDefault="00250520" w:rsidP="00585F51">
            <w:pPr>
              <w:rPr>
                <w:rFonts w:eastAsia="Calibri"/>
                <w:sz w:val="16"/>
                <w:szCs w:val="16"/>
                <w:lang w:eastAsia="en-US"/>
              </w:rPr>
            </w:pPr>
          </w:p>
        </w:tc>
        <w:tc>
          <w:tcPr>
            <w:tcW w:w="5244" w:type="dxa"/>
            <w:hideMark/>
          </w:tcPr>
          <w:p w14:paraId="6117A9C2" w14:textId="77777777" w:rsidR="00250520" w:rsidRPr="00752897" w:rsidRDefault="00250520" w:rsidP="00585F51">
            <w:pPr>
              <w:rPr>
                <w:sz w:val="16"/>
                <w:szCs w:val="16"/>
              </w:rPr>
            </w:pPr>
          </w:p>
        </w:tc>
      </w:tr>
      <w:tr w:rsidR="00250520" w:rsidRPr="00752897" w14:paraId="02A900D0" w14:textId="77777777" w:rsidTr="00585F51">
        <w:trPr>
          <w:trHeight w:val="255"/>
        </w:trPr>
        <w:tc>
          <w:tcPr>
            <w:tcW w:w="3686" w:type="dxa"/>
            <w:hideMark/>
          </w:tcPr>
          <w:p w14:paraId="7ED68986" w14:textId="77777777" w:rsidR="00652198" w:rsidRDefault="00250520">
            <w:pPr>
              <w:jc w:val="both"/>
              <w:rPr>
                <w:sz w:val="16"/>
                <w:szCs w:val="16"/>
              </w:rPr>
            </w:pPr>
            <w:r w:rsidRPr="00752897">
              <w:rPr>
                <w:sz w:val="16"/>
                <w:szCs w:val="16"/>
              </w:rPr>
              <w:t>V.6.1 La Emisora cuenta con una política de distribución de dividendos prevista en el Estatuto Social y aprobada por la Asamblea de Accionistas en las que se establece las condiciones para distribuir dividendos en efectivo o acciones. De existir la misma, indicar criterios, frecuencia y condiciones que deben cumplirse para el pago de dividendos.</w:t>
            </w:r>
          </w:p>
        </w:tc>
        <w:tc>
          <w:tcPr>
            <w:tcW w:w="851" w:type="dxa"/>
            <w:hideMark/>
          </w:tcPr>
          <w:p w14:paraId="0766C9B4" w14:textId="77777777" w:rsidR="00250520" w:rsidRPr="00752897" w:rsidRDefault="00250520" w:rsidP="00585F51">
            <w:pPr>
              <w:jc w:val="center"/>
              <w:rPr>
                <w:sz w:val="16"/>
                <w:szCs w:val="16"/>
              </w:rPr>
            </w:pPr>
            <w:r w:rsidRPr="00752897">
              <w:rPr>
                <w:sz w:val="16"/>
                <w:szCs w:val="16"/>
              </w:rPr>
              <w:t>T</w:t>
            </w:r>
          </w:p>
        </w:tc>
        <w:tc>
          <w:tcPr>
            <w:tcW w:w="5244" w:type="dxa"/>
            <w:hideMark/>
          </w:tcPr>
          <w:p w14:paraId="0D54A0C9" w14:textId="4CF121C3" w:rsidR="00652198" w:rsidRDefault="00250520">
            <w:pPr>
              <w:jc w:val="both"/>
              <w:rPr>
                <w:sz w:val="16"/>
                <w:szCs w:val="16"/>
              </w:rPr>
            </w:pPr>
            <w:r w:rsidRPr="00752897">
              <w:rPr>
                <w:bCs/>
                <w:color w:val="000000"/>
                <w:sz w:val="16"/>
                <w:szCs w:val="16"/>
              </w:rPr>
              <w:t xml:space="preserve">La declaración, monto y pago de dividendos es determinada por el voto de la mayoría de los accionistas reunidos en asamblea ordinaria, y siguiendo las recomendaciones realizadas por el Directorio. </w:t>
            </w:r>
            <w:proofErr w:type="gramStart"/>
            <w:r w:rsidRPr="00752897">
              <w:rPr>
                <w:bCs/>
                <w:color w:val="000000"/>
                <w:sz w:val="16"/>
                <w:szCs w:val="16"/>
              </w:rPr>
              <w:t>El monto a distribuir</w:t>
            </w:r>
            <w:proofErr w:type="gramEnd"/>
            <w:r w:rsidRPr="00752897">
              <w:rPr>
                <w:bCs/>
                <w:color w:val="000000"/>
                <w:sz w:val="16"/>
                <w:szCs w:val="16"/>
              </w:rPr>
              <w:t xml:space="preserve"> depende, entre otras cuestiones, de los resultados del ejercicio económico, de la situación financiera de PCR en dicho momento, de las regulaciones aplicables y de cualquier otro factor que se considere relevante. Todas las acciones </w:t>
            </w:r>
            <w:r w:rsidRPr="00752897">
              <w:rPr>
                <w:color w:val="000000"/>
                <w:sz w:val="16"/>
                <w:szCs w:val="16"/>
              </w:rPr>
              <w:t xml:space="preserve">actualmente en circulación </w:t>
            </w:r>
            <w:r w:rsidRPr="00752897">
              <w:rPr>
                <w:bCs/>
                <w:color w:val="000000"/>
                <w:sz w:val="16"/>
                <w:szCs w:val="16"/>
              </w:rPr>
              <w:t xml:space="preserve">se encuentran en igualdad de condiciones con respecto al pago de </w:t>
            </w:r>
            <w:r w:rsidRPr="00CB72F7">
              <w:rPr>
                <w:bCs/>
                <w:color w:val="000000"/>
                <w:sz w:val="16"/>
                <w:szCs w:val="16"/>
              </w:rPr>
              <w:t xml:space="preserve">dividendos. </w:t>
            </w:r>
            <w:r w:rsidRPr="00CB72F7">
              <w:rPr>
                <w:color w:val="000000"/>
                <w:sz w:val="16"/>
              </w:rPr>
              <w:t xml:space="preserve">PCR </w:t>
            </w:r>
            <w:r w:rsidR="00CB72F7" w:rsidRPr="00CB72F7">
              <w:rPr>
                <w:color w:val="000000"/>
                <w:sz w:val="16"/>
              </w:rPr>
              <w:t xml:space="preserve">en función de compromisos asumidos con los bancos </w:t>
            </w:r>
            <w:proofErr w:type="spellStart"/>
            <w:r w:rsidR="00CB72F7" w:rsidRPr="00CB72F7">
              <w:rPr>
                <w:color w:val="000000"/>
                <w:sz w:val="16"/>
              </w:rPr>
              <w:t>Itau</w:t>
            </w:r>
            <w:proofErr w:type="spellEnd"/>
            <w:r w:rsidR="00CB72F7" w:rsidRPr="00CB72F7">
              <w:rPr>
                <w:color w:val="000000"/>
                <w:sz w:val="16"/>
              </w:rPr>
              <w:t xml:space="preserve"> y Galicia posee una restricción para el pago de dividendos cuyo límite es de 10 millones de dólares anuales. </w:t>
            </w:r>
            <w:r w:rsidRPr="00CB72F7">
              <w:rPr>
                <w:sz w:val="16"/>
                <w:szCs w:val="16"/>
              </w:rPr>
              <w:t>En cuanto al resto de las cuestiones consultadas, se aplican los principios establecidos por la Ley</w:t>
            </w:r>
            <w:r w:rsidRPr="00752897">
              <w:rPr>
                <w:sz w:val="16"/>
                <w:szCs w:val="16"/>
              </w:rPr>
              <w:t xml:space="preserve"> General de Sociedades y demás normas aplicables. </w:t>
            </w:r>
          </w:p>
        </w:tc>
      </w:tr>
      <w:tr w:rsidR="00250520" w:rsidRPr="00752897" w14:paraId="32A68928" w14:textId="77777777" w:rsidTr="00585F51">
        <w:trPr>
          <w:trHeight w:val="255"/>
        </w:trPr>
        <w:tc>
          <w:tcPr>
            <w:tcW w:w="3686" w:type="dxa"/>
            <w:hideMark/>
          </w:tcPr>
          <w:p w14:paraId="2890CB1C" w14:textId="77777777" w:rsidR="00652198" w:rsidRDefault="00250520">
            <w:pPr>
              <w:jc w:val="both"/>
              <w:rPr>
                <w:sz w:val="16"/>
                <w:szCs w:val="16"/>
              </w:rPr>
            </w:pPr>
            <w:r w:rsidRPr="00752897">
              <w:rPr>
                <w:sz w:val="16"/>
                <w:szCs w:val="16"/>
              </w:rPr>
              <w:t xml:space="preserve">V.6.2 La Emisora cuenta con procesos documentados para la elaboración de la propuesta de destino de resultados acumulados de la Emisora que deriven en constitución de reservas legales, estatutarias, voluntarias, pase a nuevo ejercicio y/o pago de dividendos.  Explicitar dichos procesos y detallar en que Acta de Asamblea General de Accionistas fue aprobada la distribución (en efectivo o acciones) o no de dividendos, de no estar previsto en el Estatuto Social.  </w:t>
            </w:r>
          </w:p>
        </w:tc>
        <w:tc>
          <w:tcPr>
            <w:tcW w:w="851" w:type="dxa"/>
            <w:hideMark/>
          </w:tcPr>
          <w:p w14:paraId="55CCB6B5" w14:textId="77777777" w:rsidR="00250520" w:rsidRPr="00752897" w:rsidRDefault="00250520" w:rsidP="00585F51">
            <w:pPr>
              <w:jc w:val="center"/>
              <w:rPr>
                <w:sz w:val="16"/>
                <w:szCs w:val="16"/>
              </w:rPr>
            </w:pPr>
            <w:r w:rsidRPr="00752897">
              <w:rPr>
                <w:sz w:val="16"/>
                <w:szCs w:val="16"/>
              </w:rPr>
              <w:t>P</w:t>
            </w:r>
          </w:p>
        </w:tc>
        <w:tc>
          <w:tcPr>
            <w:tcW w:w="5244" w:type="dxa"/>
            <w:hideMark/>
          </w:tcPr>
          <w:p w14:paraId="298A1DD0" w14:textId="3F0BEA0C" w:rsidR="00652198" w:rsidRDefault="00250520">
            <w:pPr>
              <w:jc w:val="both"/>
              <w:rPr>
                <w:sz w:val="16"/>
                <w:szCs w:val="16"/>
              </w:rPr>
            </w:pPr>
            <w:r w:rsidRPr="00752897">
              <w:rPr>
                <w:sz w:val="16"/>
                <w:szCs w:val="16"/>
              </w:rPr>
              <w:t xml:space="preserve">PCR no cuenta </w:t>
            </w:r>
            <w:r w:rsidR="00757848" w:rsidRPr="00752897">
              <w:rPr>
                <w:sz w:val="16"/>
                <w:szCs w:val="16"/>
              </w:rPr>
              <w:t>con procedimientos</w:t>
            </w:r>
            <w:r w:rsidRPr="00752897">
              <w:rPr>
                <w:sz w:val="16"/>
                <w:szCs w:val="16"/>
              </w:rPr>
              <w:t xml:space="preserve"> escritos para la elaboración de la propuesta de destino de resultados acumulados que pudieran derivar en constitución de reservas legales, estatutarias, voluntarias, pase a nuevo ejercicio y/o pago de dividendos. En estas cuestiones, PCR se encuadra en los principios establecidos por la Ley General de Sociedades y demás normas aplicables; y su Estatuto Social. </w:t>
            </w:r>
          </w:p>
        </w:tc>
      </w:tr>
      <w:tr w:rsidR="00250520" w:rsidRPr="00752897" w14:paraId="2C547266" w14:textId="77777777" w:rsidTr="00585F51">
        <w:trPr>
          <w:trHeight w:val="330"/>
        </w:trPr>
        <w:tc>
          <w:tcPr>
            <w:tcW w:w="9781" w:type="dxa"/>
            <w:gridSpan w:val="3"/>
            <w:hideMark/>
          </w:tcPr>
          <w:p w14:paraId="39E8A025" w14:textId="77777777" w:rsidR="00652198" w:rsidRDefault="00250520">
            <w:pPr>
              <w:jc w:val="both"/>
              <w:rPr>
                <w:b/>
                <w:sz w:val="16"/>
                <w:szCs w:val="16"/>
              </w:rPr>
            </w:pPr>
            <w:r w:rsidRPr="00752897">
              <w:rPr>
                <w:b/>
                <w:sz w:val="16"/>
                <w:szCs w:val="16"/>
              </w:rPr>
              <w:lastRenderedPageBreak/>
              <w:t>PRINCIPIO VI. MANTENER UN VINCULO DIRECTO Y RESPONSABLE CON LA COMUNIDAD</w:t>
            </w:r>
          </w:p>
        </w:tc>
      </w:tr>
      <w:tr w:rsidR="00250520" w:rsidRPr="00752897" w14:paraId="59A1157E" w14:textId="77777777" w:rsidTr="00585F51">
        <w:trPr>
          <w:trHeight w:val="539"/>
        </w:trPr>
        <w:tc>
          <w:tcPr>
            <w:tcW w:w="3686" w:type="dxa"/>
            <w:hideMark/>
          </w:tcPr>
          <w:p w14:paraId="3EB58D6B" w14:textId="77777777" w:rsidR="00652198" w:rsidRDefault="00250520">
            <w:pPr>
              <w:jc w:val="both"/>
              <w:rPr>
                <w:sz w:val="16"/>
                <w:szCs w:val="16"/>
              </w:rPr>
            </w:pPr>
            <w:r w:rsidRPr="00752897">
              <w:rPr>
                <w:sz w:val="16"/>
                <w:szCs w:val="16"/>
              </w:rPr>
              <w:t>Recomendación VI: Suministrar a la comunidad la revelación de las cuestiones relativas a la Emisora y un canal de comunicación directo con la empresa.</w:t>
            </w:r>
          </w:p>
        </w:tc>
        <w:tc>
          <w:tcPr>
            <w:tcW w:w="851" w:type="dxa"/>
            <w:hideMark/>
          </w:tcPr>
          <w:p w14:paraId="55FF1DF5" w14:textId="77777777" w:rsidR="00250520" w:rsidRPr="00752897" w:rsidRDefault="00250520" w:rsidP="00585F51">
            <w:pPr>
              <w:rPr>
                <w:rFonts w:eastAsia="Calibri"/>
                <w:sz w:val="16"/>
                <w:szCs w:val="16"/>
                <w:lang w:eastAsia="en-US"/>
              </w:rPr>
            </w:pPr>
          </w:p>
        </w:tc>
        <w:tc>
          <w:tcPr>
            <w:tcW w:w="5244" w:type="dxa"/>
            <w:hideMark/>
          </w:tcPr>
          <w:p w14:paraId="372D22E9" w14:textId="77777777" w:rsidR="00250520" w:rsidRPr="00752897" w:rsidRDefault="00250520" w:rsidP="00585F51">
            <w:pPr>
              <w:rPr>
                <w:sz w:val="16"/>
                <w:szCs w:val="16"/>
              </w:rPr>
            </w:pPr>
            <w:r w:rsidRPr="00752897">
              <w:rPr>
                <w:sz w:val="16"/>
                <w:szCs w:val="16"/>
              </w:rPr>
              <w:t> </w:t>
            </w:r>
          </w:p>
        </w:tc>
      </w:tr>
      <w:tr w:rsidR="00250520" w:rsidRPr="00752897" w14:paraId="323D21A7" w14:textId="77777777" w:rsidTr="00585F51">
        <w:trPr>
          <w:trHeight w:val="255"/>
        </w:trPr>
        <w:tc>
          <w:tcPr>
            <w:tcW w:w="3686" w:type="dxa"/>
            <w:hideMark/>
          </w:tcPr>
          <w:p w14:paraId="13C25C3E" w14:textId="77777777" w:rsidR="00652198" w:rsidRDefault="00250520">
            <w:pPr>
              <w:jc w:val="both"/>
              <w:rPr>
                <w:sz w:val="16"/>
                <w:szCs w:val="16"/>
              </w:rPr>
            </w:pPr>
            <w:r w:rsidRPr="00752897">
              <w:rPr>
                <w:sz w:val="16"/>
                <w:szCs w:val="16"/>
              </w:rPr>
              <w:t>VI.1 La Emisora cuenta con un sitio web de acceso público, actualizado, que no solo suministre información relevante de la empresa (Estatuto Social, grupo económico, composición del Órgano de Administración, estados financieros, Memoria anual, entre otros) sino que también recoja inquietudes de usuarios en general.</w:t>
            </w:r>
          </w:p>
        </w:tc>
        <w:tc>
          <w:tcPr>
            <w:tcW w:w="851" w:type="dxa"/>
            <w:hideMark/>
          </w:tcPr>
          <w:p w14:paraId="2259655B" w14:textId="77777777" w:rsidR="00250520" w:rsidRPr="00752897" w:rsidRDefault="00250520" w:rsidP="00585F51">
            <w:pPr>
              <w:jc w:val="center"/>
              <w:rPr>
                <w:sz w:val="16"/>
                <w:szCs w:val="16"/>
              </w:rPr>
            </w:pPr>
            <w:r w:rsidRPr="00752897">
              <w:rPr>
                <w:sz w:val="16"/>
                <w:szCs w:val="16"/>
              </w:rPr>
              <w:t>T</w:t>
            </w:r>
          </w:p>
        </w:tc>
        <w:tc>
          <w:tcPr>
            <w:tcW w:w="5244" w:type="dxa"/>
            <w:hideMark/>
          </w:tcPr>
          <w:p w14:paraId="5A921BB0" w14:textId="471E9AF0" w:rsidR="00652198" w:rsidRDefault="00250520">
            <w:pPr>
              <w:jc w:val="both"/>
              <w:rPr>
                <w:sz w:val="16"/>
                <w:szCs w:val="16"/>
              </w:rPr>
            </w:pPr>
            <w:r w:rsidRPr="00752897">
              <w:rPr>
                <w:sz w:val="16"/>
                <w:szCs w:val="16"/>
              </w:rPr>
              <w:t>PCR cuenta con una página web (</w:t>
            </w:r>
            <w:hyperlink r:id="rId7" w:history="1">
              <w:r w:rsidRPr="00752897">
                <w:rPr>
                  <w:rStyle w:val="Hipervnculo"/>
                  <w:sz w:val="16"/>
                  <w:szCs w:val="16"/>
                </w:rPr>
                <w:t>www.pcr.com.ar</w:t>
              </w:r>
            </w:hyperlink>
            <w:r w:rsidRPr="00752897">
              <w:rPr>
                <w:sz w:val="16"/>
                <w:szCs w:val="16"/>
              </w:rPr>
              <w:t xml:space="preserve">) que remite a la información presentada </w:t>
            </w:r>
            <w:r w:rsidR="00757848" w:rsidRPr="00752897">
              <w:rPr>
                <w:sz w:val="16"/>
                <w:szCs w:val="16"/>
              </w:rPr>
              <w:t>ante la</w:t>
            </w:r>
            <w:r w:rsidRPr="00752897">
              <w:rPr>
                <w:sz w:val="16"/>
                <w:szCs w:val="16"/>
              </w:rPr>
              <w:t xml:space="preserve"> CNV; adicionalmente cuenta con un canal mecanismo de acceso a la información por parte de la comunidad.</w:t>
            </w:r>
          </w:p>
        </w:tc>
      </w:tr>
      <w:tr w:rsidR="00250520" w:rsidRPr="00752897" w14:paraId="6FAAB88A" w14:textId="77777777" w:rsidTr="00585F51">
        <w:trPr>
          <w:trHeight w:val="255"/>
        </w:trPr>
        <w:tc>
          <w:tcPr>
            <w:tcW w:w="3686" w:type="dxa"/>
            <w:hideMark/>
          </w:tcPr>
          <w:p w14:paraId="6E40E107" w14:textId="77777777" w:rsidR="00652198" w:rsidRDefault="00250520">
            <w:pPr>
              <w:jc w:val="both"/>
              <w:rPr>
                <w:sz w:val="16"/>
                <w:szCs w:val="16"/>
              </w:rPr>
            </w:pPr>
            <w:r w:rsidRPr="00752897">
              <w:rPr>
                <w:sz w:val="16"/>
                <w:szCs w:val="16"/>
              </w:rPr>
              <w:t xml:space="preserve">VI.2 La Emisora emite un Balance de Responsabilidad Social y Ambiental con frecuencia anual, con una verificación de un Auditor Externo independiente. De existir, indicar el alcance o cobertura jurídica o geográfica del mismo y dónde está disponible. </w:t>
            </w:r>
            <w:proofErr w:type="gramStart"/>
            <w:r w:rsidRPr="00752897">
              <w:rPr>
                <w:sz w:val="16"/>
                <w:szCs w:val="16"/>
              </w:rPr>
              <w:t>Especificar</w:t>
            </w:r>
            <w:proofErr w:type="gramEnd"/>
            <w:r w:rsidRPr="00752897">
              <w:rPr>
                <w:sz w:val="16"/>
                <w:szCs w:val="16"/>
              </w:rPr>
              <w:t xml:space="preserve"> que normas o iniciativas han adoptado para llevar a cabo su política de responsabilidad social empresaria (Global </w:t>
            </w:r>
            <w:proofErr w:type="spellStart"/>
            <w:r w:rsidRPr="00752897">
              <w:rPr>
                <w:sz w:val="16"/>
                <w:szCs w:val="16"/>
              </w:rPr>
              <w:t>Reporting</w:t>
            </w:r>
            <w:proofErr w:type="spellEnd"/>
            <w:r w:rsidRPr="00752897">
              <w:rPr>
                <w:sz w:val="16"/>
                <w:szCs w:val="16"/>
              </w:rPr>
              <w:t xml:space="preserve"> </w:t>
            </w:r>
            <w:proofErr w:type="spellStart"/>
            <w:r w:rsidRPr="00752897">
              <w:rPr>
                <w:sz w:val="16"/>
                <w:szCs w:val="16"/>
              </w:rPr>
              <w:t>Iniciative</w:t>
            </w:r>
            <w:proofErr w:type="spellEnd"/>
            <w:r w:rsidRPr="00752897">
              <w:rPr>
                <w:sz w:val="16"/>
                <w:szCs w:val="16"/>
              </w:rPr>
              <w:t xml:space="preserve"> y/o el Pacto Global de Naciones Unidas, ISO 26.000, SA8000, Objetivos de Desarrollo del Milenio, SGE 21-Foretica, AA 1000, Principios de Ecuador, entre otras)</w:t>
            </w:r>
          </w:p>
        </w:tc>
        <w:tc>
          <w:tcPr>
            <w:tcW w:w="851" w:type="dxa"/>
            <w:hideMark/>
          </w:tcPr>
          <w:p w14:paraId="4A05AFD2" w14:textId="77777777" w:rsidR="00250520" w:rsidRPr="00752897" w:rsidRDefault="00250520" w:rsidP="00585F51">
            <w:pPr>
              <w:jc w:val="center"/>
              <w:rPr>
                <w:sz w:val="16"/>
                <w:szCs w:val="16"/>
              </w:rPr>
            </w:pPr>
            <w:r w:rsidRPr="00752897">
              <w:rPr>
                <w:sz w:val="16"/>
                <w:szCs w:val="16"/>
              </w:rPr>
              <w:t>I</w:t>
            </w:r>
          </w:p>
        </w:tc>
        <w:tc>
          <w:tcPr>
            <w:tcW w:w="5244" w:type="dxa"/>
            <w:hideMark/>
          </w:tcPr>
          <w:p w14:paraId="5736E2E1" w14:textId="7C2AB516" w:rsidR="00652198" w:rsidRDefault="00250520">
            <w:pPr>
              <w:jc w:val="both"/>
              <w:rPr>
                <w:sz w:val="16"/>
                <w:szCs w:val="16"/>
              </w:rPr>
            </w:pPr>
            <w:r w:rsidRPr="00752897">
              <w:rPr>
                <w:sz w:val="16"/>
                <w:szCs w:val="16"/>
              </w:rPr>
              <w:t xml:space="preserve">Si bien PCR cuenta con exigencias internas de Responsabilidad Social Empresaria </w:t>
            </w:r>
            <w:r w:rsidR="00757848" w:rsidRPr="00752897">
              <w:rPr>
                <w:sz w:val="16"/>
                <w:szCs w:val="16"/>
              </w:rPr>
              <w:t>de acuerdo con</w:t>
            </w:r>
            <w:r w:rsidRPr="00752897">
              <w:rPr>
                <w:sz w:val="16"/>
                <w:szCs w:val="16"/>
              </w:rPr>
              <w:t xml:space="preserve"> lo expuesto en el punto II.1.1.7 anterior, no realiza un balance anual que resuma las acciones llevadas adelante durante el año. </w:t>
            </w:r>
          </w:p>
        </w:tc>
      </w:tr>
      <w:tr w:rsidR="00250520" w:rsidRPr="00752897" w14:paraId="7083173C" w14:textId="77777777" w:rsidTr="00585F51">
        <w:trPr>
          <w:trHeight w:val="332"/>
        </w:trPr>
        <w:tc>
          <w:tcPr>
            <w:tcW w:w="9781" w:type="dxa"/>
            <w:gridSpan w:val="3"/>
            <w:hideMark/>
          </w:tcPr>
          <w:p w14:paraId="03766811" w14:textId="77777777" w:rsidR="00652198" w:rsidRDefault="00250520">
            <w:pPr>
              <w:jc w:val="both"/>
              <w:rPr>
                <w:b/>
                <w:sz w:val="16"/>
                <w:szCs w:val="16"/>
              </w:rPr>
            </w:pPr>
            <w:r w:rsidRPr="00752897">
              <w:rPr>
                <w:b/>
                <w:sz w:val="16"/>
                <w:szCs w:val="16"/>
              </w:rPr>
              <w:t>PRINCIPIO VII. REMUNERAR DE FORMA JUSTA Y RESPONSABLE</w:t>
            </w:r>
          </w:p>
        </w:tc>
      </w:tr>
      <w:tr w:rsidR="00250520" w:rsidRPr="00752897" w14:paraId="63006F84" w14:textId="77777777" w:rsidTr="00585F51">
        <w:trPr>
          <w:trHeight w:val="968"/>
        </w:trPr>
        <w:tc>
          <w:tcPr>
            <w:tcW w:w="3686" w:type="dxa"/>
            <w:hideMark/>
          </w:tcPr>
          <w:p w14:paraId="701F4870" w14:textId="77777777" w:rsidR="00652198" w:rsidRDefault="00250520">
            <w:pPr>
              <w:jc w:val="both"/>
              <w:rPr>
                <w:sz w:val="16"/>
                <w:szCs w:val="16"/>
              </w:rPr>
            </w:pPr>
            <w:r w:rsidRPr="00752897">
              <w:rPr>
                <w:sz w:val="16"/>
                <w:szCs w:val="16"/>
              </w:rPr>
              <w:t>Recomendación VII: Establecer claras políticas de remuneración de los miembros del Órgano de Administración y gerentes de primera línea, con especial atención a la consagración de limitaciones convencionales o estatutarias en función de la existencia o inexistencia de ganancias.</w:t>
            </w:r>
          </w:p>
        </w:tc>
        <w:tc>
          <w:tcPr>
            <w:tcW w:w="851" w:type="dxa"/>
            <w:hideMark/>
          </w:tcPr>
          <w:p w14:paraId="7B2AE366" w14:textId="77777777" w:rsidR="00250520" w:rsidRPr="00752897" w:rsidRDefault="00250520" w:rsidP="00585F51">
            <w:pPr>
              <w:rPr>
                <w:rFonts w:eastAsia="Calibri"/>
                <w:sz w:val="16"/>
                <w:szCs w:val="16"/>
                <w:lang w:eastAsia="en-US"/>
              </w:rPr>
            </w:pPr>
          </w:p>
        </w:tc>
        <w:tc>
          <w:tcPr>
            <w:tcW w:w="5244" w:type="dxa"/>
            <w:hideMark/>
          </w:tcPr>
          <w:p w14:paraId="3762C3DB" w14:textId="77777777" w:rsidR="00250520" w:rsidRPr="00752897" w:rsidRDefault="00250520" w:rsidP="00585F51">
            <w:pPr>
              <w:rPr>
                <w:sz w:val="16"/>
                <w:szCs w:val="16"/>
              </w:rPr>
            </w:pPr>
            <w:r w:rsidRPr="00752897">
              <w:rPr>
                <w:sz w:val="16"/>
                <w:szCs w:val="16"/>
              </w:rPr>
              <w:t> </w:t>
            </w:r>
          </w:p>
        </w:tc>
      </w:tr>
      <w:tr w:rsidR="00250520" w:rsidRPr="00752897" w14:paraId="31A1CCFC" w14:textId="77777777" w:rsidTr="00585F51">
        <w:trPr>
          <w:trHeight w:val="255"/>
        </w:trPr>
        <w:tc>
          <w:tcPr>
            <w:tcW w:w="3686" w:type="dxa"/>
            <w:hideMark/>
          </w:tcPr>
          <w:p w14:paraId="22C2F552" w14:textId="77777777" w:rsidR="00652198" w:rsidRDefault="00250520">
            <w:pPr>
              <w:jc w:val="both"/>
              <w:rPr>
                <w:sz w:val="16"/>
                <w:szCs w:val="16"/>
              </w:rPr>
            </w:pPr>
            <w:r w:rsidRPr="00752897">
              <w:rPr>
                <w:sz w:val="16"/>
                <w:szCs w:val="16"/>
              </w:rPr>
              <w:t>VII.1. La Emisora cuenta con un Comité de Remuneraciones:</w:t>
            </w:r>
          </w:p>
        </w:tc>
        <w:tc>
          <w:tcPr>
            <w:tcW w:w="851" w:type="dxa"/>
            <w:hideMark/>
          </w:tcPr>
          <w:p w14:paraId="2C4A0084" w14:textId="77777777" w:rsidR="00250520" w:rsidRPr="00752897" w:rsidRDefault="00250520" w:rsidP="00585F51">
            <w:pPr>
              <w:jc w:val="center"/>
              <w:rPr>
                <w:sz w:val="16"/>
                <w:szCs w:val="16"/>
              </w:rPr>
            </w:pPr>
            <w:r w:rsidRPr="00752897">
              <w:rPr>
                <w:sz w:val="16"/>
                <w:szCs w:val="16"/>
              </w:rPr>
              <w:t>I</w:t>
            </w:r>
          </w:p>
        </w:tc>
        <w:tc>
          <w:tcPr>
            <w:tcW w:w="5244" w:type="dxa"/>
            <w:hideMark/>
          </w:tcPr>
          <w:p w14:paraId="2E02847F" w14:textId="77777777" w:rsidR="00652198" w:rsidRDefault="00250520">
            <w:pPr>
              <w:jc w:val="both"/>
              <w:rPr>
                <w:sz w:val="16"/>
                <w:szCs w:val="16"/>
              </w:rPr>
            </w:pPr>
            <w:r w:rsidRPr="00752897">
              <w:rPr>
                <w:sz w:val="16"/>
                <w:szCs w:val="16"/>
              </w:rPr>
              <w:t xml:space="preserve">PCR no cuenta con un Comité de Remuneraciones. </w:t>
            </w:r>
          </w:p>
        </w:tc>
      </w:tr>
      <w:tr w:rsidR="00250520" w:rsidRPr="00752897" w14:paraId="5366A185" w14:textId="77777777" w:rsidTr="00585F51">
        <w:trPr>
          <w:trHeight w:val="255"/>
        </w:trPr>
        <w:tc>
          <w:tcPr>
            <w:tcW w:w="3686" w:type="dxa"/>
            <w:hideMark/>
          </w:tcPr>
          <w:p w14:paraId="2741B903" w14:textId="77777777" w:rsidR="00652198" w:rsidRDefault="00250520">
            <w:pPr>
              <w:jc w:val="both"/>
              <w:rPr>
                <w:sz w:val="16"/>
                <w:szCs w:val="16"/>
              </w:rPr>
            </w:pPr>
            <w:r w:rsidRPr="00752897">
              <w:rPr>
                <w:sz w:val="16"/>
                <w:szCs w:val="16"/>
              </w:rPr>
              <w:t>VII.1.1 integrado por al menos tres miembros del Órgano de Administración, en su mayoría independientes,</w:t>
            </w:r>
          </w:p>
        </w:tc>
        <w:tc>
          <w:tcPr>
            <w:tcW w:w="851" w:type="dxa"/>
            <w:hideMark/>
          </w:tcPr>
          <w:p w14:paraId="1F637D49" w14:textId="77777777" w:rsidR="00250520" w:rsidRPr="00752897" w:rsidRDefault="00250520" w:rsidP="00585F51">
            <w:pPr>
              <w:rPr>
                <w:rFonts w:eastAsia="Calibri"/>
                <w:sz w:val="16"/>
                <w:szCs w:val="16"/>
                <w:lang w:eastAsia="en-US"/>
              </w:rPr>
            </w:pPr>
          </w:p>
        </w:tc>
        <w:tc>
          <w:tcPr>
            <w:tcW w:w="5244" w:type="dxa"/>
            <w:hideMark/>
          </w:tcPr>
          <w:p w14:paraId="46CA2127" w14:textId="77777777" w:rsidR="00652198" w:rsidRDefault="00250520">
            <w:pPr>
              <w:jc w:val="both"/>
              <w:rPr>
                <w:sz w:val="16"/>
                <w:szCs w:val="16"/>
              </w:rPr>
            </w:pPr>
            <w:r w:rsidRPr="00752897">
              <w:rPr>
                <w:sz w:val="16"/>
                <w:szCs w:val="16"/>
              </w:rPr>
              <w:t xml:space="preserve">No aplicable por lo mencionado en VII.1. anterior.  </w:t>
            </w:r>
          </w:p>
        </w:tc>
      </w:tr>
      <w:tr w:rsidR="00250520" w:rsidRPr="00752897" w14:paraId="6FBB8EE9" w14:textId="77777777" w:rsidTr="00585F51">
        <w:trPr>
          <w:trHeight w:val="255"/>
        </w:trPr>
        <w:tc>
          <w:tcPr>
            <w:tcW w:w="3686" w:type="dxa"/>
            <w:hideMark/>
          </w:tcPr>
          <w:p w14:paraId="234F48AE" w14:textId="77777777" w:rsidR="00652198" w:rsidRDefault="00250520">
            <w:pPr>
              <w:jc w:val="both"/>
              <w:rPr>
                <w:sz w:val="16"/>
                <w:szCs w:val="16"/>
              </w:rPr>
            </w:pPr>
            <w:r w:rsidRPr="00752897">
              <w:rPr>
                <w:sz w:val="16"/>
                <w:szCs w:val="16"/>
              </w:rPr>
              <w:t>VII.1.2 presidido por un miembro independiente del Órgano de Administración,</w:t>
            </w:r>
          </w:p>
        </w:tc>
        <w:tc>
          <w:tcPr>
            <w:tcW w:w="851" w:type="dxa"/>
            <w:noWrap/>
            <w:hideMark/>
          </w:tcPr>
          <w:p w14:paraId="33A3FB20" w14:textId="77777777" w:rsidR="00250520" w:rsidRPr="00752897" w:rsidRDefault="00250520" w:rsidP="00585F51">
            <w:pPr>
              <w:rPr>
                <w:rFonts w:eastAsia="Calibri"/>
                <w:sz w:val="16"/>
                <w:szCs w:val="16"/>
                <w:lang w:eastAsia="en-US"/>
              </w:rPr>
            </w:pPr>
          </w:p>
        </w:tc>
        <w:tc>
          <w:tcPr>
            <w:tcW w:w="5244" w:type="dxa"/>
            <w:noWrap/>
            <w:hideMark/>
          </w:tcPr>
          <w:p w14:paraId="34E5D224" w14:textId="77777777" w:rsidR="00652198" w:rsidRDefault="00250520">
            <w:pPr>
              <w:jc w:val="both"/>
              <w:rPr>
                <w:sz w:val="16"/>
                <w:szCs w:val="16"/>
              </w:rPr>
            </w:pPr>
            <w:r w:rsidRPr="00752897">
              <w:rPr>
                <w:sz w:val="16"/>
                <w:szCs w:val="16"/>
              </w:rPr>
              <w:t>No aplicable por lo mencionado en VII.1. anterior.</w:t>
            </w:r>
          </w:p>
        </w:tc>
      </w:tr>
      <w:tr w:rsidR="00250520" w:rsidRPr="00752897" w14:paraId="5635C4DA" w14:textId="77777777" w:rsidTr="00585F51">
        <w:trPr>
          <w:trHeight w:val="255"/>
        </w:trPr>
        <w:tc>
          <w:tcPr>
            <w:tcW w:w="3686" w:type="dxa"/>
            <w:hideMark/>
          </w:tcPr>
          <w:p w14:paraId="096666B3" w14:textId="77777777" w:rsidR="00652198" w:rsidRDefault="00250520">
            <w:pPr>
              <w:jc w:val="both"/>
              <w:rPr>
                <w:sz w:val="16"/>
                <w:szCs w:val="16"/>
              </w:rPr>
            </w:pPr>
            <w:r w:rsidRPr="00752897">
              <w:rPr>
                <w:sz w:val="16"/>
                <w:szCs w:val="16"/>
              </w:rPr>
              <w:t xml:space="preserve">VII.1.3 que cuenta con miembros que acreditan suficiente idoneidad y experiencia en temas de políticas de recursos humanos, </w:t>
            </w:r>
          </w:p>
        </w:tc>
        <w:tc>
          <w:tcPr>
            <w:tcW w:w="851" w:type="dxa"/>
            <w:hideMark/>
          </w:tcPr>
          <w:p w14:paraId="387EA3CA" w14:textId="77777777" w:rsidR="00250520" w:rsidRPr="00752897" w:rsidRDefault="00250520" w:rsidP="00585F51">
            <w:pPr>
              <w:rPr>
                <w:rFonts w:eastAsia="Calibri"/>
                <w:sz w:val="16"/>
                <w:szCs w:val="16"/>
                <w:lang w:eastAsia="en-US"/>
              </w:rPr>
            </w:pPr>
          </w:p>
        </w:tc>
        <w:tc>
          <w:tcPr>
            <w:tcW w:w="5244" w:type="dxa"/>
            <w:hideMark/>
          </w:tcPr>
          <w:p w14:paraId="6D5E5026" w14:textId="77777777" w:rsidR="00652198" w:rsidRDefault="00250520">
            <w:pPr>
              <w:jc w:val="both"/>
              <w:rPr>
                <w:sz w:val="16"/>
                <w:szCs w:val="16"/>
              </w:rPr>
            </w:pPr>
            <w:r w:rsidRPr="00752897">
              <w:rPr>
                <w:sz w:val="16"/>
                <w:szCs w:val="16"/>
              </w:rPr>
              <w:t>No aplicable por lo mencionado en VII.1. anterior.</w:t>
            </w:r>
          </w:p>
        </w:tc>
      </w:tr>
      <w:tr w:rsidR="00250520" w:rsidRPr="00752897" w14:paraId="13B2C88F" w14:textId="77777777" w:rsidTr="00585F51">
        <w:trPr>
          <w:trHeight w:val="255"/>
        </w:trPr>
        <w:tc>
          <w:tcPr>
            <w:tcW w:w="3686" w:type="dxa"/>
            <w:hideMark/>
          </w:tcPr>
          <w:p w14:paraId="67CDD38F" w14:textId="77777777" w:rsidR="00652198" w:rsidRDefault="00250520">
            <w:pPr>
              <w:jc w:val="both"/>
              <w:rPr>
                <w:sz w:val="16"/>
                <w:szCs w:val="16"/>
              </w:rPr>
            </w:pPr>
            <w:r w:rsidRPr="00752897">
              <w:rPr>
                <w:sz w:val="16"/>
                <w:szCs w:val="16"/>
              </w:rPr>
              <w:t xml:space="preserve">VII.1.4 que se reúna al menos dos veces por año. </w:t>
            </w:r>
          </w:p>
        </w:tc>
        <w:tc>
          <w:tcPr>
            <w:tcW w:w="851" w:type="dxa"/>
            <w:hideMark/>
          </w:tcPr>
          <w:p w14:paraId="5E39F229" w14:textId="77777777" w:rsidR="00250520" w:rsidRPr="00752897" w:rsidRDefault="00250520" w:rsidP="00585F51">
            <w:pPr>
              <w:rPr>
                <w:rFonts w:eastAsia="Calibri"/>
                <w:sz w:val="16"/>
                <w:szCs w:val="16"/>
                <w:lang w:eastAsia="en-US"/>
              </w:rPr>
            </w:pPr>
          </w:p>
        </w:tc>
        <w:tc>
          <w:tcPr>
            <w:tcW w:w="5244" w:type="dxa"/>
            <w:hideMark/>
          </w:tcPr>
          <w:p w14:paraId="700BE73B" w14:textId="77777777" w:rsidR="00652198" w:rsidRDefault="00250520">
            <w:pPr>
              <w:jc w:val="both"/>
              <w:rPr>
                <w:sz w:val="16"/>
                <w:szCs w:val="16"/>
              </w:rPr>
            </w:pPr>
            <w:r w:rsidRPr="00752897">
              <w:rPr>
                <w:sz w:val="16"/>
                <w:szCs w:val="16"/>
              </w:rPr>
              <w:t>No aplicable por lo mencionado en VII.1. anterior.</w:t>
            </w:r>
          </w:p>
        </w:tc>
      </w:tr>
      <w:tr w:rsidR="00250520" w:rsidRPr="00752897" w14:paraId="21AFE155" w14:textId="77777777" w:rsidTr="00585F51">
        <w:trPr>
          <w:trHeight w:val="255"/>
        </w:trPr>
        <w:tc>
          <w:tcPr>
            <w:tcW w:w="3686" w:type="dxa"/>
            <w:hideMark/>
          </w:tcPr>
          <w:p w14:paraId="4CC4CED2" w14:textId="77777777" w:rsidR="00652198" w:rsidRDefault="00250520">
            <w:pPr>
              <w:jc w:val="both"/>
              <w:rPr>
                <w:sz w:val="16"/>
                <w:szCs w:val="16"/>
              </w:rPr>
            </w:pPr>
            <w:r w:rsidRPr="00752897">
              <w:rPr>
                <w:sz w:val="16"/>
                <w:szCs w:val="16"/>
              </w:rPr>
              <w:t>VII.1.5 cuyas decisiones no son necesariamente vinculantes para la Asamblea General de Accionistas ni para el Consejo de Vigilancia sino de carácter consultivo en lo que hace a la remuneración de los miembros del Órgano de Administración.</w:t>
            </w:r>
          </w:p>
        </w:tc>
        <w:tc>
          <w:tcPr>
            <w:tcW w:w="851" w:type="dxa"/>
            <w:hideMark/>
          </w:tcPr>
          <w:p w14:paraId="353F22F6" w14:textId="77777777" w:rsidR="00250520" w:rsidRPr="00752897" w:rsidRDefault="00250520" w:rsidP="00585F51">
            <w:pPr>
              <w:rPr>
                <w:rFonts w:eastAsia="Calibri"/>
                <w:sz w:val="16"/>
                <w:szCs w:val="16"/>
                <w:lang w:eastAsia="en-US"/>
              </w:rPr>
            </w:pPr>
          </w:p>
        </w:tc>
        <w:tc>
          <w:tcPr>
            <w:tcW w:w="5244" w:type="dxa"/>
            <w:hideMark/>
          </w:tcPr>
          <w:p w14:paraId="522CF495" w14:textId="77777777" w:rsidR="00652198" w:rsidRDefault="00250520">
            <w:pPr>
              <w:jc w:val="both"/>
              <w:rPr>
                <w:sz w:val="16"/>
                <w:szCs w:val="16"/>
              </w:rPr>
            </w:pPr>
            <w:r w:rsidRPr="00752897">
              <w:rPr>
                <w:sz w:val="16"/>
                <w:szCs w:val="16"/>
              </w:rPr>
              <w:t>No aplicable por lo mencionado en VII.1. anterior.</w:t>
            </w:r>
          </w:p>
        </w:tc>
      </w:tr>
      <w:tr w:rsidR="00250520" w:rsidRPr="00752897" w14:paraId="282BB88E" w14:textId="77777777" w:rsidTr="00585F51">
        <w:trPr>
          <w:trHeight w:val="255"/>
        </w:trPr>
        <w:tc>
          <w:tcPr>
            <w:tcW w:w="3686" w:type="dxa"/>
            <w:hideMark/>
          </w:tcPr>
          <w:p w14:paraId="73642E40" w14:textId="77777777" w:rsidR="00652198" w:rsidRDefault="00250520">
            <w:pPr>
              <w:jc w:val="both"/>
              <w:rPr>
                <w:sz w:val="16"/>
                <w:szCs w:val="16"/>
              </w:rPr>
            </w:pPr>
            <w:r w:rsidRPr="00752897">
              <w:rPr>
                <w:sz w:val="16"/>
                <w:szCs w:val="16"/>
              </w:rPr>
              <w:t>VII. 2 En caso de contar con un Comité de Remuneraciones, el mismo:</w:t>
            </w:r>
          </w:p>
        </w:tc>
        <w:tc>
          <w:tcPr>
            <w:tcW w:w="851" w:type="dxa"/>
            <w:hideMark/>
          </w:tcPr>
          <w:p w14:paraId="654F4C2D" w14:textId="77777777" w:rsidR="00250520" w:rsidRPr="00752897" w:rsidRDefault="00250520" w:rsidP="00585F51">
            <w:pPr>
              <w:rPr>
                <w:rFonts w:eastAsia="Calibri"/>
                <w:sz w:val="16"/>
                <w:szCs w:val="16"/>
                <w:lang w:eastAsia="en-US"/>
              </w:rPr>
            </w:pPr>
          </w:p>
        </w:tc>
        <w:tc>
          <w:tcPr>
            <w:tcW w:w="5244" w:type="dxa"/>
            <w:hideMark/>
          </w:tcPr>
          <w:p w14:paraId="2E2A4F2A" w14:textId="77777777" w:rsidR="00652198" w:rsidRDefault="00652198">
            <w:pPr>
              <w:jc w:val="both"/>
              <w:rPr>
                <w:rFonts w:eastAsia="Calibri"/>
                <w:sz w:val="16"/>
                <w:szCs w:val="16"/>
                <w:lang w:eastAsia="en-US"/>
              </w:rPr>
            </w:pPr>
          </w:p>
        </w:tc>
      </w:tr>
      <w:tr w:rsidR="00250520" w:rsidRPr="00752897" w14:paraId="112F9BC4" w14:textId="77777777" w:rsidTr="00585F51">
        <w:trPr>
          <w:trHeight w:val="255"/>
        </w:trPr>
        <w:tc>
          <w:tcPr>
            <w:tcW w:w="3686" w:type="dxa"/>
            <w:hideMark/>
          </w:tcPr>
          <w:p w14:paraId="3053DF34" w14:textId="77777777" w:rsidR="00652198" w:rsidRDefault="00250520">
            <w:pPr>
              <w:jc w:val="both"/>
              <w:rPr>
                <w:sz w:val="16"/>
                <w:szCs w:val="16"/>
              </w:rPr>
            </w:pPr>
            <w:r w:rsidRPr="00752897">
              <w:rPr>
                <w:sz w:val="16"/>
                <w:szCs w:val="16"/>
              </w:rPr>
              <w:t>VII.2.1 asegura que exista una clara relación entre el desempeño del personal clave y su remuneración fija y variable, teniendo en cuenta los riesgos asumidos y su administración.</w:t>
            </w:r>
          </w:p>
        </w:tc>
        <w:tc>
          <w:tcPr>
            <w:tcW w:w="851" w:type="dxa"/>
            <w:hideMark/>
          </w:tcPr>
          <w:p w14:paraId="1CA68989" w14:textId="77777777" w:rsidR="00250520" w:rsidRPr="00752897" w:rsidRDefault="00250520" w:rsidP="00585F51">
            <w:pPr>
              <w:rPr>
                <w:rFonts w:eastAsia="Calibri"/>
                <w:sz w:val="16"/>
                <w:szCs w:val="16"/>
                <w:lang w:eastAsia="en-US"/>
              </w:rPr>
            </w:pPr>
          </w:p>
        </w:tc>
        <w:tc>
          <w:tcPr>
            <w:tcW w:w="5244" w:type="dxa"/>
            <w:hideMark/>
          </w:tcPr>
          <w:p w14:paraId="3BF716B9" w14:textId="77777777" w:rsidR="00652198" w:rsidRDefault="00250520">
            <w:pPr>
              <w:jc w:val="both"/>
              <w:rPr>
                <w:sz w:val="16"/>
                <w:szCs w:val="16"/>
              </w:rPr>
            </w:pPr>
            <w:r w:rsidRPr="00752897">
              <w:rPr>
                <w:sz w:val="16"/>
                <w:szCs w:val="16"/>
              </w:rPr>
              <w:t>No aplicable por lo mencionado en VII.1. anterior.</w:t>
            </w:r>
          </w:p>
        </w:tc>
      </w:tr>
      <w:tr w:rsidR="00250520" w:rsidRPr="00752897" w14:paraId="46DDDB56" w14:textId="77777777" w:rsidTr="00585F51">
        <w:trPr>
          <w:trHeight w:val="255"/>
        </w:trPr>
        <w:tc>
          <w:tcPr>
            <w:tcW w:w="3686" w:type="dxa"/>
            <w:hideMark/>
          </w:tcPr>
          <w:p w14:paraId="6A775889" w14:textId="77777777" w:rsidR="00652198" w:rsidRDefault="00250520">
            <w:pPr>
              <w:jc w:val="both"/>
              <w:rPr>
                <w:sz w:val="16"/>
                <w:szCs w:val="16"/>
              </w:rPr>
            </w:pPr>
            <w:r w:rsidRPr="00752897">
              <w:rPr>
                <w:sz w:val="16"/>
                <w:szCs w:val="16"/>
              </w:rPr>
              <w:t>VII.2.2 supervisa que la porción variable de la remuneración de miembros del Órgano de Administración y gerentes de primera línea se vincule con el rendimiento a mediano y/o largo plazo de la Emisora.</w:t>
            </w:r>
          </w:p>
        </w:tc>
        <w:tc>
          <w:tcPr>
            <w:tcW w:w="851" w:type="dxa"/>
            <w:hideMark/>
          </w:tcPr>
          <w:p w14:paraId="7F8C71A8" w14:textId="77777777" w:rsidR="00250520" w:rsidRPr="00752897" w:rsidRDefault="00250520" w:rsidP="00585F51">
            <w:pPr>
              <w:rPr>
                <w:rFonts w:eastAsia="Calibri"/>
                <w:sz w:val="16"/>
                <w:szCs w:val="16"/>
                <w:lang w:eastAsia="en-US"/>
              </w:rPr>
            </w:pPr>
          </w:p>
        </w:tc>
        <w:tc>
          <w:tcPr>
            <w:tcW w:w="5244" w:type="dxa"/>
            <w:hideMark/>
          </w:tcPr>
          <w:p w14:paraId="49F13DD4" w14:textId="77777777" w:rsidR="00652198" w:rsidRDefault="00250520">
            <w:pPr>
              <w:jc w:val="both"/>
              <w:rPr>
                <w:sz w:val="16"/>
                <w:szCs w:val="16"/>
              </w:rPr>
            </w:pPr>
            <w:r w:rsidRPr="00752897">
              <w:rPr>
                <w:sz w:val="16"/>
                <w:szCs w:val="16"/>
              </w:rPr>
              <w:t>No aplicable por lo mencionado en VII.1. anterior.</w:t>
            </w:r>
          </w:p>
        </w:tc>
      </w:tr>
      <w:tr w:rsidR="00250520" w:rsidRPr="00752897" w14:paraId="6308516E" w14:textId="77777777" w:rsidTr="00585F51">
        <w:trPr>
          <w:trHeight w:val="255"/>
        </w:trPr>
        <w:tc>
          <w:tcPr>
            <w:tcW w:w="3686" w:type="dxa"/>
            <w:hideMark/>
          </w:tcPr>
          <w:p w14:paraId="48344C9B" w14:textId="77777777" w:rsidR="00652198" w:rsidRDefault="00250520">
            <w:pPr>
              <w:jc w:val="both"/>
              <w:rPr>
                <w:sz w:val="16"/>
                <w:szCs w:val="16"/>
              </w:rPr>
            </w:pPr>
            <w:r w:rsidRPr="00752897">
              <w:rPr>
                <w:sz w:val="16"/>
                <w:szCs w:val="16"/>
              </w:rPr>
              <w:t>VII.2.3 revisa la posición competitiva de las políticas y prácticas de la Emisora con respecto a remuneraciones y beneficios de empresas comparables, y recomienda o no cambios.</w:t>
            </w:r>
          </w:p>
        </w:tc>
        <w:tc>
          <w:tcPr>
            <w:tcW w:w="851" w:type="dxa"/>
            <w:hideMark/>
          </w:tcPr>
          <w:p w14:paraId="196BB266" w14:textId="77777777" w:rsidR="00250520" w:rsidRPr="00752897" w:rsidRDefault="00250520" w:rsidP="00585F51">
            <w:pPr>
              <w:rPr>
                <w:rFonts w:eastAsia="Calibri"/>
                <w:sz w:val="16"/>
                <w:szCs w:val="16"/>
                <w:lang w:eastAsia="en-US"/>
              </w:rPr>
            </w:pPr>
          </w:p>
        </w:tc>
        <w:tc>
          <w:tcPr>
            <w:tcW w:w="5244" w:type="dxa"/>
            <w:hideMark/>
          </w:tcPr>
          <w:p w14:paraId="53A7AF99" w14:textId="77777777" w:rsidR="00652198" w:rsidRDefault="00250520">
            <w:pPr>
              <w:jc w:val="both"/>
              <w:rPr>
                <w:sz w:val="16"/>
                <w:szCs w:val="16"/>
              </w:rPr>
            </w:pPr>
            <w:r w:rsidRPr="00752897">
              <w:rPr>
                <w:sz w:val="16"/>
                <w:szCs w:val="16"/>
              </w:rPr>
              <w:t>No aplicable por lo mencionado en VII.1. anterior.</w:t>
            </w:r>
          </w:p>
        </w:tc>
      </w:tr>
      <w:tr w:rsidR="00250520" w:rsidRPr="00752897" w14:paraId="5EA2A097" w14:textId="77777777" w:rsidTr="00585F51">
        <w:trPr>
          <w:trHeight w:val="255"/>
        </w:trPr>
        <w:tc>
          <w:tcPr>
            <w:tcW w:w="3686" w:type="dxa"/>
            <w:hideMark/>
          </w:tcPr>
          <w:p w14:paraId="5128C26D" w14:textId="77777777" w:rsidR="00652198" w:rsidRDefault="00250520">
            <w:pPr>
              <w:jc w:val="both"/>
              <w:rPr>
                <w:sz w:val="16"/>
                <w:szCs w:val="16"/>
              </w:rPr>
            </w:pPr>
            <w:r w:rsidRPr="00752897">
              <w:rPr>
                <w:sz w:val="16"/>
                <w:szCs w:val="16"/>
              </w:rPr>
              <w:t xml:space="preserve">VII.2.4 define y comunica la política de retención, promoción, despido y suspensión de personal clave. </w:t>
            </w:r>
          </w:p>
        </w:tc>
        <w:tc>
          <w:tcPr>
            <w:tcW w:w="851" w:type="dxa"/>
            <w:hideMark/>
          </w:tcPr>
          <w:p w14:paraId="23B7A4CB" w14:textId="77777777" w:rsidR="00250520" w:rsidRPr="00752897" w:rsidRDefault="00250520" w:rsidP="00585F51">
            <w:pPr>
              <w:rPr>
                <w:rFonts w:eastAsia="Calibri"/>
                <w:sz w:val="16"/>
                <w:szCs w:val="16"/>
                <w:lang w:eastAsia="en-US"/>
              </w:rPr>
            </w:pPr>
          </w:p>
        </w:tc>
        <w:tc>
          <w:tcPr>
            <w:tcW w:w="5244" w:type="dxa"/>
            <w:hideMark/>
          </w:tcPr>
          <w:p w14:paraId="5739C760" w14:textId="77777777" w:rsidR="00652198" w:rsidRDefault="00250520">
            <w:pPr>
              <w:jc w:val="both"/>
              <w:rPr>
                <w:sz w:val="16"/>
                <w:szCs w:val="16"/>
              </w:rPr>
            </w:pPr>
            <w:r w:rsidRPr="00752897">
              <w:rPr>
                <w:sz w:val="16"/>
                <w:szCs w:val="16"/>
              </w:rPr>
              <w:t>No aplicable por lo mencionado en VII.1. anterior.</w:t>
            </w:r>
          </w:p>
        </w:tc>
      </w:tr>
      <w:tr w:rsidR="00250520" w:rsidRPr="00752897" w14:paraId="5A970A9B" w14:textId="77777777" w:rsidTr="00585F51">
        <w:trPr>
          <w:trHeight w:val="255"/>
        </w:trPr>
        <w:tc>
          <w:tcPr>
            <w:tcW w:w="3686" w:type="dxa"/>
            <w:hideMark/>
          </w:tcPr>
          <w:p w14:paraId="1FF79E38" w14:textId="77777777" w:rsidR="00652198" w:rsidRDefault="00250520">
            <w:pPr>
              <w:jc w:val="both"/>
              <w:rPr>
                <w:sz w:val="16"/>
                <w:szCs w:val="16"/>
              </w:rPr>
            </w:pPr>
            <w:r w:rsidRPr="00752897">
              <w:rPr>
                <w:sz w:val="16"/>
                <w:szCs w:val="16"/>
              </w:rPr>
              <w:t>VII.2.5 informa las pautas para determinar los planes de retiro de los miembros del Órgano de Administración y gerentes de primera línea de la Emisora.</w:t>
            </w:r>
          </w:p>
        </w:tc>
        <w:tc>
          <w:tcPr>
            <w:tcW w:w="851" w:type="dxa"/>
            <w:hideMark/>
          </w:tcPr>
          <w:p w14:paraId="797D8A41" w14:textId="77777777" w:rsidR="00250520" w:rsidRPr="00752897" w:rsidRDefault="00250520" w:rsidP="00585F51">
            <w:pPr>
              <w:rPr>
                <w:rFonts w:eastAsia="Calibri"/>
                <w:sz w:val="16"/>
                <w:szCs w:val="16"/>
                <w:lang w:eastAsia="en-US"/>
              </w:rPr>
            </w:pPr>
          </w:p>
        </w:tc>
        <w:tc>
          <w:tcPr>
            <w:tcW w:w="5244" w:type="dxa"/>
            <w:hideMark/>
          </w:tcPr>
          <w:p w14:paraId="602DDD7E" w14:textId="77777777" w:rsidR="00652198" w:rsidRDefault="00250520">
            <w:pPr>
              <w:jc w:val="both"/>
              <w:rPr>
                <w:sz w:val="16"/>
                <w:szCs w:val="16"/>
              </w:rPr>
            </w:pPr>
            <w:r w:rsidRPr="00752897">
              <w:rPr>
                <w:sz w:val="16"/>
                <w:szCs w:val="16"/>
              </w:rPr>
              <w:t>No aplicable por lo mencionado en VII.1. anterior.</w:t>
            </w:r>
          </w:p>
        </w:tc>
      </w:tr>
      <w:tr w:rsidR="00250520" w:rsidRPr="00752897" w14:paraId="04E06B58" w14:textId="77777777" w:rsidTr="00585F51">
        <w:trPr>
          <w:trHeight w:val="255"/>
        </w:trPr>
        <w:tc>
          <w:tcPr>
            <w:tcW w:w="3686" w:type="dxa"/>
            <w:hideMark/>
          </w:tcPr>
          <w:p w14:paraId="6F7EC25C" w14:textId="77777777" w:rsidR="00652198" w:rsidRDefault="00250520">
            <w:pPr>
              <w:jc w:val="both"/>
              <w:rPr>
                <w:sz w:val="16"/>
                <w:szCs w:val="16"/>
              </w:rPr>
            </w:pPr>
            <w:r w:rsidRPr="00752897">
              <w:rPr>
                <w:sz w:val="16"/>
                <w:szCs w:val="16"/>
              </w:rPr>
              <w:lastRenderedPageBreak/>
              <w:t>VII.2.6 da cuenta regularmente al Órgano de Administración y a la Asamblea de Accionistas sobre las acciones emprendidas y los temas analizados en sus reuniones.</w:t>
            </w:r>
          </w:p>
        </w:tc>
        <w:tc>
          <w:tcPr>
            <w:tcW w:w="851" w:type="dxa"/>
            <w:hideMark/>
          </w:tcPr>
          <w:p w14:paraId="6CF32C65" w14:textId="77777777" w:rsidR="00250520" w:rsidRPr="00752897" w:rsidRDefault="00250520" w:rsidP="00585F51">
            <w:pPr>
              <w:rPr>
                <w:rFonts w:eastAsia="Calibri"/>
                <w:sz w:val="16"/>
                <w:szCs w:val="16"/>
                <w:lang w:eastAsia="en-US"/>
              </w:rPr>
            </w:pPr>
          </w:p>
        </w:tc>
        <w:tc>
          <w:tcPr>
            <w:tcW w:w="5244" w:type="dxa"/>
            <w:hideMark/>
          </w:tcPr>
          <w:p w14:paraId="47FB0AF6" w14:textId="77777777" w:rsidR="00652198" w:rsidRDefault="00250520">
            <w:pPr>
              <w:jc w:val="both"/>
              <w:rPr>
                <w:sz w:val="16"/>
                <w:szCs w:val="16"/>
              </w:rPr>
            </w:pPr>
            <w:r w:rsidRPr="00752897">
              <w:rPr>
                <w:sz w:val="16"/>
                <w:szCs w:val="16"/>
              </w:rPr>
              <w:t>No aplicable por lo mencionado en VII.1. anterior.</w:t>
            </w:r>
          </w:p>
        </w:tc>
      </w:tr>
      <w:tr w:rsidR="00250520" w:rsidRPr="00752897" w14:paraId="5C8D0D43" w14:textId="77777777" w:rsidTr="00585F51">
        <w:trPr>
          <w:trHeight w:val="255"/>
        </w:trPr>
        <w:tc>
          <w:tcPr>
            <w:tcW w:w="3686" w:type="dxa"/>
            <w:hideMark/>
          </w:tcPr>
          <w:p w14:paraId="3082B8A1" w14:textId="77777777" w:rsidR="00652198" w:rsidRDefault="00250520">
            <w:pPr>
              <w:jc w:val="both"/>
              <w:rPr>
                <w:sz w:val="16"/>
                <w:szCs w:val="16"/>
              </w:rPr>
            </w:pPr>
            <w:r w:rsidRPr="00752897">
              <w:rPr>
                <w:sz w:val="16"/>
                <w:szCs w:val="16"/>
              </w:rPr>
              <w:t xml:space="preserve">VII.2.7 garantiza la presencia del Presidente del Comité de Remuneraciones en la Asamblea General de Accionistas que aprueba las remuneraciones al Órgano de Administración para que explique la política de la Emisora, con respecto a la retribución de los miembros del Órgano de Administración y gerentes de primera línea. </w:t>
            </w:r>
          </w:p>
        </w:tc>
        <w:tc>
          <w:tcPr>
            <w:tcW w:w="851" w:type="dxa"/>
            <w:hideMark/>
          </w:tcPr>
          <w:p w14:paraId="21F1D208" w14:textId="77777777" w:rsidR="00250520" w:rsidRPr="00752897" w:rsidRDefault="00250520" w:rsidP="00585F51">
            <w:pPr>
              <w:rPr>
                <w:rFonts w:eastAsia="Calibri"/>
                <w:sz w:val="16"/>
                <w:szCs w:val="16"/>
                <w:lang w:eastAsia="en-US"/>
              </w:rPr>
            </w:pPr>
          </w:p>
        </w:tc>
        <w:tc>
          <w:tcPr>
            <w:tcW w:w="5244" w:type="dxa"/>
            <w:hideMark/>
          </w:tcPr>
          <w:p w14:paraId="551332B4" w14:textId="77777777" w:rsidR="00652198" w:rsidRDefault="00250520">
            <w:pPr>
              <w:jc w:val="both"/>
              <w:rPr>
                <w:sz w:val="16"/>
                <w:szCs w:val="16"/>
              </w:rPr>
            </w:pPr>
            <w:r w:rsidRPr="00752897">
              <w:rPr>
                <w:sz w:val="16"/>
                <w:szCs w:val="16"/>
              </w:rPr>
              <w:t>No aplicable por lo mencionado en VII.1. anterior.</w:t>
            </w:r>
          </w:p>
        </w:tc>
      </w:tr>
      <w:tr w:rsidR="00250520" w:rsidRPr="00752897" w14:paraId="40A5D1D5" w14:textId="77777777" w:rsidTr="00585F51">
        <w:trPr>
          <w:trHeight w:val="255"/>
        </w:trPr>
        <w:tc>
          <w:tcPr>
            <w:tcW w:w="3686" w:type="dxa"/>
            <w:hideMark/>
          </w:tcPr>
          <w:p w14:paraId="2A42B66E" w14:textId="77777777" w:rsidR="00652198" w:rsidRDefault="00250520">
            <w:pPr>
              <w:jc w:val="both"/>
              <w:rPr>
                <w:sz w:val="16"/>
                <w:szCs w:val="16"/>
              </w:rPr>
            </w:pPr>
            <w:r w:rsidRPr="00752897">
              <w:rPr>
                <w:sz w:val="16"/>
                <w:szCs w:val="16"/>
              </w:rPr>
              <w:t xml:space="preserve">VII. 3 De considerar relevante mencionar las políticas aplicadas por el Comité de Remuneraciones de la Emisora que no han sido mencionadas en el punto anterior. </w:t>
            </w:r>
          </w:p>
        </w:tc>
        <w:tc>
          <w:tcPr>
            <w:tcW w:w="851" w:type="dxa"/>
            <w:hideMark/>
          </w:tcPr>
          <w:p w14:paraId="5C5D73CC" w14:textId="77777777" w:rsidR="00250520" w:rsidRPr="00752897" w:rsidRDefault="00250520" w:rsidP="00585F51">
            <w:pPr>
              <w:rPr>
                <w:rFonts w:eastAsia="Calibri"/>
                <w:sz w:val="16"/>
                <w:szCs w:val="16"/>
                <w:lang w:eastAsia="en-US"/>
              </w:rPr>
            </w:pPr>
          </w:p>
        </w:tc>
        <w:tc>
          <w:tcPr>
            <w:tcW w:w="5244" w:type="dxa"/>
            <w:hideMark/>
          </w:tcPr>
          <w:p w14:paraId="08305126" w14:textId="77777777" w:rsidR="00652198" w:rsidRDefault="00250520">
            <w:pPr>
              <w:jc w:val="both"/>
              <w:rPr>
                <w:sz w:val="16"/>
                <w:szCs w:val="16"/>
              </w:rPr>
            </w:pPr>
            <w:r w:rsidRPr="00752897">
              <w:rPr>
                <w:sz w:val="16"/>
                <w:szCs w:val="16"/>
              </w:rPr>
              <w:t>No aplicable por lo mencionado en VII.1. anterior.</w:t>
            </w:r>
          </w:p>
        </w:tc>
      </w:tr>
      <w:tr w:rsidR="00250520" w:rsidRPr="00752897" w14:paraId="248AE744" w14:textId="77777777" w:rsidTr="00585F51">
        <w:trPr>
          <w:trHeight w:val="255"/>
        </w:trPr>
        <w:tc>
          <w:tcPr>
            <w:tcW w:w="3686" w:type="dxa"/>
            <w:hideMark/>
          </w:tcPr>
          <w:p w14:paraId="346FA69B" w14:textId="77777777" w:rsidR="00652198" w:rsidRDefault="00250520">
            <w:pPr>
              <w:jc w:val="both"/>
              <w:rPr>
                <w:sz w:val="16"/>
                <w:szCs w:val="16"/>
              </w:rPr>
            </w:pPr>
            <w:r w:rsidRPr="00752897">
              <w:rPr>
                <w:sz w:val="16"/>
                <w:szCs w:val="16"/>
              </w:rPr>
              <w:t>VII. 4 En caso de no contar con un Comité de Remuneraciones, explicar cómo las funciones descriptas en VII. 2 son realizadas dentro del seno del propio Órgano de Administración.</w:t>
            </w:r>
          </w:p>
        </w:tc>
        <w:tc>
          <w:tcPr>
            <w:tcW w:w="851" w:type="dxa"/>
            <w:hideMark/>
          </w:tcPr>
          <w:p w14:paraId="3A575410" w14:textId="77777777" w:rsidR="00250520" w:rsidRPr="00752897" w:rsidRDefault="00250520" w:rsidP="00585F51">
            <w:pPr>
              <w:jc w:val="center"/>
              <w:rPr>
                <w:sz w:val="16"/>
                <w:szCs w:val="16"/>
              </w:rPr>
            </w:pPr>
            <w:r w:rsidRPr="00752897">
              <w:rPr>
                <w:sz w:val="16"/>
                <w:szCs w:val="16"/>
              </w:rPr>
              <w:t>T</w:t>
            </w:r>
          </w:p>
        </w:tc>
        <w:tc>
          <w:tcPr>
            <w:tcW w:w="5244" w:type="dxa"/>
            <w:hideMark/>
          </w:tcPr>
          <w:p w14:paraId="4340B5CA" w14:textId="1A6008F6" w:rsidR="00652198" w:rsidRDefault="00250520" w:rsidP="000D7B1F">
            <w:pPr>
              <w:jc w:val="both"/>
              <w:rPr>
                <w:sz w:val="16"/>
                <w:szCs w:val="16"/>
              </w:rPr>
            </w:pPr>
            <w:r w:rsidRPr="00752897">
              <w:rPr>
                <w:sz w:val="16"/>
                <w:szCs w:val="16"/>
                <w:lang w:val="es-ES_tradnl"/>
              </w:rPr>
              <w:t xml:space="preserve">Si bien PCR no cuenta con un Comité de Remuneraciones, las mismas son fijadas por el Órgano de Administración; y, en forma conjunta, el Presidente, en ambos casos sobre la base de lo establecido en la Ley General de Sociedades y demás normas aplicables (entre ellas, las Resoluciones Generales de la CNV), y de evaluaciones de desempeño que, se realizan </w:t>
            </w:r>
            <w:r w:rsidR="003D409F" w:rsidRPr="00752897">
              <w:rPr>
                <w:sz w:val="16"/>
                <w:szCs w:val="16"/>
                <w:lang w:val="es-ES_tradnl"/>
              </w:rPr>
              <w:t>de acuerdo con</w:t>
            </w:r>
            <w:r w:rsidRPr="00752897">
              <w:rPr>
                <w:sz w:val="16"/>
                <w:szCs w:val="16"/>
                <w:lang w:val="es-ES_tradnl"/>
              </w:rPr>
              <w:t xml:space="preserve"> lo fijado en el Manual de Políticas y Procedimientos de Recursos Humanos de PCR. </w:t>
            </w:r>
          </w:p>
        </w:tc>
      </w:tr>
      <w:tr w:rsidR="00250520" w:rsidRPr="00752897" w14:paraId="73CA9059" w14:textId="77777777" w:rsidTr="00585F51">
        <w:trPr>
          <w:trHeight w:val="313"/>
        </w:trPr>
        <w:tc>
          <w:tcPr>
            <w:tcW w:w="9781" w:type="dxa"/>
            <w:gridSpan w:val="3"/>
            <w:hideMark/>
          </w:tcPr>
          <w:p w14:paraId="7FD6F038" w14:textId="77777777" w:rsidR="00250520" w:rsidRPr="00752897" w:rsidRDefault="00250520" w:rsidP="00585F51">
            <w:pPr>
              <w:rPr>
                <w:b/>
                <w:sz w:val="16"/>
                <w:szCs w:val="16"/>
              </w:rPr>
            </w:pPr>
            <w:r w:rsidRPr="00752897">
              <w:rPr>
                <w:b/>
                <w:sz w:val="16"/>
                <w:szCs w:val="16"/>
              </w:rPr>
              <w:t>PRINCIPIO VIII. FOMENTAR LA ETICA EMPRESARIAL</w:t>
            </w:r>
          </w:p>
        </w:tc>
      </w:tr>
      <w:tr w:rsidR="00250520" w:rsidRPr="00752897" w14:paraId="205F866D" w14:textId="77777777" w:rsidTr="00585F51">
        <w:trPr>
          <w:trHeight w:val="254"/>
        </w:trPr>
        <w:tc>
          <w:tcPr>
            <w:tcW w:w="3686" w:type="dxa"/>
            <w:hideMark/>
          </w:tcPr>
          <w:p w14:paraId="3D1097D9" w14:textId="77777777" w:rsidR="00652198" w:rsidRDefault="00250520">
            <w:pPr>
              <w:jc w:val="both"/>
              <w:rPr>
                <w:sz w:val="16"/>
                <w:szCs w:val="16"/>
              </w:rPr>
            </w:pPr>
            <w:r w:rsidRPr="00752897">
              <w:rPr>
                <w:sz w:val="16"/>
                <w:szCs w:val="16"/>
              </w:rPr>
              <w:t>Recomendación VIII: Garantizar comportamientos éticos en la Emisora.</w:t>
            </w:r>
          </w:p>
        </w:tc>
        <w:tc>
          <w:tcPr>
            <w:tcW w:w="851" w:type="dxa"/>
            <w:hideMark/>
          </w:tcPr>
          <w:p w14:paraId="409E40DD" w14:textId="77777777" w:rsidR="00250520" w:rsidRPr="00752897" w:rsidRDefault="00250520" w:rsidP="00585F51">
            <w:pPr>
              <w:rPr>
                <w:rFonts w:eastAsia="Calibri"/>
                <w:sz w:val="16"/>
                <w:szCs w:val="16"/>
                <w:lang w:eastAsia="en-US"/>
              </w:rPr>
            </w:pPr>
          </w:p>
        </w:tc>
        <w:tc>
          <w:tcPr>
            <w:tcW w:w="5244" w:type="dxa"/>
            <w:hideMark/>
          </w:tcPr>
          <w:p w14:paraId="122B40BE" w14:textId="77777777" w:rsidR="00250520" w:rsidRPr="00752897" w:rsidRDefault="00250520" w:rsidP="00585F51">
            <w:pPr>
              <w:rPr>
                <w:sz w:val="16"/>
                <w:szCs w:val="16"/>
              </w:rPr>
            </w:pPr>
            <w:r w:rsidRPr="00752897">
              <w:rPr>
                <w:sz w:val="16"/>
                <w:szCs w:val="16"/>
              </w:rPr>
              <w:t> </w:t>
            </w:r>
          </w:p>
        </w:tc>
      </w:tr>
      <w:tr w:rsidR="00250520" w:rsidRPr="00752897" w14:paraId="384678DF" w14:textId="77777777" w:rsidTr="00585F51">
        <w:trPr>
          <w:trHeight w:val="255"/>
        </w:trPr>
        <w:tc>
          <w:tcPr>
            <w:tcW w:w="3686" w:type="dxa"/>
            <w:hideMark/>
          </w:tcPr>
          <w:p w14:paraId="0BB4CF6E" w14:textId="77777777" w:rsidR="00652198" w:rsidRDefault="00250520">
            <w:pPr>
              <w:jc w:val="both"/>
              <w:rPr>
                <w:sz w:val="16"/>
                <w:szCs w:val="16"/>
              </w:rPr>
            </w:pPr>
            <w:r w:rsidRPr="00752897">
              <w:rPr>
                <w:sz w:val="16"/>
                <w:szCs w:val="16"/>
              </w:rPr>
              <w:t>VIII.1 La Emisora cuenta con un Código de Conducta Empresaria. Indicar principales lineamientos y si es de conocimiento para todo público. Dicho Código es firmado por al menos los miembros del Órgano de Administración y gerentes de primera línea. Señalar si se fomenta su aplicación a proveedores y clientes.</w:t>
            </w:r>
          </w:p>
        </w:tc>
        <w:tc>
          <w:tcPr>
            <w:tcW w:w="851" w:type="dxa"/>
            <w:hideMark/>
          </w:tcPr>
          <w:p w14:paraId="32865B8B" w14:textId="77777777" w:rsidR="00250520" w:rsidRPr="00752897" w:rsidRDefault="00250520" w:rsidP="00585F51">
            <w:pPr>
              <w:jc w:val="center"/>
              <w:rPr>
                <w:sz w:val="16"/>
                <w:szCs w:val="16"/>
              </w:rPr>
            </w:pPr>
            <w:r w:rsidRPr="00752897">
              <w:rPr>
                <w:sz w:val="16"/>
                <w:szCs w:val="16"/>
              </w:rPr>
              <w:t>P</w:t>
            </w:r>
          </w:p>
        </w:tc>
        <w:tc>
          <w:tcPr>
            <w:tcW w:w="5244" w:type="dxa"/>
            <w:hideMark/>
          </w:tcPr>
          <w:p w14:paraId="6772C041" w14:textId="0D720D46" w:rsidR="00652198" w:rsidRDefault="00250520" w:rsidP="00FC324B">
            <w:pPr>
              <w:jc w:val="both"/>
              <w:rPr>
                <w:color w:val="FF0000"/>
                <w:sz w:val="16"/>
                <w:szCs w:val="16"/>
              </w:rPr>
            </w:pPr>
            <w:r w:rsidRPr="00752897">
              <w:rPr>
                <w:sz w:val="16"/>
                <w:szCs w:val="16"/>
              </w:rPr>
              <w:t xml:space="preserve">Si bien PCR no cuenta con un Código de Conducta Empresaria, </w:t>
            </w:r>
            <w:r w:rsidR="00757848" w:rsidRPr="00752897">
              <w:rPr>
                <w:sz w:val="16"/>
                <w:szCs w:val="16"/>
              </w:rPr>
              <w:t>de acuerdo con</w:t>
            </w:r>
            <w:r w:rsidRPr="00752897">
              <w:rPr>
                <w:sz w:val="16"/>
                <w:szCs w:val="16"/>
              </w:rPr>
              <w:t xml:space="preserve"> lo establecido en el Manual de Políticas y Procedimientos de Recursos Humanos, se fijan ciertos valores prioritarios para PCR, entre los cuales se establecen los de honestidad, ética, transparencia, seguridad, etc. y, cualquier violación a los mismos se considera una falta grave </w:t>
            </w:r>
          </w:p>
        </w:tc>
      </w:tr>
      <w:tr w:rsidR="00250520" w:rsidRPr="00752897" w14:paraId="73A8ADF9" w14:textId="77777777" w:rsidTr="00585F51">
        <w:trPr>
          <w:trHeight w:val="255"/>
        </w:trPr>
        <w:tc>
          <w:tcPr>
            <w:tcW w:w="3686" w:type="dxa"/>
            <w:hideMark/>
          </w:tcPr>
          <w:p w14:paraId="0297D523" w14:textId="77777777" w:rsidR="00652198" w:rsidRDefault="00250520">
            <w:pPr>
              <w:jc w:val="both"/>
              <w:rPr>
                <w:sz w:val="16"/>
                <w:szCs w:val="16"/>
              </w:rPr>
            </w:pPr>
            <w:r w:rsidRPr="00752897">
              <w:rPr>
                <w:sz w:val="16"/>
                <w:szCs w:val="16"/>
              </w:rPr>
              <w:t xml:space="preserve">VIII.2 La Emisora cuenta con mecanismos para recibir denuncias de toda conducta ilícita o </w:t>
            </w:r>
            <w:proofErr w:type="gramStart"/>
            <w:r w:rsidRPr="00752897">
              <w:rPr>
                <w:sz w:val="16"/>
                <w:szCs w:val="16"/>
              </w:rPr>
              <w:t>anti ética</w:t>
            </w:r>
            <w:proofErr w:type="gramEnd"/>
            <w:r w:rsidRPr="00752897">
              <w:rPr>
                <w:sz w:val="16"/>
                <w:szCs w:val="16"/>
              </w:rPr>
              <w:t>, en forma personal o por medios electrónicos garantizando que la información transmitida responda a altos estándares de confidencialidad e integridad, como de registro y conservación de la información. Indicar si el servicio de recepción y evaluación de denuncias es prestado por personal de la Emisora o por profesionales externos e independientes para una mayor protección hacia los denunciantes.</w:t>
            </w:r>
          </w:p>
        </w:tc>
        <w:tc>
          <w:tcPr>
            <w:tcW w:w="851" w:type="dxa"/>
            <w:hideMark/>
          </w:tcPr>
          <w:p w14:paraId="15D85631" w14:textId="77777777" w:rsidR="00250520" w:rsidRPr="00752897" w:rsidRDefault="00250520" w:rsidP="00585F51">
            <w:pPr>
              <w:jc w:val="center"/>
              <w:rPr>
                <w:sz w:val="16"/>
                <w:szCs w:val="16"/>
              </w:rPr>
            </w:pPr>
            <w:r w:rsidRPr="00752897">
              <w:rPr>
                <w:sz w:val="16"/>
                <w:szCs w:val="16"/>
              </w:rPr>
              <w:t>T</w:t>
            </w:r>
          </w:p>
        </w:tc>
        <w:tc>
          <w:tcPr>
            <w:tcW w:w="5244" w:type="dxa"/>
            <w:hideMark/>
          </w:tcPr>
          <w:p w14:paraId="276F4B4E" w14:textId="6B73E8B4" w:rsidR="00652198" w:rsidRDefault="00250520">
            <w:pPr>
              <w:jc w:val="both"/>
              <w:rPr>
                <w:sz w:val="16"/>
                <w:szCs w:val="16"/>
              </w:rPr>
            </w:pPr>
            <w:r w:rsidRPr="00752897">
              <w:rPr>
                <w:sz w:val="16"/>
                <w:szCs w:val="16"/>
              </w:rPr>
              <w:t xml:space="preserve">La Sociedad ha instrumentado mecanismos para recibir denuncias de conductas ilícitas o antiéticas a través de los canales provistos por Resguarda SRL (sitio web </w:t>
            </w:r>
            <w:hyperlink r:id="rId8" w:history="1">
              <w:r w:rsidRPr="00752897">
                <w:rPr>
                  <w:rStyle w:val="Hipervnculo"/>
                  <w:sz w:val="16"/>
                  <w:szCs w:val="16"/>
                </w:rPr>
                <w:t>http://www.resguarda.com</w:t>
              </w:r>
            </w:hyperlink>
            <w:r w:rsidRPr="00752897">
              <w:rPr>
                <w:color w:val="548DD4"/>
                <w:sz w:val="16"/>
                <w:szCs w:val="16"/>
              </w:rPr>
              <w:t xml:space="preserve">, </w:t>
            </w:r>
            <w:r w:rsidRPr="00752897">
              <w:rPr>
                <w:sz w:val="16"/>
                <w:szCs w:val="16"/>
              </w:rPr>
              <w:t xml:space="preserve">teléfono 0800-999-4636 o vía email a reportes@resguarda.com), que permiten a los empleados, proveedores y terceros interesados reportar en forma confidencial cualquier irregularidad dentro de la empresa o situación que no sea acorde con el buen clima ético y laboral. Los canales de denuncia operan </w:t>
            </w:r>
            <w:r w:rsidR="00757848" w:rsidRPr="00752897">
              <w:rPr>
                <w:sz w:val="16"/>
                <w:szCs w:val="16"/>
              </w:rPr>
              <w:t>de acuerdo con</w:t>
            </w:r>
            <w:r w:rsidRPr="00752897">
              <w:rPr>
                <w:sz w:val="16"/>
                <w:szCs w:val="16"/>
              </w:rPr>
              <w:t xml:space="preserve"> los procedimientos desarrollados por el departamento de Auditoría Interna, bajo la supervisión directa del Comité de Auditoría. </w:t>
            </w:r>
          </w:p>
        </w:tc>
      </w:tr>
      <w:tr w:rsidR="00250520" w:rsidRPr="00752897" w14:paraId="7266AE61" w14:textId="77777777" w:rsidTr="00585F51">
        <w:trPr>
          <w:trHeight w:val="255"/>
        </w:trPr>
        <w:tc>
          <w:tcPr>
            <w:tcW w:w="3686" w:type="dxa"/>
            <w:hideMark/>
          </w:tcPr>
          <w:p w14:paraId="292723F7" w14:textId="77777777" w:rsidR="00652198" w:rsidRDefault="00250520">
            <w:pPr>
              <w:jc w:val="both"/>
              <w:rPr>
                <w:sz w:val="16"/>
                <w:szCs w:val="16"/>
              </w:rPr>
            </w:pPr>
            <w:r w:rsidRPr="00752897">
              <w:rPr>
                <w:sz w:val="16"/>
                <w:szCs w:val="16"/>
              </w:rPr>
              <w:t>VIII.3 La Emisora cuenta con políticas, procesos y sistemas para la gestión y resolución de las denuncias mencionadas en el punto VIII.2. Hacer una descripción de los aspectos más relevantes de las mismas e indicar el grado de involucramiento del Comité de Auditoría en dichas resoluciones, en particular en aquellas denuncias asociadas a temas de control interno para reporte contable y sobre conductas de miembros del Órgano de Administración y gerentes de la primera línea.</w:t>
            </w:r>
          </w:p>
        </w:tc>
        <w:tc>
          <w:tcPr>
            <w:tcW w:w="851" w:type="dxa"/>
            <w:hideMark/>
          </w:tcPr>
          <w:p w14:paraId="5D9B93F8" w14:textId="77777777" w:rsidR="00652198" w:rsidRDefault="003618C5">
            <w:pPr>
              <w:jc w:val="center"/>
              <w:rPr>
                <w:rFonts w:eastAsia="Calibri"/>
                <w:sz w:val="16"/>
                <w:szCs w:val="16"/>
                <w:lang w:eastAsia="en-US"/>
              </w:rPr>
            </w:pPr>
            <w:r w:rsidRPr="00752897">
              <w:rPr>
                <w:sz w:val="16"/>
                <w:szCs w:val="16"/>
              </w:rPr>
              <w:t>P</w:t>
            </w:r>
          </w:p>
        </w:tc>
        <w:tc>
          <w:tcPr>
            <w:tcW w:w="5244" w:type="dxa"/>
            <w:hideMark/>
          </w:tcPr>
          <w:p w14:paraId="348877BF" w14:textId="77777777" w:rsidR="00652198" w:rsidRDefault="00250520">
            <w:pPr>
              <w:jc w:val="both"/>
              <w:rPr>
                <w:sz w:val="16"/>
                <w:szCs w:val="16"/>
              </w:rPr>
            </w:pPr>
            <w:r w:rsidRPr="00752897">
              <w:rPr>
                <w:sz w:val="16"/>
                <w:szCs w:val="16"/>
              </w:rPr>
              <w:t xml:space="preserve">Las denuncias efectuadas a través de los canales mencionados en el punto anterior son informadas por Resguarda a un Comité Receptor, el cual está constituido por Directores de la Sociedad y el Gerente de Auditoría Interna. Las denuncias recibidas son revisadas inmediatamente por los miembros del Comité Receptor, quienes definen las acciones a seguir en cada caso. El Comité de Auditoría recibe un reporte periódico de las denuncias recibidas y acciones adoptadas. </w:t>
            </w:r>
          </w:p>
        </w:tc>
      </w:tr>
      <w:tr w:rsidR="00250520" w:rsidRPr="00752897" w14:paraId="7B589CF0" w14:textId="77777777" w:rsidTr="00585F51">
        <w:trPr>
          <w:trHeight w:val="266"/>
        </w:trPr>
        <w:tc>
          <w:tcPr>
            <w:tcW w:w="9781" w:type="dxa"/>
            <w:gridSpan w:val="3"/>
            <w:hideMark/>
          </w:tcPr>
          <w:p w14:paraId="683CB0D4" w14:textId="77777777" w:rsidR="00250520" w:rsidRPr="00752897" w:rsidRDefault="00250520" w:rsidP="00585F51">
            <w:pPr>
              <w:rPr>
                <w:b/>
                <w:sz w:val="16"/>
                <w:szCs w:val="16"/>
              </w:rPr>
            </w:pPr>
            <w:r w:rsidRPr="00752897">
              <w:rPr>
                <w:sz w:val="16"/>
                <w:szCs w:val="16"/>
              </w:rPr>
              <w:br w:type="page"/>
            </w:r>
            <w:r w:rsidRPr="00752897">
              <w:rPr>
                <w:b/>
                <w:sz w:val="16"/>
                <w:szCs w:val="16"/>
              </w:rPr>
              <w:t>PRINCIPIO IX: PROFUNDIZAR EL ALCANCE DEL CODIGO</w:t>
            </w:r>
          </w:p>
        </w:tc>
      </w:tr>
      <w:tr w:rsidR="00250520" w:rsidRPr="00752897" w14:paraId="7CCCCC90" w14:textId="77777777" w:rsidTr="00585F51">
        <w:trPr>
          <w:trHeight w:val="621"/>
        </w:trPr>
        <w:tc>
          <w:tcPr>
            <w:tcW w:w="3686" w:type="dxa"/>
            <w:hideMark/>
          </w:tcPr>
          <w:p w14:paraId="1189A0EC" w14:textId="77777777" w:rsidR="00652198" w:rsidRDefault="00250520">
            <w:pPr>
              <w:jc w:val="both"/>
              <w:rPr>
                <w:sz w:val="16"/>
                <w:szCs w:val="16"/>
              </w:rPr>
            </w:pPr>
            <w:r w:rsidRPr="00752897">
              <w:rPr>
                <w:sz w:val="16"/>
                <w:szCs w:val="16"/>
              </w:rPr>
              <w:t>Recomendación IX: Fomentar la inclusión de las previsiones que hacen a las buenas prácticas de buen gobierno en el Estatuto Social.</w:t>
            </w:r>
          </w:p>
        </w:tc>
        <w:tc>
          <w:tcPr>
            <w:tcW w:w="851" w:type="dxa"/>
            <w:noWrap/>
            <w:hideMark/>
          </w:tcPr>
          <w:p w14:paraId="67EF296A" w14:textId="77777777" w:rsidR="00250520" w:rsidRPr="00752897" w:rsidRDefault="00250520" w:rsidP="00585F51">
            <w:pPr>
              <w:jc w:val="center"/>
              <w:rPr>
                <w:sz w:val="16"/>
                <w:szCs w:val="16"/>
              </w:rPr>
            </w:pPr>
            <w:r w:rsidRPr="00752897">
              <w:rPr>
                <w:sz w:val="16"/>
                <w:szCs w:val="16"/>
              </w:rPr>
              <w:t>P</w:t>
            </w:r>
          </w:p>
        </w:tc>
        <w:tc>
          <w:tcPr>
            <w:tcW w:w="5244" w:type="dxa"/>
            <w:noWrap/>
            <w:hideMark/>
          </w:tcPr>
          <w:p w14:paraId="5D14C3BD" w14:textId="77777777" w:rsidR="00652198" w:rsidRDefault="00250520">
            <w:pPr>
              <w:tabs>
                <w:tab w:val="left" w:pos="6237"/>
              </w:tabs>
              <w:autoSpaceDE w:val="0"/>
              <w:autoSpaceDN w:val="0"/>
              <w:adjustRightInd w:val="0"/>
              <w:jc w:val="both"/>
              <w:rPr>
                <w:sz w:val="16"/>
                <w:szCs w:val="16"/>
                <w:u w:val="single"/>
              </w:rPr>
            </w:pPr>
            <w:r w:rsidRPr="00752897">
              <w:rPr>
                <w:rFonts w:eastAsia="Calibri"/>
                <w:bCs/>
                <w:color w:val="000000"/>
                <w:sz w:val="16"/>
                <w:szCs w:val="16"/>
                <w:lang w:eastAsia="es-AR"/>
              </w:rPr>
              <w:t>El Estatuto de PCR contiene las disposiciones exigibles por las leyes vigentes a la fecha del presente. Adicionalmente, la Sociedad lleva adelante procedimientos para asegurar el cumplimiento de las mejores prácticas de la industria y del gobierno corporativo. Sin perjuicio de lo expresado, el Directorio de la Sociedad podrá en el futuro considerar la conveniencia de incluir otras disposiciones que hagan al buen gobierno societario.</w:t>
            </w:r>
            <w:r w:rsidRPr="00752897">
              <w:rPr>
                <w:sz w:val="16"/>
                <w:szCs w:val="16"/>
                <w:lang w:eastAsia="es-AR"/>
              </w:rPr>
              <w:t xml:space="preserve"> </w:t>
            </w:r>
          </w:p>
          <w:p w14:paraId="00A609A6" w14:textId="77777777" w:rsidR="00250520" w:rsidRPr="00752897" w:rsidRDefault="00250520" w:rsidP="00585F51">
            <w:pPr>
              <w:rPr>
                <w:sz w:val="16"/>
                <w:szCs w:val="16"/>
                <w:highlight w:val="yellow"/>
              </w:rPr>
            </w:pPr>
          </w:p>
        </w:tc>
      </w:tr>
    </w:tbl>
    <w:p w14:paraId="57D0B769" w14:textId="77777777" w:rsidR="00250520" w:rsidRPr="00752897" w:rsidRDefault="00250520" w:rsidP="00250520">
      <w:pPr>
        <w:rPr>
          <w:sz w:val="16"/>
          <w:szCs w:val="16"/>
        </w:rPr>
      </w:pPr>
    </w:p>
    <w:p w14:paraId="7D190956" w14:textId="77777777" w:rsidR="00106E95" w:rsidRPr="00250520" w:rsidRDefault="00106E95">
      <w:pPr>
        <w:rPr>
          <w:lang w:val="es-ES_tradnl"/>
        </w:rPr>
      </w:pPr>
    </w:p>
    <w:sectPr w:rsidR="00106E95" w:rsidRPr="00250520" w:rsidSect="00106E95">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D795F6" w14:textId="77777777" w:rsidR="003D409F" w:rsidRDefault="003D409F" w:rsidP="00250520">
      <w:r>
        <w:separator/>
      </w:r>
    </w:p>
  </w:endnote>
  <w:endnote w:type="continuationSeparator" w:id="0">
    <w:p w14:paraId="64F092DE" w14:textId="77777777" w:rsidR="003D409F" w:rsidRDefault="003D409F" w:rsidP="00250520">
      <w:r>
        <w:continuationSeparator/>
      </w:r>
    </w:p>
  </w:endnote>
  <w:endnote w:type="continuationNotice" w:id="1">
    <w:p w14:paraId="32935B52" w14:textId="77777777" w:rsidR="003D409F" w:rsidRDefault="003D4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C73A" w14:textId="77777777" w:rsidR="00B52B1F" w:rsidRDefault="00B52B1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D557D" w14:textId="77777777" w:rsidR="00B52B1F" w:rsidRDefault="00B52B1F">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54110" w14:textId="77777777" w:rsidR="00B52B1F" w:rsidRDefault="00B52B1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DA410" w14:textId="77777777" w:rsidR="003D409F" w:rsidRDefault="003D409F" w:rsidP="00250520">
      <w:r>
        <w:separator/>
      </w:r>
    </w:p>
  </w:footnote>
  <w:footnote w:type="continuationSeparator" w:id="0">
    <w:p w14:paraId="0162EC43" w14:textId="77777777" w:rsidR="003D409F" w:rsidRDefault="003D409F" w:rsidP="00250520">
      <w:r>
        <w:continuationSeparator/>
      </w:r>
    </w:p>
  </w:footnote>
  <w:footnote w:type="continuationNotice" w:id="1">
    <w:p w14:paraId="4F2E910C" w14:textId="77777777" w:rsidR="003D409F" w:rsidRDefault="003D409F"/>
  </w:footnote>
  <w:footnote w:id="2">
    <w:p w14:paraId="710AC0CB" w14:textId="77777777" w:rsidR="00250520" w:rsidRPr="00385EF1" w:rsidRDefault="00250520" w:rsidP="00250520">
      <w:pPr>
        <w:pStyle w:val="Textonotapie"/>
        <w:ind w:left="-142"/>
        <w:jc w:val="both"/>
        <w:rPr>
          <w:sz w:val="18"/>
          <w:szCs w:val="18"/>
          <w:lang w:val="es-AR"/>
        </w:rPr>
      </w:pPr>
      <w:r w:rsidRPr="00385EF1">
        <w:rPr>
          <w:rStyle w:val="Refdenotaalpie"/>
          <w:sz w:val="18"/>
          <w:szCs w:val="18"/>
        </w:rPr>
        <w:footnoteRef/>
      </w:r>
      <w:r w:rsidRPr="00385EF1">
        <w:rPr>
          <w:sz w:val="18"/>
          <w:szCs w:val="18"/>
        </w:rPr>
        <w:t xml:space="preserve"> </w:t>
      </w:r>
      <w:r w:rsidRPr="00385EF1">
        <w:rPr>
          <w:sz w:val="18"/>
          <w:szCs w:val="18"/>
          <w:lang w:val="es-AR"/>
        </w:rPr>
        <w:t xml:space="preserve">Se informa que, </w:t>
      </w:r>
      <w:proofErr w:type="gramStart"/>
      <w:r w:rsidRPr="00385EF1">
        <w:rPr>
          <w:sz w:val="18"/>
          <w:szCs w:val="18"/>
          <w:lang w:val="es-AR"/>
        </w:rPr>
        <w:t>de acuerdo a</w:t>
      </w:r>
      <w:proofErr w:type="gramEnd"/>
      <w:r w:rsidRPr="00385EF1">
        <w:rPr>
          <w:sz w:val="18"/>
          <w:szCs w:val="18"/>
          <w:lang w:val="es-AR"/>
        </w:rPr>
        <w:t xml:space="preserve"> lo establecido en la Resolución General N° 606/2012 de la Comisión Nacional de Valores, “T” significa “Cumplimiento Total”, “P” significa “Cumplimiento Parcial” e “I” significa “Incumplimiento”.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315D8" w14:textId="77777777" w:rsidR="00B52B1F" w:rsidRDefault="00B52B1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D6FEC" w14:textId="77777777" w:rsidR="00B52B1F" w:rsidRDefault="00B52B1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0BC8" w14:textId="77777777" w:rsidR="00B52B1F" w:rsidRDefault="00B52B1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20"/>
    <w:rsid w:val="000A7B32"/>
    <w:rsid w:val="000C071F"/>
    <w:rsid w:val="000C39FA"/>
    <w:rsid w:val="000D7B1F"/>
    <w:rsid w:val="0010456D"/>
    <w:rsid w:val="00106E95"/>
    <w:rsid w:val="00250520"/>
    <w:rsid w:val="002E4ED2"/>
    <w:rsid w:val="003040F0"/>
    <w:rsid w:val="003618C5"/>
    <w:rsid w:val="003A6D95"/>
    <w:rsid w:val="003B515A"/>
    <w:rsid w:val="003C276D"/>
    <w:rsid w:val="003D409F"/>
    <w:rsid w:val="00440693"/>
    <w:rsid w:val="004B36D4"/>
    <w:rsid w:val="00585F51"/>
    <w:rsid w:val="005C4A18"/>
    <w:rsid w:val="0060661B"/>
    <w:rsid w:val="00652198"/>
    <w:rsid w:val="00701BD4"/>
    <w:rsid w:val="007113F7"/>
    <w:rsid w:val="00757848"/>
    <w:rsid w:val="0077732C"/>
    <w:rsid w:val="007C4596"/>
    <w:rsid w:val="007C6D49"/>
    <w:rsid w:val="008A4998"/>
    <w:rsid w:val="008E6F31"/>
    <w:rsid w:val="00A80962"/>
    <w:rsid w:val="00AA4252"/>
    <w:rsid w:val="00B12A3D"/>
    <w:rsid w:val="00B52B1F"/>
    <w:rsid w:val="00B85FC4"/>
    <w:rsid w:val="00C1509C"/>
    <w:rsid w:val="00C15AAD"/>
    <w:rsid w:val="00CB72F7"/>
    <w:rsid w:val="00D60541"/>
    <w:rsid w:val="00DB750A"/>
    <w:rsid w:val="00E434D1"/>
    <w:rsid w:val="00E56374"/>
    <w:rsid w:val="00ED30FB"/>
    <w:rsid w:val="00F52F97"/>
    <w:rsid w:val="00F60B06"/>
    <w:rsid w:val="00F83486"/>
    <w:rsid w:val="00FC324B"/>
    <w:rsid w:val="00FD11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E15C61"/>
  <w15:chartTrackingRefBased/>
  <w15:docId w15:val="{70B388E1-18CE-4008-B556-9E99844B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0520"/>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50520"/>
    <w:pPr>
      <w:spacing w:line="360" w:lineRule="auto"/>
      <w:jc w:val="both"/>
    </w:pPr>
    <w:rPr>
      <w:rFonts w:ascii="Arial" w:hAnsi="Arial"/>
      <w:szCs w:val="20"/>
      <w:lang w:val="es-ES_tradnl"/>
    </w:rPr>
  </w:style>
  <w:style w:type="character" w:customStyle="1" w:styleId="TextoindependienteCar">
    <w:name w:val="Texto independiente Car"/>
    <w:link w:val="Textoindependiente"/>
    <w:rsid w:val="00250520"/>
    <w:rPr>
      <w:rFonts w:ascii="Arial" w:eastAsia="Times New Roman" w:hAnsi="Arial" w:cs="Times New Roman"/>
      <w:sz w:val="24"/>
      <w:szCs w:val="20"/>
      <w:lang w:val="es-ES_tradnl" w:eastAsia="es-ES"/>
    </w:rPr>
  </w:style>
  <w:style w:type="paragraph" w:styleId="Textonotapie">
    <w:name w:val="footnote text"/>
    <w:basedOn w:val="Normal"/>
    <w:link w:val="TextonotapieCar"/>
    <w:uiPriority w:val="99"/>
    <w:rsid w:val="00250520"/>
    <w:rPr>
      <w:sz w:val="20"/>
      <w:szCs w:val="20"/>
    </w:rPr>
  </w:style>
  <w:style w:type="character" w:customStyle="1" w:styleId="TextonotapieCar">
    <w:name w:val="Texto nota pie Car"/>
    <w:link w:val="Textonotapie"/>
    <w:uiPriority w:val="99"/>
    <w:rsid w:val="00250520"/>
    <w:rPr>
      <w:rFonts w:ascii="Times New Roman" w:eastAsia="Times New Roman" w:hAnsi="Times New Roman" w:cs="Times New Roman"/>
      <w:sz w:val="20"/>
      <w:szCs w:val="20"/>
      <w:lang w:val="es-ES" w:eastAsia="es-ES"/>
    </w:rPr>
  </w:style>
  <w:style w:type="character" w:styleId="Refdenotaalpie">
    <w:name w:val="footnote reference"/>
    <w:uiPriority w:val="99"/>
    <w:rsid w:val="00250520"/>
    <w:rPr>
      <w:vertAlign w:val="superscript"/>
    </w:rPr>
  </w:style>
  <w:style w:type="character" w:styleId="Hipervnculo">
    <w:name w:val="Hyperlink"/>
    <w:uiPriority w:val="99"/>
    <w:unhideWhenUsed/>
    <w:rsid w:val="00250520"/>
    <w:rPr>
      <w:color w:val="0000FF"/>
      <w:u w:val="single"/>
    </w:rPr>
  </w:style>
  <w:style w:type="paragraph" w:styleId="Ttulo">
    <w:name w:val="Title"/>
    <w:basedOn w:val="Normal"/>
    <w:link w:val="TtuloCar"/>
    <w:qFormat/>
    <w:rsid w:val="00250520"/>
    <w:pPr>
      <w:jc w:val="center"/>
    </w:pPr>
    <w:rPr>
      <w:b/>
      <w:sz w:val="20"/>
      <w:szCs w:val="20"/>
      <w:lang w:val="es-MX"/>
    </w:rPr>
  </w:style>
  <w:style w:type="character" w:customStyle="1" w:styleId="TtuloCar">
    <w:name w:val="Título Car"/>
    <w:link w:val="Ttulo"/>
    <w:rsid w:val="00250520"/>
    <w:rPr>
      <w:rFonts w:ascii="Times New Roman" w:eastAsia="Times New Roman" w:hAnsi="Times New Roman" w:cs="Times New Roman"/>
      <w:b/>
      <w:sz w:val="20"/>
      <w:szCs w:val="20"/>
      <w:lang w:val="es-MX" w:eastAsia="es-ES"/>
    </w:rPr>
  </w:style>
  <w:style w:type="paragraph" w:styleId="Encabezado">
    <w:name w:val="header"/>
    <w:basedOn w:val="Normal"/>
    <w:link w:val="EncabezadoCar"/>
    <w:uiPriority w:val="99"/>
    <w:semiHidden/>
    <w:unhideWhenUsed/>
    <w:rsid w:val="00B52B1F"/>
    <w:pPr>
      <w:tabs>
        <w:tab w:val="center" w:pos="4252"/>
        <w:tab w:val="right" w:pos="8504"/>
      </w:tabs>
    </w:pPr>
  </w:style>
  <w:style w:type="character" w:customStyle="1" w:styleId="EncabezadoCar">
    <w:name w:val="Encabezado Car"/>
    <w:link w:val="Encabezado"/>
    <w:uiPriority w:val="99"/>
    <w:semiHidden/>
    <w:rsid w:val="00B52B1F"/>
    <w:rPr>
      <w:rFonts w:ascii="Times New Roman" w:eastAsia="Times New Roman" w:hAnsi="Times New Roman"/>
      <w:sz w:val="24"/>
      <w:szCs w:val="24"/>
      <w:lang w:val="es-ES" w:eastAsia="es-ES"/>
    </w:rPr>
  </w:style>
  <w:style w:type="paragraph" w:styleId="Piedepgina">
    <w:name w:val="footer"/>
    <w:basedOn w:val="Normal"/>
    <w:link w:val="PiedepginaCar"/>
    <w:uiPriority w:val="99"/>
    <w:semiHidden/>
    <w:unhideWhenUsed/>
    <w:rsid w:val="00B52B1F"/>
    <w:pPr>
      <w:tabs>
        <w:tab w:val="center" w:pos="4252"/>
        <w:tab w:val="right" w:pos="8504"/>
      </w:tabs>
    </w:pPr>
  </w:style>
  <w:style w:type="character" w:customStyle="1" w:styleId="PiedepginaCar">
    <w:name w:val="Pie de página Car"/>
    <w:link w:val="Piedepgina"/>
    <w:uiPriority w:val="99"/>
    <w:semiHidden/>
    <w:rsid w:val="00B52B1F"/>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10456D"/>
    <w:rPr>
      <w:rFonts w:ascii="Tahoma" w:hAnsi="Tahoma" w:cs="Tahoma"/>
      <w:sz w:val="16"/>
      <w:szCs w:val="16"/>
    </w:rPr>
  </w:style>
  <w:style w:type="character" w:customStyle="1" w:styleId="TextodegloboCar">
    <w:name w:val="Texto de globo Car"/>
    <w:link w:val="Textodeglobo"/>
    <w:uiPriority w:val="99"/>
    <w:semiHidden/>
    <w:rsid w:val="0010456D"/>
    <w:rPr>
      <w:rFonts w:ascii="Tahoma" w:eastAsia="Times New Roman" w:hAnsi="Tahoma" w:cs="Tahoma"/>
      <w:sz w:val="16"/>
      <w:szCs w:val="16"/>
      <w:lang w:val="es-ES" w:eastAsia="es-ES"/>
    </w:rPr>
  </w:style>
  <w:style w:type="character" w:styleId="Refdecomentario">
    <w:name w:val="annotation reference"/>
    <w:uiPriority w:val="99"/>
    <w:semiHidden/>
    <w:unhideWhenUsed/>
    <w:rsid w:val="003618C5"/>
    <w:rPr>
      <w:sz w:val="16"/>
      <w:szCs w:val="16"/>
    </w:rPr>
  </w:style>
  <w:style w:type="paragraph" w:styleId="Textocomentario">
    <w:name w:val="annotation text"/>
    <w:basedOn w:val="Normal"/>
    <w:link w:val="TextocomentarioCar"/>
    <w:uiPriority w:val="99"/>
    <w:semiHidden/>
    <w:unhideWhenUsed/>
    <w:rsid w:val="003618C5"/>
    <w:rPr>
      <w:sz w:val="20"/>
      <w:szCs w:val="20"/>
    </w:rPr>
  </w:style>
  <w:style w:type="character" w:customStyle="1" w:styleId="TextocomentarioCar">
    <w:name w:val="Texto comentario Car"/>
    <w:link w:val="Textocomentario"/>
    <w:uiPriority w:val="99"/>
    <w:semiHidden/>
    <w:rsid w:val="003618C5"/>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618C5"/>
    <w:rPr>
      <w:b/>
      <w:bCs/>
    </w:rPr>
  </w:style>
  <w:style w:type="character" w:customStyle="1" w:styleId="AsuntodelcomentarioCar">
    <w:name w:val="Asunto del comentario Car"/>
    <w:link w:val="Asuntodelcomentario"/>
    <w:uiPriority w:val="99"/>
    <w:semiHidden/>
    <w:rsid w:val="003618C5"/>
    <w:rPr>
      <w:rFonts w:ascii="Times New Roman" w:eastAsia="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guarda.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pcr.com.ar"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pcr.com.ar"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7217</Words>
  <Characters>39698</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46822</CharactersWithSpaces>
  <SharedDoc>false</SharedDoc>
  <HLinks>
    <vt:vector size="18" baseType="variant">
      <vt:variant>
        <vt:i4>4325398</vt:i4>
      </vt:variant>
      <vt:variant>
        <vt:i4>6</vt:i4>
      </vt:variant>
      <vt:variant>
        <vt:i4>0</vt:i4>
      </vt:variant>
      <vt:variant>
        <vt:i4>5</vt:i4>
      </vt:variant>
      <vt:variant>
        <vt:lpwstr>http://www.resguarda.com/</vt:lpwstr>
      </vt:variant>
      <vt:variant>
        <vt:lpwstr/>
      </vt:variant>
      <vt:variant>
        <vt:i4>6881326</vt:i4>
      </vt:variant>
      <vt:variant>
        <vt:i4>3</vt:i4>
      </vt:variant>
      <vt:variant>
        <vt:i4>0</vt:i4>
      </vt:variant>
      <vt:variant>
        <vt:i4>5</vt:i4>
      </vt:variant>
      <vt:variant>
        <vt:lpwstr>http://www.pcr.com.ar/</vt:lpwstr>
      </vt:variant>
      <vt:variant>
        <vt:lpwstr/>
      </vt:variant>
      <vt:variant>
        <vt:i4>6881326</vt:i4>
      </vt:variant>
      <vt:variant>
        <vt:i4>0</vt:i4>
      </vt:variant>
      <vt:variant>
        <vt:i4>0</vt:i4>
      </vt:variant>
      <vt:variant>
        <vt:i4>5</vt:i4>
      </vt:variant>
      <vt:variant>
        <vt:lpwstr>http://www.pcr.com.ar/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Florencia Fridman</dc:creator>
  <cp:keywords/>
  <cp:lastModifiedBy>Florencia Fridman</cp:lastModifiedBy>
  <cp:revision>2</cp:revision>
  <dcterms:created xsi:type="dcterms:W3CDTF">2019-03-18T16:32:00Z</dcterms:created>
  <dcterms:modified xsi:type="dcterms:W3CDTF">2019-03-18T16:32:00Z</dcterms:modified>
</cp:coreProperties>
</file>