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2D3" w:rsidRDefault="002152D3" w:rsidP="0027630F">
      <w:pPr>
        <w:autoSpaceDE w:val="0"/>
        <w:autoSpaceDN w:val="0"/>
        <w:adjustRightInd w:val="0"/>
        <w:spacing w:after="0"/>
        <w:ind w:left="-90"/>
        <w:jc w:val="both"/>
        <w:rPr>
          <w:rFonts w:ascii="Arial" w:hAnsi="Arial" w:cs="Arial"/>
          <w:b/>
          <w:bCs/>
          <w:color w:val="000000" w:themeColor="text1"/>
          <w:sz w:val="19"/>
          <w:szCs w:val="19"/>
        </w:rPr>
      </w:pPr>
    </w:p>
    <w:p w:rsidR="00B77448" w:rsidRPr="00AA1C96" w:rsidRDefault="00B77448" w:rsidP="0027630F">
      <w:pPr>
        <w:autoSpaceDE w:val="0"/>
        <w:autoSpaceDN w:val="0"/>
        <w:adjustRightInd w:val="0"/>
        <w:spacing w:after="0"/>
        <w:ind w:left="-90"/>
        <w:jc w:val="both"/>
        <w:rPr>
          <w:rFonts w:ascii="Arial" w:hAnsi="Arial" w:cs="Arial"/>
          <w:b/>
          <w:bCs/>
          <w:color w:val="000000" w:themeColor="text1"/>
          <w:sz w:val="19"/>
          <w:szCs w:val="19"/>
        </w:rPr>
      </w:pPr>
    </w:p>
    <w:p w:rsidR="00B216F3" w:rsidRPr="00AA1C96" w:rsidRDefault="00B216F3" w:rsidP="00BC5985">
      <w:pPr>
        <w:autoSpaceDE w:val="0"/>
        <w:autoSpaceDN w:val="0"/>
        <w:adjustRightInd w:val="0"/>
        <w:spacing w:after="0"/>
        <w:ind w:left="-142"/>
        <w:jc w:val="both"/>
        <w:rPr>
          <w:rFonts w:ascii="Arial" w:hAnsi="Arial" w:cs="Arial"/>
          <w:b/>
          <w:bCs/>
          <w:color w:val="000000" w:themeColor="text1"/>
          <w:sz w:val="19"/>
          <w:szCs w:val="19"/>
        </w:rPr>
      </w:pPr>
      <w:r w:rsidRPr="00AA1C96">
        <w:rPr>
          <w:rFonts w:ascii="Arial" w:hAnsi="Arial" w:cs="Arial"/>
          <w:b/>
          <w:bCs/>
          <w:color w:val="000000" w:themeColor="text1"/>
          <w:sz w:val="19"/>
          <w:szCs w:val="19"/>
        </w:rPr>
        <w:t>INFORME SOBRE</w:t>
      </w:r>
      <w:r w:rsidR="003454B7" w:rsidRPr="00AA1C96">
        <w:rPr>
          <w:rFonts w:ascii="Arial" w:hAnsi="Arial" w:cs="Arial"/>
          <w:b/>
          <w:bCs/>
          <w:color w:val="000000" w:themeColor="text1"/>
          <w:sz w:val="19"/>
          <w:szCs w:val="19"/>
        </w:rPr>
        <w:t xml:space="preserve"> REVISIÓ</w:t>
      </w:r>
      <w:r w:rsidRPr="00AA1C96">
        <w:rPr>
          <w:rFonts w:ascii="Arial" w:hAnsi="Arial" w:cs="Arial"/>
          <w:b/>
          <w:bCs/>
          <w:color w:val="000000" w:themeColor="text1"/>
          <w:sz w:val="19"/>
          <w:szCs w:val="19"/>
        </w:rPr>
        <w:t xml:space="preserve">N DE ESTADOS FINANCIEROS </w:t>
      </w:r>
      <w:r w:rsidR="00A73A96" w:rsidRPr="00AA1C96">
        <w:rPr>
          <w:rFonts w:ascii="Arial" w:hAnsi="Arial" w:cs="Arial"/>
          <w:b/>
          <w:bCs/>
          <w:color w:val="000000" w:themeColor="text1"/>
          <w:sz w:val="19"/>
          <w:szCs w:val="19"/>
        </w:rPr>
        <w:t>SEPARADOS</w:t>
      </w:r>
      <w:r w:rsidR="003454B7" w:rsidRPr="00AA1C96">
        <w:rPr>
          <w:rFonts w:ascii="Arial" w:hAnsi="Arial" w:cs="Arial"/>
          <w:b/>
          <w:bCs/>
          <w:color w:val="000000" w:themeColor="text1"/>
          <w:sz w:val="19"/>
          <w:szCs w:val="19"/>
        </w:rPr>
        <w:t xml:space="preserve"> CONDENSADOS DE PERÍ</w:t>
      </w:r>
      <w:r w:rsidRPr="00AA1C96">
        <w:rPr>
          <w:rFonts w:ascii="Arial" w:hAnsi="Arial" w:cs="Arial"/>
          <w:b/>
          <w:bCs/>
          <w:color w:val="000000" w:themeColor="text1"/>
          <w:sz w:val="19"/>
          <w:szCs w:val="19"/>
        </w:rPr>
        <w:t>ODO INTERMEDIO</w:t>
      </w:r>
    </w:p>
    <w:p w:rsidR="00B216F3" w:rsidRPr="00AA1C96" w:rsidRDefault="00B216F3" w:rsidP="0027630F">
      <w:pPr>
        <w:autoSpaceDE w:val="0"/>
        <w:autoSpaceDN w:val="0"/>
        <w:adjustRightInd w:val="0"/>
        <w:spacing w:after="0"/>
        <w:ind w:left="-90"/>
        <w:jc w:val="both"/>
        <w:rPr>
          <w:rFonts w:ascii="Arial" w:hAnsi="Arial" w:cs="Arial"/>
          <w:bCs/>
          <w:color w:val="000000" w:themeColor="text1"/>
          <w:sz w:val="19"/>
          <w:szCs w:val="19"/>
        </w:rPr>
      </w:pPr>
    </w:p>
    <w:p w:rsidR="00DF0819" w:rsidRPr="00AA1C96" w:rsidRDefault="00DF0819" w:rsidP="0027630F">
      <w:pPr>
        <w:autoSpaceDE w:val="0"/>
        <w:autoSpaceDN w:val="0"/>
        <w:adjustRightInd w:val="0"/>
        <w:spacing w:after="0"/>
        <w:ind w:left="-142"/>
        <w:jc w:val="both"/>
        <w:rPr>
          <w:rFonts w:ascii="Arial" w:hAnsi="Arial" w:cs="Arial"/>
          <w:color w:val="000000" w:themeColor="text1"/>
          <w:sz w:val="19"/>
          <w:szCs w:val="19"/>
        </w:rPr>
      </w:pPr>
      <w:r w:rsidRPr="00AA1C96">
        <w:rPr>
          <w:rFonts w:ascii="Arial" w:hAnsi="Arial" w:cs="Arial"/>
          <w:color w:val="000000" w:themeColor="text1"/>
          <w:sz w:val="19"/>
          <w:szCs w:val="19"/>
        </w:rPr>
        <w:t>A los Señores Directores de</w:t>
      </w:r>
    </w:p>
    <w:p w:rsidR="0027630F" w:rsidRPr="00AA1C96" w:rsidRDefault="0027630F" w:rsidP="00B77448">
      <w:pPr>
        <w:tabs>
          <w:tab w:val="center" w:pos="4609"/>
        </w:tabs>
        <w:autoSpaceDE w:val="0"/>
        <w:autoSpaceDN w:val="0"/>
        <w:adjustRightInd w:val="0"/>
        <w:spacing w:after="0"/>
        <w:ind w:left="-142"/>
        <w:jc w:val="both"/>
        <w:rPr>
          <w:rFonts w:ascii="Arial" w:hAnsi="Arial" w:cs="Arial"/>
          <w:b/>
          <w:color w:val="000000" w:themeColor="text1"/>
          <w:sz w:val="19"/>
          <w:szCs w:val="19"/>
        </w:rPr>
      </w:pPr>
      <w:r w:rsidRPr="00AA1C96">
        <w:rPr>
          <w:rFonts w:ascii="Arial" w:hAnsi="Arial" w:cs="Arial"/>
          <w:b/>
          <w:color w:val="000000" w:themeColor="text1"/>
          <w:sz w:val="19"/>
          <w:szCs w:val="19"/>
        </w:rPr>
        <w:t>BANCO CMF S.A.</w:t>
      </w:r>
    </w:p>
    <w:p w:rsidR="0027630F" w:rsidRPr="00AA1C96" w:rsidRDefault="0027630F" w:rsidP="0027630F">
      <w:pPr>
        <w:autoSpaceDE w:val="0"/>
        <w:autoSpaceDN w:val="0"/>
        <w:adjustRightInd w:val="0"/>
        <w:spacing w:after="0"/>
        <w:ind w:left="-142"/>
        <w:jc w:val="both"/>
        <w:rPr>
          <w:rFonts w:ascii="Arial" w:hAnsi="Arial" w:cs="Arial"/>
          <w:color w:val="000000" w:themeColor="text1"/>
          <w:sz w:val="19"/>
          <w:szCs w:val="19"/>
        </w:rPr>
      </w:pPr>
      <w:r w:rsidRPr="00AA1C96">
        <w:rPr>
          <w:rFonts w:ascii="Arial" w:hAnsi="Arial" w:cs="Arial"/>
          <w:color w:val="000000" w:themeColor="text1"/>
          <w:sz w:val="19"/>
          <w:szCs w:val="19"/>
        </w:rPr>
        <w:t>CUIT: 30-57661429-9</w:t>
      </w:r>
    </w:p>
    <w:p w:rsidR="0027630F" w:rsidRPr="00AA1C96" w:rsidRDefault="0027630F" w:rsidP="0027630F">
      <w:pPr>
        <w:autoSpaceDE w:val="0"/>
        <w:autoSpaceDN w:val="0"/>
        <w:adjustRightInd w:val="0"/>
        <w:spacing w:after="0"/>
        <w:ind w:left="-142"/>
        <w:jc w:val="both"/>
        <w:rPr>
          <w:rFonts w:ascii="Arial" w:hAnsi="Arial" w:cs="Arial"/>
          <w:color w:val="000000" w:themeColor="text1"/>
          <w:sz w:val="19"/>
          <w:szCs w:val="19"/>
        </w:rPr>
      </w:pPr>
      <w:r w:rsidRPr="00AA1C96">
        <w:rPr>
          <w:rFonts w:ascii="Arial" w:hAnsi="Arial" w:cs="Arial"/>
          <w:color w:val="000000" w:themeColor="text1"/>
          <w:sz w:val="19"/>
          <w:szCs w:val="19"/>
        </w:rPr>
        <w:t xml:space="preserve">Domicilio legal: </w:t>
      </w:r>
      <w:proofErr w:type="spellStart"/>
      <w:r w:rsidRPr="00AA1C96">
        <w:rPr>
          <w:rFonts w:ascii="Arial" w:hAnsi="Arial" w:cs="Arial"/>
          <w:color w:val="000000" w:themeColor="text1"/>
          <w:sz w:val="19"/>
          <w:szCs w:val="19"/>
        </w:rPr>
        <w:t>Macacha</w:t>
      </w:r>
      <w:proofErr w:type="spellEnd"/>
      <w:r w:rsidRPr="00AA1C96">
        <w:rPr>
          <w:rFonts w:ascii="Arial" w:hAnsi="Arial" w:cs="Arial"/>
          <w:color w:val="000000" w:themeColor="text1"/>
          <w:sz w:val="19"/>
          <w:szCs w:val="19"/>
        </w:rPr>
        <w:t xml:space="preserve"> Güemes 150</w:t>
      </w:r>
    </w:p>
    <w:p w:rsidR="0027630F" w:rsidRPr="00AA1C96" w:rsidRDefault="00126CE0" w:rsidP="0027630F">
      <w:pPr>
        <w:autoSpaceDE w:val="0"/>
        <w:autoSpaceDN w:val="0"/>
        <w:adjustRightInd w:val="0"/>
        <w:spacing w:after="0"/>
        <w:ind w:left="-142"/>
        <w:jc w:val="both"/>
        <w:rPr>
          <w:rFonts w:ascii="Arial" w:hAnsi="Arial" w:cs="Arial"/>
          <w:color w:val="000000" w:themeColor="text1"/>
          <w:sz w:val="19"/>
          <w:szCs w:val="19"/>
          <w:u w:val="single"/>
        </w:rPr>
      </w:pPr>
      <w:r>
        <w:rPr>
          <w:rFonts w:ascii="Arial" w:hAnsi="Arial" w:cs="Arial"/>
          <w:color w:val="000000" w:themeColor="text1"/>
          <w:sz w:val="19"/>
          <w:szCs w:val="19"/>
          <w:u w:val="single"/>
        </w:rPr>
        <w:t>Ciu</w:t>
      </w:r>
      <w:r w:rsidR="0027630F" w:rsidRPr="00AA1C96">
        <w:rPr>
          <w:rFonts w:ascii="Arial" w:hAnsi="Arial" w:cs="Arial"/>
          <w:color w:val="000000" w:themeColor="text1"/>
          <w:sz w:val="19"/>
          <w:szCs w:val="19"/>
          <w:u w:val="single"/>
        </w:rPr>
        <w:t>dad Autónoma de Buenos Aires</w:t>
      </w:r>
    </w:p>
    <w:p w:rsidR="00DF0819" w:rsidRPr="00AA1C96" w:rsidRDefault="00DF0819" w:rsidP="0027630F">
      <w:pPr>
        <w:autoSpaceDE w:val="0"/>
        <w:autoSpaceDN w:val="0"/>
        <w:adjustRightInd w:val="0"/>
        <w:spacing w:after="0"/>
        <w:ind w:left="-142"/>
        <w:jc w:val="both"/>
        <w:rPr>
          <w:rFonts w:ascii="Arial" w:hAnsi="Arial" w:cs="Arial"/>
          <w:color w:val="000000" w:themeColor="text1"/>
          <w:sz w:val="19"/>
          <w:szCs w:val="19"/>
        </w:rPr>
      </w:pPr>
    </w:p>
    <w:p w:rsidR="00DF0819" w:rsidRPr="00AA1C96" w:rsidRDefault="00DF0819" w:rsidP="0027630F">
      <w:pPr>
        <w:autoSpaceDE w:val="0"/>
        <w:autoSpaceDN w:val="0"/>
        <w:adjustRightInd w:val="0"/>
        <w:spacing w:after="0"/>
        <w:ind w:left="-142"/>
        <w:jc w:val="both"/>
        <w:rPr>
          <w:rFonts w:ascii="Arial" w:hAnsi="Arial" w:cs="Arial"/>
          <w:color w:val="000000" w:themeColor="text1"/>
          <w:sz w:val="19"/>
          <w:szCs w:val="19"/>
        </w:rPr>
      </w:pPr>
    </w:p>
    <w:p w:rsidR="00B216F3" w:rsidRPr="00AA1C96" w:rsidRDefault="00B216F3" w:rsidP="0027630F">
      <w:pPr>
        <w:pStyle w:val="ListParagraph"/>
        <w:numPr>
          <w:ilvl w:val="0"/>
          <w:numId w:val="4"/>
        </w:numPr>
        <w:autoSpaceDE w:val="0"/>
        <w:autoSpaceDN w:val="0"/>
        <w:adjustRightInd w:val="0"/>
        <w:spacing w:after="0"/>
        <w:ind w:left="284" w:hanging="426"/>
        <w:jc w:val="both"/>
        <w:rPr>
          <w:rFonts w:ascii="Arial" w:hAnsi="Arial" w:cs="Arial"/>
          <w:color w:val="000000" w:themeColor="text1"/>
          <w:sz w:val="19"/>
          <w:szCs w:val="19"/>
        </w:rPr>
      </w:pPr>
      <w:r w:rsidRPr="00AA1C96">
        <w:rPr>
          <w:rFonts w:ascii="Arial" w:hAnsi="Arial" w:cs="Arial"/>
          <w:b/>
          <w:color w:val="000000" w:themeColor="text1"/>
          <w:sz w:val="19"/>
          <w:szCs w:val="19"/>
        </w:rPr>
        <w:t xml:space="preserve">Informe sobre los estados financieros </w:t>
      </w:r>
    </w:p>
    <w:p w:rsidR="00B216F3" w:rsidRPr="00AA1C96" w:rsidRDefault="00B216F3" w:rsidP="0027630F">
      <w:pPr>
        <w:autoSpaceDE w:val="0"/>
        <w:autoSpaceDN w:val="0"/>
        <w:adjustRightInd w:val="0"/>
        <w:spacing w:after="0"/>
        <w:ind w:left="-90"/>
        <w:jc w:val="both"/>
        <w:rPr>
          <w:rFonts w:ascii="Arial" w:hAnsi="Arial" w:cs="Arial"/>
          <w:b/>
          <w:color w:val="000000" w:themeColor="text1"/>
          <w:sz w:val="19"/>
          <w:szCs w:val="19"/>
        </w:rPr>
      </w:pPr>
    </w:p>
    <w:p w:rsidR="00B216F3" w:rsidRPr="00AA1C96" w:rsidRDefault="00B216F3" w:rsidP="0027630F">
      <w:pPr>
        <w:autoSpaceDE w:val="0"/>
        <w:autoSpaceDN w:val="0"/>
        <w:adjustRightInd w:val="0"/>
        <w:spacing w:after="0"/>
        <w:ind w:left="-90"/>
        <w:jc w:val="both"/>
        <w:rPr>
          <w:rFonts w:ascii="Arial" w:hAnsi="Arial" w:cs="Arial"/>
          <w:b/>
          <w:color w:val="000000" w:themeColor="text1"/>
          <w:sz w:val="19"/>
          <w:szCs w:val="19"/>
        </w:rPr>
      </w:pPr>
      <w:r w:rsidRPr="00AA1C96">
        <w:rPr>
          <w:rFonts w:ascii="Arial" w:hAnsi="Arial" w:cs="Arial"/>
          <w:b/>
          <w:color w:val="000000" w:themeColor="text1"/>
          <w:sz w:val="19"/>
          <w:szCs w:val="19"/>
        </w:rPr>
        <w:t>Introducción</w:t>
      </w:r>
    </w:p>
    <w:p w:rsidR="00B216F3" w:rsidRPr="00AA1C96" w:rsidRDefault="00B216F3" w:rsidP="0027630F">
      <w:pPr>
        <w:autoSpaceDE w:val="0"/>
        <w:autoSpaceDN w:val="0"/>
        <w:adjustRightInd w:val="0"/>
        <w:spacing w:after="0"/>
        <w:ind w:left="-90"/>
        <w:jc w:val="both"/>
        <w:rPr>
          <w:rFonts w:ascii="Arial" w:hAnsi="Arial" w:cs="Arial"/>
          <w:b/>
          <w:color w:val="000000" w:themeColor="text1"/>
          <w:sz w:val="19"/>
          <w:szCs w:val="19"/>
        </w:rPr>
      </w:pPr>
    </w:p>
    <w:p w:rsidR="0053588A" w:rsidRPr="0053588A" w:rsidRDefault="0053588A" w:rsidP="0053588A">
      <w:pPr>
        <w:pStyle w:val="ListParagraph"/>
        <w:numPr>
          <w:ilvl w:val="0"/>
          <w:numId w:val="3"/>
        </w:numPr>
        <w:autoSpaceDE w:val="0"/>
        <w:autoSpaceDN w:val="0"/>
        <w:adjustRightInd w:val="0"/>
        <w:spacing w:after="0"/>
        <w:ind w:left="284" w:hanging="426"/>
        <w:jc w:val="both"/>
        <w:rPr>
          <w:rFonts w:ascii="Arial" w:hAnsi="Arial" w:cs="Arial"/>
          <w:color w:val="000000" w:themeColor="text1"/>
          <w:sz w:val="19"/>
          <w:szCs w:val="19"/>
        </w:rPr>
      </w:pPr>
      <w:r w:rsidRPr="0053588A">
        <w:rPr>
          <w:rFonts w:ascii="Arial" w:hAnsi="Arial" w:cs="Arial"/>
          <w:color w:val="000000" w:themeColor="text1"/>
          <w:sz w:val="19"/>
          <w:szCs w:val="19"/>
        </w:rPr>
        <w:t>Hemos revisado los estados financieros separados condensados de período intermedio adjuntos de BANCO CMF S.A. (la “Entidad”), que comprenden: (a) el estado separado de situación financiera al 3</w:t>
      </w:r>
      <w:r w:rsidR="00DA5A79">
        <w:rPr>
          <w:rFonts w:ascii="Arial" w:hAnsi="Arial" w:cs="Arial"/>
          <w:color w:val="000000" w:themeColor="text1"/>
          <w:sz w:val="19"/>
          <w:szCs w:val="19"/>
        </w:rPr>
        <w:t>0</w:t>
      </w:r>
      <w:r w:rsidRPr="0053588A">
        <w:rPr>
          <w:rFonts w:ascii="Arial" w:hAnsi="Arial" w:cs="Arial"/>
          <w:color w:val="000000" w:themeColor="text1"/>
          <w:sz w:val="19"/>
          <w:szCs w:val="19"/>
        </w:rPr>
        <w:t xml:space="preserve"> de </w:t>
      </w:r>
      <w:r w:rsidR="00DA5A79">
        <w:rPr>
          <w:rFonts w:ascii="Arial" w:hAnsi="Arial" w:cs="Arial"/>
          <w:color w:val="000000" w:themeColor="text1"/>
          <w:sz w:val="19"/>
          <w:szCs w:val="19"/>
        </w:rPr>
        <w:t>junio</w:t>
      </w:r>
      <w:r>
        <w:rPr>
          <w:rFonts w:ascii="Arial" w:hAnsi="Arial" w:cs="Arial"/>
          <w:color w:val="000000" w:themeColor="text1"/>
          <w:sz w:val="19"/>
          <w:szCs w:val="19"/>
        </w:rPr>
        <w:t xml:space="preserve"> de 2019</w:t>
      </w:r>
      <w:r w:rsidR="00771C52">
        <w:rPr>
          <w:rFonts w:ascii="Arial" w:hAnsi="Arial" w:cs="Arial"/>
          <w:color w:val="000000" w:themeColor="text1"/>
          <w:sz w:val="19"/>
          <w:szCs w:val="19"/>
        </w:rPr>
        <w:t>, (b) los estados separados</w:t>
      </w:r>
      <w:r w:rsidR="003D71A6">
        <w:rPr>
          <w:rFonts w:ascii="Arial" w:hAnsi="Arial" w:cs="Arial"/>
          <w:color w:val="000000" w:themeColor="text1"/>
          <w:sz w:val="19"/>
          <w:szCs w:val="19"/>
        </w:rPr>
        <w:t xml:space="preserve"> </w:t>
      </w:r>
      <w:r w:rsidRPr="0053588A">
        <w:rPr>
          <w:rFonts w:ascii="Arial" w:hAnsi="Arial" w:cs="Arial"/>
          <w:color w:val="000000" w:themeColor="text1"/>
          <w:sz w:val="19"/>
          <w:szCs w:val="19"/>
        </w:rPr>
        <w:t>de resultados y de otros resultados integrales</w:t>
      </w:r>
      <w:r w:rsidR="003D71A6">
        <w:rPr>
          <w:rFonts w:ascii="Arial" w:hAnsi="Arial" w:cs="Arial"/>
          <w:color w:val="000000" w:themeColor="text1"/>
          <w:sz w:val="19"/>
          <w:szCs w:val="19"/>
        </w:rPr>
        <w:t xml:space="preserve"> </w:t>
      </w:r>
      <w:r w:rsidR="003D71A6">
        <w:rPr>
          <w:rFonts w:ascii="Arial" w:hAnsi="Arial" w:cs="Arial"/>
          <w:color w:val="000000" w:themeColor="text1"/>
          <w:sz w:val="20"/>
          <w:szCs w:val="20"/>
        </w:rPr>
        <w:t>por los períodos de tres y seis meses</w:t>
      </w:r>
      <w:r w:rsidR="00AB0355">
        <w:rPr>
          <w:rFonts w:ascii="Arial" w:hAnsi="Arial" w:cs="Arial"/>
          <w:color w:val="000000" w:themeColor="text1"/>
          <w:sz w:val="20"/>
          <w:szCs w:val="20"/>
        </w:rPr>
        <w:t xml:space="preserve"> </w:t>
      </w:r>
      <w:r w:rsidR="00AB0355">
        <w:rPr>
          <w:rFonts w:ascii="Arial" w:hAnsi="Arial" w:cs="Arial"/>
          <w:color w:val="000000" w:themeColor="text1"/>
          <w:sz w:val="20"/>
          <w:szCs w:val="20"/>
        </w:rPr>
        <w:t>finalizado</w:t>
      </w:r>
      <w:r w:rsidR="0009278B">
        <w:rPr>
          <w:rFonts w:ascii="Arial" w:hAnsi="Arial" w:cs="Arial"/>
          <w:color w:val="000000" w:themeColor="text1"/>
          <w:sz w:val="20"/>
          <w:szCs w:val="20"/>
        </w:rPr>
        <w:t>s</w:t>
      </w:r>
      <w:bookmarkStart w:id="0" w:name="_GoBack"/>
      <w:bookmarkEnd w:id="0"/>
      <w:r w:rsidR="00AB0355">
        <w:rPr>
          <w:rFonts w:ascii="Arial" w:hAnsi="Arial" w:cs="Arial"/>
          <w:color w:val="000000" w:themeColor="text1"/>
          <w:sz w:val="20"/>
          <w:szCs w:val="20"/>
        </w:rPr>
        <w:t xml:space="preserve"> al 30 de junio de </w:t>
      </w:r>
      <w:r w:rsidR="00AB0355">
        <w:rPr>
          <w:rFonts w:ascii="Arial" w:hAnsi="Arial" w:cs="Arial"/>
          <w:color w:val="000000" w:themeColor="text1"/>
          <w:sz w:val="20"/>
          <w:szCs w:val="20"/>
        </w:rPr>
        <w:t>2019</w:t>
      </w:r>
      <w:r w:rsidR="001C464C">
        <w:rPr>
          <w:rFonts w:ascii="Arial" w:hAnsi="Arial" w:cs="Arial"/>
          <w:color w:val="000000" w:themeColor="text1"/>
          <w:sz w:val="20"/>
          <w:szCs w:val="20"/>
        </w:rPr>
        <w:t>,</w:t>
      </w:r>
      <w:r w:rsidR="00AB0355">
        <w:rPr>
          <w:rFonts w:ascii="Arial" w:hAnsi="Arial" w:cs="Arial"/>
          <w:color w:val="000000" w:themeColor="text1"/>
          <w:sz w:val="20"/>
          <w:szCs w:val="20"/>
        </w:rPr>
        <w:t xml:space="preserve"> y</w:t>
      </w:r>
      <w:r w:rsidRPr="0053588A">
        <w:rPr>
          <w:rFonts w:ascii="Arial" w:hAnsi="Arial" w:cs="Arial"/>
          <w:color w:val="000000" w:themeColor="text1"/>
          <w:sz w:val="19"/>
          <w:szCs w:val="19"/>
        </w:rPr>
        <w:t xml:space="preserve"> de cambios en el patrimonio y de flujos de efectivo por el período de </w:t>
      </w:r>
      <w:r w:rsidR="00DA5A79">
        <w:rPr>
          <w:rFonts w:ascii="Arial" w:hAnsi="Arial" w:cs="Arial"/>
          <w:color w:val="000000" w:themeColor="text1"/>
          <w:sz w:val="19"/>
          <w:szCs w:val="19"/>
        </w:rPr>
        <w:t>seis</w:t>
      </w:r>
      <w:r w:rsidRPr="0053588A">
        <w:rPr>
          <w:rFonts w:ascii="Arial" w:hAnsi="Arial" w:cs="Arial"/>
          <w:color w:val="000000" w:themeColor="text1"/>
          <w:sz w:val="19"/>
          <w:szCs w:val="19"/>
        </w:rPr>
        <w:t xml:space="preserve"> meses finalizado en esa fecha, y (c) notas explicativas seleccionadas y otra información complementaria. </w:t>
      </w:r>
    </w:p>
    <w:p w:rsidR="009D0227" w:rsidRPr="00AA1C96" w:rsidRDefault="009D0227" w:rsidP="0027630F">
      <w:pPr>
        <w:pStyle w:val="ListParagraph"/>
        <w:autoSpaceDE w:val="0"/>
        <w:autoSpaceDN w:val="0"/>
        <w:adjustRightInd w:val="0"/>
        <w:spacing w:after="0"/>
        <w:ind w:left="284"/>
        <w:jc w:val="both"/>
        <w:rPr>
          <w:rFonts w:ascii="Arial" w:hAnsi="Arial" w:cs="Arial"/>
          <w:color w:val="000000" w:themeColor="text1"/>
          <w:sz w:val="19"/>
          <w:szCs w:val="19"/>
        </w:rPr>
      </w:pPr>
    </w:p>
    <w:p w:rsidR="00B216F3" w:rsidRPr="00AA1C96" w:rsidRDefault="00B216F3" w:rsidP="0027630F">
      <w:pPr>
        <w:autoSpaceDE w:val="0"/>
        <w:autoSpaceDN w:val="0"/>
        <w:adjustRightInd w:val="0"/>
        <w:spacing w:after="0"/>
        <w:ind w:left="284" w:hanging="436"/>
        <w:jc w:val="both"/>
        <w:rPr>
          <w:rFonts w:ascii="Arial" w:hAnsi="Arial" w:cs="Arial"/>
          <w:b/>
          <w:color w:val="000000" w:themeColor="text2"/>
          <w:sz w:val="19"/>
          <w:szCs w:val="19"/>
        </w:rPr>
      </w:pPr>
      <w:r w:rsidRPr="00AA1C96">
        <w:rPr>
          <w:rFonts w:ascii="Arial" w:hAnsi="Arial" w:cs="Arial"/>
          <w:b/>
          <w:color w:val="000000" w:themeColor="text2"/>
          <w:sz w:val="19"/>
          <w:szCs w:val="19"/>
        </w:rPr>
        <w:t xml:space="preserve">Responsabilidad </w:t>
      </w:r>
      <w:r w:rsidR="00D01E07" w:rsidRPr="00AA1C96">
        <w:rPr>
          <w:rFonts w:ascii="Arial" w:hAnsi="Arial" w:cs="Arial"/>
          <w:b/>
          <w:color w:val="000000" w:themeColor="text2"/>
          <w:sz w:val="19"/>
          <w:szCs w:val="19"/>
        </w:rPr>
        <w:t>del Directorio y la Gerencia</w:t>
      </w:r>
      <w:r w:rsidR="0015290D" w:rsidRPr="00AA1C96">
        <w:rPr>
          <w:rFonts w:ascii="Arial" w:hAnsi="Arial" w:cs="Arial"/>
          <w:b/>
          <w:color w:val="000000" w:themeColor="text2"/>
          <w:sz w:val="19"/>
          <w:szCs w:val="19"/>
        </w:rPr>
        <w:t xml:space="preserve"> de la </w:t>
      </w:r>
      <w:r w:rsidR="00D01E07" w:rsidRPr="00AA1C96">
        <w:rPr>
          <w:rFonts w:ascii="Arial" w:hAnsi="Arial" w:cs="Arial"/>
          <w:b/>
          <w:color w:val="000000" w:themeColor="text2"/>
          <w:sz w:val="19"/>
          <w:szCs w:val="19"/>
        </w:rPr>
        <w:t>Entidad</w:t>
      </w:r>
      <w:r w:rsidRPr="00AA1C96">
        <w:rPr>
          <w:rFonts w:ascii="Arial" w:hAnsi="Arial" w:cs="Arial"/>
          <w:b/>
          <w:color w:val="000000" w:themeColor="text2"/>
          <w:sz w:val="19"/>
          <w:szCs w:val="19"/>
        </w:rPr>
        <w:t xml:space="preserve"> en relación con los estados financieros  </w:t>
      </w:r>
    </w:p>
    <w:p w:rsidR="00B216F3" w:rsidRPr="00AA1C96" w:rsidRDefault="00B216F3" w:rsidP="0027630F">
      <w:pPr>
        <w:autoSpaceDE w:val="0"/>
        <w:autoSpaceDN w:val="0"/>
        <w:adjustRightInd w:val="0"/>
        <w:spacing w:after="0"/>
        <w:ind w:hanging="142"/>
        <w:jc w:val="both"/>
        <w:rPr>
          <w:rFonts w:ascii="Arial" w:hAnsi="Arial" w:cs="Arial"/>
          <w:b/>
          <w:color w:val="000000" w:themeColor="text2"/>
          <w:sz w:val="19"/>
          <w:szCs w:val="19"/>
        </w:rPr>
      </w:pPr>
    </w:p>
    <w:p w:rsidR="00967D58" w:rsidRPr="00AA1C96" w:rsidRDefault="00D01E07" w:rsidP="0027630F">
      <w:pPr>
        <w:pStyle w:val="ListParagraph"/>
        <w:numPr>
          <w:ilvl w:val="0"/>
          <w:numId w:val="3"/>
        </w:numPr>
        <w:shd w:val="clear" w:color="auto" w:fill="FFFFFF" w:themeFill="background1"/>
        <w:autoSpaceDE w:val="0"/>
        <w:autoSpaceDN w:val="0"/>
        <w:adjustRightInd w:val="0"/>
        <w:spacing w:after="0"/>
        <w:ind w:left="284" w:hanging="426"/>
        <w:jc w:val="both"/>
        <w:rPr>
          <w:rFonts w:ascii="Arial" w:hAnsi="Arial" w:cs="Arial"/>
          <w:b/>
          <w:color w:val="000000" w:themeColor="text1"/>
          <w:sz w:val="19"/>
          <w:szCs w:val="19"/>
        </w:rPr>
      </w:pPr>
      <w:r w:rsidRPr="00AA1C96">
        <w:rPr>
          <w:rFonts w:ascii="Arial" w:hAnsi="Arial" w:cs="Arial"/>
          <w:color w:val="000000" w:themeColor="text2"/>
          <w:sz w:val="19"/>
          <w:szCs w:val="19"/>
        </w:rPr>
        <w:t>El Directorio y la Gerencia de la Entidad son</w:t>
      </w:r>
      <w:r w:rsidR="00B216F3" w:rsidRPr="00AA1C96">
        <w:rPr>
          <w:rFonts w:ascii="Arial" w:hAnsi="Arial" w:cs="Arial"/>
          <w:color w:val="000000" w:themeColor="text2"/>
          <w:sz w:val="19"/>
          <w:szCs w:val="19"/>
        </w:rPr>
        <w:t xml:space="preserve"> responsable</w:t>
      </w:r>
      <w:r w:rsidRPr="00AA1C96">
        <w:rPr>
          <w:rFonts w:ascii="Arial" w:hAnsi="Arial" w:cs="Arial"/>
          <w:color w:val="000000" w:themeColor="text2"/>
          <w:sz w:val="19"/>
          <w:szCs w:val="19"/>
        </w:rPr>
        <w:t>s</w:t>
      </w:r>
      <w:r w:rsidR="00B216F3" w:rsidRPr="00AA1C96">
        <w:rPr>
          <w:rFonts w:ascii="Arial" w:hAnsi="Arial" w:cs="Arial"/>
          <w:color w:val="000000" w:themeColor="text2"/>
          <w:sz w:val="19"/>
          <w:szCs w:val="19"/>
        </w:rPr>
        <w:t xml:space="preserve"> </w:t>
      </w:r>
      <w:r w:rsidR="00B216F3" w:rsidRPr="00AA1C96">
        <w:rPr>
          <w:rFonts w:ascii="Arial" w:hAnsi="Arial" w:cs="Arial"/>
          <w:color w:val="000000" w:themeColor="text1"/>
          <w:sz w:val="19"/>
          <w:szCs w:val="19"/>
        </w:rPr>
        <w:t>por la preparación y presentación de los estados financieros</w:t>
      </w:r>
      <w:r w:rsidR="00C72790" w:rsidRPr="00AA1C96">
        <w:rPr>
          <w:rFonts w:ascii="Arial" w:hAnsi="Arial" w:cs="Arial"/>
          <w:color w:val="000000" w:themeColor="text1"/>
          <w:sz w:val="19"/>
          <w:szCs w:val="19"/>
        </w:rPr>
        <w:t xml:space="preserve"> </w:t>
      </w:r>
      <w:r w:rsidR="008B5746" w:rsidRPr="00AA1C96">
        <w:rPr>
          <w:rFonts w:ascii="Arial" w:hAnsi="Arial" w:cs="Arial"/>
          <w:color w:val="000000" w:themeColor="text1"/>
          <w:sz w:val="19"/>
          <w:szCs w:val="19"/>
        </w:rPr>
        <w:t>separados</w:t>
      </w:r>
      <w:r w:rsidR="00B216F3" w:rsidRPr="00AA1C96">
        <w:rPr>
          <w:rFonts w:ascii="Arial" w:hAnsi="Arial" w:cs="Arial"/>
          <w:color w:val="000000" w:themeColor="text1"/>
          <w:sz w:val="19"/>
          <w:szCs w:val="19"/>
        </w:rPr>
        <w:t xml:space="preserve"> </w:t>
      </w:r>
      <w:r w:rsidR="005E654A" w:rsidRPr="00AA1C96">
        <w:rPr>
          <w:rFonts w:ascii="Arial" w:hAnsi="Arial" w:cs="Arial"/>
          <w:color w:val="000000" w:themeColor="text1"/>
          <w:sz w:val="19"/>
          <w:szCs w:val="19"/>
        </w:rPr>
        <w:t>adjuntos</w:t>
      </w:r>
      <w:r w:rsidR="00B216F3" w:rsidRPr="00AA1C96">
        <w:rPr>
          <w:rFonts w:ascii="Arial" w:hAnsi="Arial" w:cs="Arial"/>
          <w:color w:val="000000" w:themeColor="text1"/>
          <w:sz w:val="19"/>
          <w:szCs w:val="19"/>
        </w:rPr>
        <w:t xml:space="preserve"> de </w:t>
      </w:r>
      <w:r w:rsidR="009D6879" w:rsidRPr="00AA1C96">
        <w:rPr>
          <w:rFonts w:ascii="Arial" w:hAnsi="Arial" w:cs="Arial"/>
          <w:color w:val="000000" w:themeColor="text1"/>
          <w:sz w:val="19"/>
          <w:szCs w:val="19"/>
        </w:rPr>
        <w:t>conformidad</w:t>
      </w:r>
      <w:r w:rsidRPr="00AA1C96">
        <w:rPr>
          <w:rFonts w:ascii="Arial" w:hAnsi="Arial" w:cs="Arial"/>
          <w:color w:val="000000" w:themeColor="text1"/>
          <w:sz w:val="19"/>
          <w:szCs w:val="19"/>
        </w:rPr>
        <w:t xml:space="preserve"> con el marco</w:t>
      </w:r>
      <w:r w:rsidR="00D5658F" w:rsidRPr="00AA1C96">
        <w:rPr>
          <w:rFonts w:ascii="Arial" w:hAnsi="Arial" w:cs="Arial"/>
          <w:color w:val="000000" w:themeColor="text1"/>
          <w:sz w:val="19"/>
          <w:szCs w:val="19"/>
        </w:rPr>
        <w:t xml:space="preserve"> de información</w:t>
      </w:r>
      <w:r w:rsidRPr="00AA1C96">
        <w:rPr>
          <w:rFonts w:ascii="Arial" w:hAnsi="Arial" w:cs="Arial"/>
          <w:color w:val="000000" w:themeColor="text1"/>
          <w:sz w:val="19"/>
          <w:szCs w:val="19"/>
        </w:rPr>
        <w:t xml:space="preserve"> contable establecido por el Banco Central de la República Argentina (</w:t>
      </w:r>
      <w:r w:rsidR="00045EED">
        <w:rPr>
          <w:rFonts w:ascii="Arial" w:hAnsi="Arial" w:cs="Arial"/>
          <w:color w:val="000000" w:themeColor="text1"/>
          <w:sz w:val="19"/>
          <w:szCs w:val="19"/>
        </w:rPr>
        <w:t>“</w:t>
      </w:r>
      <w:r w:rsidRPr="00AA1C96">
        <w:rPr>
          <w:rFonts w:ascii="Arial" w:hAnsi="Arial" w:cs="Arial"/>
          <w:color w:val="000000" w:themeColor="text1"/>
          <w:sz w:val="19"/>
          <w:szCs w:val="19"/>
        </w:rPr>
        <w:t>BCRA</w:t>
      </w:r>
      <w:r w:rsidR="00045EED">
        <w:rPr>
          <w:rFonts w:ascii="Arial" w:hAnsi="Arial" w:cs="Arial"/>
          <w:color w:val="000000" w:themeColor="text1"/>
          <w:sz w:val="19"/>
          <w:szCs w:val="19"/>
        </w:rPr>
        <w:t>”</w:t>
      </w:r>
      <w:r w:rsidRPr="00AA1C96">
        <w:rPr>
          <w:rFonts w:ascii="Arial" w:hAnsi="Arial" w:cs="Arial"/>
          <w:color w:val="000000" w:themeColor="text1"/>
          <w:sz w:val="19"/>
          <w:szCs w:val="19"/>
        </w:rPr>
        <w:t>),</w:t>
      </w:r>
      <w:r w:rsidR="006A4827" w:rsidRPr="00AA1C96">
        <w:rPr>
          <w:rFonts w:ascii="Arial" w:hAnsi="Arial" w:cs="Arial"/>
          <w:color w:val="000000" w:themeColor="text1"/>
          <w:sz w:val="19"/>
          <w:szCs w:val="19"/>
        </w:rPr>
        <w:t xml:space="preserve"> que, tal como se indica en la N</w:t>
      </w:r>
      <w:r w:rsidRPr="00AA1C96">
        <w:rPr>
          <w:rFonts w:ascii="Arial" w:hAnsi="Arial" w:cs="Arial"/>
          <w:color w:val="000000" w:themeColor="text1"/>
          <w:sz w:val="19"/>
          <w:szCs w:val="19"/>
        </w:rPr>
        <w:t xml:space="preserve">ota </w:t>
      </w:r>
      <w:r w:rsidR="0027630F" w:rsidRPr="00AA1C96">
        <w:rPr>
          <w:rFonts w:ascii="Arial" w:hAnsi="Arial" w:cs="Arial"/>
          <w:color w:val="000000" w:themeColor="text1"/>
          <w:sz w:val="19"/>
          <w:szCs w:val="19"/>
        </w:rPr>
        <w:t>2.</w:t>
      </w:r>
      <w:r w:rsidRPr="00AA1C96">
        <w:rPr>
          <w:rFonts w:ascii="Arial" w:hAnsi="Arial" w:cs="Arial"/>
          <w:color w:val="000000" w:themeColor="text1"/>
          <w:sz w:val="19"/>
          <w:szCs w:val="19"/>
        </w:rPr>
        <w:t xml:space="preserve"> a los estados financieros adjuntos, se bas</w:t>
      </w:r>
      <w:r w:rsidR="006071BF" w:rsidRPr="00AA1C96">
        <w:rPr>
          <w:rFonts w:ascii="Arial" w:hAnsi="Arial" w:cs="Arial"/>
          <w:color w:val="000000" w:themeColor="text1"/>
          <w:sz w:val="19"/>
          <w:szCs w:val="19"/>
        </w:rPr>
        <w:t>a</w:t>
      </w:r>
      <w:r w:rsidRPr="00AA1C96">
        <w:rPr>
          <w:rFonts w:ascii="Arial" w:hAnsi="Arial" w:cs="Arial"/>
          <w:color w:val="000000" w:themeColor="text1"/>
          <w:sz w:val="19"/>
          <w:szCs w:val="19"/>
        </w:rPr>
        <w:t xml:space="preserve"> en </w:t>
      </w:r>
      <w:r w:rsidR="00B216F3" w:rsidRPr="00AA1C96">
        <w:rPr>
          <w:rFonts w:ascii="Arial" w:hAnsi="Arial" w:cs="Arial"/>
          <w:color w:val="000000" w:themeColor="text1"/>
          <w:sz w:val="19"/>
          <w:szCs w:val="19"/>
        </w:rPr>
        <w:t>las Normas Internacionales de Información Financiera</w:t>
      </w:r>
      <w:r w:rsidR="00FD1DAF" w:rsidRPr="00AA1C96">
        <w:rPr>
          <w:rFonts w:ascii="Arial" w:hAnsi="Arial" w:cs="Arial"/>
          <w:color w:val="000000" w:themeColor="text1"/>
          <w:sz w:val="19"/>
          <w:szCs w:val="19"/>
        </w:rPr>
        <w:t xml:space="preserve"> (“NIIF”)</w:t>
      </w:r>
      <w:r w:rsidR="00D5658F" w:rsidRPr="00AA1C96">
        <w:rPr>
          <w:rFonts w:ascii="Arial" w:hAnsi="Arial" w:cs="Arial"/>
          <w:color w:val="000000" w:themeColor="text1"/>
          <w:sz w:val="19"/>
          <w:szCs w:val="19"/>
        </w:rPr>
        <w:t>, y en particular para los estados financieros condensados de período intermedio en la Norma Internacional de Contabilidad</w:t>
      </w:r>
      <w:r w:rsidR="00295A44">
        <w:rPr>
          <w:rFonts w:ascii="Arial" w:hAnsi="Arial" w:cs="Arial"/>
          <w:color w:val="000000" w:themeColor="text1"/>
          <w:sz w:val="19"/>
          <w:szCs w:val="19"/>
        </w:rPr>
        <w:t xml:space="preserve"> (“NIC”)</w:t>
      </w:r>
      <w:r w:rsidR="00D5658F" w:rsidRPr="00AA1C96">
        <w:rPr>
          <w:rFonts w:ascii="Arial" w:hAnsi="Arial" w:cs="Arial"/>
          <w:color w:val="000000" w:themeColor="text1"/>
          <w:sz w:val="19"/>
          <w:szCs w:val="19"/>
        </w:rPr>
        <w:t xml:space="preserve"> </w:t>
      </w:r>
      <w:r w:rsidR="002962A0" w:rsidRPr="00AA1C96">
        <w:rPr>
          <w:rFonts w:ascii="Arial" w:hAnsi="Arial" w:cs="Arial"/>
          <w:color w:val="000000" w:themeColor="text1"/>
          <w:sz w:val="19"/>
          <w:szCs w:val="19"/>
        </w:rPr>
        <w:t xml:space="preserve">N° </w:t>
      </w:r>
      <w:r w:rsidR="00D5658F" w:rsidRPr="00AA1C96">
        <w:rPr>
          <w:rFonts w:ascii="Arial" w:hAnsi="Arial" w:cs="Arial"/>
          <w:color w:val="000000" w:themeColor="text1"/>
          <w:sz w:val="19"/>
          <w:szCs w:val="19"/>
        </w:rPr>
        <w:t xml:space="preserve">34 “Información Financiera Intermedia”, tal como esas normas  fueron emitidas </w:t>
      </w:r>
      <w:r w:rsidRPr="00AA1C96">
        <w:rPr>
          <w:rFonts w:ascii="Arial" w:hAnsi="Arial" w:cs="Arial"/>
          <w:color w:val="000000" w:themeColor="text1"/>
          <w:sz w:val="19"/>
          <w:szCs w:val="19"/>
        </w:rPr>
        <w:t>por el Consejo de Normas Internacionales de Contabilidad (“IASB” por su sigla en inglés) y</w:t>
      </w:r>
      <w:r w:rsidR="00B216F3" w:rsidRPr="00AA1C96">
        <w:rPr>
          <w:rFonts w:ascii="Arial" w:hAnsi="Arial" w:cs="Arial"/>
          <w:color w:val="000000" w:themeColor="text1"/>
          <w:sz w:val="19"/>
          <w:szCs w:val="19"/>
        </w:rPr>
        <w:t xml:space="preserve"> adoptadas por la Federación Argentina de Consejos Profesionales de Ciencias Económicas</w:t>
      </w:r>
      <w:r w:rsidR="00045EED">
        <w:rPr>
          <w:rFonts w:ascii="Arial" w:hAnsi="Arial" w:cs="Arial"/>
          <w:color w:val="000000" w:themeColor="text1"/>
          <w:sz w:val="19"/>
          <w:szCs w:val="19"/>
        </w:rPr>
        <w:t xml:space="preserve"> (“FACPCE”)</w:t>
      </w:r>
      <w:r w:rsidRPr="00AA1C96">
        <w:rPr>
          <w:rFonts w:ascii="Arial" w:hAnsi="Arial" w:cs="Arial"/>
          <w:color w:val="000000" w:themeColor="text1"/>
          <w:sz w:val="19"/>
          <w:szCs w:val="19"/>
        </w:rPr>
        <w:t xml:space="preserve">, </w:t>
      </w:r>
      <w:r w:rsidR="0045376B" w:rsidRPr="00AA1C96">
        <w:rPr>
          <w:rFonts w:ascii="Arial" w:hAnsi="Arial" w:cs="Arial"/>
          <w:color w:val="000000" w:themeColor="text1"/>
          <w:sz w:val="19"/>
          <w:szCs w:val="19"/>
        </w:rPr>
        <w:t>y con las excepciones (i) del punto 5.5. “Deterioro de Valor” de la NIIF N° 9 “Instrumentos Financieros” y (ii) de la</w:t>
      </w:r>
      <w:r w:rsidR="00295A44">
        <w:rPr>
          <w:rFonts w:ascii="Arial" w:hAnsi="Arial" w:cs="Arial"/>
          <w:color w:val="000000" w:themeColor="text1"/>
          <w:sz w:val="19"/>
          <w:szCs w:val="19"/>
        </w:rPr>
        <w:t xml:space="preserve"> </w:t>
      </w:r>
      <w:r w:rsidR="0045376B" w:rsidRPr="00AA1C96">
        <w:rPr>
          <w:rFonts w:ascii="Arial" w:hAnsi="Arial" w:cs="Arial"/>
          <w:color w:val="000000" w:themeColor="text1"/>
          <w:sz w:val="19"/>
          <w:szCs w:val="19"/>
        </w:rPr>
        <w:t xml:space="preserve">NIC N° 29 “Información Financiera en Economías Hiperinflacionarias”, que </w:t>
      </w:r>
      <w:r w:rsidR="00045EED">
        <w:rPr>
          <w:rFonts w:ascii="Arial" w:hAnsi="Arial" w:cs="Arial"/>
          <w:color w:val="000000" w:themeColor="text1"/>
          <w:sz w:val="19"/>
          <w:szCs w:val="19"/>
        </w:rPr>
        <w:t>en forma transitoria fueron</w:t>
      </w:r>
      <w:r w:rsidR="0045376B" w:rsidRPr="00AA1C96">
        <w:rPr>
          <w:rFonts w:ascii="Arial" w:hAnsi="Arial" w:cs="Arial"/>
          <w:color w:val="000000" w:themeColor="text1"/>
          <w:sz w:val="19"/>
          <w:szCs w:val="19"/>
        </w:rPr>
        <w:t xml:space="preserve"> excluidas</w:t>
      </w:r>
      <w:r w:rsidR="00D5658F" w:rsidRPr="00AA1C96">
        <w:rPr>
          <w:rFonts w:ascii="Arial" w:hAnsi="Arial" w:cs="Arial"/>
          <w:color w:val="000000" w:themeColor="text1"/>
          <w:sz w:val="19"/>
          <w:szCs w:val="19"/>
        </w:rPr>
        <w:t xml:space="preserve"> por el BCRA del marco contable aplicable a las entidades financieras</w:t>
      </w:r>
      <w:r w:rsidRPr="00AA1C96">
        <w:rPr>
          <w:rFonts w:ascii="Arial" w:hAnsi="Arial" w:cs="Arial"/>
          <w:color w:val="000000" w:themeColor="text1"/>
          <w:sz w:val="19"/>
          <w:szCs w:val="19"/>
        </w:rPr>
        <w:t>.</w:t>
      </w:r>
      <w:r w:rsidR="00B216F3" w:rsidRPr="00AA1C96">
        <w:rPr>
          <w:rFonts w:ascii="Arial" w:hAnsi="Arial" w:cs="Arial"/>
          <w:color w:val="000000" w:themeColor="text1"/>
          <w:sz w:val="19"/>
          <w:szCs w:val="19"/>
        </w:rPr>
        <w:t xml:space="preserve"> </w:t>
      </w:r>
      <w:r w:rsidR="009706C5" w:rsidRPr="00AA1C96">
        <w:rPr>
          <w:rFonts w:ascii="Arial" w:hAnsi="Arial" w:cs="Arial"/>
          <w:color w:val="000000" w:themeColor="text1"/>
          <w:sz w:val="19"/>
          <w:szCs w:val="19"/>
        </w:rPr>
        <w:t>E</w:t>
      </w:r>
      <w:r w:rsidRPr="00AA1C96">
        <w:rPr>
          <w:rFonts w:ascii="Arial" w:hAnsi="Arial" w:cs="Arial"/>
          <w:color w:val="000000" w:themeColor="text1"/>
          <w:sz w:val="19"/>
          <w:szCs w:val="19"/>
        </w:rPr>
        <w:t>l Directorio y la Gerencia de la Entidad son</w:t>
      </w:r>
      <w:r w:rsidR="009706C5" w:rsidRPr="00AA1C96">
        <w:rPr>
          <w:rFonts w:ascii="Arial" w:hAnsi="Arial" w:cs="Arial"/>
          <w:color w:val="000000" w:themeColor="text1"/>
          <w:sz w:val="19"/>
          <w:szCs w:val="19"/>
        </w:rPr>
        <w:t xml:space="preserve"> también</w:t>
      </w:r>
      <w:r w:rsidRPr="00AA1C96">
        <w:rPr>
          <w:rFonts w:ascii="Arial" w:hAnsi="Arial" w:cs="Arial"/>
          <w:color w:val="000000" w:themeColor="text1"/>
          <w:sz w:val="19"/>
          <w:szCs w:val="19"/>
        </w:rPr>
        <w:t xml:space="preserve"> responsables</w:t>
      </w:r>
      <w:r w:rsidR="00B216F3" w:rsidRPr="00AA1C96">
        <w:rPr>
          <w:rFonts w:ascii="Arial" w:hAnsi="Arial" w:cs="Arial"/>
          <w:color w:val="000000" w:themeColor="text1"/>
          <w:sz w:val="19"/>
          <w:szCs w:val="19"/>
        </w:rPr>
        <w:t xml:space="preserve"> </w:t>
      </w:r>
      <w:r w:rsidR="00B216F3" w:rsidRPr="00AA1C96">
        <w:rPr>
          <w:rFonts w:ascii="Arial" w:hAnsi="Arial" w:cs="Arial"/>
          <w:color w:val="000000" w:themeColor="text1"/>
          <w:sz w:val="19"/>
          <w:szCs w:val="19"/>
          <w:shd w:val="clear" w:color="auto" w:fill="FFFFFF" w:themeFill="background1"/>
        </w:rPr>
        <w:t xml:space="preserve">del control interno que </w:t>
      </w:r>
      <w:r w:rsidR="00967D58" w:rsidRPr="00AA1C96">
        <w:rPr>
          <w:rFonts w:ascii="Arial" w:hAnsi="Arial" w:cs="Arial"/>
          <w:color w:val="000000" w:themeColor="text1"/>
          <w:sz w:val="19"/>
          <w:szCs w:val="19"/>
          <w:shd w:val="clear" w:color="auto" w:fill="FFFFFF" w:themeFill="background1"/>
        </w:rPr>
        <w:t>considere</w:t>
      </w:r>
      <w:r w:rsidR="006071BF" w:rsidRPr="00AA1C96">
        <w:rPr>
          <w:rFonts w:ascii="Arial" w:hAnsi="Arial" w:cs="Arial"/>
          <w:color w:val="000000" w:themeColor="text1"/>
          <w:sz w:val="19"/>
          <w:szCs w:val="19"/>
          <w:shd w:val="clear" w:color="auto" w:fill="FFFFFF" w:themeFill="background1"/>
        </w:rPr>
        <w:t>n</w:t>
      </w:r>
      <w:r w:rsidR="00B216F3" w:rsidRPr="00AA1C96">
        <w:rPr>
          <w:rFonts w:ascii="Arial" w:hAnsi="Arial" w:cs="Arial"/>
          <w:color w:val="000000" w:themeColor="text1"/>
          <w:sz w:val="19"/>
          <w:szCs w:val="19"/>
          <w:shd w:val="clear" w:color="auto" w:fill="FFFFFF" w:themeFill="background1"/>
        </w:rPr>
        <w:t xml:space="preserve"> necesario para permitir la preparación de información financiera</w:t>
      </w:r>
      <w:r w:rsidR="00B66942" w:rsidRPr="00AA1C96">
        <w:rPr>
          <w:rFonts w:ascii="Arial" w:hAnsi="Arial" w:cs="Arial"/>
          <w:color w:val="000000" w:themeColor="text1"/>
          <w:sz w:val="19"/>
          <w:szCs w:val="19"/>
          <w:shd w:val="clear" w:color="auto" w:fill="FFFFFF" w:themeFill="background1"/>
        </w:rPr>
        <w:t xml:space="preserve"> </w:t>
      </w:r>
      <w:r w:rsidR="008B5746" w:rsidRPr="00AA1C96">
        <w:rPr>
          <w:rFonts w:ascii="Arial" w:hAnsi="Arial" w:cs="Arial"/>
          <w:color w:val="000000" w:themeColor="text1"/>
          <w:sz w:val="19"/>
          <w:szCs w:val="19"/>
          <w:shd w:val="clear" w:color="auto" w:fill="FFFFFF" w:themeFill="background1"/>
        </w:rPr>
        <w:t>d</w:t>
      </w:r>
      <w:r w:rsidR="00B216F3" w:rsidRPr="00AA1C96">
        <w:rPr>
          <w:rFonts w:ascii="Arial" w:hAnsi="Arial" w:cs="Arial"/>
          <w:color w:val="000000" w:themeColor="text1"/>
          <w:sz w:val="19"/>
          <w:szCs w:val="19"/>
          <w:shd w:val="clear" w:color="auto" w:fill="FFFFFF" w:themeFill="background1"/>
        </w:rPr>
        <w:t>e períodos intermedios libre de distorsiones significati</w:t>
      </w:r>
      <w:r w:rsidR="00674274" w:rsidRPr="00AA1C96">
        <w:rPr>
          <w:rFonts w:ascii="Arial" w:hAnsi="Arial" w:cs="Arial"/>
          <w:color w:val="000000" w:themeColor="text1"/>
          <w:sz w:val="19"/>
          <w:szCs w:val="19"/>
          <w:shd w:val="clear" w:color="auto" w:fill="FFFFFF" w:themeFill="background1"/>
        </w:rPr>
        <w:t xml:space="preserve">vas, ya sea debido a errores o </w:t>
      </w:r>
      <w:r w:rsidR="00B216F3" w:rsidRPr="00AA1C96">
        <w:rPr>
          <w:rFonts w:ascii="Arial" w:hAnsi="Arial" w:cs="Arial"/>
          <w:color w:val="000000" w:themeColor="text1"/>
          <w:sz w:val="19"/>
          <w:szCs w:val="19"/>
          <w:shd w:val="clear" w:color="auto" w:fill="FFFFFF" w:themeFill="background1"/>
        </w:rPr>
        <w:t>irregularidades.</w:t>
      </w:r>
    </w:p>
    <w:p w:rsidR="00B77448" w:rsidRDefault="00B77448">
      <w:pPr>
        <w:rPr>
          <w:rFonts w:ascii="Arial" w:hAnsi="Arial" w:cs="Arial"/>
          <w:color w:val="000000" w:themeColor="text1"/>
          <w:sz w:val="19"/>
          <w:szCs w:val="19"/>
        </w:rPr>
        <w:sectPr w:rsidR="00B77448" w:rsidSect="007B238D">
          <w:headerReference w:type="default" r:id="rId8"/>
          <w:pgSz w:w="12240" w:h="15840"/>
          <w:pgMar w:top="1440" w:right="1440" w:bottom="1440" w:left="1440" w:header="708" w:footer="708" w:gutter="0"/>
          <w:cols w:space="708"/>
          <w:docGrid w:linePitch="360"/>
        </w:sectPr>
      </w:pPr>
      <w:r>
        <w:rPr>
          <w:rFonts w:ascii="Arial" w:hAnsi="Arial" w:cs="Arial"/>
          <w:color w:val="000000" w:themeColor="text1"/>
          <w:sz w:val="19"/>
          <w:szCs w:val="19"/>
        </w:rPr>
        <w:br w:type="page"/>
      </w:r>
    </w:p>
    <w:p w:rsidR="00B216F3" w:rsidRPr="00AA1C96" w:rsidRDefault="00B216F3" w:rsidP="00BC5985">
      <w:pPr>
        <w:ind w:left="-142"/>
        <w:rPr>
          <w:rFonts w:ascii="Arial" w:hAnsi="Arial" w:cs="Arial"/>
          <w:b/>
          <w:color w:val="000000" w:themeColor="text1"/>
          <w:sz w:val="19"/>
          <w:szCs w:val="19"/>
        </w:rPr>
      </w:pPr>
      <w:r w:rsidRPr="00AA1C96">
        <w:rPr>
          <w:rFonts w:ascii="Arial" w:hAnsi="Arial" w:cs="Arial"/>
          <w:b/>
          <w:color w:val="000000" w:themeColor="text1"/>
          <w:sz w:val="19"/>
          <w:szCs w:val="19"/>
        </w:rPr>
        <w:lastRenderedPageBreak/>
        <w:t>Responsabilidad del auditor</w:t>
      </w:r>
    </w:p>
    <w:p w:rsidR="00B77448" w:rsidRPr="00B77448" w:rsidRDefault="00B216F3" w:rsidP="00AB1D9E">
      <w:pPr>
        <w:pStyle w:val="ListParagraph"/>
        <w:numPr>
          <w:ilvl w:val="0"/>
          <w:numId w:val="3"/>
        </w:numPr>
        <w:shd w:val="clear" w:color="auto" w:fill="FFFFFF" w:themeFill="background1"/>
        <w:autoSpaceDE w:val="0"/>
        <w:autoSpaceDN w:val="0"/>
        <w:adjustRightInd w:val="0"/>
        <w:spacing w:after="0"/>
        <w:ind w:left="270" w:hanging="412"/>
        <w:jc w:val="both"/>
        <w:rPr>
          <w:rFonts w:ascii="Arial" w:hAnsi="Arial" w:cs="Arial"/>
          <w:b/>
          <w:color w:val="000000" w:themeColor="text1"/>
          <w:sz w:val="19"/>
          <w:szCs w:val="19"/>
        </w:rPr>
      </w:pPr>
      <w:r w:rsidRPr="00B77448">
        <w:rPr>
          <w:rFonts w:ascii="Arial" w:hAnsi="Arial" w:cs="Arial"/>
          <w:color w:val="000000" w:themeColor="text2"/>
          <w:sz w:val="19"/>
          <w:szCs w:val="19"/>
        </w:rPr>
        <w:t xml:space="preserve">Nuestra responsabilidad es expresar una conclusión sobre los estados financieros mencionados en el párrafo 1 basada en nuestra revisión, </w:t>
      </w:r>
      <w:r w:rsidR="009D6879" w:rsidRPr="00B77448">
        <w:rPr>
          <w:rFonts w:ascii="Arial" w:hAnsi="Arial" w:cs="Arial"/>
          <w:color w:val="000000" w:themeColor="text2"/>
          <w:sz w:val="19"/>
          <w:szCs w:val="19"/>
        </w:rPr>
        <w:t>la cual fue realizada de conformidad</w:t>
      </w:r>
      <w:r w:rsidRPr="00B77448">
        <w:rPr>
          <w:rFonts w:ascii="Arial" w:hAnsi="Arial" w:cs="Arial"/>
          <w:color w:val="000000" w:themeColor="text2"/>
          <w:sz w:val="19"/>
          <w:szCs w:val="19"/>
        </w:rPr>
        <w:t xml:space="preserve"> con</w:t>
      </w:r>
      <w:r w:rsidR="00303CED" w:rsidRPr="00B77448">
        <w:rPr>
          <w:rFonts w:ascii="Arial" w:hAnsi="Arial" w:cs="Arial"/>
          <w:color w:val="000000" w:themeColor="text2"/>
          <w:sz w:val="19"/>
          <w:szCs w:val="19"/>
        </w:rPr>
        <w:t xml:space="preserve"> las normas de la Resolución Técnica N° 37 de la </w:t>
      </w:r>
      <w:r w:rsidR="00045EED">
        <w:rPr>
          <w:rFonts w:ascii="Arial" w:hAnsi="Arial" w:cs="Arial"/>
          <w:color w:val="000000" w:themeColor="text2"/>
          <w:sz w:val="19"/>
          <w:szCs w:val="19"/>
        </w:rPr>
        <w:t xml:space="preserve">FACPCE </w:t>
      </w:r>
      <w:r w:rsidR="00303CED" w:rsidRPr="00B77448">
        <w:rPr>
          <w:rFonts w:ascii="Arial" w:hAnsi="Arial" w:cs="Arial"/>
          <w:color w:val="000000" w:themeColor="text2"/>
          <w:sz w:val="19"/>
          <w:szCs w:val="19"/>
        </w:rPr>
        <w:t xml:space="preserve">y con las “Normas mínimas sobre auditorías externas” emitidas por el BCRA, aplicables a la revisión de estados </w:t>
      </w:r>
      <w:r w:rsidR="0025701E" w:rsidRPr="00B77448">
        <w:rPr>
          <w:rFonts w:ascii="Arial" w:hAnsi="Arial" w:cs="Arial"/>
          <w:color w:val="000000" w:themeColor="text2"/>
          <w:sz w:val="19"/>
          <w:szCs w:val="19"/>
        </w:rPr>
        <w:t>financieros</w:t>
      </w:r>
      <w:r w:rsidR="00303CED" w:rsidRPr="00B77448">
        <w:rPr>
          <w:rFonts w:ascii="Arial" w:hAnsi="Arial" w:cs="Arial"/>
          <w:color w:val="000000" w:themeColor="text2"/>
          <w:sz w:val="19"/>
          <w:szCs w:val="19"/>
        </w:rPr>
        <w:t xml:space="preserve"> de períodos intermedios</w:t>
      </w:r>
      <w:r w:rsidR="0025701E" w:rsidRPr="00B77448">
        <w:rPr>
          <w:rFonts w:ascii="Arial" w:hAnsi="Arial" w:cs="Arial"/>
          <w:color w:val="000000" w:themeColor="text2"/>
          <w:sz w:val="19"/>
          <w:szCs w:val="19"/>
        </w:rPr>
        <w:t xml:space="preserve">, y cumpliendo con los requerimientos de ética pertinentes a la auditoría de los estados </w:t>
      </w:r>
      <w:r w:rsidR="00171DA7" w:rsidRPr="00B77448">
        <w:rPr>
          <w:rFonts w:ascii="Arial" w:hAnsi="Arial" w:cs="Arial"/>
          <w:color w:val="000000" w:themeColor="text2"/>
          <w:sz w:val="19"/>
          <w:szCs w:val="19"/>
        </w:rPr>
        <w:t>financieros</w:t>
      </w:r>
      <w:r w:rsidR="0025701E" w:rsidRPr="00B77448">
        <w:rPr>
          <w:rFonts w:ascii="Arial" w:hAnsi="Arial" w:cs="Arial"/>
          <w:color w:val="000000" w:themeColor="text2"/>
          <w:sz w:val="19"/>
          <w:szCs w:val="19"/>
        </w:rPr>
        <w:t xml:space="preserve"> anuales de la Entidad. Una revisión de estados </w:t>
      </w:r>
      <w:r w:rsidR="00171DA7" w:rsidRPr="00B77448">
        <w:rPr>
          <w:rFonts w:ascii="Arial" w:hAnsi="Arial" w:cs="Arial"/>
          <w:color w:val="000000" w:themeColor="text2"/>
          <w:sz w:val="19"/>
          <w:szCs w:val="19"/>
        </w:rPr>
        <w:t>financieros</w:t>
      </w:r>
      <w:r w:rsidR="0025701E" w:rsidRPr="00B77448">
        <w:rPr>
          <w:rFonts w:ascii="Arial" w:hAnsi="Arial" w:cs="Arial"/>
          <w:color w:val="000000" w:themeColor="text2"/>
          <w:sz w:val="19"/>
          <w:szCs w:val="19"/>
        </w:rPr>
        <w:t xml:space="preserve"> de períodos intermedios consiste en realizar indagaciones, principalmente a las personas responsables de las cuestiones contables y financieras, y aplicar procedimientos analíticos y otros procedimientos de revisión. El alcance de una revisión es sustancialmente menor que el de una auditoría de estados </w:t>
      </w:r>
      <w:r w:rsidR="00FD1DAF" w:rsidRPr="00B77448">
        <w:rPr>
          <w:rFonts w:ascii="Arial" w:hAnsi="Arial" w:cs="Arial"/>
          <w:color w:val="000000" w:themeColor="text2"/>
          <w:sz w:val="19"/>
          <w:szCs w:val="19"/>
        </w:rPr>
        <w:t>financieros</w:t>
      </w:r>
      <w:r w:rsidR="0025701E" w:rsidRPr="00B77448">
        <w:rPr>
          <w:rFonts w:ascii="Arial" w:hAnsi="Arial" w:cs="Arial"/>
          <w:color w:val="000000" w:themeColor="text2"/>
          <w:sz w:val="19"/>
          <w:szCs w:val="19"/>
        </w:rPr>
        <w:t xml:space="preserve"> y, por consiguiente, no nos permite obtener seguridad de que tomaremos conocimiento de todas las cuestiones significativas que podrían identificarse en una auditoría. Por lo tanto, no expr</w:t>
      </w:r>
      <w:r w:rsidR="00FF66DE" w:rsidRPr="00B77448">
        <w:rPr>
          <w:rFonts w:ascii="Arial" w:hAnsi="Arial" w:cs="Arial"/>
          <w:color w:val="000000" w:themeColor="text2"/>
          <w:sz w:val="19"/>
          <w:szCs w:val="19"/>
        </w:rPr>
        <w:t>esamos una opinión de auditoría.</w:t>
      </w:r>
    </w:p>
    <w:p w:rsidR="00B77448" w:rsidRPr="00B77448" w:rsidRDefault="00B77448" w:rsidP="00B77448">
      <w:pPr>
        <w:pStyle w:val="ListParagraph"/>
        <w:shd w:val="clear" w:color="auto" w:fill="FFFFFF" w:themeFill="background1"/>
        <w:autoSpaceDE w:val="0"/>
        <w:autoSpaceDN w:val="0"/>
        <w:adjustRightInd w:val="0"/>
        <w:spacing w:after="0"/>
        <w:ind w:left="270"/>
        <w:jc w:val="both"/>
        <w:rPr>
          <w:rFonts w:ascii="Arial" w:hAnsi="Arial" w:cs="Arial"/>
          <w:b/>
          <w:color w:val="000000" w:themeColor="text1"/>
          <w:sz w:val="19"/>
          <w:szCs w:val="19"/>
        </w:rPr>
      </w:pPr>
    </w:p>
    <w:p w:rsidR="00B77448" w:rsidRDefault="00B77448" w:rsidP="00B77448">
      <w:pPr>
        <w:shd w:val="clear" w:color="auto" w:fill="FFFFFF" w:themeFill="background1"/>
        <w:autoSpaceDE w:val="0"/>
        <w:autoSpaceDN w:val="0"/>
        <w:adjustRightInd w:val="0"/>
        <w:spacing w:after="0"/>
        <w:ind w:left="-142"/>
        <w:jc w:val="both"/>
        <w:rPr>
          <w:rFonts w:ascii="Arial" w:hAnsi="Arial" w:cs="Arial"/>
          <w:b/>
          <w:color w:val="000000" w:themeColor="text1"/>
          <w:sz w:val="19"/>
          <w:szCs w:val="19"/>
        </w:rPr>
      </w:pPr>
    </w:p>
    <w:p w:rsidR="00B216F3" w:rsidRPr="00B77448" w:rsidRDefault="00B216F3" w:rsidP="00B77448">
      <w:pPr>
        <w:shd w:val="clear" w:color="auto" w:fill="FFFFFF" w:themeFill="background1"/>
        <w:autoSpaceDE w:val="0"/>
        <w:autoSpaceDN w:val="0"/>
        <w:adjustRightInd w:val="0"/>
        <w:spacing w:after="0"/>
        <w:ind w:left="-142"/>
        <w:jc w:val="both"/>
        <w:rPr>
          <w:rFonts w:ascii="Arial" w:hAnsi="Arial" w:cs="Arial"/>
          <w:b/>
          <w:color w:val="000000" w:themeColor="text1"/>
          <w:sz w:val="19"/>
          <w:szCs w:val="19"/>
        </w:rPr>
      </w:pPr>
      <w:r w:rsidRPr="00B77448">
        <w:rPr>
          <w:rFonts w:ascii="Arial" w:hAnsi="Arial" w:cs="Arial"/>
          <w:b/>
          <w:color w:val="000000" w:themeColor="text1"/>
          <w:sz w:val="19"/>
          <w:szCs w:val="19"/>
        </w:rPr>
        <w:t>Conclusión</w:t>
      </w:r>
      <w:r w:rsidR="00967D58" w:rsidRPr="00B77448">
        <w:rPr>
          <w:rFonts w:ascii="Arial" w:hAnsi="Arial" w:cs="Arial"/>
          <w:b/>
          <w:color w:val="000000" w:themeColor="text1"/>
          <w:sz w:val="19"/>
          <w:szCs w:val="19"/>
        </w:rPr>
        <w:t xml:space="preserve"> </w:t>
      </w:r>
    </w:p>
    <w:p w:rsidR="00B216F3" w:rsidRPr="00AA1C96" w:rsidRDefault="00B216F3" w:rsidP="005627B9">
      <w:pPr>
        <w:autoSpaceDE w:val="0"/>
        <w:autoSpaceDN w:val="0"/>
        <w:adjustRightInd w:val="0"/>
        <w:spacing w:after="0"/>
        <w:ind w:hanging="426"/>
        <w:jc w:val="both"/>
        <w:rPr>
          <w:rFonts w:ascii="Arial" w:hAnsi="Arial" w:cs="Arial"/>
          <w:b/>
          <w:color w:val="000000" w:themeColor="text1"/>
          <w:sz w:val="19"/>
          <w:szCs w:val="19"/>
        </w:rPr>
      </w:pPr>
    </w:p>
    <w:p w:rsidR="0014477C" w:rsidRPr="00AA1C96" w:rsidRDefault="00B216F3" w:rsidP="00AA1C96">
      <w:pPr>
        <w:pStyle w:val="ListParagraph"/>
        <w:numPr>
          <w:ilvl w:val="0"/>
          <w:numId w:val="3"/>
        </w:numPr>
        <w:autoSpaceDE w:val="0"/>
        <w:autoSpaceDN w:val="0"/>
        <w:adjustRightInd w:val="0"/>
        <w:spacing w:after="0"/>
        <w:ind w:left="284" w:hanging="426"/>
        <w:jc w:val="both"/>
        <w:rPr>
          <w:rFonts w:ascii="Arial" w:hAnsi="Arial" w:cs="Arial"/>
          <w:b/>
          <w:color w:val="000000" w:themeColor="text1"/>
          <w:sz w:val="19"/>
          <w:szCs w:val="19"/>
        </w:rPr>
      </w:pPr>
      <w:r w:rsidRPr="00AA1C96">
        <w:rPr>
          <w:rFonts w:ascii="Arial" w:hAnsi="Arial" w:cs="Arial"/>
          <w:color w:val="000000" w:themeColor="text1"/>
          <w:sz w:val="19"/>
          <w:szCs w:val="19"/>
        </w:rPr>
        <w:t xml:space="preserve">Sobre la base de nuestra revisión, nada llamó nuestra atención que nos hiciera pensar que los estados financieros mencionados en el párrafo 1 no están </w:t>
      </w:r>
      <w:r w:rsidR="006D6C63" w:rsidRPr="00AA1C96">
        <w:rPr>
          <w:rFonts w:ascii="Arial" w:hAnsi="Arial" w:cs="Arial"/>
          <w:color w:val="000000" w:themeColor="text1"/>
          <w:sz w:val="19"/>
          <w:szCs w:val="19"/>
        </w:rPr>
        <w:t>preparados, en todos sus</w:t>
      </w:r>
      <w:r w:rsidRPr="00AA1C96">
        <w:rPr>
          <w:rFonts w:ascii="Arial" w:hAnsi="Arial" w:cs="Arial"/>
          <w:color w:val="000000" w:themeColor="text1"/>
          <w:sz w:val="19"/>
          <w:szCs w:val="19"/>
        </w:rPr>
        <w:t xml:space="preserve"> aspectos significativos, de conformidad con </w:t>
      </w:r>
      <w:r w:rsidR="00CF40C5" w:rsidRPr="00AA1C96">
        <w:rPr>
          <w:rFonts w:ascii="Arial" w:hAnsi="Arial" w:cs="Arial"/>
          <w:color w:val="000000" w:themeColor="text1"/>
          <w:sz w:val="19"/>
          <w:szCs w:val="19"/>
        </w:rPr>
        <w:t>el marco de información contable establecido por el BCRA mencionado en el párrafo 2</w:t>
      </w:r>
      <w:r w:rsidRPr="00AA1C96">
        <w:rPr>
          <w:rFonts w:ascii="Arial" w:hAnsi="Arial" w:cs="Arial"/>
          <w:color w:val="000000" w:themeColor="text1"/>
          <w:sz w:val="19"/>
          <w:szCs w:val="19"/>
        </w:rPr>
        <w:t>.</w:t>
      </w:r>
    </w:p>
    <w:p w:rsidR="00B66942" w:rsidRPr="00AA1C96" w:rsidRDefault="00B66942" w:rsidP="0027630F">
      <w:pPr>
        <w:pStyle w:val="ListParagraph"/>
        <w:autoSpaceDE w:val="0"/>
        <w:autoSpaceDN w:val="0"/>
        <w:adjustRightInd w:val="0"/>
        <w:spacing w:after="0"/>
        <w:ind w:left="630"/>
        <w:jc w:val="both"/>
        <w:rPr>
          <w:rFonts w:ascii="Arial" w:hAnsi="Arial" w:cs="Arial"/>
          <w:color w:val="000000" w:themeColor="text1"/>
          <w:sz w:val="19"/>
          <w:szCs w:val="19"/>
        </w:rPr>
      </w:pPr>
    </w:p>
    <w:p w:rsidR="00125DF0" w:rsidRPr="00AA1C96" w:rsidRDefault="00125DF0" w:rsidP="0027630F">
      <w:pPr>
        <w:autoSpaceDE w:val="0"/>
        <w:autoSpaceDN w:val="0"/>
        <w:adjustRightInd w:val="0"/>
        <w:spacing w:after="0"/>
        <w:jc w:val="both"/>
        <w:rPr>
          <w:rFonts w:ascii="Arial" w:hAnsi="Arial" w:cs="Arial"/>
          <w:color w:val="000000" w:themeColor="text1"/>
          <w:sz w:val="19"/>
          <w:szCs w:val="19"/>
        </w:rPr>
      </w:pPr>
    </w:p>
    <w:p w:rsidR="00177691" w:rsidRPr="00AA1C96" w:rsidRDefault="00177691" w:rsidP="0027630F">
      <w:pPr>
        <w:autoSpaceDE w:val="0"/>
        <w:autoSpaceDN w:val="0"/>
        <w:adjustRightInd w:val="0"/>
        <w:spacing w:after="0"/>
        <w:ind w:hanging="142"/>
        <w:jc w:val="both"/>
        <w:rPr>
          <w:rFonts w:ascii="Arial" w:hAnsi="Arial" w:cs="Arial"/>
          <w:b/>
          <w:color w:val="000000" w:themeColor="text1"/>
          <w:sz w:val="19"/>
          <w:szCs w:val="19"/>
        </w:rPr>
      </w:pPr>
      <w:r w:rsidRPr="00AA1C96">
        <w:rPr>
          <w:rFonts w:ascii="Arial" w:hAnsi="Arial" w:cs="Arial"/>
          <w:b/>
          <w:color w:val="000000" w:themeColor="text1"/>
          <w:sz w:val="19"/>
          <w:szCs w:val="19"/>
        </w:rPr>
        <w:t xml:space="preserve">Énfasis sobre ciertos aspectos revelados en los estados financieros </w:t>
      </w:r>
    </w:p>
    <w:p w:rsidR="00B216F3" w:rsidRPr="00AA1C96" w:rsidRDefault="00B216F3" w:rsidP="005627B9">
      <w:pPr>
        <w:autoSpaceDE w:val="0"/>
        <w:autoSpaceDN w:val="0"/>
        <w:adjustRightInd w:val="0"/>
        <w:spacing w:after="0"/>
        <w:jc w:val="both"/>
        <w:rPr>
          <w:rFonts w:ascii="Arial" w:hAnsi="Arial" w:cs="Arial"/>
          <w:b/>
          <w:color w:val="000000" w:themeColor="text1"/>
          <w:sz w:val="19"/>
          <w:szCs w:val="19"/>
        </w:rPr>
      </w:pPr>
    </w:p>
    <w:p w:rsidR="00177691" w:rsidRPr="00AA1C96" w:rsidRDefault="006A4827" w:rsidP="00AA1C96">
      <w:pPr>
        <w:pStyle w:val="ListParagraph"/>
        <w:numPr>
          <w:ilvl w:val="0"/>
          <w:numId w:val="3"/>
        </w:numPr>
        <w:autoSpaceDE w:val="0"/>
        <w:autoSpaceDN w:val="0"/>
        <w:adjustRightInd w:val="0"/>
        <w:spacing w:after="0"/>
        <w:ind w:left="284" w:hanging="426"/>
        <w:jc w:val="both"/>
        <w:rPr>
          <w:rFonts w:ascii="Arial" w:hAnsi="Arial" w:cs="Arial"/>
          <w:sz w:val="19"/>
          <w:szCs w:val="19"/>
        </w:rPr>
      </w:pPr>
      <w:r w:rsidRPr="00AA1C96">
        <w:rPr>
          <w:rFonts w:ascii="Arial" w:hAnsi="Arial" w:cs="Arial"/>
          <w:sz w:val="19"/>
          <w:szCs w:val="19"/>
        </w:rPr>
        <w:t>Llamamos la atención sobre</w:t>
      </w:r>
      <w:r w:rsidR="00177691" w:rsidRPr="00AA1C96">
        <w:rPr>
          <w:rFonts w:ascii="Arial" w:hAnsi="Arial" w:cs="Arial"/>
          <w:sz w:val="19"/>
          <w:szCs w:val="19"/>
        </w:rPr>
        <w:t xml:space="preserve"> la información contenida en las siguientes notas a los estados </w:t>
      </w:r>
      <w:r w:rsidR="00FD1DAF" w:rsidRPr="00AA1C96">
        <w:rPr>
          <w:rFonts w:ascii="Arial" w:hAnsi="Arial" w:cs="Arial"/>
          <w:sz w:val="19"/>
          <w:szCs w:val="19"/>
        </w:rPr>
        <w:t>financieros</w:t>
      </w:r>
      <w:r w:rsidR="00177691" w:rsidRPr="00AA1C96">
        <w:rPr>
          <w:rFonts w:ascii="Arial" w:hAnsi="Arial" w:cs="Arial"/>
          <w:sz w:val="19"/>
          <w:szCs w:val="19"/>
        </w:rPr>
        <w:t xml:space="preserve"> mencionados en el párrafo 1:</w:t>
      </w:r>
    </w:p>
    <w:p w:rsidR="00177691" w:rsidRPr="00AA1C96" w:rsidRDefault="00177691" w:rsidP="005627B9">
      <w:pPr>
        <w:pStyle w:val="ListParagraph"/>
        <w:autoSpaceDE w:val="0"/>
        <w:autoSpaceDN w:val="0"/>
        <w:adjustRightInd w:val="0"/>
        <w:spacing w:after="0"/>
        <w:ind w:left="630"/>
        <w:jc w:val="both"/>
        <w:rPr>
          <w:rFonts w:ascii="Arial" w:hAnsi="Arial" w:cs="Arial"/>
          <w:sz w:val="19"/>
          <w:szCs w:val="19"/>
        </w:rPr>
      </w:pPr>
    </w:p>
    <w:p w:rsidR="00FA0A63" w:rsidRPr="00AA1C96" w:rsidRDefault="005B1D62" w:rsidP="00FA0A63">
      <w:pPr>
        <w:pStyle w:val="ListParagraph"/>
        <w:numPr>
          <w:ilvl w:val="0"/>
          <w:numId w:val="14"/>
        </w:numPr>
        <w:autoSpaceDE w:val="0"/>
        <w:autoSpaceDN w:val="0"/>
        <w:adjustRightInd w:val="0"/>
        <w:spacing w:after="0"/>
        <w:jc w:val="both"/>
        <w:rPr>
          <w:rFonts w:ascii="Arial" w:hAnsi="Arial" w:cs="Arial"/>
          <w:b/>
          <w:i/>
          <w:sz w:val="19"/>
          <w:szCs w:val="19"/>
        </w:rPr>
      </w:pPr>
      <w:r w:rsidRPr="00AA1C96">
        <w:rPr>
          <w:rFonts w:ascii="Arial" w:hAnsi="Arial" w:cs="Arial"/>
          <w:sz w:val="19"/>
          <w:szCs w:val="19"/>
        </w:rPr>
        <w:t>Nota 2. “Bases de presenta</w:t>
      </w:r>
      <w:r w:rsidR="005627B9" w:rsidRPr="00AA1C96">
        <w:rPr>
          <w:rFonts w:ascii="Arial" w:hAnsi="Arial" w:cs="Arial"/>
          <w:sz w:val="19"/>
          <w:szCs w:val="19"/>
        </w:rPr>
        <w:t>ción de los Estados Financieros</w:t>
      </w:r>
      <w:r w:rsidR="00FA0A63" w:rsidRPr="00AA1C96">
        <w:rPr>
          <w:rFonts w:ascii="Arial" w:hAnsi="Arial" w:cs="Arial"/>
          <w:sz w:val="19"/>
          <w:szCs w:val="19"/>
        </w:rPr>
        <w:t xml:space="preserve"> y Políticas contables aplicadas</w:t>
      </w:r>
      <w:r w:rsidRPr="00AA1C96">
        <w:rPr>
          <w:rFonts w:ascii="Arial" w:hAnsi="Arial" w:cs="Arial"/>
          <w:sz w:val="19"/>
          <w:szCs w:val="19"/>
        </w:rPr>
        <w:t xml:space="preserve">”, apartado “Normas contables aplicadas”, </w:t>
      </w:r>
      <w:r w:rsidR="00FA0A63" w:rsidRPr="00AA1C96">
        <w:rPr>
          <w:rFonts w:ascii="Arial" w:hAnsi="Arial" w:cs="Arial"/>
          <w:sz w:val="19"/>
          <w:szCs w:val="19"/>
        </w:rPr>
        <w:t>en la que la Entidad indica</w:t>
      </w:r>
      <w:r w:rsidR="00045EED">
        <w:rPr>
          <w:rFonts w:ascii="Arial" w:hAnsi="Arial" w:cs="Arial"/>
          <w:sz w:val="19"/>
          <w:szCs w:val="19"/>
        </w:rPr>
        <w:t xml:space="preserve"> que</w:t>
      </w:r>
      <w:r w:rsidR="00FA0A63" w:rsidRPr="00AA1C96">
        <w:rPr>
          <w:rFonts w:ascii="Arial" w:hAnsi="Arial" w:cs="Arial"/>
          <w:sz w:val="19"/>
          <w:szCs w:val="19"/>
        </w:rPr>
        <w:t xml:space="preserve"> se encuentra en proceso de cuantificación del efecto que sobre los estados financieros tendría la aplicación de la sección 5.5 “Deterioro de Valor” de la NIIF </w:t>
      </w:r>
      <w:r w:rsidR="00045EED">
        <w:rPr>
          <w:rFonts w:ascii="Arial" w:hAnsi="Arial" w:cs="Arial"/>
          <w:sz w:val="19"/>
          <w:szCs w:val="19"/>
        </w:rPr>
        <w:t xml:space="preserve">N° </w:t>
      </w:r>
      <w:r w:rsidR="00FA0A63" w:rsidRPr="00AA1C96">
        <w:rPr>
          <w:rFonts w:ascii="Arial" w:hAnsi="Arial" w:cs="Arial"/>
          <w:sz w:val="19"/>
          <w:szCs w:val="19"/>
        </w:rPr>
        <w:t>9 “Instrumentos Financieros”, que en forma transitoria fue excluida por el BCRA del marco contable aplicable a las entidades financieras. Esta cuestión no modifica la conclusión expresada en el párrafo 4, pero debe ser tenida en cuenta por aquellos usuarios que utilicen las NIIF para la interpretación de los estados financieros adjuntos</w:t>
      </w:r>
      <w:r w:rsidR="00FA0A63" w:rsidRPr="00AA1C96">
        <w:rPr>
          <w:rFonts w:ascii="Arial" w:hAnsi="Arial" w:cs="Arial"/>
          <w:b/>
          <w:i/>
          <w:sz w:val="19"/>
          <w:szCs w:val="19"/>
        </w:rPr>
        <w:t>.</w:t>
      </w:r>
    </w:p>
    <w:p w:rsidR="00FA0A63" w:rsidRPr="00AA1C96" w:rsidRDefault="00FA0A63" w:rsidP="00FA0A63">
      <w:pPr>
        <w:pStyle w:val="ListParagraph"/>
        <w:autoSpaceDE w:val="0"/>
        <w:autoSpaceDN w:val="0"/>
        <w:adjustRightInd w:val="0"/>
        <w:spacing w:after="0"/>
        <w:ind w:left="786"/>
        <w:jc w:val="both"/>
        <w:rPr>
          <w:rFonts w:ascii="Arial" w:hAnsi="Arial" w:cs="Arial"/>
          <w:b/>
          <w:i/>
          <w:sz w:val="19"/>
          <w:szCs w:val="19"/>
        </w:rPr>
      </w:pPr>
    </w:p>
    <w:p w:rsidR="00B75507" w:rsidRDefault="009D0227" w:rsidP="000A77D9">
      <w:pPr>
        <w:pStyle w:val="ListParagraph"/>
        <w:numPr>
          <w:ilvl w:val="0"/>
          <w:numId w:val="14"/>
        </w:numPr>
        <w:autoSpaceDE w:val="0"/>
        <w:autoSpaceDN w:val="0"/>
        <w:adjustRightInd w:val="0"/>
        <w:spacing w:after="0"/>
        <w:jc w:val="both"/>
        <w:rPr>
          <w:rFonts w:ascii="Arial" w:hAnsi="Arial" w:cs="Arial"/>
          <w:sz w:val="19"/>
          <w:szCs w:val="19"/>
        </w:rPr>
      </w:pPr>
      <w:r w:rsidRPr="000A77D9">
        <w:rPr>
          <w:rFonts w:ascii="Arial" w:hAnsi="Arial" w:cs="Arial"/>
          <w:sz w:val="19"/>
          <w:szCs w:val="19"/>
        </w:rPr>
        <w:t>Nota 2</w:t>
      </w:r>
      <w:r w:rsidR="00C33244" w:rsidRPr="000A77D9">
        <w:rPr>
          <w:rFonts w:ascii="Arial" w:hAnsi="Arial" w:cs="Arial"/>
          <w:sz w:val="19"/>
          <w:szCs w:val="19"/>
        </w:rPr>
        <w:t>. “Bases de presentación de los Estados Financieros y Políticas contables aplicadas”, apartado “Unidad de medida” en la que (a) se explica que si bien al 3</w:t>
      </w:r>
      <w:r w:rsidR="00DA5A79">
        <w:rPr>
          <w:rFonts w:ascii="Arial" w:hAnsi="Arial" w:cs="Arial"/>
          <w:sz w:val="19"/>
          <w:szCs w:val="19"/>
        </w:rPr>
        <w:t>0</w:t>
      </w:r>
      <w:r w:rsidR="00C33244" w:rsidRPr="000A77D9">
        <w:rPr>
          <w:rFonts w:ascii="Arial" w:hAnsi="Arial" w:cs="Arial"/>
          <w:sz w:val="19"/>
          <w:szCs w:val="19"/>
        </w:rPr>
        <w:t xml:space="preserve"> de </w:t>
      </w:r>
      <w:r w:rsidR="00DA5A79">
        <w:rPr>
          <w:rFonts w:ascii="Arial" w:hAnsi="Arial" w:cs="Arial"/>
          <w:sz w:val="19"/>
          <w:szCs w:val="19"/>
        </w:rPr>
        <w:t>junio</w:t>
      </w:r>
      <w:r w:rsidR="00C33244" w:rsidRPr="000A77D9">
        <w:rPr>
          <w:rFonts w:ascii="Arial" w:hAnsi="Arial" w:cs="Arial"/>
          <w:sz w:val="19"/>
          <w:szCs w:val="19"/>
        </w:rPr>
        <w:t xml:space="preserve"> de 2019 se cumplen las condiciones previstas en la NIC N° 29 para la reexpresión de los estados financieros a moneda homogénea, transitoriamente la Comunicación “A” 6651 del BCRA no permite tal reexpresión; (b) se efectúa una descripción de los principales impactos que produciría la aplicación de la NIC N° 29, y se indica que si bien la Entidad no ha cuantificado los efectos que sobre los estados financieros adjuntos tendría la aplicación de la NIC N° 29, estima que los mismos podrían ser significativos, y (c) se alerta que la falta de reconocimiento de los cambios ocurridos en el poder adquisitivo general de la moneda puede distorsionar la información contable, y debe ser tenida en cuenta en la interpretación de la información que la Entidad brinda en los estados financieros adjuntos sobre su situación financiera, sus resultados y los flujos de su efectivo. </w:t>
      </w:r>
      <w:r w:rsidR="000A77D9" w:rsidRPr="000A77D9">
        <w:rPr>
          <w:rFonts w:ascii="Arial" w:hAnsi="Arial" w:cs="Arial"/>
          <w:sz w:val="19"/>
          <w:szCs w:val="19"/>
        </w:rPr>
        <w:t>Esta cuestión no modifica la conc</w:t>
      </w:r>
      <w:r w:rsidR="000A77D9">
        <w:rPr>
          <w:rFonts w:ascii="Arial" w:hAnsi="Arial" w:cs="Arial"/>
          <w:sz w:val="19"/>
          <w:szCs w:val="19"/>
        </w:rPr>
        <w:t>lusión expresada en el párrafo 4</w:t>
      </w:r>
      <w:r w:rsidR="000A77D9" w:rsidRPr="000A77D9">
        <w:rPr>
          <w:rFonts w:ascii="Arial" w:hAnsi="Arial" w:cs="Arial"/>
          <w:sz w:val="19"/>
          <w:szCs w:val="19"/>
        </w:rPr>
        <w:t>, pero dejamos expresa constancia que si bien los estados financieros adjuntos han sido preparados de conformidad con el marco de información contable establecido por el BCRA, las prácticas de ese marco de información en materia de unidad de medida no permiten alcanzar una presentación de conformidad con las normas contables profesionales.</w:t>
      </w:r>
    </w:p>
    <w:p w:rsidR="000A77D9" w:rsidRDefault="000A77D9" w:rsidP="006B7C7B">
      <w:pPr>
        <w:autoSpaceDE w:val="0"/>
        <w:autoSpaceDN w:val="0"/>
        <w:adjustRightInd w:val="0"/>
        <w:spacing w:after="0"/>
        <w:jc w:val="both"/>
        <w:rPr>
          <w:rFonts w:ascii="Arial" w:hAnsi="Arial" w:cs="Arial"/>
          <w:b/>
          <w:color w:val="000000" w:themeColor="text1"/>
          <w:sz w:val="19"/>
          <w:szCs w:val="19"/>
        </w:rPr>
      </w:pPr>
    </w:p>
    <w:p w:rsidR="00D3680D" w:rsidRPr="00B75507" w:rsidRDefault="00B75507" w:rsidP="000A77D9">
      <w:pPr>
        <w:autoSpaceDE w:val="0"/>
        <w:autoSpaceDN w:val="0"/>
        <w:adjustRightInd w:val="0"/>
        <w:spacing w:after="0"/>
        <w:ind w:left="-142"/>
        <w:jc w:val="both"/>
        <w:rPr>
          <w:rFonts w:ascii="Arial" w:hAnsi="Arial" w:cs="Arial"/>
          <w:b/>
          <w:color w:val="000000" w:themeColor="text1"/>
          <w:sz w:val="19"/>
          <w:szCs w:val="19"/>
        </w:rPr>
      </w:pPr>
      <w:r w:rsidRPr="00B75507">
        <w:rPr>
          <w:rFonts w:ascii="Arial" w:hAnsi="Arial" w:cs="Arial"/>
          <w:b/>
          <w:color w:val="000000" w:themeColor="text1"/>
          <w:sz w:val="19"/>
          <w:szCs w:val="19"/>
        </w:rPr>
        <w:lastRenderedPageBreak/>
        <w:t xml:space="preserve">Otras cuestiones </w:t>
      </w:r>
    </w:p>
    <w:p w:rsidR="00B75507" w:rsidRPr="00AA1C96" w:rsidRDefault="00B75507" w:rsidP="006B7C7B">
      <w:pPr>
        <w:autoSpaceDE w:val="0"/>
        <w:autoSpaceDN w:val="0"/>
        <w:adjustRightInd w:val="0"/>
        <w:spacing w:after="0"/>
        <w:jc w:val="both"/>
        <w:rPr>
          <w:rFonts w:ascii="Arial" w:hAnsi="Arial" w:cs="Arial"/>
          <w:sz w:val="19"/>
          <w:szCs w:val="19"/>
        </w:rPr>
      </w:pPr>
    </w:p>
    <w:p w:rsidR="007354E8" w:rsidRPr="00AA1C96" w:rsidRDefault="00B216F3" w:rsidP="00AA1C96">
      <w:pPr>
        <w:pStyle w:val="ListParagraph"/>
        <w:numPr>
          <w:ilvl w:val="0"/>
          <w:numId w:val="3"/>
        </w:numPr>
        <w:autoSpaceDE w:val="0"/>
        <w:autoSpaceDN w:val="0"/>
        <w:adjustRightInd w:val="0"/>
        <w:spacing w:after="0"/>
        <w:ind w:left="284" w:hanging="426"/>
        <w:jc w:val="both"/>
        <w:rPr>
          <w:rFonts w:ascii="Arial" w:hAnsi="Arial" w:cs="Arial"/>
          <w:b/>
          <w:color w:val="000000" w:themeColor="text1"/>
          <w:sz w:val="19"/>
          <w:szCs w:val="19"/>
        </w:rPr>
      </w:pPr>
      <w:r w:rsidRPr="00AA1C96">
        <w:rPr>
          <w:rFonts w:ascii="Arial" w:hAnsi="Arial" w:cs="Arial"/>
          <w:color w:val="000000" w:themeColor="text1"/>
          <w:sz w:val="19"/>
          <w:szCs w:val="19"/>
        </w:rPr>
        <w:t xml:space="preserve">Hemos emitido por separado un informe sobre los </w:t>
      </w:r>
      <w:r w:rsidR="00794998" w:rsidRPr="00AA1C96">
        <w:rPr>
          <w:rFonts w:ascii="Arial" w:hAnsi="Arial" w:cs="Arial"/>
          <w:color w:val="000000" w:themeColor="text1"/>
          <w:sz w:val="19"/>
          <w:szCs w:val="19"/>
        </w:rPr>
        <w:t>estados financieros</w:t>
      </w:r>
      <w:r w:rsidR="008B5FEC" w:rsidRPr="00AA1C96">
        <w:rPr>
          <w:rFonts w:ascii="Arial" w:hAnsi="Arial" w:cs="Arial"/>
          <w:color w:val="000000" w:themeColor="text1"/>
          <w:sz w:val="19"/>
          <w:szCs w:val="19"/>
        </w:rPr>
        <w:t xml:space="preserve"> consolidados</w:t>
      </w:r>
      <w:r w:rsidR="00794998" w:rsidRPr="00AA1C96">
        <w:rPr>
          <w:rFonts w:ascii="Arial" w:hAnsi="Arial" w:cs="Arial"/>
          <w:color w:val="000000" w:themeColor="text1"/>
          <w:sz w:val="19"/>
          <w:szCs w:val="19"/>
        </w:rPr>
        <w:t xml:space="preserve"> </w:t>
      </w:r>
      <w:r w:rsidRPr="00AA1C96">
        <w:rPr>
          <w:rFonts w:ascii="Arial" w:hAnsi="Arial" w:cs="Arial"/>
          <w:color w:val="000000" w:themeColor="text1"/>
          <w:sz w:val="19"/>
          <w:szCs w:val="19"/>
        </w:rPr>
        <w:t>condensados de período intermedio de</w:t>
      </w:r>
      <w:r w:rsidR="00FB6926" w:rsidRPr="00AA1C96">
        <w:rPr>
          <w:rFonts w:ascii="Arial" w:hAnsi="Arial" w:cs="Arial"/>
          <w:color w:val="000000" w:themeColor="text1"/>
          <w:sz w:val="19"/>
          <w:szCs w:val="19"/>
        </w:rPr>
        <w:t xml:space="preserve"> BANCO</w:t>
      </w:r>
      <w:r w:rsidR="0027630F" w:rsidRPr="00AA1C96">
        <w:rPr>
          <w:rFonts w:ascii="Arial" w:hAnsi="Arial" w:cs="Arial"/>
          <w:color w:val="000000" w:themeColor="text1"/>
          <w:sz w:val="19"/>
          <w:szCs w:val="19"/>
        </w:rPr>
        <w:t xml:space="preserve"> CMF </w:t>
      </w:r>
      <w:r w:rsidR="00FB6926" w:rsidRPr="00AA1C96">
        <w:rPr>
          <w:rFonts w:ascii="Arial" w:hAnsi="Arial" w:cs="Arial"/>
          <w:color w:val="000000" w:themeColor="text1"/>
          <w:sz w:val="19"/>
          <w:szCs w:val="19"/>
        </w:rPr>
        <w:t>S.A.</w:t>
      </w:r>
      <w:r w:rsidR="008B5FEC" w:rsidRPr="00AA1C96">
        <w:rPr>
          <w:rFonts w:ascii="Arial" w:hAnsi="Arial" w:cs="Arial"/>
          <w:color w:val="000000" w:themeColor="text1"/>
          <w:sz w:val="19"/>
          <w:szCs w:val="19"/>
        </w:rPr>
        <w:t xml:space="preserve"> y sus sociedades controladas</w:t>
      </w:r>
      <w:r w:rsidR="00FB6926" w:rsidRPr="00AA1C96">
        <w:rPr>
          <w:rFonts w:ascii="Arial" w:hAnsi="Arial" w:cs="Arial"/>
          <w:color w:val="000000" w:themeColor="text1"/>
          <w:sz w:val="19"/>
          <w:szCs w:val="19"/>
        </w:rPr>
        <w:t xml:space="preserve"> </w:t>
      </w:r>
      <w:r w:rsidR="00B66942" w:rsidRPr="00AA1C96">
        <w:rPr>
          <w:rFonts w:ascii="Arial" w:hAnsi="Arial" w:cs="Arial"/>
          <w:color w:val="000000" w:themeColor="text1"/>
          <w:sz w:val="19"/>
          <w:szCs w:val="19"/>
        </w:rPr>
        <w:t>a la misma fecha</w:t>
      </w:r>
      <w:r w:rsidRPr="00AA1C96">
        <w:rPr>
          <w:rFonts w:ascii="Arial" w:hAnsi="Arial" w:cs="Arial"/>
          <w:color w:val="000000" w:themeColor="text1"/>
          <w:sz w:val="19"/>
          <w:szCs w:val="19"/>
        </w:rPr>
        <w:t xml:space="preserve"> y por </w:t>
      </w:r>
      <w:r w:rsidR="007354E8" w:rsidRPr="00AA1C96">
        <w:rPr>
          <w:rFonts w:ascii="Arial" w:hAnsi="Arial" w:cs="Arial"/>
          <w:color w:val="000000" w:themeColor="text1"/>
          <w:sz w:val="19"/>
          <w:szCs w:val="19"/>
        </w:rPr>
        <w:t>el mismo período indicado</w:t>
      </w:r>
      <w:r w:rsidRPr="00AA1C96">
        <w:rPr>
          <w:rFonts w:ascii="Arial" w:hAnsi="Arial" w:cs="Arial"/>
          <w:color w:val="000000" w:themeColor="text1"/>
          <w:sz w:val="19"/>
          <w:szCs w:val="19"/>
        </w:rPr>
        <w:t xml:space="preserve"> en el párrafo 1.</w:t>
      </w:r>
      <w:r w:rsidR="007354E8" w:rsidRPr="00AA1C96">
        <w:rPr>
          <w:rFonts w:ascii="Arial" w:hAnsi="Arial" w:cs="Arial"/>
          <w:color w:val="000000" w:themeColor="text1"/>
          <w:sz w:val="19"/>
          <w:szCs w:val="19"/>
        </w:rPr>
        <w:t xml:space="preserve"> </w:t>
      </w:r>
    </w:p>
    <w:p w:rsidR="0027630F" w:rsidRDefault="0027630F" w:rsidP="0027630F">
      <w:pPr>
        <w:pStyle w:val="ListParagraph"/>
        <w:autoSpaceDE w:val="0"/>
        <w:autoSpaceDN w:val="0"/>
        <w:adjustRightInd w:val="0"/>
        <w:spacing w:after="0"/>
        <w:ind w:left="284"/>
        <w:jc w:val="both"/>
        <w:rPr>
          <w:rFonts w:ascii="Arial" w:hAnsi="Arial" w:cs="Arial"/>
          <w:b/>
          <w:color w:val="000000" w:themeColor="text1"/>
          <w:sz w:val="19"/>
          <w:szCs w:val="19"/>
        </w:rPr>
      </w:pPr>
    </w:p>
    <w:p w:rsidR="006B7C7B" w:rsidRPr="00AA1C96" w:rsidRDefault="006B7C7B" w:rsidP="0027630F">
      <w:pPr>
        <w:pStyle w:val="ListParagraph"/>
        <w:autoSpaceDE w:val="0"/>
        <w:autoSpaceDN w:val="0"/>
        <w:adjustRightInd w:val="0"/>
        <w:spacing w:after="0"/>
        <w:ind w:left="284"/>
        <w:jc w:val="both"/>
        <w:rPr>
          <w:rFonts w:ascii="Arial" w:hAnsi="Arial" w:cs="Arial"/>
          <w:b/>
          <w:color w:val="000000" w:themeColor="text1"/>
          <w:sz w:val="19"/>
          <w:szCs w:val="19"/>
        </w:rPr>
      </w:pPr>
    </w:p>
    <w:p w:rsidR="00B216F3" w:rsidRPr="00AA1C96" w:rsidRDefault="00B216F3" w:rsidP="0027630F">
      <w:pPr>
        <w:pStyle w:val="ListParagraph"/>
        <w:numPr>
          <w:ilvl w:val="0"/>
          <w:numId w:val="4"/>
        </w:numPr>
        <w:autoSpaceDE w:val="0"/>
        <w:autoSpaceDN w:val="0"/>
        <w:adjustRightInd w:val="0"/>
        <w:spacing w:after="0"/>
        <w:ind w:left="284" w:hanging="426"/>
        <w:jc w:val="both"/>
        <w:rPr>
          <w:rFonts w:ascii="Arial" w:hAnsi="Arial" w:cs="Arial"/>
          <w:b/>
          <w:color w:val="000000" w:themeColor="text1"/>
          <w:sz w:val="19"/>
          <w:szCs w:val="19"/>
        </w:rPr>
      </w:pPr>
      <w:r w:rsidRPr="00AA1C96">
        <w:rPr>
          <w:rFonts w:ascii="Arial" w:hAnsi="Arial" w:cs="Arial"/>
          <w:b/>
          <w:color w:val="000000" w:themeColor="text1"/>
          <w:sz w:val="19"/>
          <w:szCs w:val="19"/>
        </w:rPr>
        <w:t>Informe sobre otros requerimientos legales y regulatorios</w:t>
      </w:r>
    </w:p>
    <w:p w:rsidR="0027630F" w:rsidRPr="00AA1C96" w:rsidRDefault="0027630F" w:rsidP="0027630F">
      <w:pPr>
        <w:autoSpaceDE w:val="0"/>
        <w:autoSpaceDN w:val="0"/>
        <w:adjustRightInd w:val="0"/>
        <w:spacing w:after="0"/>
        <w:jc w:val="both"/>
        <w:rPr>
          <w:rFonts w:ascii="Arial" w:hAnsi="Arial" w:cs="Arial"/>
          <w:b/>
          <w:color w:val="000000" w:themeColor="text1"/>
          <w:sz w:val="19"/>
          <w:szCs w:val="19"/>
        </w:rPr>
      </w:pPr>
    </w:p>
    <w:p w:rsidR="0027630F" w:rsidRPr="00AA1C96" w:rsidRDefault="0027630F" w:rsidP="00AA1C96">
      <w:pPr>
        <w:pStyle w:val="ListParagraph"/>
        <w:numPr>
          <w:ilvl w:val="0"/>
          <w:numId w:val="3"/>
        </w:numPr>
        <w:autoSpaceDE w:val="0"/>
        <w:autoSpaceDN w:val="0"/>
        <w:adjustRightInd w:val="0"/>
        <w:spacing w:after="0"/>
        <w:ind w:left="284" w:hanging="426"/>
        <w:jc w:val="both"/>
        <w:rPr>
          <w:rFonts w:ascii="Arial" w:hAnsi="Arial" w:cs="Arial"/>
          <w:color w:val="000000" w:themeColor="text1"/>
          <w:sz w:val="19"/>
          <w:szCs w:val="19"/>
        </w:rPr>
      </w:pPr>
      <w:r w:rsidRPr="00AA1C96">
        <w:rPr>
          <w:rFonts w:ascii="Arial" w:hAnsi="Arial" w:cs="Arial"/>
          <w:color w:val="000000" w:themeColor="text1"/>
          <w:sz w:val="19"/>
          <w:szCs w:val="19"/>
        </w:rPr>
        <w:t>En cumplimiento de disposiciones vigentes, informamos que:</w:t>
      </w:r>
    </w:p>
    <w:p w:rsidR="0027630F" w:rsidRPr="00AA1C96" w:rsidRDefault="0027630F" w:rsidP="0027630F">
      <w:pPr>
        <w:pStyle w:val="ListParagraph"/>
        <w:autoSpaceDE w:val="0"/>
        <w:autoSpaceDN w:val="0"/>
        <w:adjustRightInd w:val="0"/>
        <w:spacing w:after="0"/>
        <w:ind w:left="284"/>
        <w:jc w:val="both"/>
        <w:rPr>
          <w:rFonts w:ascii="Arial" w:hAnsi="Arial" w:cs="Arial"/>
          <w:color w:val="000000" w:themeColor="text1"/>
          <w:sz w:val="19"/>
          <w:szCs w:val="19"/>
        </w:rPr>
      </w:pPr>
    </w:p>
    <w:p w:rsidR="0027630F" w:rsidRPr="00AA1C96" w:rsidRDefault="0027630F" w:rsidP="0027630F">
      <w:pPr>
        <w:pStyle w:val="ListParagraph"/>
        <w:numPr>
          <w:ilvl w:val="0"/>
          <w:numId w:val="13"/>
        </w:numPr>
        <w:autoSpaceDE w:val="0"/>
        <w:autoSpaceDN w:val="0"/>
        <w:adjustRightInd w:val="0"/>
        <w:spacing w:after="0"/>
        <w:ind w:left="993" w:hanging="426"/>
        <w:jc w:val="both"/>
        <w:rPr>
          <w:rFonts w:ascii="Arial" w:eastAsia="Times New Roman" w:hAnsi="Arial" w:cs="Arial"/>
          <w:color w:val="000000" w:themeColor="text1"/>
          <w:sz w:val="19"/>
          <w:szCs w:val="19"/>
          <w:lang w:eastAsia="en-US"/>
        </w:rPr>
      </w:pPr>
      <w:r w:rsidRPr="00AA1C96">
        <w:rPr>
          <w:rFonts w:ascii="Arial" w:eastAsia="Times New Roman" w:hAnsi="Arial" w:cs="Arial"/>
          <w:color w:val="000000" w:themeColor="text1"/>
          <w:sz w:val="19"/>
          <w:szCs w:val="19"/>
          <w:lang w:eastAsia="en-US"/>
        </w:rPr>
        <w:t xml:space="preserve">Sobre la base de nuestra revisión, nada llamó nuestra atención que nos hiciera pensar que los estados </w:t>
      </w:r>
      <w:r w:rsidR="0054228E" w:rsidRPr="00AA1C96">
        <w:rPr>
          <w:rFonts w:ascii="Arial" w:eastAsia="Times New Roman" w:hAnsi="Arial" w:cs="Arial"/>
          <w:color w:val="000000" w:themeColor="text1"/>
          <w:sz w:val="19"/>
          <w:szCs w:val="19"/>
          <w:lang w:eastAsia="en-US"/>
        </w:rPr>
        <w:t>fina</w:t>
      </w:r>
      <w:r w:rsidR="00BF322C" w:rsidRPr="00AA1C96">
        <w:rPr>
          <w:rFonts w:ascii="Arial" w:eastAsia="Times New Roman" w:hAnsi="Arial" w:cs="Arial"/>
          <w:color w:val="000000" w:themeColor="text1"/>
          <w:sz w:val="19"/>
          <w:szCs w:val="19"/>
          <w:lang w:eastAsia="en-US"/>
        </w:rPr>
        <w:t>n</w:t>
      </w:r>
      <w:r w:rsidR="0054228E" w:rsidRPr="00AA1C96">
        <w:rPr>
          <w:rFonts w:ascii="Arial" w:eastAsia="Times New Roman" w:hAnsi="Arial" w:cs="Arial"/>
          <w:color w:val="000000" w:themeColor="text1"/>
          <w:sz w:val="19"/>
          <w:szCs w:val="19"/>
          <w:lang w:eastAsia="en-US"/>
        </w:rPr>
        <w:t>cieros</w:t>
      </w:r>
      <w:r w:rsidRPr="00AA1C96">
        <w:rPr>
          <w:rFonts w:ascii="Arial" w:eastAsia="Times New Roman" w:hAnsi="Arial" w:cs="Arial"/>
          <w:color w:val="000000" w:themeColor="text1"/>
          <w:sz w:val="19"/>
          <w:szCs w:val="19"/>
          <w:lang w:eastAsia="en-US"/>
        </w:rPr>
        <w:t xml:space="preserve"> mencionados en el párrafo 1. no están preparados, en todos sus aspectos significativos, de conformidad con las normas </w:t>
      </w:r>
      <w:r w:rsidR="0054228E" w:rsidRPr="00AA1C96">
        <w:rPr>
          <w:rFonts w:ascii="Arial" w:eastAsia="Times New Roman" w:hAnsi="Arial" w:cs="Arial"/>
          <w:color w:val="000000" w:themeColor="text1"/>
          <w:sz w:val="19"/>
          <w:szCs w:val="19"/>
          <w:lang w:eastAsia="en-US"/>
        </w:rPr>
        <w:t>pertinentes de la Ley General de Sociedades y de la Comisión Nacional de Valores</w:t>
      </w:r>
      <w:r w:rsidR="00045EED">
        <w:rPr>
          <w:rFonts w:ascii="Arial" w:eastAsia="Times New Roman" w:hAnsi="Arial" w:cs="Arial"/>
          <w:color w:val="000000" w:themeColor="text1"/>
          <w:sz w:val="19"/>
          <w:szCs w:val="19"/>
          <w:lang w:eastAsia="en-US"/>
        </w:rPr>
        <w:t xml:space="preserve"> (“CNV”)</w:t>
      </w:r>
      <w:r w:rsidRPr="00AA1C96">
        <w:rPr>
          <w:rFonts w:ascii="Arial" w:eastAsia="Times New Roman" w:hAnsi="Arial" w:cs="Arial"/>
          <w:color w:val="000000" w:themeColor="text1"/>
          <w:sz w:val="19"/>
          <w:szCs w:val="19"/>
          <w:lang w:eastAsia="en-US"/>
        </w:rPr>
        <w:t>.</w:t>
      </w:r>
    </w:p>
    <w:p w:rsidR="0027630F" w:rsidRPr="00AA1C96" w:rsidRDefault="0027630F" w:rsidP="0027630F">
      <w:pPr>
        <w:autoSpaceDE w:val="0"/>
        <w:autoSpaceDN w:val="0"/>
        <w:adjustRightInd w:val="0"/>
        <w:spacing w:after="0"/>
        <w:ind w:left="993" w:hanging="426"/>
        <w:jc w:val="both"/>
        <w:rPr>
          <w:rFonts w:ascii="Arial" w:eastAsia="Times New Roman" w:hAnsi="Arial" w:cs="Arial"/>
          <w:color w:val="000000" w:themeColor="text1"/>
          <w:sz w:val="19"/>
          <w:szCs w:val="19"/>
          <w:lang w:eastAsia="en-US"/>
        </w:rPr>
      </w:pPr>
    </w:p>
    <w:p w:rsidR="00225F27" w:rsidRPr="00AA1C96" w:rsidRDefault="0027630F" w:rsidP="00225F27">
      <w:pPr>
        <w:pStyle w:val="ListParagraph"/>
        <w:numPr>
          <w:ilvl w:val="0"/>
          <w:numId w:val="13"/>
        </w:numPr>
        <w:autoSpaceDE w:val="0"/>
        <w:autoSpaceDN w:val="0"/>
        <w:adjustRightInd w:val="0"/>
        <w:spacing w:after="0"/>
        <w:ind w:left="993" w:hanging="426"/>
        <w:jc w:val="both"/>
        <w:rPr>
          <w:rFonts w:ascii="Arial" w:eastAsia="Times New Roman" w:hAnsi="Arial" w:cs="Arial"/>
          <w:color w:val="000000" w:themeColor="text1"/>
          <w:sz w:val="19"/>
          <w:szCs w:val="19"/>
          <w:lang w:eastAsia="en-US"/>
        </w:rPr>
      </w:pPr>
      <w:r w:rsidRPr="00AA1C96">
        <w:rPr>
          <w:rFonts w:ascii="Arial" w:eastAsia="Times New Roman" w:hAnsi="Arial" w:cs="Arial"/>
          <w:color w:val="000000" w:themeColor="text1"/>
          <w:sz w:val="19"/>
          <w:szCs w:val="19"/>
          <w:lang w:eastAsia="en-US"/>
        </w:rPr>
        <w:t xml:space="preserve">Los estados financieros separados condensados de período intermedio de BANCO CMF S.A. al </w:t>
      </w:r>
      <w:r w:rsidR="00D44EA5">
        <w:rPr>
          <w:rFonts w:ascii="Arial" w:eastAsia="Times New Roman" w:hAnsi="Arial" w:cs="Arial"/>
          <w:color w:val="000000" w:themeColor="text1"/>
          <w:sz w:val="19"/>
          <w:szCs w:val="19"/>
          <w:lang w:eastAsia="en-US"/>
        </w:rPr>
        <w:t>3</w:t>
      </w:r>
      <w:r w:rsidR="00DA5A79">
        <w:rPr>
          <w:rFonts w:ascii="Arial" w:eastAsia="Times New Roman" w:hAnsi="Arial" w:cs="Arial"/>
          <w:color w:val="000000" w:themeColor="text1"/>
          <w:sz w:val="19"/>
          <w:szCs w:val="19"/>
          <w:lang w:eastAsia="en-US"/>
        </w:rPr>
        <w:t>0</w:t>
      </w:r>
      <w:r w:rsidR="00D44EA5">
        <w:rPr>
          <w:rFonts w:ascii="Arial" w:eastAsia="Times New Roman" w:hAnsi="Arial" w:cs="Arial"/>
          <w:color w:val="000000" w:themeColor="text1"/>
          <w:sz w:val="19"/>
          <w:szCs w:val="19"/>
          <w:lang w:eastAsia="en-US"/>
        </w:rPr>
        <w:t xml:space="preserve"> de </w:t>
      </w:r>
      <w:r w:rsidR="00DA5A79">
        <w:rPr>
          <w:rFonts w:ascii="Arial" w:eastAsia="Times New Roman" w:hAnsi="Arial" w:cs="Arial"/>
          <w:color w:val="000000" w:themeColor="text1"/>
          <w:sz w:val="19"/>
          <w:szCs w:val="19"/>
          <w:lang w:eastAsia="en-US"/>
        </w:rPr>
        <w:t>junio</w:t>
      </w:r>
      <w:r w:rsidR="00D44EA5">
        <w:rPr>
          <w:rFonts w:ascii="Arial" w:eastAsia="Times New Roman" w:hAnsi="Arial" w:cs="Arial"/>
          <w:color w:val="000000" w:themeColor="text1"/>
          <w:sz w:val="19"/>
          <w:szCs w:val="19"/>
          <w:lang w:eastAsia="en-US"/>
        </w:rPr>
        <w:t xml:space="preserve"> de 2019</w:t>
      </w:r>
      <w:r w:rsidRPr="00AA1C96">
        <w:rPr>
          <w:rFonts w:ascii="Arial" w:eastAsia="Times New Roman" w:hAnsi="Arial" w:cs="Arial"/>
          <w:color w:val="000000" w:themeColor="text1"/>
          <w:sz w:val="19"/>
          <w:szCs w:val="19"/>
          <w:lang w:eastAsia="en-US"/>
        </w:rPr>
        <w:t xml:space="preserve"> surgen de registros contables llevados, en sus aspectos formales, de conformidad con las normas legales vigentes.</w:t>
      </w:r>
    </w:p>
    <w:p w:rsidR="00225F27" w:rsidRPr="00AA1C96" w:rsidRDefault="00225F27" w:rsidP="00225F27">
      <w:pPr>
        <w:pStyle w:val="ListParagraph"/>
        <w:rPr>
          <w:rFonts w:ascii="Arial" w:eastAsia="Times New Roman" w:hAnsi="Arial" w:cs="Arial"/>
          <w:color w:val="000000" w:themeColor="text1"/>
          <w:sz w:val="19"/>
          <w:szCs w:val="19"/>
          <w:lang w:eastAsia="en-US"/>
        </w:rPr>
      </w:pPr>
    </w:p>
    <w:p w:rsidR="0027630F" w:rsidRPr="00AA1C96" w:rsidRDefault="00225F27" w:rsidP="00225F27">
      <w:pPr>
        <w:pStyle w:val="ListParagraph"/>
        <w:numPr>
          <w:ilvl w:val="0"/>
          <w:numId w:val="13"/>
        </w:numPr>
        <w:autoSpaceDE w:val="0"/>
        <w:autoSpaceDN w:val="0"/>
        <w:adjustRightInd w:val="0"/>
        <w:spacing w:after="0"/>
        <w:ind w:left="993" w:hanging="426"/>
        <w:jc w:val="both"/>
        <w:rPr>
          <w:rFonts w:ascii="Arial" w:eastAsia="Times New Roman" w:hAnsi="Arial" w:cs="Arial"/>
          <w:color w:val="000000" w:themeColor="text1"/>
          <w:sz w:val="19"/>
          <w:szCs w:val="19"/>
          <w:lang w:eastAsia="en-US"/>
        </w:rPr>
      </w:pPr>
      <w:r w:rsidRPr="00AA1C96">
        <w:rPr>
          <w:rFonts w:ascii="Arial" w:eastAsia="Times New Roman" w:hAnsi="Arial" w:cs="Arial"/>
          <w:color w:val="000000" w:themeColor="text1"/>
          <w:sz w:val="19"/>
          <w:szCs w:val="19"/>
          <w:lang w:eastAsia="en-US"/>
        </w:rPr>
        <w:t>A</w:t>
      </w:r>
      <w:r w:rsidR="0027630F" w:rsidRPr="00AA1C96">
        <w:rPr>
          <w:rFonts w:ascii="Arial" w:eastAsia="Times New Roman" w:hAnsi="Arial" w:cs="Arial"/>
          <w:color w:val="000000" w:themeColor="text1"/>
          <w:sz w:val="19"/>
          <w:szCs w:val="19"/>
          <w:lang w:eastAsia="en-US"/>
        </w:rPr>
        <w:t xml:space="preserve">l </w:t>
      </w:r>
      <w:r w:rsidR="00D44EA5">
        <w:rPr>
          <w:rFonts w:ascii="Arial" w:eastAsia="Times New Roman" w:hAnsi="Arial" w:cs="Arial"/>
          <w:color w:val="000000" w:themeColor="text1"/>
          <w:sz w:val="19"/>
          <w:szCs w:val="19"/>
          <w:lang w:eastAsia="en-US"/>
        </w:rPr>
        <w:t>3</w:t>
      </w:r>
      <w:r w:rsidR="00DA5A79">
        <w:rPr>
          <w:rFonts w:ascii="Arial" w:eastAsia="Times New Roman" w:hAnsi="Arial" w:cs="Arial"/>
          <w:color w:val="000000" w:themeColor="text1"/>
          <w:sz w:val="19"/>
          <w:szCs w:val="19"/>
          <w:lang w:eastAsia="en-US"/>
        </w:rPr>
        <w:t>0</w:t>
      </w:r>
      <w:r w:rsidR="00D44EA5">
        <w:rPr>
          <w:rFonts w:ascii="Arial" w:eastAsia="Times New Roman" w:hAnsi="Arial" w:cs="Arial"/>
          <w:color w:val="000000" w:themeColor="text1"/>
          <w:sz w:val="19"/>
          <w:szCs w:val="19"/>
          <w:lang w:eastAsia="en-US"/>
        </w:rPr>
        <w:t xml:space="preserve"> de </w:t>
      </w:r>
      <w:r w:rsidR="00DA5A79">
        <w:rPr>
          <w:rFonts w:ascii="Arial" w:eastAsia="Times New Roman" w:hAnsi="Arial" w:cs="Arial"/>
          <w:color w:val="000000" w:themeColor="text1"/>
          <w:sz w:val="19"/>
          <w:szCs w:val="19"/>
          <w:lang w:eastAsia="en-US"/>
        </w:rPr>
        <w:t>junio</w:t>
      </w:r>
      <w:r w:rsidR="00D44EA5">
        <w:rPr>
          <w:rFonts w:ascii="Arial" w:eastAsia="Times New Roman" w:hAnsi="Arial" w:cs="Arial"/>
          <w:color w:val="000000" w:themeColor="text1"/>
          <w:sz w:val="19"/>
          <w:szCs w:val="19"/>
          <w:lang w:eastAsia="en-US"/>
        </w:rPr>
        <w:t xml:space="preserve"> de 2019</w:t>
      </w:r>
      <w:r w:rsidR="0027630F" w:rsidRPr="00AA1C96">
        <w:rPr>
          <w:rFonts w:ascii="Arial" w:eastAsia="Times New Roman" w:hAnsi="Arial" w:cs="Arial"/>
          <w:color w:val="000000" w:themeColor="text1"/>
          <w:sz w:val="19"/>
          <w:szCs w:val="19"/>
          <w:lang w:eastAsia="en-US"/>
        </w:rPr>
        <w:t xml:space="preserve">, la deuda devengada en concepto de aportes y contribuciones con destino al Sistema Integrado Previsional Argentino, que surge de los registros contables de la Entidad, asciende </w:t>
      </w:r>
      <w:r w:rsidR="0027630F" w:rsidRPr="00DA5A79">
        <w:rPr>
          <w:rFonts w:ascii="Arial" w:eastAsia="Times New Roman" w:hAnsi="Arial" w:cs="Arial"/>
          <w:color w:val="000000" w:themeColor="text1"/>
          <w:sz w:val="19"/>
          <w:szCs w:val="19"/>
          <w:lang w:eastAsia="en-US"/>
        </w:rPr>
        <w:t xml:space="preserve">a </w:t>
      </w:r>
      <w:r w:rsidR="00226637" w:rsidRPr="00DA5A79">
        <w:rPr>
          <w:rFonts w:ascii="Arial" w:eastAsia="Times New Roman" w:hAnsi="Arial" w:cs="Arial"/>
          <w:color w:val="000000" w:themeColor="text1"/>
          <w:sz w:val="19"/>
          <w:szCs w:val="19"/>
          <w:lang w:eastAsia="en-US"/>
        </w:rPr>
        <w:t xml:space="preserve">$ </w:t>
      </w:r>
      <w:r w:rsidR="00DA5A79" w:rsidRPr="00DA5A79">
        <w:rPr>
          <w:rFonts w:ascii="Arial" w:eastAsia="Times New Roman" w:hAnsi="Arial" w:cs="Arial"/>
          <w:color w:val="000000" w:themeColor="text1"/>
          <w:sz w:val="19"/>
          <w:szCs w:val="19"/>
          <w:lang w:eastAsia="en-US"/>
        </w:rPr>
        <w:t>6</w:t>
      </w:r>
      <w:r w:rsidR="006F6194" w:rsidRPr="00DA5A79">
        <w:rPr>
          <w:rFonts w:ascii="Arial" w:eastAsia="Times New Roman" w:hAnsi="Arial" w:cs="Arial"/>
          <w:color w:val="000000" w:themeColor="text1"/>
          <w:sz w:val="19"/>
          <w:szCs w:val="19"/>
          <w:lang w:eastAsia="en-US"/>
        </w:rPr>
        <w:t>.</w:t>
      </w:r>
      <w:r w:rsidR="00DA5A79" w:rsidRPr="00DA5A79">
        <w:rPr>
          <w:rFonts w:ascii="Arial" w:eastAsia="Times New Roman" w:hAnsi="Arial" w:cs="Arial"/>
          <w:color w:val="000000" w:themeColor="text1"/>
          <w:sz w:val="19"/>
          <w:szCs w:val="19"/>
          <w:lang w:eastAsia="en-US"/>
        </w:rPr>
        <w:t>283</w:t>
      </w:r>
      <w:r w:rsidR="006F6194" w:rsidRPr="00DA5A79">
        <w:rPr>
          <w:rFonts w:ascii="Arial" w:eastAsia="Times New Roman" w:hAnsi="Arial" w:cs="Arial"/>
          <w:color w:val="000000" w:themeColor="text1"/>
          <w:sz w:val="19"/>
          <w:szCs w:val="19"/>
          <w:lang w:eastAsia="en-US"/>
        </w:rPr>
        <w:t>.</w:t>
      </w:r>
      <w:r w:rsidR="00DA5A79" w:rsidRPr="00DA5A79">
        <w:rPr>
          <w:rFonts w:ascii="Arial" w:eastAsia="Times New Roman" w:hAnsi="Arial" w:cs="Arial"/>
          <w:color w:val="000000" w:themeColor="text1"/>
          <w:sz w:val="19"/>
          <w:szCs w:val="19"/>
          <w:lang w:eastAsia="en-US"/>
        </w:rPr>
        <w:t>830</w:t>
      </w:r>
      <w:r w:rsidR="0027630F" w:rsidRPr="00AA1C96">
        <w:rPr>
          <w:rFonts w:ascii="Arial" w:eastAsia="Times New Roman" w:hAnsi="Arial" w:cs="Arial"/>
          <w:color w:val="000000" w:themeColor="text1"/>
          <w:sz w:val="19"/>
          <w:szCs w:val="19"/>
          <w:lang w:eastAsia="en-US"/>
        </w:rPr>
        <w:t>, no siendo exigible a esa fecha.</w:t>
      </w:r>
    </w:p>
    <w:p w:rsidR="00EE3E59" w:rsidRPr="00AA1C96" w:rsidRDefault="00EE3E59" w:rsidP="00EE3E59">
      <w:pPr>
        <w:pStyle w:val="ListParagraph"/>
        <w:rPr>
          <w:rFonts w:ascii="Arial" w:eastAsia="Times New Roman" w:hAnsi="Arial" w:cs="Arial"/>
          <w:color w:val="000000" w:themeColor="text1"/>
          <w:sz w:val="19"/>
          <w:szCs w:val="19"/>
          <w:lang w:eastAsia="en-US"/>
        </w:rPr>
      </w:pPr>
    </w:p>
    <w:p w:rsidR="00EE3E59" w:rsidRPr="00AA1C96" w:rsidRDefault="00EE3E59" w:rsidP="00BC5985">
      <w:pPr>
        <w:pStyle w:val="ListParagraph"/>
        <w:numPr>
          <w:ilvl w:val="0"/>
          <w:numId w:val="13"/>
        </w:numPr>
        <w:ind w:left="993" w:hanging="426"/>
        <w:jc w:val="both"/>
        <w:rPr>
          <w:rFonts w:ascii="Arial" w:eastAsia="Times New Roman" w:hAnsi="Arial" w:cs="Arial"/>
          <w:color w:val="000000" w:themeColor="text1"/>
          <w:sz w:val="19"/>
          <w:szCs w:val="19"/>
          <w:lang w:eastAsia="en-US"/>
        </w:rPr>
      </w:pPr>
      <w:r w:rsidRPr="00AA1C96">
        <w:rPr>
          <w:rFonts w:ascii="Arial" w:eastAsia="Times New Roman" w:hAnsi="Arial" w:cs="Arial"/>
          <w:color w:val="000000" w:themeColor="text1"/>
          <w:sz w:val="19"/>
          <w:szCs w:val="19"/>
          <w:lang w:eastAsia="en-US"/>
        </w:rPr>
        <w:t xml:space="preserve">Al </w:t>
      </w:r>
      <w:r w:rsidR="00D44EA5">
        <w:rPr>
          <w:rFonts w:ascii="Arial" w:eastAsia="Times New Roman" w:hAnsi="Arial" w:cs="Arial"/>
          <w:color w:val="000000" w:themeColor="text1"/>
          <w:sz w:val="19"/>
          <w:szCs w:val="19"/>
          <w:lang w:eastAsia="en-US"/>
        </w:rPr>
        <w:t>3</w:t>
      </w:r>
      <w:r w:rsidR="00DA5A79">
        <w:rPr>
          <w:rFonts w:ascii="Arial" w:eastAsia="Times New Roman" w:hAnsi="Arial" w:cs="Arial"/>
          <w:color w:val="000000" w:themeColor="text1"/>
          <w:sz w:val="19"/>
          <w:szCs w:val="19"/>
          <w:lang w:eastAsia="en-US"/>
        </w:rPr>
        <w:t>0</w:t>
      </w:r>
      <w:r w:rsidR="00D44EA5">
        <w:rPr>
          <w:rFonts w:ascii="Arial" w:eastAsia="Times New Roman" w:hAnsi="Arial" w:cs="Arial"/>
          <w:color w:val="000000" w:themeColor="text1"/>
          <w:sz w:val="19"/>
          <w:szCs w:val="19"/>
          <w:lang w:eastAsia="en-US"/>
        </w:rPr>
        <w:t xml:space="preserve"> de </w:t>
      </w:r>
      <w:r w:rsidR="00DA5A79">
        <w:rPr>
          <w:rFonts w:ascii="Arial" w:eastAsia="Times New Roman" w:hAnsi="Arial" w:cs="Arial"/>
          <w:color w:val="000000" w:themeColor="text1"/>
          <w:sz w:val="19"/>
          <w:szCs w:val="19"/>
          <w:lang w:eastAsia="en-US"/>
        </w:rPr>
        <w:t>junio</w:t>
      </w:r>
      <w:r w:rsidR="00D44EA5">
        <w:rPr>
          <w:rFonts w:ascii="Arial" w:eastAsia="Times New Roman" w:hAnsi="Arial" w:cs="Arial"/>
          <w:color w:val="000000" w:themeColor="text1"/>
          <w:sz w:val="19"/>
          <w:szCs w:val="19"/>
          <w:lang w:eastAsia="en-US"/>
        </w:rPr>
        <w:t xml:space="preserve"> de 2019</w:t>
      </w:r>
      <w:r w:rsidR="00FF66DE">
        <w:rPr>
          <w:rFonts w:ascii="Arial" w:eastAsia="Times New Roman" w:hAnsi="Arial" w:cs="Arial"/>
          <w:color w:val="000000" w:themeColor="text1"/>
          <w:sz w:val="19"/>
          <w:szCs w:val="19"/>
          <w:lang w:eastAsia="en-US"/>
        </w:rPr>
        <w:t xml:space="preserve">, según </w:t>
      </w:r>
      <w:r w:rsidR="00FF66DE" w:rsidRPr="00295A44">
        <w:rPr>
          <w:rFonts w:ascii="Arial" w:eastAsia="Times New Roman" w:hAnsi="Arial" w:cs="Arial"/>
          <w:color w:val="000000" w:themeColor="text1"/>
          <w:sz w:val="19"/>
          <w:szCs w:val="19"/>
          <w:lang w:eastAsia="en-US"/>
        </w:rPr>
        <w:t>surge de la Nota 2</w:t>
      </w:r>
      <w:r w:rsidR="00295A44" w:rsidRPr="00295A44">
        <w:rPr>
          <w:rFonts w:ascii="Arial" w:eastAsia="Times New Roman" w:hAnsi="Arial" w:cs="Arial"/>
          <w:color w:val="000000" w:themeColor="text1"/>
          <w:sz w:val="19"/>
          <w:szCs w:val="19"/>
          <w:lang w:eastAsia="en-US"/>
        </w:rPr>
        <w:t>6</w:t>
      </w:r>
      <w:r w:rsidRPr="00AA1C96">
        <w:rPr>
          <w:rFonts w:ascii="Arial" w:eastAsia="Times New Roman" w:hAnsi="Arial" w:cs="Arial"/>
          <w:color w:val="000000" w:themeColor="text1"/>
          <w:sz w:val="19"/>
          <w:szCs w:val="19"/>
          <w:lang w:eastAsia="en-US"/>
        </w:rPr>
        <w:t xml:space="preserve">. a los estados financieros mencionados en el párrafo 1, la Entidad posee un patrimonio neto y una contrapartida en activos elegibles que exceden los importes mínimos requeridos por las normas pertinentes de la </w:t>
      </w:r>
      <w:r w:rsidR="00045EED">
        <w:rPr>
          <w:rFonts w:ascii="Arial" w:eastAsia="Times New Roman" w:hAnsi="Arial" w:cs="Arial"/>
          <w:color w:val="000000" w:themeColor="text1"/>
          <w:sz w:val="19"/>
          <w:szCs w:val="19"/>
          <w:lang w:eastAsia="en-US"/>
        </w:rPr>
        <w:t xml:space="preserve">CNV </w:t>
      </w:r>
      <w:r w:rsidRPr="00AA1C96">
        <w:rPr>
          <w:rFonts w:ascii="Arial" w:eastAsia="Times New Roman" w:hAnsi="Arial" w:cs="Arial"/>
          <w:color w:val="000000" w:themeColor="text1"/>
          <w:sz w:val="19"/>
          <w:szCs w:val="19"/>
          <w:lang w:eastAsia="en-US"/>
        </w:rPr>
        <w:t xml:space="preserve">para dichos conceptos. </w:t>
      </w:r>
    </w:p>
    <w:p w:rsidR="00EE3E59" w:rsidRPr="00AA1C96" w:rsidRDefault="00EE3E59" w:rsidP="00EE3E59">
      <w:pPr>
        <w:pStyle w:val="ListParagraph"/>
        <w:autoSpaceDE w:val="0"/>
        <w:autoSpaceDN w:val="0"/>
        <w:adjustRightInd w:val="0"/>
        <w:spacing w:after="0"/>
        <w:ind w:left="993"/>
        <w:jc w:val="both"/>
        <w:rPr>
          <w:rFonts w:ascii="Arial" w:eastAsia="Times New Roman" w:hAnsi="Arial" w:cs="Arial"/>
          <w:color w:val="000000" w:themeColor="text1"/>
          <w:sz w:val="19"/>
          <w:szCs w:val="19"/>
          <w:lang w:eastAsia="en-US"/>
        </w:rPr>
      </w:pPr>
    </w:p>
    <w:p w:rsidR="0027630F" w:rsidRPr="00AA1C96" w:rsidRDefault="0027630F" w:rsidP="0027630F">
      <w:pPr>
        <w:autoSpaceDE w:val="0"/>
        <w:autoSpaceDN w:val="0"/>
        <w:adjustRightInd w:val="0"/>
        <w:spacing w:after="0"/>
        <w:ind w:left="284"/>
        <w:jc w:val="both"/>
        <w:rPr>
          <w:rFonts w:ascii="Arial" w:hAnsi="Arial" w:cs="Arial"/>
          <w:color w:val="000000" w:themeColor="text1"/>
          <w:sz w:val="19"/>
          <w:szCs w:val="19"/>
        </w:rPr>
      </w:pPr>
    </w:p>
    <w:p w:rsidR="0027630F" w:rsidRPr="00AA1C96" w:rsidRDefault="0027630F" w:rsidP="0027630F">
      <w:pPr>
        <w:spacing w:after="0"/>
        <w:ind w:right="85"/>
        <w:jc w:val="both"/>
        <w:rPr>
          <w:rFonts w:ascii="Arial" w:hAnsi="Arial" w:cs="Arial"/>
          <w:color w:val="000000" w:themeColor="text1"/>
          <w:sz w:val="19"/>
          <w:szCs w:val="19"/>
        </w:rPr>
      </w:pPr>
      <w:r w:rsidRPr="00AA1C96">
        <w:rPr>
          <w:rFonts w:ascii="Arial" w:hAnsi="Arial" w:cs="Arial"/>
          <w:color w:val="000000" w:themeColor="text1"/>
          <w:sz w:val="19"/>
          <w:szCs w:val="19"/>
        </w:rPr>
        <w:t xml:space="preserve">Ciudad Autónoma de Buenos Aires,  </w:t>
      </w:r>
    </w:p>
    <w:p w:rsidR="0027630F" w:rsidRPr="00AA1C96" w:rsidRDefault="00AA1C96" w:rsidP="00AA1C96">
      <w:pPr>
        <w:ind w:right="85"/>
        <w:jc w:val="both"/>
        <w:rPr>
          <w:rFonts w:ascii="Arial" w:hAnsi="Arial" w:cs="Arial"/>
          <w:color w:val="000000" w:themeColor="text1"/>
          <w:sz w:val="19"/>
          <w:szCs w:val="19"/>
        </w:rPr>
      </w:pPr>
      <w:r>
        <w:rPr>
          <w:rFonts w:ascii="Arial" w:hAnsi="Arial" w:cs="Arial"/>
          <w:color w:val="000000" w:themeColor="text1"/>
          <w:sz w:val="19"/>
          <w:szCs w:val="19"/>
        </w:rPr>
        <w:t xml:space="preserve">        </w:t>
      </w:r>
      <w:r w:rsidR="00DA5A79">
        <w:rPr>
          <w:rFonts w:ascii="Arial" w:hAnsi="Arial" w:cs="Arial"/>
          <w:color w:val="000000" w:themeColor="text1"/>
          <w:sz w:val="19"/>
          <w:szCs w:val="19"/>
        </w:rPr>
        <w:t>12</w:t>
      </w:r>
      <w:r w:rsidR="00D44EA5">
        <w:rPr>
          <w:rFonts w:ascii="Arial" w:hAnsi="Arial" w:cs="Arial"/>
          <w:color w:val="000000" w:themeColor="text1"/>
          <w:sz w:val="19"/>
          <w:szCs w:val="19"/>
        </w:rPr>
        <w:t xml:space="preserve"> de </w:t>
      </w:r>
      <w:r w:rsidR="003B4A9B">
        <w:rPr>
          <w:rFonts w:ascii="Arial" w:hAnsi="Arial" w:cs="Arial"/>
          <w:color w:val="000000" w:themeColor="text1"/>
          <w:sz w:val="19"/>
          <w:szCs w:val="19"/>
        </w:rPr>
        <w:t>agosto</w:t>
      </w:r>
      <w:r w:rsidR="00D44EA5">
        <w:rPr>
          <w:rFonts w:ascii="Arial" w:hAnsi="Arial" w:cs="Arial"/>
          <w:color w:val="000000" w:themeColor="text1"/>
          <w:sz w:val="19"/>
          <w:szCs w:val="19"/>
        </w:rPr>
        <w:t xml:space="preserve"> d</w:t>
      </w:r>
      <w:r w:rsidR="0087676A" w:rsidRPr="00AA1C96">
        <w:rPr>
          <w:rFonts w:ascii="Arial" w:hAnsi="Arial" w:cs="Arial"/>
          <w:color w:val="000000" w:themeColor="text1"/>
          <w:sz w:val="19"/>
          <w:szCs w:val="19"/>
        </w:rPr>
        <w:t>e</w:t>
      </w:r>
      <w:r w:rsidR="00B75507">
        <w:rPr>
          <w:rFonts w:ascii="Arial" w:hAnsi="Arial" w:cs="Arial"/>
          <w:color w:val="000000" w:themeColor="text1"/>
          <w:sz w:val="19"/>
          <w:szCs w:val="19"/>
        </w:rPr>
        <w:t xml:space="preserve"> </w:t>
      </w:r>
      <w:r w:rsidR="00D44EA5">
        <w:rPr>
          <w:rFonts w:ascii="Arial" w:hAnsi="Arial" w:cs="Arial"/>
          <w:color w:val="000000" w:themeColor="text1"/>
          <w:sz w:val="19"/>
          <w:szCs w:val="19"/>
        </w:rPr>
        <w:t>2019</w:t>
      </w:r>
    </w:p>
    <w:p w:rsidR="0027630F" w:rsidRPr="00AA1C96" w:rsidRDefault="0027630F" w:rsidP="0027630F">
      <w:pPr>
        <w:ind w:right="85"/>
        <w:jc w:val="both"/>
        <w:rPr>
          <w:rFonts w:ascii="Arial" w:hAnsi="Arial" w:cs="Arial"/>
          <w:sz w:val="19"/>
          <w:szCs w:val="19"/>
        </w:rPr>
      </w:pPr>
    </w:p>
    <w:tbl>
      <w:tblPr>
        <w:tblW w:w="7196" w:type="dxa"/>
        <w:tblInd w:w="2914" w:type="dxa"/>
        <w:tblLook w:val="0000" w:firstRow="0" w:lastRow="0" w:firstColumn="0" w:lastColumn="0" w:noHBand="0" w:noVBand="0"/>
      </w:tblPr>
      <w:tblGrid>
        <w:gridCol w:w="7196"/>
      </w:tblGrid>
      <w:tr w:rsidR="0027630F" w:rsidRPr="00AA1C96" w:rsidTr="004A7D38">
        <w:tc>
          <w:tcPr>
            <w:tcW w:w="7196" w:type="dxa"/>
            <w:tcBorders>
              <w:top w:val="nil"/>
              <w:left w:val="nil"/>
              <w:bottom w:val="nil"/>
              <w:right w:val="nil"/>
            </w:tcBorders>
          </w:tcPr>
          <w:p w:rsidR="0027630F" w:rsidRPr="00AA1C96" w:rsidRDefault="0027630F" w:rsidP="0027630F">
            <w:pPr>
              <w:spacing w:after="0"/>
              <w:ind w:right="84"/>
              <w:jc w:val="center"/>
              <w:rPr>
                <w:rFonts w:ascii="Arial" w:hAnsi="Arial" w:cs="Arial"/>
                <w:sz w:val="19"/>
                <w:szCs w:val="19"/>
              </w:rPr>
            </w:pPr>
            <w:r w:rsidRPr="00AA1C96">
              <w:rPr>
                <w:rFonts w:ascii="Arial" w:hAnsi="Arial" w:cs="Arial"/>
                <w:sz w:val="19"/>
                <w:szCs w:val="19"/>
              </w:rPr>
              <w:t>PISTRELLI, HENRY MARTIN Y ASOCIADOS S.R.L.</w:t>
            </w:r>
          </w:p>
        </w:tc>
      </w:tr>
      <w:tr w:rsidR="0027630F" w:rsidRPr="00AA1C96" w:rsidTr="004A7D38">
        <w:tc>
          <w:tcPr>
            <w:tcW w:w="7196" w:type="dxa"/>
            <w:tcBorders>
              <w:top w:val="nil"/>
              <w:left w:val="nil"/>
              <w:bottom w:val="nil"/>
              <w:right w:val="nil"/>
            </w:tcBorders>
          </w:tcPr>
          <w:p w:rsidR="0027630F" w:rsidRPr="00AA1C96" w:rsidRDefault="0027630F" w:rsidP="0027630F">
            <w:pPr>
              <w:spacing w:after="0"/>
              <w:ind w:right="84"/>
              <w:jc w:val="center"/>
              <w:rPr>
                <w:rFonts w:ascii="Arial" w:hAnsi="Arial" w:cs="Arial"/>
                <w:sz w:val="19"/>
                <w:szCs w:val="19"/>
              </w:rPr>
            </w:pPr>
            <w:r w:rsidRPr="00AA1C96">
              <w:rPr>
                <w:rFonts w:ascii="Arial" w:hAnsi="Arial" w:cs="Arial"/>
                <w:sz w:val="19"/>
                <w:szCs w:val="19"/>
              </w:rPr>
              <w:t>C.P.C.E.C.A.B.A. T° 1 – F° 13</w:t>
            </w:r>
          </w:p>
        </w:tc>
      </w:tr>
      <w:tr w:rsidR="0027630F" w:rsidRPr="00AA1C96" w:rsidTr="004A7D38">
        <w:tc>
          <w:tcPr>
            <w:tcW w:w="7196" w:type="dxa"/>
            <w:tcBorders>
              <w:top w:val="nil"/>
              <w:left w:val="nil"/>
              <w:bottom w:val="nil"/>
              <w:right w:val="nil"/>
            </w:tcBorders>
          </w:tcPr>
          <w:p w:rsidR="0027630F" w:rsidRPr="00AA1C96" w:rsidRDefault="0027630F" w:rsidP="0027630F">
            <w:pPr>
              <w:spacing w:after="0"/>
              <w:ind w:right="84"/>
              <w:jc w:val="center"/>
              <w:rPr>
                <w:rFonts w:ascii="Arial" w:hAnsi="Arial" w:cs="Arial"/>
                <w:sz w:val="19"/>
                <w:szCs w:val="19"/>
              </w:rPr>
            </w:pPr>
          </w:p>
        </w:tc>
      </w:tr>
      <w:tr w:rsidR="0027630F" w:rsidRPr="00AA1C96" w:rsidTr="004A7D38">
        <w:tc>
          <w:tcPr>
            <w:tcW w:w="7196" w:type="dxa"/>
            <w:tcBorders>
              <w:top w:val="nil"/>
              <w:left w:val="nil"/>
              <w:bottom w:val="nil"/>
              <w:right w:val="nil"/>
            </w:tcBorders>
          </w:tcPr>
          <w:p w:rsidR="0027630F" w:rsidRPr="00AA1C96" w:rsidRDefault="0027630F" w:rsidP="0027630F">
            <w:pPr>
              <w:spacing w:after="0"/>
              <w:ind w:right="84"/>
              <w:jc w:val="center"/>
              <w:rPr>
                <w:rFonts w:ascii="Arial" w:hAnsi="Arial" w:cs="Arial"/>
                <w:sz w:val="19"/>
                <w:szCs w:val="19"/>
              </w:rPr>
            </w:pPr>
          </w:p>
        </w:tc>
      </w:tr>
      <w:tr w:rsidR="0027630F" w:rsidRPr="00AA1C96" w:rsidTr="004A7D38">
        <w:tc>
          <w:tcPr>
            <w:tcW w:w="7196" w:type="dxa"/>
            <w:tcBorders>
              <w:top w:val="nil"/>
              <w:left w:val="nil"/>
              <w:bottom w:val="nil"/>
              <w:right w:val="nil"/>
            </w:tcBorders>
          </w:tcPr>
          <w:p w:rsidR="0027630F" w:rsidRPr="00AA1C96" w:rsidRDefault="0027630F" w:rsidP="0027630F">
            <w:pPr>
              <w:spacing w:after="0"/>
              <w:ind w:right="84"/>
              <w:jc w:val="center"/>
              <w:rPr>
                <w:rFonts w:ascii="Arial" w:hAnsi="Arial" w:cs="Arial"/>
                <w:sz w:val="19"/>
                <w:szCs w:val="19"/>
              </w:rPr>
            </w:pPr>
          </w:p>
        </w:tc>
      </w:tr>
      <w:tr w:rsidR="00951135" w:rsidRPr="00AA1C96" w:rsidTr="004A7D38">
        <w:tc>
          <w:tcPr>
            <w:tcW w:w="7196" w:type="dxa"/>
            <w:tcBorders>
              <w:top w:val="nil"/>
              <w:left w:val="nil"/>
              <w:bottom w:val="nil"/>
              <w:right w:val="nil"/>
            </w:tcBorders>
          </w:tcPr>
          <w:p w:rsidR="00951135" w:rsidRPr="00AA1C96" w:rsidRDefault="00951135" w:rsidP="00951135">
            <w:pPr>
              <w:spacing w:after="0" w:line="240" w:lineRule="auto"/>
              <w:ind w:right="84"/>
              <w:jc w:val="center"/>
              <w:rPr>
                <w:rFonts w:ascii="Arial" w:hAnsi="Arial" w:cs="Arial"/>
                <w:sz w:val="19"/>
                <w:szCs w:val="19"/>
              </w:rPr>
            </w:pPr>
            <w:r w:rsidRPr="00AA1C96">
              <w:rPr>
                <w:rFonts w:ascii="Arial" w:hAnsi="Arial" w:cs="Arial"/>
                <w:sz w:val="19"/>
                <w:szCs w:val="19"/>
              </w:rPr>
              <w:t>JOSÉ A. COYA TESTÓN</w:t>
            </w:r>
          </w:p>
        </w:tc>
      </w:tr>
      <w:tr w:rsidR="00951135" w:rsidRPr="00AA1C96" w:rsidTr="004A7D38">
        <w:tc>
          <w:tcPr>
            <w:tcW w:w="7196" w:type="dxa"/>
            <w:tcBorders>
              <w:top w:val="nil"/>
              <w:left w:val="nil"/>
              <w:bottom w:val="nil"/>
              <w:right w:val="nil"/>
            </w:tcBorders>
          </w:tcPr>
          <w:p w:rsidR="00951135" w:rsidRPr="00AA1C96" w:rsidRDefault="00951135" w:rsidP="00951135">
            <w:pPr>
              <w:spacing w:after="0" w:line="240" w:lineRule="auto"/>
              <w:ind w:right="84"/>
              <w:jc w:val="center"/>
              <w:rPr>
                <w:rFonts w:ascii="Arial" w:hAnsi="Arial" w:cs="Arial"/>
                <w:sz w:val="19"/>
                <w:szCs w:val="19"/>
              </w:rPr>
            </w:pPr>
            <w:r w:rsidRPr="00AA1C96">
              <w:rPr>
                <w:rFonts w:ascii="Arial" w:hAnsi="Arial" w:cs="Arial"/>
                <w:sz w:val="19"/>
                <w:szCs w:val="19"/>
              </w:rPr>
              <w:t>Socio</w:t>
            </w:r>
          </w:p>
        </w:tc>
      </w:tr>
      <w:tr w:rsidR="00951135" w:rsidRPr="00AB0355" w:rsidTr="004A7D38">
        <w:tc>
          <w:tcPr>
            <w:tcW w:w="7196" w:type="dxa"/>
            <w:tcBorders>
              <w:top w:val="nil"/>
              <w:left w:val="nil"/>
              <w:bottom w:val="nil"/>
              <w:right w:val="nil"/>
            </w:tcBorders>
          </w:tcPr>
          <w:p w:rsidR="00951135" w:rsidRPr="00AA1C96" w:rsidRDefault="00951135" w:rsidP="00951135">
            <w:pPr>
              <w:spacing w:after="0" w:line="240" w:lineRule="auto"/>
              <w:ind w:right="84"/>
              <w:jc w:val="center"/>
              <w:rPr>
                <w:rFonts w:ascii="Arial" w:hAnsi="Arial" w:cs="Arial"/>
                <w:sz w:val="19"/>
                <w:szCs w:val="19"/>
                <w:lang w:val="pt-BR"/>
              </w:rPr>
            </w:pPr>
            <w:r w:rsidRPr="00AA1C96">
              <w:rPr>
                <w:rFonts w:ascii="Arial" w:hAnsi="Arial" w:cs="Arial"/>
                <w:sz w:val="19"/>
                <w:szCs w:val="19"/>
                <w:lang w:val="pt-BR"/>
              </w:rPr>
              <w:t>Contador Público U.B.A.</w:t>
            </w:r>
          </w:p>
        </w:tc>
      </w:tr>
      <w:tr w:rsidR="00951135" w:rsidRPr="00AB0355" w:rsidTr="004A7D38">
        <w:tc>
          <w:tcPr>
            <w:tcW w:w="7196" w:type="dxa"/>
            <w:tcBorders>
              <w:top w:val="nil"/>
              <w:left w:val="nil"/>
              <w:bottom w:val="nil"/>
              <w:right w:val="nil"/>
            </w:tcBorders>
          </w:tcPr>
          <w:p w:rsidR="00951135" w:rsidRPr="00AA1C96" w:rsidRDefault="00951135" w:rsidP="00951135">
            <w:pPr>
              <w:spacing w:after="0" w:line="240" w:lineRule="auto"/>
              <w:ind w:right="84"/>
              <w:jc w:val="center"/>
              <w:rPr>
                <w:rFonts w:ascii="Arial" w:hAnsi="Arial" w:cs="Arial"/>
                <w:sz w:val="19"/>
                <w:szCs w:val="19"/>
                <w:lang w:val="pt-BR"/>
              </w:rPr>
            </w:pPr>
            <w:r w:rsidRPr="00AA1C96">
              <w:rPr>
                <w:rFonts w:ascii="Arial" w:hAnsi="Arial" w:cs="Arial"/>
                <w:sz w:val="19"/>
                <w:szCs w:val="19"/>
                <w:lang w:val="pt-BR"/>
              </w:rPr>
              <w:t xml:space="preserve">C.P.C.E.C.A.B.A. </w:t>
            </w:r>
            <w:proofErr w:type="spellStart"/>
            <w:r w:rsidRPr="00AA1C96">
              <w:rPr>
                <w:rFonts w:ascii="Arial" w:hAnsi="Arial" w:cs="Arial"/>
                <w:sz w:val="19"/>
                <w:szCs w:val="19"/>
                <w:lang w:val="pt-BR"/>
              </w:rPr>
              <w:t>T°</w:t>
            </w:r>
            <w:proofErr w:type="spellEnd"/>
            <w:r w:rsidRPr="00AA1C96">
              <w:rPr>
                <w:rFonts w:ascii="Arial" w:hAnsi="Arial" w:cs="Arial"/>
                <w:sz w:val="19"/>
                <w:szCs w:val="19"/>
                <w:lang w:val="pt-BR"/>
              </w:rPr>
              <w:t xml:space="preserve"> 308 – F° 061</w:t>
            </w:r>
          </w:p>
        </w:tc>
      </w:tr>
    </w:tbl>
    <w:p w:rsidR="0027630F" w:rsidRPr="00360830" w:rsidRDefault="0027630F" w:rsidP="0027630F">
      <w:pPr>
        <w:autoSpaceDE w:val="0"/>
        <w:autoSpaceDN w:val="0"/>
        <w:adjustRightInd w:val="0"/>
        <w:spacing w:after="0"/>
        <w:ind w:left="284"/>
        <w:jc w:val="both"/>
        <w:rPr>
          <w:rFonts w:ascii="Arial" w:hAnsi="Arial" w:cs="Arial"/>
          <w:color w:val="000000" w:themeColor="text1"/>
          <w:sz w:val="20"/>
          <w:szCs w:val="20"/>
          <w:lang w:val="pt-BR"/>
        </w:rPr>
      </w:pPr>
    </w:p>
    <w:p w:rsidR="0027630F" w:rsidRPr="0027630F" w:rsidRDefault="0027630F" w:rsidP="0027630F">
      <w:pPr>
        <w:autoSpaceDE w:val="0"/>
        <w:autoSpaceDN w:val="0"/>
        <w:adjustRightInd w:val="0"/>
        <w:spacing w:after="0"/>
        <w:ind w:left="284"/>
        <w:jc w:val="both"/>
        <w:rPr>
          <w:rFonts w:ascii="Arial" w:hAnsi="Arial" w:cs="Arial"/>
          <w:color w:val="000000" w:themeColor="text1"/>
          <w:sz w:val="20"/>
          <w:szCs w:val="20"/>
          <w:lang w:val="pt-BR"/>
        </w:rPr>
      </w:pPr>
    </w:p>
    <w:sectPr w:rsidR="0027630F" w:rsidRPr="0027630F" w:rsidSect="007B238D">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7EE" w:rsidRDefault="007607EE" w:rsidP="00227F19">
      <w:pPr>
        <w:spacing w:after="0" w:line="240" w:lineRule="auto"/>
      </w:pPr>
      <w:r>
        <w:separator/>
      </w:r>
    </w:p>
  </w:endnote>
  <w:endnote w:type="continuationSeparator" w:id="0">
    <w:p w:rsidR="007607EE" w:rsidRDefault="007607EE" w:rsidP="0022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7EE" w:rsidRDefault="007607EE" w:rsidP="00227F19">
      <w:pPr>
        <w:spacing w:after="0" w:line="240" w:lineRule="auto"/>
      </w:pPr>
      <w:r>
        <w:separator/>
      </w:r>
    </w:p>
  </w:footnote>
  <w:footnote w:type="continuationSeparator" w:id="0">
    <w:p w:rsidR="007607EE" w:rsidRDefault="007607EE" w:rsidP="00227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6DE" w:rsidRPr="008B04D2" w:rsidRDefault="00FF66DE">
    <w:pPr>
      <w:pStyle w:val="Header"/>
      <w:jc w:val="center"/>
      <w:rPr>
        <w:rFonts w:ascii="Arial" w:hAnsi="Arial" w:cs="Arial"/>
        <w:sz w:val="18"/>
        <w:szCs w:val="18"/>
      </w:rPr>
    </w:pPr>
  </w:p>
  <w:p w:rsidR="00FF66DE" w:rsidRDefault="00FF6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448" w:rsidRPr="008B04D2" w:rsidRDefault="00B77448">
    <w:pPr>
      <w:pStyle w:val="Header"/>
      <w:jc w:val="center"/>
      <w:rPr>
        <w:rFonts w:ascii="Arial" w:hAnsi="Arial" w:cs="Arial"/>
        <w:sz w:val="18"/>
        <w:szCs w:val="18"/>
      </w:rPr>
    </w:pPr>
    <w:r w:rsidRPr="008B04D2">
      <w:rPr>
        <w:rFonts w:ascii="Arial" w:hAnsi="Arial" w:cs="Arial"/>
        <w:sz w:val="18"/>
        <w:szCs w:val="18"/>
      </w:rPr>
      <w:t>-</w:t>
    </w:r>
    <w:sdt>
      <w:sdtPr>
        <w:rPr>
          <w:rFonts w:ascii="Arial" w:hAnsi="Arial" w:cs="Arial"/>
          <w:sz w:val="18"/>
          <w:szCs w:val="18"/>
        </w:rPr>
        <w:id w:val="-79754391"/>
        <w:docPartObj>
          <w:docPartGallery w:val="Page Numbers (Top of Page)"/>
          <w:docPartUnique/>
        </w:docPartObj>
      </w:sdtPr>
      <w:sdtEndPr>
        <w:rPr>
          <w:noProof/>
        </w:rPr>
      </w:sdtEndPr>
      <w:sdtContent>
        <w:r w:rsidRPr="008B04D2">
          <w:rPr>
            <w:rFonts w:ascii="Arial" w:hAnsi="Arial" w:cs="Arial"/>
            <w:sz w:val="18"/>
            <w:szCs w:val="18"/>
          </w:rPr>
          <w:fldChar w:fldCharType="begin"/>
        </w:r>
        <w:r w:rsidRPr="008B04D2">
          <w:rPr>
            <w:rFonts w:ascii="Arial" w:hAnsi="Arial" w:cs="Arial"/>
            <w:sz w:val="18"/>
            <w:szCs w:val="18"/>
          </w:rPr>
          <w:instrText xml:space="preserve"> PAGE   \* MERGEFORMAT </w:instrText>
        </w:r>
        <w:r w:rsidRPr="008B04D2">
          <w:rPr>
            <w:rFonts w:ascii="Arial" w:hAnsi="Arial" w:cs="Arial"/>
            <w:sz w:val="18"/>
            <w:szCs w:val="18"/>
          </w:rPr>
          <w:fldChar w:fldCharType="separate"/>
        </w:r>
        <w:r w:rsidR="0009278B">
          <w:rPr>
            <w:rFonts w:ascii="Arial" w:hAnsi="Arial" w:cs="Arial"/>
            <w:noProof/>
            <w:sz w:val="18"/>
            <w:szCs w:val="18"/>
          </w:rPr>
          <w:t>3</w:t>
        </w:r>
        <w:r w:rsidRPr="008B04D2">
          <w:rPr>
            <w:rFonts w:ascii="Arial" w:hAnsi="Arial" w:cs="Arial"/>
            <w:noProof/>
            <w:sz w:val="18"/>
            <w:szCs w:val="18"/>
          </w:rPr>
          <w:fldChar w:fldCharType="end"/>
        </w:r>
        <w:r w:rsidRPr="008B04D2">
          <w:rPr>
            <w:rFonts w:ascii="Arial" w:hAnsi="Arial" w:cs="Arial"/>
            <w:noProof/>
            <w:sz w:val="18"/>
            <w:szCs w:val="18"/>
          </w:rPr>
          <w:t>-</w:t>
        </w:r>
      </w:sdtContent>
    </w:sdt>
  </w:p>
  <w:p w:rsidR="00B77448" w:rsidRDefault="00B77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3867"/>
    <w:multiLevelType w:val="hybridMultilevel"/>
    <w:tmpl w:val="0C7C5916"/>
    <w:lvl w:ilvl="0" w:tplc="FB76847C">
      <w:start w:val="1"/>
      <w:numFmt w:val="lowerLetter"/>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 w15:restartNumberingAfterBreak="0">
    <w:nsid w:val="068C4C36"/>
    <w:multiLevelType w:val="hybridMultilevel"/>
    <w:tmpl w:val="7B1C7AFE"/>
    <w:lvl w:ilvl="0" w:tplc="AFF2786E">
      <w:start w:val="1"/>
      <w:numFmt w:val="decimal"/>
      <w:lvlText w:val="%1."/>
      <w:lvlJc w:val="left"/>
      <w:pPr>
        <w:ind w:left="630" w:hanging="360"/>
      </w:pPr>
      <w:rPr>
        <w:rFonts w:hint="default"/>
        <w:b w:val="0"/>
      </w:rPr>
    </w:lvl>
    <w:lvl w:ilvl="1" w:tplc="2C0A0019">
      <w:start w:val="1"/>
      <w:numFmt w:val="lowerLetter"/>
      <w:lvlText w:val="%2."/>
      <w:lvlJc w:val="left"/>
      <w:pPr>
        <w:ind w:left="1350" w:hanging="360"/>
      </w:pPr>
    </w:lvl>
    <w:lvl w:ilvl="2" w:tplc="2C0A001B" w:tentative="1">
      <w:start w:val="1"/>
      <w:numFmt w:val="lowerRoman"/>
      <w:lvlText w:val="%3."/>
      <w:lvlJc w:val="right"/>
      <w:pPr>
        <w:ind w:left="2070" w:hanging="180"/>
      </w:pPr>
    </w:lvl>
    <w:lvl w:ilvl="3" w:tplc="2C0A000F" w:tentative="1">
      <w:start w:val="1"/>
      <w:numFmt w:val="decimal"/>
      <w:lvlText w:val="%4."/>
      <w:lvlJc w:val="left"/>
      <w:pPr>
        <w:ind w:left="2790" w:hanging="360"/>
      </w:pPr>
    </w:lvl>
    <w:lvl w:ilvl="4" w:tplc="2C0A0019" w:tentative="1">
      <w:start w:val="1"/>
      <w:numFmt w:val="lowerLetter"/>
      <w:lvlText w:val="%5."/>
      <w:lvlJc w:val="left"/>
      <w:pPr>
        <w:ind w:left="3510" w:hanging="360"/>
      </w:pPr>
    </w:lvl>
    <w:lvl w:ilvl="5" w:tplc="2C0A001B" w:tentative="1">
      <w:start w:val="1"/>
      <w:numFmt w:val="lowerRoman"/>
      <w:lvlText w:val="%6."/>
      <w:lvlJc w:val="right"/>
      <w:pPr>
        <w:ind w:left="4230" w:hanging="180"/>
      </w:pPr>
    </w:lvl>
    <w:lvl w:ilvl="6" w:tplc="2C0A000F" w:tentative="1">
      <w:start w:val="1"/>
      <w:numFmt w:val="decimal"/>
      <w:lvlText w:val="%7."/>
      <w:lvlJc w:val="left"/>
      <w:pPr>
        <w:ind w:left="4950" w:hanging="360"/>
      </w:pPr>
    </w:lvl>
    <w:lvl w:ilvl="7" w:tplc="2C0A0019" w:tentative="1">
      <w:start w:val="1"/>
      <w:numFmt w:val="lowerLetter"/>
      <w:lvlText w:val="%8."/>
      <w:lvlJc w:val="left"/>
      <w:pPr>
        <w:ind w:left="5670" w:hanging="360"/>
      </w:pPr>
    </w:lvl>
    <w:lvl w:ilvl="8" w:tplc="2C0A001B" w:tentative="1">
      <w:start w:val="1"/>
      <w:numFmt w:val="lowerRoman"/>
      <w:lvlText w:val="%9."/>
      <w:lvlJc w:val="right"/>
      <w:pPr>
        <w:ind w:left="6390" w:hanging="180"/>
      </w:pPr>
    </w:lvl>
  </w:abstractNum>
  <w:abstractNum w:abstractNumId="2" w15:restartNumberingAfterBreak="0">
    <w:nsid w:val="094B3E5F"/>
    <w:multiLevelType w:val="hybridMultilevel"/>
    <w:tmpl w:val="43E631E4"/>
    <w:lvl w:ilvl="0" w:tplc="6B203E8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1311158A"/>
    <w:multiLevelType w:val="hybridMultilevel"/>
    <w:tmpl w:val="0C1294EC"/>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7E86721"/>
    <w:multiLevelType w:val="hybridMultilevel"/>
    <w:tmpl w:val="2886EEEC"/>
    <w:lvl w:ilvl="0" w:tplc="C5F00B4E">
      <w:start w:val="1"/>
      <w:numFmt w:val="lowerLetter"/>
      <w:lvlText w:val="(%1)"/>
      <w:lvlJc w:val="left"/>
      <w:pPr>
        <w:ind w:left="792" w:hanging="360"/>
      </w:pPr>
      <w:rPr>
        <w:rFonts w:hint="default"/>
      </w:rPr>
    </w:lvl>
    <w:lvl w:ilvl="1" w:tplc="2C0A0019" w:tentative="1">
      <w:start w:val="1"/>
      <w:numFmt w:val="lowerLetter"/>
      <w:lvlText w:val="%2."/>
      <w:lvlJc w:val="left"/>
      <w:pPr>
        <w:ind w:left="1512" w:hanging="360"/>
      </w:pPr>
    </w:lvl>
    <w:lvl w:ilvl="2" w:tplc="2C0A001B" w:tentative="1">
      <w:start w:val="1"/>
      <w:numFmt w:val="lowerRoman"/>
      <w:lvlText w:val="%3."/>
      <w:lvlJc w:val="right"/>
      <w:pPr>
        <w:ind w:left="2232" w:hanging="180"/>
      </w:pPr>
    </w:lvl>
    <w:lvl w:ilvl="3" w:tplc="2C0A000F" w:tentative="1">
      <w:start w:val="1"/>
      <w:numFmt w:val="decimal"/>
      <w:lvlText w:val="%4."/>
      <w:lvlJc w:val="left"/>
      <w:pPr>
        <w:ind w:left="2952" w:hanging="360"/>
      </w:pPr>
    </w:lvl>
    <w:lvl w:ilvl="4" w:tplc="2C0A0019" w:tentative="1">
      <w:start w:val="1"/>
      <w:numFmt w:val="lowerLetter"/>
      <w:lvlText w:val="%5."/>
      <w:lvlJc w:val="left"/>
      <w:pPr>
        <w:ind w:left="3672" w:hanging="360"/>
      </w:pPr>
    </w:lvl>
    <w:lvl w:ilvl="5" w:tplc="2C0A001B" w:tentative="1">
      <w:start w:val="1"/>
      <w:numFmt w:val="lowerRoman"/>
      <w:lvlText w:val="%6."/>
      <w:lvlJc w:val="right"/>
      <w:pPr>
        <w:ind w:left="4392" w:hanging="180"/>
      </w:pPr>
    </w:lvl>
    <w:lvl w:ilvl="6" w:tplc="2C0A000F" w:tentative="1">
      <w:start w:val="1"/>
      <w:numFmt w:val="decimal"/>
      <w:lvlText w:val="%7."/>
      <w:lvlJc w:val="left"/>
      <w:pPr>
        <w:ind w:left="5112" w:hanging="360"/>
      </w:pPr>
    </w:lvl>
    <w:lvl w:ilvl="7" w:tplc="2C0A0019" w:tentative="1">
      <w:start w:val="1"/>
      <w:numFmt w:val="lowerLetter"/>
      <w:lvlText w:val="%8."/>
      <w:lvlJc w:val="left"/>
      <w:pPr>
        <w:ind w:left="5832" w:hanging="360"/>
      </w:pPr>
    </w:lvl>
    <w:lvl w:ilvl="8" w:tplc="2C0A001B" w:tentative="1">
      <w:start w:val="1"/>
      <w:numFmt w:val="lowerRoman"/>
      <w:lvlText w:val="%9."/>
      <w:lvlJc w:val="right"/>
      <w:pPr>
        <w:ind w:left="6552" w:hanging="180"/>
      </w:pPr>
    </w:lvl>
  </w:abstractNum>
  <w:abstractNum w:abstractNumId="5" w15:restartNumberingAfterBreak="0">
    <w:nsid w:val="2A8C665D"/>
    <w:multiLevelType w:val="hybridMultilevel"/>
    <w:tmpl w:val="A5D08A1A"/>
    <w:lvl w:ilvl="0" w:tplc="EE04B44E">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2BCB5081"/>
    <w:multiLevelType w:val="hybridMultilevel"/>
    <w:tmpl w:val="4F0267A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26B748A"/>
    <w:multiLevelType w:val="hybridMultilevel"/>
    <w:tmpl w:val="4AE8F8F2"/>
    <w:lvl w:ilvl="0" w:tplc="C452F48C">
      <w:start w:val="1"/>
      <w:numFmt w:val="lowerLetter"/>
      <w:lvlText w:val="(%1)"/>
      <w:lvlJc w:val="left"/>
      <w:pPr>
        <w:ind w:left="786" w:hanging="360"/>
      </w:pPr>
      <w:rPr>
        <w:rFonts w:hint="default"/>
        <w:b w:val="0"/>
        <w:i w:val="0"/>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8" w15:restartNumberingAfterBreak="0">
    <w:nsid w:val="37BA1AE8"/>
    <w:multiLevelType w:val="hybridMultilevel"/>
    <w:tmpl w:val="CAE2D2D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94E2BE7"/>
    <w:multiLevelType w:val="hybridMultilevel"/>
    <w:tmpl w:val="DCE0FCB4"/>
    <w:lvl w:ilvl="0" w:tplc="B5727548">
      <w:start w:val="1"/>
      <w:numFmt w:val="decimal"/>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0" w15:restartNumberingAfterBreak="0">
    <w:nsid w:val="423D6BAA"/>
    <w:multiLevelType w:val="hybridMultilevel"/>
    <w:tmpl w:val="04F8E7F4"/>
    <w:lvl w:ilvl="0" w:tplc="E19CA41A">
      <w:start w:val="1"/>
      <w:numFmt w:val="decimal"/>
      <w:lvlText w:val="%1."/>
      <w:lvlJc w:val="left"/>
      <w:pPr>
        <w:ind w:left="270" w:hanging="36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1" w15:restartNumberingAfterBreak="0">
    <w:nsid w:val="62E54292"/>
    <w:multiLevelType w:val="hybridMultilevel"/>
    <w:tmpl w:val="2DD0FCF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75036EB"/>
    <w:multiLevelType w:val="hybridMultilevel"/>
    <w:tmpl w:val="4ED4853C"/>
    <w:lvl w:ilvl="0" w:tplc="122EF33E">
      <w:start w:val="1"/>
      <w:numFmt w:val="decimal"/>
      <w:lvlText w:val="(%1)"/>
      <w:lvlJc w:val="left"/>
      <w:pPr>
        <w:ind w:left="578" w:hanging="360"/>
      </w:pPr>
      <w:rPr>
        <w:rFonts w:hint="default"/>
      </w:rPr>
    </w:lvl>
    <w:lvl w:ilvl="1" w:tplc="2C0A0019" w:tentative="1">
      <w:start w:val="1"/>
      <w:numFmt w:val="lowerLetter"/>
      <w:lvlText w:val="%2."/>
      <w:lvlJc w:val="left"/>
      <w:pPr>
        <w:ind w:left="1298" w:hanging="360"/>
      </w:pPr>
    </w:lvl>
    <w:lvl w:ilvl="2" w:tplc="2C0A001B" w:tentative="1">
      <w:start w:val="1"/>
      <w:numFmt w:val="lowerRoman"/>
      <w:lvlText w:val="%3."/>
      <w:lvlJc w:val="right"/>
      <w:pPr>
        <w:ind w:left="2018" w:hanging="180"/>
      </w:pPr>
    </w:lvl>
    <w:lvl w:ilvl="3" w:tplc="2C0A000F" w:tentative="1">
      <w:start w:val="1"/>
      <w:numFmt w:val="decimal"/>
      <w:lvlText w:val="%4."/>
      <w:lvlJc w:val="left"/>
      <w:pPr>
        <w:ind w:left="2738" w:hanging="360"/>
      </w:pPr>
    </w:lvl>
    <w:lvl w:ilvl="4" w:tplc="2C0A0019" w:tentative="1">
      <w:start w:val="1"/>
      <w:numFmt w:val="lowerLetter"/>
      <w:lvlText w:val="%5."/>
      <w:lvlJc w:val="left"/>
      <w:pPr>
        <w:ind w:left="3458" w:hanging="360"/>
      </w:pPr>
    </w:lvl>
    <w:lvl w:ilvl="5" w:tplc="2C0A001B" w:tentative="1">
      <w:start w:val="1"/>
      <w:numFmt w:val="lowerRoman"/>
      <w:lvlText w:val="%6."/>
      <w:lvlJc w:val="right"/>
      <w:pPr>
        <w:ind w:left="4178" w:hanging="180"/>
      </w:pPr>
    </w:lvl>
    <w:lvl w:ilvl="6" w:tplc="2C0A000F" w:tentative="1">
      <w:start w:val="1"/>
      <w:numFmt w:val="decimal"/>
      <w:lvlText w:val="%7."/>
      <w:lvlJc w:val="left"/>
      <w:pPr>
        <w:ind w:left="4898" w:hanging="360"/>
      </w:pPr>
    </w:lvl>
    <w:lvl w:ilvl="7" w:tplc="2C0A0019" w:tentative="1">
      <w:start w:val="1"/>
      <w:numFmt w:val="lowerLetter"/>
      <w:lvlText w:val="%8."/>
      <w:lvlJc w:val="left"/>
      <w:pPr>
        <w:ind w:left="5618" w:hanging="360"/>
      </w:pPr>
    </w:lvl>
    <w:lvl w:ilvl="8" w:tplc="2C0A001B" w:tentative="1">
      <w:start w:val="1"/>
      <w:numFmt w:val="lowerRoman"/>
      <w:lvlText w:val="%9."/>
      <w:lvlJc w:val="right"/>
      <w:pPr>
        <w:ind w:left="6338" w:hanging="180"/>
      </w:pPr>
    </w:lvl>
  </w:abstractNum>
  <w:abstractNum w:abstractNumId="13" w15:restartNumberingAfterBreak="0">
    <w:nsid w:val="68474BC7"/>
    <w:multiLevelType w:val="hybridMultilevel"/>
    <w:tmpl w:val="7B1C7AFE"/>
    <w:lvl w:ilvl="0" w:tplc="AFF2786E">
      <w:start w:val="1"/>
      <w:numFmt w:val="decimal"/>
      <w:lvlText w:val="%1."/>
      <w:lvlJc w:val="left"/>
      <w:pPr>
        <w:ind w:left="630" w:hanging="360"/>
      </w:pPr>
      <w:rPr>
        <w:rFonts w:hint="default"/>
        <w:b w:val="0"/>
      </w:rPr>
    </w:lvl>
    <w:lvl w:ilvl="1" w:tplc="2C0A0019">
      <w:start w:val="1"/>
      <w:numFmt w:val="lowerLetter"/>
      <w:lvlText w:val="%2."/>
      <w:lvlJc w:val="left"/>
      <w:pPr>
        <w:ind w:left="1350" w:hanging="360"/>
      </w:pPr>
    </w:lvl>
    <w:lvl w:ilvl="2" w:tplc="2C0A001B" w:tentative="1">
      <w:start w:val="1"/>
      <w:numFmt w:val="lowerRoman"/>
      <w:lvlText w:val="%3."/>
      <w:lvlJc w:val="right"/>
      <w:pPr>
        <w:ind w:left="2070" w:hanging="180"/>
      </w:pPr>
    </w:lvl>
    <w:lvl w:ilvl="3" w:tplc="2C0A000F" w:tentative="1">
      <w:start w:val="1"/>
      <w:numFmt w:val="decimal"/>
      <w:lvlText w:val="%4."/>
      <w:lvlJc w:val="left"/>
      <w:pPr>
        <w:ind w:left="2790" w:hanging="360"/>
      </w:pPr>
    </w:lvl>
    <w:lvl w:ilvl="4" w:tplc="2C0A0019" w:tentative="1">
      <w:start w:val="1"/>
      <w:numFmt w:val="lowerLetter"/>
      <w:lvlText w:val="%5."/>
      <w:lvlJc w:val="left"/>
      <w:pPr>
        <w:ind w:left="3510" w:hanging="360"/>
      </w:pPr>
    </w:lvl>
    <w:lvl w:ilvl="5" w:tplc="2C0A001B" w:tentative="1">
      <w:start w:val="1"/>
      <w:numFmt w:val="lowerRoman"/>
      <w:lvlText w:val="%6."/>
      <w:lvlJc w:val="right"/>
      <w:pPr>
        <w:ind w:left="4230" w:hanging="180"/>
      </w:pPr>
    </w:lvl>
    <w:lvl w:ilvl="6" w:tplc="2C0A000F" w:tentative="1">
      <w:start w:val="1"/>
      <w:numFmt w:val="decimal"/>
      <w:lvlText w:val="%7."/>
      <w:lvlJc w:val="left"/>
      <w:pPr>
        <w:ind w:left="4950" w:hanging="360"/>
      </w:pPr>
    </w:lvl>
    <w:lvl w:ilvl="7" w:tplc="2C0A0019" w:tentative="1">
      <w:start w:val="1"/>
      <w:numFmt w:val="lowerLetter"/>
      <w:lvlText w:val="%8."/>
      <w:lvlJc w:val="left"/>
      <w:pPr>
        <w:ind w:left="5670" w:hanging="360"/>
      </w:pPr>
    </w:lvl>
    <w:lvl w:ilvl="8" w:tplc="2C0A001B" w:tentative="1">
      <w:start w:val="1"/>
      <w:numFmt w:val="lowerRoman"/>
      <w:lvlText w:val="%9."/>
      <w:lvlJc w:val="right"/>
      <w:pPr>
        <w:ind w:left="6390" w:hanging="180"/>
      </w:pPr>
    </w:lvl>
  </w:abstractNum>
  <w:abstractNum w:abstractNumId="14" w15:restartNumberingAfterBreak="0">
    <w:nsid w:val="70426055"/>
    <w:multiLevelType w:val="hybridMultilevel"/>
    <w:tmpl w:val="B71076B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3"/>
  </w:num>
  <w:num w:numId="4">
    <w:abstractNumId w:val="5"/>
  </w:num>
  <w:num w:numId="5">
    <w:abstractNumId w:val="0"/>
  </w:num>
  <w:num w:numId="6">
    <w:abstractNumId w:val="11"/>
  </w:num>
  <w:num w:numId="7">
    <w:abstractNumId w:val="9"/>
  </w:num>
  <w:num w:numId="8">
    <w:abstractNumId w:val="1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6"/>
  </w:num>
  <w:num w:numId="13">
    <w:abstractNumId w:val="8"/>
  </w:num>
  <w:num w:numId="14">
    <w:abstractNumId w:val="7"/>
  </w:num>
  <w:num w:numId="1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AR" w:vendorID="64" w:dllVersion="6" w:nlCheck="1" w:checkStyle="1"/>
  <w:activeWritingStyle w:appName="MSWord" w:lang="pt-BR" w:vendorID="64" w:dllVersion="0" w:nlCheck="1" w:checkStyle="0"/>
  <w:activeWritingStyle w:appName="MSWord" w:lang="es-AR"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528"/>
    <w:rsid w:val="0000148D"/>
    <w:rsid w:val="00003F9B"/>
    <w:rsid w:val="00004F97"/>
    <w:rsid w:val="0001666C"/>
    <w:rsid w:val="00021212"/>
    <w:rsid w:val="00021872"/>
    <w:rsid w:val="000248A3"/>
    <w:rsid w:val="00027665"/>
    <w:rsid w:val="00040287"/>
    <w:rsid w:val="00041EA1"/>
    <w:rsid w:val="00045B5B"/>
    <w:rsid w:val="00045EED"/>
    <w:rsid w:val="0004738C"/>
    <w:rsid w:val="00047D67"/>
    <w:rsid w:val="0005279B"/>
    <w:rsid w:val="000537B6"/>
    <w:rsid w:val="00060ABF"/>
    <w:rsid w:val="000613B4"/>
    <w:rsid w:val="00062A67"/>
    <w:rsid w:val="00063482"/>
    <w:rsid w:val="00064AF1"/>
    <w:rsid w:val="00064F09"/>
    <w:rsid w:val="0007616F"/>
    <w:rsid w:val="000761E5"/>
    <w:rsid w:val="00076824"/>
    <w:rsid w:val="00077462"/>
    <w:rsid w:val="00080865"/>
    <w:rsid w:val="00081AC2"/>
    <w:rsid w:val="000831BB"/>
    <w:rsid w:val="00084E5E"/>
    <w:rsid w:val="00086CF1"/>
    <w:rsid w:val="0009117D"/>
    <w:rsid w:val="0009278B"/>
    <w:rsid w:val="00093FDF"/>
    <w:rsid w:val="000A2D3D"/>
    <w:rsid w:val="000A40ED"/>
    <w:rsid w:val="000A77D9"/>
    <w:rsid w:val="000B21FE"/>
    <w:rsid w:val="000B234F"/>
    <w:rsid w:val="000B4673"/>
    <w:rsid w:val="000C312A"/>
    <w:rsid w:val="000C504F"/>
    <w:rsid w:val="000D7661"/>
    <w:rsid w:val="000D788B"/>
    <w:rsid w:val="000E02B4"/>
    <w:rsid w:val="000E4AEF"/>
    <w:rsid w:val="000F0844"/>
    <w:rsid w:val="000F121C"/>
    <w:rsid w:val="000F3038"/>
    <w:rsid w:val="000F35A3"/>
    <w:rsid w:val="000F5CC2"/>
    <w:rsid w:val="000F5D53"/>
    <w:rsid w:val="000F71F2"/>
    <w:rsid w:val="000F733F"/>
    <w:rsid w:val="000F7BDB"/>
    <w:rsid w:val="00101BE0"/>
    <w:rsid w:val="00103BB0"/>
    <w:rsid w:val="00103BFA"/>
    <w:rsid w:val="00110A9D"/>
    <w:rsid w:val="00114EE8"/>
    <w:rsid w:val="00122903"/>
    <w:rsid w:val="00125DF0"/>
    <w:rsid w:val="00126CE0"/>
    <w:rsid w:val="001323CF"/>
    <w:rsid w:val="0013438A"/>
    <w:rsid w:val="00134481"/>
    <w:rsid w:val="0014477C"/>
    <w:rsid w:val="0015290D"/>
    <w:rsid w:val="00154521"/>
    <w:rsid w:val="00157A41"/>
    <w:rsid w:val="00171DA7"/>
    <w:rsid w:val="00172C29"/>
    <w:rsid w:val="0017353D"/>
    <w:rsid w:val="001765C6"/>
    <w:rsid w:val="001765EA"/>
    <w:rsid w:val="00177691"/>
    <w:rsid w:val="001851A7"/>
    <w:rsid w:val="00185C15"/>
    <w:rsid w:val="001917D8"/>
    <w:rsid w:val="0019440E"/>
    <w:rsid w:val="00197FD9"/>
    <w:rsid w:val="001A37B0"/>
    <w:rsid w:val="001A71F3"/>
    <w:rsid w:val="001B2F15"/>
    <w:rsid w:val="001B6C46"/>
    <w:rsid w:val="001C1F78"/>
    <w:rsid w:val="001C305C"/>
    <w:rsid w:val="001C464C"/>
    <w:rsid w:val="001D3E33"/>
    <w:rsid w:val="001D41C8"/>
    <w:rsid w:val="001E1760"/>
    <w:rsid w:val="001E287E"/>
    <w:rsid w:val="001E3656"/>
    <w:rsid w:val="001E4C79"/>
    <w:rsid w:val="001E5D65"/>
    <w:rsid w:val="001E7035"/>
    <w:rsid w:val="00200812"/>
    <w:rsid w:val="00200A6F"/>
    <w:rsid w:val="00202207"/>
    <w:rsid w:val="002028AB"/>
    <w:rsid w:val="002052E9"/>
    <w:rsid w:val="0021241D"/>
    <w:rsid w:val="00212528"/>
    <w:rsid w:val="00214761"/>
    <w:rsid w:val="002152D3"/>
    <w:rsid w:val="002171CB"/>
    <w:rsid w:val="0022389A"/>
    <w:rsid w:val="00223957"/>
    <w:rsid w:val="00225F27"/>
    <w:rsid w:val="00226637"/>
    <w:rsid w:val="00227DA3"/>
    <w:rsid w:val="00227F19"/>
    <w:rsid w:val="002324A1"/>
    <w:rsid w:val="00234E1F"/>
    <w:rsid w:val="00234F07"/>
    <w:rsid w:val="00240B1F"/>
    <w:rsid w:val="002438EA"/>
    <w:rsid w:val="00247B2C"/>
    <w:rsid w:val="002507A6"/>
    <w:rsid w:val="00254BCE"/>
    <w:rsid w:val="0025543D"/>
    <w:rsid w:val="0025701E"/>
    <w:rsid w:val="0026426B"/>
    <w:rsid w:val="0026700C"/>
    <w:rsid w:val="002723BE"/>
    <w:rsid w:val="00275D51"/>
    <w:rsid w:val="0027630F"/>
    <w:rsid w:val="0027677D"/>
    <w:rsid w:val="00286064"/>
    <w:rsid w:val="00295A44"/>
    <w:rsid w:val="002962A0"/>
    <w:rsid w:val="00297060"/>
    <w:rsid w:val="00297DBC"/>
    <w:rsid w:val="002A4E32"/>
    <w:rsid w:val="002A6E71"/>
    <w:rsid w:val="002A7F70"/>
    <w:rsid w:val="002B1861"/>
    <w:rsid w:val="002B4E2E"/>
    <w:rsid w:val="002B6E4A"/>
    <w:rsid w:val="002C319F"/>
    <w:rsid w:val="002C67ED"/>
    <w:rsid w:val="002C7551"/>
    <w:rsid w:val="002D11D6"/>
    <w:rsid w:val="002D4C74"/>
    <w:rsid w:val="002D60F6"/>
    <w:rsid w:val="002E7B26"/>
    <w:rsid w:val="002F1A61"/>
    <w:rsid w:val="002F33B0"/>
    <w:rsid w:val="002F5C72"/>
    <w:rsid w:val="00303CED"/>
    <w:rsid w:val="003064FD"/>
    <w:rsid w:val="00311B90"/>
    <w:rsid w:val="00313700"/>
    <w:rsid w:val="00313B39"/>
    <w:rsid w:val="003148AA"/>
    <w:rsid w:val="00316246"/>
    <w:rsid w:val="003222FE"/>
    <w:rsid w:val="003238C5"/>
    <w:rsid w:val="003250E6"/>
    <w:rsid w:val="00326902"/>
    <w:rsid w:val="00330100"/>
    <w:rsid w:val="00331158"/>
    <w:rsid w:val="0033254B"/>
    <w:rsid w:val="00334340"/>
    <w:rsid w:val="003454B7"/>
    <w:rsid w:val="0034606F"/>
    <w:rsid w:val="00352BA0"/>
    <w:rsid w:val="00353456"/>
    <w:rsid w:val="00355B64"/>
    <w:rsid w:val="003579FE"/>
    <w:rsid w:val="003619DA"/>
    <w:rsid w:val="00363FEE"/>
    <w:rsid w:val="00366A3A"/>
    <w:rsid w:val="003721C3"/>
    <w:rsid w:val="00372CD5"/>
    <w:rsid w:val="00376003"/>
    <w:rsid w:val="00376A4E"/>
    <w:rsid w:val="0038047D"/>
    <w:rsid w:val="003847AF"/>
    <w:rsid w:val="00392C6E"/>
    <w:rsid w:val="003948C3"/>
    <w:rsid w:val="003953B6"/>
    <w:rsid w:val="00396741"/>
    <w:rsid w:val="003A13DB"/>
    <w:rsid w:val="003A4EEC"/>
    <w:rsid w:val="003A5E0C"/>
    <w:rsid w:val="003B3394"/>
    <w:rsid w:val="003B4A9B"/>
    <w:rsid w:val="003B4C28"/>
    <w:rsid w:val="003C0B44"/>
    <w:rsid w:val="003C7475"/>
    <w:rsid w:val="003C7E21"/>
    <w:rsid w:val="003D3898"/>
    <w:rsid w:val="003D6A56"/>
    <w:rsid w:val="003D71A6"/>
    <w:rsid w:val="003E10DF"/>
    <w:rsid w:val="003E2D95"/>
    <w:rsid w:val="003E2FBC"/>
    <w:rsid w:val="003E4C64"/>
    <w:rsid w:val="003E7AC3"/>
    <w:rsid w:val="003E7C8D"/>
    <w:rsid w:val="003F478D"/>
    <w:rsid w:val="003F49C1"/>
    <w:rsid w:val="00402BB9"/>
    <w:rsid w:val="00415A24"/>
    <w:rsid w:val="004226D8"/>
    <w:rsid w:val="00422E32"/>
    <w:rsid w:val="00423E35"/>
    <w:rsid w:val="004251DB"/>
    <w:rsid w:val="00434346"/>
    <w:rsid w:val="00435CA4"/>
    <w:rsid w:val="00442848"/>
    <w:rsid w:val="00443992"/>
    <w:rsid w:val="004456B6"/>
    <w:rsid w:val="00446FCC"/>
    <w:rsid w:val="00450899"/>
    <w:rsid w:val="00450F68"/>
    <w:rsid w:val="00451021"/>
    <w:rsid w:val="004512D5"/>
    <w:rsid w:val="00451AE0"/>
    <w:rsid w:val="00451FCB"/>
    <w:rsid w:val="0045376B"/>
    <w:rsid w:val="00453FB4"/>
    <w:rsid w:val="00456D1F"/>
    <w:rsid w:val="00461979"/>
    <w:rsid w:val="00462AEF"/>
    <w:rsid w:val="004637A1"/>
    <w:rsid w:val="004670A2"/>
    <w:rsid w:val="00470D66"/>
    <w:rsid w:val="004746C0"/>
    <w:rsid w:val="004753E9"/>
    <w:rsid w:val="00481DFA"/>
    <w:rsid w:val="004925FE"/>
    <w:rsid w:val="00492748"/>
    <w:rsid w:val="00495C06"/>
    <w:rsid w:val="004A1201"/>
    <w:rsid w:val="004A203F"/>
    <w:rsid w:val="004A397F"/>
    <w:rsid w:val="004A44A3"/>
    <w:rsid w:val="004B7250"/>
    <w:rsid w:val="004B7784"/>
    <w:rsid w:val="004C06B8"/>
    <w:rsid w:val="004C6521"/>
    <w:rsid w:val="004D0F0D"/>
    <w:rsid w:val="004D3166"/>
    <w:rsid w:val="004D316D"/>
    <w:rsid w:val="004D59C3"/>
    <w:rsid w:val="004D7CC1"/>
    <w:rsid w:val="004E2C6C"/>
    <w:rsid w:val="004E4B01"/>
    <w:rsid w:val="004E4DC8"/>
    <w:rsid w:val="004E5B29"/>
    <w:rsid w:val="004E6969"/>
    <w:rsid w:val="004F161D"/>
    <w:rsid w:val="004F5CC1"/>
    <w:rsid w:val="00501B88"/>
    <w:rsid w:val="00502675"/>
    <w:rsid w:val="0050492A"/>
    <w:rsid w:val="00507F30"/>
    <w:rsid w:val="005113F0"/>
    <w:rsid w:val="00512328"/>
    <w:rsid w:val="00513F1C"/>
    <w:rsid w:val="005168D5"/>
    <w:rsid w:val="0052059B"/>
    <w:rsid w:val="00521E3E"/>
    <w:rsid w:val="00524061"/>
    <w:rsid w:val="00525736"/>
    <w:rsid w:val="00527B06"/>
    <w:rsid w:val="0053124A"/>
    <w:rsid w:val="00531A95"/>
    <w:rsid w:val="0053256F"/>
    <w:rsid w:val="00533371"/>
    <w:rsid w:val="00534292"/>
    <w:rsid w:val="0053588A"/>
    <w:rsid w:val="0054228E"/>
    <w:rsid w:val="00543C02"/>
    <w:rsid w:val="00547AA7"/>
    <w:rsid w:val="005551F9"/>
    <w:rsid w:val="005555EC"/>
    <w:rsid w:val="0055637F"/>
    <w:rsid w:val="00557343"/>
    <w:rsid w:val="005614DA"/>
    <w:rsid w:val="005627B9"/>
    <w:rsid w:val="00562DD6"/>
    <w:rsid w:val="005633F8"/>
    <w:rsid w:val="00573CD6"/>
    <w:rsid w:val="00574D92"/>
    <w:rsid w:val="005757BB"/>
    <w:rsid w:val="00577532"/>
    <w:rsid w:val="00577E60"/>
    <w:rsid w:val="00585BC2"/>
    <w:rsid w:val="00587E77"/>
    <w:rsid w:val="005906D8"/>
    <w:rsid w:val="00593687"/>
    <w:rsid w:val="005943CD"/>
    <w:rsid w:val="005A420A"/>
    <w:rsid w:val="005B19D2"/>
    <w:rsid w:val="005B1D62"/>
    <w:rsid w:val="005B56AE"/>
    <w:rsid w:val="005B7CC1"/>
    <w:rsid w:val="005C431C"/>
    <w:rsid w:val="005D1794"/>
    <w:rsid w:val="005D5825"/>
    <w:rsid w:val="005D799E"/>
    <w:rsid w:val="005E1070"/>
    <w:rsid w:val="005E198C"/>
    <w:rsid w:val="005E275A"/>
    <w:rsid w:val="005E439B"/>
    <w:rsid w:val="005E5A35"/>
    <w:rsid w:val="005E654A"/>
    <w:rsid w:val="005E7E3B"/>
    <w:rsid w:val="005F0EE4"/>
    <w:rsid w:val="005F2F15"/>
    <w:rsid w:val="005F35E8"/>
    <w:rsid w:val="005F5297"/>
    <w:rsid w:val="005F71F3"/>
    <w:rsid w:val="00600294"/>
    <w:rsid w:val="00601D5B"/>
    <w:rsid w:val="00603137"/>
    <w:rsid w:val="006071BF"/>
    <w:rsid w:val="00613441"/>
    <w:rsid w:val="00613742"/>
    <w:rsid w:val="00615FF4"/>
    <w:rsid w:val="006230D8"/>
    <w:rsid w:val="006248A5"/>
    <w:rsid w:val="00624BD4"/>
    <w:rsid w:val="0062638A"/>
    <w:rsid w:val="0063676C"/>
    <w:rsid w:val="00636D45"/>
    <w:rsid w:val="00641210"/>
    <w:rsid w:val="00643A9D"/>
    <w:rsid w:val="00645266"/>
    <w:rsid w:val="00645D03"/>
    <w:rsid w:val="00645DA6"/>
    <w:rsid w:val="006473CB"/>
    <w:rsid w:val="00653654"/>
    <w:rsid w:val="00655B51"/>
    <w:rsid w:val="006610F0"/>
    <w:rsid w:val="006665EF"/>
    <w:rsid w:val="00670790"/>
    <w:rsid w:val="00673CB9"/>
    <w:rsid w:val="00674274"/>
    <w:rsid w:val="00674746"/>
    <w:rsid w:val="006749E6"/>
    <w:rsid w:val="00686471"/>
    <w:rsid w:val="0068656A"/>
    <w:rsid w:val="006925F3"/>
    <w:rsid w:val="00694E43"/>
    <w:rsid w:val="006959CB"/>
    <w:rsid w:val="006A062F"/>
    <w:rsid w:val="006A0865"/>
    <w:rsid w:val="006A2D4B"/>
    <w:rsid w:val="006A4827"/>
    <w:rsid w:val="006A5CF4"/>
    <w:rsid w:val="006B05F2"/>
    <w:rsid w:val="006B16EE"/>
    <w:rsid w:val="006B172C"/>
    <w:rsid w:val="006B2A49"/>
    <w:rsid w:val="006B4AF3"/>
    <w:rsid w:val="006B55D5"/>
    <w:rsid w:val="006B7C7B"/>
    <w:rsid w:val="006B7E54"/>
    <w:rsid w:val="006C1AC9"/>
    <w:rsid w:val="006C32AF"/>
    <w:rsid w:val="006D095D"/>
    <w:rsid w:val="006D3951"/>
    <w:rsid w:val="006D5F1C"/>
    <w:rsid w:val="006D6C63"/>
    <w:rsid w:val="006D7AB7"/>
    <w:rsid w:val="006D7F4D"/>
    <w:rsid w:val="006E022B"/>
    <w:rsid w:val="006E0497"/>
    <w:rsid w:val="006E18AB"/>
    <w:rsid w:val="006F2C88"/>
    <w:rsid w:val="006F6194"/>
    <w:rsid w:val="006F7E0C"/>
    <w:rsid w:val="007009EA"/>
    <w:rsid w:val="00700FFA"/>
    <w:rsid w:val="007048A8"/>
    <w:rsid w:val="00706A87"/>
    <w:rsid w:val="007144BD"/>
    <w:rsid w:val="0071783E"/>
    <w:rsid w:val="0072283B"/>
    <w:rsid w:val="007228AC"/>
    <w:rsid w:val="00727FE5"/>
    <w:rsid w:val="00730A4D"/>
    <w:rsid w:val="00734468"/>
    <w:rsid w:val="007354E8"/>
    <w:rsid w:val="00741284"/>
    <w:rsid w:val="007425EA"/>
    <w:rsid w:val="007458A8"/>
    <w:rsid w:val="00747531"/>
    <w:rsid w:val="007524A6"/>
    <w:rsid w:val="0075728E"/>
    <w:rsid w:val="00757DDF"/>
    <w:rsid w:val="007607EE"/>
    <w:rsid w:val="0076212C"/>
    <w:rsid w:val="00764D9E"/>
    <w:rsid w:val="00765F03"/>
    <w:rsid w:val="0076620D"/>
    <w:rsid w:val="00771C52"/>
    <w:rsid w:val="00774494"/>
    <w:rsid w:val="00774551"/>
    <w:rsid w:val="007937A3"/>
    <w:rsid w:val="00793EB4"/>
    <w:rsid w:val="00794998"/>
    <w:rsid w:val="00794FC3"/>
    <w:rsid w:val="00795E44"/>
    <w:rsid w:val="007A34EE"/>
    <w:rsid w:val="007B0A00"/>
    <w:rsid w:val="007B238D"/>
    <w:rsid w:val="007B325E"/>
    <w:rsid w:val="007B445A"/>
    <w:rsid w:val="007C1B88"/>
    <w:rsid w:val="007C32AA"/>
    <w:rsid w:val="007C38A0"/>
    <w:rsid w:val="007C7A2F"/>
    <w:rsid w:val="007D19F1"/>
    <w:rsid w:val="007E0881"/>
    <w:rsid w:val="007E3480"/>
    <w:rsid w:val="007F2B0B"/>
    <w:rsid w:val="007F3AE9"/>
    <w:rsid w:val="007F4DCF"/>
    <w:rsid w:val="00810261"/>
    <w:rsid w:val="008121F6"/>
    <w:rsid w:val="00812CFD"/>
    <w:rsid w:val="00821F6B"/>
    <w:rsid w:val="00822101"/>
    <w:rsid w:val="00826388"/>
    <w:rsid w:val="00830FAE"/>
    <w:rsid w:val="00840CE5"/>
    <w:rsid w:val="00841F4D"/>
    <w:rsid w:val="00861B23"/>
    <w:rsid w:val="0086369D"/>
    <w:rsid w:val="0086663C"/>
    <w:rsid w:val="008666D0"/>
    <w:rsid w:val="00867D98"/>
    <w:rsid w:val="00871434"/>
    <w:rsid w:val="0087676A"/>
    <w:rsid w:val="00876AB1"/>
    <w:rsid w:val="008775F0"/>
    <w:rsid w:val="00880ACD"/>
    <w:rsid w:val="008810E6"/>
    <w:rsid w:val="00886C85"/>
    <w:rsid w:val="008906EA"/>
    <w:rsid w:val="00891A11"/>
    <w:rsid w:val="00893371"/>
    <w:rsid w:val="008A0F50"/>
    <w:rsid w:val="008A46F7"/>
    <w:rsid w:val="008B04D2"/>
    <w:rsid w:val="008B5746"/>
    <w:rsid w:val="008B5A34"/>
    <w:rsid w:val="008B5FEC"/>
    <w:rsid w:val="008B7406"/>
    <w:rsid w:val="008D1DB3"/>
    <w:rsid w:val="008D341B"/>
    <w:rsid w:val="008D7512"/>
    <w:rsid w:val="008E0EF3"/>
    <w:rsid w:val="008E1368"/>
    <w:rsid w:val="008E49DD"/>
    <w:rsid w:val="008F432B"/>
    <w:rsid w:val="00901A76"/>
    <w:rsid w:val="00902901"/>
    <w:rsid w:val="0091000F"/>
    <w:rsid w:val="0091203E"/>
    <w:rsid w:val="009120B1"/>
    <w:rsid w:val="009122D7"/>
    <w:rsid w:val="009123D6"/>
    <w:rsid w:val="009124CB"/>
    <w:rsid w:val="00912E09"/>
    <w:rsid w:val="009167E9"/>
    <w:rsid w:val="00916903"/>
    <w:rsid w:val="00916F6E"/>
    <w:rsid w:val="0091705B"/>
    <w:rsid w:val="00917795"/>
    <w:rsid w:val="00917BE3"/>
    <w:rsid w:val="009213BF"/>
    <w:rsid w:val="00921F6F"/>
    <w:rsid w:val="0092397E"/>
    <w:rsid w:val="00923CD6"/>
    <w:rsid w:val="00925874"/>
    <w:rsid w:val="00925E94"/>
    <w:rsid w:val="00932AF8"/>
    <w:rsid w:val="00934E97"/>
    <w:rsid w:val="00936EE7"/>
    <w:rsid w:val="00943132"/>
    <w:rsid w:val="00944FAE"/>
    <w:rsid w:val="009500A6"/>
    <w:rsid w:val="00951135"/>
    <w:rsid w:val="00953D5D"/>
    <w:rsid w:val="00956AEB"/>
    <w:rsid w:val="00961C59"/>
    <w:rsid w:val="00964E47"/>
    <w:rsid w:val="0096672B"/>
    <w:rsid w:val="00967D58"/>
    <w:rsid w:val="00967FB8"/>
    <w:rsid w:val="009706C5"/>
    <w:rsid w:val="0097137A"/>
    <w:rsid w:val="0097297E"/>
    <w:rsid w:val="00975D8A"/>
    <w:rsid w:val="00985303"/>
    <w:rsid w:val="00985FD2"/>
    <w:rsid w:val="0098622B"/>
    <w:rsid w:val="00986381"/>
    <w:rsid w:val="009909FF"/>
    <w:rsid w:val="00991A00"/>
    <w:rsid w:val="00994F04"/>
    <w:rsid w:val="0099643F"/>
    <w:rsid w:val="0099749D"/>
    <w:rsid w:val="009A2FD5"/>
    <w:rsid w:val="009A4825"/>
    <w:rsid w:val="009A5099"/>
    <w:rsid w:val="009A614C"/>
    <w:rsid w:val="009B05D7"/>
    <w:rsid w:val="009B0AEA"/>
    <w:rsid w:val="009B66A9"/>
    <w:rsid w:val="009C0379"/>
    <w:rsid w:val="009C1148"/>
    <w:rsid w:val="009C197C"/>
    <w:rsid w:val="009D0227"/>
    <w:rsid w:val="009D3B41"/>
    <w:rsid w:val="009D6879"/>
    <w:rsid w:val="009E0333"/>
    <w:rsid w:val="009E132A"/>
    <w:rsid w:val="009F1E58"/>
    <w:rsid w:val="00A0300C"/>
    <w:rsid w:val="00A07311"/>
    <w:rsid w:val="00A10D01"/>
    <w:rsid w:val="00A25ABF"/>
    <w:rsid w:val="00A2678A"/>
    <w:rsid w:val="00A3251F"/>
    <w:rsid w:val="00A34B14"/>
    <w:rsid w:val="00A35F0A"/>
    <w:rsid w:val="00A40D9B"/>
    <w:rsid w:val="00A427B1"/>
    <w:rsid w:val="00A43015"/>
    <w:rsid w:val="00A44510"/>
    <w:rsid w:val="00A45A71"/>
    <w:rsid w:val="00A46EDE"/>
    <w:rsid w:val="00A4735B"/>
    <w:rsid w:val="00A507BA"/>
    <w:rsid w:val="00A512D6"/>
    <w:rsid w:val="00A53200"/>
    <w:rsid w:val="00A53B45"/>
    <w:rsid w:val="00A62D6D"/>
    <w:rsid w:val="00A65325"/>
    <w:rsid w:val="00A67088"/>
    <w:rsid w:val="00A67E7B"/>
    <w:rsid w:val="00A70568"/>
    <w:rsid w:val="00A73A96"/>
    <w:rsid w:val="00A7407C"/>
    <w:rsid w:val="00A85E4C"/>
    <w:rsid w:val="00A87F81"/>
    <w:rsid w:val="00A940F4"/>
    <w:rsid w:val="00A96578"/>
    <w:rsid w:val="00A97902"/>
    <w:rsid w:val="00AA140A"/>
    <w:rsid w:val="00AA1C96"/>
    <w:rsid w:val="00AB0355"/>
    <w:rsid w:val="00AB5957"/>
    <w:rsid w:val="00AB6FAD"/>
    <w:rsid w:val="00AC04D8"/>
    <w:rsid w:val="00AC0E63"/>
    <w:rsid w:val="00AC36F2"/>
    <w:rsid w:val="00AC5773"/>
    <w:rsid w:val="00AC5EFE"/>
    <w:rsid w:val="00AD1C8F"/>
    <w:rsid w:val="00AD2C93"/>
    <w:rsid w:val="00AD3A43"/>
    <w:rsid w:val="00AD5A9A"/>
    <w:rsid w:val="00AE0D89"/>
    <w:rsid w:val="00AE29C8"/>
    <w:rsid w:val="00AE2D05"/>
    <w:rsid w:val="00AF24A3"/>
    <w:rsid w:val="00AF3D2B"/>
    <w:rsid w:val="00AF7C47"/>
    <w:rsid w:val="00B005EB"/>
    <w:rsid w:val="00B03D0C"/>
    <w:rsid w:val="00B11639"/>
    <w:rsid w:val="00B11A75"/>
    <w:rsid w:val="00B124EA"/>
    <w:rsid w:val="00B143CF"/>
    <w:rsid w:val="00B16B76"/>
    <w:rsid w:val="00B216F3"/>
    <w:rsid w:val="00B24714"/>
    <w:rsid w:val="00B26787"/>
    <w:rsid w:val="00B27E36"/>
    <w:rsid w:val="00B36AB2"/>
    <w:rsid w:val="00B432C5"/>
    <w:rsid w:val="00B453E0"/>
    <w:rsid w:val="00B46A9D"/>
    <w:rsid w:val="00B53068"/>
    <w:rsid w:val="00B54888"/>
    <w:rsid w:val="00B61A9D"/>
    <w:rsid w:val="00B6685D"/>
    <w:rsid w:val="00B66942"/>
    <w:rsid w:val="00B75507"/>
    <w:rsid w:val="00B76A5F"/>
    <w:rsid w:val="00B77448"/>
    <w:rsid w:val="00B81424"/>
    <w:rsid w:val="00B82EC7"/>
    <w:rsid w:val="00B92773"/>
    <w:rsid w:val="00B9685C"/>
    <w:rsid w:val="00BA331D"/>
    <w:rsid w:val="00BA38C7"/>
    <w:rsid w:val="00BA6659"/>
    <w:rsid w:val="00BB2B2A"/>
    <w:rsid w:val="00BB7C6A"/>
    <w:rsid w:val="00BC32DC"/>
    <w:rsid w:val="00BC35D4"/>
    <w:rsid w:val="00BC3E2F"/>
    <w:rsid w:val="00BC5985"/>
    <w:rsid w:val="00BC6898"/>
    <w:rsid w:val="00BC7562"/>
    <w:rsid w:val="00BD272F"/>
    <w:rsid w:val="00BD283C"/>
    <w:rsid w:val="00BD5ABD"/>
    <w:rsid w:val="00BD7BCB"/>
    <w:rsid w:val="00BE0C5A"/>
    <w:rsid w:val="00BE5EA7"/>
    <w:rsid w:val="00BF169B"/>
    <w:rsid w:val="00BF1853"/>
    <w:rsid w:val="00BF2C7E"/>
    <w:rsid w:val="00BF322C"/>
    <w:rsid w:val="00BF336B"/>
    <w:rsid w:val="00BF53D2"/>
    <w:rsid w:val="00BF766A"/>
    <w:rsid w:val="00C005EC"/>
    <w:rsid w:val="00C017C6"/>
    <w:rsid w:val="00C01D88"/>
    <w:rsid w:val="00C075DE"/>
    <w:rsid w:val="00C16F5A"/>
    <w:rsid w:val="00C259F0"/>
    <w:rsid w:val="00C30020"/>
    <w:rsid w:val="00C33244"/>
    <w:rsid w:val="00C3602C"/>
    <w:rsid w:val="00C3679E"/>
    <w:rsid w:val="00C37D88"/>
    <w:rsid w:val="00C4125B"/>
    <w:rsid w:val="00C43633"/>
    <w:rsid w:val="00C45B4B"/>
    <w:rsid w:val="00C46BBA"/>
    <w:rsid w:val="00C50B97"/>
    <w:rsid w:val="00C50E64"/>
    <w:rsid w:val="00C5133B"/>
    <w:rsid w:val="00C552D6"/>
    <w:rsid w:val="00C561C8"/>
    <w:rsid w:val="00C568E2"/>
    <w:rsid w:val="00C6138E"/>
    <w:rsid w:val="00C67894"/>
    <w:rsid w:val="00C72790"/>
    <w:rsid w:val="00C75A87"/>
    <w:rsid w:val="00C77813"/>
    <w:rsid w:val="00C816FB"/>
    <w:rsid w:val="00C8225B"/>
    <w:rsid w:val="00C83B64"/>
    <w:rsid w:val="00C85F21"/>
    <w:rsid w:val="00C86322"/>
    <w:rsid w:val="00C87933"/>
    <w:rsid w:val="00C87ED6"/>
    <w:rsid w:val="00C90566"/>
    <w:rsid w:val="00CA0755"/>
    <w:rsid w:val="00CA0FAC"/>
    <w:rsid w:val="00CA103D"/>
    <w:rsid w:val="00CA1E15"/>
    <w:rsid w:val="00CB1AB3"/>
    <w:rsid w:val="00CB2C1E"/>
    <w:rsid w:val="00CB2CC1"/>
    <w:rsid w:val="00CB4A71"/>
    <w:rsid w:val="00CB79A3"/>
    <w:rsid w:val="00CC2E83"/>
    <w:rsid w:val="00CC2F87"/>
    <w:rsid w:val="00CC305F"/>
    <w:rsid w:val="00CC497E"/>
    <w:rsid w:val="00CD165C"/>
    <w:rsid w:val="00CD50B0"/>
    <w:rsid w:val="00CD6054"/>
    <w:rsid w:val="00CD625D"/>
    <w:rsid w:val="00CD724E"/>
    <w:rsid w:val="00CE7160"/>
    <w:rsid w:val="00CF40C5"/>
    <w:rsid w:val="00CF6D32"/>
    <w:rsid w:val="00CF7C95"/>
    <w:rsid w:val="00D01E07"/>
    <w:rsid w:val="00D042F7"/>
    <w:rsid w:val="00D0716A"/>
    <w:rsid w:val="00D12C85"/>
    <w:rsid w:val="00D1644A"/>
    <w:rsid w:val="00D16BC5"/>
    <w:rsid w:val="00D204D8"/>
    <w:rsid w:val="00D23069"/>
    <w:rsid w:val="00D236C2"/>
    <w:rsid w:val="00D268BB"/>
    <w:rsid w:val="00D30406"/>
    <w:rsid w:val="00D3267F"/>
    <w:rsid w:val="00D3680D"/>
    <w:rsid w:val="00D3772C"/>
    <w:rsid w:val="00D37D4D"/>
    <w:rsid w:val="00D44EA5"/>
    <w:rsid w:val="00D519F1"/>
    <w:rsid w:val="00D525DD"/>
    <w:rsid w:val="00D5658F"/>
    <w:rsid w:val="00D602C0"/>
    <w:rsid w:val="00D6184B"/>
    <w:rsid w:val="00D61D73"/>
    <w:rsid w:val="00D64A7E"/>
    <w:rsid w:val="00D6542B"/>
    <w:rsid w:val="00D70A17"/>
    <w:rsid w:val="00D715BE"/>
    <w:rsid w:val="00D74A6B"/>
    <w:rsid w:val="00D76544"/>
    <w:rsid w:val="00D86889"/>
    <w:rsid w:val="00D8731D"/>
    <w:rsid w:val="00D87945"/>
    <w:rsid w:val="00D90ED0"/>
    <w:rsid w:val="00D917DE"/>
    <w:rsid w:val="00D95712"/>
    <w:rsid w:val="00D95AF3"/>
    <w:rsid w:val="00D96AE4"/>
    <w:rsid w:val="00DA0684"/>
    <w:rsid w:val="00DA2EED"/>
    <w:rsid w:val="00DA4F8D"/>
    <w:rsid w:val="00DA5A79"/>
    <w:rsid w:val="00DA645C"/>
    <w:rsid w:val="00DA6A03"/>
    <w:rsid w:val="00DA73A3"/>
    <w:rsid w:val="00DB3BCB"/>
    <w:rsid w:val="00DB43DD"/>
    <w:rsid w:val="00DC0369"/>
    <w:rsid w:val="00DC200F"/>
    <w:rsid w:val="00DC789E"/>
    <w:rsid w:val="00DC7AFC"/>
    <w:rsid w:val="00DD0F32"/>
    <w:rsid w:val="00DD249D"/>
    <w:rsid w:val="00DD4515"/>
    <w:rsid w:val="00DD457F"/>
    <w:rsid w:val="00DE4098"/>
    <w:rsid w:val="00DF0819"/>
    <w:rsid w:val="00DF3BBC"/>
    <w:rsid w:val="00DF6388"/>
    <w:rsid w:val="00DF7C09"/>
    <w:rsid w:val="00E002A1"/>
    <w:rsid w:val="00E00AEE"/>
    <w:rsid w:val="00E0645D"/>
    <w:rsid w:val="00E11E6E"/>
    <w:rsid w:val="00E226F9"/>
    <w:rsid w:val="00E22901"/>
    <w:rsid w:val="00E26968"/>
    <w:rsid w:val="00E33A0C"/>
    <w:rsid w:val="00E40173"/>
    <w:rsid w:val="00E41DF6"/>
    <w:rsid w:val="00E42531"/>
    <w:rsid w:val="00E4591F"/>
    <w:rsid w:val="00E45B34"/>
    <w:rsid w:val="00E504B5"/>
    <w:rsid w:val="00E51121"/>
    <w:rsid w:val="00E55F26"/>
    <w:rsid w:val="00E57523"/>
    <w:rsid w:val="00E57D30"/>
    <w:rsid w:val="00E60601"/>
    <w:rsid w:val="00E61C9D"/>
    <w:rsid w:val="00E63AF8"/>
    <w:rsid w:val="00E745F8"/>
    <w:rsid w:val="00E747A1"/>
    <w:rsid w:val="00E74FF0"/>
    <w:rsid w:val="00E76A71"/>
    <w:rsid w:val="00E76BF8"/>
    <w:rsid w:val="00E82483"/>
    <w:rsid w:val="00E85983"/>
    <w:rsid w:val="00E87427"/>
    <w:rsid w:val="00E93B0C"/>
    <w:rsid w:val="00E978C4"/>
    <w:rsid w:val="00EA0D35"/>
    <w:rsid w:val="00EA2F57"/>
    <w:rsid w:val="00EA2FD3"/>
    <w:rsid w:val="00EA5A60"/>
    <w:rsid w:val="00EB1DDA"/>
    <w:rsid w:val="00EB39CA"/>
    <w:rsid w:val="00EB44D6"/>
    <w:rsid w:val="00EB4CBE"/>
    <w:rsid w:val="00EC501D"/>
    <w:rsid w:val="00ED05F8"/>
    <w:rsid w:val="00ED4021"/>
    <w:rsid w:val="00ED4203"/>
    <w:rsid w:val="00EE0BD0"/>
    <w:rsid w:val="00EE3E59"/>
    <w:rsid w:val="00EE400B"/>
    <w:rsid w:val="00EE5C1E"/>
    <w:rsid w:val="00EF00C7"/>
    <w:rsid w:val="00EF049A"/>
    <w:rsid w:val="00EF18CB"/>
    <w:rsid w:val="00EF36B5"/>
    <w:rsid w:val="00EF4E53"/>
    <w:rsid w:val="00EF4E71"/>
    <w:rsid w:val="00EF66FD"/>
    <w:rsid w:val="00EF7606"/>
    <w:rsid w:val="00F0263F"/>
    <w:rsid w:val="00F03D24"/>
    <w:rsid w:val="00F06192"/>
    <w:rsid w:val="00F11320"/>
    <w:rsid w:val="00F11494"/>
    <w:rsid w:val="00F116B8"/>
    <w:rsid w:val="00F1177E"/>
    <w:rsid w:val="00F12FFB"/>
    <w:rsid w:val="00F20289"/>
    <w:rsid w:val="00F203D7"/>
    <w:rsid w:val="00F247EB"/>
    <w:rsid w:val="00F26D88"/>
    <w:rsid w:val="00F31753"/>
    <w:rsid w:val="00F3282F"/>
    <w:rsid w:val="00F33609"/>
    <w:rsid w:val="00F37DF0"/>
    <w:rsid w:val="00F42D17"/>
    <w:rsid w:val="00F451C9"/>
    <w:rsid w:val="00F47283"/>
    <w:rsid w:val="00F47F23"/>
    <w:rsid w:val="00F506C3"/>
    <w:rsid w:val="00F604D4"/>
    <w:rsid w:val="00F608B2"/>
    <w:rsid w:val="00F61263"/>
    <w:rsid w:val="00F62988"/>
    <w:rsid w:val="00F62A61"/>
    <w:rsid w:val="00F634E3"/>
    <w:rsid w:val="00F64DF0"/>
    <w:rsid w:val="00F70767"/>
    <w:rsid w:val="00F70DE4"/>
    <w:rsid w:val="00F722EC"/>
    <w:rsid w:val="00F74EA5"/>
    <w:rsid w:val="00F81417"/>
    <w:rsid w:val="00F82CC9"/>
    <w:rsid w:val="00F83167"/>
    <w:rsid w:val="00F8789A"/>
    <w:rsid w:val="00F90E89"/>
    <w:rsid w:val="00F92F0E"/>
    <w:rsid w:val="00F9596E"/>
    <w:rsid w:val="00F97904"/>
    <w:rsid w:val="00FA0A63"/>
    <w:rsid w:val="00FA1864"/>
    <w:rsid w:val="00FA4A1A"/>
    <w:rsid w:val="00FA59E5"/>
    <w:rsid w:val="00FB0061"/>
    <w:rsid w:val="00FB3F91"/>
    <w:rsid w:val="00FB59FE"/>
    <w:rsid w:val="00FB65BD"/>
    <w:rsid w:val="00FB6926"/>
    <w:rsid w:val="00FC2438"/>
    <w:rsid w:val="00FC2656"/>
    <w:rsid w:val="00FD00EF"/>
    <w:rsid w:val="00FD0D07"/>
    <w:rsid w:val="00FD1DAF"/>
    <w:rsid w:val="00FD3723"/>
    <w:rsid w:val="00FD4BAD"/>
    <w:rsid w:val="00FD5989"/>
    <w:rsid w:val="00FE6682"/>
    <w:rsid w:val="00FE6A5A"/>
    <w:rsid w:val="00FF0C62"/>
    <w:rsid w:val="00FF2A0B"/>
    <w:rsid w:val="00FF2AA0"/>
    <w:rsid w:val="00FF449B"/>
    <w:rsid w:val="00FF5350"/>
    <w:rsid w:val="00FF6522"/>
    <w:rsid w:val="00FF66DE"/>
    <w:rsid w:val="00FF6A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EC987"/>
  <w15:docId w15:val="{765ADC0F-5290-4C0B-B3B8-BF306D1C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B39"/>
    <w:pPr>
      <w:ind w:left="720"/>
      <w:contextualSpacing/>
    </w:pPr>
  </w:style>
  <w:style w:type="paragraph" w:styleId="BalloonText">
    <w:name w:val="Balloon Text"/>
    <w:basedOn w:val="Normal"/>
    <w:link w:val="BalloonTextChar"/>
    <w:uiPriority w:val="99"/>
    <w:semiHidden/>
    <w:unhideWhenUsed/>
    <w:rsid w:val="00990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9FF"/>
    <w:rPr>
      <w:rFonts w:ascii="Tahoma" w:hAnsi="Tahoma" w:cs="Tahoma"/>
      <w:sz w:val="16"/>
      <w:szCs w:val="16"/>
    </w:rPr>
  </w:style>
  <w:style w:type="paragraph" w:customStyle="1" w:styleId="Texto">
    <w:name w:val="Texto"/>
    <w:basedOn w:val="Normal"/>
    <w:link w:val="TextoChar"/>
    <w:qFormat/>
    <w:rsid w:val="00AF7C47"/>
    <w:pPr>
      <w:spacing w:after="0" w:line="240" w:lineRule="auto"/>
      <w:jc w:val="both"/>
    </w:pPr>
    <w:rPr>
      <w:rFonts w:ascii="Arial" w:eastAsia="Calibri" w:hAnsi="Arial" w:cs="Times New Roman"/>
      <w:sz w:val="20"/>
    </w:rPr>
  </w:style>
  <w:style w:type="character" w:customStyle="1" w:styleId="TextoChar">
    <w:name w:val="Texto Char"/>
    <w:basedOn w:val="DefaultParagraphFont"/>
    <w:link w:val="Texto"/>
    <w:rsid w:val="00AF7C47"/>
    <w:rPr>
      <w:rFonts w:ascii="Arial" w:eastAsia="Calibri" w:hAnsi="Arial" w:cs="Times New Roman"/>
      <w:sz w:val="20"/>
      <w:lang w:val="es-AR"/>
    </w:rPr>
  </w:style>
  <w:style w:type="table" w:styleId="TableGrid">
    <w:name w:val="Table Grid"/>
    <w:basedOn w:val="TableNormal"/>
    <w:uiPriority w:val="59"/>
    <w:rsid w:val="00E1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7DBC"/>
    <w:rPr>
      <w:sz w:val="16"/>
      <w:szCs w:val="16"/>
    </w:rPr>
  </w:style>
  <w:style w:type="paragraph" w:styleId="CommentText">
    <w:name w:val="annotation text"/>
    <w:basedOn w:val="Normal"/>
    <w:link w:val="CommentTextChar"/>
    <w:uiPriority w:val="99"/>
    <w:semiHidden/>
    <w:unhideWhenUsed/>
    <w:rsid w:val="00297DBC"/>
    <w:pPr>
      <w:spacing w:line="240" w:lineRule="auto"/>
    </w:pPr>
    <w:rPr>
      <w:sz w:val="20"/>
      <w:szCs w:val="20"/>
    </w:rPr>
  </w:style>
  <w:style w:type="character" w:customStyle="1" w:styleId="CommentTextChar">
    <w:name w:val="Comment Text Char"/>
    <w:basedOn w:val="DefaultParagraphFont"/>
    <w:link w:val="CommentText"/>
    <w:uiPriority w:val="99"/>
    <w:semiHidden/>
    <w:rsid w:val="00297DBC"/>
    <w:rPr>
      <w:sz w:val="20"/>
      <w:szCs w:val="20"/>
    </w:rPr>
  </w:style>
  <w:style w:type="paragraph" w:styleId="CommentSubject">
    <w:name w:val="annotation subject"/>
    <w:basedOn w:val="CommentText"/>
    <w:next w:val="CommentText"/>
    <w:link w:val="CommentSubjectChar"/>
    <w:uiPriority w:val="99"/>
    <w:semiHidden/>
    <w:unhideWhenUsed/>
    <w:rsid w:val="00297DBC"/>
    <w:rPr>
      <w:b/>
      <w:bCs/>
    </w:rPr>
  </w:style>
  <w:style w:type="character" w:customStyle="1" w:styleId="CommentSubjectChar">
    <w:name w:val="Comment Subject Char"/>
    <w:basedOn w:val="CommentTextChar"/>
    <w:link w:val="CommentSubject"/>
    <w:uiPriority w:val="99"/>
    <w:semiHidden/>
    <w:rsid w:val="00297DBC"/>
    <w:rPr>
      <w:b/>
      <w:bCs/>
      <w:sz w:val="20"/>
      <w:szCs w:val="20"/>
    </w:rPr>
  </w:style>
  <w:style w:type="paragraph" w:styleId="Header">
    <w:name w:val="header"/>
    <w:basedOn w:val="Normal"/>
    <w:link w:val="HeaderChar"/>
    <w:uiPriority w:val="99"/>
    <w:unhideWhenUsed/>
    <w:rsid w:val="00227F19"/>
    <w:pPr>
      <w:tabs>
        <w:tab w:val="center" w:pos="4419"/>
        <w:tab w:val="right" w:pos="8838"/>
      </w:tabs>
      <w:spacing w:after="0" w:line="240" w:lineRule="auto"/>
    </w:pPr>
  </w:style>
  <w:style w:type="character" w:customStyle="1" w:styleId="HeaderChar">
    <w:name w:val="Header Char"/>
    <w:basedOn w:val="DefaultParagraphFont"/>
    <w:link w:val="Header"/>
    <w:uiPriority w:val="99"/>
    <w:rsid w:val="00227F19"/>
  </w:style>
  <w:style w:type="paragraph" w:styleId="Footer">
    <w:name w:val="footer"/>
    <w:basedOn w:val="Normal"/>
    <w:link w:val="FooterChar"/>
    <w:uiPriority w:val="99"/>
    <w:unhideWhenUsed/>
    <w:rsid w:val="00227F19"/>
    <w:pPr>
      <w:tabs>
        <w:tab w:val="center" w:pos="4419"/>
        <w:tab w:val="right" w:pos="8838"/>
      </w:tabs>
      <w:spacing w:after="0" w:line="240" w:lineRule="auto"/>
    </w:pPr>
  </w:style>
  <w:style w:type="character" w:customStyle="1" w:styleId="FooterChar">
    <w:name w:val="Footer Char"/>
    <w:basedOn w:val="DefaultParagraphFont"/>
    <w:link w:val="Footer"/>
    <w:uiPriority w:val="99"/>
    <w:rsid w:val="00227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88202">
      <w:bodyDiv w:val="1"/>
      <w:marLeft w:val="0"/>
      <w:marRight w:val="0"/>
      <w:marTop w:val="0"/>
      <w:marBottom w:val="0"/>
      <w:divBdr>
        <w:top w:val="none" w:sz="0" w:space="0" w:color="auto"/>
        <w:left w:val="none" w:sz="0" w:space="0" w:color="auto"/>
        <w:bottom w:val="none" w:sz="0" w:space="0" w:color="auto"/>
        <w:right w:val="none" w:sz="0" w:space="0" w:color="auto"/>
      </w:divBdr>
    </w:div>
    <w:div w:id="238294267">
      <w:bodyDiv w:val="1"/>
      <w:marLeft w:val="0"/>
      <w:marRight w:val="0"/>
      <w:marTop w:val="0"/>
      <w:marBottom w:val="0"/>
      <w:divBdr>
        <w:top w:val="none" w:sz="0" w:space="0" w:color="auto"/>
        <w:left w:val="none" w:sz="0" w:space="0" w:color="auto"/>
        <w:bottom w:val="none" w:sz="0" w:space="0" w:color="auto"/>
        <w:right w:val="none" w:sz="0" w:space="0" w:color="auto"/>
      </w:divBdr>
    </w:div>
    <w:div w:id="484395218">
      <w:bodyDiv w:val="1"/>
      <w:marLeft w:val="0"/>
      <w:marRight w:val="0"/>
      <w:marTop w:val="0"/>
      <w:marBottom w:val="0"/>
      <w:divBdr>
        <w:top w:val="none" w:sz="0" w:space="0" w:color="auto"/>
        <w:left w:val="none" w:sz="0" w:space="0" w:color="auto"/>
        <w:bottom w:val="none" w:sz="0" w:space="0" w:color="auto"/>
        <w:right w:val="none" w:sz="0" w:space="0" w:color="auto"/>
      </w:divBdr>
    </w:div>
    <w:div w:id="758520683">
      <w:bodyDiv w:val="1"/>
      <w:marLeft w:val="0"/>
      <w:marRight w:val="0"/>
      <w:marTop w:val="0"/>
      <w:marBottom w:val="0"/>
      <w:divBdr>
        <w:top w:val="none" w:sz="0" w:space="0" w:color="auto"/>
        <w:left w:val="none" w:sz="0" w:space="0" w:color="auto"/>
        <w:bottom w:val="none" w:sz="0" w:space="0" w:color="auto"/>
        <w:right w:val="none" w:sz="0" w:space="0" w:color="auto"/>
      </w:divBdr>
    </w:div>
    <w:div w:id="985083703">
      <w:bodyDiv w:val="1"/>
      <w:marLeft w:val="0"/>
      <w:marRight w:val="0"/>
      <w:marTop w:val="0"/>
      <w:marBottom w:val="0"/>
      <w:divBdr>
        <w:top w:val="none" w:sz="0" w:space="0" w:color="auto"/>
        <w:left w:val="none" w:sz="0" w:space="0" w:color="auto"/>
        <w:bottom w:val="none" w:sz="0" w:space="0" w:color="auto"/>
        <w:right w:val="none" w:sz="0" w:space="0" w:color="auto"/>
      </w:divBdr>
    </w:div>
    <w:div w:id="1712802844">
      <w:bodyDiv w:val="1"/>
      <w:marLeft w:val="0"/>
      <w:marRight w:val="0"/>
      <w:marTop w:val="0"/>
      <w:marBottom w:val="0"/>
      <w:divBdr>
        <w:top w:val="none" w:sz="0" w:space="0" w:color="auto"/>
        <w:left w:val="none" w:sz="0" w:space="0" w:color="auto"/>
        <w:bottom w:val="none" w:sz="0" w:space="0" w:color="auto"/>
        <w:right w:val="none" w:sz="0" w:space="0" w:color="auto"/>
      </w:divBdr>
    </w:div>
    <w:div w:id="191786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C3DF8-8B79-4C09-BCBC-2B83F65D5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1190</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carlos.menendez</dc:creator>
  <cp:lastModifiedBy>Giselle Petruccelli</cp:lastModifiedBy>
  <cp:revision>9</cp:revision>
  <cp:lastPrinted>2019-08-09T23:18:00Z</cp:lastPrinted>
  <dcterms:created xsi:type="dcterms:W3CDTF">2019-07-30T15:34:00Z</dcterms:created>
  <dcterms:modified xsi:type="dcterms:W3CDTF">2019-08-09T23:22:00Z</dcterms:modified>
</cp:coreProperties>
</file>