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A73A96" w:rsidRPr="00AA1C96">
        <w:rPr>
          <w:rFonts w:ascii="Arial" w:hAnsi="Arial" w:cs="Arial"/>
          <w:b/>
          <w:bCs/>
          <w:color w:val="000000" w:themeColor="text1"/>
          <w:sz w:val="19"/>
          <w:szCs w:val="19"/>
        </w:rPr>
        <w:t>SEPARADOS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rsidR="0027630F" w:rsidRPr="00AA1C96" w:rsidRDefault="00126CE0"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53588A" w:rsidRPr="0053588A" w:rsidRDefault="0053588A" w:rsidP="0053588A">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53588A">
        <w:rPr>
          <w:rFonts w:ascii="Arial" w:hAnsi="Arial" w:cs="Arial"/>
          <w:color w:val="000000" w:themeColor="text1"/>
          <w:sz w:val="19"/>
          <w:szCs w:val="19"/>
        </w:rPr>
        <w:t>Hemos revisado los estados financieros separados condensados de período intermedio adjuntos de BANCO CMF S.A. (la “Entidad”), que comprenden: (a) el estado separado de situación financiera al 3</w:t>
      </w:r>
      <w:r w:rsidR="00DA5A79">
        <w:rPr>
          <w:rFonts w:ascii="Arial" w:hAnsi="Arial" w:cs="Arial"/>
          <w:color w:val="000000" w:themeColor="text1"/>
          <w:sz w:val="19"/>
          <w:szCs w:val="19"/>
        </w:rPr>
        <w:t>0</w:t>
      </w:r>
      <w:r w:rsidRPr="0053588A">
        <w:rPr>
          <w:rFonts w:ascii="Arial" w:hAnsi="Arial" w:cs="Arial"/>
          <w:color w:val="000000" w:themeColor="text1"/>
          <w:sz w:val="19"/>
          <w:szCs w:val="19"/>
        </w:rPr>
        <w:t xml:space="preserve"> de </w:t>
      </w:r>
      <w:r w:rsidR="00056E0F">
        <w:rPr>
          <w:rFonts w:ascii="Arial" w:hAnsi="Arial" w:cs="Arial"/>
          <w:color w:val="000000" w:themeColor="text1"/>
          <w:sz w:val="19"/>
          <w:szCs w:val="19"/>
        </w:rPr>
        <w:t>septiembre</w:t>
      </w:r>
      <w:r>
        <w:rPr>
          <w:rFonts w:ascii="Arial" w:hAnsi="Arial" w:cs="Arial"/>
          <w:color w:val="000000" w:themeColor="text1"/>
          <w:sz w:val="19"/>
          <w:szCs w:val="19"/>
        </w:rPr>
        <w:t xml:space="preserve"> de 2019</w:t>
      </w:r>
      <w:r w:rsidR="00771C52">
        <w:rPr>
          <w:rFonts w:ascii="Arial" w:hAnsi="Arial" w:cs="Arial"/>
          <w:color w:val="000000" w:themeColor="text1"/>
          <w:sz w:val="19"/>
          <w:szCs w:val="19"/>
        </w:rPr>
        <w:t>, (b) los estados separados</w:t>
      </w:r>
      <w:r w:rsidR="003D71A6">
        <w:rPr>
          <w:rFonts w:ascii="Arial" w:hAnsi="Arial" w:cs="Arial"/>
          <w:color w:val="000000" w:themeColor="text1"/>
          <w:sz w:val="19"/>
          <w:szCs w:val="19"/>
        </w:rPr>
        <w:t xml:space="preserve"> </w:t>
      </w:r>
      <w:r w:rsidRPr="0053588A">
        <w:rPr>
          <w:rFonts w:ascii="Arial" w:hAnsi="Arial" w:cs="Arial"/>
          <w:color w:val="000000" w:themeColor="text1"/>
          <w:sz w:val="19"/>
          <w:szCs w:val="19"/>
        </w:rPr>
        <w:t>de resultados y de otros resultados integrales</w:t>
      </w:r>
      <w:r w:rsidR="003D71A6">
        <w:rPr>
          <w:rFonts w:ascii="Arial" w:hAnsi="Arial" w:cs="Arial"/>
          <w:color w:val="000000" w:themeColor="text1"/>
          <w:sz w:val="19"/>
          <w:szCs w:val="19"/>
        </w:rPr>
        <w:t xml:space="preserve"> </w:t>
      </w:r>
      <w:r w:rsidR="003D71A6">
        <w:rPr>
          <w:rFonts w:ascii="Arial" w:hAnsi="Arial" w:cs="Arial"/>
          <w:color w:val="000000" w:themeColor="text1"/>
          <w:sz w:val="20"/>
          <w:szCs w:val="20"/>
        </w:rPr>
        <w:t xml:space="preserve">por los períodos </w:t>
      </w:r>
      <w:r w:rsidR="003D71A6" w:rsidRPr="008C15CF">
        <w:rPr>
          <w:rFonts w:ascii="Arial" w:hAnsi="Arial" w:cs="Arial"/>
          <w:color w:val="000000" w:themeColor="text1"/>
          <w:sz w:val="20"/>
          <w:szCs w:val="20"/>
        </w:rPr>
        <w:t>de tres</w:t>
      </w:r>
      <w:r w:rsidR="003D71A6">
        <w:rPr>
          <w:rFonts w:ascii="Arial" w:hAnsi="Arial" w:cs="Arial"/>
          <w:color w:val="000000" w:themeColor="text1"/>
          <w:sz w:val="20"/>
          <w:szCs w:val="20"/>
        </w:rPr>
        <w:t xml:space="preserve"> y </w:t>
      </w:r>
      <w:r w:rsidR="00056E0F">
        <w:rPr>
          <w:rFonts w:ascii="Arial" w:hAnsi="Arial" w:cs="Arial"/>
          <w:color w:val="000000" w:themeColor="text1"/>
          <w:sz w:val="20"/>
          <w:szCs w:val="20"/>
        </w:rPr>
        <w:t>nueve</w:t>
      </w:r>
      <w:r w:rsidR="003D71A6">
        <w:rPr>
          <w:rFonts w:ascii="Arial" w:hAnsi="Arial" w:cs="Arial"/>
          <w:color w:val="000000" w:themeColor="text1"/>
          <w:sz w:val="20"/>
          <w:szCs w:val="20"/>
        </w:rPr>
        <w:t xml:space="preserve"> meses</w:t>
      </w:r>
      <w:r w:rsidR="00AB0355">
        <w:rPr>
          <w:rFonts w:ascii="Arial" w:hAnsi="Arial" w:cs="Arial"/>
          <w:color w:val="000000" w:themeColor="text1"/>
          <w:sz w:val="20"/>
          <w:szCs w:val="20"/>
        </w:rPr>
        <w:t xml:space="preserve"> finalizado</w:t>
      </w:r>
      <w:r w:rsidR="0009278B">
        <w:rPr>
          <w:rFonts w:ascii="Arial" w:hAnsi="Arial" w:cs="Arial"/>
          <w:color w:val="000000" w:themeColor="text1"/>
          <w:sz w:val="20"/>
          <w:szCs w:val="20"/>
        </w:rPr>
        <w:t>s</w:t>
      </w:r>
      <w:r w:rsidR="00AB0355">
        <w:rPr>
          <w:rFonts w:ascii="Arial" w:hAnsi="Arial" w:cs="Arial"/>
          <w:color w:val="000000" w:themeColor="text1"/>
          <w:sz w:val="20"/>
          <w:szCs w:val="20"/>
        </w:rPr>
        <w:t xml:space="preserve"> al 30 de </w:t>
      </w:r>
      <w:r w:rsidR="00056E0F">
        <w:rPr>
          <w:rFonts w:ascii="Arial" w:hAnsi="Arial" w:cs="Arial"/>
          <w:color w:val="000000" w:themeColor="text1"/>
          <w:sz w:val="20"/>
          <w:szCs w:val="20"/>
        </w:rPr>
        <w:t>septiembre</w:t>
      </w:r>
      <w:r w:rsidR="00AB0355">
        <w:rPr>
          <w:rFonts w:ascii="Arial" w:hAnsi="Arial" w:cs="Arial"/>
          <w:color w:val="000000" w:themeColor="text1"/>
          <w:sz w:val="20"/>
          <w:szCs w:val="20"/>
        </w:rPr>
        <w:t xml:space="preserve"> de 2019</w:t>
      </w:r>
      <w:r w:rsidR="001C464C">
        <w:rPr>
          <w:rFonts w:ascii="Arial" w:hAnsi="Arial" w:cs="Arial"/>
          <w:color w:val="000000" w:themeColor="text1"/>
          <w:sz w:val="20"/>
          <w:szCs w:val="20"/>
        </w:rPr>
        <w:t>,</w:t>
      </w:r>
      <w:r w:rsidR="00AB0355">
        <w:rPr>
          <w:rFonts w:ascii="Arial" w:hAnsi="Arial" w:cs="Arial"/>
          <w:color w:val="000000" w:themeColor="text1"/>
          <w:sz w:val="20"/>
          <w:szCs w:val="20"/>
        </w:rPr>
        <w:t xml:space="preserve"> y</w:t>
      </w:r>
      <w:r w:rsidRPr="0053588A">
        <w:rPr>
          <w:rFonts w:ascii="Arial" w:hAnsi="Arial" w:cs="Arial"/>
          <w:color w:val="000000" w:themeColor="text1"/>
          <w:sz w:val="19"/>
          <w:szCs w:val="19"/>
        </w:rPr>
        <w:t xml:space="preserve"> de cambios en el patrimonio y de flujos de efectivo por el período de </w:t>
      </w:r>
      <w:r w:rsidR="00056E0F">
        <w:rPr>
          <w:rFonts w:ascii="Arial" w:hAnsi="Arial" w:cs="Arial"/>
          <w:color w:val="000000" w:themeColor="text1"/>
          <w:sz w:val="19"/>
          <w:szCs w:val="19"/>
        </w:rPr>
        <w:t>nueve</w:t>
      </w:r>
      <w:r w:rsidRPr="0053588A">
        <w:rPr>
          <w:rFonts w:ascii="Arial" w:hAnsi="Arial" w:cs="Arial"/>
          <w:color w:val="000000" w:themeColor="text1"/>
          <w:sz w:val="19"/>
          <w:szCs w:val="19"/>
        </w:rPr>
        <w:t xml:space="preserve"> meses finalizado en esa fecha, y (c) notas explicativas seleccionadas y otra información complementaria. </w:t>
      </w:r>
    </w:p>
    <w:p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rsidR="00967D58" w:rsidRPr="00AA1C96" w:rsidRDefault="00D01E07" w:rsidP="0027630F">
      <w:pPr>
        <w:pStyle w:val="ListParagraph"/>
        <w:numPr>
          <w:ilvl w:val="0"/>
          <w:numId w:val="3"/>
        </w:numPr>
        <w:shd w:val="clear" w:color="auto" w:fill="FFFFFF" w:themeFill="background1"/>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2"/>
          <w:sz w:val="19"/>
          <w:szCs w:val="19"/>
        </w:rPr>
        <w:t>El Directorio y la Gerencia de la Entidad son</w:t>
      </w:r>
      <w:r w:rsidR="00B216F3" w:rsidRPr="00AA1C96">
        <w:rPr>
          <w:rFonts w:ascii="Arial" w:hAnsi="Arial" w:cs="Arial"/>
          <w:color w:val="000000" w:themeColor="text2"/>
          <w:sz w:val="19"/>
          <w:szCs w:val="19"/>
        </w:rPr>
        <w:t xml:space="preserve"> responsable</w:t>
      </w:r>
      <w:r w:rsidRPr="00AA1C96">
        <w:rPr>
          <w:rFonts w:ascii="Arial" w:hAnsi="Arial" w:cs="Arial"/>
          <w:color w:val="000000" w:themeColor="text2"/>
          <w:sz w:val="19"/>
          <w:szCs w:val="19"/>
        </w:rPr>
        <w:t>s</w:t>
      </w:r>
      <w:r w:rsidR="00B216F3" w:rsidRPr="00AA1C96">
        <w:rPr>
          <w:rFonts w:ascii="Arial" w:hAnsi="Arial" w:cs="Arial"/>
          <w:color w:val="000000" w:themeColor="text2"/>
          <w:sz w:val="19"/>
          <w:szCs w:val="19"/>
        </w:rPr>
        <w:t xml:space="preserve"> </w:t>
      </w:r>
      <w:r w:rsidR="00B216F3" w:rsidRPr="00AA1C96">
        <w:rPr>
          <w:rFonts w:ascii="Arial" w:hAnsi="Arial" w:cs="Arial"/>
          <w:color w:val="000000" w:themeColor="text1"/>
          <w:sz w:val="19"/>
          <w:szCs w:val="19"/>
        </w:rPr>
        <w:t>por la preparación y presentación de los estados financieros</w:t>
      </w:r>
      <w:r w:rsidR="00C72790" w:rsidRPr="00AA1C96">
        <w:rPr>
          <w:rFonts w:ascii="Arial" w:hAnsi="Arial" w:cs="Arial"/>
          <w:color w:val="000000" w:themeColor="text1"/>
          <w:sz w:val="19"/>
          <w:szCs w:val="19"/>
        </w:rPr>
        <w:t xml:space="preserve"> </w:t>
      </w:r>
      <w:r w:rsidR="008B5746" w:rsidRPr="00AA1C96">
        <w:rPr>
          <w:rFonts w:ascii="Arial" w:hAnsi="Arial" w:cs="Arial"/>
          <w:color w:val="000000" w:themeColor="text1"/>
          <w:sz w:val="19"/>
          <w:szCs w:val="19"/>
        </w:rPr>
        <w:t>separados</w:t>
      </w:r>
      <w:r w:rsidR="00B216F3" w:rsidRPr="00AA1C96">
        <w:rPr>
          <w:rFonts w:ascii="Arial" w:hAnsi="Arial" w:cs="Arial"/>
          <w:color w:val="000000" w:themeColor="text1"/>
          <w:sz w:val="19"/>
          <w:szCs w:val="19"/>
        </w:rPr>
        <w:t xml:space="preserve"> </w:t>
      </w:r>
      <w:r w:rsidR="005E654A" w:rsidRPr="00AA1C96">
        <w:rPr>
          <w:rFonts w:ascii="Arial" w:hAnsi="Arial" w:cs="Arial"/>
          <w:color w:val="000000" w:themeColor="text1"/>
          <w:sz w:val="19"/>
          <w:szCs w:val="19"/>
        </w:rPr>
        <w:t>adjuntos</w:t>
      </w:r>
      <w:r w:rsidR="00B216F3" w:rsidRPr="00AA1C96">
        <w:rPr>
          <w:rFonts w:ascii="Arial" w:hAnsi="Arial" w:cs="Arial"/>
          <w:color w:val="000000" w:themeColor="text1"/>
          <w:sz w:val="19"/>
          <w:szCs w:val="19"/>
        </w:rPr>
        <w:t xml:space="preserve"> de </w:t>
      </w:r>
      <w:r w:rsidR="009D6879" w:rsidRPr="00AA1C96">
        <w:rPr>
          <w:rFonts w:ascii="Arial" w:hAnsi="Arial" w:cs="Arial"/>
          <w:color w:val="000000" w:themeColor="text1"/>
          <w:sz w:val="19"/>
          <w:szCs w:val="19"/>
        </w:rPr>
        <w:t>conformidad</w:t>
      </w:r>
      <w:r w:rsidRPr="00AA1C96">
        <w:rPr>
          <w:rFonts w:ascii="Arial" w:hAnsi="Arial" w:cs="Arial"/>
          <w:color w:val="000000" w:themeColor="text1"/>
          <w:sz w:val="19"/>
          <w:szCs w:val="19"/>
        </w:rPr>
        <w:t xml:space="preserve"> con el marco</w:t>
      </w:r>
      <w:r w:rsidR="00D5658F" w:rsidRPr="00AA1C96">
        <w:rPr>
          <w:rFonts w:ascii="Arial" w:hAnsi="Arial" w:cs="Arial"/>
          <w:color w:val="000000" w:themeColor="text1"/>
          <w:sz w:val="19"/>
          <w:szCs w:val="19"/>
        </w:rPr>
        <w:t xml:space="preserve"> de información</w:t>
      </w:r>
      <w:r w:rsidRPr="00AA1C96">
        <w:rPr>
          <w:rFonts w:ascii="Arial" w:hAnsi="Arial" w:cs="Arial"/>
          <w:color w:val="000000" w:themeColor="text1"/>
          <w:sz w:val="19"/>
          <w:szCs w:val="19"/>
        </w:rPr>
        <w:t xml:space="preserve"> contable establecido por el Banco Central de la República Argentina (</w:t>
      </w:r>
      <w:r w:rsidR="00045EED">
        <w:rPr>
          <w:rFonts w:ascii="Arial" w:hAnsi="Arial" w:cs="Arial"/>
          <w:color w:val="000000" w:themeColor="text1"/>
          <w:sz w:val="19"/>
          <w:szCs w:val="19"/>
        </w:rPr>
        <w:t>“</w:t>
      </w:r>
      <w:r w:rsidRPr="00AA1C96">
        <w:rPr>
          <w:rFonts w:ascii="Arial" w:hAnsi="Arial" w:cs="Arial"/>
          <w:color w:val="000000" w:themeColor="text1"/>
          <w:sz w:val="19"/>
          <w:szCs w:val="19"/>
        </w:rPr>
        <w:t>BCRA</w:t>
      </w:r>
      <w:r w:rsidR="00045EED">
        <w:rPr>
          <w:rFonts w:ascii="Arial" w:hAnsi="Arial" w:cs="Arial"/>
          <w:color w:val="000000" w:themeColor="text1"/>
          <w:sz w:val="19"/>
          <w:szCs w:val="19"/>
        </w:rPr>
        <w:t>”</w:t>
      </w:r>
      <w:r w:rsidRPr="00AA1C96">
        <w:rPr>
          <w:rFonts w:ascii="Arial" w:hAnsi="Arial" w:cs="Arial"/>
          <w:color w:val="000000" w:themeColor="text1"/>
          <w:sz w:val="19"/>
          <w:szCs w:val="19"/>
        </w:rPr>
        <w:t>),</w:t>
      </w:r>
      <w:r w:rsidR="006A4827" w:rsidRPr="00AA1C96">
        <w:rPr>
          <w:rFonts w:ascii="Arial" w:hAnsi="Arial" w:cs="Arial"/>
          <w:color w:val="000000" w:themeColor="text1"/>
          <w:sz w:val="19"/>
          <w:szCs w:val="19"/>
        </w:rPr>
        <w:t xml:space="preserve"> que, tal como se indica en la N</w:t>
      </w:r>
      <w:r w:rsidRPr="00AA1C96">
        <w:rPr>
          <w:rFonts w:ascii="Arial" w:hAnsi="Arial" w:cs="Arial"/>
          <w:color w:val="000000" w:themeColor="text1"/>
          <w:sz w:val="19"/>
          <w:szCs w:val="19"/>
        </w:rPr>
        <w:t xml:space="preserve">ota </w:t>
      </w:r>
      <w:r w:rsidR="0027630F" w:rsidRPr="00AA1C96">
        <w:rPr>
          <w:rFonts w:ascii="Arial" w:hAnsi="Arial" w:cs="Arial"/>
          <w:color w:val="000000" w:themeColor="text1"/>
          <w:sz w:val="19"/>
          <w:szCs w:val="19"/>
        </w:rPr>
        <w:t>2.</w:t>
      </w:r>
      <w:r w:rsidRPr="00AA1C96">
        <w:rPr>
          <w:rFonts w:ascii="Arial" w:hAnsi="Arial" w:cs="Arial"/>
          <w:color w:val="000000" w:themeColor="text1"/>
          <w:sz w:val="19"/>
          <w:szCs w:val="19"/>
        </w:rPr>
        <w:t xml:space="preserve"> a los estados financieros adjuntos, se bas</w:t>
      </w:r>
      <w:r w:rsidR="006071BF" w:rsidRPr="00AA1C96">
        <w:rPr>
          <w:rFonts w:ascii="Arial" w:hAnsi="Arial" w:cs="Arial"/>
          <w:color w:val="000000" w:themeColor="text1"/>
          <w:sz w:val="19"/>
          <w:szCs w:val="19"/>
        </w:rPr>
        <w:t>a</w:t>
      </w:r>
      <w:r w:rsidRPr="00AA1C96">
        <w:rPr>
          <w:rFonts w:ascii="Arial" w:hAnsi="Arial" w:cs="Arial"/>
          <w:color w:val="000000" w:themeColor="text1"/>
          <w:sz w:val="19"/>
          <w:szCs w:val="19"/>
        </w:rPr>
        <w:t xml:space="preserve"> en </w:t>
      </w:r>
      <w:r w:rsidR="00B216F3" w:rsidRPr="00AA1C96">
        <w:rPr>
          <w:rFonts w:ascii="Arial" w:hAnsi="Arial" w:cs="Arial"/>
          <w:color w:val="000000" w:themeColor="text1"/>
          <w:sz w:val="19"/>
          <w:szCs w:val="19"/>
        </w:rPr>
        <w:t>las Normas Internacionales de Información Financiera</w:t>
      </w:r>
      <w:r w:rsidR="00FD1DAF" w:rsidRPr="00AA1C96">
        <w:rPr>
          <w:rFonts w:ascii="Arial" w:hAnsi="Arial" w:cs="Arial"/>
          <w:color w:val="000000" w:themeColor="text1"/>
          <w:sz w:val="19"/>
          <w:szCs w:val="19"/>
        </w:rPr>
        <w:t xml:space="preserve"> (“NIIF”)</w:t>
      </w:r>
      <w:r w:rsidR="00D5658F" w:rsidRPr="00AA1C96">
        <w:rPr>
          <w:rFonts w:ascii="Arial" w:hAnsi="Arial" w:cs="Arial"/>
          <w:color w:val="000000" w:themeColor="text1"/>
          <w:sz w:val="19"/>
          <w:szCs w:val="19"/>
        </w:rPr>
        <w:t>, y en particular para los estados financieros condensados de período intermedio en la Norma Internacional de Contabilidad</w:t>
      </w:r>
      <w:r w:rsidR="00295A44">
        <w:rPr>
          <w:rFonts w:ascii="Arial" w:hAnsi="Arial" w:cs="Arial"/>
          <w:color w:val="000000" w:themeColor="text1"/>
          <w:sz w:val="19"/>
          <w:szCs w:val="19"/>
        </w:rPr>
        <w:t xml:space="preserve"> (“NIC”)</w:t>
      </w:r>
      <w:r w:rsidR="00D5658F" w:rsidRPr="00AA1C96">
        <w:rPr>
          <w:rFonts w:ascii="Arial" w:hAnsi="Arial" w:cs="Arial"/>
          <w:color w:val="000000" w:themeColor="text1"/>
          <w:sz w:val="19"/>
          <w:szCs w:val="19"/>
        </w:rPr>
        <w:t xml:space="preserve"> </w:t>
      </w:r>
      <w:r w:rsidR="002962A0" w:rsidRPr="00AA1C96">
        <w:rPr>
          <w:rFonts w:ascii="Arial" w:hAnsi="Arial" w:cs="Arial"/>
          <w:color w:val="000000" w:themeColor="text1"/>
          <w:sz w:val="19"/>
          <w:szCs w:val="19"/>
        </w:rPr>
        <w:t xml:space="preserve">N° </w:t>
      </w:r>
      <w:r w:rsidR="00D5658F" w:rsidRPr="00AA1C96">
        <w:rPr>
          <w:rFonts w:ascii="Arial" w:hAnsi="Arial" w:cs="Arial"/>
          <w:color w:val="000000" w:themeColor="text1"/>
          <w:sz w:val="19"/>
          <w:szCs w:val="19"/>
        </w:rPr>
        <w:t xml:space="preserve">34 “Información Financiera Intermedia”, tal como esas normas  fueron emitidas </w:t>
      </w:r>
      <w:r w:rsidRPr="00AA1C96">
        <w:rPr>
          <w:rFonts w:ascii="Arial" w:hAnsi="Arial" w:cs="Arial"/>
          <w:color w:val="000000" w:themeColor="text1"/>
          <w:sz w:val="19"/>
          <w:szCs w:val="19"/>
        </w:rPr>
        <w:t>por el Consejo de Normas Internacionales de Contabilidad (“IASB” por su sigla en inglés) y</w:t>
      </w:r>
      <w:r w:rsidR="00B216F3" w:rsidRPr="00AA1C96">
        <w:rPr>
          <w:rFonts w:ascii="Arial" w:hAnsi="Arial" w:cs="Arial"/>
          <w:color w:val="000000" w:themeColor="text1"/>
          <w:sz w:val="19"/>
          <w:szCs w:val="19"/>
        </w:rPr>
        <w:t xml:space="preserve"> adoptadas por la Federación Argentina de Consejos Profesionales de Ciencias Económicas</w:t>
      </w:r>
      <w:r w:rsidR="00045EED">
        <w:rPr>
          <w:rFonts w:ascii="Arial" w:hAnsi="Arial" w:cs="Arial"/>
          <w:color w:val="000000" w:themeColor="text1"/>
          <w:sz w:val="19"/>
          <w:szCs w:val="19"/>
        </w:rPr>
        <w:t xml:space="preserve"> (“FACPCE”)</w:t>
      </w:r>
      <w:r w:rsidRPr="00AA1C96">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y con las excepciones (i) del punto 5.5. “Deterioro de Valor” de la NIIF N° 9 “Instrumentos Financieros” y (ii) de la</w:t>
      </w:r>
      <w:r w:rsidR="00295A44">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 xml:space="preserve">NIC N° 29 “Información Financiera en Economías Hiperinflacionarias”, que </w:t>
      </w:r>
      <w:r w:rsidR="00045EED">
        <w:rPr>
          <w:rFonts w:ascii="Arial" w:hAnsi="Arial" w:cs="Arial"/>
          <w:color w:val="000000" w:themeColor="text1"/>
          <w:sz w:val="19"/>
          <w:szCs w:val="19"/>
        </w:rPr>
        <w:t>en forma transitoria fueron</w:t>
      </w:r>
      <w:r w:rsidR="0045376B" w:rsidRPr="00AA1C96">
        <w:rPr>
          <w:rFonts w:ascii="Arial" w:hAnsi="Arial" w:cs="Arial"/>
          <w:color w:val="000000" w:themeColor="text1"/>
          <w:sz w:val="19"/>
          <w:szCs w:val="19"/>
        </w:rPr>
        <w:t xml:space="preserve"> excluidas</w:t>
      </w:r>
      <w:r w:rsidR="00D5658F" w:rsidRPr="00AA1C96">
        <w:rPr>
          <w:rFonts w:ascii="Arial" w:hAnsi="Arial" w:cs="Arial"/>
          <w:color w:val="000000" w:themeColor="text1"/>
          <w:sz w:val="19"/>
          <w:szCs w:val="19"/>
        </w:rPr>
        <w:t xml:space="preserve"> por el BCRA del marco contable aplicable a las entidades financieras</w:t>
      </w:r>
      <w:r w:rsidRPr="00AA1C96">
        <w:rPr>
          <w:rFonts w:ascii="Arial" w:hAnsi="Arial" w:cs="Arial"/>
          <w:color w:val="000000" w:themeColor="text1"/>
          <w:sz w:val="19"/>
          <w:szCs w:val="19"/>
        </w:rPr>
        <w:t>.</w:t>
      </w:r>
      <w:r w:rsidR="00B216F3" w:rsidRPr="00AA1C96">
        <w:rPr>
          <w:rFonts w:ascii="Arial" w:hAnsi="Arial" w:cs="Arial"/>
          <w:color w:val="000000" w:themeColor="text1"/>
          <w:sz w:val="19"/>
          <w:szCs w:val="19"/>
        </w:rPr>
        <w:t xml:space="preserve"> </w:t>
      </w:r>
      <w:r w:rsidR="009706C5" w:rsidRPr="00AA1C96">
        <w:rPr>
          <w:rFonts w:ascii="Arial" w:hAnsi="Arial" w:cs="Arial"/>
          <w:color w:val="000000" w:themeColor="text1"/>
          <w:sz w:val="19"/>
          <w:szCs w:val="19"/>
        </w:rPr>
        <w:t>E</w:t>
      </w:r>
      <w:r w:rsidRPr="00AA1C96">
        <w:rPr>
          <w:rFonts w:ascii="Arial" w:hAnsi="Arial" w:cs="Arial"/>
          <w:color w:val="000000" w:themeColor="text1"/>
          <w:sz w:val="19"/>
          <w:szCs w:val="19"/>
        </w:rPr>
        <w:t>l Directorio y la Gerencia de la Entidad son</w:t>
      </w:r>
      <w:r w:rsidR="009706C5" w:rsidRPr="00AA1C96">
        <w:rPr>
          <w:rFonts w:ascii="Arial" w:hAnsi="Arial" w:cs="Arial"/>
          <w:color w:val="000000" w:themeColor="text1"/>
          <w:sz w:val="19"/>
          <w:szCs w:val="19"/>
        </w:rPr>
        <w:t xml:space="preserve"> también</w:t>
      </w:r>
      <w:r w:rsidRPr="00AA1C96">
        <w:rPr>
          <w:rFonts w:ascii="Arial" w:hAnsi="Arial" w:cs="Arial"/>
          <w:color w:val="000000" w:themeColor="text1"/>
          <w:sz w:val="19"/>
          <w:szCs w:val="19"/>
        </w:rPr>
        <w:t xml:space="preserve"> responsables</w:t>
      </w:r>
      <w:r w:rsidR="00B216F3" w:rsidRPr="00AA1C96">
        <w:rPr>
          <w:rFonts w:ascii="Arial" w:hAnsi="Arial" w:cs="Arial"/>
          <w:color w:val="000000" w:themeColor="text1"/>
          <w:sz w:val="19"/>
          <w:szCs w:val="19"/>
        </w:rPr>
        <w:t xml:space="preserve"> </w:t>
      </w:r>
      <w:r w:rsidR="00B216F3" w:rsidRPr="00AA1C96">
        <w:rPr>
          <w:rFonts w:ascii="Arial" w:hAnsi="Arial" w:cs="Arial"/>
          <w:color w:val="000000" w:themeColor="text1"/>
          <w:sz w:val="19"/>
          <w:szCs w:val="19"/>
          <w:shd w:val="clear" w:color="auto" w:fill="FFFFFF" w:themeFill="background1"/>
        </w:rPr>
        <w:t xml:space="preserve">del control interno que </w:t>
      </w:r>
      <w:r w:rsidR="00967D58" w:rsidRPr="00AA1C96">
        <w:rPr>
          <w:rFonts w:ascii="Arial" w:hAnsi="Arial" w:cs="Arial"/>
          <w:color w:val="000000" w:themeColor="text1"/>
          <w:sz w:val="19"/>
          <w:szCs w:val="19"/>
          <w:shd w:val="clear" w:color="auto" w:fill="FFFFFF" w:themeFill="background1"/>
        </w:rPr>
        <w:t>considere</w:t>
      </w:r>
      <w:r w:rsidR="006071BF" w:rsidRPr="00AA1C96">
        <w:rPr>
          <w:rFonts w:ascii="Arial" w:hAnsi="Arial" w:cs="Arial"/>
          <w:color w:val="000000" w:themeColor="text1"/>
          <w:sz w:val="19"/>
          <w:szCs w:val="19"/>
          <w:shd w:val="clear" w:color="auto" w:fill="FFFFFF" w:themeFill="background1"/>
        </w:rPr>
        <w:t>n</w:t>
      </w:r>
      <w:r w:rsidR="00B216F3" w:rsidRPr="00AA1C96">
        <w:rPr>
          <w:rFonts w:ascii="Arial" w:hAnsi="Arial" w:cs="Arial"/>
          <w:color w:val="000000" w:themeColor="text1"/>
          <w:sz w:val="19"/>
          <w:szCs w:val="19"/>
          <w:shd w:val="clear" w:color="auto" w:fill="FFFFFF" w:themeFill="background1"/>
        </w:rPr>
        <w:t xml:space="preserve"> necesario para permitir la preparación de información financiera</w:t>
      </w:r>
      <w:r w:rsidR="00B66942" w:rsidRPr="00AA1C96">
        <w:rPr>
          <w:rFonts w:ascii="Arial" w:hAnsi="Arial" w:cs="Arial"/>
          <w:color w:val="000000" w:themeColor="text1"/>
          <w:sz w:val="19"/>
          <w:szCs w:val="19"/>
          <w:shd w:val="clear" w:color="auto" w:fill="FFFFFF" w:themeFill="background1"/>
        </w:rPr>
        <w:t xml:space="preserve"> </w:t>
      </w:r>
      <w:r w:rsidR="008B5746" w:rsidRPr="00AA1C96">
        <w:rPr>
          <w:rFonts w:ascii="Arial" w:hAnsi="Arial" w:cs="Arial"/>
          <w:color w:val="000000" w:themeColor="text1"/>
          <w:sz w:val="19"/>
          <w:szCs w:val="19"/>
          <w:shd w:val="clear" w:color="auto" w:fill="FFFFFF" w:themeFill="background1"/>
        </w:rPr>
        <w:t>d</w:t>
      </w:r>
      <w:r w:rsidR="00B216F3" w:rsidRPr="00AA1C96">
        <w:rPr>
          <w:rFonts w:ascii="Arial" w:hAnsi="Arial" w:cs="Arial"/>
          <w:color w:val="000000" w:themeColor="text1"/>
          <w:sz w:val="19"/>
          <w:szCs w:val="19"/>
          <w:shd w:val="clear" w:color="auto" w:fill="FFFFFF" w:themeFill="background1"/>
        </w:rPr>
        <w:t>e períodos intermedios libre de distorsiones significati</w:t>
      </w:r>
      <w:r w:rsidR="00674274" w:rsidRPr="00AA1C96">
        <w:rPr>
          <w:rFonts w:ascii="Arial" w:hAnsi="Arial" w:cs="Arial"/>
          <w:color w:val="000000" w:themeColor="text1"/>
          <w:sz w:val="19"/>
          <w:szCs w:val="19"/>
          <w:shd w:val="clear" w:color="auto" w:fill="FFFFFF" w:themeFill="background1"/>
        </w:rPr>
        <w:t xml:space="preserve">vas, ya sea debido a errores o </w:t>
      </w:r>
      <w:r w:rsidR="00B216F3" w:rsidRPr="00AA1C96">
        <w:rPr>
          <w:rFonts w:ascii="Arial" w:hAnsi="Arial" w:cs="Arial"/>
          <w:color w:val="000000" w:themeColor="text1"/>
          <w:sz w:val="19"/>
          <w:szCs w:val="19"/>
          <w:shd w:val="clear" w:color="auto" w:fill="FFFFFF" w:themeFill="background1"/>
        </w:rPr>
        <w:t>irregularidades.</w:t>
      </w:r>
    </w:p>
    <w:p w:rsidR="00B77448" w:rsidRDefault="00B77448">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rsidR="00B77448" w:rsidRPr="00B77448" w:rsidRDefault="00B216F3" w:rsidP="00AB1D9E">
      <w:pPr>
        <w:pStyle w:val="ListParagraph"/>
        <w:numPr>
          <w:ilvl w:val="0"/>
          <w:numId w:val="3"/>
        </w:numPr>
        <w:shd w:val="clear" w:color="auto" w:fill="FFFFFF" w:themeFill="background1"/>
        <w:autoSpaceDE w:val="0"/>
        <w:autoSpaceDN w:val="0"/>
        <w:adjustRightInd w:val="0"/>
        <w:spacing w:after="0"/>
        <w:ind w:left="270" w:hanging="412"/>
        <w:jc w:val="both"/>
        <w:rPr>
          <w:rFonts w:ascii="Arial" w:hAnsi="Arial" w:cs="Arial"/>
          <w:b/>
          <w:color w:val="000000" w:themeColor="text1"/>
          <w:sz w:val="19"/>
          <w:szCs w:val="19"/>
        </w:rPr>
      </w:pPr>
      <w:r w:rsidRPr="00B77448">
        <w:rPr>
          <w:rFonts w:ascii="Arial" w:hAnsi="Arial" w:cs="Arial"/>
          <w:color w:val="000000" w:themeColor="text2"/>
          <w:sz w:val="19"/>
          <w:szCs w:val="19"/>
        </w:rPr>
        <w:t xml:space="preserve">Nuestra responsabilidad es expresar una conclusión sobre los estados financieros mencionados en el párrafo 1 basada en nuestra revisión, </w:t>
      </w:r>
      <w:r w:rsidR="009D6879" w:rsidRPr="00B77448">
        <w:rPr>
          <w:rFonts w:ascii="Arial" w:hAnsi="Arial" w:cs="Arial"/>
          <w:color w:val="000000" w:themeColor="text2"/>
          <w:sz w:val="19"/>
          <w:szCs w:val="19"/>
        </w:rPr>
        <w:t>la cual fue realizada de conformidad</w:t>
      </w:r>
      <w:r w:rsidRPr="00B77448">
        <w:rPr>
          <w:rFonts w:ascii="Arial" w:hAnsi="Arial" w:cs="Arial"/>
          <w:color w:val="000000" w:themeColor="text2"/>
          <w:sz w:val="19"/>
          <w:szCs w:val="19"/>
        </w:rPr>
        <w:t xml:space="preserve"> con</w:t>
      </w:r>
      <w:r w:rsidR="00303CED" w:rsidRPr="00B77448">
        <w:rPr>
          <w:rFonts w:ascii="Arial" w:hAnsi="Arial" w:cs="Arial"/>
          <w:color w:val="000000" w:themeColor="text2"/>
          <w:sz w:val="19"/>
          <w:szCs w:val="19"/>
        </w:rPr>
        <w:t xml:space="preserve"> las normas de la Resolución Técnica N° 37 de la </w:t>
      </w:r>
      <w:r w:rsidR="00045EED">
        <w:rPr>
          <w:rFonts w:ascii="Arial" w:hAnsi="Arial" w:cs="Arial"/>
          <w:color w:val="000000" w:themeColor="text2"/>
          <w:sz w:val="19"/>
          <w:szCs w:val="19"/>
        </w:rPr>
        <w:t xml:space="preserve">FACPCE </w:t>
      </w:r>
      <w:r w:rsidR="00303CED" w:rsidRPr="00B77448">
        <w:rPr>
          <w:rFonts w:ascii="Arial" w:hAnsi="Arial" w:cs="Arial"/>
          <w:color w:val="000000" w:themeColor="text2"/>
          <w:sz w:val="19"/>
          <w:szCs w:val="19"/>
        </w:rPr>
        <w:t xml:space="preserve">y con las “Normas mínimas sobre auditorías externas” emitidas por el BCRA, aplicables a la revisión de estados </w:t>
      </w:r>
      <w:r w:rsidR="0025701E" w:rsidRPr="00B77448">
        <w:rPr>
          <w:rFonts w:ascii="Arial" w:hAnsi="Arial" w:cs="Arial"/>
          <w:color w:val="000000" w:themeColor="text2"/>
          <w:sz w:val="19"/>
          <w:szCs w:val="19"/>
        </w:rPr>
        <w:t>financieros</w:t>
      </w:r>
      <w:r w:rsidR="00303CED" w:rsidRPr="00B77448">
        <w:rPr>
          <w:rFonts w:ascii="Arial" w:hAnsi="Arial" w:cs="Arial"/>
          <w:color w:val="000000" w:themeColor="text2"/>
          <w:sz w:val="19"/>
          <w:szCs w:val="19"/>
        </w:rPr>
        <w:t xml:space="preserve"> de períodos intermedios</w:t>
      </w:r>
      <w:r w:rsidR="0025701E" w:rsidRPr="00B77448">
        <w:rPr>
          <w:rFonts w:ascii="Arial" w:hAnsi="Arial" w:cs="Arial"/>
          <w:color w:val="000000" w:themeColor="text2"/>
          <w:sz w:val="19"/>
          <w:szCs w:val="19"/>
        </w:rPr>
        <w:t xml:space="preserve">, y cumpliendo con los requerimientos de ética pertinentes a la auditoría de los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anuales de la Entidad. Una revisión de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w:t>
      </w:r>
      <w:r w:rsidR="00FD1DAF"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y, por consiguiente, no nos permite obtener seguridad de que tomaremos conocimiento de todas las cuestiones significativas que podrían identificarse en una auditoría. Por lo tanto, no expr</w:t>
      </w:r>
      <w:r w:rsidR="00FF66DE" w:rsidRPr="00B77448">
        <w:rPr>
          <w:rFonts w:ascii="Arial" w:hAnsi="Arial" w:cs="Arial"/>
          <w:color w:val="000000" w:themeColor="text2"/>
          <w:sz w:val="19"/>
          <w:szCs w:val="19"/>
        </w:rPr>
        <w:t>esamos una opinión de auditoría.</w:t>
      </w:r>
    </w:p>
    <w:p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rsidR="0014477C"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rsidR="00177691" w:rsidRPr="00AA1C96"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sobre ciertos aspectos revelados en los estados financieros </w:t>
      </w:r>
    </w:p>
    <w:p w:rsidR="00B216F3" w:rsidRPr="00AA1C96" w:rsidRDefault="00B216F3" w:rsidP="005627B9">
      <w:pPr>
        <w:autoSpaceDE w:val="0"/>
        <w:autoSpaceDN w:val="0"/>
        <w:adjustRightInd w:val="0"/>
        <w:spacing w:after="0"/>
        <w:jc w:val="both"/>
        <w:rPr>
          <w:rFonts w:ascii="Arial" w:hAnsi="Arial" w:cs="Arial"/>
          <w:b/>
          <w:color w:val="000000" w:themeColor="text1"/>
          <w:sz w:val="19"/>
          <w:szCs w:val="19"/>
        </w:rPr>
      </w:pPr>
    </w:p>
    <w:p w:rsidR="00177691" w:rsidRPr="00AA1C96" w:rsidRDefault="006A4827" w:rsidP="00AA1C96">
      <w:pPr>
        <w:pStyle w:val="ListParagraph"/>
        <w:numPr>
          <w:ilvl w:val="0"/>
          <w:numId w:val="3"/>
        </w:numPr>
        <w:autoSpaceDE w:val="0"/>
        <w:autoSpaceDN w:val="0"/>
        <w:adjustRightInd w:val="0"/>
        <w:spacing w:after="0"/>
        <w:ind w:left="284" w:hanging="426"/>
        <w:jc w:val="both"/>
        <w:rPr>
          <w:rFonts w:ascii="Arial" w:hAnsi="Arial" w:cs="Arial"/>
          <w:sz w:val="19"/>
          <w:szCs w:val="19"/>
        </w:rPr>
      </w:pPr>
      <w:r w:rsidRPr="00AA1C96">
        <w:rPr>
          <w:rFonts w:ascii="Arial" w:hAnsi="Arial" w:cs="Arial"/>
          <w:sz w:val="19"/>
          <w:szCs w:val="19"/>
        </w:rPr>
        <w:t>Llamamos la atención sobre</w:t>
      </w:r>
      <w:r w:rsidR="00177691" w:rsidRPr="00AA1C96">
        <w:rPr>
          <w:rFonts w:ascii="Arial" w:hAnsi="Arial" w:cs="Arial"/>
          <w:sz w:val="19"/>
          <w:szCs w:val="19"/>
        </w:rPr>
        <w:t xml:space="preserve"> la información contenida en las siguientes notas a los estados </w:t>
      </w:r>
      <w:r w:rsidR="00FD1DAF" w:rsidRPr="00AA1C96">
        <w:rPr>
          <w:rFonts w:ascii="Arial" w:hAnsi="Arial" w:cs="Arial"/>
          <w:sz w:val="19"/>
          <w:szCs w:val="19"/>
        </w:rPr>
        <w:t>financieros</w:t>
      </w:r>
      <w:r w:rsidR="00177691" w:rsidRPr="00AA1C96">
        <w:rPr>
          <w:rFonts w:ascii="Arial" w:hAnsi="Arial" w:cs="Arial"/>
          <w:sz w:val="19"/>
          <w:szCs w:val="19"/>
        </w:rPr>
        <w:t xml:space="preserve"> mencionados en el párrafo 1:</w:t>
      </w:r>
    </w:p>
    <w:p w:rsidR="00177691" w:rsidRPr="00AA1C96" w:rsidRDefault="00177691" w:rsidP="005627B9">
      <w:pPr>
        <w:pStyle w:val="ListParagraph"/>
        <w:autoSpaceDE w:val="0"/>
        <w:autoSpaceDN w:val="0"/>
        <w:adjustRightInd w:val="0"/>
        <w:spacing w:after="0"/>
        <w:ind w:left="630"/>
        <w:jc w:val="both"/>
        <w:rPr>
          <w:rFonts w:ascii="Arial" w:hAnsi="Arial" w:cs="Arial"/>
          <w:sz w:val="19"/>
          <w:szCs w:val="19"/>
        </w:rPr>
      </w:pPr>
    </w:p>
    <w:p w:rsidR="00FA0A63" w:rsidRPr="00AA1C96" w:rsidRDefault="005B1D62" w:rsidP="00FA0A63">
      <w:pPr>
        <w:pStyle w:val="ListParagraph"/>
        <w:numPr>
          <w:ilvl w:val="0"/>
          <w:numId w:val="14"/>
        </w:numPr>
        <w:autoSpaceDE w:val="0"/>
        <w:autoSpaceDN w:val="0"/>
        <w:adjustRightInd w:val="0"/>
        <w:spacing w:after="0"/>
        <w:jc w:val="both"/>
        <w:rPr>
          <w:rFonts w:ascii="Arial" w:hAnsi="Arial" w:cs="Arial"/>
          <w:b/>
          <w:i/>
          <w:sz w:val="19"/>
          <w:szCs w:val="19"/>
        </w:rPr>
      </w:pPr>
      <w:r w:rsidRPr="00AA1C96">
        <w:rPr>
          <w:rFonts w:ascii="Arial" w:hAnsi="Arial" w:cs="Arial"/>
          <w:sz w:val="19"/>
          <w:szCs w:val="19"/>
        </w:rPr>
        <w:t>Nota 2. “Bases de presenta</w:t>
      </w:r>
      <w:r w:rsidR="005627B9" w:rsidRPr="00AA1C96">
        <w:rPr>
          <w:rFonts w:ascii="Arial" w:hAnsi="Arial" w:cs="Arial"/>
          <w:sz w:val="19"/>
          <w:szCs w:val="19"/>
        </w:rPr>
        <w:t>ción de los Estados Financieros</w:t>
      </w:r>
      <w:r w:rsidR="00FA0A63" w:rsidRPr="00AA1C96">
        <w:rPr>
          <w:rFonts w:ascii="Arial" w:hAnsi="Arial" w:cs="Arial"/>
          <w:sz w:val="19"/>
          <w:szCs w:val="19"/>
        </w:rPr>
        <w:t xml:space="preserve"> y Políticas contables aplicadas</w:t>
      </w:r>
      <w:r w:rsidRPr="00AA1C96">
        <w:rPr>
          <w:rFonts w:ascii="Arial" w:hAnsi="Arial" w:cs="Arial"/>
          <w:sz w:val="19"/>
          <w:szCs w:val="19"/>
        </w:rPr>
        <w:t xml:space="preserve">”, apartado “Normas contables aplicadas”, </w:t>
      </w:r>
      <w:r w:rsidR="00FA0A63" w:rsidRPr="00AA1C96">
        <w:rPr>
          <w:rFonts w:ascii="Arial" w:hAnsi="Arial" w:cs="Arial"/>
          <w:sz w:val="19"/>
          <w:szCs w:val="19"/>
        </w:rPr>
        <w:t>en la que la Entidad indica</w:t>
      </w:r>
      <w:r w:rsidR="00045EED">
        <w:rPr>
          <w:rFonts w:ascii="Arial" w:hAnsi="Arial" w:cs="Arial"/>
          <w:sz w:val="19"/>
          <w:szCs w:val="19"/>
        </w:rPr>
        <w:t xml:space="preserve"> que</w:t>
      </w:r>
      <w:r w:rsidR="00FA0A63" w:rsidRPr="00AA1C96">
        <w:rPr>
          <w:rFonts w:ascii="Arial" w:hAnsi="Arial" w:cs="Arial"/>
          <w:sz w:val="19"/>
          <w:szCs w:val="19"/>
        </w:rPr>
        <w:t xml:space="preserve"> se encuentra en proceso de cuantificación del efecto que sobre los estados financieros tendría la aplicación de la sección 5.5 “Deterioro de Valor” de la NIIF </w:t>
      </w:r>
      <w:r w:rsidR="00045EED">
        <w:rPr>
          <w:rFonts w:ascii="Arial" w:hAnsi="Arial" w:cs="Arial"/>
          <w:sz w:val="19"/>
          <w:szCs w:val="19"/>
        </w:rPr>
        <w:t xml:space="preserve">N° </w:t>
      </w:r>
      <w:r w:rsidR="00FA0A63" w:rsidRPr="00AA1C96">
        <w:rPr>
          <w:rFonts w:ascii="Arial" w:hAnsi="Arial" w:cs="Arial"/>
          <w:sz w:val="19"/>
          <w:szCs w:val="19"/>
        </w:rPr>
        <w:t>9 “Instrumentos Financieros”, que en forma transitoria fue excluida por el BCRA del marco contable aplicable a las entidades financieras. Esta cuestión no modifica la conclusión expresada en el párrafo 4, pero debe ser tenida en cuenta por aquellos usuarios que utilicen las NIIF para la interpretación de los estados financieros adjuntos</w:t>
      </w:r>
      <w:r w:rsidR="00FA0A63" w:rsidRPr="00AA1C96">
        <w:rPr>
          <w:rFonts w:ascii="Arial" w:hAnsi="Arial" w:cs="Arial"/>
          <w:b/>
          <w:i/>
          <w:sz w:val="19"/>
          <w:szCs w:val="19"/>
        </w:rPr>
        <w:t>.</w:t>
      </w:r>
    </w:p>
    <w:p w:rsidR="00FA0A63" w:rsidRPr="00AA1C96" w:rsidRDefault="00FA0A63" w:rsidP="00FA0A63">
      <w:pPr>
        <w:pStyle w:val="ListParagraph"/>
        <w:autoSpaceDE w:val="0"/>
        <w:autoSpaceDN w:val="0"/>
        <w:adjustRightInd w:val="0"/>
        <w:spacing w:after="0"/>
        <w:ind w:left="786"/>
        <w:jc w:val="both"/>
        <w:rPr>
          <w:rFonts w:ascii="Arial" w:hAnsi="Arial" w:cs="Arial"/>
          <w:b/>
          <w:i/>
          <w:sz w:val="19"/>
          <w:szCs w:val="19"/>
        </w:rPr>
      </w:pPr>
    </w:p>
    <w:p w:rsidR="00B75507" w:rsidRDefault="009D0227" w:rsidP="000A77D9">
      <w:pPr>
        <w:pStyle w:val="ListParagraph"/>
        <w:numPr>
          <w:ilvl w:val="0"/>
          <w:numId w:val="14"/>
        </w:numPr>
        <w:autoSpaceDE w:val="0"/>
        <w:autoSpaceDN w:val="0"/>
        <w:adjustRightInd w:val="0"/>
        <w:spacing w:after="0"/>
        <w:jc w:val="both"/>
        <w:rPr>
          <w:rFonts w:ascii="Arial" w:hAnsi="Arial" w:cs="Arial"/>
          <w:sz w:val="19"/>
          <w:szCs w:val="19"/>
        </w:rPr>
      </w:pPr>
      <w:r w:rsidRPr="000A77D9">
        <w:rPr>
          <w:rFonts w:ascii="Arial" w:hAnsi="Arial" w:cs="Arial"/>
          <w:sz w:val="19"/>
          <w:szCs w:val="19"/>
        </w:rPr>
        <w:t>Nota 2</w:t>
      </w:r>
      <w:r w:rsidR="00C33244" w:rsidRPr="000A77D9">
        <w:rPr>
          <w:rFonts w:ascii="Arial" w:hAnsi="Arial" w:cs="Arial"/>
          <w:sz w:val="19"/>
          <w:szCs w:val="19"/>
        </w:rPr>
        <w:t>. “Bases de presentación de los Estados Financieros y Políticas contables aplicadas”, apartado “Unidad de medida” en la que (a) se explica que si bien al 3</w:t>
      </w:r>
      <w:r w:rsidR="00DA5A79">
        <w:rPr>
          <w:rFonts w:ascii="Arial" w:hAnsi="Arial" w:cs="Arial"/>
          <w:sz w:val="19"/>
          <w:szCs w:val="19"/>
        </w:rPr>
        <w:t>0</w:t>
      </w:r>
      <w:r w:rsidR="00C33244" w:rsidRPr="000A77D9">
        <w:rPr>
          <w:rFonts w:ascii="Arial" w:hAnsi="Arial" w:cs="Arial"/>
          <w:sz w:val="19"/>
          <w:szCs w:val="19"/>
        </w:rPr>
        <w:t xml:space="preserve"> de </w:t>
      </w:r>
      <w:r w:rsidR="00056E0F">
        <w:rPr>
          <w:rFonts w:ascii="Arial" w:hAnsi="Arial" w:cs="Arial"/>
          <w:sz w:val="19"/>
          <w:szCs w:val="19"/>
        </w:rPr>
        <w:t>septiembre</w:t>
      </w:r>
      <w:r w:rsidR="00C33244" w:rsidRPr="000A77D9">
        <w:rPr>
          <w:rFonts w:ascii="Arial" w:hAnsi="Arial" w:cs="Arial"/>
          <w:sz w:val="19"/>
          <w:szCs w:val="19"/>
        </w:rPr>
        <w:t xml:space="preserve"> de 2019 se cumplen las condiciones previstas en la NIC N° 29 para la reexpresión de los estados financieros a moneda homogénea, transitoriamente la Comunicación “A” 6651 del BCRA no permite tal reexpresión; (b) se efectúa una descripción de los principales impactos que produciría la aplicación de la NIC N° 29, y se indica que si bien la Entidad no ha cuantificado los efectos que sobre los estados financieros adjuntos tendría la aplicación de la NIC N° 29, estima que los mismos podrían ser significativos, y (c) se alerta que la falta de reconocimiento de los cambios ocurridos en el poder adquisitivo general de la moneda puede distorsionar la información contable, y debe ser tenida en cuenta en la interpretación de la información que la Entidad brinda en los estados financieros adjuntos sobre su situación financiera, sus resultados y los flujos de su efectivo. </w:t>
      </w:r>
      <w:r w:rsidR="000A77D9" w:rsidRPr="000A77D9">
        <w:rPr>
          <w:rFonts w:ascii="Arial" w:hAnsi="Arial" w:cs="Arial"/>
          <w:sz w:val="19"/>
          <w:szCs w:val="19"/>
        </w:rPr>
        <w:t>Esta cuestión no modifica la conc</w:t>
      </w:r>
      <w:r w:rsidR="000A77D9">
        <w:rPr>
          <w:rFonts w:ascii="Arial" w:hAnsi="Arial" w:cs="Arial"/>
          <w:sz w:val="19"/>
          <w:szCs w:val="19"/>
        </w:rPr>
        <w:t>lusión expresada en el párrafo 4</w:t>
      </w:r>
      <w:r w:rsidR="000A77D9" w:rsidRPr="000A77D9">
        <w:rPr>
          <w:rFonts w:ascii="Arial" w:hAnsi="Arial" w:cs="Arial"/>
          <w:sz w:val="19"/>
          <w:szCs w:val="19"/>
        </w:rPr>
        <w:t>, pero dejamos expresa constancia que si bien los estados financieros adjuntos han sido preparados de conformidad con el marco de información contable establecido por el BCRA, las prácticas de ese marco de información en materia de unidad de medida no permiten alcanzar una presentación de conformidad con las normas contables profesionales.</w:t>
      </w:r>
    </w:p>
    <w:p w:rsidR="000A77D9" w:rsidRDefault="000A77D9" w:rsidP="006B7C7B">
      <w:pPr>
        <w:autoSpaceDE w:val="0"/>
        <w:autoSpaceDN w:val="0"/>
        <w:adjustRightInd w:val="0"/>
        <w:spacing w:after="0"/>
        <w:jc w:val="both"/>
        <w:rPr>
          <w:rFonts w:ascii="Arial" w:hAnsi="Arial" w:cs="Arial"/>
          <w:b/>
          <w:color w:val="000000" w:themeColor="text1"/>
          <w:sz w:val="19"/>
          <w:szCs w:val="19"/>
        </w:rPr>
      </w:pPr>
    </w:p>
    <w:p w:rsidR="00D3680D" w:rsidRPr="00B75507" w:rsidRDefault="00B75507" w:rsidP="000A77D9">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lastRenderedPageBreak/>
        <w:t xml:space="preserve">Otras cuestiones </w:t>
      </w:r>
    </w:p>
    <w:p w:rsidR="00B75507" w:rsidRPr="00AA1C96" w:rsidRDefault="00B75507" w:rsidP="006B7C7B">
      <w:pPr>
        <w:autoSpaceDE w:val="0"/>
        <w:autoSpaceDN w:val="0"/>
        <w:adjustRightInd w:val="0"/>
        <w:spacing w:after="0"/>
        <w:jc w:val="both"/>
        <w:rPr>
          <w:rFonts w:ascii="Arial" w:hAnsi="Arial" w:cs="Arial"/>
          <w:sz w:val="19"/>
          <w:szCs w:val="19"/>
        </w:rPr>
      </w:pPr>
    </w:p>
    <w:p w:rsidR="007354E8"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consolidados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8B5FEC" w:rsidRPr="00AA1C96">
        <w:rPr>
          <w:rFonts w:ascii="Arial" w:hAnsi="Arial" w:cs="Arial"/>
          <w:color w:val="000000" w:themeColor="text1"/>
          <w:sz w:val="19"/>
          <w:szCs w:val="19"/>
        </w:rPr>
        <w:t xml:space="preserve"> y sus sociedades controladas</w:t>
      </w:r>
      <w:r w:rsidR="00FB6926" w:rsidRPr="00AA1C96">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rsidR="0027630F" w:rsidRDefault="0027630F"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rsidR="0027630F" w:rsidRPr="00AA1C96"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Sobre la base de nuestra revisión, nada llamó nuestra atención que nos hiciera pensar que los estados </w:t>
      </w:r>
      <w:r w:rsidR="0054228E" w:rsidRPr="00AA1C96">
        <w:rPr>
          <w:rFonts w:ascii="Arial" w:eastAsia="Times New Roman" w:hAnsi="Arial" w:cs="Arial"/>
          <w:color w:val="000000" w:themeColor="text1"/>
          <w:sz w:val="19"/>
          <w:szCs w:val="19"/>
          <w:lang w:eastAsia="en-US"/>
        </w:rPr>
        <w:t>fina</w:t>
      </w:r>
      <w:r w:rsidR="00BF322C" w:rsidRPr="00AA1C96">
        <w:rPr>
          <w:rFonts w:ascii="Arial" w:eastAsia="Times New Roman" w:hAnsi="Arial" w:cs="Arial"/>
          <w:color w:val="000000" w:themeColor="text1"/>
          <w:sz w:val="19"/>
          <w:szCs w:val="19"/>
          <w:lang w:eastAsia="en-US"/>
        </w:rPr>
        <w:t>n</w:t>
      </w:r>
      <w:r w:rsidR="0054228E" w:rsidRPr="00AA1C96">
        <w:rPr>
          <w:rFonts w:ascii="Arial" w:eastAsia="Times New Roman" w:hAnsi="Arial" w:cs="Arial"/>
          <w:color w:val="000000" w:themeColor="text1"/>
          <w:sz w:val="19"/>
          <w:szCs w:val="19"/>
          <w:lang w:eastAsia="en-US"/>
        </w:rPr>
        <w:t>cieros</w:t>
      </w:r>
      <w:r w:rsidRPr="00AA1C96">
        <w:rPr>
          <w:rFonts w:ascii="Arial" w:eastAsia="Times New Roman" w:hAnsi="Arial" w:cs="Arial"/>
          <w:color w:val="000000" w:themeColor="text1"/>
          <w:sz w:val="19"/>
          <w:szCs w:val="19"/>
          <w:lang w:eastAsia="en-US"/>
        </w:rPr>
        <w:t xml:space="preserve"> mencionados en el párrafo 1. no están preparados, en todos sus aspectos significativos, de conformidad con las normas </w:t>
      </w:r>
      <w:r w:rsidR="0054228E" w:rsidRPr="00AA1C96">
        <w:rPr>
          <w:rFonts w:ascii="Arial" w:eastAsia="Times New Roman" w:hAnsi="Arial" w:cs="Arial"/>
          <w:color w:val="000000" w:themeColor="text1"/>
          <w:sz w:val="19"/>
          <w:szCs w:val="19"/>
          <w:lang w:eastAsia="en-US"/>
        </w:rPr>
        <w:t>pertinentes de la Ley General de Sociedades y de la Comisión Nacional de Valores</w:t>
      </w:r>
      <w:r w:rsidR="00045EED">
        <w:rPr>
          <w:rFonts w:ascii="Arial" w:eastAsia="Times New Roman" w:hAnsi="Arial" w:cs="Arial"/>
          <w:color w:val="000000" w:themeColor="text1"/>
          <w:sz w:val="19"/>
          <w:szCs w:val="19"/>
          <w:lang w:eastAsia="en-US"/>
        </w:rPr>
        <w:t xml:space="preserve"> (“CNV”)</w:t>
      </w:r>
      <w:r w:rsidRPr="00AA1C96">
        <w:rPr>
          <w:rFonts w:ascii="Arial" w:eastAsia="Times New Roman" w:hAnsi="Arial" w:cs="Arial"/>
          <w:color w:val="000000" w:themeColor="text1"/>
          <w:sz w:val="19"/>
          <w:szCs w:val="19"/>
          <w:lang w:eastAsia="en-US"/>
        </w:rPr>
        <w:t>.</w:t>
      </w:r>
    </w:p>
    <w:p w:rsidR="0027630F" w:rsidRPr="00AA1C96"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rsidR="00225F27" w:rsidRPr="00AA1C96" w:rsidRDefault="0027630F"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Los estados financieros separados condensados de período intermedio de BANCO CMF S.A. al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056E0F">
        <w:rPr>
          <w:rFonts w:ascii="Arial" w:eastAsia="Times New Roman" w:hAnsi="Arial" w:cs="Arial"/>
          <w:color w:val="000000" w:themeColor="text1"/>
          <w:sz w:val="19"/>
          <w:szCs w:val="19"/>
          <w:lang w:eastAsia="en-US"/>
        </w:rPr>
        <w:t>septiembre</w:t>
      </w:r>
      <w:r w:rsidR="00D44EA5">
        <w:rPr>
          <w:rFonts w:ascii="Arial" w:eastAsia="Times New Roman" w:hAnsi="Arial" w:cs="Arial"/>
          <w:color w:val="000000" w:themeColor="text1"/>
          <w:sz w:val="19"/>
          <w:szCs w:val="19"/>
          <w:lang w:eastAsia="en-US"/>
        </w:rPr>
        <w:t xml:space="preserve"> de 2019</w:t>
      </w:r>
      <w:r w:rsidRPr="00AA1C96">
        <w:rPr>
          <w:rFonts w:ascii="Arial" w:eastAsia="Times New Roman" w:hAnsi="Arial" w:cs="Arial"/>
          <w:color w:val="000000" w:themeColor="text1"/>
          <w:sz w:val="19"/>
          <w:szCs w:val="19"/>
          <w:lang w:eastAsia="en-US"/>
        </w:rPr>
        <w:t xml:space="preserve"> surgen de registros contables llevados, en sus aspectos formales, de conformidad con las normas legales vigentes.</w:t>
      </w:r>
    </w:p>
    <w:p w:rsidR="00225F27" w:rsidRPr="00AA1C96" w:rsidRDefault="00225F27" w:rsidP="00225F27">
      <w:pPr>
        <w:pStyle w:val="ListParagraph"/>
        <w:rPr>
          <w:rFonts w:ascii="Arial" w:eastAsia="Times New Roman" w:hAnsi="Arial" w:cs="Arial"/>
          <w:color w:val="000000" w:themeColor="text1"/>
          <w:sz w:val="19"/>
          <w:szCs w:val="19"/>
          <w:lang w:eastAsia="en-US"/>
        </w:rPr>
      </w:pPr>
    </w:p>
    <w:p w:rsidR="0027630F" w:rsidRPr="00AA1C96" w:rsidRDefault="00225F27"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A</w:t>
      </w:r>
      <w:r w:rsidR="0027630F" w:rsidRPr="00AA1C96">
        <w:rPr>
          <w:rFonts w:ascii="Arial" w:eastAsia="Times New Roman" w:hAnsi="Arial" w:cs="Arial"/>
          <w:color w:val="000000" w:themeColor="text1"/>
          <w:sz w:val="19"/>
          <w:szCs w:val="19"/>
          <w:lang w:eastAsia="en-US"/>
        </w:rPr>
        <w:t xml:space="preserve">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056E0F">
        <w:rPr>
          <w:rFonts w:ascii="Arial" w:eastAsia="Times New Roman" w:hAnsi="Arial" w:cs="Arial"/>
          <w:color w:val="000000" w:themeColor="text1"/>
          <w:sz w:val="19"/>
          <w:szCs w:val="19"/>
          <w:lang w:eastAsia="en-US"/>
        </w:rPr>
        <w:t>septiembre</w:t>
      </w:r>
      <w:r w:rsidR="00D44EA5">
        <w:rPr>
          <w:rFonts w:ascii="Arial" w:eastAsia="Times New Roman" w:hAnsi="Arial" w:cs="Arial"/>
          <w:color w:val="000000" w:themeColor="text1"/>
          <w:sz w:val="19"/>
          <w:szCs w:val="19"/>
          <w:lang w:eastAsia="en-US"/>
        </w:rPr>
        <w:t xml:space="preserve"> de 2019</w:t>
      </w:r>
      <w:r w:rsidR="0027630F" w:rsidRPr="00AA1C96">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w:t>
      </w:r>
      <w:r w:rsidR="0027630F" w:rsidRPr="00DA5A79">
        <w:rPr>
          <w:rFonts w:ascii="Arial" w:eastAsia="Times New Roman" w:hAnsi="Arial" w:cs="Arial"/>
          <w:color w:val="000000" w:themeColor="text1"/>
          <w:sz w:val="19"/>
          <w:szCs w:val="19"/>
          <w:lang w:eastAsia="en-US"/>
        </w:rPr>
        <w:t xml:space="preserve">a </w:t>
      </w:r>
      <w:r w:rsidR="00226637" w:rsidRPr="00DA5A79">
        <w:rPr>
          <w:rFonts w:ascii="Arial" w:eastAsia="Times New Roman" w:hAnsi="Arial" w:cs="Arial"/>
          <w:color w:val="000000" w:themeColor="text1"/>
          <w:sz w:val="19"/>
          <w:szCs w:val="19"/>
          <w:lang w:eastAsia="en-US"/>
        </w:rPr>
        <w:t xml:space="preserve">$ </w:t>
      </w:r>
      <w:r w:rsidR="00ED099C">
        <w:rPr>
          <w:rFonts w:ascii="Arial" w:eastAsia="Times New Roman" w:hAnsi="Arial" w:cs="Arial"/>
          <w:color w:val="000000" w:themeColor="text1"/>
          <w:sz w:val="19"/>
          <w:szCs w:val="19"/>
          <w:lang w:eastAsia="en-US"/>
        </w:rPr>
        <w:t>4.620.345</w:t>
      </w:r>
      <w:r w:rsidR="0027630F" w:rsidRPr="00AA1C96">
        <w:rPr>
          <w:rFonts w:ascii="Arial" w:eastAsia="Times New Roman" w:hAnsi="Arial" w:cs="Arial"/>
          <w:color w:val="000000" w:themeColor="text1"/>
          <w:sz w:val="19"/>
          <w:szCs w:val="19"/>
          <w:lang w:eastAsia="en-US"/>
        </w:rPr>
        <w:t>, no siendo exigible a esa fecha.</w:t>
      </w:r>
    </w:p>
    <w:p w:rsidR="00EE3E59" w:rsidRPr="00AA1C96" w:rsidRDefault="00EE3E59" w:rsidP="00EE3E59">
      <w:pPr>
        <w:pStyle w:val="ListParagraph"/>
        <w:rPr>
          <w:rFonts w:ascii="Arial" w:eastAsia="Times New Roman" w:hAnsi="Arial" w:cs="Arial"/>
          <w:color w:val="000000" w:themeColor="text1"/>
          <w:sz w:val="19"/>
          <w:szCs w:val="19"/>
          <w:lang w:eastAsia="en-US"/>
        </w:rPr>
      </w:pPr>
    </w:p>
    <w:p w:rsidR="00EE3E59" w:rsidRPr="00AA1C96" w:rsidRDefault="00EE3E59" w:rsidP="00BC5985">
      <w:pPr>
        <w:pStyle w:val="ListParagraph"/>
        <w:numPr>
          <w:ilvl w:val="0"/>
          <w:numId w:val="13"/>
        </w:numPr>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Al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056E0F">
        <w:rPr>
          <w:rFonts w:ascii="Arial" w:eastAsia="Times New Roman" w:hAnsi="Arial" w:cs="Arial"/>
          <w:color w:val="000000" w:themeColor="text1"/>
          <w:sz w:val="19"/>
          <w:szCs w:val="19"/>
          <w:lang w:eastAsia="en-US"/>
        </w:rPr>
        <w:t>septiembre</w:t>
      </w:r>
      <w:r w:rsidR="00D44EA5">
        <w:rPr>
          <w:rFonts w:ascii="Arial" w:eastAsia="Times New Roman" w:hAnsi="Arial" w:cs="Arial"/>
          <w:color w:val="000000" w:themeColor="text1"/>
          <w:sz w:val="19"/>
          <w:szCs w:val="19"/>
          <w:lang w:eastAsia="en-US"/>
        </w:rPr>
        <w:t xml:space="preserve"> de 2019</w:t>
      </w:r>
      <w:r w:rsidR="00FF66DE">
        <w:rPr>
          <w:rFonts w:ascii="Arial" w:eastAsia="Times New Roman" w:hAnsi="Arial" w:cs="Arial"/>
          <w:color w:val="000000" w:themeColor="text1"/>
          <w:sz w:val="19"/>
          <w:szCs w:val="19"/>
          <w:lang w:eastAsia="en-US"/>
        </w:rPr>
        <w:t xml:space="preserve">, según </w:t>
      </w:r>
      <w:r w:rsidR="00FF66DE" w:rsidRPr="00295A44">
        <w:rPr>
          <w:rFonts w:ascii="Arial" w:eastAsia="Times New Roman" w:hAnsi="Arial" w:cs="Arial"/>
          <w:color w:val="000000" w:themeColor="text1"/>
          <w:sz w:val="19"/>
          <w:szCs w:val="19"/>
          <w:lang w:eastAsia="en-US"/>
        </w:rPr>
        <w:t>surge de la Nota 2</w:t>
      </w:r>
      <w:r w:rsidR="00295A44" w:rsidRPr="00295A44">
        <w:rPr>
          <w:rFonts w:ascii="Arial" w:eastAsia="Times New Roman" w:hAnsi="Arial" w:cs="Arial"/>
          <w:color w:val="000000" w:themeColor="text1"/>
          <w:sz w:val="19"/>
          <w:szCs w:val="19"/>
          <w:lang w:eastAsia="en-US"/>
        </w:rPr>
        <w:t>6</w:t>
      </w:r>
      <w:r w:rsidRPr="00AA1C96">
        <w:rPr>
          <w:rFonts w:ascii="Arial" w:eastAsia="Times New Roman" w:hAnsi="Arial" w:cs="Arial"/>
          <w:color w:val="000000" w:themeColor="text1"/>
          <w:sz w:val="19"/>
          <w:szCs w:val="19"/>
          <w:lang w:eastAsia="en-US"/>
        </w:rPr>
        <w:t xml:space="preserve">. a los estados financieros mencionados en el párrafo 1, la Entidad posee un patrimonio neto y una contrapartida en activos elegibles que exceden los importes mínimos requeridos por las normas pertinentes de la </w:t>
      </w:r>
      <w:r w:rsidR="00045EED">
        <w:rPr>
          <w:rFonts w:ascii="Arial" w:eastAsia="Times New Roman" w:hAnsi="Arial" w:cs="Arial"/>
          <w:color w:val="000000" w:themeColor="text1"/>
          <w:sz w:val="19"/>
          <w:szCs w:val="19"/>
          <w:lang w:eastAsia="en-US"/>
        </w:rPr>
        <w:t xml:space="preserve">CNV </w:t>
      </w:r>
      <w:r w:rsidRPr="00AA1C96">
        <w:rPr>
          <w:rFonts w:ascii="Arial" w:eastAsia="Times New Roman" w:hAnsi="Arial" w:cs="Arial"/>
          <w:color w:val="000000" w:themeColor="text1"/>
          <w:sz w:val="19"/>
          <w:szCs w:val="19"/>
          <w:lang w:eastAsia="en-US"/>
        </w:rPr>
        <w:t xml:space="preserve">para dichos conceptos. </w:t>
      </w:r>
      <w:bookmarkStart w:id="0" w:name="_GoBack"/>
      <w:bookmarkEnd w:id="0"/>
    </w:p>
    <w:p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6063B">
        <w:rPr>
          <w:rFonts w:ascii="Arial" w:hAnsi="Arial" w:cs="Arial"/>
          <w:color w:val="000000" w:themeColor="text1"/>
          <w:sz w:val="19"/>
          <w:szCs w:val="19"/>
        </w:rPr>
        <w:t>8</w:t>
      </w:r>
      <w:r w:rsidR="00D44EA5">
        <w:rPr>
          <w:rFonts w:ascii="Arial" w:hAnsi="Arial" w:cs="Arial"/>
          <w:color w:val="000000" w:themeColor="text1"/>
          <w:sz w:val="19"/>
          <w:szCs w:val="19"/>
        </w:rPr>
        <w:t xml:space="preserve"> de </w:t>
      </w:r>
      <w:r w:rsidR="00D6063B">
        <w:rPr>
          <w:rFonts w:ascii="Arial" w:hAnsi="Arial" w:cs="Arial"/>
          <w:color w:val="000000" w:themeColor="text1"/>
          <w:sz w:val="19"/>
          <w:szCs w:val="19"/>
        </w:rPr>
        <w:t>n</w:t>
      </w:r>
      <w:r w:rsidR="003B4A9B">
        <w:rPr>
          <w:rFonts w:ascii="Arial" w:hAnsi="Arial" w:cs="Arial"/>
          <w:color w:val="000000" w:themeColor="text1"/>
          <w:sz w:val="19"/>
          <w:szCs w:val="19"/>
        </w:rPr>
        <w:t>o</w:t>
      </w:r>
      <w:r w:rsidR="00D6063B">
        <w:rPr>
          <w:rFonts w:ascii="Arial" w:hAnsi="Arial" w:cs="Arial"/>
          <w:color w:val="000000" w:themeColor="text1"/>
          <w:sz w:val="19"/>
          <w:szCs w:val="19"/>
        </w:rPr>
        <w:t>viembre</w:t>
      </w:r>
      <w:r w:rsidR="00D44EA5">
        <w:rPr>
          <w:rFonts w:ascii="Arial" w:hAnsi="Arial" w:cs="Arial"/>
          <w:color w:val="000000" w:themeColor="text1"/>
          <w:sz w:val="19"/>
          <w:szCs w:val="19"/>
        </w:rPr>
        <w:t xml:space="preserve"> 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2019</w:t>
      </w:r>
    </w:p>
    <w:p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C.P.C.E.C.A.B.A. T° 1 – F° 13</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ED099C"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ED099C"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C.P.C.E.C.A.B.A. T° 308 – F° 061</w:t>
            </w:r>
          </w:p>
        </w:tc>
      </w:tr>
    </w:tbl>
    <w:p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B0A" w:rsidRDefault="000A3B0A" w:rsidP="00227F19">
      <w:pPr>
        <w:spacing w:after="0" w:line="240" w:lineRule="auto"/>
      </w:pPr>
      <w:r>
        <w:separator/>
      </w:r>
    </w:p>
  </w:endnote>
  <w:endnote w:type="continuationSeparator" w:id="0">
    <w:p w:rsidR="000A3B0A" w:rsidRDefault="000A3B0A"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B0A" w:rsidRDefault="000A3B0A" w:rsidP="00227F19">
      <w:pPr>
        <w:spacing w:after="0" w:line="240" w:lineRule="auto"/>
      </w:pPr>
      <w:r>
        <w:separator/>
      </w:r>
    </w:p>
  </w:footnote>
  <w:footnote w:type="continuationSeparator" w:id="0">
    <w:p w:rsidR="000A3B0A" w:rsidRDefault="000A3B0A" w:rsidP="0022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6DE" w:rsidRPr="008B04D2" w:rsidRDefault="00FF66DE">
    <w:pPr>
      <w:pStyle w:val="Header"/>
      <w:jc w:val="center"/>
      <w:rPr>
        <w:rFonts w:ascii="Arial" w:hAnsi="Arial" w:cs="Arial"/>
        <w:sz w:val="18"/>
        <w:szCs w:val="18"/>
      </w:rPr>
    </w:pPr>
  </w:p>
  <w:p w:rsidR="00FF66DE" w:rsidRDefault="00FF6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448" w:rsidRPr="008B04D2" w:rsidRDefault="00B77448">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09278B">
          <w:rPr>
            <w:rFonts w:ascii="Arial" w:hAnsi="Arial" w:cs="Arial"/>
            <w:noProof/>
            <w:sz w:val="18"/>
            <w:szCs w:val="18"/>
          </w:rPr>
          <w:t>3</w:t>
        </w:r>
        <w:r w:rsidRPr="008B04D2">
          <w:rPr>
            <w:rFonts w:ascii="Arial" w:hAnsi="Arial" w:cs="Arial"/>
            <w:noProof/>
            <w:sz w:val="18"/>
            <w:szCs w:val="18"/>
          </w:rPr>
          <w:fldChar w:fldCharType="end"/>
        </w:r>
        <w:r w:rsidRPr="008B04D2">
          <w:rPr>
            <w:rFonts w:ascii="Arial" w:hAnsi="Arial" w:cs="Arial"/>
            <w:noProof/>
            <w:sz w:val="18"/>
            <w:szCs w:val="18"/>
          </w:rPr>
          <w:t>-</w:t>
        </w:r>
      </w:sdtContent>
    </w:sdt>
  </w:p>
  <w:p w:rsidR="00B77448" w:rsidRDefault="00B77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8"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5"/>
  </w:num>
  <w:num w:numId="5">
    <w:abstractNumId w:val="0"/>
  </w:num>
  <w:num w:numId="6">
    <w:abstractNumId w:val="11"/>
  </w:num>
  <w:num w:numId="7">
    <w:abstractNumId w:val="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8"/>
  </w:num>
  <w:num w:numId="14">
    <w:abstractNumId w:val="7"/>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56E0F"/>
    <w:rsid w:val="00060ABF"/>
    <w:rsid w:val="000613B4"/>
    <w:rsid w:val="00062A67"/>
    <w:rsid w:val="00063482"/>
    <w:rsid w:val="00064AF1"/>
    <w:rsid w:val="00064F09"/>
    <w:rsid w:val="0007616F"/>
    <w:rsid w:val="000761E5"/>
    <w:rsid w:val="00076824"/>
    <w:rsid w:val="00077462"/>
    <w:rsid w:val="00080865"/>
    <w:rsid w:val="00081AC2"/>
    <w:rsid w:val="000831BB"/>
    <w:rsid w:val="00084E5E"/>
    <w:rsid w:val="00086CF1"/>
    <w:rsid w:val="0009117D"/>
    <w:rsid w:val="0009278B"/>
    <w:rsid w:val="00093FDF"/>
    <w:rsid w:val="000A2D3D"/>
    <w:rsid w:val="000A3B0A"/>
    <w:rsid w:val="000A40ED"/>
    <w:rsid w:val="000A77D9"/>
    <w:rsid w:val="000B21FE"/>
    <w:rsid w:val="000B234F"/>
    <w:rsid w:val="000B4673"/>
    <w:rsid w:val="000C312A"/>
    <w:rsid w:val="000C504F"/>
    <w:rsid w:val="000D7661"/>
    <w:rsid w:val="000D788B"/>
    <w:rsid w:val="000E02B4"/>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26CE0"/>
    <w:rsid w:val="001323CF"/>
    <w:rsid w:val="0013438A"/>
    <w:rsid w:val="00134481"/>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C305C"/>
    <w:rsid w:val="001C464C"/>
    <w:rsid w:val="001D3E33"/>
    <w:rsid w:val="001D41C8"/>
    <w:rsid w:val="001E1760"/>
    <w:rsid w:val="001E287E"/>
    <w:rsid w:val="001E3656"/>
    <w:rsid w:val="001E4C79"/>
    <w:rsid w:val="001E5D65"/>
    <w:rsid w:val="001E7035"/>
    <w:rsid w:val="00200812"/>
    <w:rsid w:val="00200A6F"/>
    <w:rsid w:val="00202207"/>
    <w:rsid w:val="002028AB"/>
    <w:rsid w:val="002052E9"/>
    <w:rsid w:val="0021241D"/>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426B"/>
    <w:rsid w:val="0026700C"/>
    <w:rsid w:val="002723BE"/>
    <w:rsid w:val="00275D51"/>
    <w:rsid w:val="0027630F"/>
    <w:rsid w:val="0027677D"/>
    <w:rsid w:val="00286064"/>
    <w:rsid w:val="00295A4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A9B"/>
    <w:rsid w:val="003B4C28"/>
    <w:rsid w:val="003C0B44"/>
    <w:rsid w:val="003C7475"/>
    <w:rsid w:val="003C7E21"/>
    <w:rsid w:val="003D3898"/>
    <w:rsid w:val="003D6A56"/>
    <w:rsid w:val="003D71A6"/>
    <w:rsid w:val="003E10DF"/>
    <w:rsid w:val="003E2D95"/>
    <w:rsid w:val="003E2FBC"/>
    <w:rsid w:val="003E4C64"/>
    <w:rsid w:val="003E7AC3"/>
    <w:rsid w:val="003E7C8D"/>
    <w:rsid w:val="003F478D"/>
    <w:rsid w:val="003F49C1"/>
    <w:rsid w:val="004000C9"/>
    <w:rsid w:val="00402BB9"/>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AEF"/>
    <w:rsid w:val="004637A1"/>
    <w:rsid w:val="004670A2"/>
    <w:rsid w:val="00470D66"/>
    <w:rsid w:val="004746C0"/>
    <w:rsid w:val="004753E9"/>
    <w:rsid w:val="00481DFA"/>
    <w:rsid w:val="004925FE"/>
    <w:rsid w:val="00492748"/>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4061"/>
    <w:rsid w:val="00525736"/>
    <w:rsid w:val="00527B06"/>
    <w:rsid w:val="0053124A"/>
    <w:rsid w:val="00531A95"/>
    <w:rsid w:val="0053256F"/>
    <w:rsid w:val="00533371"/>
    <w:rsid w:val="00534292"/>
    <w:rsid w:val="0053588A"/>
    <w:rsid w:val="0054228E"/>
    <w:rsid w:val="00543C02"/>
    <w:rsid w:val="00547AA7"/>
    <w:rsid w:val="005551F9"/>
    <w:rsid w:val="005555EC"/>
    <w:rsid w:val="0055637F"/>
    <w:rsid w:val="00557343"/>
    <w:rsid w:val="005614DA"/>
    <w:rsid w:val="005627B9"/>
    <w:rsid w:val="00562DD6"/>
    <w:rsid w:val="005633F8"/>
    <w:rsid w:val="00573CD6"/>
    <w:rsid w:val="00574D92"/>
    <w:rsid w:val="005757BB"/>
    <w:rsid w:val="00577532"/>
    <w:rsid w:val="00577E60"/>
    <w:rsid w:val="00585BC2"/>
    <w:rsid w:val="00587E77"/>
    <w:rsid w:val="005906D8"/>
    <w:rsid w:val="00593687"/>
    <w:rsid w:val="005943CD"/>
    <w:rsid w:val="005A0F35"/>
    <w:rsid w:val="005A420A"/>
    <w:rsid w:val="005B19D2"/>
    <w:rsid w:val="005B1D62"/>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3654"/>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D095D"/>
    <w:rsid w:val="006D3951"/>
    <w:rsid w:val="006D5F1C"/>
    <w:rsid w:val="006D6C63"/>
    <w:rsid w:val="006D7AB7"/>
    <w:rsid w:val="006D7F4D"/>
    <w:rsid w:val="006E022B"/>
    <w:rsid w:val="006E0497"/>
    <w:rsid w:val="006E18AB"/>
    <w:rsid w:val="006F2C88"/>
    <w:rsid w:val="006F6194"/>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07EE"/>
    <w:rsid w:val="0076212C"/>
    <w:rsid w:val="00764D9E"/>
    <w:rsid w:val="00765F03"/>
    <w:rsid w:val="0076620D"/>
    <w:rsid w:val="00771C52"/>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46F7"/>
    <w:rsid w:val="008B04D2"/>
    <w:rsid w:val="008B5746"/>
    <w:rsid w:val="008B5A34"/>
    <w:rsid w:val="008B5FEC"/>
    <w:rsid w:val="008B7406"/>
    <w:rsid w:val="008C15CF"/>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A0300C"/>
    <w:rsid w:val="00A07311"/>
    <w:rsid w:val="00A10D01"/>
    <w:rsid w:val="00A25ABF"/>
    <w:rsid w:val="00A2678A"/>
    <w:rsid w:val="00A3251F"/>
    <w:rsid w:val="00A34B14"/>
    <w:rsid w:val="00A35F0A"/>
    <w:rsid w:val="00A40D9B"/>
    <w:rsid w:val="00A427B1"/>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0355"/>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685D"/>
    <w:rsid w:val="00B66942"/>
    <w:rsid w:val="00B73B93"/>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120F"/>
    <w:rsid w:val="00BD272F"/>
    <w:rsid w:val="00BD283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1E"/>
    <w:rsid w:val="00CB2CC1"/>
    <w:rsid w:val="00CB4A71"/>
    <w:rsid w:val="00CB79A3"/>
    <w:rsid w:val="00CC2E83"/>
    <w:rsid w:val="00CC2F87"/>
    <w:rsid w:val="00CC305F"/>
    <w:rsid w:val="00CC497E"/>
    <w:rsid w:val="00CD165C"/>
    <w:rsid w:val="00CD50B0"/>
    <w:rsid w:val="00CD6054"/>
    <w:rsid w:val="00CD625D"/>
    <w:rsid w:val="00CD724E"/>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72C"/>
    <w:rsid w:val="00D37D4D"/>
    <w:rsid w:val="00D44EA5"/>
    <w:rsid w:val="00D519F1"/>
    <w:rsid w:val="00D525DD"/>
    <w:rsid w:val="00D5658F"/>
    <w:rsid w:val="00D602C0"/>
    <w:rsid w:val="00D6063B"/>
    <w:rsid w:val="00D6184B"/>
    <w:rsid w:val="00D61D73"/>
    <w:rsid w:val="00D64A7E"/>
    <w:rsid w:val="00D6542B"/>
    <w:rsid w:val="00D70A17"/>
    <w:rsid w:val="00D715BE"/>
    <w:rsid w:val="00D74A6B"/>
    <w:rsid w:val="00D76544"/>
    <w:rsid w:val="00D86889"/>
    <w:rsid w:val="00D8731D"/>
    <w:rsid w:val="00D87945"/>
    <w:rsid w:val="00D90ED0"/>
    <w:rsid w:val="00D917DE"/>
    <w:rsid w:val="00D95712"/>
    <w:rsid w:val="00D95AF3"/>
    <w:rsid w:val="00D96AE4"/>
    <w:rsid w:val="00DA0684"/>
    <w:rsid w:val="00DA2EED"/>
    <w:rsid w:val="00DA4F8D"/>
    <w:rsid w:val="00DA5A79"/>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EE"/>
    <w:rsid w:val="00E0645D"/>
    <w:rsid w:val="00E11E6E"/>
    <w:rsid w:val="00E226F9"/>
    <w:rsid w:val="00E22901"/>
    <w:rsid w:val="00E26968"/>
    <w:rsid w:val="00E33A0C"/>
    <w:rsid w:val="00E40173"/>
    <w:rsid w:val="00E41DF6"/>
    <w:rsid w:val="00E42531"/>
    <w:rsid w:val="00E4591F"/>
    <w:rsid w:val="00E45B34"/>
    <w:rsid w:val="00E504B5"/>
    <w:rsid w:val="00E51121"/>
    <w:rsid w:val="00E55F26"/>
    <w:rsid w:val="00E56CD1"/>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501D"/>
    <w:rsid w:val="00ED05F8"/>
    <w:rsid w:val="00ED099C"/>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0DE4"/>
    <w:rsid w:val="00F722EC"/>
    <w:rsid w:val="00F74EA5"/>
    <w:rsid w:val="00F81417"/>
    <w:rsid w:val="00F82CC9"/>
    <w:rsid w:val="00F83167"/>
    <w:rsid w:val="00F8789A"/>
    <w:rsid w:val="00F90E89"/>
    <w:rsid w:val="00F92F0E"/>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A173C"/>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238294267">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839FD-9710-4078-8603-81BB45A74411}">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31540</vt:lpwstr>
  </property>
  <property fmtid="{D5CDD505-2E9C-101B-9397-08002B2CF9AE}" pid="4" name="OptimizationTime">
    <vt:lpwstr>20191101_1519</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3</Pages>
  <Words>1196</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Juan M Bernstein</cp:lastModifiedBy>
  <cp:revision>3</cp:revision>
  <cp:lastPrinted>2019-08-09T23:18:00Z</cp:lastPrinted>
  <dcterms:created xsi:type="dcterms:W3CDTF">2019-11-01T18:16:00Z</dcterms:created>
  <dcterms:modified xsi:type="dcterms:W3CDTF">2019-11-01T18:17:00Z</dcterms:modified>
</cp:coreProperties>
</file>