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B9E" w:rsidRDefault="004A1B9E" w:rsidP="00212528">
      <w:pPr>
        <w:autoSpaceDE w:val="0"/>
        <w:autoSpaceDN w:val="0"/>
        <w:adjustRightInd w:val="0"/>
        <w:spacing w:after="0" w:line="240" w:lineRule="auto"/>
        <w:ind w:left="-90"/>
        <w:jc w:val="both"/>
        <w:rPr>
          <w:rFonts w:ascii="Arial" w:hAnsi="Arial" w:cs="Arial"/>
          <w:b/>
          <w:bCs/>
          <w:color w:val="000000" w:themeColor="text1"/>
          <w:sz w:val="19"/>
          <w:szCs w:val="19"/>
        </w:rPr>
      </w:pPr>
    </w:p>
    <w:p w:rsidR="00605F44" w:rsidRDefault="00605F44" w:rsidP="00212528">
      <w:pPr>
        <w:autoSpaceDE w:val="0"/>
        <w:autoSpaceDN w:val="0"/>
        <w:adjustRightInd w:val="0"/>
        <w:spacing w:after="0" w:line="240" w:lineRule="auto"/>
        <w:ind w:left="-90"/>
        <w:jc w:val="both"/>
        <w:rPr>
          <w:rFonts w:ascii="Arial" w:hAnsi="Arial" w:cs="Arial"/>
          <w:b/>
          <w:bCs/>
          <w:color w:val="000000" w:themeColor="text1"/>
          <w:sz w:val="19"/>
          <w:szCs w:val="19"/>
        </w:rPr>
      </w:pPr>
    </w:p>
    <w:p w:rsidR="00605F44" w:rsidRDefault="00605F44" w:rsidP="00212528">
      <w:pPr>
        <w:autoSpaceDE w:val="0"/>
        <w:autoSpaceDN w:val="0"/>
        <w:adjustRightInd w:val="0"/>
        <w:spacing w:after="0" w:line="240" w:lineRule="auto"/>
        <w:ind w:left="-90"/>
        <w:jc w:val="both"/>
        <w:rPr>
          <w:rFonts w:ascii="Arial" w:hAnsi="Arial" w:cs="Arial"/>
          <w:b/>
          <w:bCs/>
          <w:color w:val="000000" w:themeColor="text1"/>
          <w:sz w:val="19"/>
          <w:szCs w:val="19"/>
        </w:rPr>
      </w:pPr>
    </w:p>
    <w:p w:rsidR="00605F44" w:rsidRPr="00207E25" w:rsidRDefault="00605F44" w:rsidP="00212528">
      <w:pPr>
        <w:autoSpaceDE w:val="0"/>
        <w:autoSpaceDN w:val="0"/>
        <w:adjustRightInd w:val="0"/>
        <w:spacing w:after="0" w:line="240" w:lineRule="auto"/>
        <w:ind w:left="-90"/>
        <w:jc w:val="both"/>
        <w:rPr>
          <w:rFonts w:ascii="Arial" w:hAnsi="Arial" w:cs="Arial"/>
          <w:b/>
          <w:bCs/>
          <w:color w:val="000000" w:themeColor="text1"/>
          <w:sz w:val="19"/>
          <w:szCs w:val="19"/>
        </w:rPr>
      </w:pPr>
    </w:p>
    <w:p w:rsidR="00B216F3" w:rsidRDefault="00B216F3" w:rsidP="00212528">
      <w:pPr>
        <w:autoSpaceDE w:val="0"/>
        <w:autoSpaceDN w:val="0"/>
        <w:adjustRightInd w:val="0"/>
        <w:spacing w:after="0" w:line="240" w:lineRule="auto"/>
        <w:ind w:left="-90"/>
        <w:jc w:val="both"/>
        <w:rPr>
          <w:rFonts w:ascii="Arial" w:hAnsi="Arial" w:cs="Arial"/>
          <w:b/>
          <w:bCs/>
          <w:color w:val="000000" w:themeColor="text1"/>
          <w:sz w:val="19"/>
          <w:szCs w:val="19"/>
        </w:rPr>
      </w:pPr>
      <w:r w:rsidRPr="00207E25">
        <w:rPr>
          <w:rFonts w:ascii="Arial" w:hAnsi="Arial" w:cs="Arial"/>
          <w:b/>
          <w:bCs/>
          <w:color w:val="000000" w:themeColor="text1"/>
          <w:sz w:val="19"/>
          <w:szCs w:val="19"/>
        </w:rPr>
        <w:t xml:space="preserve">INFORME </w:t>
      </w:r>
      <w:r w:rsidR="008B7FC9">
        <w:rPr>
          <w:rFonts w:ascii="Arial" w:hAnsi="Arial" w:cs="Arial"/>
          <w:b/>
          <w:bCs/>
          <w:color w:val="000000" w:themeColor="text1"/>
          <w:sz w:val="19"/>
          <w:szCs w:val="19"/>
        </w:rPr>
        <w:t xml:space="preserve">DE LOS AUDITORES INDEPENDIENTES </w:t>
      </w:r>
      <w:r w:rsidRPr="00207E25">
        <w:rPr>
          <w:rFonts w:ascii="Arial" w:hAnsi="Arial" w:cs="Arial"/>
          <w:b/>
          <w:bCs/>
          <w:color w:val="000000" w:themeColor="text1"/>
          <w:sz w:val="19"/>
          <w:szCs w:val="19"/>
        </w:rPr>
        <w:t>SOBRE</w:t>
      </w:r>
      <w:r w:rsidR="003454B7" w:rsidRPr="00207E25">
        <w:rPr>
          <w:rFonts w:ascii="Arial" w:hAnsi="Arial" w:cs="Arial"/>
          <w:b/>
          <w:bCs/>
          <w:color w:val="000000" w:themeColor="text1"/>
          <w:sz w:val="19"/>
          <w:szCs w:val="19"/>
        </w:rPr>
        <w:t xml:space="preserve"> </w:t>
      </w:r>
      <w:r w:rsidRPr="00207E25">
        <w:rPr>
          <w:rFonts w:ascii="Arial" w:hAnsi="Arial" w:cs="Arial"/>
          <w:b/>
          <w:bCs/>
          <w:color w:val="000000" w:themeColor="text1"/>
          <w:sz w:val="19"/>
          <w:szCs w:val="19"/>
        </w:rPr>
        <w:t>ESTADOS FINANCIEROS</w:t>
      </w:r>
      <w:r w:rsidR="00207E25" w:rsidRPr="00207E25">
        <w:rPr>
          <w:rFonts w:ascii="Arial" w:hAnsi="Arial" w:cs="Arial"/>
          <w:b/>
          <w:bCs/>
          <w:color w:val="000000" w:themeColor="text1"/>
          <w:sz w:val="19"/>
          <w:szCs w:val="19"/>
        </w:rPr>
        <w:t xml:space="preserve"> </w:t>
      </w:r>
      <w:r w:rsidRPr="00207E25">
        <w:rPr>
          <w:rFonts w:ascii="Arial" w:hAnsi="Arial" w:cs="Arial"/>
          <w:b/>
          <w:bCs/>
          <w:color w:val="000000" w:themeColor="text1"/>
          <w:sz w:val="19"/>
          <w:szCs w:val="19"/>
        </w:rPr>
        <w:t>CONSOLIDADOS</w:t>
      </w:r>
      <w:r w:rsidR="003454B7" w:rsidRPr="00207E25">
        <w:rPr>
          <w:rFonts w:ascii="Arial" w:hAnsi="Arial" w:cs="Arial"/>
          <w:b/>
          <w:bCs/>
          <w:color w:val="000000" w:themeColor="text1"/>
          <w:sz w:val="19"/>
          <w:szCs w:val="19"/>
        </w:rPr>
        <w:t xml:space="preserve"> </w:t>
      </w:r>
    </w:p>
    <w:p w:rsidR="00F13F67" w:rsidRDefault="00F13F67" w:rsidP="00212528">
      <w:pPr>
        <w:autoSpaceDE w:val="0"/>
        <w:autoSpaceDN w:val="0"/>
        <w:adjustRightInd w:val="0"/>
        <w:spacing w:after="0" w:line="240" w:lineRule="auto"/>
        <w:ind w:left="-90"/>
        <w:jc w:val="both"/>
        <w:rPr>
          <w:rFonts w:ascii="Arial" w:hAnsi="Arial" w:cs="Arial"/>
          <w:bCs/>
          <w:color w:val="000000" w:themeColor="text1"/>
          <w:sz w:val="20"/>
          <w:szCs w:val="20"/>
        </w:rPr>
      </w:pPr>
    </w:p>
    <w:p w:rsidR="00605F44" w:rsidRPr="00DA73A3" w:rsidRDefault="00605F44" w:rsidP="00212528">
      <w:pPr>
        <w:autoSpaceDE w:val="0"/>
        <w:autoSpaceDN w:val="0"/>
        <w:adjustRightInd w:val="0"/>
        <w:spacing w:after="0" w:line="240" w:lineRule="auto"/>
        <w:ind w:left="-90"/>
        <w:jc w:val="both"/>
        <w:rPr>
          <w:rFonts w:ascii="Arial" w:hAnsi="Arial" w:cs="Arial"/>
          <w:bCs/>
          <w:color w:val="000000" w:themeColor="text1"/>
          <w:sz w:val="20"/>
          <w:szCs w:val="20"/>
        </w:rPr>
      </w:pPr>
    </w:p>
    <w:p w:rsidR="00DF0819" w:rsidRPr="00207E25" w:rsidRDefault="00DF0819" w:rsidP="00D55CDB">
      <w:pPr>
        <w:autoSpaceDE w:val="0"/>
        <w:autoSpaceDN w:val="0"/>
        <w:adjustRightInd w:val="0"/>
        <w:spacing w:after="0"/>
        <w:ind w:left="-142"/>
        <w:jc w:val="both"/>
        <w:rPr>
          <w:rFonts w:ascii="Arial" w:hAnsi="Arial" w:cs="Arial"/>
          <w:color w:val="000000" w:themeColor="text1"/>
          <w:sz w:val="19"/>
          <w:szCs w:val="19"/>
        </w:rPr>
      </w:pPr>
      <w:r w:rsidRPr="00207E25">
        <w:rPr>
          <w:rFonts w:ascii="Arial" w:hAnsi="Arial" w:cs="Arial"/>
          <w:color w:val="000000" w:themeColor="text1"/>
          <w:sz w:val="19"/>
          <w:szCs w:val="19"/>
        </w:rPr>
        <w:t>A los Señores Directores de</w:t>
      </w:r>
    </w:p>
    <w:p w:rsidR="00DF0819" w:rsidRPr="00D55CDB" w:rsidRDefault="00DF0819" w:rsidP="00D55CDB">
      <w:pPr>
        <w:autoSpaceDE w:val="0"/>
        <w:autoSpaceDN w:val="0"/>
        <w:adjustRightInd w:val="0"/>
        <w:spacing w:after="0"/>
        <w:ind w:left="-142"/>
        <w:jc w:val="both"/>
        <w:rPr>
          <w:rFonts w:ascii="Arial" w:hAnsi="Arial" w:cs="Arial"/>
          <w:b/>
          <w:color w:val="000000" w:themeColor="text1"/>
          <w:sz w:val="19"/>
          <w:szCs w:val="19"/>
        </w:rPr>
      </w:pPr>
      <w:r w:rsidRPr="00D55CDB">
        <w:rPr>
          <w:rFonts w:ascii="Arial" w:hAnsi="Arial" w:cs="Arial"/>
          <w:b/>
          <w:color w:val="000000" w:themeColor="text1"/>
          <w:sz w:val="19"/>
          <w:szCs w:val="19"/>
        </w:rPr>
        <w:t xml:space="preserve">BANCO </w:t>
      </w:r>
      <w:r w:rsidR="004A1B9E" w:rsidRPr="00D55CDB">
        <w:rPr>
          <w:rFonts w:ascii="Arial" w:hAnsi="Arial" w:cs="Arial"/>
          <w:b/>
          <w:color w:val="000000" w:themeColor="text1"/>
          <w:sz w:val="19"/>
          <w:szCs w:val="19"/>
        </w:rPr>
        <w:t>CMF</w:t>
      </w:r>
      <w:r w:rsidRPr="00D55CDB">
        <w:rPr>
          <w:rFonts w:ascii="Arial" w:hAnsi="Arial" w:cs="Arial"/>
          <w:b/>
          <w:color w:val="000000" w:themeColor="text1"/>
          <w:sz w:val="19"/>
          <w:szCs w:val="19"/>
        </w:rPr>
        <w:t xml:space="preserve"> S.A.</w:t>
      </w:r>
    </w:p>
    <w:p w:rsidR="005E654A" w:rsidRPr="00207E25" w:rsidRDefault="005E654A" w:rsidP="00D55CDB">
      <w:pPr>
        <w:autoSpaceDE w:val="0"/>
        <w:autoSpaceDN w:val="0"/>
        <w:adjustRightInd w:val="0"/>
        <w:spacing w:after="0"/>
        <w:ind w:left="-142"/>
        <w:jc w:val="both"/>
        <w:rPr>
          <w:rFonts w:ascii="Arial" w:hAnsi="Arial" w:cs="Arial"/>
          <w:color w:val="000000" w:themeColor="text1"/>
          <w:sz w:val="19"/>
          <w:szCs w:val="19"/>
        </w:rPr>
      </w:pPr>
      <w:r w:rsidRPr="00207E25">
        <w:rPr>
          <w:rFonts w:ascii="Arial" w:hAnsi="Arial" w:cs="Arial"/>
          <w:color w:val="000000" w:themeColor="text1"/>
          <w:sz w:val="19"/>
          <w:szCs w:val="19"/>
        </w:rPr>
        <w:t xml:space="preserve">CUIT: </w:t>
      </w:r>
      <w:r w:rsidR="004A1B9E" w:rsidRPr="00207E25">
        <w:rPr>
          <w:rFonts w:ascii="Arial" w:hAnsi="Arial" w:cs="Arial"/>
          <w:color w:val="000000" w:themeColor="text1"/>
          <w:sz w:val="19"/>
          <w:szCs w:val="19"/>
        </w:rPr>
        <w:t>30-57661429-9</w:t>
      </w:r>
    </w:p>
    <w:p w:rsidR="00DF0819" w:rsidRPr="00207E25" w:rsidRDefault="00DF0819" w:rsidP="00D55CDB">
      <w:pPr>
        <w:autoSpaceDE w:val="0"/>
        <w:autoSpaceDN w:val="0"/>
        <w:adjustRightInd w:val="0"/>
        <w:spacing w:after="0"/>
        <w:ind w:left="-142"/>
        <w:jc w:val="both"/>
        <w:rPr>
          <w:rFonts w:ascii="Arial" w:hAnsi="Arial" w:cs="Arial"/>
          <w:color w:val="000000" w:themeColor="text1"/>
          <w:sz w:val="19"/>
          <w:szCs w:val="19"/>
        </w:rPr>
      </w:pPr>
      <w:r w:rsidRPr="00207E25">
        <w:rPr>
          <w:rFonts w:ascii="Arial" w:hAnsi="Arial" w:cs="Arial"/>
          <w:color w:val="000000" w:themeColor="text1"/>
          <w:sz w:val="19"/>
          <w:szCs w:val="19"/>
        </w:rPr>
        <w:t xml:space="preserve">Domicilio legal: </w:t>
      </w:r>
      <w:proofErr w:type="spellStart"/>
      <w:r w:rsidR="004A1B9E" w:rsidRPr="00207E25">
        <w:rPr>
          <w:rFonts w:ascii="Arial" w:hAnsi="Arial" w:cs="Arial"/>
          <w:color w:val="000000" w:themeColor="text1"/>
          <w:sz w:val="19"/>
          <w:szCs w:val="19"/>
        </w:rPr>
        <w:t>Macacha</w:t>
      </w:r>
      <w:proofErr w:type="spellEnd"/>
      <w:r w:rsidR="004A1B9E" w:rsidRPr="00207E25">
        <w:rPr>
          <w:rFonts w:ascii="Arial" w:hAnsi="Arial" w:cs="Arial"/>
          <w:color w:val="000000" w:themeColor="text1"/>
          <w:sz w:val="19"/>
          <w:szCs w:val="19"/>
        </w:rPr>
        <w:t xml:space="preserve"> Güemes 150</w:t>
      </w:r>
    </w:p>
    <w:p w:rsidR="00B216F3" w:rsidRPr="00D55CDB" w:rsidRDefault="004A1B9E" w:rsidP="00D55CDB">
      <w:pPr>
        <w:autoSpaceDE w:val="0"/>
        <w:autoSpaceDN w:val="0"/>
        <w:adjustRightInd w:val="0"/>
        <w:spacing w:after="0"/>
        <w:ind w:left="-142"/>
        <w:jc w:val="both"/>
        <w:rPr>
          <w:rFonts w:ascii="Arial" w:hAnsi="Arial" w:cs="Arial"/>
          <w:color w:val="000000" w:themeColor="text1"/>
          <w:sz w:val="19"/>
          <w:szCs w:val="19"/>
          <w:u w:val="single"/>
        </w:rPr>
      </w:pPr>
      <w:r w:rsidRPr="00D55CDB">
        <w:rPr>
          <w:rFonts w:ascii="Arial" w:hAnsi="Arial" w:cs="Arial"/>
          <w:color w:val="000000" w:themeColor="text1"/>
          <w:sz w:val="19"/>
          <w:szCs w:val="19"/>
          <w:u w:val="single"/>
        </w:rPr>
        <w:t>Cuidad Autónoma de Buenos Aires</w:t>
      </w:r>
    </w:p>
    <w:p w:rsidR="00DF0819" w:rsidRPr="00207E25" w:rsidRDefault="00DF0819" w:rsidP="00D55CDB">
      <w:pPr>
        <w:autoSpaceDE w:val="0"/>
        <w:autoSpaceDN w:val="0"/>
        <w:adjustRightInd w:val="0"/>
        <w:spacing w:after="0"/>
        <w:ind w:left="-142"/>
        <w:jc w:val="both"/>
        <w:rPr>
          <w:rFonts w:ascii="Arial" w:hAnsi="Arial" w:cs="Arial"/>
          <w:color w:val="000000" w:themeColor="text1"/>
          <w:sz w:val="19"/>
          <w:szCs w:val="19"/>
        </w:rPr>
      </w:pPr>
    </w:p>
    <w:p w:rsidR="00DF0819" w:rsidRPr="00207E25" w:rsidRDefault="00DF0819" w:rsidP="00D55CDB">
      <w:pPr>
        <w:autoSpaceDE w:val="0"/>
        <w:autoSpaceDN w:val="0"/>
        <w:adjustRightInd w:val="0"/>
        <w:spacing w:after="0"/>
        <w:ind w:left="-142"/>
        <w:jc w:val="both"/>
        <w:rPr>
          <w:rFonts w:ascii="Arial" w:hAnsi="Arial" w:cs="Arial"/>
          <w:color w:val="000000" w:themeColor="text1"/>
          <w:sz w:val="19"/>
          <w:szCs w:val="19"/>
        </w:rPr>
      </w:pPr>
    </w:p>
    <w:p w:rsidR="00B216F3" w:rsidRPr="00207E25" w:rsidRDefault="00B216F3" w:rsidP="00BC7562">
      <w:pPr>
        <w:pStyle w:val="ListParagraph"/>
        <w:numPr>
          <w:ilvl w:val="0"/>
          <w:numId w:val="4"/>
        </w:numPr>
        <w:autoSpaceDE w:val="0"/>
        <w:autoSpaceDN w:val="0"/>
        <w:adjustRightInd w:val="0"/>
        <w:spacing w:after="0" w:line="240" w:lineRule="auto"/>
        <w:ind w:left="284" w:hanging="426"/>
        <w:jc w:val="both"/>
        <w:rPr>
          <w:rFonts w:ascii="Arial" w:hAnsi="Arial" w:cs="Arial"/>
          <w:color w:val="000000" w:themeColor="text1"/>
          <w:sz w:val="19"/>
          <w:szCs w:val="19"/>
        </w:rPr>
      </w:pPr>
      <w:r w:rsidRPr="00207E25">
        <w:rPr>
          <w:rFonts w:ascii="Arial" w:hAnsi="Arial" w:cs="Arial"/>
          <w:b/>
          <w:color w:val="000000" w:themeColor="text1"/>
          <w:sz w:val="19"/>
          <w:szCs w:val="19"/>
        </w:rPr>
        <w:t xml:space="preserve">Informe sobre los estados financieros </w:t>
      </w:r>
    </w:p>
    <w:p w:rsidR="00B216F3" w:rsidRPr="00207E25" w:rsidRDefault="00B216F3" w:rsidP="00CC070C">
      <w:pPr>
        <w:autoSpaceDE w:val="0"/>
        <w:autoSpaceDN w:val="0"/>
        <w:adjustRightInd w:val="0"/>
        <w:spacing w:after="0" w:line="240" w:lineRule="auto"/>
        <w:ind w:left="-90" w:right="-306"/>
        <w:jc w:val="both"/>
        <w:rPr>
          <w:rFonts w:ascii="Arial" w:hAnsi="Arial" w:cs="Arial"/>
          <w:b/>
          <w:color w:val="000000" w:themeColor="text1"/>
          <w:sz w:val="19"/>
          <w:szCs w:val="19"/>
        </w:rPr>
      </w:pPr>
    </w:p>
    <w:p w:rsidR="00B216F3" w:rsidRPr="00207E25" w:rsidRDefault="00B216F3" w:rsidP="00752B7D">
      <w:pPr>
        <w:autoSpaceDE w:val="0"/>
        <w:autoSpaceDN w:val="0"/>
        <w:adjustRightInd w:val="0"/>
        <w:spacing w:after="0" w:line="240" w:lineRule="auto"/>
        <w:ind w:left="-90" w:right="-306" w:hanging="52"/>
        <w:jc w:val="both"/>
        <w:rPr>
          <w:rFonts w:ascii="Arial" w:hAnsi="Arial" w:cs="Arial"/>
          <w:b/>
          <w:color w:val="000000" w:themeColor="text1"/>
          <w:sz w:val="19"/>
          <w:szCs w:val="19"/>
        </w:rPr>
      </w:pPr>
      <w:r w:rsidRPr="00207E25">
        <w:rPr>
          <w:rFonts w:ascii="Arial" w:hAnsi="Arial" w:cs="Arial"/>
          <w:b/>
          <w:color w:val="000000" w:themeColor="text1"/>
          <w:sz w:val="19"/>
          <w:szCs w:val="19"/>
        </w:rPr>
        <w:t>Introducción</w:t>
      </w:r>
    </w:p>
    <w:p w:rsidR="00B216F3" w:rsidRPr="00207E25" w:rsidRDefault="00B216F3" w:rsidP="00D55CDB">
      <w:pPr>
        <w:autoSpaceDE w:val="0"/>
        <w:autoSpaceDN w:val="0"/>
        <w:adjustRightInd w:val="0"/>
        <w:spacing w:after="0" w:line="360" w:lineRule="auto"/>
        <w:ind w:left="-90" w:right="-306"/>
        <w:jc w:val="both"/>
        <w:rPr>
          <w:rFonts w:ascii="Arial" w:hAnsi="Arial" w:cs="Arial"/>
          <w:b/>
          <w:color w:val="000000" w:themeColor="text1"/>
          <w:sz w:val="19"/>
          <w:szCs w:val="19"/>
        </w:rPr>
      </w:pPr>
    </w:p>
    <w:p w:rsidR="008B7FC9" w:rsidRPr="008B7FC9" w:rsidRDefault="008B7FC9" w:rsidP="006160AF">
      <w:pPr>
        <w:pStyle w:val="ListParagraph"/>
        <w:numPr>
          <w:ilvl w:val="0"/>
          <w:numId w:val="3"/>
        </w:numPr>
        <w:spacing w:line="360" w:lineRule="auto"/>
        <w:ind w:left="426" w:hanging="425"/>
        <w:jc w:val="both"/>
        <w:rPr>
          <w:rFonts w:ascii="Arial" w:hAnsi="Arial" w:cs="Arial"/>
          <w:color w:val="000000" w:themeColor="text1"/>
          <w:sz w:val="19"/>
          <w:szCs w:val="19"/>
        </w:rPr>
      </w:pPr>
      <w:r>
        <w:rPr>
          <w:rFonts w:ascii="Arial" w:hAnsi="Arial" w:cs="Arial"/>
          <w:color w:val="000000" w:themeColor="text1"/>
          <w:sz w:val="19"/>
          <w:szCs w:val="19"/>
        </w:rPr>
        <w:t>Hemo</w:t>
      </w:r>
      <w:r w:rsidRPr="008B7FC9">
        <w:rPr>
          <w:rFonts w:ascii="Arial" w:hAnsi="Arial" w:cs="Arial"/>
          <w:color w:val="000000" w:themeColor="text1"/>
          <w:sz w:val="19"/>
          <w:szCs w:val="19"/>
        </w:rPr>
        <w:t>s auditado los estados financieros co</w:t>
      </w:r>
      <w:r>
        <w:rPr>
          <w:rFonts w:ascii="Arial" w:hAnsi="Arial" w:cs="Arial"/>
          <w:color w:val="000000" w:themeColor="text1"/>
          <w:sz w:val="19"/>
          <w:szCs w:val="19"/>
        </w:rPr>
        <w:t>nsolidados adjuntos de BANCO CMF</w:t>
      </w:r>
      <w:r w:rsidRPr="008B7FC9">
        <w:rPr>
          <w:rFonts w:ascii="Arial" w:hAnsi="Arial" w:cs="Arial"/>
          <w:color w:val="000000" w:themeColor="text1"/>
          <w:sz w:val="19"/>
          <w:szCs w:val="19"/>
        </w:rPr>
        <w:t xml:space="preserve"> S.A. (la “Entidad”) y sus sociedades controladas, que comprenden: (a) el estado consolidado de situación financiera al 31 de diciembre de 201</w:t>
      </w:r>
      <w:r w:rsidR="00C8553B">
        <w:rPr>
          <w:rFonts w:ascii="Arial" w:hAnsi="Arial" w:cs="Arial"/>
          <w:color w:val="000000" w:themeColor="text1"/>
          <w:sz w:val="19"/>
          <w:szCs w:val="19"/>
        </w:rPr>
        <w:t>9</w:t>
      </w:r>
      <w:r w:rsidRPr="008B7FC9">
        <w:rPr>
          <w:rFonts w:ascii="Arial" w:hAnsi="Arial" w:cs="Arial"/>
          <w:color w:val="000000" w:themeColor="text1"/>
          <w:sz w:val="19"/>
          <w:szCs w:val="19"/>
        </w:rPr>
        <w:t xml:space="preserve">, (b) los estados consolidados de resultados y de otros resultados integrales, de cambios en el patrimonio y de flujos de efectivo por el ejercicio finalizado en esa fecha, y (c) un resumen de las políticas contables significativas y otra información complementaria. </w:t>
      </w:r>
    </w:p>
    <w:p w:rsidR="00B216F3" w:rsidRPr="008B7FC9" w:rsidRDefault="00B216F3" w:rsidP="006160AF">
      <w:pPr>
        <w:pStyle w:val="ListParagraph"/>
        <w:autoSpaceDE w:val="0"/>
        <w:autoSpaceDN w:val="0"/>
        <w:adjustRightInd w:val="0"/>
        <w:spacing w:after="0"/>
        <w:ind w:left="426" w:right="-306" w:hanging="425"/>
        <w:jc w:val="both"/>
        <w:rPr>
          <w:rFonts w:ascii="Arial" w:hAnsi="Arial" w:cs="Arial"/>
          <w:b/>
          <w:color w:val="000000" w:themeColor="text1"/>
          <w:sz w:val="19"/>
          <w:szCs w:val="19"/>
        </w:rPr>
      </w:pPr>
    </w:p>
    <w:p w:rsidR="00C07C63" w:rsidRPr="00207E25" w:rsidRDefault="00C07C63" w:rsidP="006160AF">
      <w:pPr>
        <w:pStyle w:val="ListParagraph"/>
        <w:autoSpaceDE w:val="0"/>
        <w:autoSpaceDN w:val="0"/>
        <w:adjustRightInd w:val="0"/>
        <w:spacing w:after="0"/>
        <w:ind w:left="426" w:right="-306" w:hanging="425"/>
        <w:jc w:val="both"/>
        <w:rPr>
          <w:rFonts w:ascii="Arial" w:hAnsi="Arial" w:cs="Arial"/>
          <w:color w:val="000000" w:themeColor="text1"/>
          <w:sz w:val="19"/>
          <w:szCs w:val="19"/>
        </w:rPr>
      </w:pPr>
    </w:p>
    <w:p w:rsidR="00B216F3" w:rsidRPr="00207E25" w:rsidRDefault="00B216F3" w:rsidP="006160AF">
      <w:pPr>
        <w:autoSpaceDE w:val="0"/>
        <w:autoSpaceDN w:val="0"/>
        <w:adjustRightInd w:val="0"/>
        <w:spacing w:after="0"/>
        <w:ind w:left="426" w:right="-306" w:hanging="425"/>
        <w:jc w:val="both"/>
        <w:rPr>
          <w:rFonts w:ascii="Arial" w:hAnsi="Arial" w:cs="Arial"/>
          <w:b/>
          <w:color w:val="000000" w:themeColor="text2"/>
          <w:sz w:val="19"/>
          <w:szCs w:val="19"/>
        </w:rPr>
      </w:pPr>
      <w:r w:rsidRPr="00207E25">
        <w:rPr>
          <w:rFonts w:ascii="Arial" w:hAnsi="Arial" w:cs="Arial"/>
          <w:b/>
          <w:color w:val="000000" w:themeColor="text2"/>
          <w:sz w:val="19"/>
          <w:szCs w:val="19"/>
        </w:rPr>
        <w:t xml:space="preserve">Responsabilidad </w:t>
      </w:r>
      <w:r w:rsidR="00D01E07" w:rsidRPr="00207E25">
        <w:rPr>
          <w:rFonts w:ascii="Arial" w:hAnsi="Arial" w:cs="Arial"/>
          <w:b/>
          <w:color w:val="000000" w:themeColor="text2"/>
          <w:sz w:val="19"/>
          <w:szCs w:val="19"/>
        </w:rPr>
        <w:t>del Directorio y la Gerencia</w:t>
      </w:r>
      <w:r w:rsidR="0015290D" w:rsidRPr="00207E25">
        <w:rPr>
          <w:rFonts w:ascii="Arial" w:hAnsi="Arial" w:cs="Arial"/>
          <w:b/>
          <w:color w:val="000000" w:themeColor="text2"/>
          <w:sz w:val="19"/>
          <w:szCs w:val="19"/>
        </w:rPr>
        <w:t xml:space="preserve"> de la </w:t>
      </w:r>
      <w:r w:rsidR="00D01E07" w:rsidRPr="00207E25">
        <w:rPr>
          <w:rFonts w:ascii="Arial" w:hAnsi="Arial" w:cs="Arial"/>
          <w:b/>
          <w:color w:val="000000" w:themeColor="text2"/>
          <w:sz w:val="19"/>
          <w:szCs w:val="19"/>
        </w:rPr>
        <w:t>Entidad</w:t>
      </w:r>
      <w:r w:rsidRPr="00207E25">
        <w:rPr>
          <w:rFonts w:ascii="Arial" w:hAnsi="Arial" w:cs="Arial"/>
          <w:b/>
          <w:color w:val="000000" w:themeColor="text2"/>
          <w:sz w:val="19"/>
          <w:szCs w:val="19"/>
        </w:rPr>
        <w:t xml:space="preserve"> en relación con los estados financieros  </w:t>
      </w:r>
    </w:p>
    <w:p w:rsidR="00B216F3" w:rsidRPr="00C34DCD" w:rsidRDefault="00B216F3" w:rsidP="00C34DCD">
      <w:pPr>
        <w:pStyle w:val="ListParagraph"/>
        <w:autoSpaceDE w:val="0"/>
        <w:autoSpaceDN w:val="0"/>
        <w:adjustRightInd w:val="0"/>
        <w:spacing w:after="0" w:line="360" w:lineRule="auto"/>
        <w:ind w:left="709" w:hanging="425"/>
        <w:jc w:val="both"/>
        <w:rPr>
          <w:rFonts w:ascii="Arial" w:hAnsi="Arial" w:cs="Arial"/>
          <w:color w:val="000000" w:themeColor="text1"/>
          <w:sz w:val="19"/>
          <w:szCs w:val="19"/>
        </w:rPr>
      </w:pPr>
    </w:p>
    <w:p w:rsidR="00C34DCD" w:rsidRPr="00C34DCD" w:rsidRDefault="00C34DCD" w:rsidP="00C34DCD">
      <w:pPr>
        <w:pStyle w:val="ListParagraph"/>
        <w:numPr>
          <w:ilvl w:val="0"/>
          <w:numId w:val="3"/>
        </w:numPr>
        <w:autoSpaceDE w:val="0"/>
        <w:autoSpaceDN w:val="0"/>
        <w:adjustRightInd w:val="0"/>
        <w:spacing w:after="0" w:line="360" w:lineRule="auto"/>
        <w:ind w:left="426"/>
        <w:jc w:val="both"/>
        <w:rPr>
          <w:rFonts w:ascii="Arial" w:hAnsi="Arial" w:cs="Arial"/>
          <w:color w:val="000000" w:themeColor="text1"/>
          <w:sz w:val="19"/>
          <w:szCs w:val="19"/>
        </w:rPr>
      </w:pPr>
      <w:r w:rsidRPr="00C34DCD">
        <w:rPr>
          <w:rFonts w:ascii="Arial" w:hAnsi="Arial" w:cs="Arial"/>
          <w:color w:val="000000" w:themeColor="text1"/>
          <w:sz w:val="19"/>
          <w:szCs w:val="19"/>
        </w:rPr>
        <w:t>El Directorio y la Gerencia de la Entidad son responsables por la preparación y presentación razonable de los estados financieros mencionados en el párrafo 1. de conformidad con el marco de información contable establecido por el Banco Central de la República Argentina (“BCRA”), que, tal como se indica en la Nota 2. a los estados financieros mencionados en el párrafo 1., se basa en las Normas Internacionales de Información Financiera (“NIIF”), tal como esas normas  fueron emitidas por el Consejo de Normas Internacionales de Contabilidad (“IASB” por su sigla en inglés) y adoptadas por la Federación Argentina de Consejos Profesionales de Ciencias Económicas (“FACPCE”), y con las excepciones que fueron establecidas por el BCRA que se explican en la mencionada nota. El Directorio y la Gerencia de la Entidad son también responsables del control interno que consideren necesario para permitir la preparación de estados financieros libres de distorsiones significativas, ya sea debido a errores o irregularidades.</w:t>
      </w:r>
    </w:p>
    <w:p w:rsidR="00605F44" w:rsidRPr="00C8553B" w:rsidRDefault="00605F44" w:rsidP="002D55AE">
      <w:pPr>
        <w:pStyle w:val="ListParagraph"/>
        <w:numPr>
          <w:ilvl w:val="0"/>
          <w:numId w:val="3"/>
        </w:numPr>
        <w:spacing w:line="360" w:lineRule="auto"/>
        <w:ind w:left="426" w:hanging="425"/>
        <w:jc w:val="both"/>
        <w:rPr>
          <w:rFonts w:ascii="Arial" w:hAnsi="Arial" w:cs="Arial"/>
          <w:color w:val="000000" w:themeColor="text1"/>
          <w:sz w:val="19"/>
          <w:szCs w:val="19"/>
        </w:rPr>
      </w:pPr>
      <w:r w:rsidRPr="00C8553B">
        <w:rPr>
          <w:rFonts w:ascii="Arial" w:hAnsi="Arial" w:cs="Arial"/>
          <w:color w:val="000000" w:themeColor="text1"/>
          <w:sz w:val="19"/>
          <w:szCs w:val="19"/>
        </w:rPr>
        <w:br w:type="page"/>
      </w:r>
    </w:p>
    <w:p w:rsidR="00F13F67" w:rsidRPr="00207E25" w:rsidRDefault="00F13F67" w:rsidP="00F13F67">
      <w:pPr>
        <w:pStyle w:val="ListParagraph"/>
        <w:ind w:left="284" w:right="-306"/>
        <w:jc w:val="both"/>
        <w:rPr>
          <w:rFonts w:ascii="Arial" w:hAnsi="Arial" w:cs="Arial"/>
          <w:color w:val="000000" w:themeColor="text1"/>
          <w:sz w:val="19"/>
          <w:szCs w:val="19"/>
        </w:rPr>
      </w:pPr>
    </w:p>
    <w:p w:rsidR="00B216F3" w:rsidRPr="00207E25" w:rsidRDefault="00B216F3" w:rsidP="00752B7D">
      <w:pPr>
        <w:autoSpaceDE w:val="0"/>
        <w:autoSpaceDN w:val="0"/>
        <w:adjustRightInd w:val="0"/>
        <w:spacing w:after="0"/>
        <w:ind w:left="-142" w:right="-306"/>
        <w:jc w:val="both"/>
        <w:rPr>
          <w:rFonts w:ascii="Arial" w:hAnsi="Arial" w:cs="Arial"/>
          <w:b/>
          <w:color w:val="000000" w:themeColor="text1"/>
          <w:sz w:val="19"/>
          <w:szCs w:val="19"/>
        </w:rPr>
      </w:pPr>
      <w:r w:rsidRPr="00207E25">
        <w:rPr>
          <w:rFonts w:ascii="Arial" w:hAnsi="Arial" w:cs="Arial"/>
          <w:b/>
          <w:color w:val="000000" w:themeColor="text1"/>
          <w:sz w:val="19"/>
          <w:szCs w:val="19"/>
        </w:rPr>
        <w:t>Responsabilidad del auditor</w:t>
      </w:r>
    </w:p>
    <w:p w:rsidR="00B216F3" w:rsidRPr="00207E25" w:rsidRDefault="00B216F3" w:rsidP="00D55CDB">
      <w:pPr>
        <w:pStyle w:val="ListParagraph"/>
        <w:autoSpaceDE w:val="0"/>
        <w:autoSpaceDN w:val="0"/>
        <w:adjustRightInd w:val="0"/>
        <w:spacing w:after="0" w:line="360" w:lineRule="auto"/>
        <w:ind w:left="270" w:right="-306"/>
        <w:jc w:val="both"/>
        <w:rPr>
          <w:rFonts w:ascii="Arial" w:hAnsi="Arial" w:cs="Arial"/>
          <w:color w:val="000000" w:themeColor="text1"/>
          <w:sz w:val="19"/>
          <w:szCs w:val="19"/>
        </w:rPr>
      </w:pPr>
    </w:p>
    <w:p w:rsidR="008B7FC9" w:rsidRDefault="008B7FC9" w:rsidP="00435B54">
      <w:pPr>
        <w:pStyle w:val="ListParagraph"/>
        <w:numPr>
          <w:ilvl w:val="0"/>
          <w:numId w:val="17"/>
        </w:numPr>
        <w:spacing w:line="360" w:lineRule="auto"/>
        <w:jc w:val="both"/>
        <w:rPr>
          <w:rFonts w:ascii="Arial" w:hAnsi="Arial" w:cs="Arial"/>
          <w:color w:val="000000" w:themeColor="text2"/>
          <w:sz w:val="19"/>
          <w:szCs w:val="19"/>
        </w:rPr>
      </w:pPr>
      <w:r w:rsidRPr="00D55CDB">
        <w:rPr>
          <w:rFonts w:ascii="Arial" w:hAnsi="Arial" w:cs="Arial"/>
          <w:color w:val="000000" w:themeColor="text2"/>
          <w:sz w:val="19"/>
          <w:szCs w:val="19"/>
        </w:rPr>
        <w:t>Nuestra responsabilidad es expresar una opinión sobre los estados financieros mencionados en el párrafo 1. basada en nuestra auditoría. Hemos realizado nuestro trabajo de conformidad con las normas de auditoría establecidas en la Resolución Técnica N° 37 de la FACPCE y con las “Normas mínimas sobre auditorías externas” emitidas por el BCRA. Dichas normas exigen que cumplamos los requerimientos de ética, así como que planifiquemos y ejecutemos la auditoría con el fin de obtener un grado razonable de seguridad acerca de la inexistencia de distorsiones significat</w:t>
      </w:r>
      <w:r w:rsidR="009C7B60" w:rsidRPr="00D55CDB">
        <w:rPr>
          <w:rFonts w:ascii="Arial" w:hAnsi="Arial" w:cs="Arial"/>
          <w:color w:val="000000" w:themeColor="text2"/>
          <w:sz w:val="19"/>
          <w:szCs w:val="19"/>
        </w:rPr>
        <w:t>ivas en los estados financieros</w:t>
      </w:r>
      <w:r w:rsidR="00D55CDB" w:rsidRPr="00D55CDB">
        <w:rPr>
          <w:rFonts w:ascii="Arial" w:hAnsi="Arial" w:cs="Arial"/>
          <w:color w:val="000000" w:themeColor="text2"/>
          <w:sz w:val="19"/>
          <w:szCs w:val="19"/>
        </w:rPr>
        <w:t>.</w:t>
      </w:r>
    </w:p>
    <w:p w:rsidR="00D55CDB" w:rsidRPr="00D55CDB" w:rsidRDefault="00D55CDB" w:rsidP="00D55CDB">
      <w:pPr>
        <w:pStyle w:val="ListParagraph"/>
        <w:spacing w:line="360" w:lineRule="auto"/>
        <w:ind w:left="630"/>
        <w:jc w:val="both"/>
        <w:rPr>
          <w:rFonts w:ascii="Arial" w:hAnsi="Arial" w:cs="Arial"/>
          <w:color w:val="000000" w:themeColor="text2"/>
          <w:sz w:val="19"/>
          <w:szCs w:val="19"/>
        </w:rPr>
      </w:pPr>
    </w:p>
    <w:p w:rsidR="008B7FC9" w:rsidRPr="008B7FC9" w:rsidRDefault="008B7FC9" w:rsidP="00D55CDB">
      <w:pPr>
        <w:pStyle w:val="ListParagraph"/>
        <w:spacing w:line="360" w:lineRule="auto"/>
        <w:ind w:left="629"/>
        <w:jc w:val="both"/>
        <w:rPr>
          <w:rFonts w:ascii="Arial" w:hAnsi="Arial" w:cs="Arial"/>
          <w:color w:val="000000" w:themeColor="text2"/>
          <w:sz w:val="19"/>
          <w:szCs w:val="19"/>
        </w:rPr>
      </w:pPr>
      <w:r w:rsidRPr="008B7FC9">
        <w:rPr>
          <w:rFonts w:ascii="Arial" w:hAnsi="Arial" w:cs="Arial"/>
          <w:color w:val="000000" w:themeColor="text2"/>
          <w:sz w:val="19"/>
          <w:szCs w:val="19"/>
        </w:rPr>
        <w:t xml:space="preserve">Una auditoría comprende la aplicación de procedimientos para obtener elementos de juicio sobre las cifras y la información presentada en los estados financieros. Los procedimientos seleccionados dependen del juicio profesional del auditor, incluida la valoración de los riesgos de distorsiones significativas en los estados financieros, originadas en errores o irregularidades. Al realizar valoraciones de riesgos, el auditor considera el control interno existente en la Entidad, en lo que sea relevante para la preparación y presentación razonable de los estados financieros, con la finalidad de diseñar los procedimientos de auditoría que resulten apropiados en las circunstancias, pero no con el propósito de expresar una opinión sobre la eficacia del sistema de control interno de la Entidad. Asimismo, una auditoría incluye evaluar que las políticas contables utilizadas sean apropiadas, la razonabilidad de las estimaciones contables efectuadas por el Directorio y la Gerencia de la Entidad y la presentación de los estados financieros en su conjunto. </w:t>
      </w:r>
    </w:p>
    <w:p w:rsidR="008B7FC9" w:rsidRPr="008B7FC9" w:rsidRDefault="008B7FC9" w:rsidP="00D55CDB">
      <w:pPr>
        <w:pStyle w:val="ListParagraph"/>
        <w:spacing w:line="360" w:lineRule="auto"/>
        <w:ind w:left="629"/>
        <w:jc w:val="both"/>
        <w:rPr>
          <w:rFonts w:ascii="Arial" w:hAnsi="Arial" w:cs="Arial"/>
          <w:color w:val="000000" w:themeColor="text2"/>
          <w:sz w:val="19"/>
          <w:szCs w:val="19"/>
        </w:rPr>
      </w:pPr>
    </w:p>
    <w:p w:rsidR="00F13F67" w:rsidRPr="008B7FC9" w:rsidRDefault="008B7FC9" w:rsidP="00D55CDB">
      <w:pPr>
        <w:pStyle w:val="ListParagraph"/>
        <w:spacing w:line="360" w:lineRule="auto"/>
        <w:ind w:left="629"/>
        <w:jc w:val="both"/>
        <w:rPr>
          <w:rFonts w:ascii="Arial" w:hAnsi="Arial" w:cs="Arial"/>
          <w:color w:val="000000" w:themeColor="text2"/>
          <w:sz w:val="19"/>
          <w:szCs w:val="19"/>
        </w:rPr>
      </w:pPr>
      <w:r w:rsidRPr="008B7FC9">
        <w:rPr>
          <w:rFonts w:ascii="Arial" w:hAnsi="Arial" w:cs="Arial"/>
          <w:color w:val="000000" w:themeColor="text2"/>
          <w:sz w:val="19"/>
          <w:szCs w:val="19"/>
        </w:rPr>
        <w:t>Consideramos que los elementos de juicio obtenidos nos brindan una base suficiente y adecuada para nuestra opinión de auditoría.</w:t>
      </w:r>
    </w:p>
    <w:p w:rsidR="00F13F67" w:rsidRPr="00F13F67" w:rsidRDefault="00F13F67" w:rsidP="00F13F67">
      <w:pPr>
        <w:shd w:val="clear" w:color="auto" w:fill="FFFFFF" w:themeFill="background1"/>
        <w:autoSpaceDE w:val="0"/>
        <w:autoSpaceDN w:val="0"/>
        <w:adjustRightInd w:val="0"/>
        <w:spacing w:after="0"/>
        <w:ind w:right="-306"/>
        <w:jc w:val="both"/>
        <w:rPr>
          <w:rFonts w:ascii="Arial" w:hAnsi="Arial" w:cs="Arial"/>
          <w:color w:val="000000" w:themeColor="text2"/>
          <w:sz w:val="19"/>
          <w:szCs w:val="19"/>
        </w:rPr>
      </w:pPr>
    </w:p>
    <w:p w:rsidR="00B216F3" w:rsidRPr="00207E25" w:rsidRDefault="008B7FC9" w:rsidP="00752B7D">
      <w:pPr>
        <w:autoSpaceDE w:val="0"/>
        <w:autoSpaceDN w:val="0"/>
        <w:adjustRightInd w:val="0"/>
        <w:spacing w:after="0"/>
        <w:ind w:left="270" w:right="-306" w:hanging="412"/>
        <w:jc w:val="both"/>
        <w:rPr>
          <w:rFonts w:ascii="Arial" w:hAnsi="Arial" w:cs="Arial"/>
          <w:b/>
          <w:color w:val="000000" w:themeColor="text1"/>
          <w:sz w:val="19"/>
          <w:szCs w:val="19"/>
        </w:rPr>
      </w:pPr>
      <w:r>
        <w:rPr>
          <w:rFonts w:ascii="Arial" w:hAnsi="Arial" w:cs="Arial"/>
          <w:b/>
          <w:color w:val="000000" w:themeColor="text1"/>
          <w:sz w:val="19"/>
          <w:szCs w:val="19"/>
        </w:rPr>
        <w:t>Opinión</w:t>
      </w:r>
    </w:p>
    <w:p w:rsidR="00B216F3" w:rsidRPr="00207E25" w:rsidRDefault="00B216F3" w:rsidP="00D55CDB">
      <w:pPr>
        <w:autoSpaceDE w:val="0"/>
        <w:autoSpaceDN w:val="0"/>
        <w:adjustRightInd w:val="0"/>
        <w:spacing w:after="0" w:line="360" w:lineRule="auto"/>
        <w:ind w:right="-306"/>
        <w:jc w:val="both"/>
        <w:rPr>
          <w:rFonts w:ascii="Arial" w:hAnsi="Arial" w:cs="Arial"/>
          <w:b/>
          <w:color w:val="000000" w:themeColor="text1"/>
          <w:sz w:val="19"/>
          <w:szCs w:val="19"/>
        </w:rPr>
      </w:pPr>
    </w:p>
    <w:p w:rsidR="008B7FC9" w:rsidRPr="008B7FC9" w:rsidRDefault="008B7FC9" w:rsidP="00D55CDB">
      <w:pPr>
        <w:pStyle w:val="ListParagraph"/>
        <w:numPr>
          <w:ilvl w:val="0"/>
          <w:numId w:val="17"/>
        </w:numPr>
        <w:spacing w:line="360" w:lineRule="auto"/>
        <w:jc w:val="both"/>
        <w:rPr>
          <w:rFonts w:ascii="Arial" w:hAnsi="Arial" w:cs="Arial"/>
          <w:color w:val="000000" w:themeColor="text1"/>
          <w:sz w:val="19"/>
          <w:szCs w:val="19"/>
        </w:rPr>
      </w:pPr>
      <w:r w:rsidRPr="008B7FC9">
        <w:rPr>
          <w:rFonts w:ascii="Arial" w:hAnsi="Arial" w:cs="Arial"/>
          <w:color w:val="000000" w:themeColor="text1"/>
          <w:sz w:val="19"/>
          <w:szCs w:val="19"/>
        </w:rPr>
        <w:t>En nuestra opinión, los estados financieros mencionados en el párrafo 1. presentan razonablemente, en todos sus aspectos significativos, la s</w:t>
      </w:r>
      <w:r>
        <w:rPr>
          <w:rFonts w:ascii="Arial" w:hAnsi="Arial" w:cs="Arial"/>
          <w:color w:val="000000" w:themeColor="text1"/>
          <w:sz w:val="19"/>
          <w:szCs w:val="19"/>
        </w:rPr>
        <w:t>ituación financiera de BANCO CMF</w:t>
      </w:r>
      <w:r w:rsidRPr="008B7FC9">
        <w:rPr>
          <w:rFonts w:ascii="Arial" w:hAnsi="Arial" w:cs="Arial"/>
          <w:color w:val="000000" w:themeColor="text1"/>
          <w:sz w:val="19"/>
          <w:szCs w:val="19"/>
        </w:rPr>
        <w:t xml:space="preserve"> S.A. y sus sociedades controladas al 31 de diciembre de 201</w:t>
      </w:r>
      <w:r w:rsidR="00C8553B">
        <w:rPr>
          <w:rFonts w:ascii="Arial" w:hAnsi="Arial" w:cs="Arial"/>
          <w:color w:val="000000" w:themeColor="text1"/>
          <w:sz w:val="19"/>
          <w:szCs w:val="19"/>
        </w:rPr>
        <w:t>9</w:t>
      </w:r>
      <w:r w:rsidRPr="008B7FC9">
        <w:rPr>
          <w:rFonts w:ascii="Arial" w:hAnsi="Arial" w:cs="Arial"/>
          <w:color w:val="000000" w:themeColor="text1"/>
          <w:sz w:val="19"/>
          <w:szCs w:val="19"/>
        </w:rPr>
        <w:t>, así como sus resultados, la evolución de su patrimonio neto y los flujos de efectivo correspondientes al ejercicio finalizado en esa fecha, de conformidad con el marco de información contable establecido por el BCRA mencionado en el párrafo 2.</w:t>
      </w:r>
    </w:p>
    <w:p w:rsidR="00B66942" w:rsidRPr="008B7FC9" w:rsidRDefault="00B66942" w:rsidP="008B7FC9">
      <w:pPr>
        <w:pStyle w:val="ListParagraph"/>
        <w:autoSpaceDE w:val="0"/>
        <w:autoSpaceDN w:val="0"/>
        <w:adjustRightInd w:val="0"/>
        <w:spacing w:after="0"/>
        <w:ind w:left="284" w:right="-306"/>
        <w:jc w:val="both"/>
        <w:rPr>
          <w:rFonts w:ascii="Arial" w:hAnsi="Arial" w:cs="Arial"/>
          <w:b/>
          <w:color w:val="000000" w:themeColor="text1"/>
          <w:sz w:val="19"/>
          <w:szCs w:val="19"/>
        </w:rPr>
      </w:pPr>
    </w:p>
    <w:p w:rsidR="00F13F67" w:rsidRPr="00207E25" w:rsidRDefault="00F13F67" w:rsidP="00CC070C">
      <w:pPr>
        <w:pStyle w:val="ListParagraph"/>
        <w:autoSpaceDE w:val="0"/>
        <w:autoSpaceDN w:val="0"/>
        <w:adjustRightInd w:val="0"/>
        <w:spacing w:after="0"/>
        <w:ind w:left="630" w:right="-306"/>
        <w:jc w:val="both"/>
        <w:rPr>
          <w:rFonts w:ascii="Arial" w:hAnsi="Arial" w:cs="Arial"/>
          <w:color w:val="000000" w:themeColor="text1"/>
          <w:sz w:val="19"/>
          <w:szCs w:val="19"/>
        </w:rPr>
      </w:pPr>
    </w:p>
    <w:p w:rsidR="006C3920" w:rsidRPr="00207E25" w:rsidRDefault="006C3920" w:rsidP="00752B7D">
      <w:pPr>
        <w:autoSpaceDE w:val="0"/>
        <w:autoSpaceDN w:val="0"/>
        <w:adjustRightInd w:val="0"/>
        <w:spacing w:after="0"/>
        <w:ind w:left="270" w:right="-306" w:hanging="412"/>
        <w:jc w:val="both"/>
        <w:rPr>
          <w:rFonts w:ascii="Arial" w:hAnsi="Arial" w:cs="Arial"/>
          <w:b/>
          <w:color w:val="000000" w:themeColor="text1"/>
          <w:sz w:val="19"/>
          <w:szCs w:val="19"/>
        </w:rPr>
      </w:pPr>
      <w:r w:rsidRPr="00207E25">
        <w:rPr>
          <w:rFonts w:ascii="Arial" w:hAnsi="Arial" w:cs="Arial"/>
          <w:b/>
          <w:color w:val="000000" w:themeColor="text1"/>
          <w:sz w:val="19"/>
          <w:szCs w:val="19"/>
        </w:rPr>
        <w:t xml:space="preserve">Énfasis sobre ciertos aspectos revelados en los estados financieros </w:t>
      </w:r>
    </w:p>
    <w:p w:rsidR="00B73180" w:rsidRPr="00207E25" w:rsidRDefault="00B73180" w:rsidP="00CC070C">
      <w:pPr>
        <w:autoSpaceDE w:val="0"/>
        <w:autoSpaceDN w:val="0"/>
        <w:adjustRightInd w:val="0"/>
        <w:spacing w:after="0"/>
        <w:ind w:right="-306"/>
        <w:jc w:val="both"/>
        <w:rPr>
          <w:rFonts w:ascii="Arial" w:hAnsi="Arial" w:cs="Arial"/>
          <w:b/>
          <w:color w:val="000000" w:themeColor="text1"/>
          <w:sz w:val="19"/>
          <w:szCs w:val="19"/>
        </w:rPr>
      </w:pPr>
    </w:p>
    <w:p w:rsidR="00B73180" w:rsidRPr="00207E25" w:rsidRDefault="006A4827" w:rsidP="00DF1B1E">
      <w:pPr>
        <w:pStyle w:val="ListParagraph"/>
        <w:numPr>
          <w:ilvl w:val="0"/>
          <w:numId w:val="17"/>
        </w:numPr>
        <w:tabs>
          <w:tab w:val="left" w:pos="567"/>
        </w:tabs>
        <w:autoSpaceDE w:val="0"/>
        <w:autoSpaceDN w:val="0"/>
        <w:adjustRightInd w:val="0"/>
        <w:spacing w:after="0" w:line="360" w:lineRule="auto"/>
        <w:ind w:left="709" w:right="-306" w:hanging="284"/>
        <w:jc w:val="both"/>
        <w:rPr>
          <w:rFonts w:ascii="Arial" w:hAnsi="Arial" w:cs="Arial"/>
          <w:sz w:val="19"/>
          <w:szCs w:val="19"/>
        </w:rPr>
      </w:pPr>
      <w:r w:rsidRPr="00207E25">
        <w:rPr>
          <w:rFonts w:ascii="Arial" w:hAnsi="Arial" w:cs="Arial"/>
          <w:sz w:val="19"/>
          <w:szCs w:val="19"/>
        </w:rPr>
        <w:t>Llamamos la atención sobre la</w:t>
      </w:r>
      <w:r w:rsidR="00DF1B1E">
        <w:rPr>
          <w:rFonts w:ascii="Arial" w:hAnsi="Arial" w:cs="Arial"/>
          <w:sz w:val="19"/>
          <w:szCs w:val="19"/>
        </w:rPr>
        <w:t xml:space="preserve"> información contenida en la siguiente nota</w:t>
      </w:r>
      <w:r w:rsidRPr="00207E25">
        <w:rPr>
          <w:rFonts w:ascii="Arial" w:hAnsi="Arial" w:cs="Arial"/>
          <w:sz w:val="19"/>
          <w:szCs w:val="19"/>
        </w:rPr>
        <w:t xml:space="preserve"> </w:t>
      </w:r>
      <w:r w:rsidR="009C1148" w:rsidRPr="00207E25">
        <w:rPr>
          <w:rFonts w:ascii="Arial" w:hAnsi="Arial" w:cs="Arial"/>
          <w:sz w:val="19"/>
          <w:szCs w:val="19"/>
        </w:rPr>
        <w:t>a los</w:t>
      </w:r>
      <w:r w:rsidR="006E5D73">
        <w:rPr>
          <w:rFonts w:ascii="Arial" w:hAnsi="Arial" w:cs="Arial"/>
          <w:sz w:val="19"/>
          <w:szCs w:val="19"/>
        </w:rPr>
        <w:t xml:space="preserve"> estados financieros</w:t>
      </w:r>
      <w:r w:rsidR="006A062F" w:rsidRPr="00207E25">
        <w:rPr>
          <w:rFonts w:ascii="Arial" w:hAnsi="Arial" w:cs="Arial"/>
          <w:sz w:val="19"/>
          <w:szCs w:val="19"/>
        </w:rPr>
        <w:t xml:space="preserve"> </w:t>
      </w:r>
      <w:r w:rsidR="00B73180" w:rsidRPr="00207E25">
        <w:rPr>
          <w:rFonts w:ascii="Arial" w:hAnsi="Arial" w:cs="Arial"/>
          <w:sz w:val="19"/>
          <w:szCs w:val="19"/>
        </w:rPr>
        <w:t>mencionados en el párrafo 1:</w:t>
      </w:r>
    </w:p>
    <w:p w:rsidR="00B73180" w:rsidRPr="00207E25" w:rsidRDefault="00B73180" w:rsidP="00D55CDB">
      <w:pPr>
        <w:pStyle w:val="ListParagraph"/>
        <w:autoSpaceDE w:val="0"/>
        <w:autoSpaceDN w:val="0"/>
        <w:adjustRightInd w:val="0"/>
        <w:spacing w:after="0" w:line="360" w:lineRule="auto"/>
        <w:ind w:left="360" w:right="-306"/>
        <w:jc w:val="both"/>
        <w:rPr>
          <w:rFonts w:ascii="Arial" w:hAnsi="Arial" w:cs="Arial"/>
          <w:sz w:val="19"/>
          <w:szCs w:val="19"/>
        </w:rPr>
      </w:pPr>
    </w:p>
    <w:p w:rsidR="00C34DCD" w:rsidRPr="008D2C6C" w:rsidRDefault="00C34DCD" w:rsidP="00C34DCD">
      <w:pPr>
        <w:pStyle w:val="ListParagraph"/>
        <w:numPr>
          <w:ilvl w:val="0"/>
          <w:numId w:val="18"/>
        </w:numPr>
        <w:autoSpaceDE w:val="0"/>
        <w:autoSpaceDN w:val="0"/>
        <w:adjustRightInd w:val="0"/>
        <w:spacing w:after="0" w:line="360" w:lineRule="auto"/>
        <w:ind w:left="851"/>
        <w:jc w:val="both"/>
        <w:rPr>
          <w:rFonts w:ascii="Arial" w:hAnsi="Arial" w:cs="Arial"/>
          <w:sz w:val="19"/>
          <w:szCs w:val="19"/>
        </w:rPr>
      </w:pPr>
      <w:r w:rsidRPr="008D2C6C">
        <w:rPr>
          <w:rFonts w:ascii="Arial" w:hAnsi="Arial" w:cs="Arial"/>
          <w:sz w:val="19"/>
          <w:szCs w:val="19"/>
        </w:rPr>
        <w:lastRenderedPageBreak/>
        <w:t xml:space="preserve">Nota 2. “Bases de presentación de los Estados Financieros y Políticas contables aplicadas”, apartado “Normas contables aplicadas”, en la que la Entidad indica que (a) el BCRA estableció disposiciones específicas para las entidades financieras respecto a la aplicación de la sección 5.5 “Deterioro de Valor” de la NIIF N° 9 “Instrumentos Financieros”, y (b) se encuentra en proceso de </w:t>
      </w:r>
      <w:r w:rsidR="00A72A51">
        <w:rPr>
          <w:rFonts w:ascii="Arial" w:hAnsi="Arial" w:cs="Arial"/>
          <w:sz w:val="19"/>
          <w:szCs w:val="19"/>
        </w:rPr>
        <w:t>revisió</w:t>
      </w:r>
      <w:r w:rsidRPr="008D2C6C">
        <w:rPr>
          <w:rFonts w:ascii="Arial" w:hAnsi="Arial" w:cs="Arial"/>
          <w:sz w:val="19"/>
          <w:szCs w:val="19"/>
        </w:rPr>
        <w:t>n</w:t>
      </w:r>
      <w:r w:rsidR="00A72A51">
        <w:rPr>
          <w:rFonts w:ascii="Arial" w:hAnsi="Arial" w:cs="Arial"/>
          <w:sz w:val="19"/>
          <w:szCs w:val="19"/>
        </w:rPr>
        <w:t xml:space="preserve"> final</w:t>
      </w:r>
      <w:r w:rsidRPr="008D2C6C">
        <w:rPr>
          <w:rFonts w:ascii="Arial" w:hAnsi="Arial" w:cs="Arial"/>
          <w:sz w:val="19"/>
          <w:szCs w:val="19"/>
        </w:rPr>
        <w:t xml:space="preserve"> del efecto que sobre los estados financieros tendría la aplicación plena de dicha norma, pero que estima que el mismo podría ser significativo. Esta cuestión no modifica la opinión expresada en el párrafo 5., pero debe ser tenida en cuenta por aquellos usuarios que utilicen las NIIF para la interpretación de los estados financieros mencionados en el párrafo 1.</w:t>
      </w:r>
    </w:p>
    <w:p w:rsidR="00C34DCD" w:rsidRPr="008D2C6C" w:rsidRDefault="00C34DCD" w:rsidP="00C34DCD">
      <w:pPr>
        <w:pStyle w:val="ListParagraph"/>
        <w:autoSpaceDE w:val="0"/>
        <w:autoSpaceDN w:val="0"/>
        <w:adjustRightInd w:val="0"/>
        <w:spacing w:after="0" w:line="240" w:lineRule="auto"/>
        <w:ind w:left="630"/>
        <w:jc w:val="both"/>
        <w:rPr>
          <w:rFonts w:ascii="Arial" w:hAnsi="Arial" w:cs="Arial"/>
          <w:color w:val="000000" w:themeColor="text1"/>
          <w:sz w:val="19"/>
          <w:szCs w:val="19"/>
        </w:rPr>
      </w:pPr>
    </w:p>
    <w:p w:rsidR="00C34DCD" w:rsidRPr="008D2C6C" w:rsidRDefault="00C34DCD" w:rsidP="00C34DCD">
      <w:pPr>
        <w:pStyle w:val="ListParagraph"/>
        <w:numPr>
          <w:ilvl w:val="0"/>
          <w:numId w:val="18"/>
        </w:numPr>
        <w:autoSpaceDE w:val="0"/>
        <w:autoSpaceDN w:val="0"/>
        <w:adjustRightInd w:val="0"/>
        <w:spacing w:after="0" w:line="360" w:lineRule="auto"/>
        <w:ind w:left="851" w:hanging="425"/>
        <w:jc w:val="both"/>
        <w:rPr>
          <w:rFonts w:ascii="Arial" w:hAnsi="Arial" w:cs="Arial"/>
          <w:color w:val="000000" w:themeColor="text1"/>
          <w:sz w:val="19"/>
          <w:szCs w:val="19"/>
        </w:rPr>
      </w:pPr>
      <w:r w:rsidRPr="008D2C6C">
        <w:rPr>
          <w:rFonts w:ascii="Arial" w:hAnsi="Arial" w:cs="Arial"/>
          <w:sz w:val="19"/>
          <w:szCs w:val="19"/>
        </w:rPr>
        <w:t xml:space="preserve">Nota 2. “Bases de presentación de los Estados Financieros y Políticas contables aplicadas”, apartado “Unidad de medida” en la que </w:t>
      </w:r>
      <w:r w:rsidRPr="008D2C6C">
        <w:rPr>
          <w:rFonts w:ascii="Arial" w:hAnsi="Arial" w:cs="Arial"/>
          <w:color w:val="000000" w:themeColor="text1"/>
          <w:sz w:val="19"/>
          <w:szCs w:val="19"/>
        </w:rPr>
        <w:t xml:space="preserve">(a) se explica que si bien al 31 de diciembre de 2019 se cumplen las condiciones previstas en la NIC N° 29 para la </w:t>
      </w:r>
      <w:proofErr w:type="spellStart"/>
      <w:r w:rsidRPr="008D2C6C">
        <w:rPr>
          <w:rFonts w:ascii="Arial" w:hAnsi="Arial" w:cs="Arial"/>
          <w:color w:val="000000" w:themeColor="text1"/>
          <w:sz w:val="19"/>
          <w:szCs w:val="19"/>
        </w:rPr>
        <w:t>reexpresión</w:t>
      </w:r>
      <w:proofErr w:type="spellEnd"/>
      <w:r w:rsidRPr="008D2C6C">
        <w:rPr>
          <w:rFonts w:ascii="Arial" w:hAnsi="Arial" w:cs="Arial"/>
          <w:color w:val="000000" w:themeColor="text1"/>
          <w:sz w:val="19"/>
          <w:szCs w:val="19"/>
        </w:rPr>
        <w:t xml:space="preserve"> de los estados financieros a moneda homogénea, transitoriamente la Comunicación “A” 6651 del BCRA no permite tal </w:t>
      </w:r>
      <w:proofErr w:type="spellStart"/>
      <w:r w:rsidRPr="008D2C6C">
        <w:rPr>
          <w:rFonts w:ascii="Arial" w:hAnsi="Arial" w:cs="Arial"/>
          <w:color w:val="000000" w:themeColor="text1"/>
          <w:sz w:val="19"/>
          <w:szCs w:val="19"/>
        </w:rPr>
        <w:t>reexpresión</w:t>
      </w:r>
      <w:proofErr w:type="spellEnd"/>
      <w:r w:rsidRPr="008D2C6C">
        <w:rPr>
          <w:rFonts w:ascii="Arial" w:hAnsi="Arial" w:cs="Arial"/>
          <w:color w:val="000000" w:themeColor="text1"/>
          <w:sz w:val="19"/>
          <w:szCs w:val="19"/>
        </w:rPr>
        <w:t xml:space="preserve">; (b) se efectúa una descripción de los principales impactos que produciría la aplicación de la NIC N° 29, y se indica que si bien la Entidad se encuentra en proceso de </w:t>
      </w:r>
      <w:r w:rsidR="00A72A51">
        <w:rPr>
          <w:rFonts w:ascii="Arial" w:hAnsi="Arial" w:cs="Arial"/>
          <w:color w:val="000000" w:themeColor="text1"/>
          <w:sz w:val="19"/>
          <w:szCs w:val="19"/>
        </w:rPr>
        <w:t>revisión final</w:t>
      </w:r>
      <w:r w:rsidRPr="008D2C6C">
        <w:rPr>
          <w:rFonts w:ascii="Arial" w:hAnsi="Arial" w:cs="Arial"/>
          <w:color w:val="000000" w:themeColor="text1"/>
          <w:sz w:val="19"/>
          <w:szCs w:val="19"/>
        </w:rPr>
        <w:t xml:space="preserve"> de los efectos que sobre los estados financieros mencionados en el párrafo 1. tendría la aplicación de la NIC N° 29, estima que los mismos </w:t>
      </w:r>
      <w:r w:rsidR="00096B2F">
        <w:rPr>
          <w:rFonts w:ascii="Arial" w:hAnsi="Arial" w:cs="Arial"/>
          <w:color w:val="000000" w:themeColor="text1"/>
          <w:sz w:val="19"/>
          <w:szCs w:val="19"/>
        </w:rPr>
        <w:t>podrían ser</w:t>
      </w:r>
      <w:r w:rsidRPr="008D2C6C">
        <w:rPr>
          <w:rFonts w:ascii="Arial" w:hAnsi="Arial" w:cs="Arial"/>
          <w:color w:val="000000" w:themeColor="text1"/>
          <w:sz w:val="19"/>
          <w:szCs w:val="19"/>
        </w:rPr>
        <w:t xml:space="preserve"> significativos, y (c) se alerta que la falta de reconocimiento de los cambios ocurridos en el poder adquisitivo general de la moneda puede distorsionar la informaci</w:t>
      </w:r>
      <w:bookmarkStart w:id="0" w:name="_GoBack"/>
      <w:bookmarkEnd w:id="0"/>
      <w:r w:rsidRPr="008D2C6C">
        <w:rPr>
          <w:rFonts w:ascii="Arial" w:hAnsi="Arial" w:cs="Arial"/>
          <w:color w:val="000000" w:themeColor="text1"/>
          <w:sz w:val="19"/>
          <w:szCs w:val="19"/>
        </w:rPr>
        <w:t>ón contable, y debe ser tenida en cuenta en la interpretación de la información que la Entidad brinda en los estados financieros mencionados en el párrafo 1. sobre su situación financiera, sus resultados y los flujos de su efectivo. Esta cuestión no modifica la opinión expresada en el párrafo 5. pero dejamos expresa constancia que si bien los estados financieros mencionados en el párrafo 1. han sido preparados con la finalidad de alcanzar una presentación razonable de conformidad con el marco de información contable establecido por el BCRA, las prácticas de ese marco de información en materia de unidad de medida no permiten alcanzar una presentación razonable de conformidad con las normas contables profesionales.</w:t>
      </w:r>
    </w:p>
    <w:p w:rsidR="00C34DCD" w:rsidRDefault="00C34DCD" w:rsidP="00C34DCD">
      <w:pPr>
        <w:pStyle w:val="ListParagraph"/>
        <w:autoSpaceDE w:val="0"/>
        <w:autoSpaceDN w:val="0"/>
        <w:adjustRightInd w:val="0"/>
        <w:spacing w:after="0" w:line="360" w:lineRule="auto"/>
        <w:ind w:left="786"/>
        <w:jc w:val="both"/>
        <w:rPr>
          <w:rFonts w:ascii="Arial" w:hAnsi="Arial" w:cs="Arial"/>
          <w:sz w:val="19"/>
          <w:szCs w:val="19"/>
        </w:rPr>
      </w:pPr>
    </w:p>
    <w:p w:rsidR="00DF1B1E" w:rsidRDefault="00DF1B1E" w:rsidP="00DF1B1E">
      <w:pPr>
        <w:pStyle w:val="ListParagraph"/>
        <w:ind w:left="-142"/>
        <w:rPr>
          <w:rFonts w:ascii="Arial" w:hAnsi="Arial" w:cs="Arial"/>
          <w:b/>
          <w:color w:val="000000" w:themeColor="text1"/>
          <w:sz w:val="19"/>
          <w:szCs w:val="19"/>
        </w:rPr>
      </w:pPr>
      <w:r w:rsidRPr="00DF1B1E">
        <w:rPr>
          <w:rFonts w:ascii="Arial" w:hAnsi="Arial" w:cs="Arial"/>
          <w:b/>
          <w:color w:val="000000" w:themeColor="text1"/>
          <w:sz w:val="19"/>
          <w:szCs w:val="19"/>
        </w:rPr>
        <w:t>Otras cuestiones</w:t>
      </w:r>
    </w:p>
    <w:p w:rsidR="00DF1B1E" w:rsidRPr="00DF1B1E" w:rsidRDefault="00DF1B1E" w:rsidP="009C7B60">
      <w:pPr>
        <w:pStyle w:val="ListParagraph"/>
        <w:ind w:left="284"/>
        <w:rPr>
          <w:rFonts w:ascii="Arial" w:hAnsi="Arial" w:cs="Arial"/>
          <w:b/>
          <w:color w:val="000000" w:themeColor="text1"/>
          <w:sz w:val="19"/>
          <w:szCs w:val="19"/>
        </w:rPr>
      </w:pPr>
    </w:p>
    <w:p w:rsidR="00F13F67" w:rsidRDefault="008B7FC9" w:rsidP="00DF1B1E">
      <w:pPr>
        <w:pStyle w:val="ListParagraph"/>
        <w:numPr>
          <w:ilvl w:val="0"/>
          <w:numId w:val="17"/>
        </w:numPr>
        <w:spacing w:line="360" w:lineRule="auto"/>
        <w:ind w:left="426" w:right="-306" w:hanging="426"/>
        <w:jc w:val="both"/>
        <w:rPr>
          <w:rFonts w:ascii="Arial" w:hAnsi="Arial" w:cs="Arial"/>
          <w:color w:val="000000" w:themeColor="text1"/>
          <w:sz w:val="19"/>
          <w:szCs w:val="19"/>
        </w:rPr>
      </w:pPr>
      <w:r w:rsidRPr="008B7FC9">
        <w:rPr>
          <w:rFonts w:ascii="Arial" w:hAnsi="Arial" w:cs="Arial"/>
          <w:color w:val="000000" w:themeColor="text1"/>
          <w:sz w:val="19"/>
          <w:szCs w:val="19"/>
        </w:rPr>
        <w:t xml:space="preserve">Hemos emitido por separado un informe sobre los </w:t>
      </w:r>
      <w:r>
        <w:rPr>
          <w:rFonts w:ascii="Arial" w:hAnsi="Arial" w:cs="Arial"/>
          <w:color w:val="000000" w:themeColor="text1"/>
          <w:sz w:val="19"/>
          <w:szCs w:val="19"/>
        </w:rPr>
        <w:t>estados financieros</w:t>
      </w:r>
      <w:r w:rsidR="00A72A51">
        <w:rPr>
          <w:rFonts w:ascii="Arial" w:hAnsi="Arial" w:cs="Arial"/>
          <w:color w:val="000000" w:themeColor="text1"/>
          <w:sz w:val="19"/>
          <w:szCs w:val="19"/>
        </w:rPr>
        <w:t xml:space="preserve"> separados</w:t>
      </w:r>
      <w:r>
        <w:rPr>
          <w:rFonts w:ascii="Arial" w:hAnsi="Arial" w:cs="Arial"/>
          <w:color w:val="000000" w:themeColor="text1"/>
          <w:sz w:val="19"/>
          <w:szCs w:val="19"/>
        </w:rPr>
        <w:t xml:space="preserve"> de BANCO CMF</w:t>
      </w:r>
      <w:r w:rsidRPr="008B7FC9">
        <w:rPr>
          <w:rFonts w:ascii="Arial" w:hAnsi="Arial" w:cs="Arial"/>
          <w:color w:val="000000" w:themeColor="text1"/>
          <w:sz w:val="19"/>
          <w:szCs w:val="19"/>
        </w:rPr>
        <w:t xml:space="preserve"> S.A. a la misma fecha y por el mismo período indicado en el párrafo 1.</w:t>
      </w:r>
    </w:p>
    <w:p w:rsidR="00DF1B1E" w:rsidRDefault="00DF1B1E" w:rsidP="00DF1B1E">
      <w:pPr>
        <w:pStyle w:val="ListParagraph"/>
        <w:spacing w:line="360" w:lineRule="auto"/>
        <w:ind w:left="426"/>
        <w:rPr>
          <w:rFonts w:ascii="Arial" w:hAnsi="Arial" w:cs="Arial"/>
          <w:color w:val="000000" w:themeColor="text1"/>
          <w:sz w:val="19"/>
          <w:szCs w:val="19"/>
        </w:rPr>
      </w:pPr>
    </w:p>
    <w:p w:rsidR="00DF1B1E" w:rsidRPr="00DF1B1E" w:rsidRDefault="00DF1B1E" w:rsidP="00DF1B1E">
      <w:pPr>
        <w:pStyle w:val="ListParagraph"/>
        <w:spacing w:line="360" w:lineRule="auto"/>
        <w:ind w:left="426"/>
        <w:rPr>
          <w:rFonts w:ascii="Arial" w:hAnsi="Arial" w:cs="Arial"/>
          <w:color w:val="000000" w:themeColor="text1"/>
          <w:sz w:val="19"/>
          <w:szCs w:val="19"/>
        </w:rPr>
      </w:pPr>
    </w:p>
    <w:p w:rsidR="00B216F3" w:rsidRPr="00207E25" w:rsidRDefault="00B216F3" w:rsidP="00D55CDB">
      <w:pPr>
        <w:pStyle w:val="ListParagraph"/>
        <w:numPr>
          <w:ilvl w:val="0"/>
          <w:numId w:val="4"/>
        </w:numPr>
        <w:autoSpaceDE w:val="0"/>
        <w:autoSpaceDN w:val="0"/>
        <w:adjustRightInd w:val="0"/>
        <w:spacing w:after="0" w:line="360" w:lineRule="auto"/>
        <w:ind w:left="284" w:right="-306" w:hanging="426"/>
        <w:jc w:val="both"/>
        <w:rPr>
          <w:rFonts w:ascii="Arial" w:hAnsi="Arial" w:cs="Arial"/>
          <w:b/>
          <w:color w:val="000000" w:themeColor="text1"/>
          <w:sz w:val="19"/>
          <w:szCs w:val="19"/>
        </w:rPr>
      </w:pPr>
      <w:r w:rsidRPr="00207E25">
        <w:rPr>
          <w:rFonts w:ascii="Arial" w:hAnsi="Arial" w:cs="Arial"/>
          <w:b/>
          <w:color w:val="000000" w:themeColor="text1"/>
          <w:sz w:val="19"/>
          <w:szCs w:val="19"/>
        </w:rPr>
        <w:t>Informe sobre otros requerimientos legales y regulatorios</w:t>
      </w:r>
    </w:p>
    <w:p w:rsidR="00B216F3" w:rsidRPr="00207E25" w:rsidRDefault="00B216F3" w:rsidP="00D55CDB">
      <w:pPr>
        <w:autoSpaceDE w:val="0"/>
        <w:autoSpaceDN w:val="0"/>
        <w:adjustRightInd w:val="0"/>
        <w:spacing w:after="0" w:line="360" w:lineRule="auto"/>
        <w:ind w:left="284" w:right="-306"/>
        <w:jc w:val="both"/>
        <w:rPr>
          <w:rFonts w:ascii="Arial" w:hAnsi="Arial" w:cs="Arial"/>
          <w:color w:val="000000" w:themeColor="text1"/>
          <w:sz w:val="19"/>
          <w:szCs w:val="19"/>
        </w:rPr>
      </w:pPr>
    </w:p>
    <w:p w:rsidR="006D2D54" w:rsidRPr="00207E25" w:rsidRDefault="006D2D54" w:rsidP="00DF1B1E">
      <w:pPr>
        <w:pStyle w:val="ListParagraph"/>
        <w:numPr>
          <w:ilvl w:val="0"/>
          <w:numId w:val="17"/>
        </w:numPr>
        <w:autoSpaceDE w:val="0"/>
        <w:autoSpaceDN w:val="0"/>
        <w:adjustRightInd w:val="0"/>
        <w:spacing w:after="0" w:line="360" w:lineRule="auto"/>
        <w:ind w:left="426" w:right="-306" w:hanging="426"/>
        <w:jc w:val="both"/>
        <w:rPr>
          <w:rFonts w:ascii="Arial" w:hAnsi="Arial" w:cs="Arial"/>
          <w:color w:val="000000" w:themeColor="text1"/>
          <w:sz w:val="19"/>
          <w:szCs w:val="19"/>
        </w:rPr>
      </w:pPr>
      <w:r w:rsidRPr="00207E25">
        <w:rPr>
          <w:rFonts w:ascii="Arial" w:hAnsi="Arial" w:cs="Arial"/>
          <w:color w:val="000000" w:themeColor="text1"/>
          <w:sz w:val="19"/>
          <w:szCs w:val="19"/>
        </w:rPr>
        <w:t>En cumplimiento de disposiciones vigentes</w:t>
      </w:r>
      <w:r w:rsidR="00DF1B1E">
        <w:rPr>
          <w:rFonts w:ascii="Arial" w:hAnsi="Arial" w:cs="Arial"/>
          <w:color w:val="000000" w:themeColor="text1"/>
          <w:sz w:val="19"/>
          <w:szCs w:val="19"/>
        </w:rPr>
        <w:t>,</w:t>
      </w:r>
      <w:r w:rsidRPr="00207E25">
        <w:rPr>
          <w:rFonts w:ascii="Arial" w:hAnsi="Arial" w:cs="Arial"/>
          <w:color w:val="000000" w:themeColor="text1"/>
          <w:sz w:val="19"/>
          <w:szCs w:val="19"/>
        </w:rPr>
        <w:t xml:space="preserve"> informamos que:</w:t>
      </w:r>
    </w:p>
    <w:p w:rsidR="006D2D54" w:rsidRPr="00207E25" w:rsidRDefault="006D2D54" w:rsidP="00D55CDB">
      <w:pPr>
        <w:pStyle w:val="Textoinfaud"/>
        <w:tabs>
          <w:tab w:val="clear" w:pos="720"/>
        </w:tabs>
        <w:ind w:left="1134" w:right="-306"/>
        <w:rPr>
          <w:rFonts w:ascii="Arial" w:hAnsi="Arial" w:cs="Arial"/>
          <w:color w:val="000000" w:themeColor="text1"/>
          <w:sz w:val="19"/>
          <w:szCs w:val="19"/>
        </w:rPr>
      </w:pPr>
    </w:p>
    <w:p w:rsidR="00DF1B1E" w:rsidRDefault="00D55CDB" w:rsidP="00DF1B1E">
      <w:pPr>
        <w:pStyle w:val="ListParagraph"/>
        <w:numPr>
          <w:ilvl w:val="0"/>
          <w:numId w:val="16"/>
        </w:numPr>
        <w:autoSpaceDE w:val="0"/>
        <w:autoSpaceDN w:val="0"/>
        <w:adjustRightInd w:val="0"/>
        <w:spacing w:after="0" w:line="360" w:lineRule="auto"/>
        <w:ind w:left="993" w:right="-306" w:hanging="426"/>
        <w:jc w:val="both"/>
        <w:rPr>
          <w:rFonts w:ascii="Arial" w:eastAsia="Times New Roman" w:hAnsi="Arial" w:cs="Arial"/>
          <w:color w:val="000000" w:themeColor="text1"/>
          <w:sz w:val="19"/>
          <w:szCs w:val="19"/>
          <w:lang w:eastAsia="en-US"/>
        </w:rPr>
      </w:pPr>
      <w:r w:rsidRPr="00A03A5E">
        <w:rPr>
          <w:rFonts w:ascii="Arial" w:eastAsia="Times New Roman" w:hAnsi="Arial" w:cs="Arial"/>
          <w:color w:val="000000" w:themeColor="text1"/>
          <w:sz w:val="19"/>
          <w:szCs w:val="19"/>
          <w:lang w:eastAsia="en-US"/>
        </w:rPr>
        <w:t>En nuestra opinión, los estados financieros mencionados en el párrafo 1 han sido preparados, en todos sus aspectos significativos, de conformidad con las normas pertinentes de la Ley General de Sociedades y de la Comisión Nacional de Valores (“CNV”).</w:t>
      </w:r>
    </w:p>
    <w:p w:rsidR="00DF1B1E" w:rsidRDefault="00DF1B1E" w:rsidP="00DF1B1E">
      <w:pPr>
        <w:pStyle w:val="ListParagraph"/>
        <w:autoSpaceDE w:val="0"/>
        <w:autoSpaceDN w:val="0"/>
        <w:adjustRightInd w:val="0"/>
        <w:spacing w:after="0" w:line="360" w:lineRule="auto"/>
        <w:ind w:left="993"/>
        <w:jc w:val="both"/>
        <w:rPr>
          <w:rFonts w:ascii="Arial" w:eastAsia="Times New Roman" w:hAnsi="Arial" w:cs="Arial"/>
          <w:color w:val="000000" w:themeColor="text1"/>
          <w:sz w:val="19"/>
          <w:szCs w:val="19"/>
          <w:lang w:eastAsia="en-US"/>
        </w:rPr>
      </w:pPr>
    </w:p>
    <w:p w:rsidR="00DF1B1E" w:rsidRDefault="00DF1B1E" w:rsidP="00DF1B1E">
      <w:pPr>
        <w:pStyle w:val="ListParagraph"/>
        <w:autoSpaceDE w:val="0"/>
        <w:autoSpaceDN w:val="0"/>
        <w:adjustRightInd w:val="0"/>
        <w:spacing w:after="0" w:line="360" w:lineRule="auto"/>
        <w:ind w:left="993"/>
        <w:jc w:val="both"/>
        <w:rPr>
          <w:rFonts w:ascii="Arial" w:eastAsia="Times New Roman" w:hAnsi="Arial" w:cs="Arial"/>
          <w:color w:val="000000" w:themeColor="text1"/>
          <w:sz w:val="19"/>
          <w:szCs w:val="19"/>
          <w:lang w:eastAsia="en-US"/>
        </w:rPr>
      </w:pPr>
    </w:p>
    <w:p w:rsidR="00DF1B1E" w:rsidRPr="00C95320" w:rsidRDefault="00DF1B1E" w:rsidP="003F17C5">
      <w:pPr>
        <w:pStyle w:val="ListParagraph"/>
        <w:numPr>
          <w:ilvl w:val="0"/>
          <w:numId w:val="16"/>
        </w:numPr>
        <w:autoSpaceDE w:val="0"/>
        <w:autoSpaceDN w:val="0"/>
        <w:adjustRightInd w:val="0"/>
        <w:spacing w:after="0" w:line="360" w:lineRule="auto"/>
        <w:ind w:left="993" w:right="-306" w:hanging="426"/>
        <w:jc w:val="both"/>
        <w:rPr>
          <w:rFonts w:ascii="Arial" w:eastAsia="Times New Roman" w:hAnsi="Arial" w:cs="Arial"/>
          <w:color w:val="000000" w:themeColor="text1"/>
          <w:sz w:val="19"/>
          <w:szCs w:val="19"/>
          <w:lang w:eastAsia="en-US"/>
        </w:rPr>
      </w:pPr>
      <w:r w:rsidRPr="003F17C5">
        <w:rPr>
          <w:rFonts w:ascii="Arial" w:eastAsia="Times New Roman" w:hAnsi="Arial" w:cs="Arial"/>
          <w:color w:val="000000" w:themeColor="text1"/>
          <w:sz w:val="19"/>
          <w:szCs w:val="19"/>
          <w:lang w:eastAsia="en-US"/>
        </w:rPr>
        <w:t>Los estados financieros mencionados en el párrafo 1.</w:t>
      </w:r>
      <w:r w:rsidR="003F17C5" w:rsidRPr="003F17C5">
        <w:rPr>
          <w:rFonts w:ascii="Arial" w:eastAsia="Times New Roman" w:hAnsi="Arial" w:cs="Arial"/>
          <w:color w:val="000000" w:themeColor="text1"/>
          <w:sz w:val="19"/>
          <w:szCs w:val="19"/>
          <w:lang w:eastAsia="en-US"/>
        </w:rPr>
        <w:t xml:space="preserve"> se encuentran transcriptos en el libro Inventarios y Balances de BANCO CMF S.A. y </w:t>
      </w:r>
      <w:r w:rsidRPr="003F17C5">
        <w:rPr>
          <w:rFonts w:ascii="Arial" w:eastAsia="Times New Roman" w:hAnsi="Arial" w:cs="Arial"/>
          <w:color w:val="000000" w:themeColor="text1"/>
          <w:sz w:val="19"/>
          <w:szCs w:val="19"/>
          <w:lang w:eastAsia="en-US"/>
        </w:rPr>
        <w:t xml:space="preserve">surgen de registros contables llevados, en sus aspectos formales, de conformidad con las normas legales vigentes y con las condiciones establecidas en la </w:t>
      </w:r>
      <w:r w:rsidRPr="00C95320">
        <w:rPr>
          <w:rFonts w:ascii="Arial" w:eastAsia="Times New Roman" w:hAnsi="Arial" w:cs="Arial"/>
          <w:color w:val="000000" w:themeColor="text1"/>
          <w:sz w:val="19"/>
          <w:szCs w:val="19"/>
          <w:lang w:eastAsia="en-US"/>
        </w:rPr>
        <w:t>Resolución N° 815/EMI de la CNV de fecha 17 de febrero de 2000.</w:t>
      </w:r>
    </w:p>
    <w:p w:rsidR="008E45D2" w:rsidRPr="00C95320" w:rsidRDefault="008E45D2" w:rsidP="00D55CDB">
      <w:pPr>
        <w:autoSpaceDE w:val="0"/>
        <w:autoSpaceDN w:val="0"/>
        <w:adjustRightInd w:val="0"/>
        <w:spacing w:after="0" w:line="360" w:lineRule="auto"/>
        <w:ind w:left="993" w:right="-306" w:hanging="426"/>
        <w:jc w:val="both"/>
        <w:rPr>
          <w:rFonts w:ascii="Arial" w:eastAsia="Times New Roman" w:hAnsi="Arial" w:cs="Arial"/>
          <w:color w:val="000000" w:themeColor="text1"/>
          <w:sz w:val="19"/>
          <w:szCs w:val="19"/>
          <w:lang w:eastAsia="en-US"/>
        </w:rPr>
      </w:pPr>
    </w:p>
    <w:p w:rsidR="002F4B6E" w:rsidRPr="00C95320" w:rsidRDefault="00D55CDB" w:rsidP="002F4B6E">
      <w:pPr>
        <w:pStyle w:val="ListParagraph"/>
        <w:numPr>
          <w:ilvl w:val="0"/>
          <w:numId w:val="16"/>
        </w:numPr>
        <w:autoSpaceDE w:val="0"/>
        <w:autoSpaceDN w:val="0"/>
        <w:adjustRightInd w:val="0"/>
        <w:spacing w:after="0" w:line="360" w:lineRule="auto"/>
        <w:ind w:left="993" w:right="-306" w:hanging="426"/>
        <w:jc w:val="both"/>
        <w:rPr>
          <w:rFonts w:ascii="Arial" w:eastAsia="Times New Roman" w:hAnsi="Arial" w:cs="Arial"/>
          <w:color w:val="000000" w:themeColor="text1"/>
          <w:sz w:val="19"/>
          <w:szCs w:val="19"/>
          <w:lang w:eastAsia="en-US"/>
        </w:rPr>
      </w:pPr>
      <w:r w:rsidRPr="00C95320">
        <w:rPr>
          <w:rFonts w:ascii="Arial" w:eastAsia="Times New Roman" w:hAnsi="Arial" w:cs="Arial"/>
          <w:color w:val="000000" w:themeColor="text1"/>
          <w:sz w:val="19"/>
          <w:szCs w:val="19"/>
          <w:lang w:eastAsia="en-US"/>
        </w:rPr>
        <w:t>Al 31 de diciembre de 201</w:t>
      </w:r>
      <w:r w:rsidR="00C8553B" w:rsidRPr="00C95320">
        <w:rPr>
          <w:rFonts w:ascii="Arial" w:eastAsia="Times New Roman" w:hAnsi="Arial" w:cs="Arial"/>
          <w:color w:val="000000" w:themeColor="text1"/>
          <w:sz w:val="19"/>
          <w:szCs w:val="19"/>
          <w:lang w:eastAsia="en-US"/>
        </w:rPr>
        <w:t>9</w:t>
      </w:r>
      <w:r w:rsidRPr="00C95320">
        <w:rPr>
          <w:rFonts w:ascii="Arial" w:eastAsia="Times New Roman" w:hAnsi="Arial" w:cs="Arial"/>
          <w:color w:val="000000" w:themeColor="text1"/>
          <w:sz w:val="19"/>
          <w:szCs w:val="19"/>
          <w:lang w:eastAsia="en-US"/>
        </w:rPr>
        <w:t xml:space="preserve">, la deuda devengada en concepto de aportes y contribuciones con destino al Sistema Integrado Previsional Argentino, que surge de los registros contables de la Entidad, asciende a $ </w:t>
      </w:r>
      <w:r w:rsidR="00C8553B" w:rsidRPr="00C95320">
        <w:rPr>
          <w:rFonts w:ascii="Arial" w:eastAsia="Times New Roman" w:hAnsi="Arial" w:cs="Arial"/>
          <w:color w:val="000000" w:themeColor="text1"/>
          <w:sz w:val="19"/>
          <w:szCs w:val="19"/>
          <w:lang w:eastAsia="en-US"/>
        </w:rPr>
        <w:t>7.697.036</w:t>
      </w:r>
      <w:r w:rsidRPr="00C95320">
        <w:rPr>
          <w:rFonts w:ascii="Arial" w:eastAsia="Times New Roman" w:hAnsi="Arial" w:cs="Arial"/>
          <w:color w:val="000000" w:themeColor="text1"/>
          <w:sz w:val="19"/>
          <w:szCs w:val="19"/>
          <w:lang w:eastAsia="en-US"/>
        </w:rPr>
        <w:t>, no siendo exigible a esa fecha</w:t>
      </w:r>
      <w:r w:rsidR="008E45D2" w:rsidRPr="00C95320">
        <w:rPr>
          <w:rFonts w:ascii="Arial" w:eastAsia="Times New Roman" w:hAnsi="Arial" w:cs="Arial"/>
          <w:color w:val="000000" w:themeColor="text1"/>
          <w:sz w:val="19"/>
          <w:szCs w:val="19"/>
          <w:lang w:eastAsia="en-US"/>
        </w:rPr>
        <w:t>.</w:t>
      </w:r>
    </w:p>
    <w:p w:rsidR="002F4B6E" w:rsidRPr="00C95320" w:rsidRDefault="002F4B6E" w:rsidP="002F4B6E">
      <w:pPr>
        <w:pStyle w:val="ListParagraph"/>
        <w:rPr>
          <w:rFonts w:ascii="Arial" w:eastAsia="Times New Roman" w:hAnsi="Arial" w:cs="Arial"/>
          <w:color w:val="000000" w:themeColor="text1"/>
          <w:sz w:val="19"/>
          <w:szCs w:val="19"/>
          <w:lang w:eastAsia="en-US"/>
        </w:rPr>
      </w:pPr>
    </w:p>
    <w:p w:rsidR="00D55CDB" w:rsidRPr="00C95320" w:rsidRDefault="00D55CDB" w:rsidP="002F4B6E">
      <w:pPr>
        <w:pStyle w:val="ListParagraph"/>
        <w:numPr>
          <w:ilvl w:val="0"/>
          <w:numId w:val="16"/>
        </w:numPr>
        <w:autoSpaceDE w:val="0"/>
        <w:autoSpaceDN w:val="0"/>
        <w:adjustRightInd w:val="0"/>
        <w:spacing w:after="0" w:line="360" w:lineRule="auto"/>
        <w:ind w:left="993" w:right="-306" w:hanging="426"/>
        <w:jc w:val="both"/>
        <w:rPr>
          <w:rFonts w:ascii="Arial" w:eastAsia="Times New Roman" w:hAnsi="Arial" w:cs="Arial"/>
          <w:color w:val="000000" w:themeColor="text1"/>
          <w:sz w:val="19"/>
          <w:szCs w:val="19"/>
          <w:lang w:eastAsia="en-US"/>
        </w:rPr>
      </w:pPr>
      <w:r w:rsidRPr="00C95320">
        <w:rPr>
          <w:rFonts w:ascii="Arial" w:eastAsia="Times New Roman" w:hAnsi="Arial" w:cs="Arial"/>
          <w:color w:val="000000" w:themeColor="text1"/>
          <w:sz w:val="19"/>
          <w:szCs w:val="19"/>
          <w:lang w:eastAsia="en-US"/>
        </w:rPr>
        <w:t>Durante el ejercicio finalizado el 31 de diciembre de 201</w:t>
      </w:r>
      <w:r w:rsidR="000843F5" w:rsidRPr="00C95320">
        <w:rPr>
          <w:rFonts w:ascii="Arial" w:eastAsia="Times New Roman" w:hAnsi="Arial" w:cs="Arial"/>
          <w:color w:val="000000" w:themeColor="text1"/>
          <w:sz w:val="19"/>
          <w:szCs w:val="19"/>
          <w:lang w:eastAsia="en-US"/>
        </w:rPr>
        <w:t>9</w:t>
      </w:r>
      <w:r w:rsidRPr="00C95320">
        <w:rPr>
          <w:rFonts w:ascii="Arial" w:eastAsia="Times New Roman" w:hAnsi="Arial" w:cs="Arial"/>
          <w:color w:val="000000" w:themeColor="text1"/>
          <w:sz w:val="19"/>
          <w:szCs w:val="19"/>
          <w:lang w:eastAsia="en-US"/>
        </w:rPr>
        <w:t xml:space="preserve"> hemos facturado honorarios por servicios de auditoría prestados a BANCO CMF S.A., que representan el </w:t>
      </w:r>
      <w:r w:rsidR="00C95320" w:rsidRPr="00C95320">
        <w:rPr>
          <w:rFonts w:ascii="Arial" w:eastAsia="Times New Roman" w:hAnsi="Arial" w:cs="Arial"/>
          <w:color w:val="000000" w:themeColor="text1"/>
          <w:sz w:val="19"/>
          <w:szCs w:val="19"/>
          <w:lang w:eastAsia="en-US"/>
        </w:rPr>
        <w:t>96</w:t>
      </w:r>
      <w:r w:rsidRPr="00C95320">
        <w:rPr>
          <w:rFonts w:ascii="Arial" w:eastAsia="Times New Roman" w:hAnsi="Arial" w:cs="Arial"/>
          <w:color w:val="000000" w:themeColor="text1"/>
          <w:sz w:val="19"/>
          <w:szCs w:val="19"/>
          <w:lang w:eastAsia="en-US"/>
        </w:rPr>
        <w:t xml:space="preserve">% del total facturado a BANCO CMF S.A. por todo concepto, el </w:t>
      </w:r>
      <w:r w:rsidR="00C95320" w:rsidRPr="00C95320">
        <w:rPr>
          <w:rFonts w:ascii="Arial" w:eastAsia="Times New Roman" w:hAnsi="Arial" w:cs="Arial"/>
          <w:color w:val="000000" w:themeColor="text1"/>
          <w:sz w:val="19"/>
          <w:szCs w:val="19"/>
          <w:lang w:eastAsia="en-US"/>
        </w:rPr>
        <w:t>84</w:t>
      </w:r>
      <w:r w:rsidRPr="00C95320">
        <w:rPr>
          <w:rFonts w:ascii="Arial" w:eastAsia="Times New Roman" w:hAnsi="Arial" w:cs="Arial"/>
          <w:color w:val="000000" w:themeColor="text1"/>
          <w:sz w:val="19"/>
          <w:szCs w:val="19"/>
          <w:lang w:eastAsia="en-US"/>
        </w:rPr>
        <w:t>% del total de servicios de auditoría facturados a BANCO CMF S.A. y a las controladas y, el 8</w:t>
      </w:r>
      <w:r w:rsidR="00C95320" w:rsidRPr="00C95320">
        <w:rPr>
          <w:rFonts w:ascii="Arial" w:eastAsia="Times New Roman" w:hAnsi="Arial" w:cs="Arial"/>
          <w:color w:val="000000" w:themeColor="text1"/>
          <w:sz w:val="19"/>
          <w:szCs w:val="19"/>
          <w:lang w:eastAsia="en-US"/>
        </w:rPr>
        <w:t>1</w:t>
      </w:r>
      <w:r w:rsidRPr="00C95320">
        <w:rPr>
          <w:rFonts w:ascii="Arial" w:eastAsia="Times New Roman" w:hAnsi="Arial" w:cs="Arial"/>
          <w:color w:val="000000" w:themeColor="text1"/>
          <w:sz w:val="19"/>
          <w:szCs w:val="19"/>
          <w:lang w:eastAsia="en-US"/>
        </w:rPr>
        <w:t>% del total facturado a BANCO CMF S.A. y a las controladas por todo concepto</w:t>
      </w:r>
      <w:r w:rsidR="00DF1B1E" w:rsidRPr="00C95320">
        <w:rPr>
          <w:rFonts w:ascii="Arial" w:eastAsia="Times New Roman" w:hAnsi="Arial" w:cs="Arial"/>
          <w:color w:val="000000" w:themeColor="text1"/>
          <w:sz w:val="19"/>
          <w:szCs w:val="19"/>
          <w:lang w:eastAsia="en-US"/>
        </w:rPr>
        <w:t>.</w:t>
      </w:r>
    </w:p>
    <w:p w:rsidR="00360830" w:rsidRDefault="00360830" w:rsidP="00CC070C">
      <w:pPr>
        <w:autoSpaceDE w:val="0"/>
        <w:autoSpaceDN w:val="0"/>
        <w:adjustRightInd w:val="0"/>
        <w:spacing w:after="0"/>
        <w:ind w:left="284" w:right="-306"/>
        <w:jc w:val="both"/>
        <w:rPr>
          <w:rFonts w:ascii="Arial" w:hAnsi="Arial" w:cs="Arial"/>
          <w:color w:val="000000" w:themeColor="text1"/>
          <w:sz w:val="19"/>
          <w:szCs w:val="19"/>
        </w:rPr>
      </w:pPr>
    </w:p>
    <w:p w:rsidR="00F13F67" w:rsidRPr="00207E25" w:rsidRDefault="00F13F67" w:rsidP="00CC070C">
      <w:pPr>
        <w:autoSpaceDE w:val="0"/>
        <w:autoSpaceDN w:val="0"/>
        <w:adjustRightInd w:val="0"/>
        <w:spacing w:after="0"/>
        <w:ind w:left="284" w:right="-306"/>
        <w:jc w:val="both"/>
        <w:rPr>
          <w:rFonts w:ascii="Arial" w:hAnsi="Arial" w:cs="Arial"/>
          <w:color w:val="000000" w:themeColor="text1"/>
          <w:sz w:val="19"/>
          <w:szCs w:val="19"/>
        </w:rPr>
      </w:pPr>
    </w:p>
    <w:p w:rsidR="00360830" w:rsidRPr="00207E25" w:rsidRDefault="00360830" w:rsidP="00CC070C">
      <w:pPr>
        <w:spacing w:after="0" w:line="360" w:lineRule="auto"/>
        <w:ind w:right="-306"/>
        <w:jc w:val="both"/>
        <w:rPr>
          <w:rFonts w:ascii="Arial" w:hAnsi="Arial" w:cs="Arial"/>
          <w:color w:val="000000" w:themeColor="text1"/>
          <w:sz w:val="19"/>
          <w:szCs w:val="19"/>
        </w:rPr>
      </w:pPr>
      <w:r w:rsidRPr="00207E25">
        <w:rPr>
          <w:rFonts w:ascii="Arial" w:hAnsi="Arial" w:cs="Arial"/>
          <w:color w:val="000000" w:themeColor="text1"/>
          <w:sz w:val="19"/>
          <w:szCs w:val="19"/>
        </w:rPr>
        <w:t xml:space="preserve">Ciudad Autónoma de Buenos Aires,  </w:t>
      </w:r>
    </w:p>
    <w:p w:rsidR="00360830" w:rsidRPr="000D4C58" w:rsidRDefault="00C8553B" w:rsidP="00C8553B">
      <w:pPr>
        <w:spacing w:line="360" w:lineRule="auto"/>
        <w:ind w:left="567" w:right="-306"/>
        <w:jc w:val="both"/>
        <w:rPr>
          <w:rFonts w:ascii="Arial" w:hAnsi="Arial" w:cs="Arial"/>
          <w:color w:val="000000" w:themeColor="text1"/>
          <w:sz w:val="19"/>
          <w:szCs w:val="19"/>
        </w:rPr>
      </w:pPr>
      <w:r w:rsidRPr="000D4C58">
        <w:rPr>
          <w:rFonts w:ascii="Arial" w:hAnsi="Arial" w:cs="Arial"/>
          <w:color w:val="000000" w:themeColor="text1"/>
          <w:sz w:val="19"/>
          <w:szCs w:val="19"/>
        </w:rPr>
        <w:t>2</w:t>
      </w:r>
      <w:r w:rsidR="00A971FD">
        <w:rPr>
          <w:rFonts w:ascii="Arial" w:hAnsi="Arial" w:cs="Arial"/>
          <w:color w:val="000000" w:themeColor="text1"/>
          <w:sz w:val="19"/>
          <w:szCs w:val="19"/>
        </w:rPr>
        <w:t>6</w:t>
      </w:r>
      <w:r w:rsidR="008B7FC9" w:rsidRPr="000D4C58">
        <w:rPr>
          <w:rFonts w:ascii="Arial" w:hAnsi="Arial" w:cs="Arial"/>
          <w:color w:val="000000" w:themeColor="text1"/>
          <w:sz w:val="19"/>
          <w:szCs w:val="19"/>
        </w:rPr>
        <w:t xml:space="preserve"> de </w:t>
      </w:r>
      <w:r w:rsidRPr="000D4C58">
        <w:rPr>
          <w:rFonts w:ascii="Arial" w:hAnsi="Arial" w:cs="Arial"/>
          <w:color w:val="000000" w:themeColor="text1"/>
          <w:sz w:val="19"/>
          <w:szCs w:val="19"/>
        </w:rPr>
        <w:t>febrer</w:t>
      </w:r>
      <w:r w:rsidR="008B7FC9" w:rsidRPr="000D4C58">
        <w:rPr>
          <w:rFonts w:ascii="Arial" w:hAnsi="Arial" w:cs="Arial"/>
          <w:color w:val="000000" w:themeColor="text1"/>
          <w:sz w:val="19"/>
          <w:szCs w:val="19"/>
        </w:rPr>
        <w:t>o de 20</w:t>
      </w:r>
      <w:r w:rsidRPr="000D4C58">
        <w:rPr>
          <w:rFonts w:ascii="Arial" w:hAnsi="Arial" w:cs="Arial"/>
          <w:color w:val="000000" w:themeColor="text1"/>
          <w:sz w:val="19"/>
          <w:szCs w:val="19"/>
        </w:rPr>
        <w:t>20</w:t>
      </w:r>
    </w:p>
    <w:p w:rsidR="00360830" w:rsidRDefault="00360830" w:rsidP="00CC070C">
      <w:pPr>
        <w:spacing w:line="360" w:lineRule="auto"/>
        <w:ind w:right="-306"/>
        <w:jc w:val="both"/>
        <w:rPr>
          <w:rFonts w:ascii="Arial" w:hAnsi="Arial" w:cs="Arial"/>
          <w:sz w:val="19"/>
          <w:szCs w:val="19"/>
        </w:rPr>
      </w:pPr>
    </w:p>
    <w:p w:rsidR="00F13F67" w:rsidRPr="00207E25" w:rsidRDefault="009C7B60" w:rsidP="009C7B60">
      <w:pPr>
        <w:tabs>
          <w:tab w:val="left" w:pos="1454"/>
        </w:tabs>
        <w:spacing w:line="360" w:lineRule="auto"/>
        <w:ind w:right="-306"/>
        <w:jc w:val="both"/>
        <w:rPr>
          <w:rFonts w:ascii="Arial" w:hAnsi="Arial" w:cs="Arial"/>
          <w:sz w:val="19"/>
          <w:szCs w:val="19"/>
        </w:rPr>
      </w:pPr>
      <w:r>
        <w:rPr>
          <w:rFonts w:ascii="Arial" w:hAnsi="Arial" w:cs="Arial"/>
          <w:sz w:val="19"/>
          <w:szCs w:val="19"/>
        </w:rPr>
        <w:tab/>
      </w:r>
    </w:p>
    <w:tbl>
      <w:tblPr>
        <w:tblW w:w="7196" w:type="dxa"/>
        <w:tblInd w:w="2914" w:type="dxa"/>
        <w:tblLook w:val="0000" w:firstRow="0" w:lastRow="0" w:firstColumn="0" w:lastColumn="0" w:noHBand="0" w:noVBand="0"/>
      </w:tblPr>
      <w:tblGrid>
        <w:gridCol w:w="7196"/>
      </w:tblGrid>
      <w:tr w:rsidR="00360830" w:rsidRPr="00207E25"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rPr>
            </w:pPr>
            <w:r w:rsidRPr="00207E25">
              <w:rPr>
                <w:rFonts w:ascii="Arial" w:hAnsi="Arial" w:cs="Arial"/>
                <w:sz w:val="19"/>
                <w:szCs w:val="19"/>
              </w:rPr>
              <w:t>PISTRELLI, HENRY MARTIN Y ASOCIADOS S.R.L.</w:t>
            </w:r>
          </w:p>
        </w:tc>
      </w:tr>
      <w:tr w:rsidR="00360830" w:rsidRPr="00207E25"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rPr>
            </w:pPr>
            <w:r w:rsidRPr="00207E25">
              <w:rPr>
                <w:rFonts w:ascii="Arial" w:hAnsi="Arial" w:cs="Arial"/>
                <w:sz w:val="19"/>
                <w:szCs w:val="19"/>
              </w:rPr>
              <w:t xml:space="preserve">C.P.C.E.C.A.B.A. </w:t>
            </w:r>
            <w:proofErr w:type="spellStart"/>
            <w:r w:rsidRPr="00207E25">
              <w:rPr>
                <w:rFonts w:ascii="Arial" w:hAnsi="Arial" w:cs="Arial"/>
                <w:sz w:val="19"/>
                <w:szCs w:val="19"/>
              </w:rPr>
              <w:t>T°</w:t>
            </w:r>
            <w:proofErr w:type="spellEnd"/>
            <w:r w:rsidRPr="00207E25">
              <w:rPr>
                <w:rFonts w:ascii="Arial" w:hAnsi="Arial" w:cs="Arial"/>
                <w:sz w:val="19"/>
                <w:szCs w:val="19"/>
              </w:rPr>
              <w:t xml:space="preserve"> 1 – </w:t>
            </w:r>
            <w:proofErr w:type="spellStart"/>
            <w:r w:rsidRPr="00207E25">
              <w:rPr>
                <w:rFonts w:ascii="Arial" w:hAnsi="Arial" w:cs="Arial"/>
                <w:sz w:val="19"/>
                <w:szCs w:val="19"/>
              </w:rPr>
              <w:t>F°</w:t>
            </w:r>
            <w:proofErr w:type="spellEnd"/>
            <w:r w:rsidRPr="00207E25">
              <w:rPr>
                <w:rFonts w:ascii="Arial" w:hAnsi="Arial" w:cs="Arial"/>
                <w:sz w:val="19"/>
                <w:szCs w:val="19"/>
              </w:rPr>
              <w:t xml:space="preserve"> 13</w:t>
            </w:r>
          </w:p>
        </w:tc>
      </w:tr>
      <w:tr w:rsidR="00360830" w:rsidRPr="00207E25"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rPr>
            </w:pPr>
          </w:p>
        </w:tc>
      </w:tr>
      <w:tr w:rsidR="00360830" w:rsidRPr="00207E25"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rPr>
            </w:pPr>
          </w:p>
        </w:tc>
      </w:tr>
      <w:tr w:rsidR="00360830" w:rsidRPr="00207E25"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rPr>
            </w:pPr>
          </w:p>
        </w:tc>
      </w:tr>
      <w:tr w:rsidR="00360830" w:rsidRPr="00207E25" w:rsidTr="004A7D38">
        <w:tc>
          <w:tcPr>
            <w:tcW w:w="7196" w:type="dxa"/>
            <w:tcBorders>
              <w:top w:val="nil"/>
              <w:left w:val="nil"/>
              <w:bottom w:val="nil"/>
              <w:right w:val="nil"/>
            </w:tcBorders>
          </w:tcPr>
          <w:p w:rsidR="00360830" w:rsidRPr="00207E25" w:rsidRDefault="000C28F0" w:rsidP="000C28F0">
            <w:pPr>
              <w:spacing w:after="0" w:line="240" w:lineRule="auto"/>
              <w:ind w:right="84"/>
              <w:jc w:val="center"/>
              <w:rPr>
                <w:rFonts w:ascii="Arial" w:hAnsi="Arial" w:cs="Arial"/>
                <w:sz w:val="19"/>
                <w:szCs w:val="19"/>
              </w:rPr>
            </w:pPr>
            <w:r w:rsidRPr="00207E25">
              <w:rPr>
                <w:rFonts w:ascii="Arial" w:hAnsi="Arial" w:cs="Arial"/>
                <w:sz w:val="19"/>
                <w:szCs w:val="19"/>
              </w:rPr>
              <w:t>JOSÉ A. COYA TESTÓN</w:t>
            </w:r>
          </w:p>
        </w:tc>
      </w:tr>
      <w:tr w:rsidR="00360830" w:rsidRPr="00207E25"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rPr>
            </w:pPr>
            <w:r w:rsidRPr="00207E25">
              <w:rPr>
                <w:rFonts w:ascii="Arial" w:hAnsi="Arial" w:cs="Arial"/>
                <w:sz w:val="19"/>
                <w:szCs w:val="19"/>
              </w:rPr>
              <w:t>Socio</w:t>
            </w:r>
          </w:p>
        </w:tc>
      </w:tr>
      <w:tr w:rsidR="00360830" w:rsidRPr="00096B2F" w:rsidTr="004A7D38">
        <w:tc>
          <w:tcPr>
            <w:tcW w:w="7196" w:type="dxa"/>
            <w:tcBorders>
              <w:top w:val="nil"/>
              <w:left w:val="nil"/>
              <w:bottom w:val="nil"/>
              <w:right w:val="nil"/>
            </w:tcBorders>
          </w:tcPr>
          <w:p w:rsidR="00360830" w:rsidRPr="00207E25" w:rsidRDefault="00360830" w:rsidP="004A7D38">
            <w:pPr>
              <w:spacing w:after="0" w:line="240" w:lineRule="auto"/>
              <w:ind w:right="84"/>
              <w:jc w:val="center"/>
              <w:rPr>
                <w:rFonts w:ascii="Arial" w:hAnsi="Arial" w:cs="Arial"/>
                <w:sz w:val="19"/>
                <w:szCs w:val="19"/>
                <w:lang w:val="pt-BR"/>
              </w:rPr>
            </w:pPr>
            <w:r w:rsidRPr="00207E25">
              <w:rPr>
                <w:rFonts w:ascii="Arial" w:hAnsi="Arial" w:cs="Arial"/>
                <w:sz w:val="19"/>
                <w:szCs w:val="19"/>
                <w:lang w:val="pt-BR"/>
              </w:rPr>
              <w:t>Contador Público U.B.A.</w:t>
            </w:r>
          </w:p>
        </w:tc>
      </w:tr>
      <w:tr w:rsidR="00360830" w:rsidRPr="00096B2F" w:rsidTr="004A7D38">
        <w:tc>
          <w:tcPr>
            <w:tcW w:w="7196" w:type="dxa"/>
            <w:tcBorders>
              <w:top w:val="nil"/>
              <w:left w:val="nil"/>
              <w:bottom w:val="nil"/>
              <w:right w:val="nil"/>
            </w:tcBorders>
          </w:tcPr>
          <w:p w:rsidR="00360830" w:rsidRPr="00207E25" w:rsidRDefault="00360830" w:rsidP="00C07C63">
            <w:pPr>
              <w:spacing w:after="0" w:line="240" w:lineRule="auto"/>
              <w:ind w:right="84"/>
              <w:jc w:val="center"/>
              <w:rPr>
                <w:rFonts w:ascii="Arial" w:hAnsi="Arial" w:cs="Arial"/>
                <w:sz w:val="19"/>
                <w:szCs w:val="19"/>
                <w:lang w:val="pt-BR"/>
              </w:rPr>
            </w:pPr>
            <w:r w:rsidRPr="00207E25">
              <w:rPr>
                <w:rFonts w:ascii="Arial" w:hAnsi="Arial" w:cs="Arial"/>
                <w:sz w:val="19"/>
                <w:szCs w:val="19"/>
                <w:lang w:val="pt-BR"/>
              </w:rPr>
              <w:t xml:space="preserve">C.P.C.E.C.A.B.A. T° </w:t>
            </w:r>
            <w:r w:rsidR="000C28F0" w:rsidRPr="00207E25">
              <w:rPr>
                <w:rFonts w:ascii="Arial" w:hAnsi="Arial" w:cs="Arial"/>
                <w:sz w:val="19"/>
                <w:szCs w:val="19"/>
                <w:lang w:val="pt-BR"/>
              </w:rPr>
              <w:t>308</w:t>
            </w:r>
            <w:r w:rsidRPr="00207E25">
              <w:rPr>
                <w:rFonts w:ascii="Arial" w:hAnsi="Arial" w:cs="Arial"/>
                <w:sz w:val="19"/>
                <w:szCs w:val="19"/>
                <w:lang w:val="pt-BR"/>
              </w:rPr>
              <w:t xml:space="preserve"> – F° </w:t>
            </w:r>
            <w:r w:rsidR="000C28F0" w:rsidRPr="00207E25">
              <w:rPr>
                <w:rFonts w:ascii="Arial" w:hAnsi="Arial" w:cs="Arial"/>
                <w:sz w:val="19"/>
                <w:szCs w:val="19"/>
                <w:lang w:val="pt-BR"/>
              </w:rPr>
              <w:t>061</w:t>
            </w:r>
          </w:p>
        </w:tc>
      </w:tr>
    </w:tbl>
    <w:p w:rsidR="00360830" w:rsidRPr="00207E25" w:rsidRDefault="00360830" w:rsidP="006D2D54">
      <w:pPr>
        <w:autoSpaceDE w:val="0"/>
        <w:autoSpaceDN w:val="0"/>
        <w:adjustRightInd w:val="0"/>
        <w:spacing w:after="0"/>
        <w:ind w:left="284"/>
        <w:jc w:val="both"/>
        <w:rPr>
          <w:rFonts w:ascii="Arial" w:hAnsi="Arial" w:cs="Arial"/>
          <w:color w:val="000000" w:themeColor="text1"/>
          <w:sz w:val="19"/>
          <w:szCs w:val="19"/>
          <w:lang w:val="pt-BR"/>
        </w:rPr>
      </w:pPr>
    </w:p>
    <w:sectPr w:rsidR="00360830" w:rsidRPr="00207E25" w:rsidSect="00A84087">
      <w:headerReference w:type="default" r:id="rId8"/>
      <w:pgSz w:w="12240" w:h="15840"/>
      <w:pgMar w:top="1440" w:right="1750" w:bottom="1134" w:left="144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86D" w:rsidRDefault="0097186D" w:rsidP="00D75F9E">
      <w:pPr>
        <w:spacing w:after="0" w:line="240" w:lineRule="auto"/>
      </w:pPr>
      <w:r>
        <w:separator/>
      </w:r>
    </w:p>
  </w:endnote>
  <w:endnote w:type="continuationSeparator" w:id="0">
    <w:p w:rsidR="0097186D" w:rsidRDefault="0097186D" w:rsidP="00D7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86D" w:rsidRDefault="0097186D" w:rsidP="00D75F9E">
      <w:pPr>
        <w:spacing w:after="0" w:line="240" w:lineRule="auto"/>
      </w:pPr>
      <w:r>
        <w:separator/>
      </w:r>
    </w:p>
  </w:footnote>
  <w:footnote w:type="continuationSeparator" w:id="0">
    <w:p w:rsidR="0097186D" w:rsidRDefault="0097186D" w:rsidP="00D7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570502"/>
      <w:docPartObj>
        <w:docPartGallery w:val="Page Numbers (Top of Page)"/>
        <w:docPartUnique/>
      </w:docPartObj>
    </w:sdtPr>
    <w:sdtEndPr>
      <w:rPr>
        <w:rFonts w:ascii="Arial" w:hAnsi="Arial" w:cs="Arial"/>
        <w:noProof/>
        <w:sz w:val="20"/>
      </w:rPr>
    </w:sdtEndPr>
    <w:sdtContent>
      <w:p w:rsidR="009C7B60" w:rsidRPr="00EE12E4" w:rsidRDefault="009C7B60">
        <w:pPr>
          <w:pStyle w:val="Header"/>
          <w:jc w:val="center"/>
          <w:rPr>
            <w:rFonts w:ascii="Arial" w:hAnsi="Arial" w:cs="Arial"/>
            <w:sz w:val="20"/>
          </w:rPr>
        </w:pPr>
        <w:r w:rsidRPr="00EE12E4">
          <w:rPr>
            <w:rFonts w:ascii="Arial" w:hAnsi="Arial" w:cs="Arial"/>
            <w:sz w:val="20"/>
          </w:rPr>
          <w:fldChar w:fldCharType="begin"/>
        </w:r>
        <w:r w:rsidRPr="00EE12E4">
          <w:rPr>
            <w:rFonts w:ascii="Arial" w:hAnsi="Arial" w:cs="Arial"/>
            <w:sz w:val="20"/>
          </w:rPr>
          <w:instrText xml:space="preserve"> PAGE   \* MERGEFORMAT </w:instrText>
        </w:r>
        <w:r w:rsidRPr="00EE12E4">
          <w:rPr>
            <w:rFonts w:ascii="Arial" w:hAnsi="Arial" w:cs="Arial"/>
            <w:sz w:val="20"/>
          </w:rPr>
          <w:fldChar w:fldCharType="separate"/>
        </w:r>
        <w:r w:rsidR="00C95320">
          <w:rPr>
            <w:rFonts w:ascii="Arial" w:hAnsi="Arial" w:cs="Arial"/>
            <w:noProof/>
            <w:sz w:val="20"/>
          </w:rPr>
          <w:t>- 4 -</w:t>
        </w:r>
        <w:r w:rsidRPr="00EE12E4">
          <w:rPr>
            <w:rFonts w:ascii="Arial" w:hAnsi="Arial" w:cs="Arial"/>
            <w:noProof/>
            <w:sz w:val="20"/>
          </w:rPr>
          <w:fldChar w:fldCharType="end"/>
        </w:r>
      </w:p>
    </w:sdtContent>
  </w:sdt>
  <w:p w:rsidR="009C7B60" w:rsidRDefault="009C7B60" w:rsidP="009C7B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867"/>
    <w:multiLevelType w:val="hybridMultilevel"/>
    <w:tmpl w:val="0C7C5916"/>
    <w:lvl w:ilvl="0" w:tplc="FB76847C">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 w15:restartNumberingAfterBreak="0">
    <w:nsid w:val="094B3E5F"/>
    <w:multiLevelType w:val="hybridMultilevel"/>
    <w:tmpl w:val="43E631E4"/>
    <w:lvl w:ilvl="0" w:tplc="6B203E8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7E86721"/>
    <w:multiLevelType w:val="hybridMultilevel"/>
    <w:tmpl w:val="2886EEEC"/>
    <w:lvl w:ilvl="0" w:tplc="C5F00B4E">
      <w:start w:val="1"/>
      <w:numFmt w:val="lowerLetter"/>
      <w:lvlText w:val="(%1)"/>
      <w:lvlJc w:val="left"/>
      <w:pPr>
        <w:ind w:left="792" w:hanging="360"/>
      </w:pPr>
      <w:rPr>
        <w:rFonts w:hint="default"/>
      </w:rPr>
    </w:lvl>
    <w:lvl w:ilvl="1" w:tplc="2C0A0019" w:tentative="1">
      <w:start w:val="1"/>
      <w:numFmt w:val="lowerLetter"/>
      <w:lvlText w:val="%2."/>
      <w:lvlJc w:val="left"/>
      <w:pPr>
        <w:ind w:left="1512" w:hanging="360"/>
      </w:pPr>
    </w:lvl>
    <w:lvl w:ilvl="2" w:tplc="2C0A001B" w:tentative="1">
      <w:start w:val="1"/>
      <w:numFmt w:val="lowerRoman"/>
      <w:lvlText w:val="%3."/>
      <w:lvlJc w:val="right"/>
      <w:pPr>
        <w:ind w:left="2232" w:hanging="180"/>
      </w:pPr>
    </w:lvl>
    <w:lvl w:ilvl="3" w:tplc="2C0A000F" w:tentative="1">
      <w:start w:val="1"/>
      <w:numFmt w:val="decimal"/>
      <w:lvlText w:val="%4."/>
      <w:lvlJc w:val="left"/>
      <w:pPr>
        <w:ind w:left="2952" w:hanging="360"/>
      </w:pPr>
    </w:lvl>
    <w:lvl w:ilvl="4" w:tplc="2C0A0019" w:tentative="1">
      <w:start w:val="1"/>
      <w:numFmt w:val="lowerLetter"/>
      <w:lvlText w:val="%5."/>
      <w:lvlJc w:val="left"/>
      <w:pPr>
        <w:ind w:left="3672" w:hanging="360"/>
      </w:pPr>
    </w:lvl>
    <w:lvl w:ilvl="5" w:tplc="2C0A001B" w:tentative="1">
      <w:start w:val="1"/>
      <w:numFmt w:val="lowerRoman"/>
      <w:lvlText w:val="%6."/>
      <w:lvlJc w:val="right"/>
      <w:pPr>
        <w:ind w:left="4392" w:hanging="180"/>
      </w:pPr>
    </w:lvl>
    <w:lvl w:ilvl="6" w:tplc="2C0A000F" w:tentative="1">
      <w:start w:val="1"/>
      <w:numFmt w:val="decimal"/>
      <w:lvlText w:val="%7."/>
      <w:lvlJc w:val="left"/>
      <w:pPr>
        <w:ind w:left="5112" w:hanging="360"/>
      </w:pPr>
    </w:lvl>
    <w:lvl w:ilvl="7" w:tplc="2C0A0019" w:tentative="1">
      <w:start w:val="1"/>
      <w:numFmt w:val="lowerLetter"/>
      <w:lvlText w:val="%8."/>
      <w:lvlJc w:val="left"/>
      <w:pPr>
        <w:ind w:left="5832" w:hanging="360"/>
      </w:pPr>
    </w:lvl>
    <w:lvl w:ilvl="8" w:tplc="2C0A001B" w:tentative="1">
      <w:start w:val="1"/>
      <w:numFmt w:val="lowerRoman"/>
      <w:lvlText w:val="%9."/>
      <w:lvlJc w:val="right"/>
      <w:pPr>
        <w:ind w:left="6552" w:hanging="180"/>
      </w:pPr>
    </w:lvl>
  </w:abstractNum>
  <w:abstractNum w:abstractNumId="3" w15:restartNumberingAfterBreak="0">
    <w:nsid w:val="212B2178"/>
    <w:multiLevelType w:val="hybridMultilevel"/>
    <w:tmpl w:val="AD1A536C"/>
    <w:lvl w:ilvl="0" w:tplc="2C0A0017">
      <w:start w:val="1"/>
      <w:numFmt w:val="lowerLetter"/>
      <w:lvlText w:val="%1)"/>
      <w:lvlJc w:val="left"/>
      <w:pPr>
        <w:ind w:left="720" w:hanging="360"/>
      </w:pPr>
    </w:lvl>
    <w:lvl w:ilvl="1" w:tplc="2C0A0017">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A8C665D"/>
    <w:multiLevelType w:val="hybridMultilevel"/>
    <w:tmpl w:val="A5D08A1A"/>
    <w:lvl w:ilvl="0" w:tplc="EE04B44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BCB5081"/>
    <w:multiLevelType w:val="hybridMultilevel"/>
    <w:tmpl w:val="4F0267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26B748A"/>
    <w:multiLevelType w:val="hybridMultilevel"/>
    <w:tmpl w:val="4AE8F8F2"/>
    <w:lvl w:ilvl="0" w:tplc="C452F48C">
      <w:start w:val="1"/>
      <w:numFmt w:val="lowerLetter"/>
      <w:lvlText w:val="(%1)"/>
      <w:lvlJc w:val="left"/>
      <w:pPr>
        <w:ind w:left="786" w:hanging="360"/>
      </w:pPr>
      <w:rPr>
        <w:rFonts w:hint="default"/>
        <w:b w:val="0"/>
        <w:i w:val="0"/>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7" w15:restartNumberingAfterBreak="0">
    <w:nsid w:val="37BA1AE8"/>
    <w:multiLevelType w:val="hybridMultilevel"/>
    <w:tmpl w:val="CAE2D2D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94E2BE7"/>
    <w:multiLevelType w:val="hybridMultilevel"/>
    <w:tmpl w:val="DCE0FCB4"/>
    <w:lvl w:ilvl="0" w:tplc="B5727548">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39566556"/>
    <w:multiLevelType w:val="hybridMultilevel"/>
    <w:tmpl w:val="E4867E9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23D6BAA"/>
    <w:multiLevelType w:val="hybridMultilevel"/>
    <w:tmpl w:val="04F8E7F4"/>
    <w:lvl w:ilvl="0" w:tplc="E19CA41A">
      <w:start w:val="1"/>
      <w:numFmt w:val="decimal"/>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1" w15:restartNumberingAfterBreak="0">
    <w:nsid w:val="5E436E5B"/>
    <w:multiLevelType w:val="hybridMultilevel"/>
    <w:tmpl w:val="7B1C7AFE"/>
    <w:lvl w:ilvl="0" w:tplc="AFF2786E">
      <w:start w:val="1"/>
      <w:numFmt w:val="decimal"/>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12" w15:restartNumberingAfterBreak="0">
    <w:nsid w:val="62E54292"/>
    <w:multiLevelType w:val="hybridMultilevel"/>
    <w:tmpl w:val="2DD0FCF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3DC331B"/>
    <w:multiLevelType w:val="hybridMultilevel"/>
    <w:tmpl w:val="9D38F83A"/>
    <w:lvl w:ilvl="0" w:tplc="9F5E7F42">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75036EB"/>
    <w:multiLevelType w:val="hybridMultilevel"/>
    <w:tmpl w:val="4ED4853C"/>
    <w:lvl w:ilvl="0" w:tplc="122EF33E">
      <w:start w:val="1"/>
      <w:numFmt w:val="decimal"/>
      <w:lvlText w:val="(%1)"/>
      <w:lvlJc w:val="left"/>
      <w:pPr>
        <w:ind w:left="578" w:hanging="360"/>
      </w:pPr>
      <w:rPr>
        <w:rFonts w:hint="default"/>
      </w:rPr>
    </w:lvl>
    <w:lvl w:ilvl="1" w:tplc="2C0A0019" w:tentative="1">
      <w:start w:val="1"/>
      <w:numFmt w:val="lowerLetter"/>
      <w:lvlText w:val="%2."/>
      <w:lvlJc w:val="left"/>
      <w:pPr>
        <w:ind w:left="1298" w:hanging="360"/>
      </w:pPr>
    </w:lvl>
    <w:lvl w:ilvl="2" w:tplc="2C0A001B" w:tentative="1">
      <w:start w:val="1"/>
      <w:numFmt w:val="lowerRoman"/>
      <w:lvlText w:val="%3."/>
      <w:lvlJc w:val="right"/>
      <w:pPr>
        <w:ind w:left="2018" w:hanging="180"/>
      </w:pPr>
    </w:lvl>
    <w:lvl w:ilvl="3" w:tplc="2C0A000F" w:tentative="1">
      <w:start w:val="1"/>
      <w:numFmt w:val="decimal"/>
      <w:lvlText w:val="%4."/>
      <w:lvlJc w:val="left"/>
      <w:pPr>
        <w:ind w:left="2738" w:hanging="360"/>
      </w:pPr>
    </w:lvl>
    <w:lvl w:ilvl="4" w:tplc="2C0A0019" w:tentative="1">
      <w:start w:val="1"/>
      <w:numFmt w:val="lowerLetter"/>
      <w:lvlText w:val="%5."/>
      <w:lvlJc w:val="left"/>
      <w:pPr>
        <w:ind w:left="3458" w:hanging="360"/>
      </w:pPr>
    </w:lvl>
    <w:lvl w:ilvl="5" w:tplc="2C0A001B" w:tentative="1">
      <w:start w:val="1"/>
      <w:numFmt w:val="lowerRoman"/>
      <w:lvlText w:val="%6."/>
      <w:lvlJc w:val="right"/>
      <w:pPr>
        <w:ind w:left="4178" w:hanging="180"/>
      </w:pPr>
    </w:lvl>
    <w:lvl w:ilvl="6" w:tplc="2C0A000F" w:tentative="1">
      <w:start w:val="1"/>
      <w:numFmt w:val="decimal"/>
      <w:lvlText w:val="%7."/>
      <w:lvlJc w:val="left"/>
      <w:pPr>
        <w:ind w:left="4898" w:hanging="360"/>
      </w:pPr>
    </w:lvl>
    <w:lvl w:ilvl="7" w:tplc="2C0A0019" w:tentative="1">
      <w:start w:val="1"/>
      <w:numFmt w:val="lowerLetter"/>
      <w:lvlText w:val="%8."/>
      <w:lvlJc w:val="left"/>
      <w:pPr>
        <w:ind w:left="5618" w:hanging="360"/>
      </w:pPr>
    </w:lvl>
    <w:lvl w:ilvl="8" w:tplc="2C0A001B" w:tentative="1">
      <w:start w:val="1"/>
      <w:numFmt w:val="lowerRoman"/>
      <w:lvlText w:val="%9."/>
      <w:lvlJc w:val="right"/>
      <w:pPr>
        <w:ind w:left="6338" w:hanging="180"/>
      </w:pPr>
    </w:lvl>
  </w:abstractNum>
  <w:abstractNum w:abstractNumId="15" w15:restartNumberingAfterBreak="0">
    <w:nsid w:val="68474BC7"/>
    <w:multiLevelType w:val="hybridMultilevel"/>
    <w:tmpl w:val="3B4093AA"/>
    <w:lvl w:ilvl="0" w:tplc="AFF2786E">
      <w:start w:val="1"/>
      <w:numFmt w:val="decimal"/>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16" w15:restartNumberingAfterBreak="0">
    <w:nsid w:val="70426055"/>
    <w:multiLevelType w:val="hybridMultilevel"/>
    <w:tmpl w:val="B71076B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A50169E"/>
    <w:multiLevelType w:val="hybridMultilevel"/>
    <w:tmpl w:val="B058CD0E"/>
    <w:lvl w:ilvl="0" w:tplc="CBD40A06">
      <w:start w:val="3"/>
      <w:numFmt w:val="decimal"/>
      <w:lvlText w:val="%1."/>
      <w:lvlJc w:val="left"/>
      <w:pPr>
        <w:ind w:left="63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6"/>
  </w:num>
  <w:num w:numId="2">
    <w:abstractNumId w:val="1"/>
  </w:num>
  <w:num w:numId="3">
    <w:abstractNumId w:val="15"/>
  </w:num>
  <w:num w:numId="4">
    <w:abstractNumId w:val="4"/>
  </w:num>
  <w:num w:numId="5">
    <w:abstractNumId w:val="0"/>
  </w:num>
  <w:num w:numId="6">
    <w:abstractNumId w:val="12"/>
  </w:num>
  <w:num w:numId="7">
    <w:abstractNumId w:val="8"/>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3"/>
  </w:num>
  <w:num w:numId="13">
    <w:abstractNumId w:val="11"/>
  </w:num>
  <w:num w:numId="14">
    <w:abstractNumId w:val="9"/>
  </w:num>
  <w:num w:numId="15">
    <w:abstractNumId w:val="3"/>
  </w:num>
  <w:num w:numId="16">
    <w:abstractNumId w:val="7"/>
  </w:num>
  <w:num w:numId="17">
    <w:abstractNumId w:val="17"/>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pt-BR" w:vendorID="64" w:dllVersion="6" w:nlCheck="1" w:checkStyle="0"/>
  <w:activeWritingStyle w:appName="MSWord" w:lang="es-AR" w:vendorID="64" w:dllVersion="6" w:nlCheck="1" w:checkStyle="1"/>
  <w:activeWritingStyle w:appName="MSWord" w:lang="es-AR"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28"/>
    <w:rsid w:val="0000148D"/>
    <w:rsid w:val="00004F97"/>
    <w:rsid w:val="0001030F"/>
    <w:rsid w:val="0001666C"/>
    <w:rsid w:val="00016761"/>
    <w:rsid w:val="000175AD"/>
    <w:rsid w:val="00021212"/>
    <w:rsid w:val="00021872"/>
    <w:rsid w:val="000248A3"/>
    <w:rsid w:val="00027665"/>
    <w:rsid w:val="00040287"/>
    <w:rsid w:val="00041EA1"/>
    <w:rsid w:val="00045B5B"/>
    <w:rsid w:val="0004738C"/>
    <w:rsid w:val="00047D67"/>
    <w:rsid w:val="0005279B"/>
    <w:rsid w:val="000537B6"/>
    <w:rsid w:val="00060ABF"/>
    <w:rsid w:val="000613B4"/>
    <w:rsid w:val="00061BA2"/>
    <w:rsid w:val="00062A67"/>
    <w:rsid w:val="00063482"/>
    <w:rsid w:val="00064AF1"/>
    <w:rsid w:val="00064F09"/>
    <w:rsid w:val="00075746"/>
    <w:rsid w:val="0007616F"/>
    <w:rsid w:val="000761E5"/>
    <w:rsid w:val="00076824"/>
    <w:rsid w:val="00077462"/>
    <w:rsid w:val="00080865"/>
    <w:rsid w:val="00081AC2"/>
    <w:rsid w:val="000831BB"/>
    <w:rsid w:val="000843F5"/>
    <w:rsid w:val="00084E5E"/>
    <w:rsid w:val="0009117D"/>
    <w:rsid w:val="00093FDF"/>
    <w:rsid w:val="00096B2F"/>
    <w:rsid w:val="000A2D3D"/>
    <w:rsid w:val="000A40ED"/>
    <w:rsid w:val="000B21FE"/>
    <w:rsid w:val="000B234F"/>
    <w:rsid w:val="000B4673"/>
    <w:rsid w:val="000B600E"/>
    <w:rsid w:val="000C0D6E"/>
    <w:rsid w:val="000C2745"/>
    <w:rsid w:val="000C28F0"/>
    <w:rsid w:val="000C312A"/>
    <w:rsid w:val="000C504F"/>
    <w:rsid w:val="000D2A2E"/>
    <w:rsid w:val="000D4C58"/>
    <w:rsid w:val="000D7661"/>
    <w:rsid w:val="000E02B4"/>
    <w:rsid w:val="000E4AEF"/>
    <w:rsid w:val="000F0844"/>
    <w:rsid w:val="000F3038"/>
    <w:rsid w:val="000F35A3"/>
    <w:rsid w:val="000F5CC2"/>
    <w:rsid w:val="000F5D53"/>
    <w:rsid w:val="000F71F2"/>
    <w:rsid w:val="000F7BDB"/>
    <w:rsid w:val="00101BE0"/>
    <w:rsid w:val="00103BB0"/>
    <w:rsid w:val="00103BFA"/>
    <w:rsid w:val="00110A9D"/>
    <w:rsid w:val="00114EE8"/>
    <w:rsid w:val="00122903"/>
    <w:rsid w:val="00125DF0"/>
    <w:rsid w:val="001323CF"/>
    <w:rsid w:val="0013438A"/>
    <w:rsid w:val="00134481"/>
    <w:rsid w:val="0014477C"/>
    <w:rsid w:val="0015290D"/>
    <w:rsid w:val="00154521"/>
    <w:rsid w:val="00157A41"/>
    <w:rsid w:val="00171DA7"/>
    <w:rsid w:val="00172C29"/>
    <w:rsid w:val="0017353D"/>
    <w:rsid w:val="001765C6"/>
    <w:rsid w:val="001765EA"/>
    <w:rsid w:val="0018130D"/>
    <w:rsid w:val="001851A7"/>
    <w:rsid w:val="001857C8"/>
    <w:rsid w:val="00185C15"/>
    <w:rsid w:val="001917D8"/>
    <w:rsid w:val="0019440E"/>
    <w:rsid w:val="001951D8"/>
    <w:rsid w:val="00197FD9"/>
    <w:rsid w:val="001A37B0"/>
    <w:rsid w:val="001B2F15"/>
    <w:rsid w:val="001B36A8"/>
    <w:rsid w:val="001C1F78"/>
    <w:rsid w:val="001D3E33"/>
    <w:rsid w:val="001D41C8"/>
    <w:rsid w:val="001E1760"/>
    <w:rsid w:val="001E287E"/>
    <w:rsid w:val="001E3656"/>
    <w:rsid w:val="001E5D65"/>
    <w:rsid w:val="001E7035"/>
    <w:rsid w:val="001F6C0D"/>
    <w:rsid w:val="00200812"/>
    <w:rsid w:val="00202207"/>
    <w:rsid w:val="002028AB"/>
    <w:rsid w:val="002052E9"/>
    <w:rsid w:val="00207E25"/>
    <w:rsid w:val="00212528"/>
    <w:rsid w:val="00214761"/>
    <w:rsid w:val="002152D3"/>
    <w:rsid w:val="002171CB"/>
    <w:rsid w:val="0022389A"/>
    <w:rsid w:val="00223957"/>
    <w:rsid w:val="00224BEA"/>
    <w:rsid w:val="00227DA3"/>
    <w:rsid w:val="002324A1"/>
    <w:rsid w:val="00234E1F"/>
    <w:rsid w:val="00234F07"/>
    <w:rsid w:val="00240B1F"/>
    <w:rsid w:val="00247B2C"/>
    <w:rsid w:val="002507A6"/>
    <w:rsid w:val="00254BCE"/>
    <w:rsid w:val="0025543D"/>
    <w:rsid w:val="0025701E"/>
    <w:rsid w:val="0026426B"/>
    <w:rsid w:val="0026700C"/>
    <w:rsid w:val="002723BE"/>
    <w:rsid w:val="00275D51"/>
    <w:rsid w:val="0027677D"/>
    <w:rsid w:val="002806BB"/>
    <w:rsid w:val="00286064"/>
    <w:rsid w:val="00297060"/>
    <w:rsid w:val="00297DBC"/>
    <w:rsid w:val="002A4E32"/>
    <w:rsid w:val="002A6E71"/>
    <w:rsid w:val="002A7F70"/>
    <w:rsid w:val="002B4E2E"/>
    <w:rsid w:val="002B6E4A"/>
    <w:rsid w:val="002C319F"/>
    <w:rsid w:val="002C67ED"/>
    <w:rsid w:val="002C7551"/>
    <w:rsid w:val="002D11D6"/>
    <w:rsid w:val="002D504F"/>
    <w:rsid w:val="002D60F6"/>
    <w:rsid w:val="002E7B26"/>
    <w:rsid w:val="002F1A61"/>
    <w:rsid w:val="002F33B0"/>
    <w:rsid w:val="002F4B6E"/>
    <w:rsid w:val="002F5C72"/>
    <w:rsid w:val="00303CED"/>
    <w:rsid w:val="00307C01"/>
    <w:rsid w:val="00311B90"/>
    <w:rsid w:val="00313700"/>
    <w:rsid w:val="00313B39"/>
    <w:rsid w:val="003148AA"/>
    <w:rsid w:val="00314E5D"/>
    <w:rsid w:val="00316246"/>
    <w:rsid w:val="003238C5"/>
    <w:rsid w:val="00326902"/>
    <w:rsid w:val="00327674"/>
    <w:rsid w:val="00330100"/>
    <w:rsid w:val="00331158"/>
    <w:rsid w:val="0033254B"/>
    <w:rsid w:val="00336570"/>
    <w:rsid w:val="003454B7"/>
    <w:rsid w:val="0034606F"/>
    <w:rsid w:val="00352BA0"/>
    <w:rsid w:val="00353456"/>
    <w:rsid w:val="00355B64"/>
    <w:rsid w:val="00360830"/>
    <w:rsid w:val="003619DA"/>
    <w:rsid w:val="00363FEE"/>
    <w:rsid w:val="00366A3A"/>
    <w:rsid w:val="00371277"/>
    <w:rsid w:val="003721C3"/>
    <w:rsid w:val="00372CD5"/>
    <w:rsid w:val="00376A4E"/>
    <w:rsid w:val="0038047D"/>
    <w:rsid w:val="003847AF"/>
    <w:rsid w:val="00392C6E"/>
    <w:rsid w:val="003948C3"/>
    <w:rsid w:val="003953B6"/>
    <w:rsid w:val="00396741"/>
    <w:rsid w:val="003A13DB"/>
    <w:rsid w:val="003A3B54"/>
    <w:rsid w:val="003A4EEC"/>
    <w:rsid w:val="003A5E0C"/>
    <w:rsid w:val="003B3394"/>
    <w:rsid w:val="003B4C28"/>
    <w:rsid w:val="003C0B44"/>
    <w:rsid w:val="003C7475"/>
    <w:rsid w:val="003C7E21"/>
    <w:rsid w:val="003D3898"/>
    <w:rsid w:val="003D511A"/>
    <w:rsid w:val="003D6A56"/>
    <w:rsid w:val="003D7515"/>
    <w:rsid w:val="003E10DF"/>
    <w:rsid w:val="003E2D95"/>
    <w:rsid w:val="003E4C64"/>
    <w:rsid w:val="003E7AC3"/>
    <w:rsid w:val="003E7C8D"/>
    <w:rsid w:val="003F17C5"/>
    <w:rsid w:val="003F478D"/>
    <w:rsid w:val="003F49C1"/>
    <w:rsid w:val="00402BB9"/>
    <w:rsid w:val="00415A24"/>
    <w:rsid w:val="004226D8"/>
    <w:rsid w:val="00422E32"/>
    <w:rsid w:val="00423E35"/>
    <w:rsid w:val="004251DB"/>
    <w:rsid w:val="00434346"/>
    <w:rsid w:val="00435CA4"/>
    <w:rsid w:val="00442848"/>
    <w:rsid w:val="00443992"/>
    <w:rsid w:val="004456B6"/>
    <w:rsid w:val="00446FCC"/>
    <w:rsid w:val="00450899"/>
    <w:rsid w:val="00450F68"/>
    <w:rsid w:val="00451021"/>
    <w:rsid w:val="004512D5"/>
    <w:rsid w:val="00451AE0"/>
    <w:rsid w:val="00451FCB"/>
    <w:rsid w:val="00453FB4"/>
    <w:rsid w:val="00456D1F"/>
    <w:rsid w:val="004578EA"/>
    <w:rsid w:val="00461979"/>
    <w:rsid w:val="00462AEF"/>
    <w:rsid w:val="004637A1"/>
    <w:rsid w:val="004670A2"/>
    <w:rsid w:val="00470D66"/>
    <w:rsid w:val="004746C0"/>
    <w:rsid w:val="00481DFA"/>
    <w:rsid w:val="004925FE"/>
    <w:rsid w:val="00492748"/>
    <w:rsid w:val="004971A3"/>
    <w:rsid w:val="004A1201"/>
    <w:rsid w:val="004A1B9E"/>
    <w:rsid w:val="004A203F"/>
    <w:rsid w:val="004A397F"/>
    <w:rsid w:val="004A44A3"/>
    <w:rsid w:val="004B7250"/>
    <w:rsid w:val="004B7784"/>
    <w:rsid w:val="004C06B8"/>
    <w:rsid w:val="004C0F30"/>
    <w:rsid w:val="004C6521"/>
    <w:rsid w:val="004D24ED"/>
    <w:rsid w:val="004D3166"/>
    <w:rsid w:val="004D7CC1"/>
    <w:rsid w:val="004E2C6C"/>
    <w:rsid w:val="004E4B01"/>
    <w:rsid w:val="004E4DC8"/>
    <w:rsid w:val="004E5B29"/>
    <w:rsid w:val="004E6969"/>
    <w:rsid w:val="004F161D"/>
    <w:rsid w:val="004F17CE"/>
    <w:rsid w:val="004F5CC1"/>
    <w:rsid w:val="00501B88"/>
    <w:rsid w:val="00502675"/>
    <w:rsid w:val="0050492A"/>
    <w:rsid w:val="005066C5"/>
    <w:rsid w:val="005113F0"/>
    <w:rsid w:val="00512328"/>
    <w:rsid w:val="005168D5"/>
    <w:rsid w:val="0052059B"/>
    <w:rsid w:val="00521E3E"/>
    <w:rsid w:val="00524061"/>
    <w:rsid w:val="00525736"/>
    <w:rsid w:val="00527B06"/>
    <w:rsid w:val="0053124A"/>
    <w:rsid w:val="0053256F"/>
    <w:rsid w:val="00533371"/>
    <w:rsid w:val="00534292"/>
    <w:rsid w:val="00543C02"/>
    <w:rsid w:val="00547AA7"/>
    <w:rsid w:val="005513B8"/>
    <w:rsid w:val="005555EC"/>
    <w:rsid w:val="0055637F"/>
    <w:rsid w:val="00557343"/>
    <w:rsid w:val="00562DD6"/>
    <w:rsid w:val="005633F8"/>
    <w:rsid w:val="00566214"/>
    <w:rsid w:val="00566F47"/>
    <w:rsid w:val="00573765"/>
    <w:rsid w:val="00573CD6"/>
    <w:rsid w:val="00574D92"/>
    <w:rsid w:val="005757BB"/>
    <w:rsid w:val="00577532"/>
    <w:rsid w:val="00577E60"/>
    <w:rsid w:val="00584298"/>
    <w:rsid w:val="00585BC2"/>
    <w:rsid w:val="00587E77"/>
    <w:rsid w:val="005906D8"/>
    <w:rsid w:val="00593687"/>
    <w:rsid w:val="005A14F9"/>
    <w:rsid w:val="005A420A"/>
    <w:rsid w:val="005B19D2"/>
    <w:rsid w:val="005B56AE"/>
    <w:rsid w:val="005B7CC1"/>
    <w:rsid w:val="005C431C"/>
    <w:rsid w:val="005D1794"/>
    <w:rsid w:val="005D4E10"/>
    <w:rsid w:val="005D5825"/>
    <w:rsid w:val="005D799E"/>
    <w:rsid w:val="005E1070"/>
    <w:rsid w:val="005E198C"/>
    <w:rsid w:val="005E275A"/>
    <w:rsid w:val="005E439B"/>
    <w:rsid w:val="005E5A35"/>
    <w:rsid w:val="005E654A"/>
    <w:rsid w:val="005E7E3B"/>
    <w:rsid w:val="005F0EE4"/>
    <w:rsid w:val="005F2F15"/>
    <w:rsid w:val="005F35E8"/>
    <w:rsid w:val="005F5297"/>
    <w:rsid w:val="005F71F3"/>
    <w:rsid w:val="00600294"/>
    <w:rsid w:val="00601D5B"/>
    <w:rsid w:val="00603137"/>
    <w:rsid w:val="00605F44"/>
    <w:rsid w:val="006071BF"/>
    <w:rsid w:val="00613441"/>
    <w:rsid w:val="00613742"/>
    <w:rsid w:val="00615FF4"/>
    <w:rsid w:val="006160AF"/>
    <w:rsid w:val="00620B28"/>
    <w:rsid w:val="006230D8"/>
    <w:rsid w:val="006248A5"/>
    <w:rsid w:val="00624BD4"/>
    <w:rsid w:val="0062638A"/>
    <w:rsid w:val="0063676C"/>
    <w:rsid w:val="00636D45"/>
    <w:rsid w:val="00641210"/>
    <w:rsid w:val="00641BBC"/>
    <w:rsid w:val="00643A9D"/>
    <w:rsid w:val="00645266"/>
    <w:rsid w:val="00645D03"/>
    <w:rsid w:val="00645DA6"/>
    <w:rsid w:val="006473CB"/>
    <w:rsid w:val="00652250"/>
    <w:rsid w:val="00655B51"/>
    <w:rsid w:val="006610F0"/>
    <w:rsid w:val="00670790"/>
    <w:rsid w:val="00674274"/>
    <w:rsid w:val="00674746"/>
    <w:rsid w:val="006749E6"/>
    <w:rsid w:val="0068656A"/>
    <w:rsid w:val="006925F3"/>
    <w:rsid w:val="00694E43"/>
    <w:rsid w:val="006959CB"/>
    <w:rsid w:val="006A062F"/>
    <w:rsid w:val="006A0865"/>
    <w:rsid w:val="006A4827"/>
    <w:rsid w:val="006B05F2"/>
    <w:rsid w:val="006B172C"/>
    <w:rsid w:val="006B181B"/>
    <w:rsid w:val="006B2995"/>
    <w:rsid w:val="006B2A49"/>
    <w:rsid w:val="006B4AF3"/>
    <w:rsid w:val="006B55D5"/>
    <w:rsid w:val="006B7E54"/>
    <w:rsid w:val="006C1AC9"/>
    <w:rsid w:val="006C32AF"/>
    <w:rsid w:val="006C3920"/>
    <w:rsid w:val="006C74DC"/>
    <w:rsid w:val="006D095D"/>
    <w:rsid w:val="006D2D54"/>
    <w:rsid w:val="006D3951"/>
    <w:rsid w:val="006D3DA5"/>
    <w:rsid w:val="006D5F1C"/>
    <w:rsid w:val="006D6C63"/>
    <w:rsid w:val="006D7AB7"/>
    <w:rsid w:val="006D7F4D"/>
    <w:rsid w:val="006E022B"/>
    <w:rsid w:val="006E0497"/>
    <w:rsid w:val="006E18AB"/>
    <w:rsid w:val="006E1E1C"/>
    <w:rsid w:val="006E5D73"/>
    <w:rsid w:val="006F2C88"/>
    <w:rsid w:val="006F7E0C"/>
    <w:rsid w:val="006F7FC1"/>
    <w:rsid w:val="007009EA"/>
    <w:rsid w:val="00700FFA"/>
    <w:rsid w:val="007048A8"/>
    <w:rsid w:val="00706A87"/>
    <w:rsid w:val="007144BD"/>
    <w:rsid w:val="00715BB1"/>
    <w:rsid w:val="007212EE"/>
    <w:rsid w:val="0072283B"/>
    <w:rsid w:val="007228AC"/>
    <w:rsid w:val="00727FE5"/>
    <w:rsid w:val="00730A4D"/>
    <w:rsid w:val="00734468"/>
    <w:rsid w:val="007354E8"/>
    <w:rsid w:val="00741284"/>
    <w:rsid w:val="007425EA"/>
    <w:rsid w:val="007458A8"/>
    <w:rsid w:val="00747531"/>
    <w:rsid w:val="007524A6"/>
    <w:rsid w:val="00752B7D"/>
    <w:rsid w:val="00752F46"/>
    <w:rsid w:val="0075728E"/>
    <w:rsid w:val="00757DDF"/>
    <w:rsid w:val="0076212C"/>
    <w:rsid w:val="00764D9E"/>
    <w:rsid w:val="00765F03"/>
    <w:rsid w:val="0076620D"/>
    <w:rsid w:val="00771985"/>
    <w:rsid w:val="00774494"/>
    <w:rsid w:val="00774551"/>
    <w:rsid w:val="007937A3"/>
    <w:rsid w:val="00793EB4"/>
    <w:rsid w:val="00794293"/>
    <w:rsid w:val="00794998"/>
    <w:rsid w:val="00794FC3"/>
    <w:rsid w:val="00795E44"/>
    <w:rsid w:val="007961F1"/>
    <w:rsid w:val="007A075E"/>
    <w:rsid w:val="007A23CD"/>
    <w:rsid w:val="007A34EE"/>
    <w:rsid w:val="007A357A"/>
    <w:rsid w:val="007B0A00"/>
    <w:rsid w:val="007B238D"/>
    <w:rsid w:val="007B325E"/>
    <w:rsid w:val="007C1B88"/>
    <w:rsid w:val="007C32AA"/>
    <w:rsid w:val="007C7A2F"/>
    <w:rsid w:val="007D19F1"/>
    <w:rsid w:val="007E0881"/>
    <w:rsid w:val="007E3480"/>
    <w:rsid w:val="007F2B0B"/>
    <w:rsid w:val="007F3AE9"/>
    <w:rsid w:val="007F4DCF"/>
    <w:rsid w:val="0080626A"/>
    <w:rsid w:val="00810261"/>
    <w:rsid w:val="00812CFD"/>
    <w:rsid w:val="00821612"/>
    <w:rsid w:val="00821F6B"/>
    <w:rsid w:val="00822101"/>
    <w:rsid w:val="00826388"/>
    <w:rsid w:val="00830652"/>
    <w:rsid w:val="00830FAE"/>
    <w:rsid w:val="00840CE5"/>
    <w:rsid w:val="00841F4D"/>
    <w:rsid w:val="00861B23"/>
    <w:rsid w:val="0086369D"/>
    <w:rsid w:val="0086663C"/>
    <w:rsid w:val="008666D0"/>
    <w:rsid w:val="00867D98"/>
    <w:rsid w:val="00871434"/>
    <w:rsid w:val="00871792"/>
    <w:rsid w:val="008749CC"/>
    <w:rsid w:val="00876AB1"/>
    <w:rsid w:val="00876AB4"/>
    <w:rsid w:val="008775F0"/>
    <w:rsid w:val="00880ACD"/>
    <w:rsid w:val="008810E6"/>
    <w:rsid w:val="00886C85"/>
    <w:rsid w:val="008906EA"/>
    <w:rsid w:val="00891A11"/>
    <w:rsid w:val="00893371"/>
    <w:rsid w:val="008A0F50"/>
    <w:rsid w:val="008A46F7"/>
    <w:rsid w:val="008B2174"/>
    <w:rsid w:val="008B5A34"/>
    <w:rsid w:val="008B7406"/>
    <w:rsid w:val="008B7FC9"/>
    <w:rsid w:val="008D1DB3"/>
    <w:rsid w:val="008D341B"/>
    <w:rsid w:val="008D7512"/>
    <w:rsid w:val="008E1368"/>
    <w:rsid w:val="008E45D2"/>
    <w:rsid w:val="008F432B"/>
    <w:rsid w:val="00901A76"/>
    <w:rsid w:val="00902901"/>
    <w:rsid w:val="0091203E"/>
    <w:rsid w:val="009120B1"/>
    <w:rsid w:val="009122D7"/>
    <w:rsid w:val="009123D6"/>
    <w:rsid w:val="009124CB"/>
    <w:rsid w:val="00912E09"/>
    <w:rsid w:val="009167E9"/>
    <w:rsid w:val="00916903"/>
    <w:rsid w:val="00916F6E"/>
    <w:rsid w:val="0091705B"/>
    <w:rsid w:val="00917795"/>
    <w:rsid w:val="009213BF"/>
    <w:rsid w:val="00921F6F"/>
    <w:rsid w:val="0092397E"/>
    <w:rsid w:val="00923CD6"/>
    <w:rsid w:val="00925874"/>
    <w:rsid w:val="00925E94"/>
    <w:rsid w:val="00932AF8"/>
    <w:rsid w:val="00934894"/>
    <w:rsid w:val="00934E97"/>
    <w:rsid w:val="00943132"/>
    <w:rsid w:val="00944FAE"/>
    <w:rsid w:val="00953C82"/>
    <w:rsid w:val="00956AEB"/>
    <w:rsid w:val="00961C59"/>
    <w:rsid w:val="00964C71"/>
    <w:rsid w:val="00964E47"/>
    <w:rsid w:val="0096672B"/>
    <w:rsid w:val="00967D58"/>
    <w:rsid w:val="00967FB8"/>
    <w:rsid w:val="0097137A"/>
    <w:rsid w:val="0097186D"/>
    <w:rsid w:val="0097297E"/>
    <w:rsid w:val="00975D8A"/>
    <w:rsid w:val="00985303"/>
    <w:rsid w:val="00985FD2"/>
    <w:rsid w:val="0098622B"/>
    <w:rsid w:val="00986381"/>
    <w:rsid w:val="00986A2D"/>
    <w:rsid w:val="009909FF"/>
    <w:rsid w:val="00991A00"/>
    <w:rsid w:val="00994F04"/>
    <w:rsid w:val="0099749D"/>
    <w:rsid w:val="009A0AAD"/>
    <w:rsid w:val="009A2FD5"/>
    <w:rsid w:val="009A3EEF"/>
    <w:rsid w:val="009A4825"/>
    <w:rsid w:val="009A614C"/>
    <w:rsid w:val="009B05D7"/>
    <w:rsid w:val="009B66A9"/>
    <w:rsid w:val="009C0379"/>
    <w:rsid w:val="009C1148"/>
    <w:rsid w:val="009C24C8"/>
    <w:rsid w:val="009C33F7"/>
    <w:rsid w:val="009C7B60"/>
    <w:rsid w:val="009D3B41"/>
    <w:rsid w:val="009D6879"/>
    <w:rsid w:val="009E0333"/>
    <w:rsid w:val="009E132A"/>
    <w:rsid w:val="009F1E58"/>
    <w:rsid w:val="00A0300C"/>
    <w:rsid w:val="00A07311"/>
    <w:rsid w:val="00A10D01"/>
    <w:rsid w:val="00A25ABF"/>
    <w:rsid w:val="00A2678A"/>
    <w:rsid w:val="00A33983"/>
    <w:rsid w:val="00A34B14"/>
    <w:rsid w:val="00A40D9B"/>
    <w:rsid w:val="00A43015"/>
    <w:rsid w:val="00A44510"/>
    <w:rsid w:val="00A45A71"/>
    <w:rsid w:val="00A46EDE"/>
    <w:rsid w:val="00A4735B"/>
    <w:rsid w:val="00A507BA"/>
    <w:rsid w:val="00A512D6"/>
    <w:rsid w:val="00A53B45"/>
    <w:rsid w:val="00A65325"/>
    <w:rsid w:val="00A67088"/>
    <w:rsid w:val="00A67E7B"/>
    <w:rsid w:val="00A70568"/>
    <w:rsid w:val="00A72A51"/>
    <w:rsid w:val="00A7407C"/>
    <w:rsid w:val="00A80B34"/>
    <w:rsid w:val="00A84087"/>
    <w:rsid w:val="00A940F4"/>
    <w:rsid w:val="00A96578"/>
    <w:rsid w:val="00A971FD"/>
    <w:rsid w:val="00A97902"/>
    <w:rsid w:val="00AB3D9F"/>
    <w:rsid w:val="00AB5957"/>
    <w:rsid w:val="00AB6FAD"/>
    <w:rsid w:val="00AC04D8"/>
    <w:rsid w:val="00AC0E63"/>
    <w:rsid w:val="00AC36F2"/>
    <w:rsid w:val="00AC5773"/>
    <w:rsid w:val="00AC5EFE"/>
    <w:rsid w:val="00AD1C8F"/>
    <w:rsid w:val="00AD2C93"/>
    <w:rsid w:val="00AD3A43"/>
    <w:rsid w:val="00AD5A9A"/>
    <w:rsid w:val="00AD5E8C"/>
    <w:rsid w:val="00AE0D89"/>
    <w:rsid w:val="00AE2D05"/>
    <w:rsid w:val="00AE5E2C"/>
    <w:rsid w:val="00AF24A3"/>
    <w:rsid w:val="00AF7C47"/>
    <w:rsid w:val="00B005EB"/>
    <w:rsid w:val="00B03D0C"/>
    <w:rsid w:val="00B11639"/>
    <w:rsid w:val="00B11A75"/>
    <w:rsid w:val="00B124EA"/>
    <w:rsid w:val="00B143CF"/>
    <w:rsid w:val="00B16B76"/>
    <w:rsid w:val="00B216F3"/>
    <w:rsid w:val="00B26787"/>
    <w:rsid w:val="00B36AB2"/>
    <w:rsid w:val="00B36BDE"/>
    <w:rsid w:val="00B4209E"/>
    <w:rsid w:val="00B42783"/>
    <w:rsid w:val="00B432C5"/>
    <w:rsid w:val="00B453E0"/>
    <w:rsid w:val="00B46A9D"/>
    <w:rsid w:val="00B53068"/>
    <w:rsid w:val="00B54888"/>
    <w:rsid w:val="00B61A9D"/>
    <w:rsid w:val="00B6348C"/>
    <w:rsid w:val="00B66942"/>
    <w:rsid w:val="00B70BD9"/>
    <w:rsid w:val="00B71242"/>
    <w:rsid w:val="00B73180"/>
    <w:rsid w:val="00B76A5F"/>
    <w:rsid w:val="00B81424"/>
    <w:rsid w:val="00B82EC7"/>
    <w:rsid w:val="00B8666E"/>
    <w:rsid w:val="00B92773"/>
    <w:rsid w:val="00B9685C"/>
    <w:rsid w:val="00BA331D"/>
    <w:rsid w:val="00BA38C7"/>
    <w:rsid w:val="00BA6659"/>
    <w:rsid w:val="00BB7C6A"/>
    <w:rsid w:val="00BC32DC"/>
    <w:rsid w:val="00BC35D4"/>
    <w:rsid w:val="00BC3E2F"/>
    <w:rsid w:val="00BC6898"/>
    <w:rsid w:val="00BC7562"/>
    <w:rsid w:val="00BD272F"/>
    <w:rsid w:val="00BD283C"/>
    <w:rsid w:val="00BD5ABD"/>
    <w:rsid w:val="00BE0C5A"/>
    <w:rsid w:val="00BE5EA7"/>
    <w:rsid w:val="00BF069C"/>
    <w:rsid w:val="00BF169B"/>
    <w:rsid w:val="00BF1853"/>
    <w:rsid w:val="00BF2C7E"/>
    <w:rsid w:val="00BF53D2"/>
    <w:rsid w:val="00BF766A"/>
    <w:rsid w:val="00C005EC"/>
    <w:rsid w:val="00C00F3A"/>
    <w:rsid w:val="00C017C6"/>
    <w:rsid w:val="00C01D88"/>
    <w:rsid w:val="00C02E87"/>
    <w:rsid w:val="00C06AF9"/>
    <w:rsid w:val="00C075DE"/>
    <w:rsid w:val="00C07C63"/>
    <w:rsid w:val="00C16F5A"/>
    <w:rsid w:val="00C259F0"/>
    <w:rsid w:val="00C30020"/>
    <w:rsid w:val="00C34DCD"/>
    <w:rsid w:val="00C3602C"/>
    <w:rsid w:val="00C3679E"/>
    <w:rsid w:val="00C37D88"/>
    <w:rsid w:val="00C4125B"/>
    <w:rsid w:val="00C43633"/>
    <w:rsid w:val="00C45B4B"/>
    <w:rsid w:val="00C46BBA"/>
    <w:rsid w:val="00C50B97"/>
    <w:rsid w:val="00C50E64"/>
    <w:rsid w:val="00C5133B"/>
    <w:rsid w:val="00C552D6"/>
    <w:rsid w:val="00C561C8"/>
    <w:rsid w:val="00C568E2"/>
    <w:rsid w:val="00C6138E"/>
    <w:rsid w:val="00C67894"/>
    <w:rsid w:val="00C72790"/>
    <w:rsid w:val="00C75A87"/>
    <w:rsid w:val="00C77813"/>
    <w:rsid w:val="00C816FB"/>
    <w:rsid w:val="00C8225B"/>
    <w:rsid w:val="00C83B64"/>
    <w:rsid w:val="00C8553B"/>
    <w:rsid w:val="00C85F21"/>
    <w:rsid w:val="00C86322"/>
    <w:rsid w:val="00C87933"/>
    <w:rsid w:val="00C87ED6"/>
    <w:rsid w:val="00C90566"/>
    <w:rsid w:val="00C95320"/>
    <w:rsid w:val="00CA0755"/>
    <w:rsid w:val="00CA0FAC"/>
    <w:rsid w:val="00CA103D"/>
    <w:rsid w:val="00CA1E15"/>
    <w:rsid w:val="00CB1AB3"/>
    <w:rsid w:val="00CB2CC1"/>
    <w:rsid w:val="00CB4A71"/>
    <w:rsid w:val="00CB79A3"/>
    <w:rsid w:val="00CC070C"/>
    <w:rsid w:val="00CC2E83"/>
    <w:rsid w:val="00CC2F87"/>
    <w:rsid w:val="00CC497E"/>
    <w:rsid w:val="00CD165C"/>
    <w:rsid w:val="00CD50B0"/>
    <w:rsid w:val="00CD6054"/>
    <w:rsid w:val="00CD724E"/>
    <w:rsid w:val="00CE1991"/>
    <w:rsid w:val="00CE21F3"/>
    <w:rsid w:val="00CF07AD"/>
    <w:rsid w:val="00CF40C5"/>
    <w:rsid w:val="00CF6D32"/>
    <w:rsid w:val="00CF7C95"/>
    <w:rsid w:val="00D01E07"/>
    <w:rsid w:val="00D0716A"/>
    <w:rsid w:val="00D12C85"/>
    <w:rsid w:val="00D1644A"/>
    <w:rsid w:val="00D17247"/>
    <w:rsid w:val="00D204D8"/>
    <w:rsid w:val="00D23069"/>
    <w:rsid w:val="00D236C2"/>
    <w:rsid w:val="00D268BB"/>
    <w:rsid w:val="00D30406"/>
    <w:rsid w:val="00D3267F"/>
    <w:rsid w:val="00D34593"/>
    <w:rsid w:val="00D3680D"/>
    <w:rsid w:val="00D37D4D"/>
    <w:rsid w:val="00D47574"/>
    <w:rsid w:val="00D519F1"/>
    <w:rsid w:val="00D525DD"/>
    <w:rsid w:val="00D55CDB"/>
    <w:rsid w:val="00D602C0"/>
    <w:rsid w:val="00D61D73"/>
    <w:rsid w:val="00D6542B"/>
    <w:rsid w:val="00D70A17"/>
    <w:rsid w:val="00D74554"/>
    <w:rsid w:val="00D74A6B"/>
    <w:rsid w:val="00D75F9E"/>
    <w:rsid w:val="00D76544"/>
    <w:rsid w:val="00D834E9"/>
    <w:rsid w:val="00D84799"/>
    <w:rsid w:val="00D8731D"/>
    <w:rsid w:val="00D87945"/>
    <w:rsid w:val="00D90ED0"/>
    <w:rsid w:val="00D917DE"/>
    <w:rsid w:val="00D95712"/>
    <w:rsid w:val="00D95AF3"/>
    <w:rsid w:val="00DA0684"/>
    <w:rsid w:val="00DA2EED"/>
    <w:rsid w:val="00DA3B3E"/>
    <w:rsid w:val="00DA4F8D"/>
    <w:rsid w:val="00DA6655"/>
    <w:rsid w:val="00DA6A03"/>
    <w:rsid w:val="00DA73A3"/>
    <w:rsid w:val="00DB3BCB"/>
    <w:rsid w:val="00DB43DD"/>
    <w:rsid w:val="00DC0369"/>
    <w:rsid w:val="00DC200F"/>
    <w:rsid w:val="00DC2112"/>
    <w:rsid w:val="00DC789E"/>
    <w:rsid w:val="00DC7AFC"/>
    <w:rsid w:val="00DD0F32"/>
    <w:rsid w:val="00DD4515"/>
    <w:rsid w:val="00DD457F"/>
    <w:rsid w:val="00DE4098"/>
    <w:rsid w:val="00DF0819"/>
    <w:rsid w:val="00DF1B1E"/>
    <w:rsid w:val="00DF3BBC"/>
    <w:rsid w:val="00DF6388"/>
    <w:rsid w:val="00DF7C09"/>
    <w:rsid w:val="00E002A1"/>
    <w:rsid w:val="00E00AEE"/>
    <w:rsid w:val="00E024D4"/>
    <w:rsid w:val="00E05C1D"/>
    <w:rsid w:val="00E0645D"/>
    <w:rsid w:val="00E11E6E"/>
    <w:rsid w:val="00E15498"/>
    <w:rsid w:val="00E21517"/>
    <w:rsid w:val="00E226F9"/>
    <w:rsid w:val="00E22901"/>
    <w:rsid w:val="00E26968"/>
    <w:rsid w:val="00E33A0C"/>
    <w:rsid w:val="00E36747"/>
    <w:rsid w:val="00E40173"/>
    <w:rsid w:val="00E41DF6"/>
    <w:rsid w:val="00E42531"/>
    <w:rsid w:val="00E4591F"/>
    <w:rsid w:val="00E45B34"/>
    <w:rsid w:val="00E504B5"/>
    <w:rsid w:val="00E51121"/>
    <w:rsid w:val="00E55F26"/>
    <w:rsid w:val="00E57523"/>
    <w:rsid w:val="00E57D30"/>
    <w:rsid w:val="00E60601"/>
    <w:rsid w:val="00E61C9D"/>
    <w:rsid w:val="00E61D05"/>
    <w:rsid w:val="00E63AF8"/>
    <w:rsid w:val="00E70121"/>
    <w:rsid w:val="00E745F8"/>
    <w:rsid w:val="00E747A1"/>
    <w:rsid w:val="00E74FF0"/>
    <w:rsid w:val="00E76A71"/>
    <w:rsid w:val="00E76BF8"/>
    <w:rsid w:val="00E82483"/>
    <w:rsid w:val="00E84CCD"/>
    <w:rsid w:val="00E85983"/>
    <w:rsid w:val="00E87427"/>
    <w:rsid w:val="00E93B0C"/>
    <w:rsid w:val="00E978C4"/>
    <w:rsid w:val="00EA0D35"/>
    <w:rsid w:val="00EA2F57"/>
    <w:rsid w:val="00EA2FD3"/>
    <w:rsid w:val="00EA5A60"/>
    <w:rsid w:val="00EB1DDA"/>
    <w:rsid w:val="00EB44D6"/>
    <w:rsid w:val="00EB4CBE"/>
    <w:rsid w:val="00EC501D"/>
    <w:rsid w:val="00ED05F8"/>
    <w:rsid w:val="00ED1AD5"/>
    <w:rsid w:val="00ED2489"/>
    <w:rsid w:val="00ED4021"/>
    <w:rsid w:val="00ED4203"/>
    <w:rsid w:val="00ED68F1"/>
    <w:rsid w:val="00EE0BD0"/>
    <w:rsid w:val="00EE12E4"/>
    <w:rsid w:val="00EE400B"/>
    <w:rsid w:val="00EE5C1E"/>
    <w:rsid w:val="00EF00C7"/>
    <w:rsid w:val="00EF049A"/>
    <w:rsid w:val="00EF18CB"/>
    <w:rsid w:val="00EF36B5"/>
    <w:rsid w:val="00EF4E53"/>
    <w:rsid w:val="00EF4E71"/>
    <w:rsid w:val="00EF66FD"/>
    <w:rsid w:val="00EF6F17"/>
    <w:rsid w:val="00EF7606"/>
    <w:rsid w:val="00F0263F"/>
    <w:rsid w:val="00F03D24"/>
    <w:rsid w:val="00F06192"/>
    <w:rsid w:val="00F11320"/>
    <w:rsid w:val="00F11494"/>
    <w:rsid w:val="00F116B8"/>
    <w:rsid w:val="00F1177E"/>
    <w:rsid w:val="00F12FFB"/>
    <w:rsid w:val="00F13F67"/>
    <w:rsid w:val="00F20289"/>
    <w:rsid w:val="00F203D7"/>
    <w:rsid w:val="00F247EB"/>
    <w:rsid w:val="00F31753"/>
    <w:rsid w:val="00F3282F"/>
    <w:rsid w:val="00F33609"/>
    <w:rsid w:val="00F37DF0"/>
    <w:rsid w:val="00F400E5"/>
    <w:rsid w:val="00F42D17"/>
    <w:rsid w:val="00F451C9"/>
    <w:rsid w:val="00F46255"/>
    <w:rsid w:val="00F47283"/>
    <w:rsid w:val="00F47F23"/>
    <w:rsid w:val="00F506C3"/>
    <w:rsid w:val="00F604D4"/>
    <w:rsid w:val="00F608B2"/>
    <w:rsid w:val="00F61263"/>
    <w:rsid w:val="00F6184C"/>
    <w:rsid w:val="00F62988"/>
    <w:rsid w:val="00F62A61"/>
    <w:rsid w:val="00F634E3"/>
    <w:rsid w:val="00F64DF0"/>
    <w:rsid w:val="00F70767"/>
    <w:rsid w:val="00F722EC"/>
    <w:rsid w:val="00F74EA5"/>
    <w:rsid w:val="00F81417"/>
    <w:rsid w:val="00F82CC9"/>
    <w:rsid w:val="00F83167"/>
    <w:rsid w:val="00F8789A"/>
    <w:rsid w:val="00F90E89"/>
    <w:rsid w:val="00F953B7"/>
    <w:rsid w:val="00F9596E"/>
    <w:rsid w:val="00F97904"/>
    <w:rsid w:val="00FA1864"/>
    <w:rsid w:val="00FA4A1A"/>
    <w:rsid w:val="00FA59E5"/>
    <w:rsid w:val="00FB6926"/>
    <w:rsid w:val="00FB7E78"/>
    <w:rsid w:val="00FC2438"/>
    <w:rsid w:val="00FC2656"/>
    <w:rsid w:val="00FD00EF"/>
    <w:rsid w:val="00FD0D07"/>
    <w:rsid w:val="00FD3723"/>
    <w:rsid w:val="00FD4BAD"/>
    <w:rsid w:val="00FD5989"/>
    <w:rsid w:val="00FE6A5A"/>
    <w:rsid w:val="00FF0C62"/>
    <w:rsid w:val="00FF2AA0"/>
    <w:rsid w:val="00FF449B"/>
    <w:rsid w:val="00FF5350"/>
    <w:rsid w:val="00FF6522"/>
    <w:rsid w:val="00FF6A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89066"/>
  <w15:docId w15:val="{765ADC0F-5290-4C0B-B3B8-BF306D1C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9"/>
    <w:pPr>
      <w:ind w:left="720"/>
      <w:contextualSpacing/>
    </w:pPr>
  </w:style>
  <w:style w:type="paragraph" w:styleId="BalloonText">
    <w:name w:val="Balloon Text"/>
    <w:basedOn w:val="Normal"/>
    <w:link w:val="BalloonTextChar"/>
    <w:uiPriority w:val="99"/>
    <w:semiHidden/>
    <w:unhideWhenUsed/>
    <w:rsid w:val="00990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FF"/>
    <w:rPr>
      <w:rFonts w:ascii="Tahoma" w:hAnsi="Tahoma" w:cs="Tahoma"/>
      <w:sz w:val="16"/>
      <w:szCs w:val="16"/>
    </w:rPr>
  </w:style>
  <w:style w:type="paragraph" w:customStyle="1" w:styleId="Texto">
    <w:name w:val="Texto"/>
    <w:basedOn w:val="Normal"/>
    <w:link w:val="TextoChar"/>
    <w:qFormat/>
    <w:rsid w:val="00AF7C47"/>
    <w:pPr>
      <w:spacing w:after="0" w:line="240" w:lineRule="auto"/>
      <w:jc w:val="both"/>
    </w:pPr>
    <w:rPr>
      <w:rFonts w:ascii="Arial" w:eastAsia="Calibri" w:hAnsi="Arial" w:cs="Times New Roman"/>
      <w:sz w:val="20"/>
    </w:rPr>
  </w:style>
  <w:style w:type="character" w:customStyle="1" w:styleId="TextoChar">
    <w:name w:val="Texto Char"/>
    <w:basedOn w:val="DefaultParagraphFont"/>
    <w:link w:val="Texto"/>
    <w:rsid w:val="00AF7C47"/>
    <w:rPr>
      <w:rFonts w:ascii="Arial" w:eastAsia="Calibri" w:hAnsi="Arial" w:cs="Times New Roman"/>
      <w:sz w:val="20"/>
      <w:lang w:val="es-AR"/>
    </w:rPr>
  </w:style>
  <w:style w:type="table" w:styleId="TableGrid">
    <w:name w:val="Table Grid"/>
    <w:basedOn w:val="TableNormal"/>
    <w:uiPriority w:val="59"/>
    <w:rsid w:val="00E1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7DBC"/>
    <w:rPr>
      <w:sz w:val="16"/>
      <w:szCs w:val="16"/>
    </w:rPr>
  </w:style>
  <w:style w:type="paragraph" w:styleId="CommentText">
    <w:name w:val="annotation text"/>
    <w:basedOn w:val="Normal"/>
    <w:link w:val="CommentTextChar"/>
    <w:uiPriority w:val="99"/>
    <w:semiHidden/>
    <w:unhideWhenUsed/>
    <w:rsid w:val="00297DBC"/>
    <w:pPr>
      <w:spacing w:line="240" w:lineRule="auto"/>
    </w:pPr>
    <w:rPr>
      <w:sz w:val="20"/>
      <w:szCs w:val="20"/>
    </w:rPr>
  </w:style>
  <w:style w:type="character" w:customStyle="1" w:styleId="CommentTextChar">
    <w:name w:val="Comment Text Char"/>
    <w:basedOn w:val="DefaultParagraphFont"/>
    <w:link w:val="CommentText"/>
    <w:uiPriority w:val="99"/>
    <w:semiHidden/>
    <w:rsid w:val="00297DBC"/>
    <w:rPr>
      <w:sz w:val="20"/>
      <w:szCs w:val="20"/>
    </w:rPr>
  </w:style>
  <w:style w:type="paragraph" w:styleId="CommentSubject">
    <w:name w:val="annotation subject"/>
    <w:basedOn w:val="CommentText"/>
    <w:next w:val="CommentText"/>
    <w:link w:val="CommentSubjectChar"/>
    <w:uiPriority w:val="99"/>
    <w:semiHidden/>
    <w:unhideWhenUsed/>
    <w:rsid w:val="00297DBC"/>
    <w:rPr>
      <w:b/>
      <w:bCs/>
    </w:rPr>
  </w:style>
  <w:style w:type="character" w:customStyle="1" w:styleId="CommentSubjectChar">
    <w:name w:val="Comment Subject Char"/>
    <w:basedOn w:val="CommentTextChar"/>
    <w:link w:val="CommentSubject"/>
    <w:uiPriority w:val="99"/>
    <w:semiHidden/>
    <w:rsid w:val="00297DBC"/>
    <w:rPr>
      <w:b/>
      <w:bCs/>
      <w:sz w:val="20"/>
      <w:szCs w:val="20"/>
    </w:rPr>
  </w:style>
  <w:style w:type="paragraph" w:customStyle="1" w:styleId="Textoinfaud">
    <w:name w:val="Texto inf. aud."/>
    <w:basedOn w:val="Normal"/>
    <w:rsid w:val="006D2D54"/>
    <w:pPr>
      <w:tabs>
        <w:tab w:val="left" w:pos="720"/>
      </w:tabs>
      <w:spacing w:after="0" w:line="360" w:lineRule="auto"/>
      <w:jc w:val="both"/>
    </w:pPr>
    <w:rPr>
      <w:rFonts w:ascii="Book Antiqua" w:eastAsia="Times New Roman" w:hAnsi="Book Antiqua" w:cs="Times New Roman"/>
      <w:sz w:val="20"/>
      <w:szCs w:val="20"/>
      <w:lang w:eastAsia="en-US"/>
    </w:rPr>
  </w:style>
  <w:style w:type="paragraph" w:styleId="Header">
    <w:name w:val="header"/>
    <w:basedOn w:val="Normal"/>
    <w:link w:val="HeaderChar"/>
    <w:uiPriority w:val="99"/>
    <w:unhideWhenUsed/>
    <w:rsid w:val="00D75F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D75F9E"/>
  </w:style>
  <w:style w:type="paragraph" w:styleId="Footer">
    <w:name w:val="footer"/>
    <w:basedOn w:val="Normal"/>
    <w:link w:val="FooterChar"/>
    <w:uiPriority w:val="99"/>
    <w:unhideWhenUsed/>
    <w:rsid w:val="00D75F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D7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8202">
      <w:bodyDiv w:val="1"/>
      <w:marLeft w:val="0"/>
      <w:marRight w:val="0"/>
      <w:marTop w:val="0"/>
      <w:marBottom w:val="0"/>
      <w:divBdr>
        <w:top w:val="none" w:sz="0" w:space="0" w:color="auto"/>
        <w:left w:val="none" w:sz="0" w:space="0" w:color="auto"/>
        <w:bottom w:val="none" w:sz="0" w:space="0" w:color="auto"/>
        <w:right w:val="none" w:sz="0" w:space="0" w:color="auto"/>
      </w:divBdr>
    </w:div>
    <w:div w:id="484395218">
      <w:bodyDiv w:val="1"/>
      <w:marLeft w:val="0"/>
      <w:marRight w:val="0"/>
      <w:marTop w:val="0"/>
      <w:marBottom w:val="0"/>
      <w:divBdr>
        <w:top w:val="none" w:sz="0" w:space="0" w:color="auto"/>
        <w:left w:val="none" w:sz="0" w:space="0" w:color="auto"/>
        <w:bottom w:val="none" w:sz="0" w:space="0" w:color="auto"/>
        <w:right w:val="none" w:sz="0" w:space="0" w:color="auto"/>
      </w:divBdr>
    </w:div>
    <w:div w:id="985083703">
      <w:bodyDiv w:val="1"/>
      <w:marLeft w:val="0"/>
      <w:marRight w:val="0"/>
      <w:marTop w:val="0"/>
      <w:marBottom w:val="0"/>
      <w:divBdr>
        <w:top w:val="none" w:sz="0" w:space="0" w:color="auto"/>
        <w:left w:val="none" w:sz="0" w:space="0" w:color="auto"/>
        <w:bottom w:val="none" w:sz="0" w:space="0" w:color="auto"/>
        <w:right w:val="none" w:sz="0" w:space="0" w:color="auto"/>
      </w:divBdr>
    </w:div>
    <w:div w:id="1712802844">
      <w:bodyDiv w:val="1"/>
      <w:marLeft w:val="0"/>
      <w:marRight w:val="0"/>
      <w:marTop w:val="0"/>
      <w:marBottom w:val="0"/>
      <w:divBdr>
        <w:top w:val="none" w:sz="0" w:space="0" w:color="auto"/>
        <w:left w:val="none" w:sz="0" w:space="0" w:color="auto"/>
        <w:bottom w:val="none" w:sz="0" w:space="0" w:color="auto"/>
        <w:right w:val="none" w:sz="0" w:space="0" w:color="auto"/>
      </w:divBdr>
    </w:div>
    <w:div w:id="19178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E2B3-0EF8-4FF9-85E4-763D3FCB9E19}">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30470</vt:lpwstr>
  </property>
  <property fmtid="{D5CDD505-2E9C-101B-9397-08002B2CF9AE}" pid="4" name="OptimizationTime">
    <vt:lpwstr>20200302_0954</vt:lpwstr>
  </property>
</Properties>
</file>

<file path=docProps/app.xml><?xml version="1.0" encoding="utf-8"?>
<Properties xmlns="http://schemas.openxmlformats.org/officeDocument/2006/extended-properties" xmlns:vt="http://schemas.openxmlformats.org/officeDocument/2006/docPropsVTypes">
  <Template>Normal.dotm</Template>
  <TotalTime>4</TotalTime>
  <Pages>4</Pages>
  <Words>1314</Words>
  <Characters>7233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carlos.menendez</dc:creator>
  <cp:lastModifiedBy>Maria A Barzola</cp:lastModifiedBy>
  <cp:revision>3</cp:revision>
  <cp:lastPrinted>2020-02-27T23:59:00Z</cp:lastPrinted>
  <dcterms:created xsi:type="dcterms:W3CDTF">2020-02-28T17:03:00Z</dcterms:created>
  <dcterms:modified xsi:type="dcterms:W3CDTF">2020-02-28T23:46:00Z</dcterms:modified>
</cp:coreProperties>
</file>