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2CE18" w14:textId="77777777"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14:paraId="6CB962C8" w14:textId="77777777"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14:paraId="1F0F7A6F" w14:textId="4EF311E6"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A73A96" w:rsidRPr="00AA1C96">
        <w:rPr>
          <w:rFonts w:ascii="Arial" w:hAnsi="Arial" w:cs="Arial"/>
          <w:b/>
          <w:bCs/>
          <w:color w:val="000000" w:themeColor="text1"/>
          <w:sz w:val="19"/>
          <w:szCs w:val="19"/>
        </w:rPr>
        <w:t>SEPARADOS</w:t>
      </w:r>
      <w:r w:rsidR="003454B7" w:rsidRPr="00AA1C96">
        <w:rPr>
          <w:rFonts w:ascii="Arial" w:hAnsi="Arial" w:cs="Arial"/>
          <w:b/>
          <w:bCs/>
          <w:color w:val="000000" w:themeColor="text1"/>
          <w:sz w:val="19"/>
          <w:szCs w:val="19"/>
        </w:rPr>
        <w:t xml:space="preserve"> CONDENSADOS DE PER</w:t>
      </w:r>
      <w:r w:rsidR="00D2738E">
        <w:rPr>
          <w:rFonts w:ascii="Arial" w:hAnsi="Arial" w:cs="Arial"/>
          <w:b/>
          <w:bCs/>
          <w:color w:val="000000" w:themeColor="text1"/>
          <w:sz w:val="19"/>
          <w:szCs w:val="19"/>
        </w:rPr>
        <w:t>Í</w:t>
      </w:r>
      <w:r w:rsidRPr="00AA1C96">
        <w:rPr>
          <w:rFonts w:ascii="Arial" w:hAnsi="Arial" w:cs="Arial"/>
          <w:b/>
          <w:bCs/>
          <w:color w:val="000000" w:themeColor="text1"/>
          <w:sz w:val="19"/>
          <w:szCs w:val="19"/>
        </w:rPr>
        <w:t>ODO INTERMEDIO</w:t>
      </w:r>
    </w:p>
    <w:p w14:paraId="2FD8BDD5" w14:textId="77777777"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14:paraId="28F74F20"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14:paraId="32A341B0" w14:textId="77777777"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14:paraId="3C1BC638"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14:paraId="10901E8D"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14:paraId="03F0B04A" w14:textId="77777777" w:rsidR="0027630F" w:rsidRPr="00AA1C96" w:rsidRDefault="00126CE0"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14:paraId="43A7A8AD"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11FECB9E"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76D62CE9" w14:textId="77777777" w:rsidR="00B216F3" w:rsidRPr="00AA1C96" w:rsidRDefault="00B216F3" w:rsidP="00C020F0">
      <w:pPr>
        <w:pStyle w:val="ListParagraph"/>
        <w:numPr>
          <w:ilvl w:val="0"/>
          <w:numId w:val="4"/>
        </w:numPr>
        <w:autoSpaceDE w:val="0"/>
        <w:autoSpaceDN w:val="0"/>
        <w:adjustRightInd w:val="0"/>
        <w:spacing w:after="0"/>
        <w:ind w:left="142" w:hanging="284"/>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14:paraId="1185CF8C"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14:paraId="5577ECB9"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14:paraId="74C15E41" w14:textId="77777777" w:rsidR="00B216F3" w:rsidRPr="00AA1C96" w:rsidRDefault="00B216F3" w:rsidP="00403325">
      <w:pPr>
        <w:autoSpaceDE w:val="0"/>
        <w:autoSpaceDN w:val="0"/>
        <w:adjustRightInd w:val="0"/>
        <w:spacing w:after="0" w:line="360" w:lineRule="auto"/>
        <w:ind w:left="-90"/>
        <w:jc w:val="both"/>
        <w:rPr>
          <w:rFonts w:ascii="Arial" w:hAnsi="Arial" w:cs="Arial"/>
          <w:b/>
          <w:color w:val="000000" w:themeColor="text1"/>
          <w:sz w:val="19"/>
          <w:szCs w:val="19"/>
        </w:rPr>
      </w:pPr>
    </w:p>
    <w:p w14:paraId="3949D6C7" w14:textId="491A732B" w:rsidR="0053588A" w:rsidRPr="0053588A" w:rsidRDefault="0053588A" w:rsidP="00C36B4D">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53588A">
        <w:rPr>
          <w:rFonts w:ascii="Arial" w:hAnsi="Arial" w:cs="Arial"/>
          <w:color w:val="000000" w:themeColor="text1"/>
          <w:sz w:val="19"/>
          <w:szCs w:val="19"/>
        </w:rPr>
        <w:t xml:space="preserve">Hemos revisado los estados financieros separados condensados de período intermedio adjuntos de BANCO CMF S.A. (la “Entidad”), que comprenden: (a) el estado separado de situación financiera al </w:t>
      </w:r>
      <w:r w:rsidR="003415F2">
        <w:rPr>
          <w:rFonts w:ascii="Arial" w:hAnsi="Arial" w:cs="Arial"/>
          <w:color w:val="000000" w:themeColor="text1"/>
          <w:sz w:val="19"/>
          <w:szCs w:val="19"/>
        </w:rPr>
        <w:t xml:space="preserve">30 de </w:t>
      </w:r>
      <w:r w:rsidR="00E0617C">
        <w:rPr>
          <w:rFonts w:ascii="Arial" w:hAnsi="Arial" w:cs="Arial"/>
          <w:color w:val="000000" w:themeColor="text1"/>
          <w:sz w:val="19"/>
          <w:szCs w:val="19"/>
        </w:rPr>
        <w:t>septiembre</w:t>
      </w:r>
      <w:r>
        <w:rPr>
          <w:rFonts w:ascii="Arial" w:hAnsi="Arial" w:cs="Arial"/>
          <w:color w:val="000000" w:themeColor="text1"/>
          <w:sz w:val="19"/>
          <w:szCs w:val="19"/>
        </w:rPr>
        <w:t xml:space="preserve"> de 20</w:t>
      </w:r>
      <w:r w:rsidR="00D456CB">
        <w:rPr>
          <w:rFonts w:ascii="Arial" w:hAnsi="Arial" w:cs="Arial"/>
          <w:color w:val="000000" w:themeColor="text1"/>
          <w:sz w:val="19"/>
          <w:szCs w:val="19"/>
        </w:rPr>
        <w:t>20</w:t>
      </w:r>
      <w:r w:rsidR="00771C52">
        <w:rPr>
          <w:rFonts w:ascii="Arial" w:hAnsi="Arial" w:cs="Arial"/>
          <w:color w:val="000000" w:themeColor="text1"/>
          <w:sz w:val="19"/>
          <w:szCs w:val="19"/>
        </w:rPr>
        <w:t>, (b) los estados separados</w:t>
      </w:r>
      <w:r w:rsidR="003D71A6">
        <w:rPr>
          <w:rFonts w:ascii="Arial" w:hAnsi="Arial" w:cs="Arial"/>
          <w:color w:val="000000" w:themeColor="text1"/>
          <w:sz w:val="19"/>
          <w:szCs w:val="19"/>
        </w:rPr>
        <w:t xml:space="preserve"> </w:t>
      </w:r>
      <w:r w:rsidRPr="0053588A">
        <w:rPr>
          <w:rFonts w:ascii="Arial" w:hAnsi="Arial" w:cs="Arial"/>
          <w:color w:val="000000" w:themeColor="text1"/>
          <w:sz w:val="19"/>
          <w:szCs w:val="19"/>
        </w:rPr>
        <w:t>de resultados y de otros resultados integrales</w:t>
      </w:r>
      <w:r w:rsidR="003415F2">
        <w:rPr>
          <w:rFonts w:ascii="Arial" w:hAnsi="Arial" w:cs="Arial"/>
          <w:color w:val="000000" w:themeColor="text1"/>
          <w:sz w:val="19"/>
          <w:szCs w:val="19"/>
        </w:rPr>
        <w:t xml:space="preserve"> por los períodos de tres y </w:t>
      </w:r>
      <w:r w:rsidR="00E0617C">
        <w:rPr>
          <w:rFonts w:ascii="Arial" w:hAnsi="Arial" w:cs="Arial"/>
          <w:color w:val="000000" w:themeColor="text1"/>
          <w:sz w:val="19"/>
          <w:szCs w:val="19"/>
        </w:rPr>
        <w:t>nueve</w:t>
      </w:r>
      <w:r w:rsidR="003415F2">
        <w:rPr>
          <w:rFonts w:ascii="Arial" w:hAnsi="Arial" w:cs="Arial"/>
          <w:color w:val="000000" w:themeColor="text1"/>
          <w:sz w:val="19"/>
          <w:szCs w:val="19"/>
        </w:rPr>
        <w:t xml:space="preserve"> meses finalizados al 30 de </w:t>
      </w:r>
      <w:r w:rsidR="00E0617C">
        <w:rPr>
          <w:rFonts w:ascii="Arial" w:hAnsi="Arial" w:cs="Arial"/>
          <w:color w:val="000000" w:themeColor="text1"/>
          <w:sz w:val="19"/>
          <w:szCs w:val="19"/>
        </w:rPr>
        <w:t>septiembre</w:t>
      </w:r>
      <w:r w:rsidR="003415F2">
        <w:rPr>
          <w:rFonts w:ascii="Arial" w:hAnsi="Arial" w:cs="Arial"/>
          <w:color w:val="000000" w:themeColor="text1"/>
          <w:sz w:val="19"/>
          <w:szCs w:val="19"/>
        </w:rPr>
        <w:t xml:space="preserve"> de 2020</w:t>
      </w:r>
      <w:r w:rsidR="00D456CB">
        <w:rPr>
          <w:rFonts w:ascii="Arial" w:hAnsi="Arial" w:cs="Arial"/>
          <w:color w:val="000000" w:themeColor="text1"/>
          <w:sz w:val="19"/>
          <w:szCs w:val="19"/>
        </w:rPr>
        <w:t>,</w:t>
      </w:r>
      <w:r w:rsidR="003415F2">
        <w:rPr>
          <w:rFonts w:ascii="Arial" w:hAnsi="Arial" w:cs="Arial"/>
          <w:color w:val="000000" w:themeColor="text1"/>
          <w:sz w:val="19"/>
          <w:szCs w:val="19"/>
        </w:rPr>
        <w:t xml:space="preserve"> y</w:t>
      </w:r>
      <w:r w:rsidR="00D456CB">
        <w:rPr>
          <w:rFonts w:ascii="Arial" w:hAnsi="Arial" w:cs="Arial"/>
          <w:color w:val="000000" w:themeColor="text1"/>
          <w:sz w:val="19"/>
          <w:szCs w:val="19"/>
        </w:rPr>
        <w:t xml:space="preserve"> </w:t>
      </w:r>
      <w:r w:rsidRPr="0053588A">
        <w:rPr>
          <w:rFonts w:ascii="Arial" w:hAnsi="Arial" w:cs="Arial"/>
          <w:color w:val="000000" w:themeColor="text1"/>
          <w:sz w:val="19"/>
          <w:szCs w:val="19"/>
        </w:rPr>
        <w:t xml:space="preserve">de cambios en el patrimonio y de flujos de efectivo por el período de </w:t>
      </w:r>
      <w:r w:rsidR="00E0617C">
        <w:rPr>
          <w:rFonts w:ascii="Arial" w:hAnsi="Arial" w:cs="Arial"/>
          <w:color w:val="000000" w:themeColor="text1"/>
          <w:sz w:val="19"/>
          <w:szCs w:val="19"/>
        </w:rPr>
        <w:t>nueve</w:t>
      </w:r>
      <w:r w:rsidRPr="0053588A">
        <w:rPr>
          <w:rFonts w:ascii="Arial" w:hAnsi="Arial" w:cs="Arial"/>
          <w:color w:val="000000" w:themeColor="text1"/>
          <w:sz w:val="19"/>
          <w:szCs w:val="19"/>
        </w:rPr>
        <w:t xml:space="preserve"> meses finalizado en esa fecha, y (c) notas explicativas seleccionadas y otra información complementaria. </w:t>
      </w:r>
    </w:p>
    <w:p w14:paraId="60C1712C" w14:textId="77777777"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14:paraId="781F9FDD" w14:textId="77777777"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14:paraId="7044DD4A" w14:textId="77777777"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14:paraId="1CEA5167" w14:textId="77777777" w:rsidR="004E357C" w:rsidRPr="00C005EC" w:rsidRDefault="004E357C" w:rsidP="004E357C">
      <w:pPr>
        <w:autoSpaceDE w:val="0"/>
        <w:autoSpaceDN w:val="0"/>
        <w:adjustRightInd w:val="0"/>
        <w:spacing w:after="0" w:line="240" w:lineRule="auto"/>
        <w:ind w:hanging="142"/>
        <w:jc w:val="both"/>
        <w:rPr>
          <w:rFonts w:ascii="Arial" w:hAnsi="Arial" w:cs="Arial"/>
          <w:b/>
          <w:color w:val="000000" w:themeColor="text2"/>
          <w:sz w:val="20"/>
          <w:szCs w:val="20"/>
        </w:rPr>
      </w:pPr>
    </w:p>
    <w:p w14:paraId="64419716" w14:textId="7B5C67A5" w:rsidR="004E357C" w:rsidRPr="004E357C" w:rsidRDefault="004E357C" w:rsidP="00403325">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4E357C">
        <w:rPr>
          <w:rFonts w:ascii="Arial" w:hAnsi="Arial" w:cs="Arial"/>
          <w:color w:val="000000" w:themeColor="text1"/>
          <w:sz w:val="19"/>
          <w:szCs w:val="19"/>
        </w:rPr>
        <w:t xml:space="preserve">El Directorio y la Gerencia de la Entidad son responsables por la preparación y </w:t>
      </w:r>
      <w:r w:rsidRPr="00BE1BF9">
        <w:rPr>
          <w:rFonts w:ascii="Arial" w:hAnsi="Arial" w:cs="Arial"/>
          <w:color w:val="000000" w:themeColor="text1"/>
          <w:sz w:val="19"/>
          <w:szCs w:val="19"/>
        </w:rPr>
        <w:t>presentación de los estados financieros mencionados en el párrafo 1. de conformidad con el marco de información contable establecido por el Banco Central de la República Argentina (BCRA), que, tal como se indica en la Nota 2. a los estados financieros mencionados en el párrafo 1., se basa en las Normas Internacionales de Información Financiera (“NIIF”), y en particular para los estados financieros condensados de período intermedio en la Norma Internacional de Contabilidad 34 “Información Financiera Intermedia”, tal como esas normas</w:t>
      </w:r>
      <w:r w:rsidRPr="00EC1780">
        <w:rPr>
          <w:rFonts w:ascii="Arial" w:hAnsi="Arial" w:cs="Arial"/>
          <w:color w:val="000000" w:themeColor="text1"/>
          <w:sz w:val="19"/>
          <w:szCs w:val="19"/>
        </w:rPr>
        <w:t xml:space="preserve"> fueron emitidas por el Consejo de Normas Internacionales de Contabilidad</w:t>
      </w:r>
      <w:r w:rsidRPr="004E357C">
        <w:rPr>
          <w:rFonts w:ascii="Arial" w:hAnsi="Arial" w:cs="Arial"/>
          <w:color w:val="000000" w:themeColor="text1"/>
          <w:sz w:val="19"/>
          <w:szCs w:val="19"/>
        </w:rPr>
        <w:t xml:space="preserve"> (“IASB” por su sigla en inglés) y adoptadas por la Federación Argentina de Consejos Profesionales de Ciencias Económicas (</w:t>
      </w:r>
      <w:r w:rsidR="00D64823">
        <w:rPr>
          <w:rFonts w:ascii="Arial" w:hAnsi="Arial" w:cs="Arial"/>
          <w:color w:val="000000" w:themeColor="text1"/>
          <w:sz w:val="19"/>
          <w:szCs w:val="19"/>
        </w:rPr>
        <w:t>“FACPCE”), y con la excepción</w:t>
      </w:r>
      <w:r w:rsidRPr="004E357C">
        <w:rPr>
          <w:rFonts w:ascii="Arial" w:hAnsi="Arial" w:cs="Arial"/>
          <w:color w:val="000000" w:themeColor="text1"/>
          <w:sz w:val="19"/>
          <w:szCs w:val="19"/>
        </w:rPr>
        <w:t xml:space="preserve"> que fue establecida</w:t>
      </w:r>
      <w:r w:rsidR="00D64823">
        <w:rPr>
          <w:rFonts w:ascii="Arial" w:hAnsi="Arial" w:cs="Arial"/>
          <w:color w:val="000000" w:themeColor="text1"/>
          <w:sz w:val="19"/>
          <w:szCs w:val="19"/>
        </w:rPr>
        <w:t xml:space="preserve"> por el BCRA que se explica</w:t>
      </w:r>
      <w:r w:rsidRPr="004E357C">
        <w:rPr>
          <w:rFonts w:ascii="Arial" w:hAnsi="Arial" w:cs="Arial"/>
          <w:color w:val="000000" w:themeColor="text1"/>
          <w:sz w:val="19"/>
          <w:szCs w:val="19"/>
        </w:rPr>
        <w:t xml:space="preserve"> en la mencionada nota. El Directorio y la Gerencia de la Entidad son también responsables del control interno que consideren necesario para permitir la preparación de estados financieros de períodos intermedios libres de distorsiones significativas, ya sea debido a errores o irregularidades.</w:t>
      </w:r>
    </w:p>
    <w:p w14:paraId="434E0973" w14:textId="77777777" w:rsidR="00B77448" w:rsidRDefault="00B77448" w:rsidP="000C15AA">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14:paraId="23CD4E2E" w14:textId="77777777"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14:paraId="163D068B" w14:textId="77777777" w:rsidR="004E357C" w:rsidRPr="004E357C" w:rsidRDefault="004E357C" w:rsidP="00452887">
      <w:pPr>
        <w:pStyle w:val="ListParagraph"/>
        <w:numPr>
          <w:ilvl w:val="0"/>
          <w:numId w:val="3"/>
        </w:numPr>
        <w:shd w:val="clear" w:color="auto" w:fill="FFFFFF" w:themeFill="background1"/>
        <w:autoSpaceDE w:val="0"/>
        <w:autoSpaceDN w:val="0"/>
        <w:adjustRightInd w:val="0"/>
        <w:spacing w:after="0" w:line="360" w:lineRule="auto"/>
        <w:ind w:left="283" w:hanging="425"/>
        <w:jc w:val="both"/>
        <w:rPr>
          <w:rFonts w:ascii="Arial" w:hAnsi="Arial" w:cs="Arial"/>
          <w:color w:val="000000" w:themeColor="text1"/>
          <w:sz w:val="19"/>
          <w:szCs w:val="19"/>
        </w:rPr>
      </w:pPr>
      <w:r w:rsidRPr="004E357C">
        <w:rPr>
          <w:rFonts w:ascii="Arial" w:hAnsi="Arial" w:cs="Arial"/>
          <w:color w:val="000000" w:themeColor="text1"/>
          <w:sz w:val="19"/>
          <w:szCs w:val="19"/>
        </w:rPr>
        <w:t>Nuestra responsabilidad es expresar una conclusión sobre los estados financieros mencionados en el párrafo 1. basada en nuestra revisión, la cual fue realizada de conformidad con las normas de la Resolución Técnica N° 37 de la FACPCE y con las “Normas mínimas sobre auditorías externas” emitidas por el BCRA, aplicables a la revisión de estados financieros de períodos intermedios, y cumpliendo con los requerimientos de ética pertinentes a la auditoría de los estados financieros anuales de la Entidad. Una revisión de estados financieros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financieros y, por consiguiente, no nos permite obtener seguridad de que tomaremos conocimiento de todas las cuestiones significativas que podrían identificarse en una auditoría. Por lo tanto, no expresamos una opinión de auditoría.</w:t>
      </w:r>
    </w:p>
    <w:p w14:paraId="3E30AF14" w14:textId="77777777"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14:paraId="6CB96F06" w14:textId="77777777"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14:paraId="20E53470" w14:textId="77777777"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14:paraId="14197EE3" w14:textId="77777777"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14:paraId="312587E8" w14:textId="77777777" w:rsidR="0014477C" w:rsidRPr="00403325" w:rsidRDefault="00B216F3" w:rsidP="00403325">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w:t>
      </w:r>
      <w:r w:rsidRPr="004E357C">
        <w:rPr>
          <w:rFonts w:ascii="Arial" w:hAnsi="Arial" w:cs="Arial"/>
          <w:color w:val="000000" w:themeColor="text1"/>
          <w:sz w:val="19"/>
          <w:szCs w:val="19"/>
        </w:rPr>
        <w:t>financieros mencionados</w:t>
      </w:r>
      <w:r w:rsidRPr="00403325">
        <w:rPr>
          <w:rFonts w:ascii="Arial" w:hAnsi="Arial" w:cs="Arial"/>
          <w:color w:val="000000" w:themeColor="text1"/>
          <w:sz w:val="19"/>
          <w:szCs w:val="19"/>
        </w:rPr>
        <w:t xml:space="preserve"> </w:t>
      </w:r>
      <w:r w:rsidRPr="00AA1C96">
        <w:rPr>
          <w:rFonts w:ascii="Arial" w:hAnsi="Arial" w:cs="Arial"/>
          <w:color w:val="000000" w:themeColor="text1"/>
          <w:sz w:val="19"/>
          <w:szCs w:val="19"/>
        </w:rPr>
        <w:t xml:space="preserve">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14:paraId="07DBA707" w14:textId="77777777"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14:paraId="10A35F8F" w14:textId="77777777"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14:paraId="6695A446" w14:textId="77777777" w:rsidR="00177691" w:rsidRPr="004E357C"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w:t>
      </w:r>
      <w:r w:rsidRPr="004E357C">
        <w:rPr>
          <w:rFonts w:ascii="Arial" w:hAnsi="Arial" w:cs="Arial"/>
          <w:b/>
          <w:color w:val="000000" w:themeColor="text1"/>
          <w:sz w:val="19"/>
          <w:szCs w:val="19"/>
        </w:rPr>
        <w:t xml:space="preserve">sobre ciertos aspectos revelados en los estados financieros </w:t>
      </w:r>
      <w:r w:rsidR="004E357C" w:rsidRPr="004E357C">
        <w:rPr>
          <w:rFonts w:ascii="Arial" w:hAnsi="Arial" w:cs="Arial"/>
          <w:b/>
          <w:color w:val="000000" w:themeColor="text1"/>
          <w:sz w:val="19"/>
          <w:szCs w:val="19"/>
        </w:rPr>
        <w:t>y otras cuestiones</w:t>
      </w:r>
    </w:p>
    <w:p w14:paraId="15CBFB88" w14:textId="77777777" w:rsidR="00B216F3" w:rsidRPr="004E357C" w:rsidRDefault="00B216F3" w:rsidP="005627B9">
      <w:pPr>
        <w:autoSpaceDE w:val="0"/>
        <w:autoSpaceDN w:val="0"/>
        <w:adjustRightInd w:val="0"/>
        <w:spacing w:after="0"/>
        <w:jc w:val="both"/>
        <w:rPr>
          <w:rFonts w:ascii="Arial" w:hAnsi="Arial" w:cs="Arial"/>
          <w:b/>
          <w:color w:val="000000" w:themeColor="text1"/>
          <w:sz w:val="19"/>
          <w:szCs w:val="19"/>
        </w:rPr>
      </w:pPr>
    </w:p>
    <w:p w14:paraId="0485B7F4" w14:textId="66FB82FF" w:rsidR="004E357C" w:rsidRPr="00BD15CC" w:rsidRDefault="006A4827" w:rsidP="00BD15CC">
      <w:pPr>
        <w:pStyle w:val="ListParagraph"/>
        <w:numPr>
          <w:ilvl w:val="0"/>
          <w:numId w:val="3"/>
        </w:numPr>
        <w:autoSpaceDE w:val="0"/>
        <w:autoSpaceDN w:val="0"/>
        <w:adjustRightInd w:val="0"/>
        <w:spacing w:after="0" w:line="360" w:lineRule="auto"/>
        <w:ind w:left="283" w:hanging="425"/>
        <w:jc w:val="both"/>
        <w:rPr>
          <w:rFonts w:ascii="Arial" w:hAnsi="Arial" w:cs="Arial"/>
          <w:sz w:val="19"/>
          <w:szCs w:val="19"/>
        </w:rPr>
      </w:pPr>
      <w:r w:rsidRPr="00BD15CC">
        <w:rPr>
          <w:rFonts w:ascii="Arial" w:hAnsi="Arial" w:cs="Arial"/>
          <w:sz w:val="19"/>
          <w:szCs w:val="19"/>
        </w:rPr>
        <w:t>Llamamos la atención sobre</w:t>
      </w:r>
      <w:r w:rsidR="00177691" w:rsidRPr="00BD15CC">
        <w:rPr>
          <w:rFonts w:ascii="Arial" w:hAnsi="Arial" w:cs="Arial"/>
          <w:sz w:val="19"/>
          <w:szCs w:val="19"/>
        </w:rPr>
        <w:t xml:space="preserve"> la información contenida en la</w:t>
      </w:r>
      <w:r w:rsidR="00D64823" w:rsidRPr="00BD15CC">
        <w:rPr>
          <w:rFonts w:ascii="Arial" w:hAnsi="Arial" w:cs="Arial"/>
          <w:sz w:val="19"/>
          <w:szCs w:val="19"/>
        </w:rPr>
        <w:t xml:space="preserve"> </w:t>
      </w:r>
      <w:r w:rsidR="00D456CB" w:rsidRPr="00BD15CC">
        <w:rPr>
          <w:rFonts w:ascii="Arial" w:hAnsi="Arial" w:cs="Arial"/>
          <w:sz w:val="19"/>
          <w:szCs w:val="19"/>
        </w:rPr>
        <w:t xml:space="preserve">Nota 2. “Bases de presentación de los </w:t>
      </w:r>
      <w:r w:rsidR="00BD15CC" w:rsidRPr="00BD15CC">
        <w:rPr>
          <w:rFonts w:ascii="Arial" w:hAnsi="Arial" w:cs="Arial"/>
          <w:sz w:val="19"/>
          <w:szCs w:val="19"/>
        </w:rPr>
        <w:t>estados financieros y p</w:t>
      </w:r>
      <w:r w:rsidR="00D456CB" w:rsidRPr="00BD15CC">
        <w:rPr>
          <w:rFonts w:ascii="Arial" w:hAnsi="Arial" w:cs="Arial"/>
          <w:sz w:val="19"/>
          <w:szCs w:val="19"/>
        </w:rPr>
        <w:t>olíticas contables aplicadas”,</w:t>
      </w:r>
      <w:r w:rsidR="00EC1780" w:rsidRPr="00BD15CC">
        <w:rPr>
          <w:rFonts w:ascii="Arial" w:hAnsi="Arial" w:cs="Arial"/>
          <w:sz w:val="19"/>
          <w:szCs w:val="19"/>
        </w:rPr>
        <w:t xml:space="preserve"> apartado “Bases de preparación”</w:t>
      </w:r>
      <w:r w:rsidR="00154E10" w:rsidRPr="00BD15CC">
        <w:rPr>
          <w:rFonts w:ascii="Arial" w:hAnsi="Arial" w:cs="Arial"/>
          <w:sz w:val="19"/>
          <w:szCs w:val="19"/>
        </w:rPr>
        <w:t xml:space="preserve"> – “Normas contables aplicadas”</w:t>
      </w:r>
      <w:r w:rsidR="00D456CB" w:rsidRPr="00BD15CC">
        <w:rPr>
          <w:rFonts w:ascii="Arial" w:hAnsi="Arial" w:cs="Arial"/>
          <w:sz w:val="19"/>
          <w:szCs w:val="19"/>
        </w:rPr>
        <w:t xml:space="preserve"> </w:t>
      </w:r>
      <w:r w:rsidR="00BD15CC" w:rsidRPr="00BD15CC">
        <w:rPr>
          <w:rFonts w:ascii="Arial" w:hAnsi="Arial" w:cs="Arial"/>
          <w:sz w:val="19"/>
          <w:szCs w:val="19"/>
        </w:rPr>
        <w:t xml:space="preserve">a los estados financieros mencionados en el párrafo 1. </w:t>
      </w:r>
      <w:r w:rsidR="004E357C" w:rsidRPr="00BD15CC">
        <w:rPr>
          <w:rFonts w:ascii="Arial" w:hAnsi="Arial" w:cs="Arial"/>
          <w:sz w:val="19"/>
          <w:szCs w:val="19"/>
        </w:rPr>
        <w:t xml:space="preserve">en la que la Entidad indica (a) que de acuerdo con las excepciones transitorias establecidas por las Comunicaciones “A” 6847 y 6938 del BCRA, no ha aplicado la sección 5.5 “Deterioro de Valor” de la NIIF 9 “Instrumentos Financieros”, y (b) que si bien se encuentra en proceso de </w:t>
      </w:r>
      <w:r w:rsidR="00EC1780" w:rsidRPr="00BD15CC">
        <w:rPr>
          <w:rFonts w:ascii="Arial" w:hAnsi="Arial" w:cs="Arial"/>
          <w:sz w:val="19"/>
          <w:szCs w:val="19"/>
        </w:rPr>
        <w:t xml:space="preserve">cuantificación </w:t>
      </w:r>
      <w:r w:rsidR="004E357C" w:rsidRPr="00BD15CC">
        <w:rPr>
          <w:rFonts w:ascii="Arial" w:hAnsi="Arial" w:cs="Arial"/>
          <w:sz w:val="19"/>
          <w:szCs w:val="19"/>
        </w:rPr>
        <w:t>del</w:t>
      </w:r>
      <w:r w:rsidR="00BD15CC" w:rsidRPr="00BD15CC">
        <w:rPr>
          <w:rFonts w:ascii="Arial" w:hAnsi="Arial" w:cs="Arial"/>
          <w:sz w:val="19"/>
          <w:szCs w:val="19"/>
        </w:rPr>
        <w:t xml:space="preserve"> </w:t>
      </w:r>
      <w:r w:rsidR="00EC1780" w:rsidRPr="00BD15CC">
        <w:rPr>
          <w:rFonts w:ascii="Arial" w:hAnsi="Arial" w:cs="Arial"/>
          <w:sz w:val="19"/>
          <w:szCs w:val="19"/>
        </w:rPr>
        <w:t>efecto</w:t>
      </w:r>
      <w:r w:rsidR="004E357C" w:rsidRPr="00BD15CC">
        <w:rPr>
          <w:rFonts w:ascii="Arial" w:hAnsi="Arial" w:cs="Arial"/>
          <w:sz w:val="19"/>
          <w:szCs w:val="19"/>
        </w:rPr>
        <w:t xml:space="preserve"> que sobre los estados financieros tendría la aplicación plena de la NIIF 9, estima que </w:t>
      </w:r>
      <w:r w:rsidR="00BD15CC" w:rsidRPr="00BD15CC">
        <w:rPr>
          <w:rFonts w:ascii="Arial" w:hAnsi="Arial" w:cs="Arial"/>
          <w:sz w:val="19"/>
          <w:szCs w:val="19"/>
        </w:rPr>
        <w:t>est</w:t>
      </w:r>
      <w:r w:rsidR="00BB4439">
        <w:rPr>
          <w:rFonts w:ascii="Arial" w:hAnsi="Arial" w:cs="Arial"/>
          <w:sz w:val="19"/>
          <w:szCs w:val="19"/>
        </w:rPr>
        <w:t>e efecto</w:t>
      </w:r>
      <w:r w:rsidR="00BD15CC" w:rsidRPr="00BD15CC">
        <w:rPr>
          <w:rFonts w:ascii="Arial" w:hAnsi="Arial" w:cs="Arial"/>
          <w:sz w:val="19"/>
          <w:szCs w:val="19"/>
        </w:rPr>
        <w:t xml:space="preserve"> podría ser </w:t>
      </w:r>
      <w:r w:rsidR="00BB4439">
        <w:rPr>
          <w:rFonts w:ascii="Arial" w:hAnsi="Arial" w:cs="Arial"/>
          <w:sz w:val="19"/>
          <w:szCs w:val="19"/>
        </w:rPr>
        <w:t xml:space="preserve">de </w:t>
      </w:r>
      <w:r w:rsidR="00EC1780" w:rsidRPr="00BD15CC">
        <w:rPr>
          <w:rFonts w:ascii="Arial" w:hAnsi="Arial" w:cs="Arial"/>
          <w:sz w:val="19"/>
          <w:szCs w:val="19"/>
        </w:rPr>
        <w:t>significa</w:t>
      </w:r>
      <w:r w:rsidR="00BB4439">
        <w:rPr>
          <w:rFonts w:ascii="Arial" w:hAnsi="Arial" w:cs="Arial"/>
          <w:sz w:val="19"/>
          <w:szCs w:val="19"/>
        </w:rPr>
        <w:t>ción</w:t>
      </w:r>
      <w:r w:rsidR="00EC1780" w:rsidRPr="00BD15CC">
        <w:rPr>
          <w:rFonts w:ascii="Arial" w:hAnsi="Arial" w:cs="Arial"/>
          <w:sz w:val="19"/>
          <w:szCs w:val="19"/>
        </w:rPr>
        <w:t xml:space="preserve">. </w:t>
      </w:r>
      <w:r w:rsidR="004E357C" w:rsidRPr="00BD15CC">
        <w:rPr>
          <w:rFonts w:ascii="Arial" w:hAnsi="Arial" w:cs="Arial"/>
          <w:sz w:val="19"/>
          <w:szCs w:val="19"/>
        </w:rPr>
        <w:t xml:space="preserve">Esta cuestión no modifica la conclusión expresada en el párrafo </w:t>
      </w:r>
      <w:r w:rsidR="00DD3D22" w:rsidRPr="00BD15CC">
        <w:rPr>
          <w:rFonts w:ascii="Arial" w:hAnsi="Arial" w:cs="Arial"/>
          <w:sz w:val="19"/>
          <w:szCs w:val="19"/>
        </w:rPr>
        <w:t>4</w:t>
      </w:r>
      <w:r w:rsidR="004E357C" w:rsidRPr="00BD15CC">
        <w:rPr>
          <w:rFonts w:ascii="Arial" w:hAnsi="Arial" w:cs="Arial"/>
          <w:sz w:val="19"/>
          <w:szCs w:val="19"/>
        </w:rPr>
        <w:t>., pero debe ser tenida en cuenta por aquellos usuarios que utilicen las NIIF para la interpretación de los estados financieros mencionados en el párrafo 1.</w:t>
      </w:r>
    </w:p>
    <w:p w14:paraId="18802695" w14:textId="77777777" w:rsidR="004109FC" w:rsidRDefault="004109FC" w:rsidP="000A77D9">
      <w:pPr>
        <w:autoSpaceDE w:val="0"/>
        <w:autoSpaceDN w:val="0"/>
        <w:adjustRightInd w:val="0"/>
        <w:spacing w:after="0"/>
        <w:ind w:left="-142"/>
        <w:jc w:val="both"/>
        <w:rPr>
          <w:rFonts w:ascii="Arial" w:hAnsi="Arial" w:cs="Arial"/>
          <w:b/>
          <w:color w:val="000000" w:themeColor="text1"/>
          <w:sz w:val="19"/>
          <w:szCs w:val="19"/>
        </w:rPr>
      </w:pPr>
    </w:p>
    <w:p w14:paraId="3C02E52A" w14:textId="77777777" w:rsidR="009359D3" w:rsidRDefault="009359D3" w:rsidP="000A77D9">
      <w:pPr>
        <w:autoSpaceDE w:val="0"/>
        <w:autoSpaceDN w:val="0"/>
        <w:adjustRightInd w:val="0"/>
        <w:spacing w:after="0"/>
        <w:ind w:left="-142"/>
        <w:jc w:val="both"/>
        <w:rPr>
          <w:rFonts w:ascii="Arial" w:hAnsi="Arial" w:cs="Arial"/>
          <w:b/>
          <w:color w:val="000000" w:themeColor="text1"/>
          <w:sz w:val="19"/>
          <w:szCs w:val="19"/>
        </w:rPr>
      </w:pPr>
    </w:p>
    <w:p w14:paraId="0754F381" w14:textId="77777777" w:rsidR="00D3680D" w:rsidRPr="00B75507" w:rsidRDefault="00B75507" w:rsidP="000A77D9">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t xml:space="preserve">Otras cuestiones </w:t>
      </w:r>
    </w:p>
    <w:p w14:paraId="610E5961" w14:textId="77777777" w:rsidR="00B75507" w:rsidRPr="00AA1C96" w:rsidRDefault="00B75507" w:rsidP="006B7C7B">
      <w:pPr>
        <w:autoSpaceDE w:val="0"/>
        <w:autoSpaceDN w:val="0"/>
        <w:adjustRightInd w:val="0"/>
        <w:spacing w:after="0"/>
        <w:jc w:val="both"/>
        <w:rPr>
          <w:rFonts w:ascii="Arial" w:hAnsi="Arial" w:cs="Arial"/>
          <w:sz w:val="19"/>
          <w:szCs w:val="19"/>
        </w:rPr>
      </w:pPr>
    </w:p>
    <w:p w14:paraId="7E87BCF2" w14:textId="77777777" w:rsidR="007354E8" w:rsidRPr="00AA1C96" w:rsidRDefault="00B216F3" w:rsidP="009359D3">
      <w:pPr>
        <w:pStyle w:val="ListParagraph"/>
        <w:numPr>
          <w:ilvl w:val="0"/>
          <w:numId w:val="3"/>
        </w:numPr>
        <w:autoSpaceDE w:val="0"/>
        <w:autoSpaceDN w:val="0"/>
        <w:adjustRightInd w:val="0"/>
        <w:spacing w:after="0" w:line="360" w:lineRule="auto"/>
        <w:ind w:left="283" w:hanging="425"/>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consolidados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8B5FEC" w:rsidRPr="00AA1C96">
        <w:rPr>
          <w:rFonts w:ascii="Arial" w:hAnsi="Arial" w:cs="Arial"/>
          <w:color w:val="000000" w:themeColor="text1"/>
          <w:sz w:val="19"/>
          <w:szCs w:val="19"/>
        </w:rPr>
        <w:t xml:space="preserve"> y sus sociedades controladas</w:t>
      </w:r>
      <w:r w:rsidR="00FB6926" w:rsidRPr="00AA1C96">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14:paraId="1C17BB8C" w14:textId="013425B5" w:rsidR="00403325" w:rsidRDefault="00403325">
      <w:pPr>
        <w:rPr>
          <w:rFonts w:ascii="Arial" w:hAnsi="Arial" w:cs="Arial"/>
          <w:b/>
          <w:color w:val="000000" w:themeColor="text1"/>
          <w:sz w:val="19"/>
          <w:szCs w:val="19"/>
        </w:rPr>
      </w:pPr>
      <w:r>
        <w:rPr>
          <w:rFonts w:ascii="Arial" w:hAnsi="Arial" w:cs="Arial"/>
          <w:b/>
          <w:color w:val="000000" w:themeColor="text1"/>
          <w:sz w:val="19"/>
          <w:szCs w:val="19"/>
        </w:rPr>
        <w:br w:type="page"/>
      </w:r>
    </w:p>
    <w:p w14:paraId="4897358B" w14:textId="77777777"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14:paraId="5582B10A" w14:textId="77777777"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14:paraId="11CEBBE8" w14:textId="77777777"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14:paraId="430B5CA4" w14:textId="77777777" w:rsidR="0027630F" w:rsidRPr="00AA1C96" w:rsidRDefault="0027630F" w:rsidP="004E357C">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14:paraId="25EDE39C" w14:textId="77777777"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14:paraId="268C9DCC" w14:textId="356AA207" w:rsidR="002C0EF4" w:rsidRPr="00BE1BF9" w:rsidRDefault="002C0EF4" w:rsidP="00C36B4D">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Los estados financieros mencionados en el párrafo 1. han sido preparados en todos sus aspectos significativos, de conformidad con las normas pertinentes de la Ley General de Sociedades y de la Com</w:t>
      </w:r>
      <w:r w:rsidR="00793F71">
        <w:rPr>
          <w:rFonts w:ascii="Arial" w:eastAsia="Times New Roman" w:hAnsi="Arial" w:cs="Arial"/>
          <w:color w:val="000000" w:themeColor="text1"/>
          <w:sz w:val="19"/>
          <w:szCs w:val="19"/>
          <w:lang w:eastAsia="en-US"/>
        </w:rPr>
        <w:t>isión Nacional de Valores.</w:t>
      </w:r>
    </w:p>
    <w:p w14:paraId="1A558205" w14:textId="77777777" w:rsidR="0027630F" w:rsidRPr="00BE1BF9"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14:paraId="1FBED870" w14:textId="77777777" w:rsidR="00026FCB" w:rsidRDefault="0027630F" w:rsidP="00026FCB">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BE1BF9">
        <w:rPr>
          <w:rFonts w:ascii="Arial" w:eastAsia="Times New Roman" w:hAnsi="Arial" w:cs="Arial"/>
          <w:color w:val="000000" w:themeColor="text1"/>
          <w:sz w:val="19"/>
          <w:szCs w:val="19"/>
          <w:lang w:eastAsia="en-US"/>
        </w:rPr>
        <w:t xml:space="preserve">Los estados financieros </w:t>
      </w:r>
      <w:r w:rsidR="002C0EF4" w:rsidRPr="00BE1BF9">
        <w:rPr>
          <w:rFonts w:ascii="Arial" w:eastAsia="Times New Roman" w:hAnsi="Arial" w:cs="Arial"/>
          <w:color w:val="000000" w:themeColor="text1"/>
          <w:sz w:val="19"/>
          <w:szCs w:val="19"/>
          <w:lang w:eastAsia="en-US"/>
        </w:rPr>
        <w:t>mencionados en el párrafo 1.</w:t>
      </w:r>
      <w:r w:rsidR="00CE2DAB" w:rsidRPr="00BE1BF9">
        <w:rPr>
          <w:rFonts w:ascii="Arial" w:eastAsia="Times New Roman" w:hAnsi="Arial" w:cs="Arial"/>
          <w:color w:val="000000" w:themeColor="text1"/>
          <w:sz w:val="19"/>
          <w:szCs w:val="19"/>
          <w:lang w:eastAsia="en-US"/>
        </w:rPr>
        <w:t xml:space="preserve">, excepto por lo mencionado en la nota 2. </w:t>
      </w:r>
      <w:r w:rsidR="0053037D" w:rsidRPr="00BE1BF9">
        <w:rPr>
          <w:rFonts w:ascii="Arial" w:eastAsia="Times New Roman" w:hAnsi="Arial" w:cs="Arial"/>
          <w:color w:val="000000" w:themeColor="text1"/>
          <w:sz w:val="19"/>
          <w:szCs w:val="19"/>
          <w:lang w:eastAsia="en-US"/>
        </w:rPr>
        <w:t xml:space="preserve">a los estados financieros separados condensados adjuntos, </w:t>
      </w:r>
      <w:r w:rsidR="0053037D" w:rsidRPr="003415F2">
        <w:rPr>
          <w:rFonts w:ascii="Arial" w:eastAsia="Times New Roman" w:hAnsi="Arial" w:cs="Arial"/>
          <w:color w:val="000000" w:themeColor="text1"/>
          <w:sz w:val="19"/>
          <w:szCs w:val="19"/>
          <w:lang w:eastAsia="en-US"/>
        </w:rPr>
        <w:t>se encuentran transcriptos en el libro Inventarios y Balances</w:t>
      </w:r>
      <w:r w:rsidR="002C0EF4" w:rsidRPr="00BE1BF9">
        <w:rPr>
          <w:rFonts w:ascii="Arial" w:eastAsia="Times New Roman" w:hAnsi="Arial" w:cs="Arial"/>
          <w:color w:val="000000" w:themeColor="text1"/>
          <w:sz w:val="19"/>
          <w:szCs w:val="19"/>
          <w:lang w:eastAsia="en-US"/>
        </w:rPr>
        <w:t xml:space="preserve"> y surgen de registros contables llevados, </w:t>
      </w:r>
      <w:r w:rsidRPr="00BE1BF9">
        <w:rPr>
          <w:rFonts w:ascii="Arial" w:eastAsia="Times New Roman" w:hAnsi="Arial" w:cs="Arial"/>
          <w:color w:val="000000" w:themeColor="text1"/>
          <w:sz w:val="19"/>
          <w:szCs w:val="19"/>
          <w:lang w:eastAsia="en-US"/>
        </w:rPr>
        <w:t>en sus aspectos formales, de conformidad con las normas legales vigentes.</w:t>
      </w:r>
    </w:p>
    <w:p w14:paraId="52693F6F" w14:textId="77777777" w:rsidR="00026FCB" w:rsidRPr="00026FCB" w:rsidRDefault="00026FCB" w:rsidP="00026FCB">
      <w:pPr>
        <w:pStyle w:val="ListParagraph"/>
        <w:rPr>
          <w:rFonts w:ascii="Arial" w:eastAsia="Times New Roman" w:hAnsi="Arial" w:cs="Arial"/>
          <w:color w:val="000000" w:themeColor="text1"/>
          <w:sz w:val="19"/>
          <w:szCs w:val="19"/>
          <w:lang w:eastAsia="en-US"/>
        </w:rPr>
      </w:pPr>
    </w:p>
    <w:p w14:paraId="09DD422C" w14:textId="77777777" w:rsidR="00026FCB" w:rsidRDefault="00225F27" w:rsidP="00026FCB">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026FCB">
        <w:rPr>
          <w:rFonts w:ascii="Arial" w:eastAsia="Times New Roman" w:hAnsi="Arial" w:cs="Arial"/>
          <w:color w:val="000000" w:themeColor="text1"/>
          <w:sz w:val="19"/>
          <w:szCs w:val="19"/>
          <w:lang w:eastAsia="en-US"/>
        </w:rPr>
        <w:t>A</w:t>
      </w:r>
      <w:r w:rsidR="0027630F" w:rsidRPr="00026FCB">
        <w:rPr>
          <w:rFonts w:ascii="Arial" w:eastAsia="Times New Roman" w:hAnsi="Arial" w:cs="Arial"/>
          <w:color w:val="000000" w:themeColor="text1"/>
          <w:sz w:val="19"/>
          <w:szCs w:val="19"/>
          <w:lang w:eastAsia="en-US"/>
        </w:rPr>
        <w:t xml:space="preserve">l </w:t>
      </w:r>
      <w:r w:rsidR="003415F2" w:rsidRPr="00026FCB">
        <w:rPr>
          <w:rFonts w:ascii="Arial" w:eastAsia="Times New Roman" w:hAnsi="Arial" w:cs="Arial"/>
          <w:color w:val="000000" w:themeColor="text1"/>
          <w:sz w:val="19"/>
          <w:szCs w:val="19"/>
          <w:lang w:eastAsia="en-US"/>
        </w:rPr>
        <w:t xml:space="preserve">30 de </w:t>
      </w:r>
      <w:r w:rsidR="00E0617C" w:rsidRPr="00026FCB">
        <w:rPr>
          <w:rFonts w:ascii="Arial" w:eastAsia="Times New Roman" w:hAnsi="Arial" w:cs="Arial"/>
          <w:color w:val="000000" w:themeColor="text1"/>
          <w:sz w:val="19"/>
          <w:szCs w:val="19"/>
          <w:lang w:eastAsia="en-US"/>
        </w:rPr>
        <w:t>septiembre</w:t>
      </w:r>
      <w:r w:rsidR="00D44EA5" w:rsidRPr="00026FCB">
        <w:rPr>
          <w:rFonts w:ascii="Arial" w:eastAsia="Times New Roman" w:hAnsi="Arial" w:cs="Arial"/>
          <w:color w:val="000000" w:themeColor="text1"/>
          <w:sz w:val="19"/>
          <w:szCs w:val="19"/>
          <w:lang w:eastAsia="en-US"/>
        </w:rPr>
        <w:t xml:space="preserve"> de 20</w:t>
      </w:r>
      <w:r w:rsidR="00D456CB" w:rsidRPr="00026FCB">
        <w:rPr>
          <w:rFonts w:ascii="Arial" w:eastAsia="Times New Roman" w:hAnsi="Arial" w:cs="Arial"/>
          <w:color w:val="000000" w:themeColor="text1"/>
          <w:sz w:val="19"/>
          <w:szCs w:val="19"/>
          <w:lang w:eastAsia="en-US"/>
        </w:rPr>
        <w:t>20</w:t>
      </w:r>
      <w:r w:rsidR="0027630F" w:rsidRPr="00026FCB">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w:t>
      </w:r>
      <w:r w:rsidR="00226637" w:rsidRPr="00026FCB">
        <w:rPr>
          <w:rFonts w:ascii="Arial" w:eastAsia="Times New Roman" w:hAnsi="Arial" w:cs="Arial"/>
          <w:color w:val="000000" w:themeColor="text1"/>
          <w:sz w:val="19"/>
          <w:szCs w:val="19"/>
          <w:lang w:eastAsia="en-US"/>
        </w:rPr>
        <w:t>$</w:t>
      </w:r>
      <w:r w:rsidR="00E0617C" w:rsidRPr="00026FCB">
        <w:rPr>
          <w:rFonts w:ascii="Arial" w:eastAsia="Times New Roman" w:hAnsi="Arial" w:cs="Arial"/>
          <w:color w:val="000000" w:themeColor="text1"/>
          <w:sz w:val="19"/>
          <w:szCs w:val="19"/>
          <w:lang w:eastAsia="en-US"/>
        </w:rPr>
        <w:t>6.719.357</w:t>
      </w:r>
      <w:r w:rsidR="0027630F" w:rsidRPr="00026FCB">
        <w:rPr>
          <w:rFonts w:ascii="Arial" w:eastAsia="Times New Roman" w:hAnsi="Arial" w:cs="Arial"/>
          <w:color w:val="000000" w:themeColor="text1"/>
          <w:sz w:val="19"/>
          <w:szCs w:val="19"/>
          <w:lang w:eastAsia="en-US"/>
        </w:rPr>
        <w:t>, no siendo exigible a esa fecha.</w:t>
      </w:r>
    </w:p>
    <w:p w14:paraId="25EC0393" w14:textId="77777777" w:rsidR="00026FCB" w:rsidRPr="00026FCB" w:rsidRDefault="00026FCB" w:rsidP="00026FCB">
      <w:pPr>
        <w:pStyle w:val="ListParagraph"/>
        <w:rPr>
          <w:rFonts w:ascii="Arial" w:eastAsia="Times New Roman" w:hAnsi="Arial" w:cs="Arial"/>
          <w:color w:val="000000" w:themeColor="text1"/>
          <w:sz w:val="19"/>
          <w:szCs w:val="19"/>
          <w:lang w:eastAsia="en-US"/>
        </w:rPr>
      </w:pPr>
    </w:p>
    <w:p w14:paraId="155EE5BA" w14:textId="08404D8E" w:rsidR="00EE3E59" w:rsidRPr="00026FCB" w:rsidRDefault="00EE3E59" w:rsidP="00026FCB">
      <w:pPr>
        <w:pStyle w:val="ListParagraph"/>
        <w:numPr>
          <w:ilvl w:val="0"/>
          <w:numId w:val="13"/>
        </w:numPr>
        <w:autoSpaceDE w:val="0"/>
        <w:autoSpaceDN w:val="0"/>
        <w:adjustRightInd w:val="0"/>
        <w:spacing w:after="0" w:line="360" w:lineRule="auto"/>
        <w:ind w:left="992" w:hanging="425"/>
        <w:jc w:val="both"/>
        <w:rPr>
          <w:rFonts w:ascii="Arial" w:eastAsia="Times New Roman" w:hAnsi="Arial" w:cs="Arial"/>
          <w:color w:val="000000" w:themeColor="text1"/>
          <w:sz w:val="19"/>
          <w:szCs w:val="19"/>
          <w:lang w:eastAsia="en-US"/>
        </w:rPr>
      </w:pPr>
      <w:r w:rsidRPr="00026FCB">
        <w:rPr>
          <w:rFonts w:ascii="Arial" w:eastAsia="Times New Roman" w:hAnsi="Arial" w:cs="Arial"/>
          <w:color w:val="000000" w:themeColor="text1"/>
          <w:sz w:val="19"/>
          <w:szCs w:val="19"/>
          <w:lang w:eastAsia="en-US"/>
        </w:rPr>
        <w:t xml:space="preserve">Al </w:t>
      </w:r>
      <w:r w:rsidR="003415F2" w:rsidRPr="00026FCB">
        <w:rPr>
          <w:rFonts w:ascii="Arial" w:eastAsia="Times New Roman" w:hAnsi="Arial" w:cs="Arial"/>
          <w:color w:val="000000" w:themeColor="text1"/>
          <w:sz w:val="19"/>
          <w:szCs w:val="19"/>
          <w:lang w:eastAsia="en-US"/>
        </w:rPr>
        <w:t xml:space="preserve">30 de </w:t>
      </w:r>
      <w:r w:rsidR="00E0617C" w:rsidRPr="00026FCB">
        <w:rPr>
          <w:rFonts w:ascii="Arial" w:eastAsia="Times New Roman" w:hAnsi="Arial" w:cs="Arial"/>
          <w:color w:val="000000" w:themeColor="text1"/>
          <w:sz w:val="19"/>
          <w:szCs w:val="19"/>
          <w:lang w:eastAsia="en-US"/>
        </w:rPr>
        <w:t>septiembre</w:t>
      </w:r>
      <w:r w:rsidR="00D44EA5" w:rsidRPr="00026FCB">
        <w:rPr>
          <w:rFonts w:ascii="Arial" w:eastAsia="Times New Roman" w:hAnsi="Arial" w:cs="Arial"/>
          <w:color w:val="000000" w:themeColor="text1"/>
          <w:sz w:val="19"/>
          <w:szCs w:val="19"/>
          <w:lang w:eastAsia="en-US"/>
        </w:rPr>
        <w:t xml:space="preserve"> de 20</w:t>
      </w:r>
      <w:r w:rsidR="00D456CB" w:rsidRPr="00026FCB">
        <w:rPr>
          <w:rFonts w:ascii="Arial" w:eastAsia="Times New Roman" w:hAnsi="Arial" w:cs="Arial"/>
          <w:color w:val="000000" w:themeColor="text1"/>
          <w:sz w:val="19"/>
          <w:szCs w:val="19"/>
          <w:lang w:eastAsia="en-US"/>
        </w:rPr>
        <w:t>20</w:t>
      </w:r>
      <w:r w:rsidR="00FF66DE" w:rsidRPr="00026FCB">
        <w:rPr>
          <w:rFonts w:ascii="Arial" w:eastAsia="Times New Roman" w:hAnsi="Arial" w:cs="Arial"/>
          <w:color w:val="000000" w:themeColor="text1"/>
          <w:sz w:val="19"/>
          <w:szCs w:val="19"/>
          <w:lang w:eastAsia="en-US"/>
        </w:rPr>
        <w:t>, según surge de la Nota 2</w:t>
      </w:r>
      <w:r w:rsidR="00295A44" w:rsidRPr="00026FCB">
        <w:rPr>
          <w:rFonts w:ascii="Arial" w:eastAsia="Times New Roman" w:hAnsi="Arial" w:cs="Arial"/>
          <w:color w:val="000000" w:themeColor="text1"/>
          <w:sz w:val="19"/>
          <w:szCs w:val="19"/>
          <w:lang w:eastAsia="en-US"/>
        </w:rPr>
        <w:t>6</w:t>
      </w:r>
      <w:r w:rsidRPr="00026FCB">
        <w:rPr>
          <w:rFonts w:ascii="Arial" w:eastAsia="Times New Roman" w:hAnsi="Arial" w:cs="Arial"/>
          <w:color w:val="000000" w:themeColor="text1"/>
          <w:sz w:val="19"/>
          <w:szCs w:val="19"/>
          <w:lang w:eastAsia="en-US"/>
        </w:rPr>
        <w:t xml:space="preserve">. </w:t>
      </w:r>
      <w:proofErr w:type="gramStart"/>
      <w:r w:rsidRPr="00026FCB">
        <w:rPr>
          <w:rFonts w:ascii="Arial" w:eastAsia="Times New Roman" w:hAnsi="Arial" w:cs="Arial"/>
          <w:color w:val="000000" w:themeColor="text1"/>
          <w:sz w:val="19"/>
          <w:szCs w:val="19"/>
          <w:lang w:eastAsia="en-US"/>
        </w:rPr>
        <w:t>a</w:t>
      </w:r>
      <w:proofErr w:type="gramEnd"/>
      <w:r w:rsidRPr="00026FCB">
        <w:rPr>
          <w:rFonts w:ascii="Arial" w:eastAsia="Times New Roman" w:hAnsi="Arial" w:cs="Arial"/>
          <w:color w:val="000000" w:themeColor="text1"/>
          <w:sz w:val="19"/>
          <w:szCs w:val="19"/>
          <w:lang w:eastAsia="en-US"/>
        </w:rPr>
        <w:t xml:space="preserve"> los estados financieros mencionados en el párrafo 1, la Entidad posee un patrimonio neto y una contrapartida en activos elegibles que exceden los importes mínimos requeridos por las normas pertinentes de la </w:t>
      </w:r>
      <w:r w:rsidR="00045EED" w:rsidRPr="00026FCB">
        <w:rPr>
          <w:rFonts w:ascii="Arial" w:eastAsia="Times New Roman" w:hAnsi="Arial" w:cs="Arial"/>
          <w:color w:val="000000" w:themeColor="text1"/>
          <w:sz w:val="19"/>
          <w:szCs w:val="19"/>
          <w:lang w:eastAsia="en-US"/>
        </w:rPr>
        <w:t xml:space="preserve">CNV </w:t>
      </w:r>
      <w:r w:rsidRPr="00026FCB">
        <w:rPr>
          <w:rFonts w:ascii="Arial" w:eastAsia="Times New Roman" w:hAnsi="Arial" w:cs="Arial"/>
          <w:color w:val="000000" w:themeColor="text1"/>
          <w:sz w:val="19"/>
          <w:szCs w:val="19"/>
          <w:lang w:eastAsia="en-US"/>
        </w:rPr>
        <w:t xml:space="preserve">para dichos conceptos. </w:t>
      </w:r>
    </w:p>
    <w:p w14:paraId="749FDD38" w14:textId="77777777"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14:paraId="33F6A694" w14:textId="77777777"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14:paraId="186151B6" w14:textId="77777777"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14:paraId="688873B4" w14:textId="37D3BA6C"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64823">
        <w:rPr>
          <w:rFonts w:ascii="Arial" w:hAnsi="Arial" w:cs="Arial"/>
          <w:color w:val="000000" w:themeColor="text1"/>
          <w:sz w:val="19"/>
          <w:szCs w:val="19"/>
        </w:rPr>
        <w:t xml:space="preserve">  </w:t>
      </w:r>
      <w:r w:rsidR="00E0617C">
        <w:rPr>
          <w:rFonts w:ascii="Arial" w:hAnsi="Arial" w:cs="Arial"/>
          <w:color w:val="000000" w:themeColor="text1"/>
          <w:sz w:val="19"/>
          <w:szCs w:val="19"/>
        </w:rPr>
        <w:t>4</w:t>
      </w:r>
      <w:r w:rsidR="00D44EA5">
        <w:rPr>
          <w:rFonts w:ascii="Arial" w:hAnsi="Arial" w:cs="Arial"/>
          <w:color w:val="000000" w:themeColor="text1"/>
          <w:sz w:val="19"/>
          <w:szCs w:val="19"/>
        </w:rPr>
        <w:t xml:space="preserve"> de </w:t>
      </w:r>
      <w:r w:rsidR="00E0617C">
        <w:rPr>
          <w:rFonts w:ascii="Arial" w:hAnsi="Arial" w:cs="Arial"/>
          <w:color w:val="000000" w:themeColor="text1"/>
          <w:sz w:val="19"/>
          <w:szCs w:val="19"/>
        </w:rPr>
        <w:t>dici</w:t>
      </w:r>
      <w:r w:rsidR="003415F2">
        <w:rPr>
          <w:rFonts w:ascii="Arial" w:hAnsi="Arial" w:cs="Arial"/>
          <w:color w:val="000000" w:themeColor="text1"/>
          <w:sz w:val="19"/>
          <w:szCs w:val="19"/>
        </w:rPr>
        <w:t>embre</w:t>
      </w:r>
      <w:r w:rsidR="00D456CB">
        <w:rPr>
          <w:rFonts w:ascii="Arial" w:hAnsi="Arial" w:cs="Arial"/>
          <w:color w:val="000000" w:themeColor="text1"/>
          <w:sz w:val="19"/>
          <w:szCs w:val="19"/>
        </w:rPr>
        <w:t xml:space="preserve"> </w:t>
      </w:r>
      <w:r w:rsidR="00D44EA5">
        <w:rPr>
          <w:rFonts w:ascii="Arial" w:hAnsi="Arial" w:cs="Arial"/>
          <w:color w:val="000000" w:themeColor="text1"/>
          <w:sz w:val="19"/>
          <w:szCs w:val="19"/>
        </w:rPr>
        <w:t>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w:t>
      </w:r>
      <w:r w:rsidR="00D456CB">
        <w:rPr>
          <w:rFonts w:ascii="Arial" w:hAnsi="Arial" w:cs="Arial"/>
          <w:color w:val="000000" w:themeColor="text1"/>
          <w:sz w:val="19"/>
          <w:szCs w:val="19"/>
        </w:rPr>
        <w:t>20</w:t>
      </w:r>
    </w:p>
    <w:p w14:paraId="6A768519" w14:textId="77777777" w:rsidR="00EC1780" w:rsidRDefault="00EC1780" w:rsidP="0027630F">
      <w:pPr>
        <w:ind w:right="85"/>
        <w:jc w:val="both"/>
        <w:rPr>
          <w:rFonts w:ascii="Arial" w:hAnsi="Arial" w:cs="Arial"/>
          <w:sz w:val="19"/>
          <w:szCs w:val="19"/>
        </w:rPr>
      </w:pPr>
    </w:p>
    <w:p w14:paraId="5FDD04E5" w14:textId="77777777" w:rsidR="00EC1780" w:rsidRPr="00AA1C96" w:rsidRDefault="00EC1780"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14:paraId="6170D00D" w14:textId="77777777" w:rsidTr="004A7D38">
        <w:tc>
          <w:tcPr>
            <w:tcW w:w="7196" w:type="dxa"/>
            <w:tcBorders>
              <w:top w:val="nil"/>
              <w:left w:val="nil"/>
              <w:bottom w:val="nil"/>
              <w:right w:val="nil"/>
            </w:tcBorders>
          </w:tcPr>
          <w:p w14:paraId="0235B516"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14:paraId="2032635B" w14:textId="77777777" w:rsidTr="004A7D38">
        <w:tc>
          <w:tcPr>
            <w:tcW w:w="7196" w:type="dxa"/>
            <w:tcBorders>
              <w:top w:val="nil"/>
              <w:left w:val="nil"/>
              <w:bottom w:val="nil"/>
              <w:right w:val="nil"/>
            </w:tcBorders>
          </w:tcPr>
          <w:p w14:paraId="3FEA725E"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C.P.C.E.C.A.B.A. T° 1 – F° 13</w:t>
            </w:r>
          </w:p>
        </w:tc>
      </w:tr>
      <w:tr w:rsidR="0027630F" w:rsidRPr="00AA1C96" w14:paraId="36F1B1DA" w14:textId="77777777" w:rsidTr="004A7D38">
        <w:tc>
          <w:tcPr>
            <w:tcW w:w="7196" w:type="dxa"/>
            <w:tcBorders>
              <w:top w:val="nil"/>
              <w:left w:val="nil"/>
              <w:bottom w:val="nil"/>
              <w:right w:val="nil"/>
            </w:tcBorders>
          </w:tcPr>
          <w:p w14:paraId="481A606B" w14:textId="77777777" w:rsidR="0027630F" w:rsidRPr="00AA1C96" w:rsidRDefault="0027630F" w:rsidP="0027630F">
            <w:pPr>
              <w:spacing w:after="0"/>
              <w:ind w:right="84"/>
              <w:jc w:val="center"/>
              <w:rPr>
                <w:rFonts w:ascii="Arial" w:hAnsi="Arial" w:cs="Arial"/>
                <w:sz w:val="19"/>
                <w:szCs w:val="19"/>
              </w:rPr>
            </w:pPr>
          </w:p>
        </w:tc>
      </w:tr>
      <w:tr w:rsidR="0027630F" w:rsidRPr="00AA1C96" w14:paraId="5E4DBA5F" w14:textId="77777777" w:rsidTr="004A7D38">
        <w:tc>
          <w:tcPr>
            <w:tcW w:w="7196" w:type="dxa"/>
            <w:tcBorders>
              <w:top w:val="nil"/>
              <w:left w:val="nil"/>
              <w:bottom w:val="nil"/>
              <w:right w:val="nil"/>
            </w:tcBorders>
          </w:tcPr>
          <w:p w14:paraId="7140CEE2" w14:textId="77777777" w:rsidR="0027630F" w:rsidRPr="00AA1C96" w:rsidRDefault="0027630F" w:rsidP="0027630F">
            <w:pPr>
              <w:spacing w:after="0"/>
              <w:ind w:right="84"/>
              <w:jc w:val="center"/>
              <w:rPr>
                <w:rFonts w:ascii="Arial" w:hAnsi="Arial" w:cs="Arial"/>
                <w:sz w:val="19"/>
                <w:szCs w:val="19"/>
              </w:rPr>
            </w:pPr>
          </w:p>
        </w:tc>
      </w:tr>
      <w:tr w:rsidR="0027630F" w:rsidRPr="00AA1C96" w14:paraId="2F6E3543" w14:textId="77777777" w:rsidTr="004A7D38">
        <w:tc>
          <w:tcPr>
            <w:tcW w:w="7196" w:type="dxa"/>
            <w:tcBorders>
              <w:top w:val="nil"/>
              <w:left w:val="nil"/>
              <w:bottom w:val="nil"/>
              <w:right w:val="nil"/>
            </w:tcBorders>
          </w:tcPr>
          <w:p w14:paraId="66F3BB88" w14:textId="77777777" w:rsidR="0027630F" w:rsidRPr="00AA1C96" w:rsidRDefault="0027630F" w:rsidP="0027630F">
            <w:pPr>
              <w:spacing w:after="0"/>
              <w:ind w:right="84"/>
              <w:jc w:val="center"/>
              <w:rPr>
                <w:rFonts w:ascii="Arial" w:hAnsi="Arial" w:cs="Arial"/>
                <w:sz w:val="19"/>
                <w:szCs w:val="19"/>
              </w:rPr>
            </w:pPr>
          </w:p>
        </w:tc>
      </w:tr>
      <w:tr w:rsidR="00951135" w:rsidRPr="00AA1C96" w14:paraId="7AF40943" w14:textId="77777777" w:rsidTr="004A7D38">
        <w:tc>
          <w:tcPr>
            <w:tcW w:w="7196" w:type="dxa"/>
            <w:tcBorders>
              <w:top w:val="nil"/>
              <w:left w:val="nil"/>
              <w:bottom w:val="nil"/>
              <w:right w:val="nil"/>
            </w:tcBorders>
          </w:tcPr>
          <w:p w14:paraId="31FE118D" w14:textId="4DF347E9" w:rsidR="00951135" w:rsidRPr="00AA1C96" w:rsidRDefault="00011219" w:rsidP="00951135">
            <w:pPr>
              <w:spacing w:after="0" w:line="240" w:lineRule="auto"/>
              <w:ind w:right="84"/>
              <w:jc w:val="center"/>
              <w:rPr>
                <w:rFonts w:ascii="Arial" w:hAnsi="Arial" w:cs="Arial"/>
                <w:sz w:val="19"/>
                <w:szCs w:val="19"/>
              </w:rPr>
            </w:pPr>
            <w:r>
              <w:rPr>
                <w:rFonts w:ascii="Arial" w:hAnsi="Arial" w:cs="Arial"/>
                <w:sz w:val="19"/>
                <w:szCs w:val="19"/>
              </w:rPr>
              <w:t>LEONARDO D. TROYELLI</w:t>
            </w:r>
          </w:p>
        </w:tc>
      </w:tr>
      <w:tr w:rsidR="00951135" w:rsidRPr="00AA1C96" w14:paraId="49FFD073" w14:textId="77777777" w:rsidTr="004A7D38">
        <w:tc>
          <w:tcPr>
            <w:tcW w:w="7196" w:type="dxa"/>
            <w:tcBorders>
              <w:top w:val="nil"/>
              <w:left w:val="nil"/>
              <w:bottom w:val="nil"/>
              <w:right w:val="nil"/>
            </w:tcBorders>
          </w:tcPr>
          <w:p w14:paraId="7F1454A2" w14:textId="77777777"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026FCB" w14:paraId="11D6F8DE" w14:textId="77777777" w:rsidTr="004A7D38">
        <w:tc>
          <w:tcPr>
            <w:tcW w:w="7196" w:type="dxa"/>
            <w:tcBorders>
              <w:top w:val="nil"/>
              <w:left w:val="nil"/>
              <w:bottom w:val="nil"/>
              <w:right w:val="nil"/>
            </w:tcBorders>
          </w:tcPr>
          <w:p w14:paraId="75ECA085" w14:textId="77777777"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026FCB" w14:paraId="0E2A59A5" w14:textId="77777777" w:rsidTr="004A7D38">
        <w:tc>
          <w:tcPr>
            <w:tcW w:w="7196" w:type="dxa"/>
            <w:tcBorders>
              <w:top w:val="nil"/>
              <w:left w:val="nil"/>
              <w:bottom w:val="nil"/>
              <w:right w:val="nil"/>
            </w:tcBorders>
          </w:tcPr>
          <w:p w14:paraId="7F161B82" w14:textId="33AF9FE0" w:rsidR="00951135" w:rsidRPr="00AA1C96" w:rsidRDefault="00011219" w:rsidP="00011219">
            <w:pPr>
              <w:spacing w:after="0" w:line="240" w:lineRule="auto"/>
              <w:ind w:right="84"/>
              <w:jc w:val="center"/>
              <w:rPr>
                <w:rFonts w:ascii="Arial" w:hAnsi="Arial" w:cs="Arial"/>
                <w:sz w:val="19"/>
                <w:szCs w:val="19"/>
                <w:lang w:val="pt-BR"/>
              </w:rPr>
            </w:pPr>
            <w:r>
              <w:rPr>
                <w:rFonts w:ascii="Arial" w:hAnsi="Arial" w:cs="Arial"/>
                <w:sz w:val="19"/>
                <w:szCs w:val="19"/>
                <w:lang w:val="pt-BR"/>
              </w:rPr>
              <w:t>C.P.C.E.C.A.B.A. T° 2</w:t>
            </w:r>
            <w:r w:rsidR="00951135" w:rsidRPr="00AA1C96">
              <w:rPr>
                <w:rFonts w:ascii="Arial" w:hAnsi="Arial" w:cs="Arial"/>
                <w:sz w:val="19"/>
                <w:szCs w:val="19"/>
                <w:lang w:val="pt-BR"/>
              </w:rPr>
              <w:t>8</w:t>
            </w:r>
            <w:r>
              <w:rPr>
                <w:rFonts w:ascii="Arial" w:hAnsi="Arial" w:cs="Arial"/>
                <w:sz w:val="19"/>
                <w:szCs w:val="19"/>
                <w:lang w:val="pt-BR"/>
              </w:rPr>
              <w:t>7</w:t>
            </w:r>
            <w:r w:rsidR="00951135" w:rsidRPr="00AA1C96">
              <w:rPr>
                <w:rFonts w:ascii="Arial" w:hAnsi="Arial" w:cs="Arial"/>
                <w:sz w:val="19"/>
                <w:szCs w:val="19"/>
                <w:lang w:val="pt-BR"/>
              </w:rPr>
              <w:t xml:space="preserve"> – F° 1</w:t>
            </w:r>
            <w:r>
              <w:rPr>
                <w:rFonts w:ascii="Arial" w:hAnsi="Arial" w:cs="Arial"/>
                <w:sz w:val="19"/>
                <w:szCs w:val="19"/>
                <w:lang w:val="pt-BR"/>
              </w:rPr>
              <w:t>55</w:t>
            </w:r>
          </w:p>
        </w:tc>
      </w:tr>
    </w:tbl>
    <w:p w14:paraId="09BDB588" w14:textId="77777777"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14:paraId="4DE9EAC9" w14:textId="77777777"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bookmarkStart w:id="0" w:name="_GoBack"/>
      <w:bookmarkEnd w:id="0"/>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6FE1F" w14:textId="77777777" w:rsidR="008A158F" w:rsidRDefault="008A158F" w:rsidP="00227F19">
      <w:pPr>
        <w:spacing w:after="0" w:line="240" w:lineRule="auto"/>
      </w:pPr>
      <w:r>
        <w:separator/>
      </w:r>
    </w:p>
  </w:endnote>
  <w:endnote w:type="continuationSeparator" w:id="0">
    <w:p w14:paraId="5F5398EE" w14:textId="77777777" w:rsidR="008A158F" w:rsidRDefault="008A158F"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49AE4" w14:textId="77777777" w:rsidR="008A158F" w:rsidRDefault="008A158F" w:rsidP="00227F19">
      <w:pPr>
        <w:spacing w:after="0" w:line="240" w:lineRule="auto"/>
      </w:pPr>
      <w:r>
        <w:separator/>
      </w:r>
    </w:p>
  </w:footnote>
  <w:footnote w:type="continuationSeparator" w:id="0">
    <w:p w14:paraId="2BDC6B53" w14:textId="77777777" w:rsidR="008A158F" w:rsidRDefault="008A158F" w:rsidP="00227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CCAC" w14:textId="77777777" w:rsidR="00FF66DE" w:rsidRPr="008B04D2" w:rsidRDefault="00FF66DE">
    <w:pPr>
      <w:pStyle w:val="Header"/>
      <w:jc w:val="center"/>
      <w:rPr>
        <w:rFonts w:ascii="Arial" w:hAnsi="Arial" w:cs="Arial"/>
        <w:sz w:val="18"/>
        <w:szCs w:val="18"/>
      </w:rPr>
    </w:pPr>
  </w:p>
  <w:p w14:paraId="0CB78B40" w14:textId="77777777" w:rsidR="00FF66DE" w:rsidRDefault="00FF66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DFECE" w14:textId="77777777" w:rsidR="00B77448" w:rsidRPr="008B04D2" w:rsidRDefault="00B77448">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026FCB">
          <w:rPr>
            <w:rFonts w:ascii="Arial" w:hAnsi="Arial" w:cs="Arial"/>
            <w:noProof/>
            <w:sz w:val="18"/>
            <w:szCs w:val="18"/>
          </w:rPr>
          <w:t>3</w:t>
        </w:r>
        <w:r w:rsidRPr="008B04D2">
          <w:rPr>
            <w:rFonts w:ascii="Arial" w:hAnsi="Arial" w:cs="Arial"/>
            <w:noProof/>
            <w:sz w:val="18"/>
            <w:szCs w:val="18"/>
          </w:rPr>
          <w:fldChar w:fldCharType="end"/>
        </w:r>
        <w:r w:rsidRPr="008B04D2">
          <w:rPr>
            <w:rFonts w:ascii="Arial" w:hAnsi="Arial" w:cs="Arial"/>
            <w:noProof/>
            <w:sz w:val="18"/>
            <w:szCs w:val="18"/>
          </w:rPr>
          <w:t>-</w:t>
        </w:r>
      </w:sdtContent>
    </w:sdt>
  </w:p>
  <w:p w14:paraId="6C450AA9" w14:textId="77777777" w:rsidR="00B77448" w:rsidRDefault="00B774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1A172547"/>
    <w:multiLevelType w:val="hybridMultilevel"/>
    <w:tmpl w:val="A8B6C0EE"/>
    <w:lvl w:ilvl="0" w:tplc="3B1AAE6A">
      <w:start w:val="1"/>
      <w:numFmt w:val="lowerLetter"/>
      <w:lvlText w:val="(%1)"/>
      <w:lvlJc w:val="left"/>
      <w:pPr>
        <w:ind w:left="990" w:hanging="360"/>
      </w:pPr>
      <w:rPr>
        <w:rFonts w:hint="default"/>
        <w:sz w:val="19"/>
      </w:rPr>
    </w:lvl>
    <w:lvl w:ilvl="1" w:tplc="2C0A0019" w:tentative="1">
      <w:start w:val="1"/>
      <w:numFmt w:val="lowerLetter"/>
      <w:lvlText w:val="%2."/>
      <w:lvlJc w:val="left"/>
      <w:pPr>
        <w:ind w:left="1710" w:hanging="360"/>
      </w:pPr>
    </w:lvl>
    <w:lvl w:ilvl="2" w:tplc="2C0A001B" w:tentative="1">
      <w:start w:val="1"/>
      <w:numFmt w:val="lowerRoman"/>
      <w:lvlText w:val="%3."/>
      <w:lvlJc w:val="right"/>
      <w:pPr>
        <w:ind w:left="2430" w:hanging="180"/>
      </w:pPr>
    </w:lvl>
    <w:lvl w:ilvl="3" w:tplc="2C0A000F" w:tentative="1">
      <w:start w:val="1"/>
      <w:numFmt w:val="decimal"/>
      <w:lvlText w:val="%4."/>
      <w:lvlJc w:val="left"/>
      <w:pPr>
        <w:ind w:left="3150" w:hanging="360"/>
      </w:pPr>
    </w:lvl>
    <w:lvl w:ilvl="4" w:tplc="2C0A0019" w:tentative="1">
      <w:start w:val="1"/>
      <w:numFmt w:val="lowerLetter"/>
      <w:lvlText w:val="%5."/>
      <w:lvlJc w:val="left"/>
      <w:pPr>
        <w:ind w:left="3870" w:hanging="360"/>
      </w:pPr>
    </w:lvl>
    <w:lvl w:ilvl="5" w:tplc="2C0A001B" w:tentative="1">
      <w:start w:val="1"/>
      <w:numFmt w:val="lowerRoman"/>
      <w:lvlText w:val="%6."/>
      <w:lvlJc w:val="right"/>
      <w:pPr>
        <w:ind w:left="4590" w:hanging="180"/>
      </w:pPr>
    </w:lvl>
    <w:lvl w:ilvl="6" w:tplc="2C0A000F" w:tentative="1">
      <w:start w:val="1"/>
      <w:numFmt w:val="decimal"/>
      <w:lvlText w:val="%7."/>
      <w:lvlJc w:val="left"/>
      <w:pPr>
        <w:ind w:left="5310" w:hanging="360"/>
      </w:pPr>
    </w:lvl>
    <w:lvl w:ilvl="7" w:tplc="2C0A0019" w:tentative="1">
      <w:start w:val="1"/>
      <w:numFmt w:val="lowerLetter"/>
      <w:lvlText w:val="%8."/>
      <w:lvlJc w:val="left"/>
      <w:pPr>
        <w:ind w:left="6030" w:hanging="360"/>
      </w:pPr>
    </w:lvl>
    <w:lvl w:ilvl="8" w:tplc="2C0A001B" w:tentative="1">
      <w:start w:val="1"/>
      <w:numFmt w:val="lowerRoman"/>
      <w:lvlText w:val="%9."/>
      <w:lvlJc w:val="right"/>
      <w:pPr>
        <w:ind w:left="6750" w:hanging="180"/>
      </w:pPr>
    </w:lvl>
  </w:abstractNum>
  <w:abstractNum w:abstractNumId="6"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EA062B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0"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3"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5"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6"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6B12F54"/>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num w:numId="1">
    <w:abstractNumId w:val="16"/>
  </w:num>
  <w:num w:numId="2">
    <w:abstractNumId w:val="2"/>
  </w:num>
  <w:num w:numId="3">
    <w:abstractNumId w:val="15"/>
  </w:num>
  <w:num w:numId="4">
    <w:abstractNumId w:val="6"/>
  </w:num>
  <w:num w:numId="5">
    <w:abstractNumId w:val="0"/>
  </w:num>
  <w:num w:numId="6">
    <w:abstractNumId w:val="13"/>
  </w:num>
  <w:num w:numId="7">
    <w:abstractNumId w:val="11"/>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7"/>
  </w:num>
  <w:num w:numId="13">
    <w:abstractNumId w:val="10"/>
  </w:num>
  <w:num w:numId="14">
    <w:abstractNumId w:val="9"/>
  </w:num>
  <w:num w:numId="15">
    <w:abstractNumId w:val="3"/>
  </w:num>
  <w:num w:numId="16">
    <w:abstractNumId w:val="17"/>
  </w:num>
  <w:num w:numId="17">
    <w:abstractNumId w:val="5"/>
  </w:num>
  <w:num w:numId="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activeWritingStyle w:appName="MSWord" w:lang="pt-BR" w:vendorID="64" w:dllVersion="131078" w:nlCheck="1" w:checkStyle="0"/>
  <w:activeWritingStyle w:appName="MSWord" w:lang="es-AR"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1219"/>
    <w:rsid w:val="0001666C"/>
    <w:rsid w:val="00021212"/>
    <w:rsid w:val="00021872"/>
    <w:rsid w:val="000248A3"/>
    <w:rsid w:val="00026FCB"/>
    <w:rsid w:val="00027665"/>
    <w:rsid w:val="00040287"/>
    <w:rsid w:val="00041EA1"/>
    <w:rsid w:val="00045B5B"/>
    <w:rsid w:val="00045EED"/>
    <w:rsid w:val="0004738C"/>
    <w:rsid w:val="00047D67"/>
    <w:rsid w:val="0005279B"/>
    <w:rsid w:val="000537B6"/>
    <w:rsid w:val="00056E0F"/>
    <w:rsid w:val="00060ABF"/>
    <w:rsid w:val="000613B4"/>
    <w:rsid w:val="00062A67"/>
    <w:rsid w:val="00063482"/>
    <w:rsid w:val="00064AF1"/>
    <w:rsid w:val="00064F09"/>
    <w:rsid w:val="0007616F"/>
    <w:rsid w:val="000761E5"/>
    <w:rsid w:val="00076824"/>
    <w:rsid w:val="00077462"/>
    <w:rsid w:val="00080865"/>
    <w:rsid w:val="00081AC2"/>
    <w:rsid w:val="000831BB"/>
    <w:rsid w:val="000841D2"/>
    <w:rsid w:val="00084E5E"/>
    <w:rsid w:val="00086CF1"/>
    <w:rsid w:val="0009117D"/>
    <w:rsid w:val="0009278B"/>
    <w:rsid w:val="00093FDF"/>
    <w:rsid w:val="000A2D3D"/>
    <w:rsid w:val="000A3B0A"/>
    <w:rsid w:val="000A40ED"/>
    <w:rsid w:val="000A77D9"/>
    <w:rsid w:val="000B21FE"/>
    <w:rsid w:val="000B234F"/>
    <w:rsid w:val="000B4673"/>
    <w:rsid w:val="000C15AA"/>
    <w:rsid w:val="000C1FD2"/>
    <w:rsid w:val="000C312A"/>
    <w:rsid w:val="000C504F"/>
    <w:rsid w:val="000D7661"/>
    <w:rsid w:val="000D788B"/>
    <w:rsid w:val="000E02B4"/>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26CE0"/>
    <w:rsid w:val="001323CF"/>
    <w:rsid w:val="0013438A"/>
    <w:rsid w:val="00134481"/>
    <w:rsid w:val="0014477C"/>
    <w:rsid w:val="0015290D"/>
    <w:rsid w:val="00154521"/>
    <w:rsid w:val="00154E10"/>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C305C"/>
    <w:rsid w:val="001C464C"/>
    <w:rsid w:val="001D3E33"/>
    <w:rsid w:val="001D41C8"/>
    <w:rsid w:val="001E1760"/>
    <w:rsid w:val="001E287E"/>
    <w:rsid w:val="001E3656"/>
    <w:rsid w:val="001E44A3"/>
    <w:rsid w:val="001E4C79"/>
    <w:rsid w:val="001E5D65"/>
    <w:rsid w:val="001E7035"/>
    <w:rsid w:val="00200812"/>
    <w:rsid w:val="00200A6F"/>
    <w:rsid w:val="00202207"/>
    <w:rsid w:val="002028AB"/>
    <w:rsid w:val="002052E9"/>
    <w:rsid w:val="0021241D"/>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4CC1"/>
    <w:rsid w:val="0025543D"/>
    <w:rsid w:val="0025701E"/>
    <w:rsid w:val="0026426B"/>
    <w:rsid w:val="0026700C"/>
    <w:rsid w:val="00267A47"/>
    <w:rsid w:val="002723BE"/>
    <w:rsid w:val="00275D51"/>
    <w:rsid w:val="0027630F"/>
    <w:rsid w:val="0027677D"/>
    <w:rsid w:val="00286064"/>
    <w:rsid w:val="002875A9"/>
    <w:rsid w:val="00294047"/>
    <w:rsid w:val="00295A44"/>
    <w:rsid w:val="002962A0"/>
    <w:rsid w:val="00297060"/>
    <w:rsid w:val="00297DBC"/>
    <w:rsid w:val="002A4E32"/>
    <w:rsid w:val="002A6E71"/>
    <w:rsid w:val="002A7F70"/>
    <w:rsid w:val="002B1861"/>
    <w:rsid w:val="002B4E2E"/>
    <w:rsid w:val="002B6E4A"/>
    <w:rsid w:val="002C0EF4"/>
    <w:rsid w:val="002C319F"/>
    <w:rsid w:val="002C67ED"/>
    <w:rsid w:val="002C7551"/>
    <w:rsid w:val="002D11D6"/>
    <w:rsid w:val="002D4C74"/>
    <w:rsid w:val="002D60F6"/>
    <w:rsid w:val="002E7B26"/>
    <w:rsid w:val="002F1A61"/>
    <w:rsid w:val="002F33B0"/>
    <w:rsid w:val="002F48C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15F2"/>
    <w:rsid w:val="003454B7"/>
    <w:rsid w:val="0034606F"/>
    <w:rsid w:val="0034645A"/>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A9B"/>
    <w:rsid w:val="003B4C28"/>
    <w:rsid w:val="003C0B44"/>
    <w:rsid w:val="003C7475"/>
    <w:rsid w:val="003C7E21"/>
    <w:rsid w:val="003D3898"/>
    <w:rsid w:val="003D6A56"/>
    <w:rsid w:val="003D71A6"/>
    <w:rsid w:val="003E10DF"/>
    <w:rsid w:val="003E2D95"/>
    <w:rsid w:val="003E2FBC"/>
    <w:rsid w:val="003E4C64"/>
    <w:rsid w:val="003E7AC3"/>
    <w:rsid w:val="003E7C8D"/>
    <w:rsid w:val="003F478D"/>
    <w:rsid w:val="003F49C1"/>
    <w:rsid w:val="004000C9"/>
    <w:rsid w:val="00402BB9"/>
    <w:rsid w:val="00403325"/>
    <w:rsid w:val="004109FC"/>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2887"/>
    <w:rsid w:val="0045376B"/>
    <w:rsid w:val="00453FB4"/>
    <w:rsid w:val="00456D1F"/>
    <w:rsid w:val="00461979"/>
    <w:rsid w:val="00462AEF"/>
    <w:rsid w:val="004637A1"/>
    <w:rsid w:val="004670A2"/>
    <w:rsid w:val="00470D66"/>
    <w:rsid w:val="004746C0"/>
    <w:rsid w:val="004753E9"/>
    <w:rsid w:val="00481DFA"/>
    <w:rsid w:val="004925FE"/>
    <w:rsid w:val="00492748"/>
    <w:rsid w:val="00495C06"/>
    <w:rsid w:val="004A1201"/>
    <w:rsid w:val="004A203F"/>
    <w:rsid w:val="004A397F"/>
    <w:rsid w:val="004A44A3"/>
    <w:rsid w:val="004B7250"/>
    <w:rsid w:val="004B7784"/>
    <w:rsid w:val="004C06B8"/>
    <w:rsid w:val="004C6521"/>
    <w:rsid w:val="004D0F0D"/>
    <w:rsid w:val="004D2CAE"/>
    <w:rsid w:val="004D3166"/>
    <w:rsid w:val="004D316D"/>
    <w:rsid w:val="004D59C3"/>
    <w:rsid w:val="004D7CC1"/>
    <w:rsid w:val="004E2C6C"/>
    <w:rsid w:val="004E357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4061"/>
    <w:rsid w:val="00525736"/>
    <w:rsid w:val="005258A7"/>
    <w:rsid w:val="00527B06"/>
    <w:rsid w:val="0053037D"/>
    <w:rsid w:val="0053124A"/>
    <w:rsid w:val="00531A95"/>
    <w:rsid w:val="0053256F"/>
    <w:rsid w:val="00533371"/>
    <w:rsid w:val="00534292"/>
    <w:rsid w:val="0053588A"/>
    <w:rsid w:val="0054228E"/>
    <w:rsid w:val="00543C02"/>
    <w:rsid w:val="00547AA7"/>
    <w:rsid w:val="005551F9"/>
    <w:rsid w:val="005555EC"/>
    <w:rsid w:val="0055637F"/>
    <w:rsid w:val="00557343"/>
    <w:rsid w:val="005614DA"/>
    <w:rsid w:val="005627B9"/>
    <w:rsid w:val="00562DD6"/>
    <w:rsid w:val="005633F8"/>
    <w:rsid w:val="00573CD6"/>
    <w:rsid w:val="00574D92"/>
    <w:rsid w:val="005757BB"/>
    <w:rsid w:val="00577532"/>
    <w:rsid w:val="00577E60"/>
    <w:rsid w:val="00585BC2"/>
    <w:rsid w:val="00587E77"/>
    <w:rsid w:val="005906D8"/>
    <w:rsid w:val="00593687"/>
    <w:rsid w:val="005943CD"/>
    <w:rsid w:val="005A0F35"/>
    <w:rsid w:val="005A420A"/>
    <w:rsid w:val="005B0A33"/>
    <w:rsid w:val="005B19D2"/>
    <w:rsid w:val="005B1D62"/>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3654"/>
    <w:rsid w:val="006539DF"/>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D095D"/>
    <w:rsid w:val="006D3951"/>
    <w:rsid w:val="006D5F1C"/>
    <w:rsid w:val="006D6C63"/>
    <w:rsid w:val="006D7AB7"/>
    <w:rsid w:val="006D7F4D"/>
    <w:rsid w:val="006E022B"/>
    <w:rsid w:val="006E0497"/>
    <w:rsid w:val="006E18AB"/>
    <w:rsid w:val="006F2C88"/>
    <w:rsid w:val="006F6194"/>
    <w:rsid w:val="006F7E0C"/>
    <w:rsid w:val="007009EA"/>
    <w:rsid w:val="00700FFA"/>
    <w:rsid w:val="007048A8"/>
    <w:rsid w:val="00706A87"/>
    <w:rsid w:val="007144BD"/>
    <w:rsid w:val="0071783E"/>
    <w:rsid w:val="0072283B"/>
    <w:rsid w:val="007228AC"/>
    <w:rsid w:val="00727EA5"/>
    <w:rsid w:val="00727FE5"/>
    <w:rsid w:val="00730A4D"/>
    <w:rsid w:val="00734468"/>
    <w:rsid w:val="007354E8"/>
    <w:rsid w:val="00741284"/>
    <w:rsid w:val="007425EA"/>
    <w:rsid w:val="007458A8"/>
    <w:rsid w:val="00747531"/>
    <w:rsid w:val="007524A6"/>
    <w:rsid w:val="0075728E"/>
    <w:rsid w:val="00757DDF"/>
    <w:rsid w:val="007607EE"/>
    <w:rsid w:val="0076212C"/>
    <w:rsid w:val="00764D9E"/>
    <w:rsid w:val="00765F03"/>
    <w:rsid w:val="0076620D"/>
    <w:rsid w:val="00771C52"/>
    <w:rsid w:val="00774494"/>
    <w:rsid w:val="00774551"/>
    <w:rsid w:val="007937A3"/>
    <w:rsid w:val="00793EB4"/>
    <w:rsid w:val="00793F71"/>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158F"/>
    <w:rsid w:val="008A46F7"/>
    <w:rsid w:val="008B04D2"/>
    <w:rsid w:val="008B5746"/>
    <w:rsid w:val="008B5A34"/>
    <w:rsid w:val="008B5FEC"/>
    <w:rsid w:val="008B7406"/>
    <w:rsid w:val="008C15CF"/>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59D3"/>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9F74A7"/>
    <w:rsid w:val="00A0300C"/>
    <w:rsid w:val="00A07311"/>
    <w:rsid w:val="00A10D01"/>
    <w:rsid w:val="00A25ABF"/>
    <w:rsid w:val="00A2678A"/>
    <w:rsid w:val="00A3251F"/>
    <w:rsid w:val="00A34B14"/>
    <w:rsid w:val="00A35F0A"/>
    <w:rsid w:val="00A40D9B"/>
    <w:rsid w:val="00A427B1"/>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0355"/>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1BF0"/>
    <w:rsid w:val="00AF24A3"/>
    <w:rsid w:val="00AF3D2B"/>
    <w:rsid w:val="00AF7C47"/>
    <w:rsid w:val="00B005EB"/>
    <w:rsid w:val="00B03D0C"/>
    <w:rsid w:val="00B11639"/>
    <w:rsid w:val="00B11A75"/>
    <w:rsid w:val="00B124EA"/>
    <w:rsid w:val="00B143CF"/>
    <w:rsid w:val="00B16B76"/>
    <w:rsid w:val="00B216F3"/>
    <w:rsid w:val="00B24714"/>
    <w:rsid w:val="00B258CB"/>
    <w:rsid w:val="00B26787"/>
    <w:rsid w:val="00B27E36"/>
    <w:rsid w:val="00B36AB2"/>
    <w:rsid w:val="00B432C5"/>
    <w:rsid w:val="00B453E0"/>
    <w:rsid w:val="00B46A9D"/>
    <w:rsid w:val="00B53068"/>
    <w:rsid w:val="00B54888"/>
    <w:rsid w:val="00B61A9D"/>
    <w:rsid w:val="00B6685D"/>
    <w:rsid w:val="00B66942"/>
    <w:rsid w:val="00B7038C"/>
    <w:rsid w:val="00B73B93"/>
    <w:rsid w:val="00B75507"/>
    <w:rsid w:val="00B76A5F"/>
    <w:rsid w:val="00B77448"/>
    <w:rsid w:val="00B81424"/>
    <w:rsid w:val="00B82389"/>
    <w:rsid w:val="00B82EC7"/>
    <w:rsid w:val="00B92773"/>
    <w:rsid w:val="00B9685C"/>
    <w:rsid w:val="00BA331D"/>
    <w:rsid w:val="00BA38C7"/>
    <w:rsid w:val="00BA6659"/>
    <w:rsid w:val="00BB2B2A"/>
    <w:rsid w:val="00BB4439"/>
    <w:rsid w:val="00BB7C6A"/>
    <w:rsid w:val="00BC32DC"/>
    <w:rsid w:val="00BC35D4"/>
    <w:rsid w:val="00BC3E2F"/>
    <w:rsid w:val="00BC5985"/>
    <w:rsid w:val="00BC6898"/>
    <w:rsid w:val="00BC7562"/>
    <w:rsid w:val="00BD120F"/>
    <w:rsid w:val="00BD15CC"/>
    <w:rsid w:val="00BD272F"/>
    <w:rsid w:val="00BD283C"/>
    <w:rsid w:val="00BD5ABD"/>
    <w:rsid w:val="00BD7411"/>
    <w:rsid w:val="00BD7BCB"/>
    <w:rsid w:val="00BE0C5A"/>
    <w:rsid w:val="00BE1BF9"/>
    <w:rsid w:val="00BE5EA7"/>
    <w:rsid w:val="00BF169B"/>
    <w:rsid w:val="00BF1853"/>
    <w:rsid w:val="00BF2C7E"/>
    <w:rsid w:val="00BF322C"/>
    <w:rsid w:val="00BF336B"/>
    <w:rsid w:val="00BF53D2"/>
    <w:rsid w:val="00BF766A"/>
    <w:rsid w:val="00C005EC"/>
    <w:rsid w:val="00C017C6"/>
    <w:rsid w:val="00C01D88"/>
    <w:rsid w:val="00C020F0"/>
    <w:rsid w:val="00C075DE"/>
    <w:rsid w:val="00C16F5A"/>
    <w:rsid w:val="00C259F0"/>
    <w:rsid w:val="00C30020"/>
    <w:rsid w:val="00C33244"/>
    <w:rsid w:val="00C3602C"/>
    <w:rsid w:val="00C3679E"/>
    <w:rsid w:val="00C36B4D"/>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1E"/>
    <w:rsid w:val="00CB2CC1"/>
    <w:rsid w:val="00CB4A71"/>
    <w:rsid w:val="00CB79A3"/>
    <w:rsid w:val="00CC2E83"/>
    <w:rsid w:val="00CC2F87"/>
    <w:rsid w:val="00CC305F"/>
    <w:rsid w:val="00CC497E"/>
    <w:rsid w:val="00CD165C"/>
    <w:rsid w:val="00CD50B0"/>
    <w:rsid w:val="00CD6054"/>
    <w:rsid w:val="00CD625D"/>
    <w:rsid w:val="00CD724E"/>
    <w:rsid w:val="00CE2DAB"/>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2738E"/>
    <w:rsid w:val="00D30406"/>
    <w:rsid w:val="00D3267F"/>
    <w:rsid w:val="00D3680D"/>
    <w:rsid w:val="00D3772C"/>
    <w:rsid w:val="00D37D4D"/>
    <w:rsid w:val="00D44EA5"/>
    <w:rsid w:val="00D456CB"/>
    <w:rsid w:val="00D50C41"/>
    <w:rsid w:val="00D519F1"/>
    <w:rsid w:val="00D525DD"/>
    <w:rsid w:val="00D5658F"/>
    <w:rsid w:val="00D602C0"/>
    <w:rsid w:val="00D6063B"/>
    <w:rsid w:val="00D6184B"/>
    <w:rsid w:val="00D61D73"/>
    <w:rsid w:val="00D64823"/>
    <w:rsid w:val="00D64A7E"/>
    <w:rsid w:val="00D6542B"/>
    <w:rsid w:val="00D70A17"/>
    <w:rsid w:val="00D715BE"/>
    <w:rsid w:val="00D74A6B"/>
    <w:rsid w:val="00D76544"/>
    <w:rsid w:val="00D86889"/>
    <w:rsid w:val="00D8731D"/>
    <w:rsid w:val="00D87945"/>
    <w:rsid w:val="00D90ED0"/>
    <w:rsid w:val="00D917DE"/>
    <w:rsid w:val="00D95712"/>
    <w:rsid w:val="00D95AF3"/>
    <w:rsid w:val="00D96AE4"/>
    <w:rsid w:val="00DA0684"/>
    <w:rsid w:val="00DA2EED"/>
    <w:rsid w:val="00DA4F8D"/>
    <w:rsid w:val="00DA5A79"/>
    <w:rsid w:val="00DA645C"/>
    <w:rsid w:val="00DA6A03"/>
    <w:rsid w:val="00DA73A3"/>
    <w:rsid w:val="00DB3BCB"/>
    <w:rsid w:val="00DB43DD"/>
    <w:rsid w:val="00DC0369"/>
    <w:rsid w:val="00DC200F"/>
    <w:rsid w:val="00DC789E"/>
    <w:rsid w:val="00DC7AFC"/>
    <w:rsid w:val="00DD0F32"/>
    <w:rsid w:val="00DD249D"/>
    <w:rsid w:val="00DD3D22"/>
    <w:rsid w:val="00DD4515"/>
    <w:rsid w:val="00DD457F"/>
    <w:rsid w:val="00DE4098"/>
    <w:rsid w:val="00DF0819"/>
    <w:rsid w:val="00DF3BBC"/>
    <w:rsid w:val="00DF6388"/>
    <w:rsid w:val="00DF7C09"/>
    <w:rsid w:val="00E002A1"/>
    <w:rsid w:val="00E00AEE"/>
    <w:rsid w:val="00E0617C"/>
    <w:rsid w:val="00E0645D"/>
    <w:rsid w:val="00E11578"/>
    <w:rsid w:val="00E11E6E"/>
    <w:rsid w:val="00E226F9"/>
    <w:rsid w:val="00E22901"/>
    <w:rsid w:val="00E26968"/>
    <w:rsid w:val="00E33A0C"/>
    <w:rsid w:val="00E40173"/>
    <w:rsid w:val="00E41DF6"/>
    <w:rsid w:val="00E42531"/>
    <w:rsid w:val="00E4591F"/>
    <w:rsid w:val="00E45B34"/>
    <w:rsid w:val="00E504B5"/>
    <w:rsid w:val="00E51121"/>
    <w:rsid w:val="00E55F26"/>
    <w:rsid w:val="00E56CD1"/>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1780"/>
    <w:rsid w:val="00EC501D"/>
    <w:rsid w:val="00ED05F8"/>
    <w:rsid w:val="00ED099C"/>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3E2E"/>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6B7D"/>
    <w:rsid w:val="00F47283"/>
    <w:rsid w:val="00F47F23"/>
    <w:rsid w:val="00F506C3"/>
    <w:rsid w:val="00F604D4"/>
    <w:rsid w:val="00F608B2"/>
    <w:rsid w:val="00F61263"/>
    <w:rsid w:val="00F62988"/>
    <w:rsid w:val="00F62A61"/>
    <w:rsid w:val="00F634E3"/>
    <w:rsid w:val="00F64DF0"/>
    <w:rsid w:val="00F70767"/>
    <w:rsid w:val="00F70DE4"/>
    <w:rsid w:val="00F722EC"/>
    <w:rsid w:val="00F74EA5"/>
    <w:rsid w:val="00F81417"/>
    <w:rsid w:val="00F82CC9"/>
    <w:rsid w:val="00F83167"/>
    <w:rsid w:val="00F8789A"/>
    <w:rsid w:val="00F90E89"/>
    <w:rsid w:val="00F92F0E"/>
    <w:rsid w:val="00F94BA7"/>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2A12"/>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238294267">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6F494-362D-4CFE-8A27-CE6BD27DBDFE}">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30995</vt:lpwstr>
  </property>
  <property fmtid="{D5CDD505-2E9C-101B-9397-08002B2CF9AE}" pid="4" name="OptimizationTime">
    <vt:lpwstr>20201204_1140</vt:lpwstr>
  </property>
</Properties>
</file>

<file path=docProps/app.xml><?xml version="1.0" encoding="utf-8"?>
<Properties xmlns="http://schemas.openxmlformats.org/officeDocument/2006/extended-properties" xmlns:vt="http://schemas.openxmlformats.org/officeDocument/2006/docPropsVTypes">
  <Template>Normal.dotm</Template>
  <TotalTime>7</TotalTime>
  <Pages>3</Pages>
  <Words>965</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Silvina Tuler</cp:lastModifiedBy>
  <cp:revision>5</cp:revision>
  <cp:lastPrinted>2019-08-09T23:18:00Z</cp:lastPrinted>
  <dcterms:created xsi:type="dcterms:W3CDTF">2020-11-24T13:49:00Z</dcterms:created>
  <dcterms:modified xsi:type="dcterms:W3CDTF">2020-12-04T14:40:00Z</dcterms:modified>
</cp:coreProperties>
</file>