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B93" w:rsidRPr="008112A5" w:rsidRDefault="000A3803" w:rsidP="00774B93">
      <w:pPr>
        <w:pStyle w:val="Ttulo1"/>
        <w:spacing w:before="180"/>
        <w:rPr>
          <w:rFonts w:cs="Arial"/>
          <w:sz w:val="40"/>
          <w:szCs w:val="40"/>
        </w:rPr>
      </w:pPr>
      <w:r w:rsidRPr="008112A5">
        <w:rPr>
          <w:rFonts w:cs="Arial"/>
          <w:sz w:val="40"/>
          <w:szCs w:val="40"/>
        </w:rPr>
        <w:t>MEMORIA</w:t>
      </w:r>
    </w:p>
    <w:p w:rsidR="006F378F" w:rsidRPr="008112A5" w:rsidRDefault="006F378F" w:rsidP="006F378F"/>
    <w:p w:rsidR="00774B93" w:rsidRPr="008112A5" w:rsidRDefault="00774B93" w:rsidP="006F378F">
      <w:pPr>
        <w:pStyle w:val="Ttulo1"/>
        <w:spacing w:before="0" w:after="0"/>
        <w:rPr>
          <w:rFonts w:cs="Arial"/>
          <w:sz w:val="20"/>
        </w:rPr>
      </w:pPr>
      <w:r w:rsidRPr="008112A5">
        <w:rPr>
          <w:rFonts w:cs="Arial"/>
          <w:sz w:val="20"/>
        </w:rPr>
        <w:t>Señores Accionistas</w:t>
      </w:r>
    </w:p>
    <w:p w:rsidR="006F378F" w:rsidRPr="008112A5" w:rsidRDefault="006F378F" w:rsidP="006F378F"/>
    <w:p w:rsidR="00774B93" w:rsidRPr="008112A5" w:rsidRDefault="00774B93" w:rsidP="00774B93">
      <w:pPr>
        <w:pStyle w:val="Textoindependiente"/>
        <w:jc w:val="both"/>
        <w:rPr>
          <w:rFonts w:ascii="Arial" w:hAnsi="Arial" w:cs="Arial"/>
          <w:sz w:val="20"/>
        </w:rPr>
      </w:pPr>
      <w:r w:rsidRPr="008112A5">
        <w:rPr>
          <w:rFonts w:ascii="Arial" w:hAnsi="Arial" w:cs="Arial"/>
          <w:sz w:val="20"/>
        </w:rPr>
        <w:t xml:space="preserve">De conformidad con las disposiciones legales y estatutarias vigentes, el Directorio de </w:t>
      </w:r>
      <w:r w:rsidR="009E3855" w:rsidRPr="008112A5">
        <w:rPr>
          <w:rFonts w:ascii="Arial" w:hAnsi="Arial" w:cs="Arial"/>
          <w:sz w:val="20"/>
        </w:rPr>
        <w:t>CMF ASSET MANAGEMENT SAU</w:t>
      </w:r>
      <w:r w:rsidRPr="008112A5">
        <w:rPr>
          <w:rFonts w:ascii="Arial" w:hAnsi="Arial" w:cs="Arial"/>
          <w:sz w:val="20"/>
        </w:rPr>
        <w:t xml:space="preserve"> somete a consideración de los Señores Accionistas la presente Memoria de la Sociedad conjuntamente con el Inventario, el Estado de Situación Patrimonial, el Estado de Resultados, el Estado de Evolución del Patrimonio Neto, el Estado de Flujo de Efectivo, Notas, Cuadros Anexos, el Informe de la Comisión Fiscalizadora y la propuesta de distribución de utilidades, correspondientes al </w:t>
      </w:r>
      <w:r w:rsidR="00EF4938">
        <w:rPr>
          <w:rFonts w:ascii="Arial" w:hAnsi="Arial" w:cs="Arial"/>
          <w:sz w:val="20"/>
        </w:rPr>
        <w:t>quinto</w:t>
      </w:r>
      <w:r w:rsidR="00EF4938" w:rsidRPr="008112A5">
        <w:rPr>
          <w:rFonts w:ascii="Arial" w:hAnsi="Arial" w:cs="Arial"/>
          <w:sz w:val="20"/>
        </w:rPr>
        <w:t xml:space="preserve"> </w:t>
      </w:r>
      <w:r w:rsidRPr="008112A5">
        <w:rPr>
          <w:rFonts w:ascii="Arial" w:hAnsi="Arial" w:cs="Arial"/>
          <w:sz w:val="20"/>
        </w:rPr>
        <w:t xml:space="preserve">ejercicio económico </w:t>
      </w:r>
      <w:r w:rsidR="002F5E7A" w:rsidRPr="008112A5">
        <w:rPr>
          <w:rFonts w:ascii="Arial" w:hAnsi="Arial" w:cs="Arial"/>
          <w:sz w:val="20"/>
        </w:rPr>
        <w:t xml:space="preserve">finalizado </w:t>
      </w:r>
      <w:r w:rsidR="00625A32" w:rsidRPr="008112A5">
        <w:rPr>
          <w:rFonts w:ascii="Arial" w:hAnsi="Arial" w:cs="Arial"/>
          <w:sz w:val="20"/>
        </w:rPr>
        <w:t>al 31.12.20</w:t>
      </w:r>
      <w:r w:rsidR="008112A5" w:rsidRPr="008112A5">
        <w:rPr>
          <w:rFonts w:ascii="Arial" w:hAnsi="Arial" w:cs="Arial"/>
          <w:sz w:val="20"/>
        </w:rPr>
        <w:t>20</w:t>
      </w:r>
      <w:r w:rsidRPr="008112A5">
        <w:rPr>
          <w:rFonts w:ascii="Arial" w:hAnsi="Arial" w:cs="Arial"/>
          <w:sz w:val="20"/>
        </w:rPr>
        <w:t xml:space="preserve">. </w:t>
      </w:r>
    </w:p>
    <w:p w:rsidR="00774B93" w:rsidRPr="008112A5" w:rsidRDefault="00774B93" w:rsidP="00774B93">
      <w:pPr>
        <w:pStyle w:val="Textoindependiente3"/>
        <w:spacing w:after="120"/>
        <w:rPr>
          <w:rFonts w:ascii="Arial" w:hAnsi="Arial" w:cs="Arial"/>
          <w:sz w:val="20"/>
        </w:rPr>
      </w:pPr>
    </w:p>
    <w:p w:rsidR="00774B93" w:rsidRPr="008112A5" w:rsidRDefault="00774B93" w:rsidP="00AC6F4E">
      <w:pPr>
        <w:pStyle w:val="Textoindependiente"/>
        <w:numPr>
          <w:ilvl w:val="0"/>
          <w:numId w:val="8"/>
        </w:numPr>
        <w:spacing w:after="0"/>
        <w:jc w:val="both"/>
        <w:rPr>
          <w:rFonts w:ascii="Arial" w:hAnsi="Arial" w:cs="Arial"/>
          <w:b/>
          <w:szCs w:val="22"/>
        </w:rPr>
      </w:pPr>
      <w:r w:rsidRPr="008112A5">
        <w:rPr>
          <w:rFonts w:ascii="Arial" w:hAnsi="Arial" w:cs="Arial"/>
          <w:b/>
          <w:szCs w:val="22"/>
        </w:rPr>
        <w:t xml:space="preserve">DESARROLLO DE LA INFORMACIÓN INDICADA POR LA RESOLUCIÓN GENERAL </w:t>
      </w:r>
      <w:r w:rsidR="00E26218" w:rsidRPr="008112A5">
        <w:rPr>
          <w:rFonts w:ascii="Arial" w:hAnsi="Arial" w:cs="Arial"/>
          <w:b/>
          <w:szCs w:val="22"/>
        </w:rPr>
        <w:t>7</w:t>
      </w:r>
      <w:r w:rsidRPr="008112A5">
        <w:rPr>
          <w:rFonts w:ascii="Arial" w:hAnsi="Arial" w:cs="Arial"/>
          <w:b/>
          <w:szCs w:val="22"/>
        </w:rPr>
        <w:t>/20</w:t>
      </w:r>
      <w:r w:rsidR="00E26218" w:rsidRPr="008112A5">
        <w:rPr>
          <w:rFonts w:ascii="Arial" w:hAnsi="Arial" w:cs="Arial"/>
          <w:b/>
          <w:szCs w:val="22"/>
        </w:rPr>
        <w:t>15</w:t>
      </w:r>
      <w:r w:rsidRPr="008112A5">
        <w:rPr>
          <w:rFonts w:ascii="Arial" w:hAnsi="Arial" w:cs="Arial"/>
          <w:b/>
          <w:szCs w:val="22"/>
        </w:rPr>
        <w:t xml:space="preserve"> DE LA I.G.J.</w:t>
      </w:r>
    </w:p>
    <w:p w:rsidR="00774B93" w:rsidRPr="008112A5" w:rsidRDefault="00774B93" w:rsidP="00774B93">
      <w:pPr>
        <w:pStyle w:val="Textoindependiente"/>
        <w:spacing w:after="0"/>
        <w:jc w:val="both"/>
        <w:rPr>
          <w:rFonts w:ascii="Arial" w:hAnsi="Arial" w:cs="Arial"/>
          <w:b/>
          <w:sz w:val="20"/>
          <w:u w:val="single"/>
        </w:rPr>
      </w:pPr>
    </w:p>
    <w:p w:rsidR="00774B93" w:rsidRPr="008112A5" w:rsidRDefault="00AC6F4E" w:rsidP="00AC6F4E">
      <w:pPr>
        <w:pStyle w:val="Textoindependiente"/>
        <w:numPr>
          <w:ilvl w:val="1"/>
          <w:numId w:val="8"/>
        </w:numPr>
        <w:spacing w:after="0"/>
        <w:jc w:val="both"/>
        <w:rPr>
          <w:rFonts w:ascii="Arial" w:hAnsi="Arial" w:cs="Arial"/>
          <w:b/>
          <w:szCs w:val="22"/>
        </w:rPr>
      </w:pPr>
      <w:r w:rsidRPr="008112A5">
        <w:rPr>
          <w:rFonts w:ascii="Arial" w:hAnsi="Arial" w:cs="Arial"/>
          <w:b/>
          <w:szCs w:val="22"/>
        </w:rPr>
        <w:t>POLITICA EMPRESARIAL</w:t>
      </w:r>
    </w:p>
    <w:p w:rsidR="00774B93" w:rsidRPr="008112A5" w:rsidRDefault="00774B93" w:rsidP="00E26218">
      <w:pPr>
        <w:pStyle w:val="Sangra2detindependiente"/>
        <w:ind w:left="709" w:firstLine="0"/>
        <w:rPr>
          <w:rFonts w:cs="Arial"/>
          <w:sz w:val="20"/>
          <w:u w:val="none"/>
          <w:lang w:val="es-AR"/>
        </w:rPr>
      </w:pPr>
    </w:p>
    <w:p w:rsidR="00E26218" w:rsidRPr="008112A5" w:rsidRDefault="00E26218" w:rsidP="00E26218">
      <w:pPr>
        <w:pStyle w:val="Sangra2detindependiente"/>
        <w:ind w:left="709" w:firstLine="0"/>
        <w:rPr>
          <w:rFonts w:cs="Arial"/>
          <w:sz w:val="20"/>
          <w:u w:val="none"/>
          <w:lang w:val="es-AR"/>
        </w:rPr>
      </w:pPr>
      <w:r w:rsidRPr="008112A5">
        <w:rPr>
          <w:rFonts w:cs="Arial"/>
          <w:sz w:val="20"/>
          <w:u w:val="none"/>
          <w:lang w:val="es-AR"/>
        </w:rPr>
        <w:t xml:space="preserve">CMF </w:t>
      </w:r>
      <w:proofErr w:type="spellStart"/>
      <w:r w:rsidRPr="008112A5">
        <w:rPr>
          <w:rFonts w:cs="Arial"/>
          <w:sz w:val="20"/>
          <w:u w:val="none"/>
          <w:lang w:val="es-AR"/>
        </w:rPr>
        <w:t>Asset</w:t>
      </w:r>
      <w:proofErr w:type="spellEnd"/>
      <w:r w:rsidRPr="008112A5">
        <w:rPr>
          <w:rFonts w:cs="Arial"/>
          <w:sz w:val="20"/>
          <w:u w:val="none"/>
          <w:lang w:val="es-AR"/>
        </w:rPr>
        <w:t xml:space="preserve"> Management </w:t>
      </w:r>
      <w:proofErr w:type="spellStart"/>
      <w:r w:rsidRPr="008112A5">
        <w:rPr>
          <w:rFonts w:cs="Arial"/>
          <w:sz w:val="20"/>
          <w:u w:val="none"/>
          <w:lang w:val="es-AR"/>
        </w:rPr>
        <w:t>Sau</w:t>
      </w:r>
      <w:proofErr w:type="spellEnd"/>
      <w:r w:rsidR="00DB4D3A" w:rsidRPr="008112A5">
        <w:rPr>
          <w:rFonts w:cs="Arial"/>
          <w:sz w:val="20"/>
          <w:u w:val="none"/>
          <w:lang w:val="es-AR"/>
        </w:rPr>
        <w:t xml:space="preserve"> </w:t>
      </w:r>
      <w:r w:rsidRPr="008112A5">
        <w:rPr>
          <w:rFonts w:cs="Arial"/>
          <w:sz w:val="20"/>
          <w:u w:val="none"/>
          <w:lang w:val="es-AR"/>
        </w:rPr>
        <w:t>fue constituida con fecha 1 de septiembre de 2016 como sociedad anónima unipersonal, que se regirá por las disposiciones de la Ley General de Sociedades Número 19.550, modificada por la Ley 22.903 y modificatorias y complementarias.</w:t>
      </w:r>
    </w:p>
    <w:p w:rsidR="00A97C43" w:rsidRPr="008112A5" w:rsidRDefault="00A97C43" w:rsidP="00E26218">
      <w:pPr>
        <w:pStyle w:val="Sangra2detindependiente"/>
        <w:ind w:left="709" w:firstLine="0"/>
        <w:rPr>
          <w:rFonts w:cs="Arial"/>
          <w:sz w:val="20"/>
          <w:u w:val="none"/>
          <w:lang w:val="es-AR"/>
        </w:rPr>
      </w:pPr>
    </w:p>
    <w:p w:rsidR="006A65C4" w:rsidRPr="008112A5" w:rsidRDefault="00A97C43" w:rsidP="006A65C4">
      <w:pPr>
        <w:pStyle w:val="Sangra2detindependiente"/>
        <w:ind w:left="709" w:firstLine="0"/>
        <w:rPr>
          <w:rFonts w:cs="Arial"/>
          <w:sz w:val="20"/>
          <w:u w:val="none"/>
          <w:lang w:val="es-AR"/>
        </w:rPr>
      </w:pPr>
      <w:r w:rsidRPr="008112A5">
        <w:rPr>
          <w:rFonts w:cs="Arial"/>
          <w:sz w:val="20"/>
          <w:u w:val="none"/>
          <w:lang w:val="es-AR"/>
        </w:rPr>
        <w:t>Dicha sociedad tiene como</w:t>
      </w:r>
      <w:r w:rsidR="00E333C5" w:rsidRPr="008112A5">
        <w:rPr>
          <w:rFonts w:cs="Arial"/>
          <w:sz w:val="20"/>
          <w:u w:val="none"/>
          <w:lang w:val="es-AR"/>
        </w:rPr>
        <w:t xml:space="preserve"> propósito </w:t>
      </w:r>
      <w:r w:rsidR="00E26218" w:rsidRPr="008112A5">
        <w:rPr>
          <w:rFonts w:cs="Arial"/>
          <w:sz w:val="20"/>
          <w:u w:val="none"/>
          <w:lang w:val="es-AR"/>
        </w:rPr>
        <w:t>potenciar</w:t>
      </w:r>
      <w:r w:rsidRPr="008112A5">
        <w:rPr>
          <w:rFonts w:cs="Arial"/>
          <w:sz w:val="20"/>
          <w:u w:val="none"/>
          <w:lang w:val="es-AR"/>
        </w:rPr>
        <w:t xml:space="preserve"> </w:t>
      </w:r>
      <w:r w:rsidR="00E26218" w:rsidRPr="008112A5">
        <w:rPr>
          <w:rFonts w:cs="Arial"/>
          <w:sz w:val="20"/>
          <w:u w:val="none"/>
          <w:lang w:val="es-AR"/>
        </w:rPr>
        <w:t>el negocio del Banco y de sus sociedades controladas, entendiendo que</w:t>
      </w:r>
      <w:r w:rsidRPr="008112A5">
        <w:rPr>
          <w:rFonts w:cs="Arial"/>
          <w:sz w:val="20"/>
          <w:u w:val="none"/>
          <w:lang w:val="es-AR"/>
        </w:rPr>
        <w:t xml:space="preserve"> l</w:t>
      </w:r>
      <w:r w:rsidR="00E26218" w:rsidRPr="008112A5">
        <w:rPr>
          <w:rFonts w:cs="Arial"/>
          <w:sz w:val="20"/>
          <w:u w:val="none"/>
          <w:lang w:val="es-AR"/>
        </w:rPr>
        <w:t>a</w:t>
      </w:r>
      <w:r w:rsidRPr="008112A5">
        <w:rPr>
          <w:rFonts w:cs="Arial"/>
          <w:sz w:val="20"/>
          <w:u w:val="none"/>
          <w:lang w:val="es-AR"/>
        </w:rPr>
        <w:t xml:space="preserve"> misma</w:t>
      </w:r>
      <w:r w:rsidR="00E26218" w:rsidRPr="008112A5">
        <w:rPr>
          <w:rFonts w:cs="Arial"/>
          <w:sz w:val="20"/>
          <w:u w:val="none"/>
          <w:lang w:val="es-AR"/>
        </w:rPr>
        <w:t xml:space="preserve"> brindar</w:t>
      </w:r>
      <w:r w:rsidRPr="008112A5">
        <w:rPr>
          <w:rFonts w:cs="Arial"/>
          <w:sz w:val="20"/>
          <w:u w:val="none"/>
          <w:lang w:val="es-AR"/>
        </w:rPr>
        <w:t>a</w:t>
      </w:r>
      <w:r w:rsidR="00E26218" w:rsidRPr="008112A5">
        <w:rPr>
          <w:rFonts w:cs="Arial"/>
          <w:sz w:val="20"/>
          <w:u w:val="none"/>
          <w:lang w:val="es-AR"/>
        </w:rPr>
        <w:t xml:space="preserve"> otros servicios</w:t>
      </w:r>
      <w:r w:rsidRPr="008112A5">
        <w:rPr>
          <w:rFonts w:cs="Arial"/>
          <w:sz w:val="20"/>
          <w:u w:val="none"/>
          <w:lang w:val="es-AR"/>
        </w:rPr>
        <w:t xml:space="preserve"> complementarios</w:t>
      </w:r>
      <w:r w:rsidR="00E26218" w:rsidRPr="008112A5">
        <w:rPr>
          <w:rFonts w:cs="Arial"/>
          <w:sz w:val="20"/>
          <w:u w:val="none"/>
          <w:lang w:val="es-AR"/>
        </w:rPr>
        <w:t xml:space="preserve"> a los clientes del Grupo BANCO CMF mediante </w:t>
      </w:r>
      <w:r w:rsidR="002F5E7A" w:rsidRPr="008112A5">
        <w:rPr>
          <w:rFonts w:cs="Arial"/>
          <w:sz w:val="20"/>
          <w:u w:val="none"/>
          <w:lang w:val="es-AR"/>
        </w:rPr>
        <w:t xml:space="preserve">la Administración de </w:t>
      </w:r>
      <w:r w:rsidR="00E26218" w:rsidRPr="008112A5">
        <w:rPr>
          <w:rFonts w:cs="Arial"/>
          <w:sz w:val="20"/>
          <w:u w:val="none"/>
          <w:lang w:val="es-AR"/>
        </w:rPr>
        <w:t xml:space="preserve">Productos de Inversión. </w:t>
      </w:r>
    </w:p>
    <w:p w:rsidR="006A65C4" w:rsidRPr="008112A5" w:rsidRDefault="006A65C4" w:rsidP="006A65C4">
      <w:pPr>
        <w:pStyle w:val="Sangra2detindependiente"/>
        <w:ind w:left="709" w:firstLine="0"/>
        <w:rPr>
          <w:rFonts w:cs="Arial"/>
          <w:sz w:val="20"/>
          <w:u w:val="none"/>
          <w:lang w:val="es-AR"/>
        </w:rPr>
      </w:pPr>
    </w:p>
    <w:p w:rsidR="006A65C4" w:rsidRPr="008112A5" w:rsidRDefault="006A65C4" w:rsidP="006A65C4">
      <w:pPr>
        <w:pStyle w:val="Sangra2detindependiente"/>
        <w:ind w:left="709" w:firstLine="0"/>
        <w:rPr>
          <w:rFonts w:cs="Arial"/>
          <w:sz w:val="20"/>
          <w:u w:val="none"/>
          <w:lang w:val="es-AR"/>
        </w:rPr>
      </w:pPr>
      <w:r w:rsidRPr="008112A5">
        <w:rPr>
          <w:rFonts w:cs="Arial"/>
          <w:sz w:val="20"/>
          <w:u w:val="none"/>
          <w:lang w:val="es-AR"/>
        </w:rPr>
        <w:t xml:space="preserve">La Sociedad tiene por objeto realizar en todo el territorio de la República Argentina o en el extranjero, las actividades que corresponden </w:t>
      </w:r>
      <w:r w:rsidR="002F5E7A" w:rsidRPr="008112A5">
        <w:rPr>
          <w:rFonts w:cs="Arial"/>
          <w:sz w:val="20"/>
          <w:u w:val="none"/>
          <w:lang w:val="es-AR"/>
        </w:rPr>
        <w:t>a un Agente de Administración de Productos de Inversión Cole</w:t>
      </w:r>
      <w:r w:rsidR="00B702F8" w:rsidRPr="008112A5">
        <w:rPr>
          <w:rFonts w:cs="Arial"/>
          <w:sz w:val="20"/>
          <w:u w:val="none"/>
          <w:lang w:val="es-AR"/>
        </w:rPr>
        <w:t>c</w:t>
      </w:r>
      <w:r w:rsidR="002F5E7A" w:rsidRPr="008112A5">
        <w:rPr>
          <w:rFonts w:cs="Arial"/>
          <w:sz w:val="20"/>
          <w:u w:val="none"/>
          <w:lang w:val="es-AR"/>
        </w:rPr>
        <w:t>tiva</w:t>
      </w:r>
      <w:r w:rsidRPr="008112A5">
        <w:rPr>
          <w:rFonts w:cs="Arial"/>
          <w:sz w:val="20"/>
          <w:u w:val="none"/>
          <w:lang w:val="es-AR"/>
        </w:rPr>
        <w:t>. A tal fin, la Sociedad tiene plena capacidad jurídica para realizar los actos, contratos y operaciones que se relacionen directa o indirectamente con su objeto social, incluyendo, los que se mencionan a continuación: (i) la dirección, administración, gestión y gerenciamiento de fondos comunes de inversión, abierto o cerrados, de conformidad con los establecido por la Ley N° 24.083 (tal como sea modificada, complementada o sustituida de tanto en tanto, la “Ley de FCI”), Decreto Reglamentario N° 174/93 (tal como sea modificado, complementado o sustituido de tanto en tanto, el “Decreto Reglamentario de FCI”) y la Resolución General de la Comisión Nacional de Valores N° 622/13 (N.T. año 2013) (tal como sea modificadas, complementadas o sustituidas de tanto en tanto, las “Normas de la CNV”); (ii) la celebración, en nombre y representación de fondos comunes de inversión de los contratos que resulten necesarios para su funcionamiento; (iii) la gestión de los fondos comunes de inversión, quedando facultada para efectuar los pagos que correspondan al mismo y concretando las inversiones previstas en el correspondiente reglamento de gestión; (iv) el establecimiento de la estrategia de comercialización de los fondos comunes de inversión que administre; (v) la representación de los inversores; y (vi) en general, cuantos más actos y funciones competan a las sociedades gerentes de fondos comunes de inversión bajo la Ley de FCI, el Decreto Reglamentario de FCI y las Normas de la CNV.</w:t>
      </w:r>
    </w:p>
    <w:p w:rsidR="006A65C4" w:rsidRPr="008112A5" w:rsidRDefault="006A65C4" w:rsidP="006A65C4">
      <w:pPr>
        <w:pStyle w:val="Sangra2detindependiente"/>
        <w:ind w:left="709" w:firstLine="0"/>
        <w:rPr>
          <w:rFonts w:cs="Arial"/>
          <w:sz w:val="20"/>
          <w:u w:val="none"/>
          <w:lang w:val="es-AR"/>
        </w:rPr>
      </w:pPr>
    </w:p>
    <w:p w:rsidR="00353745" w:rsidRPr="00E06C24" w:rsidRDefault="00353745" w:rsidP="006A65C4">
      <w:pPr>
        <w:pStyle w:val="Sangra2detindependiente"/>
        <w:ind w:left="709" w:firstLine="0"/>
        <w:rPr>
          <w:rFonts w:cs="Arial"/>
          <w:sz w:val="20"/>
          <w:u w:val="none"/>
          <w:lang w:val="es-AR"/>
        </w:rPr>
      </w:pPr>
      <w:bookmarkStart w:id="0" w:name="_GoBack"/>
      <w:bookmarkEnd w:id="0"/>
      <w:r w:rsidRPr="00E06C24">
        <w:rPr>
          <w:rFonts w:cs="Arial"/>
          <w:sz w:val="20"/>
          <w:u w:val="none"/>
          <w:lang w:val="es-AR"/>
        </w:rPr>
        <w:t>Con fecha 4 de Mayo de 2017 fue inscripta en la categoría solicitada en la CNV bajo la resolución Nº 18.645.</w:t>
      </w:r>
      <w:r w:rsidRPr="00E06C24">
        <w:rPr>
          <w:rFonts w:cs="Arial"/>
          <w:sz w:val="20"/>
          <w:u w:val="none"/>
          <w:lang w:val="es-AR"/>
        </w:rPr>
        <w:tab/>
      </w:r>
      <w:r w:rsidRPr="00E06C24">
        <w:rPr>
          <w:rFonts w:cs="Arial"/>
          <w:sz w:val="20"/>
          <w:u w:val="none"/>
          <w:lang w:val="es-AR"/>
        </w:rPr>
        <w:br/>
      </w:r>
    </w:p>
    <w:p w:rsidR="00921142" w:rsidRPr="00E06C24" w:rsidRDefault="00353745" w:rsidP="00921142">
      <w:pPr>
        <w:pStyle w:val="Sangra2detindependiente"/>
        <w:ind w:left="709" w:firstLine="0"/>
        <w:rPr>
          <w:rFonts w:cs="Arial"/>
          <w:sz w:val="20"/>
          <w:u w:val="none"/>
          <w:lang w:val="es-AR"/>
        </w:rPr>
      </w:pPr>
      <w:r w:rsidRPr="00E06C24">
        <w:rPr>
          <w:rFonts w:cs="Arial"/>
          <w:sz w:val="20"/>
          <w:u w:val="none"/>
          <w:lang w:val="es-AR"/>
        </w:rPr>
        <w:t>Actualmente administra los siguientes fondos de inversión:</w:t>
      </w:r>
      <w:r w:rsidR="00E26218" w:rsidRPr="00E06C24">
        <w:rPr>
          <w:rFonts w:cs="Arial"/>
          <w:sz w:val="20"/>
          <w:u w:val="none"/>
          <w:lang w:val="es-AR"/>
        </w:rPr>
        <w:t xml:space="preserve"> </w:t>
      </w:r>
    </w:p>
    <w:p w:rsidR="00921142" w:rsidRPr="00375B4E" w:rsidRDefault="00921142" w:rsidP="00921142">
      <w:pPr>
        <w:pStyle w:val="Sangra2detindependiente"/>
        <w:ind w:left="709" w:firstLine="0"/>
        <w:rPr>
          <w:rFonts w:cs="Arial"/>
          <w:sz w:val="20"/>
          <w:highlight w:val="yellow"/>
          <w:u w:val="none"/>
          <w:lang w:val="es-AR"/>
        </w:rPr>
      </w:pPr>
      <w:r w:rsidRPr="00375B4E">
        <w:rPr>
          <w:noProof/>
          <w:highlight w:val="yellow"/>
        </w:rPr>
        <w:drawing>
          <wp:anchor distT="0" distB="0" distL="114300" distR="114300" simplePos="0" relativeHeight="251658240" behindDoc="0" locked="0" layoutInCell="1" allowOverlap="1" wp14:anchorId="34DD617C" wp14:editId="2BF1B494">
            <wp:simplePos x="0" y="0"/>
            <wp:positionH relativeFrom="column">
              <wp:posOffset>446405</wp:posOffset>
            </wp:positionH>
            <wp:positionV relativeFrom="paragraph">
              <wp:posOffset>148590</wp:posOffset>
            </wp:positionV>
            <wp:extent cx="5400040" cy="3168015"/>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400040" cy="3168015"/>
                    </a:xfrm>
                    <a:prstGeom prst="rect">
                      <a:avLst/>
                    </a:prstGeom>
                  </pic:spPr>
                </pic:pic>
              </a:graphicData>
            </a:graphic>
            <wp14:sizeRelH relativeFrom="page">
              <wp14:pctWidth>0</wp14:pctWidth>
            </wp14:sizeRelH>
            <wp14:sizeRelV relativeFrom="page">
              <wp14:pctHeight>0</wp14:pctHeight>
            </wp14:sizeRelV>
          </wp:anchor>
        </w:drawing>
      </w:r>
    </w:p>
    <w:p w:rsidR="00921142" w:rsidRPr="00F456BE" w:rsidRDefault="00921142" w:rsidP="00921142">
      <w:pPr>
        <w:pStyle w:val="Sangra2detindependiente"/>
        <w:ind w:left="709" w:firstLine="0"/>
        <w:rPr>
          <w:rFonts w:cs="Arial"/>
          <w:sz w:val="20"/>
          <w:u w:val="none"/>
          <w:lang w:val="es-AR"/>
        </w:rPr>
      </w:pPr>
      <w:r w:rsidRPr="00F456BE">
        <w:rPr>
          <w:noProof/>
        </w:rPr>
        <w:drawing>
          <wp:inline distT="0" distB="0" distL="0" distR="0" wp14:anchorId="6A3A68CA" wp14:editId="5DD2F77B">
            <wp:extent cx="5400136" cy="26322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4913" cy="2634573"/>
                    </a:xfrm>
                    <a:prstGeom prst="rect">
                      <a:avLst/>
                    </a:prstGeom>
                  </pic:spPr>
                </pic:pic>
              </a:graphicData>
            </a:graphic>
          </wp:inline>
        </w:drawing>
      </w:r>
    </w:p>
    <w:p w:rsidR="00353745" w:rsidRPr="00F456BE" w:rsidRDefault="00353745" w:rsidP="00B66FE5">
      <w:pPr>
        <w:pStyle w:val="Sangra2detindependiente"/>
        <w:ind w:left="0" w:firstLine="0"/>
        <w:rPr>
          <w:rFonts w:cs="Arial"/>
          <w:sz w:val="20"/>
          <w:u w:val="none"/>
          <w:lang w:val="es-AR"/>
        </w:rPr>
      </w:pPr>
    </w:p>
    <w:p w:rsidR="00353745" w:rsidRPr="00F456BE" w:rsidRDefault="00353745" w:rsidP="00353745">
      <w:pPr>
        <w:pStyle w:val="Texto"/>
        <w:numPr>
          <w:ilvl w:val="0"/>
          <w:numId w:val="11"/>
        </w:numPr>
        <w:jc w:val="both"/>
        <w:rPr>
          <w:sz w:val="14"/>
          <w:szCs w:val="16"/>
        </w:rPr>
      </w:pPr>
      <w:r w:rsidRPr="00F456BE">
        <w:rPr>
          <w:sz w:val="14"/>
          <w:szCs w:val="16"/>
        </w:rPr>
        <w:t xml:space="preserve">Fecha de aprobación del Directorio de CMF </w:t>
      </w:r>
      <w:proofErr w:type="spellStart"/>
      <w:r w:rsidRPr="00F456BE">
        <w:rPr>
          <w:sz w:val="14"/>
          <w:szCs w:val="16"/>
        </w:rPr>
        <w:t>Asset</w:t>
      </w:r>
      <w:proofErr w:type="spellEnd"/>
      <w:r w:rsidRPr="00F456BE">
        <w:rPr>
          <w:sz w:val="14"/>
          <w:szCs w:val="16"/>
        </w:rPr>
        <w:t xml:space="preserve"> Management S.A.U.</w:t>
      </w:r>
    </w:p>
    <w:p w:rsidR="00353745" w:rsidRPr="00F456BE" w:rsidRDefault="00353745" w:rsidP="00353745">
      <w:pPr>
        <w:pStyle w:val="Texto"/>
        <w:numPr>
          <w:ilvl w:val="0"/>
          <w:numId w:val="11"/>
        </w:numPr>
        <w:jc w:val="both"/>
        <w:rPr>
          <w:sz w:val="14"/>
          <w:szCs w:val="16"/>
        </w:rPr>
      </w:pPr>
      <w:r w:rsidRPr="00F456BE">
        <w:rPr>
          <w:sz w:val="14"/>
          <w:szCs w:val="16"/>
        </w:rPr>
        <w:t>Fecha de aprobación del texto de las cláusulas particulares del Reglamento de Gestión por parte de la C.N.V.</w:t>
      </w:r>
    </w:p>
    <w:p w:rsidR="00353745" w:rsidRPr="008112A5" w:rsidRDefault="00353745" w:rsidP="00353745">
      <w:pPr>
        <w:pStyle w:val="Texto"/>
        <w:numPr>
          <w:ilvl w:val="0"/>
          <w:numId w:val="11"/>
        </w:numPr>
        <w:jc w:val="both"/>
        <w:rPr>
          <w:sz w:val="14"/>
          <w:szCs w:val="16"/>
        </w:rPr>
      </w:pPr>
      <w:r w:rsidRPr="008112A5">
        <w:rPr>
          <w:sz w:val="14"/>
          <w:szCs w:val="16"/>
        </w:rPr>
        <w:t>Fecha de registro del Reglamento de Gestión del fondo en la Inspección General de Justicia (I.G.J.)</w:t>
      </w:r>
    </w:p>
    <w:p w:rsidR="00353745" w:rsidRPr="008112A5" w:rsidRDefault="00353745" w:rsidP="00353745">
      <w:pPr>
        <w:pStyle w:val="Texto"/>
        <w:numPr>
          <w:ilvl w:val="0"/>
          <w:numId w:val="11"/>
        </w:numPr>
        <w:jc w:val="both"/>
        <w:rPr>
          <w:sz w:val="14"/>
          <w:szCs w:val="16"/>
        </w:rPr>
      </w:pPr>
      <w:r w:rsidRPr="008112A5">
        <w:rPr>
          <w:sz w:val="14"/>
          <w:szCs w:val="16"/>
        </w:rPr>
        <w:t>Fecha de inicio de la suscripción de cuotas partes.</w:t>
      </w:r>
    </w:p>
    <w:p w:rsidR="006A65C4" w:rsidRPr="008112A5" w:rsidRDefault="006A65C4" w:rsidP="00E26218">
      <w:pPr>
        <w:pStyle w:val="Sangra2detindependiente"/>
        <w:ind w:left="709" w:firstLine="0"/>
        <w:rPr>
          <w:rFonts w:cs="Arial"/>
          <w:sz w:val="20"/>
          <w:u w:val="none"/>
          <w:lang w:val="es-AR"/>
        </w:rPr>
      </w:pPr>
    </w:p>
    <w:p w:rsidR="006A65C4" w:rsidRPr="008112A5" w:rsidRDefault="006A65C4" w:rsidP="006A65C4">
      <w:pPr>
        <w:pStyle w:val="Sangra2detindependiente"/>
        <w:ind w:left="709" w:firstLine="0"/>
        <w:rPr>
          <w:rFonts w:cs="Arial"/>
          <w:sz w:val="20"/>
          <w:u w:val="none"/>
          <w:lang w:val="es-AR"/>
        </w:rPr>
      </w:pPr>
      <w:r w:rsidRPr="008112A5">
        <w:rPr>
          <w:rFonts w:cs="Arial"/>
          <w:sz w:val="20"/>
          <w:u w:val="none"/>
          <w:lang w:val="es-AR"/>
        </w:rPr>
        <w:lastRenderedPageBreak/>
        <w:t xml:space="preserve">La compañía brinda servicios en el ámbito del mercado de capitales. Como parte del servicio, </w:t>
      </w:r>
      <w:r w:rsidR="00E66B30" w:rsidRPr="008112A5">
        <w:rPr>
          <w:rFonts w:cs="Arial"/>
          <w:sz w:val="20"/>
          <w:u w:val="none"/>
          <w:lang w:val="es-AR"/>
        </w:rPr>
        <w:t>posee</w:t>
      </w:r>
      <w:r w:rsidRPr="008112A5">
        <w:rPr>
          <w:rFonts w:cs="Arial"/>
          <w:sz w:val="20"/>
          <w:u w:val="none"/>
          <w:lang w:val="es-AR"/>
        </w:rPr>
        <w:t xml:space="preserve"> una estructura profesional, eficiente y eficaz que brind</w:t>
      </w:r>
      <w:r w:rsidR="00E66B30" w:rsidRPr="008112A5">
        <w:rPr>
          <w:rFonts w:cs="Arial"/>
          <w:sz w:val="20"/>
          <w:u w:val="none"/>
          <w:lang w:val="es-AR"/>
        </w:rPr>
        <w:t>a</w:t>
      </w:r>
      <w:r w:rsidRPr="008112A5">
        <w:rPr>
          <w:rFonts w:cs="Arial"/>
          <w:sz w:val="20"/>
          <w:u w:val="none"/>
          <w:lang w:val="es-AR"/>
        </w:rPr>
        <w:t xml:space="preserve"> asesoramiento en general, sobre el mercado de capitales, y especialmente en lo referido a precios y tendencias de los activos allí transados. Es de destacar, que la empresa </w:t>
      </w:r>
      <w:r w:rsidR="002F5E7A" w:rsidRPr="008112A5">
        <w:rPr>
          <w:rFonts w:cs="Arial"/>
          <w:sz w:val="20"/>
          <w:u w:val="none"/>
          <w:lang w:val="es-AR"/>
        </w:rPr>
        <w:t>c</w:t>
      </w:r>
      <w:r w:rsidR="00E66B30" w:rsidRPr="008112A5">
        <w:rPr>
          <w:rFonts w:cs="Arial"/>
          <w:sz w:val="20"/>
          <w:u w:val="none"/>
          <w:lang w:val="es-AR"/>
        </w:rPr>
        <w:t>uenta</w:t>
      </w:r>
      <w:r w:rsidRPr="008112A5">
        <w:rPr>
          <w:rFonts w:cs="Arial"/>
          <w:sz w:val="20"/>
          <w:u w:val="none"/>
          <w:lang w:val="es-AR"/>
        </w:rPr>
        <w:t xml:space="preserve"> con un soporte técnico y de seguridad informático, que garantiza</w:t>
      </w:r>
      <w:r w:rsidR="002F5E7A" w:rsidRPr="008112A5">
        <w:rPr>
          <w:rFonts w:cs="Arial"/>
          <w:sz w:val="20"/>
          <w:u w:val="none"/>
          <w:lang w:val="es-AR"/>
        </w:rPr>
        <w:t>rá</w:t>
      </w:r>
      <w:r w:rsidRPr="008112A5">
        <w:rPr>
          <w:rFonts w:cs="Arial"/>
          <w:sz w:val="20"/>
          <w:u w:val="none"/>
          <w:lang w:val="es-AR"/>
        </w:rPr>
        <w:t xml:space="preserve"> la ejecución y autenticidad de las operaciones realizadas por sus </w:t>
      </w:r>
      <w:proofErr w:type="spellStart"/>
      <w:r w:rsidRPr="008112A5">
        <w:rPr>
          <w:rFonts w:cs="Arial"/>
          <w:sz w:val="20"/>
          <w:u w:val="none"/>
          <w:lang w:val="es-AR"/>
        </w:rPr>
        <w:t>c</w:t>
      </w:r>
      <w:r w:rsidR="004340E7" w:rsidRPr="008112A5">
        <w:rPr>
          <w:rFonts w:cs="Arial"/>
          <w:sz w:val="20"/>
          <w:u w:val="none"/>
          <w:lang w:val="es-AR"/>
        </w:rPr>
        <w:t>uotapartista</w:t>
      </w:r>
      <w:r w:rsidRPr="008112A5">
        <w:rPr>
          <w:rFonts w:cs="Arial"/>
          <w:sz w:val="20"/>
          <w:u w:val="none"/>
          <w:lang w:val="es-AR"/>
        </w:rPr>
        <w:t>s</w:t>
      </w:r>
      <w:proofErr w:type="spellEnd"/>
      <w:r w:rsidRPr="008112A5">
        <w:rPr>
          <w:rFonts w:cs="Arial"/>
          <w:sz w:val="20"/>
          <w:u w:val="none"/>
          <w:lang w:val="es-AR"/>
        </w:rPr>
        <w:t>.</w:t>
      </w:r>
    </w:p>
    <w:p w:rsidR="00774B93" w:rsidRPr="008112A5" w:rsidRDefault="00774B93" w:rsidP="00A97C43">
      <w:pPr>
        <w:pStyle w:val="Sangra2detindependiente"/>
        <w:ind w:left="0" w:firstLine="0"/>
        <w:rPr>
          <w:rFonts w:cs="Arial"/>
          <w:sz w:val="20"/>
          <w:u w:val="none"/>
          <w:lang w:val="es-AR"/>
        </w:rPr>
      </w:pPr>
    </w:p>
    <w:p w:rsidR="00774B93" w:rsidRPr="00CC0579" w:rsidRDefault="00774B93" w:rsidP="008041E1">
      <w:pPr>
        <w:pStyle w:val="Sangra2detindependiente"/>
        <w:ind w:left="709" w:firstLine="0"/>
        <w:rPr>
          <w:rFonts w:cs="Arial"/>
          <w:sz w:val="20"/>
          <w:u w:val="none"/>
          <w:lang w:val="es-AR"/>
        </w:rPr>
      </w:pPr>
      <w:r w:rsidRPr="008112A5">
        <w:rPr>
          <w:rFonts w:cs="Arial"/>
          <w:sz w:val="20"/>
          <w:u w:val="none"/>
          <w:lang w:val="es-AR"/>
        </w:rPr>
        <w:t xml:space="preserve">Para el año próximo se proyecta captar el </w:t>
      </w:r>
      <w:proofErr w:type="spellStart"/>
      <w:r w:rsidRPr="008112A5">
        <w:rPr>
          <w:rFonts w:cs="Arial"/>
          <w:sz w:val="20"/>
          <w:u w:val="none"/>
          <w:lang w:val="es-AR"/>
        </w:rPr>
        <w:t>management</w:t>
      </w:r>
      <w:proofErr w:type="spellEnd"/>
      <w:r w:rsidRPr="008112A5">
        <w:rPr>
          <w:rFonts w:cs="Arial"/>
          <w:sz w:val="20"/>
          <w:u w:val="none"/>
          <w:lang w:val="es-AR"/>
        </w:rPr>
        <w:t xml:space="preserve"> de las empresas clientes, para que usen a nuestra compañía como vehículo de in</w:t>
      </w:r>
      <w:r w:rsidR="00A97C43" w:rsidRPr="008112A5">
        <w:rPr>
          <w:rFonts w:cs="Arial"/>
          <w:sz w:val="20"/>
          <w:u w:val="none"/>
          <w:lang w:val="es-AR"/>
        </w:rPr>
        <w:t xml:space="preserve">versión y asimismo interesar a </w:t>
      </w:r>
      <w:r w:rsidRPr="008112A5">
        <w:rPr>
          <w:rFonts w:cs="Arial"/>
          <w:sz w:val="20"/>
          <w:u w:val="none"/>
          <w:lang w:val="es-AR"/>
        </w:rPr>
        <w:t>inversores institucionales.</w:t>
      </w:r>
    </w:p>
    <w:p w:rsidR="00774B93" w:rsidRPr="00CC0579" w:rsidRDefault="00774B93" w:rsidP="00774B93">
      <w:pPr>
        <w:pStyle w:val="Sangra2detindependiente"/>
        <w:ind w:left="0" w:firstLine="0"/>
        <w:rPr>
          <w:rFonts w:cs="Arial"/>
          <w:sz w:val="20"/>
          <w:u w:val="none"/>
          <w:lang w:val="es-AR"/>
        </w:rPr>
      </w:pPr>
    </w:p>
    <w:p w:rsidR="00037610" w:rsidRPr="00CC0579" w:rsidRDefault="00037610" w:rsidP="00774B93">
      <w:pPr>
        <w:pStyle w:val="Sangra2detindependiente"/>
        <w:ind w:left="0" w:firstLine="0"/>
        <w:rPr>
          <w:rFonts w:cs="Arial"/>
          <w:sz w:val="20"/>
          <w:u w:val="none"/>
          <w:lang w:val="es-AR"/>
        </w:rPr>
      </w:pPr>
    </w:p>
    <w:p w:rsidR="008041E1" w:rsidRPr="00CC0579" w:rsidRDefault="008041E1" w:rsidP="00774B93">
      <w:pPr>
        <w:pStyle w:val="Textoindependiente"/>
        <w:numPr>
          <w:ilvl w:val="1"/>
          <w:numId w:val="8"/>
        </w:numPr>
        <w:spacing w:after="0"/>
        <w:jc w:val="both"/>
        <w:rPr>
          <w:rFonts w:ascii="Arial" w:hAnsi="Arial" w:cs="Arial"/>
          <w:b/>
          <w:szCs w:val="22"/>
        </w:rPr>
      </w:pPr>
      <w:r w:rsidRPr="00CC0579">
        <w:rPr>
          <w:rFonts w:ascii="Arial" w:hAnsi="Arial" w:cs="Arial"/>
          <w:b/>
          <w:szCs w:val="22"/>
        </w:rPr>
        <w:t>OBJETIVOS PERSEGUIDOS. CONTEXTO ECONÓMICO GENERAL Y SECTORIAL</w:t>
      </w:r>
    </w:p>
    <w:p w:rsidR="008041E1" w:rsidRPr="00CC0579" w:rsidRDefault="008041E1" w:rsidP="006F378F">
      <w:pPr>
        <w:pStyle w:val="Sangra2detindependiente"/>
        <w:ind w:left="709" w:firstLine="0"/>
        <w:rPr>
          <w:rFonts w:cs="Arial"/>
          <w:sz w:val="20"/>
          <w:u w:val="none"/>
          <w:lang w:val="es-AR"/>
        </w:rPr>
      </w:pPr>
    </w:p>
    <w:p w:rsidR="00375B4E" w:rsidRPr="0021554B" w:rsidRDefault="00375B4E" w:rsidP="00375B4E">
      <w:pPr>
        <w:pStyle w:val="Sangra2detindependiente"/>
        <w:ind w:left="709" w:firstLine="0"/>
        <w:rPr>
          <w:rFonts w:cs="Arial"/>
          <w:b/>
          <w:sz w:val="20"/>
          <w:u w:val="none"/>
          <w:lang w:val="es-AR"/>
        </w:rPr>
      </w:pPr>
      <w:r w:rsidRPr="0021554B">
        <w:rPr>
          <w:rFonts w:cs="Arial"/>
          <w:b/>
          <w:sz w:val="20"/>
          <w:u w:val="none"/>
          <w:lang w:val="es-AR"/>
        </w:rPr>
        <w:t>Objetivos Perseguidos</w:t>
      </w:r>
    </w:p>
    <w:p w:rsidR="00375B4E" w:rsidRPr="0021554B" w:rsidRDefault="00375B4E" w:rsidP="00375B4E">
      <w:pPr>
        <w:pStyle w:val="Sangra2detindependiente"/>
        <w:ind w:left="709" w:firstLine="0"/>
        <w:rPr>
          <w:rFonts w:cs="Arial"/>
          <w:sz w:val="20"/>
          <w:u w:val="none"/>
          <w:lang w:val="es-AR"/>
        </w:rPr>
      </w:pPr>
    </w:p>
    <w:p w:rsidR="00375B4E" w:rsidRPr="00684551" w:rsidRDefault="00375B4E" w:rsidP="00375B4E">
      <w:pPr>
        <w:pStyle w:val="Sangra2detindependiente"/>
        <w:ind w:left="709" w:firstLine="0"/>
        <w:rPr>
          <w:rFonts w:cs="Arial"/>
          <w:sz w:val="20"/>
          <w:u w:val="none"/>
          <w:lang w:val="es-AR"/>
        </w:rPr>
      </w:pPr>
      <w:r w:rsidRPr="0021554B">
        <w:rPr>
          <w:rFonts w:cs="Arial"/>
          <w:sz w:val="20"/>
          <w:u w:val="none"/>
          <w:lang w:val="es-AR"/>
        </w:rPr>
        <w:t xml:space="preserve">El objetivo es captar </w:t>
      </w:r>
      <w:proofErr w:type="spellStart"/>
      <w:r w:rsidRPr="0021554B">
        <w:rPr>
          <w:rFonts w:cs="Arial"/>
          <w:sz w:val="20"/>
          <w:u w:val="none"/>
          <w:lang w:val="es-AR"/>
        </w:rPr>
        <w:t>cuotapartistas</w:t>
      </w:r>
      <w:proofErr w:type="spellEnd"/>
      <w:r w:rsidRPr="0021554B">
        <w:rPr>
          <w:rFonts w:cs="Arial"/>
          <w:sz w:val="20"/>
          <w:u w:val="none"/>
          <w:lang w:val="es-AR"/>
        </w:rPr>
        <w:t xml:space="preserve"> en el mercado e incentivar a los clientes del Banco para que confíen en la inversión del nuevo producto que brindamos. Al finalizar el </w:t>
      </w:r>
      <w:r w:rsidR="00EF4938">
        <w:rPr>
          <w:rFonts w:cs="Arial"/>
          <w:sz w:val="20"/>
          <w:u w:val="none"/>
          <w:lang w:val="es-AR"/>
        </w:rPr>
        <w:t>quinto</w:t>
      </w:r>
      <w:r w:rsidR="00EF4938" w:rsidRPr="0021554B">
        <w:rPr>
          <w:rFonts w:cs="Arial"/>
          <w:sz w:val="20"/>
          <w:u w:val="none"/>
          <w:lang w:val="es-AR"/>
        </w:rPr>
        <w:t xml:space="preserve"> </w:t>
      </w:r>
      <w:r w:rsidRPr="0021554B">
        <w:rPr>
          <w:rFonts w:cs="Arial"/>
          <w:sz w:val="20"/>
          <w:u w:val="none"/>
          <w:lang w:val="es-AR"/>
        </w:rPr>
        <w:t xml:space="preserve">ejercicio de actividad, se </w:t>
      </w:r>
      <w:r w:rsidR="00EF4938" w:rsidRPr="0021554B">
        <w:rPr>
          <w:rFonts w:cs="Arial"/>
          <w:sz w:val="20"/>
          <w:u w:val="none"/>
          <w:lang w:val="es-AR"/>
        </w:rPr>
        <w:t>alcanz</w:t>
      </w:r>
      <w:r w:rsidR="00EF4938">
        <w:rPr>
          <w:rFonts w:cs="Arial"/>
          <w:sz w:val="20"/>
          <w:u w:val="none"/>
          <w:lang w:val="es-AR"/>
        </w:rPr>
        <w:t xml:space="preserve">ó </w:t>
      </w:r>
      <w:proofErr w:type="spellStart"/>
      <w:r w:rsidR="00EF4938">
        <w:rPr>
          <w:rFonts w:cs="Arial"/>
          <w:sz w:val="20"/>
          <w:u w:val="none"/>
          <w:lang w:val="es-AR"/>
        </w:rPr>
        <w:t>unna</w:t>
      </w:r>
      <w:proofErr w:type="spellEnd"/>
      <w:r w:rsidR="00EF4938">
        <w:rPr>
          <w:rFonts w:cs="Arial"/>
          <w:sz w:val="20"/>
          <w:u w:val="none"/>
          <w:lang w:val="es-AR"/>
        </w:rPr>
        <w:t xml:space="preserve"> administración de</w:t>
      </w:r>
      <w:r w:rsidR="00EF4938" w:rsidRPr="0021554B">
        <w:rPr>
          <w:rFonts w:cs="Arial"/>
          <w:sz w:val="20"/>
          <w:u w:val="none"/>
          <w:lang w:val="es-AR"/>
        </w:rPr>
        <w:t xml:space="preserve"> </w:t>
      </w:r>
      <w:r w:rsidRPr="0021554B">
        <w:rPr>
          <w:rFonts w:cs="Arial"/>
          <w:sz w:val="20"/>
          <w:u w:val="none"/>
          <w:lang w:val="es-AR"/>
        </w:rPr>
        <w:t>fondos por $4.571.176.639. El modelo se basa en el conocimiento del negocio, del riesgo de cada producto y en la relación con ellos, con la idea de que esta tarea nos permita maximizar las utilidades de la sociedad, en un contexto nacional e internacional, que pasamos a comentar brevemente.</w:t>
      </w:r>
    </w:p>
    <w:p w:rsidR="00375B4E" w:rsidRDefault="00375B4E" w:rsidP="00375B4E">
      <w:pPr>
        <w:pStyle w:val="Sangra2detindependiente"/>
        <w:ind w:left="709" w:firstLine="0"/>
        <w:rPr>
          <w:rFonts w:cs="Arial"/>
          <w:sz w:val="20"/>
          <w:u w:val="none"/>
          <w:lang w:val="es-AR"/>
        </w:rPr>
      </w:pPr>
    </w:p>
    <w:p w:rsidR="00375B4E" w:rsidRPr="00B702F8" w:rsidRDefault="00375B4E" w:rsidP="00375B4E">
      <w:pPr>
        <w:pStyle w:val="Sangra2detindependiente"/>
        <w:ind w:left="709" w:firstLine="0"/>
        <w:rPr>
          <w:rFonts w:cs="Arial"/>
          <w:b/>
          <w:sz w:val="20"/>
          <w:u w:val="none"/>
          <w:lang w:val="es-AR"/>
        </w:rPr>
      </w:pPr>
      <w:r>
        <w:rPr>
          <w:rFonts w:cs="Arial"/>
          <w:b/>
          <w:sz w:val="20"/>
          <w:u w:val="none"/>
          <w:lang w:val="es-AR"/>
        </w:rPr>
        <w:t>Contexto Internacional</w:t>
      </w:r>
    </w:p>
    <w:p w:rsidR="00375B4E" w:rsidRPr="00684551" w:rsidRDefault="00375B4E" w:rsidP="00375B4E">
      <w:pPr>
        <w:pStyle w:val="Sangra2detindependiente"/>
        <w:ind w:left="709" w:firstLine="0"/>
        <w:rPr>
          <w:rFonts w:cs="Arial"/>
          <w:sz w:val="20"/>
          <w:u w:val="none"/>
          <w:lang w:val="es-AR"/>
        </w:rPr>
      </w:pPr>
    </w:p>
    <w:p w:rsidR="00375B4E" w:rsidRPr="004564AD" w:rsidRDefault="00EF4938" w:rsidP="00375B4E">
      <w:pPr>
        <w:pStyle w:val="Sangra2detindependiente"/>
        <w:ind w:left="709" w:hanging="1"/>
        <w:rPr>
          <w:rFonts w:cs="Arial"/>
          <w:sz w:val="20"/>
          <w:u w:val="none"/>
          <w:lang w:val="es-ES_tradnl"/>
        </w:rPr>
      </w:pPr>
      <w:r w:rsidRPr="00EF4938">
        <w:rPr>
          <w:rFonts w:cs="Arial"/>
          <w:sz w:val="20"/>
          <w:u w:val="none"/>
          <w:lang w:val="es-ES_tradnl"/>
        </w:rPr>
        <w:t xml:space="preserve">Durante  </w:t>
      </w:r>
      <w:r w:rsidR="00347DE6">
        <w:rPr>
          <w:rFonts w:cs="Arial"/>
          <w:sz w:val="20"/>
          <w:u w:val="none"/>
          <w:lang w:val="es-ES_tradnl"/>
        </w:rPr>
        <w:t xml:space="preserve">el ejercicio económico  2020 </w:t>
      </w:r>
      <w:r w:rsidR="00375B4E" w:rsidRPr="004564AD">
        <w:rPr>
          <w:rFonts w:cs="Arial"/>
          <w:sz w:val="20"/>
          <w:u w:val="none"/>
          <w:lang w:val="es-ES_tradnl"/>
        </w:rPr>
        <w:t xml:space="preserve">la pandemia afectó profundamente la vida y actividad </w:t>
      </w:r>
      <w:r>
        <w:rPr>
          <w:rFonts w:cs="Arial"/>
          <w:sz w:val="20"/>
          <w:u w:val="none"/>
          <w:lang w:val="es-ES_tradnl"/>
        </w:rPr>
        <w:t xml:space="preserve">económica </w:t>
      </w:r>
      <w:r w:rsidR="00375B4E" w:rsidRPr="004564AD">
        <w:rPr>
          <w:rFonts w:cs="Arial"/>
          <w:sz w:val="20"/>
          <w:u w:val="none"/>
          <w:lang w:val="es-ES_tradnl"/>
        </w:rPr>
        <w:t>de la mayor parte de la población mundial</w:t>
      </w:r>
    </w:p>
    <w:p w:rsidR="00375B4E" w:rsidRPr="004564AD" w:rsidRDefault="00375B4E" w:rsidP="00375B4E">
      <w:pPr>
        <w:pStyle w:val="Sangra2detindependiente"/>
        <w:ind w:left="709" w:firstLine="0"/>
        <w:rPr>
          <w:rFonts w:cs="Arial"/>
          <w:sz w:val="20"/>
          <w:u w:val="none"/>
          <w:lang w:val="es-ES_tradnl"/>
        </w:rPr>
      </w:pPr>
    </w:p>
    <w:p w:rsidR="00375B4E" w:rsidRPr="004564AD" w:rsidRDefault="00375B4E" w:rsidP="00375B4E">
      <w:pPr>
        <w:pStyle w:val="Sangra2detindependiente"/>
        <w:ind w:left="709" w:hanging="1"/>
        <w:rPr>
          <w:rFonts w:cs="Arial"/>
          <w:sz w:val="20"/>
          <w:u w:val="none"/>
          <w:lang w:val="es-ES_tradnl"/>
        </w:rPr>
      </w:pPr>
      <w:r w:rsidRPr="004564AD">
        <w:rPr>
          <w:rFonts w:cs="Arial"/>
          <w:sz w:val="20"/>
          <w:u w:val="none"/>
          <w:lang w:val="es-ES_tradnl"/>
        </w:rPr>
        <w:t xml:space="preserve">Acorde a datos del Fondo Monetario Internacional (FMI), a nivel global la actividad cayó estimativamente un 3,5%, siendo el peor </w:t>
      </w:r>
      <w:r w:rsidR="00945038">
        <w:rPr>
          <w:rFonts w:cs="Arial"/>
          <w:sz w:val="20"/>
          <w:u w:val="none"/>
          <w:lang w:val="es-ES_tradnl"/>
        </w:rPr>
        <w:t>registro</w:t>
      </w:r>
      <w:r w:rsidR="00945038" w:rsidRPr="004564AD">
        <w:rPr>
          <w:rFonts w:cs="Arial"/>
          <w:sz w:val="20"/>
          <w:u w:val="none"/>
          <w:lang w:val="es-ES_tradnl"/>
        </w:rPr>
        <w:t xml:space="preserve"> </w:t>
      </w:r>
      <w:r w:rsidRPr="004564AD">
        <w:rPr>
          <w:rFonts w:cs="Arial"/>
          <w:sz w:val="20"/>
          <w:u w:val="none"/>
          <w:lang w:val="es-ES_tradnl"/>
        </w:rPr>
        <w:t>desde la crisis de la década del 30. Así, el crecimiento global, que ya venía desacelerando (2,8% en 2019 y 3,6% en el 2018) encontró un freno abrupto. Es así como los principales países tuvieron un pobre desempeño macro, donde el PBI de EE.UU se contrajo 3,4% y el de la Zona Euro un 7,2%.</w:t>
      </w:r>
    </w:p>
    <w:p w:rsidR="00375B4E" w:rsidRPr="004564AD" w:rsidRDefault="00375B4E" w:rsidP="00375B4E">
      <w:pPr>
        <w:pStyle w:val="Sangra2detindependiente"/>
        <w:ind w:left="709" w:firstLine="0"/>
        <w:rPr>
          <w:rFonts w:cs="Arial"/>
          <w:sz w:val="20"/>
          <w:u w:val="none"/>
          <w:lang w:val="es-ES_tradnl"/>
        </w:rPr>
      </w:pPr>
    </w:p>
    <w:p w:rsidR="00375B4E" w:rsidRPr="004564AD" w:rsidRDefault="00375B4E" w:rsidP="00375B4E">
      <w:pPr>
        <w:pStyle w:val="Sangra2detindependiente"/>
        <w:ind w:left="709" w:hanging="1"/>
        <w:rPr>
          <w:rFonts w:cs="Arial"/>
          <w:sz w:val="20"/>
          <w:u w:val="none"/>
          <w:lang w:val="es-ES_tradnl"/>
        </w:rPr>
      </w:pPr>
      <w:r w:rsidRPr="004564AD">
        <w:rPr>
          <w:rFonts w:cs="Arial"/>
          <w:sz w:val="20"/>
          <w:u w:val="none"/>
          <w:lang w:val="es-ES_tradnl"/>
        </w:rPr>
        <w:t xml:space="preserve">Los mercados emergentes también mostraron un retroceso, con una caída del PBI del 2,4%. Solo la presencia de China, quien cerró el 2020 con un PBI creciendo el 2,3% pudo mejorar dicho promedio. Para el caso de América Latina y el Caribe, el impacto fue más profundo, ya que acarreaba un menor crecimiento, </w:t>
      </w:r>
      <w:r w:rsidR="00945038">
        <w:rPr>
          <w:rFonts w:cs="Arial"/>
          <w:sz w:val="20"/>
          <w:u w:val="none"/>
          <w:lang w:val="es-ES_tradnl"/>
        </w:rPr>
        <w:t xml:space="preserve">lo que empeoró </w:t>
      </w:r>
      <w:r w:rsidRPr="004564AD">
        <w:rPr>
          <w:rFonts w:cs="Arial"/>
          <w:sz w:val="20"/>
          <w:u w:val="none"/>
          <w:lang w:val="es-ES_tradnl"/>
        </w:rPr>
        <w:t xml:space="preserve"> la situación pre-existente</w:t>
      </w:r>
      <w:r w:rsidR="00945038">
        <w:rPr>
          <w:rFonts w:cs="Arial"/>
          <w:sz w:val="20"/>
          <w:u w:val="none"/>
          <w:lang w:val="es-ES_tradnl"/>
        </w:rPr>
        <w:t>, cerrando</w:t>
      </w:r>
      <w:r w:rsidRPr="004564AD">
        <w:rPr>
          <w:rFonts w:cs="Arial"/>
          <w:sz w:val="20"/>
          <w:u w:val="none"/>
          <w:lang w:val="es-ES_tradnl"/>
        </w:rPr>
        <w:t xml:space="preserve"> un 2019 con un crecimiento casi nulo, la región tuvo una caída del PBI en el 2020 del 7,4% (estimativamente).</w:t>
      </w:r>
    </w:p>
    <w:p w:rsidR="00375B4E" w:rsidRPr="004564AD" w:rsidRDefault="00375B4E" w:rsidP="00375B4E">
      <w:pPr>
        <w:pStyle w:val="Sangra2detindependiente"/>
        <w:ind w:left="709" w:firstLine="0"/>
        <w:rPr>
          <w:rFonts w:cs="Arial"/>
          <w:sz w:val="20"/>
          <w:u w:val="none"/>
          <w:lang w:val="es-ES_tradnl"/>
        </w:rPr>
      </w:pPr>
    </w:p>
    <w:p w:rsidR="00375B4E" w:rsidRPr="004564AD" w:rsidRDefault="00375B4E" w:rsidP="00375B4E">
      <w:pPr>
        <w:pStyle w:val="Sangra2detindependiente"/>
        <w:ind w:left="709" w:firstLine="0"/>
        <w:rPr>
          <w:rFonts w:cs="Arial"/>
          <w:sz w:val="20"/>
          <w:u w:val="none"/>
          <w:lang w:val="es-ES_tradnl"/>
        </w:rPr>
      </w:pPr>
    </w:p>
    <w:p w:rsidR="00375B4E" w:rsidRPr="004564AD" w:rsidRDefault="00375B4E" w:rsidP="00375B4E">
      <w:pPr>
        <w:pStyle w:val="Sangra2detindependiente"/>
        <w:ind w:left="709" w:hanging="1"/>
        <w:rPr>
          <w:rFonts w:cs="Arial"/>
          <w:sz w:val="20"/>
          <w:u w:val="none"/>
          <w:lang w:val="es-ES_tradnl"/>
        </w:rPr>
      </w:pPr>
      <w:r w:rsidRPr="004564AD">
        <w:rPr>
          <w:rFonts w:cs="Arial"/>
          <w:sz w:val="20"/>
          <w:u w:val="none"/>
          <w:lang w:val="es-ES_tradnl"/>
        </w:rPr>
        <w:t xml:space="preserve">Frente </w:t>
      </w:r>
      <w:r w:rsidR="00945038">
        <w:rPr>
          <w:rFonts w:cs="Arial"/>
          <w:sz w:val="20"/>
          <w:u w:val="none"/>
          <w:lang w:val="es-ES_tradnl"/>
        </w:rPr>
        <w:t>la</w:t>
      </w:r>
      <w:r w:rsidRPr="004564AD">
        <w:rPr>
          <w:rFonts w:cs="Arial"/>
          <w:sz w:val="20"/>
          <w:u w:val="none"/>
          <w:lang w:val="es-ES_tradnl"/>
        </w:rPr>
        <w:t>, a nivel global (en especial en los países desarrollados), las medidas de apoyo fueron políticas monetarias expansivas, bajas en las tasas de interés de referencia, y estímulos fiscales. A modo de ejemplo, la FED en EE.UU. bajó su tasa de referencia al 0%, ampliando también la hoja de balance desde USD 4,17 billones a USD 7,33 billones, es decir, más de un 75%.</w:t>
      </w:r>
    </w:p>
    <w:p w:rsidR="00375B4E" w:rsidRPr="004564AD" w:rsidRDefault="00375B4E" w:rsidP="00375B4E">
      <w:pPr>
        <w:pStyle w:val="Sangra2detindependiente"/>
        <w:ind w:left="709" w:firstLine="0"/>
        <w:rPr>
          <w:rFonts w:cs="Arial"/>
          <w:sz w:val="20"/>
          <w:u w:val="none"/>
          <w:lang w:val="es-ES_tradnl"/>
        </w:rPr>
      </w:pPr>
    </w:p>
    <w:p w:rsidR="00375B4E" w:rsidRPr="004564AD" w:rsidRDefault="00375B4E" w:rsidP="00375B4E">
      <w:pPr>
        <w:pStyle w:val="Sangra2detindependiente"/>
        <w:ind w:left="709" w:hanging="1"/>
        <w:rPr>
          <w:rFonts w:cs="Arial"/>
          <w:sz w:val="20"/>
          <w:u w:val="none"/>
          <w:lang w:val="es-ES_tradnl"/>
        </w:rPr>
      </w:pPr>
      <w:r w:rsidRPr="004564AD">
        <w:rPr>
          <w:rFonts w:cs="Arial"/>
          <w:sz w:val="20"/>
          <w:u w:val="none"/>
          <w:lang w:val="es-ES_tradnl"/>
        </w:rPr>
        <w:t xml:space="preserve">Producto de las amplias medidas de estímulo y los relajamientos en la cuarentena, la economía global (en especial, las desarrolladas) fueron recuperando dinamismo, donde los </w:t>
      </w:r>
      <w:r w:rsidRPr="004564AD">
        <w:rPr>
          <w:rFonts w:cs="Arial"/>
          <w:sz w:val="20"/>
          <w:u w:val="none"/>
          <w:lang w:val="es-ES_tradnl"/>
        </w:rPr>
        <w:lastRenderedPageBreak/>
        <w:t>indicadores muestran una recuperación</w:t>
      </w:r>
      <w:r w:rsidR="00945038">
        <w:rPr>
          <w:rFonts w:cs="Arial"/>
          <w:sz w:val="20"/>
          <w:u w:val="none"/>
          <w:lang w:val="es-ES_tradnl"/>
        </w:rPr>
        <w:t>.</w:t>
      </w:r>
      <w:r w:rsidRPr="004564AD">
        <w:rPr>
          <w:rFonts w:cs="Arial"/>
          <w:sz w:val="20"/>
          <w:u w:val="none"/>
          <w:lang w:val="es-ES_tradnl"/>
        </w:rPr>
        <w:t xml:space="preserve"> Así, para el 2021 las proyecciones indican un </w:t>
      </w:r>
      <w:r w:rsidR="00945038">
        <w:rPr>
          <w:rFonts w:cs="Arial"/>
          <w:sz w:val="20"/>
          <w:u w:val="none"/>
          <w:lang w:val="es-ES_tradnl"/>
        </w:rPr>
        <w:t>crecimiento</w:t>
      </w:r>
      <w:r w:rsidR="00945038" w:rsidRPr="004564AD">
        <w:rPr>
          <w:rFonts w:cs="Arial"/>
          <w:sz w:val="20"/>
          <w:u w:val="none"/>
          <w:lang w:val="es-ES_tradnl"/>
        </w:rPr>
        <w:t xml:space="preserve"> </w:t>
      </w:r>
      <w:r w:rsidRPr="004564AD">
        <w:rPr>
          <w:rFonts w:cs="Arial"/>
          <w:sz w:val="20"/>
          <w:u w:val="none"/>
          <w:lang w:val="es-ES_tradnl"/>
        </w:rPr>
        <w:t>de la actividad global en torno al 5,5%.</w:t>
      </w:r>
    </w:p>
    <w:p w:rsidR="00375B4E" w:rsidRPr="004564AD" w:rsidRDefault="00375B4E" w:rsidP="00375B4E">
      <w:pPr>
        <w:pStyle w:val="Sangra2detindependiente"/>
        <w:ind w:left="709" w:firstLine="0"/>
        <w:rPr>
          <w:rFonts w:cs="Arial"/>
          <w:sz w:val="20"/>
          <w:u w:val="none"/>
          <w:lang w:val="es-ES_tradnl"/>
        </w:rPr>
      </w:pPr>
    </w:p>
    <w:p w:rsidR="00375B4E" w:rsidRPr="004564AD" w:rsidRDefault="00375B4E" w:rsidP="00375B4E">
      <w:pPr>
        <w:pStyle w:val="Sangra2detindependiente"/>
        <w:ind w:left="709" w:hanging="1"/>
        <w:rPr>
          <w:rFonts w:cs="Arial"/>
          <w:sz w:val="20"/>
          <w:u w:val="none"/>
          <w:lang w:val="es-ES_tradnl"/>
        </w:rPr>
      </w:pPr>
      <w:r w:rsidRPr="004564AD">
        <w:rPr>
          <w:rFonts w:cs="Arial"/>
          <w:sz w:val="20"/>
          <w:u w:val="none"/>
          <w:lang w:val="es-ES_tradnl"/>
        </w:rPr>
        <w:t xml:space="preserve">Sin embargo, dicha recuperación no está exenta de riesgos. El primero </w:t>
      </w:r>
      <w:r w:rsidR="00945038" w:rsidRPr="00945038">
        <w:rPr>
          <w:rFonts w:cs="Arial"/>
          <w:sz w:val="20"/>
          <w:u w:val="none"/>
          <w:lang w:val="es-ES_tradnl"/>
        </w:rPr>
        <w:t>una nueva crisis por un resurgimiento de la pandemia</w:t>
      </w:r>
      <w:r w:rsidRPr="004564AD">
        <w:rPr>
          <w:rFonts w:cs="Arial"/>
          <w:sz w:val="20"/>
          <w:u w:val="none"/>
          <w:lang w:val="es-ES_tradnl"/>
        </w:rPr>
        <w:t>. Ya sea por una mutación en el virus o una lenta vacunación en los distintos países, una nueva ola de contagios que lleve a nuevas restricciones a la actividad podría afectar nuevamente el desempeño macro.</w:t>
      </w:r>
    </w:p>
    <w:p w:rsidR="00375B4E" w:rsidRPr="004564AD" w:rsidRDefault="00375B4E" w:rsidP="00375B4E">
      <w:pPr>
        <w:pStyle w:val="Sangra2detindependiente"/>
        <w:ind w:left="709" w:firstLine="0"/>
        <w:rPr>
          <w:rFonts w:cs="Arial"/>
          <w:sz w:val="20"/>
          <w:u w:val="none"/>
          <w:lang w:val="es-ES_tradnl"/>
        </w:rPr>
      </w:pPr>
    </w:p>
    <w:p w:rsidR="00375B4E" w:rsidRPr="004564AD" w:rsidRDefault="000E4529" w:rsidP="00375B4E">
      <w:pPr>
        <w:pStyle w:val="Sangra2detindependiente"/>
        <w:ind w:left="709" w:hanging="1"/>
        <w:rPr>
          <w:rFonts w:cs="Arial"/>
          <w:sz w:val="20"/>
          <w:u w:val="none"/>
          <w:lang w:val="es-ES_tradnl"/>
        </w:rPr>
      </w:pPr>
      <w:r>
        <w:rPr>
          <w:rFonts w:cs="Arial"/>
          <w:sz w:val="20"/>
          <w:u w:val="none"/>
          <w:lang w:val="es-ES_tradnl"/>
        </w:rPr>
        <w:t xml:space="preserve">Un segundo riesgo </w:t>
      </w:r>
      <w:proofErr w:type="gramStart"/>
      <w:r>
        <w:rPr>
          <w:rFonts w:cs="Arial"/>
          <w:sz w:val="20"/>
          <w:u w:val="none"/>
          <w:lang w:val="es-ES_tradnl"/>
        </w:rPr>
        <w:t xml:space="preserve">son los </w:t>
      </w:r>
      <w:r w:rsidR="00375B4E" w:rsidRPr="004564AD">
        <w:rPr>
          <w:rFonts w:cs="Arial"/>
          <w:sz w:val="20"/>
          <w:u w:val="none"/>
          <w:lang w:val="es-ES_tradnl"/>
        </w:rPr>
        <w:t xml:space="preserve">déficit fiscales </w:t>
      </w:r>
      <w:proofErr w:type="gramEnd"/>
      <w:r w:rsidR="006A316A">
        <w:rPr>
          <w:rFonts w:cs="Arial"/>
          <w:sz w:val="20"/>
          <w:u w:val="none"/>
          <w:lang w:val="es-ES_tradnl"/>
        </w:rPr>
        <w:t xml:space="preserve"> en conjunto</w:t>
      </w:r>
      <w:r w:rsidR="00375B4E" w:rsidRPr="004564AD">
        <w:rPr>
          <w:rFonts w:cs="Arial"/>
          <w:sz w:val="20"/>
          <w:u w:val="none"/>
          <w:lang w:val="es-ES_tradnl"/>
        </w:rPr>
        <w:t xml:space="preserve"> con amplias medidas de estímulos monetarios. Para el caso de EE.UU., el déficit primario en torno al 15% / 16% representa la cifra más alta desde 1945. El riesgo en este sentido es que se tenga un repunte en la inflación.</w:t>
      </w:r>
    </w:p>
    <w:p w:rsidR="00375B4E" w:rsidRPr="004564AD" w:rsidRDefault="00375B4E" w:rsidP="00375B4E">
      <w:pPr>
        <w:pStyle w:val="Sangra2detindependiente"/>
        <w:ind w:left="709" w:firstLine="0"/>
        <w:rPr>
          <w:rFonts w:cs="Arial"/>
          <w:sz w:val="20"/>
          <w:u w:val="none"/>
          <w:lang w:val="es-ES_tradnl"/>
        </w:rPr>
      </w:pPr>
    </w:p>
    <w:p w:rsidR="00375B4E" w:rsidRPr="004564AD" w:rsidRDefault="006A316A" w:rsidP="00375B4E">
      <w:pPr>
        <w:pStyle w:val="Sangra2detindependiente"/>
        <w:ind w:left="709" w:firstLine="0"/>
        <w:rPr>
          <w:rFonts w:cs="Arial"/>
          <w:sz w:val="20"/>
          <w:u w:val="none"/>
          <w:lang w:val="es-ES_tradnl"/>
        </w:rPr>
      </w:pPr>
      <w:r>
        <w:rPr>
          <w:rFonts w:cs="Arial"/>
          <w:sz w:val="20"/>
          <w:u w:val="none"/>
          <w:lang w:val="es-ES_tradnl"/>
        </w:rPr>
        <w:t>Finalmente</w:t>
      </w:r>
      <w:r w:rsidR="00375B4E" w:rsidRPr="004564AD">
        <w:rPr>
          <w:rFonts w:cs="Arial"/>
          <w:sz w:val="20"/>
          <w:u w:val="none"/>
          <w:lang w:val="es-ES_tradnl"/>
        </w:rPr>
        <w:t xml:space="preserve">, como tercer riesgo, </w:t>
      </w:r>
      <w:r w:rsidR="000E4529">
        <w:rPr>
          <w:rFonts w:cs="Arial"/>
          <w:sz w:val="20"/>
          <w:u w:val="none"/>
          <w:lang w:val="es-ES_tradnl"/>
        </w:rPr>
        <w:t>la oportunidad</w:t>
      </w:r>
      <w:r>
        <w:rPr>
          <w:rFonts w:cs="Arial"/>
          <w:sz w:val="20"/>
          <w:u w:val="none"/>
          <w:lang w:val="es-ES_tradnl"/>
        </w:rPr>
        <w:t xml:space="preserve"> del </w:t>
      </w:r>
      <w:r w:rsidR="00375B4E" w:rsidRPr="004564AD">
        <w:rPr>
          <w:rFonts w:cs="Arial"/>
          <w:sz w:val="20"/>
          <w:u w:val="none"/>
          <w:lang w:val="es-ES_tradnl"/>
        </w:rPr>
        <w:t>retiro de los estímulos puede perjudicar la recupe</w:t>
      </w:r>
      <w:r w:rsidR="00A73662">
        <w:rPr>
          <w:rFonts w:cs="Arial"/>
          <w:sz w:val="20"/>
          <w:u w:val="none"/>
          <w:lang w:val="es-ES_tradnl"/>
        </w:rPr>
        <w:t>ración en el nivel de actividad,</w:t>
      </w:r>
      <w:r w:rsidR="00375B4E" w:rsidRPr="004564AD">
        <w:rPr>
          <w:rFonts w:cs="Arial"/>
          <w:sz w:val="20"/>
          <w:u w:val="none"/>
          <w:lang w:val="es-ES_tradnl"/>
        </w:rPr>
        <w:t xml:space="preserve"> </w:t>
      </w:r>
      <w:r w:rsidRPr="006A316A">
        <w:rPr>
          <w:rFonts w:cs="Arial"/>
          <w:sz w:val="20"/>
          <w:u w:val="none"/>
          <w:lang w:val="es-ES_tradnl"/>
        </w:rPr>
        <w:t>pero mantenerlos</w:t>
      </w:r>
      <w:r w:rsidR="00A73662">
        <w:rPr>
          <w:rFonts w:cs="Arial"/>
          <w:sz w:val="20"/>
          <w:u w:val="none"/>
          <w:lang w:val="es-ES_tradnl"/>
        </w:rPr>
        <w:t>,</w:t>
      </w:r>
      <w:r w:rsidRPr="006A316A">
        <w:rPr>
          <w:rFonts w:cs="Arial"/>
          <w:sz w:val="20"/>
          <w:u w:val="none"/>
          <w:lang w:val="es-ES_tradnl"/>
        </w:rPr>
        <w:t xml:space="preserve"> podría incrementar los índices de inflación</w:t>
      </w:r>
      <w:proofErr w:type="gramStart"/>
      <w:r>
        <w:rPr>
          <w:rFonts w:cs="Arial"/>
          <w:sz w:val="20"/>
          <w:u w:val="none"/>
          <w:lang w:val="es-ES_tradnl"/>
        </w:rPr>
        <w:t>.</w:t>
      </w:r>
      <w:r w:rsidR="00375B4E" w:rsidRPr="004564AD">
        <w:rPr>
          <w:rFonts w:cs="Arial"/>
          <w:sz w:val="20"/>
          <w:u w:val="none"/>
          <w:lang w:val="es-ES_tradnl"/>
        </w:rPr>
        <w:t>.</w:t>
      </w:r>
      <w:proofErr w:type="gramEnd"/>
    </w:p>
    <w:p w:rsidR="00375B4E" w:rsidRDefault="00375B4E" w:rsidP="00375B4E">
      <w:pPr>
        <w:pStyle w:val="Sangra2detindependiente"/>
        <w:ind w:left="709" w:firstLine="0"/>
        <w:rPr>
          <w:rFonts w:cs="Arial"/>
          <w:b/>
          <w:sz w:val="20"/>
          <w:u w:val="none"/>
          <w:lang w:val="es-AR"/>
        </w:rPr>
      </w:pPr>
    </w:p>
    <w:p w:rsidR="00375B4E" w:rsidRPr="00B702F8" w:rsidRDefault="00375B4E" w:rsidP="00375B4E">
      <w:pPr>
        <w:pStyle w:val="Sangra2detindependiente"/>
        <w:ind w:left="709" w:firstLine="0"/>
        <w:rPr>
          <w:rFonts w:cs="Arial"/>
          <w:b/>
          <w:sz w:val="20"/>
          <w:u w:val="none"/>
          <w:lang w:val="es-AR"/>
        </w:rPr>
      </w:pPr>
      <w:r w:rsidRPr="00B702F8">
        <w:rPr>
          <w:rFonts w:cs="Arial"/>
          <w:b/>
          <w:sz w:val="20"/>
          <w:u w:val="none"/>
          <w:lang w:val="es-AR"/>
        </w:rPr>
        <w:t>Contexto Local</w:t>
      </w:r>
    </w:p>
    <w:p w:rsidR="00375B4E" w:rsidRPr="00B702F8"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8" w:firstLine="0"/>
        <w:rPr>
          <w:rFonts w:cs="Arial"/>
          <w:sz w:val="20"/>
          <w:u w:val="none"/>
          <w:lang w:val="es-AR"/>
        </w:rPr>
      </w:pPr>
      <w:r w:rsidRPr="008B01A5">
        <w:rPr>
          <w:rFonts w:cs="Arial"/>
          <w:sz w:val="20"/>
          <w:u w:val="none"/>
          <w:lang w:val="es-AR"/>
        </w:rPr>
        <w:t>El contexto internacional descripto afectó de sobremanera a los mercados emergentes, y dentro de éstos, a la Argentina en particular</w:t>
      </w:r>
      <w:r w:rsidR="00610347">
        <w:rPr>
          <w:rFonts w:cs="Arial"/>
          <w:sz w:val="20"/>
          <w:u w:val="none"/>
          <w:lang w:val="es-AR"/>
        </w:rPr>
        <w:t xml:space="preserve"> con</w:t>
      </w:r>
      <w:r w:rsidRPr="008B01A5">
        <w:rPr>
          <w:rFonts w:cs="Arial"/>
          <w:sz w:val="20"/>
          <w:u w:val="none"/>
          <w:lang w:val="es-AR"/>
        </w:rPr>
        <w:t xml:space="preserve"> fuerte caída del PBI, desaceleración de la inflación, </w:t>
      </w:r>
      <w:r w:rsidR="006A316A" w:rsidRPr="006A316A">
        <w:rPr>
          <w:rFonts w:cs="Arial"/>
          <w:sz w:val="20"/>
          <w:u w:val="none"/>
          <w:lang w:val="es-AR"/>
        </w:rPr>
        <w:t>por reducción de la actividad económica,</w:t>
      </w:r>
      <w:r w:rsidR="006A316A" w:rsidRPr="006A316A">
        <w:t xml:space="preserve"> </w:t>
      </w:r>
      <w:r w:rsidR="006A316A" w:rsidRPr="006A316A">
        <w:rPr>
          <w:rFonts w:cs="Arial"/>
          <w:sz w:val="20"/>
          <w:u w:val="none"/>
          <w:lang w:val="es-AR"/>
        </w:rPr>
        <w:t>e incremento del déficit fiscal</w:t>
      </w:r>
      <w:r w:rsidR="006A316A" w:rsidRPr="006A316A" w:rsidDel="006A316A">
        <w:rPr>
          <w:rFonts w:cs="Arial"/>
          <w:sz w:val="20"/>
          <w:u w:val="none"/>
          <w:lang w:val="es-AR"/>
        </w:rPr>
        <w:t xml:space="preserve"> </w:t>
      </w:r>
      <w:r w:rsidRPr="008B01A5">
        <w:rPr>
          <w:rFonts w:cs="Arial"/>
          <w:sz w:val="20"/>
          <w:u w:val="none"/>
          <w:lang w:val="es-AR"/>
        </w:rPr>
        <w:t>.</w:t>
      </w:r>
    </w:p>
    <w:p w:rsidR="00375B4E" w:rsidRPr="008B01A5" w:rsidRDefault="00375B4E" w:rsidP="00375B4E">
      <w:pPr>
        <w:pStyle w:val="Sangra2detindependiente"/>
        <w:ind w:left="709" w:firstLine="0"/>
        <w:rPr>
          <w:rFonts w:cs="Arial"/>
          <w:sz w:val="20"/>
          <w:u w:val="none"/>
          <w:lang w:val="es-AR"/>
        </w:rPr>
      </w:pPr>
    </w:p>
    <w:p w:rsidR="00375B4E" w:rsidRPr="008B01A5" w:rsidRDefault="006A316A" w:rsidP="00375B4E">
      <w:pPr>
        <w:pStyle w:val="Sangra2detindependiente"/>
        <w:ind w:left="709" w:firstLine="0"/>
        <w:rPr>
          <w:rFonts w:cs="Arial"/>
          <w:sz w:val="20"/>
          <w:u w:val="none"/>
          <w:lang w:val="es-AR"/>
        </w:rPr>
      </w:pPr>
      <w:r>
        <w:rPr>
          <w:rFonts w:cs="Arial"/>
          <w:sz w:val="20"/>
          <w:u w:val="none"/>
          <w:lang w:val="es-AR"/>
        </w:rPr>
        <w:t>El</w:t>
      </w:r>
      <w:r w:rsidR="00375B4E" w:rsidRPr="008B01A5">
        <w:rPr>
          <w:rFonts w:cs="Arial"/>
          <w:sz w:val="20"/>
          <w:u w:val="none"/>
          <w:lang w:val="es-AR"/>
        </w:rPr>
        <w:t xml:space="preserve"> PBI </w:t>
      </w:r>
      <w:r>
        <w:rPr>
          <w:rFonts w:cs="Arial"/>
          <w:sz w:val="20"/>
          <w:u w:val="none"/>
          <w:lang w:val="es-AR"/>
        </w:rPr>
        <w:t xml:space="preserve">se </w:t>
      </w:r>
      <w:r w:rsidR="00610347">
        <w:rPr>
          <w:rFonts w:cs="Arial"/>
          <w:sz w:val="20"/>
          <w:u w:val="none"/>
          <w:lang w:val="es-AR"/>
        </w:rPr>
        <w:t>redujo</w:t>
      </w:r>
      <w:r w:rsidR="00375B4E" w:rsidRPr="008B01A5">
        <w:rPr>
          <w:rFonts w:cs="Arial"/>
          <w:sz w:val="20"/>
          <w:u w:val="none"/>
          <w:lang w:val="es-AR"/>
        </w:rPr>
        <w:t xml:space="preserve"> estimado del 10%, donde componentes como la inversión bruta fija tuvo una caída de alrededor del 20% anual. </w:t>
      </w: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Dada la crisis sanitaria y su impacto en la actividad, el Estado llevó adelante diversas medidas de asistencia con su correlato en los números fiscales (aunque cabe destacar que el gasto público corriente no relacionado a la pandemia también estuvo en aumento). Ante dicha dinámica, el resultado fiscal primario que en 2019 estaba casi en equilibrio (y a priori se espera que continúe en 2020) se deterioró a un déficit del 6,5% del PBI.</w:t>
      </w:r>
    </w:p>
    <w:p w:rsidR="00375B4E" w:rsidRPr="008B01A5"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 xml:space="preserve">A su vez, las variables fiscales impactaron en las monetarias, dado que el BCRA fue quien vía adelantos transitorios y giro de utilidades (es decir, emisión monetaria) financió principalmente el mencionado déficit. De tal modo los agregados monetarios tuvieron altas variaciones. </w:t>
      </w:r>
    </w:p>
    <w:p w:rsidR="00375B4E" w:rsidRPr="008B01A5"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9" w:firstLine="0"/>
        <w:rPr>
          <w:rFonts w:cs="Arial"/>
          <w:sz w:val="20"/>
          <w:u w:val="none"/>
          <w:lang w:val="es-AR"/>
        </w:rPr>
      </w:pPr>
      <w:r w:rsidRPr="008B01A5">
        <w:rPr>
          <w:rFonts w:cs="Arial"/>
          <w:sz w:val="20"/>
          <w:u w:val="none"/>
          <w:lang w:val="es-AR"/>
        </w:rPr>
        <w:t xml:space="preserve">A pesar de la alta emisión monetaria, la inflación fue del 36,1% anual en el 2020, descendiendo desde el 53,8% del 2019. Ello se debe principalmente por 3 motivos: </w:t>
      </w:r>
      <w:r w:rsidR="006A316A">
        <w:rPr>
          <w:rFonts w:cs="Arial"/>
          <w:sz w:val="20"/>
          <w:u w:val="none"/>
          <w:lang w:val="es-AR"/>
        </w:rPr>
        <w:t>la reducción</w:t>
      </w:r>
      <w:r w:rsidRPr="008B01A5">
        <w:rPr>
          <w:rFonts w:cs="Arial"/>
          <w:sz w:val="20"/>
          <w:u w:val="none"/>
          <w:lang w:val="es-AR"/>
        </w:rPr>
        <w:t xml:space="preserve"> en el nivel de actividad, un bajo grado nivel de monetización con que se iniciaba el 2020 (permitiendo cierta emisión sin mayores consecuencias inflacionarias), y las medidas de control de cambios que impidieron una mayor devaluación del dólar oficial.</w:t>
      </w:r>
    </w:p>
    <w:p w:rsidR="00375B4E" w:rsidRPr="008B01A5" w:rsidRDefault="00375B4E" w:rsidP="00375B4E">
      <w:pPr>
        <w:pStyle w:val="Sangra2detindependiente"/>
        <w:ind w:left="709" w:firstLine="0"/>
        <w:rPr>
          <w:rFonts w:cs="Arial"/>
          <w:sz w:val="20"/>
          <w:u w:val="none"/>
          <w:lang w:val="es-AR"/>
        </w:rPr>
      </w:pPr>
    </w:p>
    <w:p w:rsidR="00375B4E" w:rsidRDefault="00375B4E" w:rsidP="00375B4E">
      <w:pPr>
        <w:pStyle w:val="Sangra2detindependiente"/>
        <w:ind w:left="709" w:firstLine="0"/>
        <w:rPr>
          <w:rFonts w:cs="Arial"/>
          <w:sz w:val="20"/>
          <w:u w:val="none"/>
          <w:lang w:val="es-AR"/>
        </w:rPr>
      </w:pPr>
      <w:r w:rsidRPr="008B01A5">
        <w:rPr>
          <w:rFonts w:cs="Arial"/>
          <w:sz w:val="20"/>
          <w:u w:val="none"/>
          <w:lang w:val="es-AR"/>
        </w:rPr>
        <w:t xml:space="preserve">Relacionado a esta última variable, el tipo de cambio nominal oficial subió en el año un 40,5%, estando levemente por encima de la inflación. </w:t>
      </w:r>
    </w:p>
    <w:p w:rsidR="00375B4E" w:rsidRPr="006E393A" w:rsidRDefault="00375B4E" w:rsidP="00375B4E">
      <w:pPr>
        <w:pStyle w:val="Sangra2detindependiente"/>
        <w:ind w:left="709" w:firstLine="0"/>
        <w:rPr>
          <w:rFonts w:cs="Arial"/>
          <w:sz w:val="20"/>
          <w:u w:val="none"/>
          <w:lang w:val="es-AR"/>
        </w:rPr>
      </w:pPr>
    </w:p>
    <w:p w:rsidR="00375B4E" w:rsidRPr="006E393A" w:rsidRDefault="00375B4E" w:rsidP="00375B4E">
      <w:pPr>
        <w:pStyle w:val="Sangra2detindependiente"/>
        <w:ind w:left="709" w:firstLine="0"/>
        <w:rPr>
          <w:rFonts w:cs="Arial"/>
          <w:b/>
          <w:sz w:val="20"/>
          <w:u w:val="none"/>
          <w:lang w:val="es-AR"/>
        </w:rPr>
      </w:pPr>
      <w:r w:rsidRPr="005A7643">
        <w:rPr>
          <w:rFonts w:cs="Arial"/>
          <w:b/>
          <w:sz w:val="20"/>
          <w:u w:val="none"/>
          <w:lang w:val="es-AR"/>
        </w:rPr>
        <w:t>Los Fondos Comunes de Inversión</w:t>
      </w:r>
    </w:p>
    <w:p w:rsidR="00375B4E" w:rsidRPr="006E393A" w:rsidRDefault="00375B4E" w:rsidP="00375B4E">
      <w:pPr>
        <w:pStyle w:val="Sangra2detindependiente"/>
        <w:ind w:left="709" w:firstLine="0"/>
        <w:rPr>
          <w:rFonts w:cs="Arial"/>
          <w:sz w:val="20"/>
          <w:u w:val="none"/>
          <w:lang w:val="es-AR"/>
        </w:rPr>
      </w:pPr>
    </w:p>
    <w:p w:rsidR="00375B4E" w:rsidRPr="006E393A" w:rsidRDefault="00375B4E" w:rsidP="00375B4E">
      <w:pPr>
        <w:pStyle w:val="Sangra2detindependiente"/>
        <w:ind w:left="709" w:firstLine="0"/>
        <w:rPr>
          <w:rFonts w:cs="Arial"/>
          <w:sz w:val="20"/>
          <w:u w:val="none"/>
          <w:lang w:val="es-AR"/>
        </w:rPr>
      </w:pPr>
      <w:r>
        <w:rPr>
          <w:rFonts w:cs="Arial"/>
          <w:sz w:val="20"/>
          <w:u w:val="none"/>
          <w:lang w:val="es-AR"/>
        </w:rPr>
        <w:t>A pesar</w:t>
      </w:r>
      <w:r w:rsidRPr="006E393A">
        <w:rPr>
          <w:rFonts w:cs="Arial"/>
          <w:sz w:val="20"/>
          <w:u w:val="none"/>
          <w:lang w:val="es-AR"/>
        </w:rPr>
        <w:t xml:space="preserve"> </w:t>
      </w:r>
      <w:r>
        <w:rPr>
          <w:rFonts w:cs="Arial"/>
          <w:sz w:val="20"/>
          <w:u w:val="none"/>
          <w:lang w:val="es-AR"/>
        </w:rPr>
        <w:t>del turbulento</w:t>
      </w:r>
      <w:r w:rsidRPr="006E393A">
        <w:rPr>
          <w:rFonts w:cs="Arial"/>
          <w:sz w:val="20"/>
          <w:u w:val="none"/>
          <w:lang w:val="es-AR"/>
        </w:rPr>
        <w:t xml:space="preserve"> clima financiero global y local, </w:t>
      </w:r>
      <w:r>
        <w:rPr>
          <w:rFonts w:cs="Arial"/>
          <w:sz w:val="20"/>
          <w:u w:val="none"/>
          <w:lang w:val="es-AR"/>
        </w:rPr>
        <w:t xml:space="preserve">donde </w:t>
      </w:r>
      <w:r w:rsidRPr="006E393A">
        <w:rPr>
          <w:rFonts w:cs="Arial"/>
          <w:sz w:val="20"/>
          <w:u w:val="none"/>
          <w:lang w:val="es-AR"/>
        </w:rPr>
        <w:t>el año 20</w:t>
      </w:r>
      <w:r>
        <w:rPr>
          <w:rFonts w:cs="Arial"/>
          <w:sz w:val="20"/>
          <w:u w:val="none"/>
          <w:lang w:val="es-AR"/>
        </w:rPr>
        <w:t>20</w:t>
      </w:r>
      <w:r w:rsidRPr="006E393A">
        <w:rPr>
          <w:rFonts w:cs="Arial"/>
          <w:sz w:val="20"/>
          <w:u w:val="none"/>
          <w:lang w:val="es-AR"/>
        </w:rPr>
        <w:t xml:space="preserve"> se presentó muy </w:t>
      </w:r>
      <w:r>
        <w:rPr>
          <w:rFonts w:cs="Arial"/>
          <w:sz w:val="20"/>
          <w:u w:val="none"/>
          <w:lang w:val="es-AR"/>
        </w:rPr>
        <w:t>desafiante</w:t>
      </w:r>
      <w:r w:rsidRPr="006E393A">
        <w:rPr>
          <w:rFonts w:cs="Arial"/>
          <w:sz w:val="20"/>
          <w:u w:val="none"/>
          <w:lang w:val="es-AR"/>
        </w:rPr>
        <w:t xml:space="preserve"> para los fondos comunes de inversión (FCI), </w:t>
      </w:r>
      <w:r>
        <w:rPr>
          <w:rFonts w:cs="Arial"/>
          <w:sz w:val="20"/>
          <w:u w:val="none"/>
          <w:lang w:val="es-AR"/>
        </w:rPr>
        <w:t xml:space="preserve">estos han </w:t>
      </w:r>
      <w:r w:rsidRPr="006E393A">
        <w:rPr>
          <w:rFonts w:cs="Arial"/>
          <w:sz w:val="20"/>
          <w:u w:val="none"/>
          <w:lang w:val="es-AR"/>
        </w:rPr>
        <w:t>tenido una evolución favorable</w:t>
      </w:r>
      <w:r>
        <w:rPr>
          <w:rFonts w:cs="Arial"/>
          <w:sz w:val="20"/>
          <w:u w:val="none"/>
          <w:lang w:val="es-AR"/>
        </w:rPr>
        <w:t xml:space="preserve"> a nivel sectorial</w:t>
      </w:r>
      <w:r w:rsidRPr="006E393A">
        <w:rPr>
          <w:rFonts w:cs="Arial"/>
          <w:sz w:val="20"/>
          <w:u w:val="none"/>
          <w:lang w:val="es-AR"/>
        </w:rPr>
        <w:t xml:space="preserve">. A </w:t>
      </w:r>
      <w:r>
        <w:rPr>
          <w:rFonts w:cs="Arial"/>
          <w:sz w:val="20"/>
          <w:u w:val="none"/>
          <w:lang w:val="es-AR"/>
        </w:rPr>
        <w:t>finales de Diciembre del 2020</w:t>
      </w:r>
      <w:r w:rsidRPr="006E393A">
        <w:rPr>
          <w:rFonts w:cs="Arial"/>
          <w:sz w:val="20"/>
          <w:u w:val="none"/>
          <w:lang w:val="es-AR"/>
        </w:rPr>
        <w:t xml:space="preserve">, los FCI Abiertos presentaron un ascenso patrimonial de </w:t>
      </w:r>
      <w:r>
        <w:rPr>
          <w:rFonts w:cs="Arial"/>
          <w:sz w:val="20"/>
          <w:u w:val="none"/>
          <w:lang w:val="es-AR"/>
        </w:rPr>
        <w:t>130,3</w:t>
      </w:r>
      <w:r w:rsidRPr="006E393A">
        <w:rPr>
          <w:rFonts w:cs="Arial"/>
          <w:sz w:val="20"/>
          <w:u w:val="none"/>
          <w:lang w:val="es-AR"/>
        </w:rPr>
        <w:t>% anual (</w:t>
      </w:r>
      <w:r>
        <w:rPr>
          <w:rFonts w:cs="Arial"/>
          <w:sz w:val="20"/>
          <w:u w:val="none"/>
          <w:lang w:val="es-AR"/>
        </w:rPr>
        <w:t xml:space="preserve">alcanzando casi los </w:t>
      </w:r>
      <w:r w:rsidRPr="006E393A">
        <w:rPr>
          <w:rFonts w:cs="Arial"/>
          <w:sz w:val="20"/>
          <w:u w:val="none"/>
          <w:lang w:val="es-AR"/>
        </w:rPr>
        <w:t xml:space="preserve">ARS </w:t>
      </w:r>
      <w:r>
        <w:rPr>
          <w:rFonts w:cs="Arial"/>
          <w:sz w:val="20"/>
          <w:u w:val="none"/>
          <w:lang w:val="es-AR"/>
        </w:rPr>
        <w:t>1,90</w:t>
      </w:r>
      <w:r w:rsidRPr="006E393A">
        <w:rPr>
          <w:rFonts w:cs="Arial"/>
          <w:sz w:val="20"/>
          <w:u w:val="none"/>
          <w:lang w:val="es-AR"/>
        </w:rPr>
        <w:t xml:space="preserve"> </w:t>
      </w:r>
      <w:r>
        <w:rPr>
          <w:rFonts w:cs="Arial"/>
          <w:sz w:val="20"/>
          <w:u w:val="none"/>
          <w:lang w:val="es-AR"/>
        </w:rPr>
        <w:t xml:space="preserve">billones de </w:t>
      </w:r>
      <w:r>
        <w:rPr>
          <w:rFonts w:cs="Arial"/>
          <w:sz w:val="20"/>
          <w:u w:val="none"/>
          <w:lang w:val="es-AR"/>
        </w:rPr>
        <w:lastRenderedPageBreak/>
        <w:t>patrimonio), originado</w:t>
      </w:r>
      <w:r w:rsidRPr="006E393A">
        <w:rPr>
          <w:rFonts w:cs="Arial"/>
          <w:sz w:val="20"/>
          <w:u w:val="none"/>
          <w:lang w:val="es-AR"/>
        </w:rPr>
        <w:t xml:space="preserve"> por </w:t>
      </w:r>
      <w:r>
        <w:rPr>
          <w:rFonts w:cs="Arial"/>
          <w:sz w:val="20"/>
          <w:u w:val="none"/>
          <w:lang w:val="es-AR"/>
        </w:rPr>
        <w:t>suscripciones</w:t>
      </w:r>
      <w:r w:rsidRPr="006E393A">
        <w:rPr>
          <w:rFonts w:cs="Arial"/>
          <w:sz w:val="20"/>
          <w:u w:val="none"/>
          <w:lang w:val="es-AR"/>
        </w:rPr>
        <w:t xml:space="preserve"> net</w:t>
      </w:r>
      <w:r>
        <w:rPr>
          <w:rFonts w:cs="Arial"/>
          <w:sz w:val="20"/>
          <w:u w:val="none"/>
          <w:lang w:val="es-AR"/>
        </w:rPr>
        <w:t>a</w:t>
      </w:r>
      <w:r w:rsidRPr="006E393A">
        <w:rPr>
          <w:rFonts w:cs="Arial"/>
          <w:sz w:val="20"/>
          <w:u w:val="none"/>
          <w:lang w:val="es-AR"/>
        </w:rPr>
        <w:t xml:space="preserve">s en ARS </w:t>
      </w:r>
      <w:r>
        <w:rPr>
          <w:rFonts w:cs="Arial"/>
          <w:sz w:val="20"/>
          <w:u w:val="none"/>
          <w:lang w:val="es-AR"/>
        </w:rPr>
        <w:t>749.816</w:t>
      </w:r>
      <w:r w:rsidRPr="006E393A">
        <w:rPr>
          <w:rFonts w:cs="Arial"/>
          <w:sz w:val="20"/>
          <w:u w:val="none"/>
          <w:lang w:val="es-AR"/>
        </w:rPr>
        <w:t xml:space="preserve"> millones y </w:t>
      </w:r>
      <w:r>
        <w:rPr>
          <w:rFonts w:cs="Arial"/>
          <w:sz w:val="20"/>
          <w:u w:val="none"/>
          <w:lang w:val="es-AR"/>
        </w:rPr>
        <w:t xml:space="preserve">una </w:t>
      </w:r>
      <w:r w:rsidRPr="006E393A">
        <w:rPr>
          <w:rFonts w:cs="Arial"/>
          <w:sz w:val="20"/>
          <w:u w:val="none"/>
          <w:lang w:val="es-AR"/>
        </w:rPr>
        <w:t>rentabilidad de</w:t>
      </w:r>
      <w:r>
        <w:rPr>
          <w:rFonts w:cs="Arial"/>
          <w:sz w:val="20"/>
          <w:u w:val="none"/>
          <w:lang w:val="es-AR"/>
        </w:rPr>
        <w:t>l 39,4% (ARS 324.508 millones)</w:t>
      </w:r>
      <w:r w:rsidRPr="006E393A">
        <w:rPr>
          <w:rFonts w:cs="Arial"/>
          <w:sz w:val="20"/>
          <w:u w:val="none"/>
          <w:lang w:val="es-AR"/>
        </w:rPr>
        <w:t>.</w:t>
      </w:r>
    </w:p>
    <w:p w:rsidR="00375B4E" w:rsidRPr="006E393A" w:rsidRDefault="00375B4E" w:rsidP="00375B4E">
      <w:pPr>
        <w:pStyle w:val="Sangra2detindependiente"/>
        <w:ind w:left="709" w:firstLine="0"/>
        <w:rPr>
          <w:rFonts w:cs="Arial"/>
          <w:sz w:val="20"/>
          <w:u w:val="none"/>
          <w:lang w:val="es-AR"/>
        </w:rPr>
      </w:pPr>
    </w:p>
    <w:p w:rsidR="00375B4E" w:rsidRPr="006E393A" w:rsidRDefault="00375B4E" w:rsidP="00375B4E">
      <w:pPr>
        <w:pStyle w:val="Sangra2detindependiente"/>
        <w:ind w:left="709" w:firstLine="0"/>
        <w:rPr>
          <w:rFonts w:cs="Arial"/>
          <w:sz w:val="20"/>
          <w:u w:val="none"/>
          <w:lang w:val="es-AR"/>
        </w:rPr>
      </w:pPr>
      <w:r w:rsidRPr="006E393A">
        <w:rPr>
          <w:rFonts w:cs="Arial"/>
          <w:sz w:val="20"/>
          <w:u w:val="none"/>
          <w:lang w:val="es-AR"/>
        </w:rPr>
        <w:t xml:space="preserve">Dentro de dicho total administrado, la mayor parte corresponde a fondos de </w:t>
      </w:r>
      <w:proofErr w:type="spellStart"/>
      <w:r>
        <w:rPr>
          <w:rFonts w:cs="Arial"/>
          <w:sz w:val="20"/>
          <w:u w:val="none"/>
          <w:lang w:val="es-AR"/>
        </w:rPr>
        <w:t>money</w:t>
      </w:r>
      <w:proofErr w:type="spellEnd"/>
      <w:r>
        <w:rPr>
          <w:rFonts w:cs="Arial"/>
          <w:sz w:val="20"/>
          <w:u w:val="none"/>
          <w:lang w:val="es-AR"/>
        </w:rPr>
        <w:t xml:space="preserve"> </w:t>
      </w:r>
      <w:proofErr w:type="spellStart"/>
      <w:r>
        <w:rPr>
          <w:rFonts w:cs="Arial"/>
          <w:sz w:val="20"/>
          <w:u w:val="none"/>
          <w:lang w:val="es-AR"/>
        </w:rPr>
        <w:t>market</w:t>
      </w:r>
      <w:proofErr w:type="spellEnd"/>
      <w:r w:rsidRPr="006E393A">
        <w:rPr>
          <w:rFonts w:cs="Arial"/>
          <w:sz w:val="20"/>
          <w:u w:val="none"/>
          <w:lang w:val="es-AR"/>
        </w:rPr>
        <w:t xml:space="preserve"> (</w:t>
      </w:r>
      <w:r>
        <w:rPr>
          <w:rFonts w:cs="Arial"/>
          <w:sz w:val="20"/>
          <w:u w:val="none"/>
          <w:lang w:val="es-AR"/>
        </w:rPr>
        <w:t>47</w:t>
      </w:r>
      <w:r w:rsidRPr="006E393A">
        <w:rPr>
          <w:rFonts w:cs="Arial"/>
          <w:sz w:val="20"/>
          <w:u w:val="none"/>
          <w:lang w:val="es-AR"/>
        </w:rPr>
        <w:t xml:space="preserve">%), seguido por los fondos de </w:t>
      </w:r>
      <w:r>
        <w:rPr>
          <w:rFonts w:cs="Arial"/>
          <w:sz w:val="20"/>
          <w:u w:val="none"/>
          <w:lang w:val="es-AR"/>
        </w:rPr>
        <w:t>renta fija</w:t>
      </w:r>
      <w:r w:rsidRPr="006E393A">
        <w:rPr>
          <w:rFonts w:cs="Arial"/>
          <w:sz w:val="20"/>
          <w:u w:val="none"/>
          <w:lang w:val="es-AR"/>
        </w:rPr>
        <w:t xml:space="preserve"> (</w:t>
      </w:r>
      <w:r>
        <w:rPr>
          <w:rFonts w:cs="Arial"/>
          <w:sz w:val="20"/>
          <w:u w:val="none"/>
          <w:lang w:val="es-AR"/>
        </w:rPr>
        <w:t>34</w:t>
      </w:r>
      <w:r w:rsidRPr="006E393A">
        <w:rPr>
          <w:rFonts w:cs="Arial"/>
          <w:sz w:val="20"/>
          <w:u w:val="none"/>
          <w:lang w:val="es-AR"/>
        </w:rPr>
        <w:t>%). Con menor participación, le siguen los fondos de renta mixta (</w:t>
      </w:r>
      <w:r>
        <w:rPr>
          <w:rFonts w:cs="Arial"/>
          <w:sz w:val="20"/>
          <w:u w:val="none"/>
          <w:lang w:val="es-AR"/>
        </w:rPr>
        <w:t>9</w:t>
      </w:r>
      <w:r w:rsidRPr="006E393A">
        <w:rPr>
          <w:rFonts w:cs="Arial"/>
          <w:sz w:val="20"/>
          <w:u w:val="none"/>
          <w:lang w:val="es-AR"/>
        </w:rPr>
        <w:t xml:space="preserve">%), </w:t>
      </w:r>
      <w:r>
        <w:rPr>
          <w:rFonts w:cs="Arial"/>
          <w:sz w:val="20"/>
          <w:u w:val="none"/>
          <w:lang w:val="es-AR"/>
        </w:rPr>
        <w:t>Pymes</w:t>
      </w:r>
      <w:r w:rsidRPr="006E393A">
        <w:rPr>
          <w:rFonts w:cs="Arial"/>
          <w:sz w:val="20"/>
          <w:u w:val="none"/>
          <w:lang w:val="es-AR"/>
        </w:rPr>
        <w:t xml:space="preserve"> (</w:t>
      </w:r>
      <w:r>
        <w:rPr>
          <w:rFonts w:cs="Arial"/>
          <w:sz w:val="20"/>
          <w:u w:val="none"/>
          <w:lang w:val="es-AR"/>
        </w:rPr>
        <w:t>4</w:t>
      </w:r>
      <w:r w:rsidRPr="006E393A">
        <w:rPr>
          <w:rFonts w:cs="Arial"/>
          <w:sz w:val="20"/>
          <w:u w:val="none"/>
          <w:lang w:val="es-AR"/>
        </w:rPr>
        <w:t xml:space="preserve">%), </w:t>
      </w:r>
      <w:r>
        <w:rPr>
          <w:rFonts w:cs="Arial"/>
          <w:sz w:val="20"/>
          <w:u w:val="none"/>
          <w:lang w:val="es-AR"/>
        </w:rPr>
        <w:t xml:space="preserve">renta variable </w:t>
      </w:r>
      <w:r w:rsidRPr="006E393A">
        <w:rPr>
          <w:rFonts w:cs="Arial"/>
          <w:sz w:val="20"/>
          <w:u w:val="none"/>
          <w:lang w:val="es-AR"/>
        </w:rPr>
        <w:t>(</w:t>
      </w:r>
      <w:r>
        <w:rPr>
          <w:rFonts w:cs="Arial"/>
          <w:sz w:val="20"/>
          <w:u w:val="none"/>
          <w:lang w:val="es-AR"/>
        </w:rPr>
        <w:t>2</w:t>
      </w:r>
      <w:r w:rsidRPr="006E393A">
        <w:rPr>
          <w:rFonts w:cs="Arial"/>
          <w:sz w:val="20"/>
          <w:u w:val="none"/>
          <w:lang w:val="es-AR"/>
        </w:rPr>
        <w:t xml:space="preserve">%), </w:t>
      </w:r>
      <w:r>
        <w:rPr>
          <w:rFonts w:cs="Arial"/>
          <w:sz w:val="20"/>
          <w:u w:val="none"/>
          <w:lang w:val="es-AR"/>
        </w:rPr>
        <w:t>infraestructura</w:t>
      </w:r>
      <w:r w:rsidRPr="006E393A">
        <w:rPr>
          <w:rFonts w:cs="Arial"/>
          <w:sz w:val="20"/>
          <w:u w:val="none"/>
          <w:lang w:val="es-AR"/>
        </w:rPr>
        <w:t xml:space="preserve"> (</w:t>
      </w:r>
      <w:r>
        <w:rPr>
          <w:rFonts w:cs="Arial"/>
          <w:sz w:val="20"/>
          <w:u w:val="none"/>
          <w:lang w:val="es-AR"/>
        </w:rPr>
        <w:t>2</w:t>
      </w:r>
      <w:r w:rsidRPr="006E393A">
        <w:rPr>
          <w:rFonts w:cs="Arial"/>
          <w:sz w:val="20"/>
          <w:u w:val="none"/>
          <w:lang w:val="es-AR"/>
        </w:rPr>
        <w:t xml:space="preserve">%) y por último de </w:t>
      </w:r>
      <w:r>
        <w:rPr>
          <w:rFonts w:cs="Arial"/>
          <w:sz w:val="20"/>
          <w:u w:val="none"/>
          <w:lang w:val="es-AR"/>
        </w:rPr>
        <w:t>retorno total</w:t>
      </w:r>
      <w:r w:rsidRPr="006E393A">
        <w:rPr>
          <w:rFonts w:cs="Arial"/>
          <w:sz w:val="20"/>
          <w:u w:val="none"/>
          <w:lang w:val="es-AR"/>
        </w:rPr>
        <w:t xml:space="preserve"> (</w:t>
      </w:r>
      <w:r>
        <w:rPr>
          <w:rFonts w:cs="Arial"/>
          <w:sz w:val="20"/>
          <w:u w:val="none"/>
          <w:lang w:val="es-AR"/>
        </w:rPr>
        <w:t>2</w:t>
      </w:r>
      <w:r w:rsidRPr="006E393A">
        <w:rPr>
          <w:rFonts w:cs="Arial"/>
          <w:sz w:val="20"/>
          <w:u w:val="none"/>
          <w:lang w:val="es-AR"/>
        </w:rPr>
        <w:t>%). Entendemos que dicha distribución obedece al re</w:t>
      </w:r>
      <w:r>
        <w:rPr>
          <w:rFonts w:cs="Arial"/>
          <w:sz w:val="20"/>
          <w:u w:val="none"/>
          <w:lang w:val="es-AR"/>
        </w:rPr>
        <w:t>torno atractivo ofrecido por lo</w:t>
      </w:r>
      <w:r w:rsidRPr="006E393A">
        <w:rPr>
          <w:rFonts w:cs="Arial"/>
          <w:sz w:val="20"/>
          <w:u w:val="none"/>
          <w:lang w:val="es-AR"/>
        </w:rPr>
        <w:t xml:space="preserve">s </w:t>
      </w:r>
      <w:r>
        <w:rPr>
          <w:rFonts w:cs="Arial"/>
          <w:sz w:val="20"/>
          <w:u w:val="none"/>
          <w:lang w:val="es-AR"/>
        </w:rPr>
        <w:t xml:space="preserve">instrumento de más corto plazo (por ejemplo, Ledes y </w:t>
      </w:r>
      <w:proofErr w:type="spellStart"/>
      <w:r>
        <w:rPr>
          <w:rFonts w:cs="Arial"/>
          <w:sz w:val="20"/>
          <w:u w:val="none"/>
          <w:lang w:val="es-AR"/>
        </w:rPr>
        <w:t>Lebads</w:t>
      </w:r>
      <w:proofErr w:type="spellEnd"/>
      <w:r>
        <w:rPr>
          <w:rFonts w:cs="Arial"/>
          <w:sz w:val="20"/>
          <w:u w:val="none"/>
          <w:lang w:val="es-AR"/>
        </w:rPr>
        <w:t xml:space="preserve">), a la vez que los eventos macroeconómicos locales desataron mayor </w:t>
      </w:r>
      <w:proofErr w:type="spellStart"/>
      <w:r>
        <w:rPr>
          <w:rFonts w:cs="Arial"/>
          <w:sz w:val="20"/>
          <w:u w:val="none"/>
          <w:lang w:val="es-AR"/>
        </w:rPr>
        <w:t>risk</w:t>
      </w:r>
      <w:proofErr w:type="spellEnd"/>
      <w:r>
        <w:rPr>
          <w:rFonts w:cs="Arial"/>
          <w:sz w:val="20"/>
          <w:u w:val="none"/>
          <w:lang w:val="es-AR"/>
        </w:rPr>
        <w:t xml:space="preserve">-off, acortando los inversores la </w:t>
      </w:r>
      <w:proofErr w:type="spellStart"/>
      <w:r>
        <w:rPr>
          <w:rFonts w:cs="Arial"/>
          <w:sz w:val="20"/>
          <w:u w:val="none"/>
          <w:lang w:val="es-AR"/>
        </w:rPr>
        <w:t>duration</w:t>
      </w:r>
      <w:proofErr w:type="spellEnd"/>
      <w:r>
        <w:rPr>
          <w:rFonts w:cs="Arial"/>
          <w:sz w:val="20"/>
          <w:u w:val="none"/>
          <w:lang w:val="es-AR"/>
        </w:rPr>
        <w:t xml:space="preserve"> de sus carteras. L</w:t>
      </w:r>
      <w:r w:rsidRPr="006E393A">
        <w:rPr>
          <w:rFonts w:cs="Arial"/>
          <w:sz w:val="20"/>
          <w:u w:val="none"/>
          <w:lang w:val="es-AR"/>
        </w:rPr>
        <w:t xml:space="preserve">a oferta ha tendido a distribuirse de </w:t>
      </w:r>
      <w:r>
        <w:rPr>
          <w:rFonts w:cs="Arial"/>
          <w:sz w:val="20"/>
          <w:u w:val="none"/>
          <w:lang w:val="es-AR"/>
        </w:rPr>
        <w:t>la siguiente manera: 312</w:t>
      </w:r>
      <w:r w:rsidRPr="006E393A">
        <w:rPr>
          <w:rFonts w:cs="Arial"/>
          <w:sz w:val="20"/>
          <w:u w:val="none"/>
          <w:lang w:val="es-AR"/>
        </w:rPr>
        <w:t xml:space="preserve"> FCI </w:t>
      </w:r>
      <w:r>
        <w:rPr>
          <w:rFonts w:cs="Arial"/>
          <w:sz w:val="20"/>
          <w:u w:val="none"/>
          <w:lang w:val="es-AR"/>
        </w:rPr>
        <w:t xml:space="preserve">de renta fija (54%), 101 de renta mixta (18%), 59 de renta variable (10%), 41 de </w:t>
      </w:r>
      <w:proofErr w:type="spellStart"/>
      <w:r>
        <w:rPr>
          <w:rFonts w:cs="Arial"/>
          <w:sz w:val="20"/>
          <w:u w:val="none"/>
          <w:lang w:val="es-AR"/>
        </w:rPr>
        <w:t>money</w:t>
      </w:r>
      <w:proofErr w:type="spellEnd"/>
      <w:r>
        <w:rPr>
          <w:rFonts w:cs="Arial"/>
          <w:sz w:val="20"/>
          <w:u w:val="none"/>
          <w:lang w:val="es-AR"/>
        </w:rPr>
        <w:t xml:space="preserve"> </w:t>
      </w:r>
      <w:proofErr w:type="spellStart"/>
      <w:r>
        <w:rPr>
          <w:rFonts w:cs="Arial"/>
          <w:sz w:val="20"/>
          <w:u w:val="none"/>
          <w:lang w:val="es-AR"/>
        </w:rPr>
        <w:t>market</w:t>
      </w:r>
      <w:proofErr w:type="spellEnd"/>
      <w:r>
        <w:rPr>
          <w:rFonts w:cs="Arial"/>
          <w:sz w:val="20"/>
          <w:u w:val="none"/>
          <w:lang w:val="es-AR"/>
        </w:rPr>
        <w:t xml:space="preserve"> (7%), y 36 fondos Pymes (6%)</w:t>
      </w:r>
      <w:r w:rsidRPr="006E393A">
        <w:rPr>
          <w:rFonts w:cs="Arial"/>
          <w:sz w:val="20"/>
          <w:u w:val="none"/>
          <w:lang w:val="es-AR"/>
        </w:rPr>
        <w:t>. Posteriormente se encuentran el resto de las clases de FCI mencionados.</w:t>
      </w:r>
    </w:p>
    <w:p w:rsidR="00375B4E" w:rsidRPr="006E393A" w:rsidRDefault="00375B4E" w:rsidP="00375B4E">
      <w:pPr>
        <w:pStyle w:val="Sangra2detindependiente"/>
        <w:ind w:left="709" w:firstLine="0"/>
        <w:rPr>
          <w:rFonts w:cs="Arial"/>
          <w:sz w:val="20"/>
          <w:u w:val="none"/>
          <w:lang w:val="es-AR"/>
        </w:rPr>
      </w:pPr>
    </w:p>
    <w:p w:rsidR="00375B4E" w:rsidRPr="006E393A" w:rsidRDefault="00375B4E" w:rsidP="00375B4E">
      <w:pPr>
        <w:pStyle w:val="Sangra2detindependiente"/>
        <w:ind w:left="709" w:firstLine="0"/>
        <w:rPr>
          <w:rFonts w:cs="Arial"/>
          <w:sz w:val="20"/>
          <w:u w:val="none"/>
          <w:lang w:val="es-AR"/>
        </w:rPr>
      </w:pPr>
      <w:r w:rsidRPr="006E393A">
        <w:rPr>
          <w:rFonts w:cs="Arial"/>
          <w:sz w:val="20"/>
          <w:u w:val="none"/>
          <w:lang w:val="es-AR"/>
        </w:rPr>
        <w:t xml:space="preserve">Respecto a los rendimientos, los mayores logros fueron por el lado de los fondos de </w:t>
      </w:r>
      <w:r>
        <w:rPr>
          <w:rFonts w:cs="Arial"/>
          <w:sz w:val="20"/>
          <w:u w:val="none"/>
          <w:lang w:val="es-AR"/>
        </w:rPr>
        <w:t xml:space="preserve">infraestructura </w:t>
      </w:r>
      <w:r w:rsidRPr="006E393A">
        <w:rPr>
          <w:rFonts w:cs="Arial"/>
          <w:sz w:val="20"/>
          <w:u w:val="none"/>
          <w:lang w:val="es-AR"/>
        </w:rPr>
        <w:t>(+</w:t>
      </w:r>
      <w:r>
        <w:rPr>
          <w:rFonts w:cs="Arial"/>
          <w:sz w:val="20"/>
          <w:u w:val="none"/>
          <w:lang w:val="es-AR"/>
        </w:rPr>
        <w:t>71,7</w:t>
      </w:r>
      <w:r w:rsidRPr="006E393A">
        <w:rPr>
          <w:rFonts w:cs="Arial"/>
          <w:sz w:val="20"/>
          <w:u w:val="none"/>
          <w:lang w:val="es-AR"/>
        </w:rPr>
        <w:t>%)</w:t>
      </w:r>
      <w:r>
        <w:rPr>
          <w:rFonts w:cs="Arial"/>
          <w:sz w:val="20"/>
          <w:u w:val="none"/>
          <w:lang w:val="es-AR"/>
        </w:rPr>
        <w:t xml:space="preserve">, dado que parten de una baja nominalidad. </w:t>
      </w:r>
      <w:r w:rsidRPr="006E393A">
        <w:rPr>
          <w:rFonts w:cs="Arial"/>
          <w:sz w:val="20"/>
          <w:u w:val="none"/>
          <w:lang w:val="es-AR"/>
        </w:rPr>
        <w:t>Seguidamente</w:t>
      </w:r>
      <w:r>
        <w:rPr>
          <w:rFonts w:cs="Arial"/>
          <w:sz w:val="20"/>
          <w:u w:val="none"/>
          <w:lang w:val="es-AR"/>
        </w:rPr>
        <w:t xml:space="preserve"> están</w:t>
      </w:r>
      <w:r w:rsidRPr="006E393A">
        <w:rPr>
          <w:rFonts w:cs="Arial"/>
          <w:sz w:val="20"/>
          <w:u w:val="none"/>
          <w:lang w:val="es-AR"/>
        </w:rPr>
        <w:t xml:space="preserve"> los FCI de </w:t>
      </w:r>
      <w:r>
        <w:rPr>
          <w:rFonts w:cs="Arial"/>
          <w:sz w:val="20"/>
          <w:u w:val="none"/>
          <w:lang w:val="es-AR"/>
        </w:rPr>
        <w:t xml:space="preserve">renta mixta </w:t>
      </w:r>
      <w:r w:rsidRPr="006E393A">
        <w:rPr>
          <w:rFonts w:cs="Arial"/>
          <w:sz w:val="20"/>
          <w:u w:val="none"/>
          <w:lang w:val="es-AR"/>
        </w:rPr>
        <w:t xml:space="preserve">y renta </w:t>
      </w:r>
      <w:r>
        <w:rPr>
          <w:rFonts w:cs="Arial"/>
          <w:sz w:val="20"/>
          <w:u w:val="none"/>
          <w:lang w:val="es-AR"/>
        </w:rPr>
        <w:t>fija que</w:t>
      </w:r>
      <w:r w:rsidRPr="006E393A">
        <w:rPr>
          <w:rFonts w:cs="Arial"/>
          <w:sz w:val="20"/>
          <w:u w:val="none"/>
          <w:lang w:val="es-AR"/>
        </w:rPr>
        <w:t xml:space="preserve"> contaron </w:t>
      </w:r>
      <w:r>
        <w:rPr>
          <w:rFonts w:cs="Arial"/>
          <w:sz w:val="20"/>
          <w:u w:val="none"/>
          <w:lang w:val="es-AR"/>
        </w:rPr>
        <w:t xml:space="preserve">con </w:t>
      </w:r>
      <w:r w:rsidRPr="006E393A">
        <w:rPr>
          <w:rFonts w:cs="Arial"/>
          <w:sz w:val="20"/>
          <w:u w:val="none"/>
          <w:lang w:val="es-AR"/>
        </w:rPr>
        <w:t>rendimientos de</w:t>
      </w:r>
      <w:r>
        <w:rPr>
          <w:rFonts w:cs="Arial"/>
          <w:sz w:val="20"/>
          <w:u w:val="none"/>
          <w:lang w:val="es-AR"/>
        </w:rPr>
        <w:t>l</w:t>
      </w:r>
      <w:r w:rsidRPr="006E393A">
        <w:rPr>
          <w:rFonts w:cs="Arial"/>
          <w:sz w:val="20"/>
          <w:u w:val="none"/>
          <w:lang w:val="es-AR"/>
        </w:rPr>
        <w:t xml:space="preserve"> </w:t>
      </w:r>
      <w:r>
        <w:rPr>
          <w:rFonts w:cs="Arial"/>
          <w:sz w:val="20"/>
          <w:u w:val="none"/>
          <w:lang w:val="es-AR"/>
        </w:rPr>
        <w:t>67,1</w:t>
      </w:r>
      <w:r w:rsidRPr="006E393A">
        <w:rPr>
          <w:rFonts w:cs="Arial"/>
          <w:sz w:val="20"/>
          <w:u w:val="none"/>
          <w:lang w:val="es-AR"/>
        </w:rPr>
        <w:t xml:space="preserve">% y </w:t>
      </w:r>
      <w:r>
        <w:rPr>
          <w:rFonts w:cs="Arial"/>
          <w:sz w:val="20"/>
          <w:u w:val="none"/>
          <w:lang w:val="es-AR"/>
        </w:rPr>
        <w:t>45,6</w:t>
      </w:r>
      <w:r w:rsidRPr="006E393A">
        <w:rPr>
          <w:rFonts w:cs="Arial"/>
          <w:sz w:val="20"/>
          <w:u w:val="none"/>
          <w:lang w:val="es-AR"/>
        </w:rPr>
        <w:t xml:space="preserve">% respectivamente. Posteriormente, los fondos de </w:t>
      </w:r>
      <w:r>
        <w:rPr>
          <w:rFonts w:cs="Arial"/>
          <w:sz w:val="20"/>
          <w:u w:val="none"/>
          <w:lang w:val="es-AR"/>
        </w:rPr>
        <w:t xml:space="preserve">retorno total </w:t>
      </w:r>
      <w:r w:rsidRPr="006E393A">
        <w:rPr>
          <w:rFonts w:cs="Arial"/>
          <w:sz w:val="20"/>
          <w:u w:val="none"/>
          <w:lang w:val="es-AR"/>
        </w:rPr>
        <w:t>tuvieron un retorno del 4</w:t>
      </w:r>
      <w:r>
        <w:rPr>
          <w:rFonts w:cs="Arial"/>
          <w:sz w:val="20"/>
          <w:u w:val="none"/>
          <w:lang w:val="es-AR"/>
        </w:rPr>
        <w:t>3,0</w:t>
      </w:r>
      <w:r w:rsidRPr="006E393A">
        <w:rPr>
          <w:rFonts w:cs="Arial"/>
          <w:sz w:val="20"/>
          <w:u w:val="none"/>
          <w:lang w:val="es-AR"/>
        </w:rPr>
        <w:t xml:space="preserve">%, y por último, se encuentran los FCI </w:t>
      </w:r>
      <w:proofErr w:type="spellStart"/>
      <w:r w:rsidRPr="006E393A">
        <w:rPr>
          <w:rFonts w:cs="Arial"/>
          <w:sz w:val="20"/>
          <w:u w:val="none"/>
          <w:lang w:val="es-AR"/>
        </w:rPr>
        <w:t>PYMEs</w:t>
      </w:r>
      <w:proofErr w:type="spellEnd"/>
      <w:r>
        <w:rPr>
          <w:rFonts w:cs="Arial"/>
          <w:sz w:val="20"/>
          <w:u w:val="none"/>
          <w:lang w:val="es-AR"/>
        </w:rPr>
        <w:t>, mercado de dinero,</w:t>
      </w:r>
      <w:r w:rsidRPr="006E393A">
        <w:rPr>
          <w:rFonts w:cs="Arial"/>
          <w:sz w:val="20"/>
          <w:u w:val="none"/>
          <w:lang w:val="es-AR"/>
        </w:rPr>
        <w:t xml:space="preserve"> y renta variable, con ganancias de </w:t>
      </w:r>
      <w:r>
        <w:rPr>
          <w:rFonts w:cs="Arial"/>
          <w:sz w:val="20"/>
          <w:u w:val="none"/>
          <w:lang w:val="es-AR"/>
        </w:rPr>
        <w:t>37,1</w:t>
      </w:r>
      <w:r w:rsidRPr="006E393A">
        <w:rPr>
          <w:rFonts w:cs="Arial"/>
          <w:sz w:val="20"/>
          <w:u w:val="none"/>
          <w:lang w:val="es-AR"/>
        </w:rPr>
        <w:t xml:space="preserve">%, </w:t>
      </w:r>
      <w:r>
        <w:rPr>
          <w:rFonts w:cs="Arial"/>
          <w:sz w:val="20"/>
          <w:u w:val="none"/>
          <w:lang w:val="es-AR"/>
        </w:rPr>
        <w:t>26,3</w:t>
      </w:r>
      <w:r w:rsidRPr="006E393A">
        <w:rPr>
          <w:rFonts w:cs="Arial"/>
          <w:sz w:val="20"/>
          <w:u w:val="none"/>
          <w:lang w:val="es-AR"/>
        </w:rPr>
        <w:t xml:space="preserve">% y </w:t>
      </w:r>
      <w:r>
        <w:rPr>
          <w:rFonts w:cs="Arial"/>
          <w:sz w:val="20"/>
          <w:u w:val="none"/>
          <w:lang w:val="es-AR"/>
        </w:rPr>
        <w:t>21,0</w:t>
      </w:r>
      <w:r w:rsidRPr="006E393A">
        <w:rPr>
          <w:rFonts w:cs="Arial"/>
          <w:sz w:val="20"/>
          <w:u w:val="none"/>
          <w:lang w:val="es-AR"/>
        </w:rPr>
        <w:t>% respectivamente.</w:t>
      </w:r>
    </w:p>
    <w:p w:rsidR="00375B4E" w:rsidRPr="006E393A" w:rsidRDefault="00375B4E" w:rsidP="00375B4E">
      <w:pPr>
        <w:pStyle w:val="Sangra2detindependiente"/>
        <w:ind w:left="709" w:firstLine="0"/>
        <w:rPr>
          <w:rFonts w:cs="Arial"/>
          <w:sz w:val="20"/>
          <w:u w:val="none"/>
          <w:lang w:val="es-AR"/>
        </w:rPr>
      </w:pPr>
    </w:p>
    <w:p w:rsidR="00375B4E" w:rsidRPr="006E393A" w:rsidRDefault="00375B4E" w:rsidP="00375B4E">
      <w:pPr>
        <w:pStyle w:val="Sangra2detindependiente"/>
        <w:ind w:left="709" w:firstLine="0"/>
        <w:rPr>
          <w:rFonts w:cs="Arial"/>
          <w:sz w:val="20"/>
          <w:u w:val="none"/>
          <w:lang w:val="es-AR"/>
        </w:rPr>
      </w:pPr>
      <w:r w:rsidRPr="006E393A">
        <w:rPr>
          <w:rFonts w:cs="Arial"/>
          <w:sz w:val="20"/>
          <w:u w:val="none"/>
          <w:lang w:val="es-AR"/>
        </w:rPr>
        <w:t>En cuanto a las carteras de los FCI, a nivel agregado los títulos de deuda tienen una importante participación (</w:t>
      </w:r>
      <w:r>
        <w:rPr>
          <w:rFonts w:cs="Arial"/>
          <w:sz w:val="20"/>
          <w:u w:val="none"/>
          <w:lang w:val="es-AR"/>
        </w:rPr>
        <w:t>40,6</w:t>
      </w:r>
      <w:r w:rsidRPr="006E393A">
        <w:rPr>
          <w:rFonts w:cs="Arial"/>
          <w:sz w:val="20"/>
          <w:u w:val="none"/>
          <w:lang w:val="es-AR"/>
        </w:rPr>
        <w:t>%), seguidos de liquidez (</w:t>
      </w:r>
      <w:r>
        <w:rPr>
          <w:rFonts w:cs="Arial"/>
          <w:sz w:val="20"/>
          <w:u w:val="none"/>
          <w:lang w:val="es-AR"/>
        </w:rPr>
        <w:t>25,6</w:t>
      </w:r>
      <w:r w:rsidRPr="006E393A">
        <w:rPr>
          <w:rFonts w:cs="Arial"/>
          <w:sz w:val="20"/>
          <w:u w:val="none"/>
          <w:lang w:val="es-AR"/>
        </w:rPr>
        <w:t>%)</w:t>
      </w:r>
      <w:r>
        <w:rPr>
          <w:rFonts w:cs="Arial"/>
          <w:sz w:val="20"/>
          <w:u w:val="none"/>
          <w:lang w:val="es-AR"/>
        </w:rPr>
        <w:t xml:space="preserve"> y colocaciones a plazo (25,2%)</w:t>
      </w:r>
      <w:r w:rsidRPr="006E393A">
        <w:rPr>
          <w:rFonts w:cs="Arial"/>
          <w:sz w:val="20"/>
          <w:u w:val="none"/>
          <w:lang w:val="es-AR"/>
        </w:rPr>
        <w:t>. Dentro de los instrumentos de deuda, la mayor parte son títulos públicos (</w:t>
      </w:r>
      <w:r>
        <w:rPr>
          <w:rFonts w:cs="Arial"/>
          <w:sz w:val="20"/>
          <w:u w:val="none"/>
          <w:lang w:val="es-AR"/>
        </w:rPr>
        <w:t>24,0</w:t>
      </w:r>
      <w:r w:rsidRPr="006E393A">
        <w:rPr>
          <w:rFonts w:cs="Arial"/>
          <w:sz w:val="20"/>
          <w:u w:val="none"/>
          <w:lang w:val="es-AR"/>
        </w:rPr>
        <w:t>%), siendo en su mayoría deuda soberana, seguido de obligaciones negociables</w:t>
      </w:r>
      <w:r>
        <w:rPr>
          <w:rFonts w:cs="Arial"/>
          <w:sz w:val="20"/>
          <w:u w:val="none"/>
          <w:lang w:val="es-AR"/>
        </w:rPr>
        <w:t xml:space="preserve"> (9,3%)</w:t>
      </w:r>
      <w:r w:rsidRPr="006E393A">
        <w:rPr>
          <w:rFonts w:cs="Arial"/>
          <w:sz w:val="20"/>
          <w:u w:val="none"/>
          <w:lang w:val="es-AR"/>
        </w:rPr>
        <w:t>.</w:t>
      </w:r>
    </w:p>
    <w:p w:rsidR="00375B4E" w:rsidRPr="006E393A" w:rsidRDefault="00375B4E" w:rsidP="00375B4E">
      <w:pPr>
        <w:pStyle w:val="Sangra2detindependiente"/>
        <w:ind w:left="709" w:firstLine="0"/>
        <w:rPr>
          <w:rFonts w:cs="Arial"/>
          <w:sz w:val="20"/>
          <w:u w:val="none"/>
          <w:lang w:val="es-AR"/>
        </w:rPr>
      </w:pPr>
    </w:p>
    <w:p w:rsidR="00375B4E" w:rsidRPr="0068540B" w:rsidRDefault="00375B4E" w:rsidP="00375B4E">
      <w:pPr>
        <w:pStyle w:val="Sangra2detindependiente"/>
        <w:ind w:left="709" w:firstLine="0"/>
        <w:rPr>
          <w:rFonts w:cs="Arial"/>
          <w:b/>
          <w:sz w:val="20"/>
          <w:u w:val="none"/>
          <w:lang w:val="es-AR"/>
        </w:rPr>
      </w:pPr>
      <w:r w:rsidRPr="0068540B">
        <w:rPr>
          <w:rFonts w:cs="Arial"/>
          <w:b/>
          <w:sz w:val="20"/>
          <w:u w:val="none"/>
          <w:lang w:val="es-AR"/>
        </w:rPr>
        <w:t>Perspectiva</w:t>
      </w:r>
    </w:p>
    <w:p w:rsidR="00375B4E"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 xml:space="preserve">A nivel internacional, el FMI proyecta un </w:t>
      </w:r>
      <w:r w:rsidR="006A316A">
        <w:rPr>
          <w:rFonts w:cs="Arial"/>
          <w:sz w:val="20"/>
          <w:u w:val="none"/>
          <w:lang w:val="es-AR"/>
        </w:rPr>
        <w:t>crecimiento</w:t>
      </w:r>
      <w:r w:rsidRPr="008B01A5">
        <w:rPr>
          <w:rFonts w:cs="Arial"/>
          <w:sz w:val="20"/>
          <w:u w:val="none"/>
          <w:lang w:val="es-AR"/>
        </w:rPr>
        <w:t xml:space="preserve"> de la actividad mundial al 5,5%, siempre bajo el supuesto de una resolución a la pandemia global. En ello, será importante el ritmo de vacunación así como las medidas monetarias y fiscales de los principales mercados. Bajos dichos supuestos, también se proyecta para EE.UU un crecimiento del 5,1% y para la Zona Euro del 4,2%.</w:t>
      </w:r>
    </w:p>
    <w:p w:rsidR="00375B4E" w:rsidRPr="008B01A5"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 xml:space="preserve">En mercados emergentes, China recobrará el impulso perdido hace varios años, creciendo un 8,1%, donde para los mercados emergentes en general el alza del PBI se estima que será del 6,3%. </w:t>
      </w:r>
    </w:p>
    <w:p w:rsidR="00375B4E" w:rsidRPr="008B01A5"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 xml:space="preserve">El escenario global de crecimiento junto con amplias medidas de estímulos presenta una oportunidad para los mercados emergentes. Este mejor contexto se canaliza vía 2 caminos: un aumento en los flujos de capitales hacia los mercados emergentes, y mejores precios para los </w:t>
      </w:r>
      <w:proofErr w:type="spellStart"/>
      <w:r w:rsidRPr="008B01A5">
        <w:rPr>
          <w:rFonts w:cs="Arial"/>
          <w:sz w:val="20"/>
          <w:u w:val="none"/>
          <w:lang w:val="es-AR"/>
        </w:rPr>
        <w:t>Commodities</w:t>
      </w:r>
      <w:proofErr w:type="spellEnd"/>
      <w:r w:rsidRPr="008B01A5">
        <w:rPr>
          <w:rFonts w:cs="Arial"/>
          <w:sz w:val="20"/>
          <w:u w:val="none"/>
          <w:lang w:val="es-AR"/>
        </w:rPr>
        <w:t xml:space="preserve">. </w:t>
      </w:r>
    </w:p>
    <w:p w:rsidR="00375B4E" w:rsidRPr="008B01A5"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9" w:firstLine="0"/>
        <w:rPr>
          <w:rFonts w:cs="Arial"/>
          <w:sz w:val="20"/>
          <w:u w:val="none"/>
          <w:lang w:val="es-AR"/>
        </w:rPr>
      </w:pPr>
    </w:p>
    <w:p w:rsidR="00375B4E" w:rsidRPr="008B01A5" w:rsidRDefault="006A316A" w:rsidP="00375B4E">
      <w:pPr>
        <w:pStyle w:val="Sangra2detindependiente"/>
        <w:ind w:left="709" w:hanging="1"/>
        <w:rPr>
          <w:rFonts w:cs="Arial"/>
          <w:sz w:val="20"/>
          <w:u w:val="none"/>
          <w:lang w:val="es-AR"/>
        </w:rPr>
      </w:pPr>
      <w:r>
        <w:rPr>
          <w:rFonts w:cs="Arial"/>
          <w:sz w:val="20"/>
          <w:u w:val="none"/>
          <w:lang w:val="es-AR"/>
        </w:rPr>
        <w:t xml:space="preserve">Las </w:t>
      </w:r>
      <w:r w:rsidR="00375B4E" w:rsidRPr="008B01A5">
        <w:rPr>
          <w:rFonts w:cs="Arial"/>
          <w:sz w:val="20"/>
          <w:u w:val="none"/>
          <w:lang w:val="es-AR"/>
        </w:rPr>
        <w:t xml:space="preserve"> proyecciones macro para el país se basan en las siguientes premisas:</w:t>
      </w: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 Tipo de Cambio real estable, donde al menos inicialmente la suba nominal compensará la evolución de la inflación.</w:t>
      </w: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 Política Fiscal con un déficit primario en torno al 3,5% del PBI.</w:t>
      </w: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 Política Monetaria expansiva por financiación monetaria de dicho déficit.</w:t>
      </w: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lastRenderedPageBreak/>
        <w:t>* Renegociación de deuda con el FMI, donde en el nuevo acuerdo no se tendrían desembolsos netos, pero a cambio de menores condicionalidades.</w:t>
      </w: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 xml:space="preserve">* Inflación creciente, con determinadas medidas sectoriales destinadas a controlarla (pacto social de precios y salarios, atraso tarifario). </w:t>
      </w:r>
    </w:p>
    <w:p w:rsidR="00375B4E" w:rsidRPr="008B01A5"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 xml:space="preserve">En este escenario base (preliminar), el desempeño macro igualmente será ambiguo. El PBI </w:t>
      </w:r>
      <w:r w:rsidR="00F13096">
        <w:rPr>
          <w:rFonts w:cs="Arial"/>
          <w:sz w:val="20"/>
          <w:u w:val="none"/>
          <w:lang w:val="es-AR"/>
        </w:rPr>
        <w:t>subiría</w:t>
      </w:r>
      <w:r w:rsidR="00F13096" w:rsidRPr="008B01A5">
        <w:rPr>
          <w:rFonts w:cs="Arial"/>
          <w:sz w:val="20"/>
          <w:u w:val="none"/>
          <w:lang w:val="es-AR"/>
        </w:rPr>
        <w:t xml:space="preserve"> </w:t>
      </w:r>
      <w:r w:rsidRPr="008B01A5">
        <w:rPr>
          <w:rFonts w:cs="Arial"/>
          <w:sz w:val="20"/>
          <w:u w:val="none"/>
          <w:lang w:val="es-AR"/>
        </w:rPr>
        <w:t xml:space="preserve">un 6%, después de la caída del 10% en 2020. Pero a su vez, la inflación se proyecta que acelere a niveles del 50%. A pesar de la mejora en el nivel de actividad, el mercado laboral no mostraría mejorar sustanciales, con el desempleo siguiendo para fines del 2021 en el orden del 12% / 13%. </w:t>
      </w:r>
    </w:p>
    <w:p w:rsidR="00375B4E" w:rsidRPr="008B01A5" w:rsidRDefault="00375B4E" w:rsidP="00375B4E">
      <w:pPr>
        <w:pStyle w:val="Sangra2detindependiente"/>
        <w:ind w:left="709" w:firstLine="0"/>
        <w:rPr>
          <w:rFonts w:cs="Arial"/>
          <w:sz w:val="20"/>
          <w:u w:val="none"/>
          <w:lang w:val="es-AR"/>
        </w:rPr>
      </w:pPr>
    </w:p>
    <w:p w:rsidR="00375B4E" w:rsidRPr="008B01A5" w:rsidRDefault="00375B4E" w:rsidP="00375B4E">
      <w:pPr>
        <w:pStyle w:val="Sangra2detindependiente"/>
        <w:ind w:left="709" w:hanging="1"/>
        <w:rPr>
          <w:rFonts w:cs="Arial"/>
          <w:sz w:val="20"/>
          <w:u w:val="none"/>
          <w:lang w:val="es-AR"/>
        </w:rPr>
      </w:pPr>
      <w:r w:rsidRPr="008B01A5">
        <w:rPr>
          <w:rFonts w:cs="Arial"/>
          <w:sz w:val="20"/>
          <w:u w:val="none"/>
          <w:lang w:val="es-AR"/>
        </w:rPr>
        <w:t>En el 2021, algunos aspectos serán de suma importancia para el mercado local:</w:t>
      </w:r>
    </w:p>
    <w:p w:rsidR="00375B4E" w:rsidRPr="004079B0" w:rsidRDefault="00375B4E" w:rsidP="00375B4E">
      <w:pPr>
        <w:pStyle w:val="Sangra2detindependiente"/>
        <w:ind w:left="709" w:hanging="1"/>
        <w:rPr>
          <w:rFonts w:cs="Arial"/>
          <w:sz w:val="20"/>
          <w:u w:val="none"/>
          <w:lang w:val="es-AR"/>
        </w:rPr>
      </w:pPr>
      <w:r w:rsidRPr="008B01A5">
        <w:rPr>
          <w:rFonts w:cs="Arial"/>
          <w:sz w:val="20"/>
          <w:u w:val="none"/>
          <w:lang w:val="es-AR"/>
        </w:rPr>
        <w:t xml:space="preserve">* A nivel internacional, que continúen las medidas fiscales y monetarias expansivas, junto con una segunda ola de </w:t>
      </w:r>
      <w:proofErr w:type="spellStart"/>
      <w:r w:rsidRPr="008B01A5">
        <w:rPr>
          <w:rFonts w:cs="Arial"/>
          <w:sz w:val="20"/>
          <w:u w:val="none"/>
          <w:lang w:val="es-AR"/>
        </w:rPr>
        <w:t>Covid</w:t>
      </w:r>
      <w:proofErr w:type="spellEnd"/>
      <w:r w:rsidRPr="008B01A5">
        <w:rPr>
          <w:rFonts w:cs="Arial"/>
          <w:sz w:val="20"/>
          <w:u w:val="none"/>
          <w:lang w:val="es-AR"/>
        </w:rPr>
        <w:t xml:space="preserve"> que no implique nuevas medidas masivas de confinamiento. En esto, un </w:t>
      </w:r>
      <w:r w:rsidRPr="004079B0">
        <w:rPr>
          <w:rFonts w:cs="Arial"/>
          <w:sz w:val="20"/>
          <w:u w:val="none"/>
          <w:lang w:val="es-AR"/>
        </w:rPr>
        <w:t>adecuado nivel de vacunación también será importante.</w:t>
      </w:r>
    </w:p>
    <w:p w:rsidR="00375B4E" w:rsidRPr="004079B0" w:rsidRDefault="00375B4E" w:rsidP="00375B4E">
      <w:pPr>
        <w:pStyle w:val="Sangra2detindependiente"/>
        <w:ind w:left="709" w:hanging="1"/>
        <w:rPr>
          <w:rFonts w:cs="Arial"/>
          <w:sz w:val="20"/>
          <w:u w:val="none"/>
          <w:lang w:val="es-AR"/>
        </w:rPr>
      </w:pPr>
      <w:r w:rsidRPr="004079B0">
        <w:rPr>
          <w:rFonts w:cs="Arial"/>
          <w:sz w:val="20"/>
          <w:u w:val="none"/>
          <w:lang w:val="es-AR"/>
        </w:rPr>
        <w:t>* Ya en el plano local, se destaca como variable a seguir el nivel de déficit primario, ya que eso determinará el nivel de emisión monetaria por este canal, repercutiendo en los mercados cambiarios A diferencia del 2020, el 2021 comienza con un elevado grado de monetización en la economía.</w:t>
      </w:r>
    </w:p>
    <w:p w:rsidR="00375B4E" w:rsidRPr="004079B0" w:rsidRDefault="00375B4E" w:rsidP="00375B4E">
      <w:pPr>
        <w:pStyle w:val="Sangra2detindependiente"/>
        <w:ind w:left="709" w:hanging="1"/>
        <w:rPr>
          <w:rFonts w:cs="Arial"/>
          <w:sz w:val="20"/>
          <w:u w:val="none"/>
          <w:lang w:val="es-AR"/>
        </w:rPr>
      </w:pPr>
      <w:r w:rsidRPr="004079B0">
        <w:rPr>
          <w:rFonts w:cs="Arial"/>
          <w:sz w:val="20"/>
          <w:u w:val="none"/>
          <w:lang w:val="es-AR"/>
        </w:rPr>
        <w:t>* Otro factor clave será el acuerdo con el FMI, que despeje el horizonte de vencimientos, así como brinde algunas certezas en torno al rumbo macro.</w:t>
      </w:r>
    </w:p>
    <w:p w:rsidR="00B702F8" w:rsidRPr="004079B0" w:rsidRDefault="00375B4E" w:rsidP="00375B4E">
      <w:pPr>
        <w:pStyle w:val="Sangra2detindependiente"/>
        <w:ind w:left="709" w:firstLine="0"/>
        <w:rPr>
          <w:rFonts w:cs="Arial"/>
          <w:sz w:val="20"/>
          <w:u w:val="none"/>
          <w:lang w:val="es-AR"/>
        </w:rPr>
      </w:pPr>
      <w:r w:rsidRPr="004079B0">
        <w:rPr>
          <w:rFonts w:cs="Arial"/>
          <w:sz w:val="20"/>
          <w:u w:val="none"/>
          <w:lang w:val="es-AR"/>
        </w:rPr>
        <w:t>* Finalmente, las elecciones son un componente que afectará a los mercados, donde el resultado electoral se asociará a las posibilidades de un cambio de rumbo macroeconómico. En este punto, el riesgo macro en principio es que se produzca un mayor gasto público y un atraso del tipo de cambio a efectos de contener en el corto plazo la inflación y dar impulso a la actividad, pero acumulando mayores desequilibrios en el mediano/largo plazo.</w:t>
      </w:r>
    </w:p>
    <w:p w:rsidR="00920827" w:rsidRPr="004079B0" w:rsidRDefault="00920827" w:rsidP="00B702F8">
      <w:pPr>
        <w:pStyle w:val="Sangra2detindependiente"/>
        <w:ind w:left="709" w:firstLine="0"/>
        <w:rPr>
          <w:rFonts w:cs="Arial"/>
          <w:sz w:val="20"/>
          <w:u w:val="none"/>
          <w:lang w:val="es-AR"/>
        </w:rPr>
      </w:pPr>
    </w:p>
    <w:p w:rsidR="00120465" w:rsidRPr="004079B0" w:rsidRDefault="00120465" w:rsidP="00B702F8">
      <w:pPr>
        <w:pStyle w:val="Sangra2detindependiente"/>
        <w:ind w:left="709" w:firstLine="0"/>
        <w:rPr>
          <w:rFonts w:cs="Arial"/>
          <w:sz w:val="20"/>
          <w:u w:val="none"/>
          <w:lang w:val="es-AR"/>
        </w:rPr>
      </w:pPr>
    </w:p>
    <w:p w:rsidR="00120465" w:rsidRPr="004079B0" w:rsidRDefault="00120465" w:rsidP="00B702F8">
      <w:pPr>
        <w:pStyle w:val="Sangra2detindependiente"/>
        <w:ind w:left="709" w:firstLine="0"/>
        <w:rPr>
          <w:rFonts w:cs="Arial"/>
          <w:b/>
          <w:sz w:val="22"/>
          <w:szCs w:val="22"/>
          <w:u w:val="none"/>
          <w:lang w:val="es-ES_tradnl"/>
        </w:rPr>
      </w:pPr>
      <w:r w:rsidRPr="004079B0">
        <w:rPr>
          <w:rFonts w:cs="Arial"/>
          <w:b/>
          <w:sz w:val="22"/>
          <w:szCs w:val="22"/>
          <w:u w:val="none"/>
          <w:lang w:val="es-ES_tradnl"/>
        </w:rPr>
        <w:t>1.3 ANÁLISIS DE LA EVOLUCIÓN PATRIMONIAL Y DE RESULTADOS</w:t>
      </w:r>
    </w:p>
    <w:p w:rsidR="00C2679D" w:rsidRPr="004079B0" w:rsidRDefault="00C2679D" w:rsidP="00B702F8">
      <w:pPr>
        <w:pStyle w:val="Sangra2detindependiente"/>
        <w:ind w:left="709" w:firstLine="0"/>
        <w:rPr>
          <w:rFonts w:cs="Arial"/>
          <w:b/>
          <w:sz w:val="22"/>
          <w:szCs w:val="22"/>
          <w:u w:val="none"/>
          <w:lang w:val="es-ES_tradnl"/>
        </w:rPr>
      </w:pPr>
    </w:p>
    <w:p w:rsidR="0078465D" w:rsidRPr="004079B0" w:rsidRDefault="00C2679D" w:rsidP="00B702F8">
      <w:pPr>
        <w:pStyle w:val="Sangra2detindependiente"/>
        <w:ind w:left="709" w:firstLine="0"/>
        <w:rPr>
          <w:rFonts w:cs="Arial"/>
          <w:sz w:val="20"/>
          <w:u w:val="none"/>
          <w:lang w:val="es-AR"/>
        </w:rPr>
      </w:pPr>
      <w:r w:rsidRPr="004079B0">
        <w:rPr>
          <w:rFonts w:cs="Arial"/>
          <w:sz w:val="20"/>
          <w:u w:val="none"/>
          <w:lang w:val="es-AR"/>
        </w:rPr>
        <w:t>Al cierre del ejercicio finalizado el 31 de diciembre de 20</w:t>
      </w:r>
      <w:r w:rsidR="004079B0" w:rsidRPr="004079B0">
        <w:rPr>
          <w:rFonts w:cs="Arial"/>
          <w:sz w:val="20"/>
          <w:u w:val="none"/>
          <w:lang w:val="es-AR"/>
        </w:rPr>
        <w:t>20</w:t>
      </w:r>
      <w:r w:rsidRPr="004079B0">
        <w:rPr>
          <w:rFonts w:cs="Arial"/>
          <w:sz w:val="20"/>
          <w:u w:val="none"/>
          <w:lang w:val="es-AR"/>
        </w:rPr>
        <w:t xml:space="preserve">, el resultado económico  de la Entidad asciende a </w:t>
      </w:r>
      <w:r w:rsidR="00741689" w:rsidRPr="004079B0">
        <w:rPr>
          <w:rFonts w:cs="Arial"/>
          <w:sz w:val="20"/>
          <w:u w:val="none"/>
          <w:lang w:val="es-AR"/>
        </w:rPr>
        <w:t xml:space="preserve">$ </w:t>
      </w:r>
      <w:r w:rsidR="004079B0" w:rsidRPr="004079B0">
        <w:rPr>
          <w:rFonts w:cs="Arial"/>
          <w:sz w:val="20"/>
          <w:u w:val="none"/>
          <w:lang w:val="es-AR"/>
        </w:rPr>
        <w:t>28.661.796</w:t>
      </w:r>
      <w:r w:rsidR="0078465D" w:rsidRPr="004079B0">
        <w:rPr>
          <w:rFonts w:cs="Arial"/>
          <w:sz w:val="20"/>
          <w:u w:val="none"/>
          <w:lang w:val="es-AR"/>
        </w:rPr>
        <w:t>.</w:t>
      </w:r>
    </w:p>
    <w:p w:rsidR="00C2679D" w:rsidRPr="004079B0" w:rsidRDefault="0078465D" w:rsidP="00B702F8">
      <w:pPr>
        <w:pStyle w:val="Sangra2detindependiente"/>
        <w:ind w:left="709" w:firstLine="0"/>
        <w:rPr>
          <w:rFonts w:cs="Arial"/>
          <w:sz w:val="20"/>
          <w:u w:val="none"/>
          <w:lang w:val="es-AR"/>
        </w:rPr>
      </w:pPr>
      <w:r w:rsidRPr="004079B0">
        <w:rPr>
          <w:rFonts w:cs="Arial"/>
          <w:sz w:val="20"/>
          <w:u w:val="none"/>
          <w:lang w:val="es-AR"/>
        </w:rPr>
        <w:t xml:space="preserve"> </w:t>
      </w:r>
    </w:p>
    <w:p w:rsidR="0068540B" w:rsidRPr="004079B0" w:rsidRDefault="00C2679D" w:rsidP="00B702F8">
      <w:pPr>
        <w:pStyle w:val="Sangra2detindependiente"/>
        <w:ind w:left="709" w:firstLine="0"/>
        <w:rPr>
          <w:rFonts w:cs="Arial"/>
          <w:sz w:val="20"/>
          <w:u w:val="none"/>
          <w:lang w:val="es-AR"/>
        </w:rPr>
      </w:pPr>
      <w:r w:rsidRPr="004079B0">
        <w:rPr>
          <w:rFonts w:cs="Arial"/>
          <w:sz w:val="20"/>
          <w:u w:val="none"/>
          <w:lang w:val="es-AR"/>
        </w:rPr>
        <w:t>Los principales componentes de los ingresos por intereses son l</w:t>
      </w:r>
      <w:r w:rsidR="0078465D" w:rsidRPr="004079B0">
        <w:rPr>
          <w:rFonts w:cs="Arial"/>
          <w:sz w:val="20"/>
          <w:u w:val="none"/>
          <w:lang w:val="es-AR"/>
        </w:rPr>
        <w:t>a</w:t>
      </w:r>
      <w:r w:rsidRPr="004079B0">
        <w:rPr>
          <w:rFonts w:cs="Arial"/>
          <w:sz w:val="20"/>
          <w:u w:val="none"/>
          <w:lang w:val="es-AR"/>
        </w:rPr>
        <w:t>s “</w:t>
      </w:r>
      <w:r w:rsidR="0078465D" w:rsidRPr="004079B0">
        <w:rPr>
          <w:rFonts w:cs="Arial"/>
          <w:sz w:val="20"/>
          <w:u w:val="none"/>
          <w:lang w:val="es-AR"/>
        </w:rPr>
        <w:t>Comisiones por agente de administración</w:t>
      </w:r>
      <w:r w:rsidRPr="004079B0">
        <w:rPr>
          <w:rFonts w:cs="Arial"/>
          <w:sz w:val="20"/>
          <w:u w:val="none"/>
          <w:lang w:val="es-AR"/>
        </w:rPr>
        <w:t xml:space="preserve">” de </w:t>
      </w:r>
      <w:r w:rsidR="00741689" w:rsidRPr="004079B0">
        <w:rPr>
          <w:rFonts w:cs="Arial"/>
          <w:sz w:val="20"/>
          <w:u w:val="none"/>
          <w:lang w:val="es-AR"/>
        </w:rPr>
        <w:t xml:space="preserve">$ </w:t>
      </w:r>
      <w:r w:rsidR="004079B0" w:rsidRPr="004079B0">
        <w:rPr>
          <w:rFonts w:cs="Arial"/>
          <w:sz w:val="20"/>
          <w:u w:val="none"/>
          <w:lang w:val="es-AR"/>
        </w:rPr>
        <w:t>74.530.784</w:t>
      </w:r>
      <w:r w:rsidRPr="004079B0">
        <w:rPr>
          <w:rFonts w:cs="Arial"/>
          <w:sz w:val="20"/>
          <w:u w:val="none"/>
          <w:lang w:val="es-AR"/>
        </w:rPr>
        <w:t xml:space="preserve">, </w:t>
      </w:r>
      <w:r w:rsidR="0078465D" w:rsidRPr="004079B0">
        <w:rPr>
          <w:rFonts w:cs="Arial"/>
          <w:sz w:val="20"/>
          <w:u w:val="none"/>
          <w:lang w:val="es-AR"/>
        </w:rPr>
        <w:t xml:space="preserve">así como los principales componentes de los gastos son “Gastos de comercialización” por </w:t>
      </w:r>
      <w:r w:rsidR="00741689" w:rsidRPr="004079B0">
        <w:rPr>
          <w:rFonts w:cs="Arial"/>
          <w:sz w:val="20"/>
          <w:u w:val="none"/>
          <w:lang w:val="es-AR"/>
        </w:rPr>
        <w:t xml:space="preserve">$ </w:t>
      </w:r>
      <w:r w:rsidR="004079B0" w:rsidRPr="004079B0">
        <w:rPr>
          <w:rFonts w:cs="Arial"/>
          <w:sz w:val="20"/>
          <w:u w:val="none"/>
          <w:lang w:val="es-AR"/>
        </w:rPr>
        <w:t xml:space="preserve">12.946.947 </w:t>
      </w:r>
      <w:r w:rsidR="0078465D" w:rsidRPr="004079B0">
        <w:rPr>
          <w:rFonts w:cs="Arial"/>
          <w:sz w:val="20"/>
          <w:u w:val="none"/>
          <w:lang w:val="es-AR"/>
        </w:rPr>
        <w:t xml:space="preserve">y “Gastos de administración” por la suma de </w:t>
      </w:r>
      <w:r w:rsidR="00741689" w:rsidRPr="004079B0">
        <w:rPr>
          <w:rFonts w:cs="Arial"/>
          <w:sz w:val="20"/>
          <w:u w:val="none"/>
          <w:lang w:val="es-AR"/>
        </w:rPr>
        <w:t xml:space="preserve">$ </w:t>
      </w:r>
      <w:r w:rsidR="004079B0" w:rsidRPr="004079B0">
        <w:rPr>
          <w:rFonts w:cs="Arial"/>
          <w:sz w:val="20"/>
          <w:u w:val="none"/>
          <w:lang w:val="es-AR"/>
        </w:rPr>
        <w:t>7.365.216</w:t>
      </w:r>
      <w:r w:rsidR="0078465D" w:rsidRPr="004079B0">
        <w:rPr>
          <w:rFonts w:cs="Arial"/>
          <w:sz w:val="20"/>
          <w:u w:val="none"/>
          <w:lang w:val="es-AR"/>
        </w:rPr>
        <w:t>.</w:t>
      </w:r>
    </w:p>
    <w:p w:rsidR="00C2679D" w:rsidRPr="004079B0" w:rsidRDefault="00C2679D" w:rsidP="00B702F8">
      <w:pPr>
        <w:pStyle w:val="Sangra2detindependiente"/>
        <w:ind w:left="709" w:firstLine="0"/>
        <w:rPr>
          <w:rFonts w:cs="Arial"/>
          <w:sz w:val="20"/>
          <w:u w:val="none"/>
          <w:lang w:val="es-AR"/>
        </w:rPr>
      </w:pPr>
    </w:p>
    <w:p w:rsidR="000E33C1" w:rsidRPr="004079B0" w:rsidRDefault="000E33C1" w:rsidP="00B702F8">
      <w:pPr>
        <w:pStyle w:val="Sangra2detindependiente"/>
        <w:ind w:left="709" w:firstLine="0"/>
        <w:rPr>
          <w:rFonts w:cs="Arial"/>
          <w:b/>
          <w:sz w:val="20"/>
          <w:u w:val="none"/>
          <w:lang w:val="es-AR"/>
        </w:rPr>
      </w:pPr>
    </w:p>
    <w:p w:rsidR="00610347" w:rsidRDefault="00610347">
      <w:pPr>
        <w:spacing w:after="200" w:line="276" w:lineRule="auto"/>
        <w:rPr>
          <w:rFonts w:ascii="Arial" w:hAnsi="Arial" w:cs="Arial"/>
          <w:b/>
          <w:sz w:val="20"/>
          <w:lang w:val="es-AR"/>
        </w:rPr>
      </w:pPr>
      <w:r>
        <w:rPr>
          <w:rFonts w:cs="Arial"/>
          <w:b/>
          <w:sz w:val="20"/>
          <w:lang w:val="es-AR"/>
        </w:rPr>
        <w:br w:type="page"/>
      </w:r>
    </w:p>
    <w:p w:rsidR="00C2679D" w:rsidRPr="004079B0" w:rsidRDefault="00C2679D" w:rsidP="00B702F8">
      <w:pPr>
        <w:pStyle w:val="Sangra2detindependiente"/>
        <w:ind w:left="709" w:firstLine="0"/>
        <w:rPr>
          <w:rFonts w:cs="Arial"/>
          <w:b/>
          <w:sz w:val="20"/>
          <w:u w:val="none"/>
          <w:lang w:val="es-AR"/>
        </w:rPr>
      </w:pPr>
      <w:r w:rsidRPr="004079B0">
        <w:rPr>
          <w:rFonts w:cs="Arial"/>
          <w:b/>
          <w:sz w:val="20"/>
          <w:u w:val="none"/>
          <w:lang w:val="es-AR"/>
        </w:rPr>
        <w:t>INFORMACIÓN SELECCIONADA</w:t>
      </w:r>
    </w:p>
    <w:p w:rsidR="00C2679D" w:rsidRPr="004079B0" w:rsidRDefault="00C2679D" w:rsidP="00B702F8">
      <w:pPr>
        <w:pStyle w:val="Sangra2detindependiente"/>
        <w:ind w:left="709" w:firstLine="0"/>
        <w:rPr>
          <w:rFonts w:cs="Arial"/>
          <w:b/>
          <w:sz w:val="20"/>
          <w:u w:val="none"/>
          <w:lang w:val="es-AR"/>
        </w:rPr>
      </w:pPr>
    </w:p>
    <w:p w:rsidR="00C2679D" w:rsidRPr="004079B0" w:rsidRDefault="0086139C" w:rsidP="00B702F8">
      <w:pPr>
        <w:pStyle w:val="Sangra2detindependiente"/>
        <w:ind w:left="709" w:firstLine="0"/>
        <w:rPr>
          <w:rFonts w:cs="Arial"/>
          <w:b/>
          <w:sz w:val="20"/>
          <w:u w:val="none"/>
          <w:lang w:val="es-AR"/>
        </w:rPr>
      </w:pPr>
      <w:r w:rsidRPr="004079B0">
        <w:rPr>
          <w:rFonts w:cs="Arial"/>
          <w:b/>
          <w:sz w:val="20"/>
          <w:u w:val="none"/>
          <w:lang w:val="es-AR"/>
        </w:rPr>
        <w:t>ESTADO DE SITUACIÓN PATRIMONIAL</w:t>
      </w:r>
    </w:p>
    <w:p w:rsidR="0086139C" w:rsidRPr="004079B0" w:rsidRDefault="0086139C" w:rsidP="00B702F8">
      <w:pPr>
        <w:pStyle w:val="Sangra2detindependiente"/>
        <w:ind w:left="709" w:firstLine="0"/>
        <w:rPr>
          <w:rFonts w:cs="Arial"/>
          <w:sz w:val="20"/>
          <w:u w:val="none"/>
          <w:lang w:val="es-AR"/>
        </w:rPr>
      </w:pPr>
    </w:p>
    <w:tbl>
      <w:tblPr>
        <w:tblW w:w="9702" w:type="dxa"/>
        <w:tblInd w:w="-424" w:type="dxa"/>
        <w:tblLayout w:type="fixed"/>
        <w:tblCellMar>
          <w:left w:w="0" w:type="dxa"/>
          <w:right w:w="0" w:type="dxa"/>
        </w:tblCellMar>
        <w:tblLook w:val="0000" w:firstRow="0" w:lastRow="0" w:firstColumn="0" w:lastColumn="0" w:noHBand="0" w:noVBand="0"/>
      </w:tblPr>
      <w:tblGrid>
        <w:gridCol w:w="179"/>
        <w:gridCol w:w="5459"/>
        <w:gridCol w:w="675"/>
        <w:gridCol w:w="1553"/>
        <w:gridCol w:w="282"/>
        <w:gridCol w:w="1554"/>
      </w:tblGrid>
      <w:tr w:rsidR="004079B0" w:rsidRPr="004079B0" w:rsidTr="004079B0">
        <w:trPr>
          <w:trHeight w:val="247"/>
        </w:trPr>
        <w:tc>
          <w:tcPr>
            <w:tcW w:w="179" w:type="dxa"/>
            <w:tcBorders>
              <w:top w:val="nil"/>
              <w:left w:val="nil"/>
              <w:bottom w:val="nil"/>
              <w:right w:val="nil"/>
            </w:tcBorders>
            <w:vAlign w:val="bottom"/>
          </w:tcPr>
          <w:p w:rsidR="004079B0" w:rsidRPr="004079B0" w:rsidRDefault="004079B0" w:rsidP="00281368">
            <w:pPr>
              <w:rPr>
                <w:rFonts w:ascii="Arial" w:eastAsia="Arial Unicode MS" w:hAnsi="Arial" w:cs="Arial"/>
                <w:sz w:val="20"/>
                <w:lang w:val="es-AR"/>
              </w:rPr>
            </w:pPr>
          </w:p>
        </w:tc>
        <w:tc>
          <w:tcPr>
            <w:tcW w:w="5459" w:type="dxa"/>
            <w:tcBorders>
              <w:top w:val="nil"/>
              <w:left w:val="nil"/>
              <w:bottom w:val="nil"/>
              <w:right w:val="nil"/>
            </w:tcBorders>
            <w:vAlign w:val="bottom"/>
          </w:tcPr>
          <w:p w:rsidR="004079B0" w:rsidRPr="004079B0" w:rsidRDefault="004079B0" w:rsidP="00281368">
            <w:pPr>
              <w:rPr>
                <w:rFonts w:ascii="Arial" w:eastAsia="Arial Unicode MS" w:hAnsi="Arial" w:cs="Arial"/>
                <w:sz w:val="20"/>
                <w:lang w:val="es-AR"/>
              </w:rPr>
            </w:pPr>
          </w:p>
        </w:tc>
        <w:tc>
          <w:tcPr>
            <w:tcW w:w="675" w:type="dxa"/>
            <w:tcBorders>
              <w:top w:val="nil"/>
              <w:left w:val="nil"/>
              <w:bottom w:val="nil"/>
              <w:right w:val="nil"/>
            </w:tcBorders>
            <w:vAlign w:val="bottom"/>
          </w:tcPr>
          <w:p w:rsidR="004079B0" w:rsidRPr="004079B0" w:rsidRDefault="004079B0" w:rsidP="00281368">
            <w:pPr>
              <w:rPr>
                <w:rFonts w:ascii="Arial" w:eastAsia="Arial Unicode MS" w:hAnsi="Arial" w:cs="Arial"/>
                <w:sz w:val="20"/>
                <w:lang w:val="es-AR"/>
              </w:rPr>
            </w:pPr>
          </w:p>
        </w:tc>
        <w:tc>
          <w:tcPr>
            <w:tcW w:w="1553" w:type="dxa"/>
            <w:tcBorders>
              <w:top w:val="nil"/>
              <w:left w:val="nil"/>
              <w:bottom w:val="single" w:sz="4" w:space="0" w:color="auto"/>
              <w:right w:val="nil"/>
            </w:tcBorders>
          </w:tcPr>
          <w:p w:rsidR="004079B0" w:rsidRPr="004079B0" w:rsidRDefault="004079B0" w:rsidP="00281368">
            <w:pPr>
              <w:tabs>
                <w:tab w:val="left" w:pos="255"/>
                <w:tab w:val="center" w:pos="779"/>
              </w:tabs>
              <w:rPr>
                <w:rFonts w:ascii="Arial" w:eastAsia="Arial Unicode MS" w:hAnsi="Arial" w:cs="Arial"/>
                <w:b/>
                <w:sz w:val="20"/>
                <w:lang w:val="es-AR"/>
              </w:rPr>
            </w:pPr>
            <w:r w:rsidRPr="004079B0">
              <w:rPr>
                <w:rFonts w:ascii="Arial" w:eastAsia="Arial Unicode MS" w:hAnsi="Arial" w:cs="Arial"/>
                <w:b/>
                <w:sz w:val="20"/>
                <w:lang w:val="es-AR"/>
              </w:rPr>
              <w:tab/>
            </w:r>
            <w:r w:rsidRPr="004079B0">
              <w:rPr>
                <w:rFonts w:ascii="Arial" w:eastAsia="Arial Unicode MS" w:hAnsi="Arial" w:cs="Arial"/>
                <w:b/>
                <w:sz w:val="20"/>
                <w:lang w:val="es-AR"/>
              </w:rPr>
              <w:tab/>
              <w:t>31/12/2020</w:t>
            </w:r>
          </w:p>
        </w:tc>
        <w:tc>
          <w:tcPr>
            <w:tcW w:w="282" w:type="dxa"/>
            <w:tcBorders>
              <w:top w:val="nil"/>
              <w:left w:val="nil"/>
              <w:right w:val="nil"/>
            </w:tcBorders>
          </w:tcPr>
          <w:p w:rsidR="004079B0" w:rsidRPr="004079B0" w:rsidRDefault="004079B0" w:rsidP="00281368">
            <w:pPr>
              <w:jc w:val="center"/>
              <w:rPr>
                <w:rFonts w:ascii="Arial" w:eastAsia="Arial Unicode MS" w:hAnsi="Arial" w:cs="Arial"/>
                <w:b/>
                <w:sz w:val="20"/>
                <w:lang w:val="es-AR"/>
              </w:rPr>
            </w:pPr>
          </w:p>
        </w:tc>
        <w:tc>
          <w:tcPr>
            <w:tcW w:w="1554" w:type="dxa"/>
            <w:tcBorders>
              <w:top w:val="nil"/>
              <w:left w:val="nil"/>
              <w:bottom w:val="single" w:sz="4" w:space="0" w:color="auto"/>
              <w:right w:val="nil"/>
            </w:tcBorders>
            <w:vAlign w:val="bottom"/>
          </w:tcPr>
          <w:p w:rsidR="004079B0" w:rsidRPr="004079B0" w:rsidRDefault="004079B0" w:rsidP="00281368">
            <w:pPr>
              <w:jc w:val="center"/>
              <w:rPr>
                <w:rFonts w:ascii="Arial" w:eastAsia="Arial Unicode MS" w:hAnsi="Arial" w:cs="Arial"/>
                <w:b/>
                <w:sz w:val="20"/>
                <w:lang w:val="es-AR"/>
              </w:rPr>
            </w:pPr>
            <w:r w:rsidRPr="004079B0">
              <w:rPr>
                <w:rFonts w:ascii="Arial" w:eastAsia="Arial Unicode MS" w:hAnsi="Arial" w:cs="Arial"/>
                <w:b/>
                <w:sz w:val="20"/>
                <w:lang w:val="es-AR"/>
              </w:rPr>
              <w:t>31/12/2019</w:t>
            </w:r>
          </w:p>
        </w:tc>
      </w:tr>
      <w:tr w:rsidR="004079B0" w:rsidRPr="004079B0" w:rsidTr="004079B0">
        <w:trPr>
          <w:trHeight w:val="247"/>
        </w:trPr>
        <w:tc>
          <w:tcPr>
            <w:tcW w:w="179" w:type="dxa"/>
            <w:tcBorders>
              <w:top w:val="nil"/>
              <w:left w:val="nil"/>
              <w:bottom w:val="nil"/>
              <w:right w:val="nil"/>
            </w:tcBorders>
            <w:vAlign w:val="bottom"/>
          </w:tcPr>
          <w:p w:rsidR="004079B0" w:rsidRPr="004079B0" w:rsidRDefault="004079B0" w:rsidP="00281368">
            <w:pPr>
              <w:rPr>
                <w:rFonts w:ascii="Arial" w:eastAsia="Arial Unicode MS" w:hAnsi="Arial" w:cs="Arial"/>
                <w:sz w:val="20"/>
                <w:lang w:val="es-AR"/>
              </w:rPr>
            </w:pPr>
          </w:p>
        </w:tc>
        <w:tc>
          <w:tcPr>
            <w:tcW w:w="5459" w:type="dxa"/>
            <w:tcBorders>
              <w:top w:val="nil"/>
              <w:left w:val="nil"/>
              <w:right w:val="nil"/>
            </w:tcBorders>
            <w:vAlign w:val="bottom"/>
          </w:tcPr>
          <w:p w:rsidR="004079B0" w:rsidRPr="004079B0" w:rsidRDefault="004079B0" w:rsidP="00281368">
            <w:pPr>
              <w:rPr>
                <w:rFonts w:ascii="Arial" w:eastAsia="Arial Unicode MS" w:hAnsi="Arial" w:cs="Arial"/>
                <w:b/>
                <w:sz w:val="20"/>
                <w:lang w:val="es-AR"/>
              </w:rPr>
            </w:pPr>
            <w:r w:rsidRPr="004079B0">
              <w:rPr>
                <w:rFonts w:ascii="Arial" w:hAnsi="Arial" w:cs="Arial"/>
                <w:b/>
                <w:sz w:val="20"/>
                <w:lang w:val="es-AR"/>
              </w:rPr>
              <w:t>ACTIVO</w:t>
            </w:r>
          </w:p>
        </w:tc>
        <w:tc>
          <w:tcPr>
            <w:tcW w:w="675" w:type="dxa"/>
            <w:tcBorders>
              <w:top w:val="nil"/>
              <w:left w:val="nil"/>
              <w:right w:val="nil"/>
            </w:tcBorders>
            <w:vAlign w:val="bottom"/>
          </w:tcPr>
          <w:p w:rsidR="004079B0" w:rsidRPr="004079B0" w:rsidRDefault="004079B0" w:rsidP="00281368">
            <w:pPr>
              <w:rPr>
                <w:rFonts w:ascii="Arial" w:eastAsia="Arial Unicode MS" w:hAnsi="Arial" w:cs="Arial"/>
                <w:sz w:val="20"/>
                <w:lang w:val="es-AR"/>
              </w:rPr>
            </w:pPr>
          </w:p>
        </w:tc>
        <w:tc>
          <w:tcPr>
            <w:tcW w:w="1553" w:type="dxa"/>
            <w:tcBorders>
              <w:top w:val="single" w:sz="4" w:space="0" w:color="auto"/>
              <w:left w:val="nil"/>
              <w:right w:val="nil"/>
            </w:tcBorders>
          </w:tcPr>
          <w:p w:rsidR="004079B0" w:rsidRPr="004079B0" w:rsidRDefault="004079B0" w:rsidP="00281368">
            <w:pPr>
              <w:ind w:right="122"/>
              <w:jc w:val="right"/>
              <w:rPr>
                <w:rFonts w:ascii="Arial" w:eastAsia="Arial Unicode MS" w:hAnsi="Arial" w:cs="Arial"/>
                <w:sz w:val="20"/>
                <w:lang w:val="es-AR"/>
              </w:rPr>
            </w:pPr>
          </w:p>
        </w:tc>
        <w:tc>
          <w:tcPr>
            <w:tcW w:w="282" w:type="dxa"/>
            <w:tcBorders>
              <w:left w:val="nil"/>
              <w:right w:val="nil"/>
            </w:tcBorders>
          </w:tcPr>
          <w:p w:rsidR="004079B0" w:rsidRPr="004079B0" w:rsidRDefault="004079B0" w:rsidP="00281368">
            <w:pPr>
              <w:ind w:right="122"/>
              <w:jc w:val="right"/>
              <w:rPr>
                <w:rFonts w:ascii="Arial" w:eastAsia="Arial Unicode MS" w:hAnsi="Arial" w:cs="Arial"/>
                <w:sz w:val="20"/>
                <w:lang w:val="es-AR"/>
              </w:rPr>
            </w:pPr>
          </w:p>
        </w:tc>
        <w:tc>
          <w:tcPr>
            <w:tcW w:w="1554" w:type="dxa"/>
            <w:tcBorders>
              <w:top w:val="single" w:sz="4" w:space="0" w:color="auto"/>
              <w:left w:val="nil"/>
              <w:right w:val="nil"/>
            </w:tcBorders>
            <w:vAlign w:val="bottom"/>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tcBorders>
              <w:top w:val="nil"/>
              <w:left w:val="nil"/>
              <w:bottom w:val="nil"/>
              <w:right w:val="nil"/>
            </w:tcBorders>
            <w:vAlign w:val="bottom"/>
          </w:tcPr>
          <w:p w:rsidR="004079B0" w:rsidRPr="004079B0" w:rsidRDefault="004079B0" w:rsidP="00281368">
            <w:pPr>
              <w:rPr>
                <w:rFonts w:ascii="Arial" w:eastAsia="Arial Unicode MS" w:hAnsi="Arial" w:cs="Arial"/>
                <w:sz w:val="20"/>
                <w:lang w:val="es-AR"/>
              </w:rPr>
            </w:pPr>
          </w:p>
        </w:tc>
        <w:tc>
          <w:tcPr>
            <w:tcW w:w="5459" w:type="dxa"/>
            <w:tcBorders>
              <w:left w:val="nil"/>
              <w:bottom w:val="nil"/>
              <w:right w:val="nil"/>
            </w:tcBorders>
            <w:vAlign w:val="bottom"/>
          </w:tcPr>
          <w:p w:rsidR="004079B0" w:rsidRPr="004079B0" w:rsidRDefault="004079B0" w:rsidP="00281368">
            <w:pPr>
              <w:rPr>
                <w:rFonts w:ascii="Arial" w:hAnsi="Arial" w:cs="Arial"/>
                <w:b/>
                <w:sz w:val="20"/>
                <w:lang w:val="es-AR"/>
              </w:rPr>
            </w:pPr>
          </w:p>
        </w:tc>
        <w:tc>
          <w:tcPr>
            <w:tcW w:w="675" w:type="dxa"/>
            <w:tcBorders>
              <w:left w:val="nil"/>
              <w:bottom w:val="nil"/>
              <w:right w:val="nil"/>
            </w:tcBorders>
            <w:vAlign w:val="bottom"/>
          </w:tcPr>
          <w:p w:rsidR="004079B0" w:rsidRPr="004079B0" w:rsidRDefault="004079B0" w:rsidP="00281368">
            <w:pPr>
              <w:rPr>
                <w:rFonts w:ascii="Arial" w:eastAsia="Arial Unicode MS" w:hAnsi="Arial" w:cs="Arial"/>
                <w:sz w:val="20"/>
                <w:lang w:val="es-AR"/>
              </w:rPr>
            </w:pPr>
          </w:p>
        </w:tc>
        <w:tc>
          <w:tcPr>
            <w:tcW w:w="1553" w:type="dxa"/>
            <w:tcBorders>
              <w:left w:val="nil"/>
              <w:bottom w:val="nil"/>
              <w:right w:val="nil"/>
            </w:tcBorders>
          </w:tcPr>
          <w:p w:rsidR="004079B0" w:rsidRPr="004079B0" w:rsidRDefault="004079B0" w:rsidP="00281368">
            <w:pPr>
              <w:ind w:right="122"/>
              <w:jc w:val="right"/>
              <w:rPr>
                <w:rFonts w:ascii="Arial" w:eastAsia="Arial Unicode MS" w:hAnsi="Arial" w:cs="Arial"/>
                <w:sz w:val="20"/>
                <w:lang w:val="es-AR"/>
              </w:rPr>
            </w:pPr>
          </w:p>
        </w:tc>
        <w:tc>
          <w:tcPr>
            <w:tcW w:w="282" w:type="dxa"/>
            <w:tcBorders>
              <w:left w:val="nil"/>
              <w:bottom w:val="nil"/>
              <w:right w:val="nil"/>
            </w:tcBorders>
          </w:tcPr>
          <w:p w:rsidR="004079B0" w:rsidRPr="004079B0" w:rsidRDefault="004079B0" w:rsidP="00281368">
            <w:pPr>
              <w:ind w:right="122"/>
              <w:jc w:val="right"/>
              <w:rPr>
                <w:rFonts w:ascii="Arial" w:eastAsia="Arial Unicode MS" w:hAnsi="Arial" w:cs="Arial"/>
                <w:sz w:val="20"/>
                <w:lang w:val="es-AR"/>
              </w:rPr>
            </w:pPr>
          </w:p>
        </w:tc>
        <w:tc>
          <w:tcPr>
            <w:tcW w:w="1554" w:type="dxa"/>
            <w:tcBorders>
              <w:left w:val="nil"/>
              <w:bottom w:val="nil"/>
              <w:right w:val="nil"/>
            </w:tcBorders>
            <w:vAlign w:val="bottom"/>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tcBorders>
              <w:top w:val="nil"/>
              <w:left w:val="nil"/>
              <w:bottom w:val="nil"/>
              <w:right w:val="nil"/>
            </w:tcBorders>
            <w:vAlign w:val="bottom"/>
          </w:tcPr>
          <w:p w:rsidR="004079B0" w:rsidRPr="004079B0" w:rsidRDefault="004079B0" w:rsidP="00281368">
            <w:pPr>
              <w:rPr>
                <w:rFonts w:ascii="Arial" w:eastAsia="Arial Unicode MS" w:hAnsi="Arial" w:cs="Arial"/>
                <w:sz w:val="20"/>
                <w:lang w:val="es-AR"/>
              </w:rPr>
            </w:pPr>
          </w:p>
        </w:tc>
        <w:tc>
          <w:tcPr>
            <w:tcW w:w="5459" w:type="dxa"/>
            <w:tcBorders>
              <w:top w:val="nil"/>
              <w:left w:val="nil"/>
              <w:bottom w:val="nil"/>
              <w:right w:val="nil"/>
            </w:tcBorders>
            <w:vAlign w:val="bottom"/>
          </w:tcPr>
          <w:p w:rsidR="004079B0" w:rsidRPr="004079B0" w:rsidRDefault="004079B0" w:rsidP="00281368">
            <w:pPr>
              <w:rPr>
                <w:rFonts w:ascii="Arial" w:eastAsia="Arial Unicode MS" w:hAnsi="Arial" w:cs="Arial"/>
                <w:b/>
                <w:sz w:val="20"/>
                <w:lang w:val="es-AR"/>
              </w:rPr>
            </w:pPr>
            <w:r w:rsidRPr="004079B0">
              <w:rPr>
                <w:rFonts w:ascii="Arial" w:hAnsi="Arial" w:cs="Arial"/>
                <w:b/>
                <w:sz w:val="20"/>
                <w:lang w:val="es-AR"/>
              </w:rPr>
              <w:t>ACTIVO CORRIENTE</w:t>
            </w:r>
          </w:p>
        </w:tc>
        <w:tc>
          <w:tcPr>
            <w:tcW w:w="675" w:type="dxa"/>
            <w:tcBorders>
              <w:top w:val="nil"/>
              <w:left w:val="nil"/>
              <w:bottom w:val="nil"/>
              <w:right w:val="nil"/>
            </w:tcBorders>
            <w:vAlign w:val="bottom"/>
          </w:tcPr>
          <w:p w:rsidR="004079B0" w:rsidRPr="004079B0" w:rsidRDefault="004079B0" w:rsidP="00281368">
            <w:pPr>
              <w:rPr>
                <w:rFonts w:ascii="Arial" w:eastAsia="Arial Unicode MS" w:hAnsi="Arial" w:cs="Arial"/>
                <w:sz w:val="20"/>
                <w:lang w:val="es-AR"/>
              </w:rPr>
            </w:pPr>
          </w:p>
        </w:tc>
        <w:tc>
          <w:tcPr>
            <w:tcW w:w="1553" w:type="dxa"/>
            <w:tcBorders>
              <w:top w:val="nil"/>
              <w:left w:val="nil"/>
              <w:bottom w:val="nil"/>
              <w:right w:val="nil"/>
            </w:tcBorders>
          </w:tcPr>
          <w:p w:rsidR="004079B0" w:rsidRPr="004079B0" w:rsidRDefault="004079B0" w:rsidP="00281368">
            <w:pPr>
              <w:ind w:right="122"/>
              <w:jc w:val="right"/>
              <w:rPr>
                <w:rFonts w:ascii="Arial" w:eastAsia="Arial Unicode MS" w:hAnsi="Arial" w:cs="Arial"/>
                <w:sz w:val="20"/>
                <w:lang w:val="es-AR"/>
              </w:rPr>
            </w:pPr>
          </w:p>
        </w:tc>
        <w:tc>
          <w:tcPr>
            <w:tcW w:w="282" w:type="dxa"/>
            <w:tcBorders>
              <w:top w:val="nil"/>
              <w:left w:val="nil"/>
              <w:bottom w:val="nil"/>
              <w:right w:val="nil"/>
            </w:tcBorders>
          </w:tcPr>
          <w:p w:rsidR="004079B0" w:rsidRPr="004079B0" w:rsidRDefault="004079B0" w:rsidP="00281368">
            <w:pPr>
              <w:ind w:right="122"/>
              <w:jc w:val="right"/>
              <w:rPr>
                <w:rFonts w:ascii="Arial" w:eastAsia="Arial Unicode MS" w:hAnsi="Arial" w:cs="Arial"/>
                <w:sz w:val="20"/>
                <w:lang w:val="es-AR"/>
              </w:rPr>
            </w:pPr>
          </w:p>
        </w:tc>
        <w:tc>
          <w:tcPr>
            <w:tcW w:w="1554" w:type="dxa"/>
            <w:tcBorders>
              <w:top w:val="nil"/>
              <w:left w:val="nil"/>
              <w:bottom w:val="nil"/>
              <w:right w:val="nil"/>
            </w:tcBorders>
            <w:vAlign w:val="bottom"/>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tcBorders>
              <w:top w:val="nil"/>
              <w:left w:val="nil"/>
              <w:right w:val="nil"/>
            </w:tcBorders>
            <w:vAlign w:val="bottom"/>
          </w:tcPr>
          <w:p w:rsidR="004079B0" w:rsidRPr="004079B0" w:rsidRDefault="004079B0" w:rsidP="00281368">
            <w:pPr>
              <w:rPr>
                <w:rFonts w:ascii="Arial" w:eastAsia="Arial Unicode MS" w:hAnsi="Arial" w:cs="Arial"/>
                <w:sz w:val="20"/>
                <w:lang w:val="es-AR"/>
              </w:rPr>
            </w:pPr>
          </w:p>
        </w:tc>
        <w:tc>
          <w:tcPr>
            <w:tcW w:w="5459" w:type="dxa"/>
            <w:tcBorders>
              <w:top w:val="nil"/>
              <w:left w:val="nil"/>
              <w:right w:val="nil"/>
            </w:tcBorders>
            <w:vAlign w:val="bottom"/>
          </w:tcPr>
          <w:p w:rsidR="004079B0" w:rsidRPr="004079B0" w:rsidRDefault="004079B0" w:rsidP="00281368">
            <w:pPr>
              <w:rPr>
                <w:rFonts w:ascii="Arial" w:eastAsia="Arial Unicode MS" w:hAnsi="Arial" w:cs="Arial"/>
                <w:sz w:val="20"/>
                <w:lang w:val="es-AR"/>
              </w:rPr>
            </w:pPr>
          </w:p>
        </w:tc>
        <w:tc>
          <w:tcPr>
            <w:tcW w:w="675" w:type="dxa"/>
            <w:tcBorders>
              <w:top w:val="nil"/>
              <w:left w:val="nil"/>
              <w:right w:val="nil"/>
            </w:tcBorders>
            <w:vAlign w:val="bottom"/>
          </w:tcPr>
          <w:p w:rsidR="004079B0" w:rsidRPr="004079B0" w:rsidRDefault="004079B0" w:rsidP="00281368">
            <w:pPr>
              <w:rPr>
                <w:rFonts w:ascii="Arial" w:eastAsia="Arial Unicode MS" w:hAnsi="Arial" w:cs="Arial"/>
                <w:sz w:val="20"/>
                <w:lang w:val="es-AR"/>
              </w:rPr>
            </w:pPr>
          </w:p>
        </w:tc>
        <w:tc>
          <w:tcPr>
            <w:tcW w:w="1553" w:type="dxa"/>
            <w:tcBorders>
              <w:top w:val="nil"/>
              <w:left w:val="nil"/>
              <w:right w:val="nil"/>
            </w:tcBorders>
          </w:tcPr>
          <w:p w:rsidR="004079B0" w:rsidRPr="004079B0" w:rsidRDefault="004079B0" w:rsidP="00281368">
            <w:pPr>
              <w:ind w:right="122"/>
              <w:jc w:val="right"/>
              <w:rPr>
                <w:rFonts w:ascii="Arial" w:eastAsia="Arial Unicode MS" w:hAnsi="Arial" w:cs="Arial"/>
                <w:sz w:val="20"/>
                <w:lang w:val="es-AR"/>
              </w:rPr>
            </w:pPr>
          </w:p>
        </w:tc>
        <w:tc>
          <w:tcPr>
            <w:tcW w:w="282" w:type="dxa"/>
            <w:tcBorders>
              <w:top w:val="nil"/>
              <w:left w:val="nil"/>
              <w:right w:val="nil"/>
            </w:tcBorders>
          </w:tcPr>
          <w:p w:rsidR="004079B0" w:rsidRPr="004079B0" w:rsidRDefault="004079B0" w:rsidP="00281368">
            <w:pPr>
              <w:ind w:right="122"/>
              <w:jc w:val="right"/>
              <w:rPr>
                <w:rFonts w:ascii="Arial" w:eastAsia="Arial Unicode MS" w:hAnsi="Arial" w:cs="Arial"/>
                <w:sz w:val="20"/>
                <w:lang w:val="es-AR"/>
              </w:rPr>
            </w:pPr>
          </w:p>
        </w:tc>
        <w:tc>
          <w:tcPr>
            <w:tcW w:w="1554" w:type="dxa"/>
            <w:tcBorders>
              <w:top w:val="nil"/>
              <w:left w:val="nil"/>
              <w:right w:val="nil"/>
            </w:tcBorders>
            <w:vAlign w:val="bottom"/>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sz w:val="20"/>
                <w:lang w:val="es-AR"/>
              </w:rPr>
              <w:t>Caja y Bancos (Nota 3.1.)</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52.515.226</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7.963.330</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hAnsi="Arial" w:cs="Arial"/>
                <w:sz w:val="20"/>
                <w:lang w:val="es-AR"/>
              </w:rPr>
            </w:pPr>
            <w:r w:rsidRPr="004079B0">
              <w:rPr>
                <w:rFonts w:ascii="Arial" w:hAnsi="Arial" w:cs="Arial"/>
                <w:sz w:val="20"/>
                <w:lang w:val="es-AR"/>
              </w:rPr>
              <w:t>Inversiones (Anexo II)</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50.001.298</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63.979.029</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hAnsi="Arial" w:cs="Arial"/>
                <w:sz w:val="20"/>
                <w:lang w:val="es-AR"/>
              </w:rPr>
            </w:pPr>
            <w:r w:rsidRPr="004079B0">
              <w:rPr>
                <w:rFonts w:ascii="Arial" w:hAnsi="Arial" w:cs="Arial"/>
                <w:sz w:val="20"/>
                <w:lang w:val="es-AR"/>
              </w:rPr>
              <w:t>Créditos por servicios (Nota 3.2</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6.937.653</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4.117.458</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sz w:val="20"/>
                <w:lang w:val="es-AR"/>
              </w:rPr>
              <w:t>Otros créditos (Nota 3.3.)</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bottom w:val="sing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8.000</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bottom w:val="sing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b/>
                <w:sz w:val="20"/>
                <w:lang w:val="es-AR"/>
              </w:rPr>
            </w:pPr>
            <w:r w:rsidRPr="004079B0">
              <w:rPr>
                <w:rFonts w:ascii="Arial" w:hAnsi="Arial" w:cs="Arial"/>
                <w:b/>
                <w:sz w:val="20"/>
                <w:lang w:val="es-AR"/>
              </w:rPr>
              <w:t>Total de activo corriente</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single" w:sz="4" w:space="0" w:color="auto"/>
              <w:bottom w:val="sing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109.462.177</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single" w:sz="4" w:space="0" w:color="auto"/>
              <w:bottom w:val="sing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76.059.817</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single" w:sz="4" w:space="0" w:color="auto"/>
            </w:tcBorders>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single" w:sz="4" w:space="0" w:color="auto"/>
            </w:tcBorders>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b/>
                <w:sz w:val="20"/>
                <w:lang w:val="es-AR"/>
              </w:rPr>
            </w:pPr>
            <w:r w:rsidRPr="004079B0">
              <w:rPr>
                <w:rFonts w:ascii="Arial" w:hAnsi="Arial" w:cs="Arial"/>
                <w:b/>
                <w:sz w:val="20"/>
                <w:lang w:val="es-AR"/>
              </w:rPr>
              <w:t>ACTIVO NO CORRIENTE</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hAnsi="Arial" w:cs="Arial"/>
                <w:sz w:val="20"/>
                <w:lang w:val="es-AR"/>
              </w:rPr>
            </w:pPr>
            <w:r w:rsidRPr="004079B0">
              <w:rPr>
                <w:rFonts w:ascii="Arial" w:hAnsi="Arial" w:cs="Arial"/>
                <w:sz w:val="20"/>
                <w:lang w:val="es-AR"/>
              </w:rPr>
              <w:t>Otros créditos (Nota 3.3.)</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7.500</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912.420</w:t>
            </w:r>
          </w:p>
        </w:tc>
      </w:tr>
      <w:tr w:rsidR="004079B0" w:rsidRPr="004079B0" w:rsidTr="004079B0">
        <w:trPr>
          <w:trHeight w:val="251"/>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sz w:val="20"/>
                <w:lang w:val="es-AR"/>
              </w:rPr>
              <w:t>Bienes Intangibles (Anexo I)</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bottom w:val="sing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129.913</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1.716.573</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b/>
                <w:sz w:val="20"/>
                <w:lang w:val="es-AR"/>
              </w:rPr>
            </w:pPr>
            <w:r w:rsidRPr="004079B0">
              <w:rPr>
                <w:rFonts w:ascii="Arial" w:hAnsi="Arial" w:cs="Arial"/>
                <w:b/>
                <w:sz w:val="20"/>
                <w:lang w:val="es-AR"/>
              </w:rPr>
              <w:t>Total de activo no corriente</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single" w:sz="4" w:space="0" w:color="auto"/>
              <w:bottom w:val="sing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137.413</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single" w:sz="4" w:space="0" w:color="auto"/>
              <w:bottom w:val="sing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2.628.993</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single" w:sz="4" w:space="0" w:color="auto"/>
            </w:tcBorders>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single" w:sz="4" w:space="0" w:color="auto"/>
            </w:tcBorders>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b/>
                <w:sz w:val="20"/>
                <w:lang w:val="es-AR"/>
              </w:rPr>
            </w:pPr>
            <w:r w:rsidRPr="004079B0">
              <w:rPr>
                <w:rFonts w:ascii="Arial" w:hAnsi="Arial" w:cs="Arial"/>
                <w:b/>
                <w:sz w:val="20"/>
                <w:lang w:val="es-AR"/>
              </w:rPr>
              <w:t>Total de activo</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bottom w:val="doub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109.599.590</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bottom w:val="doub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78.688.810</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double" w:sz="4" w:space="0" w:color="auto"/>
            </w:tcBorders>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double" w:sz="4" w:space="0" w:color="auto"/>
            </w:tcBorders>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b/>
                <w:sz w:val="20"/>
                <w:lang w:val="es-AR"/>
              </w:rPr>
              <w:t>PASIVO</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b/>
                <w:sz w:val="20"/>
                <w:lang w:val="es-AR"/>
              </w:rPr>
              <w:t>PASIVO CORRIENTE</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hAnsi="Arial" w:cs="Arial"/>
                <w:sz w:val="20"/>
                <w:lang w:val="es-AR"/>
              </w:rPr>
            </w:pPr>
            <w:r w:rsidRPr="004079B0">
              <w:rPr>
                <w:rFonts w:ascii="Arial" w:hAnsi="Arial" w:cs="Arial"/>
                <w:sz w:val="20"/>
                <w:lang w:val="es-AR"/>
              </w:rPr>
              <w:t>Deudas sociales (Nota 3.4.)</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398.210</w:t>
            </w:r>
          </w:p>
        </w:tc>
        <w:tc>
          <w:tcPr>
            <w:tcW w:w="282" w:type="dxa"/>
          </w:tcPr>
          <w:p w:rsidR="004079B0" w:rsidRPr="004079B0" w:rsidRDefault="004079B0" w:rsidP="00281368">
            <w:pPr>
              <w:ind w:right="122"/>
              <w:jc w:val="right"/>
              <w:rPr>
                <w:rFonts w:ascii="Arial" w:hAnsi="Arial" w:cs="Arial"/>
                <w:sz w:val="20"/>
                <w:lang w:val="es-AR"/>
              </w:rPr>
            </w:pPr>
          </w:p>
        </w:tc>
        <w:tc>
          <w:tcPr>
            <w:tcW w:w="1554" w:type="dxa"/>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408.394</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sz w:val="20"/>
                <w:lang w:val="es-AR"/>
              </w:rPr>
              <w:t>Deudas fiscales (Nota 3.5.)</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8.552.742</w:t>
            </w:r>
          </w:p>
        </w:tc>
        <w:tc>
          <w:tcPr>
            <w:tcW w:w="282" w:type="dxa"/>
          </w:tcPr>
          <w:p w:rsidR="004079B0" w:rsidRPr="004079B0" w:rsidRDefault="004079B0" w:rsidP="00281368">
            <w:pPr>
              <w:ind w:right="122"/>
              <w:jc w:val="right"/>
              <w:rPr>
                <w:rFonts w:ascii="Arial" w:hAnsi="Arial" w:cs="Arial"/>
                <w:sz w:val="20"/>
                <w:lang w:val="es-AR"/>
              </w:rPr>
            </w:pPr>
          </w:p>
        </w:tc>
        <w:tc>
          <w:tcPr>
            <w:tcW w:w="1554" w:type="dxa"/>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5.959.118</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sz w:val="20"/>
                <w:lang w:val="es-AR"/>
              </w:rPr>
              <w:t>Otros pasivos (Nota 3.6.)</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bottom w:val="single" w:sz="6" w:space="0" w:color="auto"/>
            </w:tcBorders>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1.196.511</w:t>
            </w:r>
          </w:p>
        </w:tc>
        <w:tc>
          <w:tcPr>
            <w:tcW w:w="282" w:type="dxa"/>
          </w:tcPr>
          <w:p w:rsidR="004079B0" w:rsidRPr="004079B0" w:rsidRDefault="004079B0" w:rsidP="00281368">
            <w:pPr>
              <w:ind w:right="122"/>
              <w:jc w:val="right"/>
              <w:rPr>
                <w:rFonts w:ascii="Arial" w:hAnsi="Arial" w:cs="Arial"/>
                <w:sz w:val="20"/>
                <w:lang w:val="es-AR"/>
              </w:rPr>
            </w:pPr>
          </w:p>
        </w:tc>
        <w:tc>
          <w:tcPr>
            <w:tcW w:w="1554" w:type="dxa"/>
            <w:tcBorders>
              <w:bottom w:val="single" w:sz="4" w:space="0" w:color="auto"/>
            </w:tcBorders>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1.530.967</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b/>
                <w:sz w:val="20"/>
                <w:lang w:val="es-AR"/>
              </w:rPr>
              <w:t>Total de pasivo corriente</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single" w:sz="6" w:space="0" w:color="auto"/>
              <w:bottom w:val="single" w:sz="6"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10.147.463</w:t>
            </w: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single" w:sz="4" w:space="0" w:color="auto"/>
              <w:bottom w:val="single" w:sz="4" w:space="0" w:color="auto"/>
            </w:tcBorders>
          </w:tcPr>
          <w:p w:rsidR="004079B0" w:rsidRPr="004079B0" w:rsidRDefault="004079B0" w:rsidP="00281368">
            <w:pPr>
              <w:ind w:right="122"/>
              <w:jc w:val="right"/>
              <w:rPr>
                <w:rFonts w:ascii="Arial" w:eastAsia="Arial Unicode MS" w:hAnsi="Arial" w:cs="Arial"/>
                <w:sz w:val="20"/>
                <w:lang w:val="es-AR"/>
              </w:rPr>
            </w:pPr>
            <w:r w:rsidRPr="004079B0">
              <w:rPr>
                <w:rFonts w:ascii="Arial" w:eastAsia="Arial Unicode MS" w:hAnsi="Arial" w:cs="Arial"/>
                <w:sz w:val="20"/>
                <w:lang w:val="es-AR"/>
              </w:rPr>
              <w:t>7.898.479</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single" w:sz="6" w:space="0" w:color="auto"/>
            </w:tcBorders>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single" w:sz="4" w:space="0" w:color="auto"/>
            </w:tcBorders>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b/>
                <w:sz w:val="20"/>
                <w:lang w:val="es-AR"/>
              </w:rPr>
              <w:t>Total de pasivo</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bottom w:val="double" w:sz="4" w:space="0" w:color="auto"/>
            </w:tcBorders>
          </w:tcPr>
          <w:p w:rsidR="004079B0" w:rsidRPr="004079B0" w:rsidRDefault="004079B0" w:rsidP="00281368">
            <w:pPr>
              <w:ind w:right="122"/>
              <w:jc w:val="right"/>
              <w:rPr>
                <w:rFonts w:ascii="Arial" w:hAnsi="Arial" w:cs="Arial"/>
                <w:sz w:val="20"/>
                <w:lang w:val="es-AR"/>
              </w:rPr>
            </w:pPr>
            <w:r w:rsidRPr="004079B0">
              <w:rPr>
                <w:rFonts w:ascii="Arial" w:eastAsia="Arial Unicode MS" w:hAnsi="Arial" w:cs="Arial"/>
                <w:sz w:val="20"/>
                <w:lang w:val="es-AR"/>
              </w:rPr>
              <w:t>10.147.463</w:t>
            </w:r>
          </w:p>
        </w:tc>
        <w:tc>
          <w:tcPr>
            <w:tcW w:w="282" w:type="dxa"/>
          </w:tcPr>
          <w:p w:rsidR="004079B0" w:rsidRPr="004079B0" w:rsidRDefault="004079B0" w:rsidP="00281368">
            <w:pPr>
              <w:ind w:right="122"/>
              <w:jc w:val="right"/>
              <w:rPr>
                <w:rFonts w:ascii="Arial" w:hAnsi="Arial" w:cs="Arial"/>
                <w:sz w:val="20"/>
                <w:lang w:val="es-AR"/>
              </w:rPr>
            </w:pPr>
          </w:p>
        </w:tc>
        <w:tc>
          <w:tcPr>
            <w:tcW w:w="1554" w:type="dxa"/>
            <w:tcBorders>
              <w:bottom w:val="double" w:sz="4" w:space="0" w:color="auto"/>
            </w:tcBorders>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7.898.479</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double" w:sz="4" w:space="0" w:color="auto"/>
            </w:tcBorders>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double" w:sz="4" w:space="0" w:color="auto"/>
            </w:tcBorders>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b/>
                <w:sz w:val="20"/>
                <w:lang w:val="es-AR"/>
              </w:rPr>
              <w:t>PATRIMONIO NETO</w:t>
            </w:r>
            <w:r w:rsidRPr="004079B0">
              <w:rPr>
                <w:rFonts w:ascii="Arial" w:hAnsi="Arial" w:cs="Arial"/>
                <w:sz w:val="20"/>
                <w:lang w:val="es-AR"/>
              </w:rPr>
              <w:t xml:space="preserve"> (según estado respectivos)  </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bottom w:val="single" w:sz="6" w:space="0" w:color="auto"/>
            </w:tcBorders>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99.452.127</w:t>
            </w:r>
          </w:p>
        </w:tc>
        <w:tc>
          <w:tcPr>
            <w:tcW w:w="282" w:type="dxa"/>
          </w:tcPr>
          <w:p w:rsidR="004079B0" w:rsidRPr="004079B0" w:rsidRDefault="004079B0" w:rsidP="00281368">
            <w:pPr>
              <w:ind w:right="122"/>
              <w:jc w:val="right"/>
              <w:rPr>
                <w:rFonts w:ascii="Arial" w:hAnsi="Arial" w:cs="Arial"/>
                <w:sz w:val="20"/>
                <w:lang w:val="es-AR"/>
              </w:rPr>
            </w:pPr>
          </w:p>
        </w:tc>
        <w:tc>
          <w:tcPr>
            <w:tcW w:w="1554" w:type="dxa"/>
            <w:tcBorders>
              <w:bottom w:val="single" w:sz="4" w:space="0" w:color="auto"/>
            </w:tcBorders>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70.790.331</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single" w:sz="6" w:space="0" w:color="auto"/>
            </w:tcBorders>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single" w:sz="4" w:space="0" w:color="auto"/>
            </w:tcBorders>
          </w:tcPr>
          <w:p w:rsidR="004079B0" w:rsidRPr="004079B0" w:rsidRDefault="004079B0" w:rsidP="00281368">
            <w:pPr>
              <w:ind w:right="122"/>
              <w:jc w:val="right"/>
              <w:rPr>
                <w:rFonts w:ascii="Arial" w:eastAsia="Arial Unicode MS" w:hAnsi="Arial" w:cs="Arial"/>
                <w:sz w:val="20"/>
                <w:lang w:val="es-AR"/>
              </w:rPr>
            </w:pP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b/>
                <w:sz w:val="20"/>
                <w:lang w:val="es-AR"/>
              </w:rPr>
              <w:t>Total de pasivo más patrimonio neto</w:t>
            </w: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bottom w:val="double" w:sz="4" w:space="0" w:color="auto"/>
            </w:tcBorders>
          </w:tcPr>
          <w:p w:rsidR="004079B0" w:rsidRPr="004079B0" w:rsidRDefault="004079B0" w:rsidP="00281368">
            <w:pPr>
              <w:ind w:right="122"/>
              <w:jc w:val="right"/>
              <w:rPr>
                <w:rFonts w:ascii="Arial" w:hAnsi="Arial" w:cs="Arial"/>
                <w:sz w:val="20"/>
                <w:lang w:val="es-AR"/>
              </w:rPr>
            </w:pPr>
            <w:r w:rsidRPr="004079B0">
              <w:rPr>
                <w:rFonts w:ascii="Arial" w:eastAsia="Arial Unicode MS" w:hAnsi="Arial" w:cs="Arial"/>
                <w:sz w:val="20"/>
                <w:lang w:val="es-AR"/>
              </w:rPr>
              <w:t>109.599.590</w:t>
            </w:r>
          </w:p>
        </w:tc>
        <w:tc>
          <w:tcPr>
            <w:tcW w:w="282" w:type="dxa"/>
          </w:tcPr>
          <w:p w:rsidR="004079B0" w:rsidRPr="004079B0" w:rsidRDefault="004079B0" w:rsidP="00281368">
            <w:pPr>
              <w:ind w:right="122"/>
              <w:jc w:val="right"/>
              <w:rPr>
                <w:rFonts w:ascii="Arial" w:hAnsi="Arial" w:cs="Arial"/>
                <w:sz w:val="20"/>
                <w:lang w:val="es-AR"/>
              </w:rPr>
            </w:pPr>
          </w:p>
        </w:tc>
        <w:tc>
          <w:tcPr>
            <w:tcW w:w="1554" w:type="dxa"/>
          </w:tcPr>
          <w:p w:rsidR="004079B0" w:rsidRPr="004079B0" w:rsidRDefault="004079B0" w:rsidP="00281368">
            <w:pPr>
              <w:ind w:right="122"/>
              <w:jc w:val="right"/>
              <w:rPr>
                <w:rFonts w:ascii="Arial" w:hAnsi="Arial" w:cs="Arial"/>
                <w:sz w:val="20"/>
                <w:lang w:val="es-AR"/>
              </w:rPr>
            </w:pPr>
            <w:r w:rsidRPr="004079B0">
              <w:rPr>
                <w:rFonts w:ascii="Arial" w:hAnsi="Arial" w:cs="Arial"/>
                <w:sz w:val="20"/>
                <w:lang w:val="es-AR"/>
              </w:rPr>
              <w:t>78.688.810</w:t>
            </w:r>
          </w:p>
        </w:tc>
      </w:tr>
      <w:tr w:rsidR="004079B0" w:rsidRPr="004079B0" w:rsidTr="004079B0">
        <w:trPr>
          <w:trHeight w:val="247"/>
        </w:trPr>
        <w:tc>
          <w:tcPr>
            <w:tcW w:w="179" w:type="dxa"/>
            <w:vAlign w:val="bottom"/>
          </w:tcPr>
          <w:p w:rsidR="004079B0" w:rsidRPr="004079B0" w:rsidRDefault="004079B0" w:rsidP="00281368">
            <w:pPr>
              <w:rPr>
                <w:rFonts w:ascii="Arial" w:eastAsia="Arial Unicode MS" w:hAnsi="Arial" w:cs="Arial"/>
                <w:sz w:val="20"/>
                <w:lang w:val="es-AR"/>
              </w:rPr>
            </w:pPr>
          </w:p>
        </w:tc>
        <w:tc>
          <w:tcPr>
            <w:tcW w:w="5459" w:type="dxa"/>
            <w:vAlign w:val="bottom"/>
          </w:tcPr>
          <w:p w:rsidR="004079B0" w:rsidRPr="004079B0" w:rsidRDefault="004079B0" w:rsidP="00281368">
            <w:pPr>
              <w:rPr>
                <w:rFonts w:ascii="Arial" w:eastAsia="Arial Unicode MS" w:hAnsi="Arial" w:cs="Arial"/>
                <w:sz w:val="20"/>
                <w:lang w:val="es-AR"/>
              </w:rPr>
            </w:pPr>
          </w:p>
        </w:tc>
        <w:tc>
          <w:tcPr>
            <w:tcW w:w="675" w:type="dxa"/>
            <w:vAlign w:val="bottom"/>
          </w:tcPr>
          <w:p w:rsidR="004079B0" w:rsidRPr="004079B0" w:rsidRDefault="004079B0" w:rsidP="00281368">
            <w:pPr>
              <w:rPr>
                <w:rFonts w:ascii="Arial" w:eastAsia="Arial Unicode MS" w:hAnsi="Arial" w:cs="Arial"/>
                <w:sz w:val="20"/>
                <w:lang w:val="es-AR"/>
              </w:rPr>
            </w:pPr>
          </w:p>
        </w:tc>
        <w:tc>
          <w:tcPr>
            <w:tcW w:w="1553" w:type="dxa"/>
            <w:tcBorders>
              <w:top w:val="double" w:sz="4" w:space="0" w:color="auto"/>
            </w:tcBorders>
          </w:tcPr>
          <w:p w:rsidR="004079B0" w:rsidRPr="004079B0" w:rsidRDefault="004079B0" w:rsidP="00281368">
            <w:pPr>
              <w:ind w:right="122"/>
              <w:jc w:val="right"/>
              <w:rPr>
                <w:rFonts w:ascii="Arial" w:eastAsia="Arial Unicode MS" w:hAnsi="Arial" w:cs="Arial"/>
                <w:sz w:val="20"/>
                <w:lang w:val="es-AR"/>
              </w:rPr>
            </w:pPr>
          </w:p>
        </w:tc>
        <w:tc>
          <w:tcPr>
            <w:tcW w:w="282" w:type="dxa"/>
          </w:tcPr>
          <w:p w:rsidR="004079B0" w:rsidRPr="004079B0" w:rsidRDefault="004079B0" w:rsidP="00281368">
            <w:pPr>
              <w:ind w:right="122"/>
              <w:jc w:val="right"/>
              <w:rPr>
                <w:rFonts w:ascii="Arial" w:eastAsia="Arial Unicode MS" w:hAnsi="Arial" w:cs="Arial"/>
                <w:sz w:val="20"/>
                <w:lang w:val="es-AR"/>
              </w:rPr>
            </w:pPr>
          </w:p>
        </w:tc>
        <w:tc>
          <w:tcPr>
            <w:tcW w:w="1554" w:type="dxa"/>
            <w:tcBorders>
              <w:top w:val="double" w:sz="4" w:space="0" w:color="auto"/>
            </w:tcBorders>
            <w:vAlign w:val="bottom"/>
          </w:tcPr>
          <w:p w:rsidR="004079B0" w:rsidRPr="004079B0" w:rsidRDefault="004079B0" w:rsidP="00281368">
            <w:pPr>
              <w:ind w:right="122"/>
              <w:jc w:val="right"/>
              <w:rPr>
                <w:rFonts w:ascii="Arial" w:eastAsia="Arial Unicode MS" w:hAnsi="Arial" w:cs="Arial"/>
                <w:sz w:val="20"/>
                <w:lang w:val="es-AR"/>
              </w:rPr>
            </w:pPr>
          </w:p>
        </w:tc>
      </w:tr>
    </w:tbl>
    <w:p w:rsidR="0086139C" w:rsidRPr="004079B0" w:rsidRDefault="0086139C" w:rsidP="00B702F8">
      <w:pPr>
        <w:pStyle w:val="Sangra2detindependiente"/>
        <w:ind w:left="709" w:firstLine="0"/>
        <w:rPr>
          <w:rFonts w:cs="Arial"/>
          <w:sz w:val="20"/>
          <w:u w:val="none"/>
          <w:lang w:val="es-AR"/>
        </w:rPr>
      </w:pPr>
    </w:p>
    <w:p w:rsidR="000E33C1" w:rsidRPr="004079B0" w:rsidRDefault="000E33C1" w:rsidP="00B702F8">
      <w:pPr>
        <w:pStyle w:val="Sangra2detindependiente"/>
        <w:ind w:left="709" w:firstLine="0"/>
        <w:rPr>
          <w:rFonts w:cs="Arial"/>
          <w:b/>
          <w:sz w:val="20"/>
          <w:u w:val="none"/>
          <w:lang w:val="es-AR"/>
        </w:rPr>
      </w:pPr>
    </w:p>
    <w:p w:rsidR="000E33C1" w:rsidRPr="004079B0" w:rsidRDefault="000E33C1" w:rsidP="00B702F8">
      <w:pPr>
        <w:pStyle w:val="Sangra2detindependiente"/>
        <w:ind w:left="709" w:firstLine="0"/>
        <w:rPr>
          <w:rFonts w:cs="Arial"/>
          <w:b/>
          <w:sz w:val="20"/>
          <w:u w:val="none"/>
          <w:lang w:val="es-AR"/>
        </w:rPr>
      </w:pPr>
    </w:p>
    <w:p w:rsidR="000E33C1" w:rsidRPr="004079B0" w:rsidRDefault="000E33C1" w:rsidP="00B702F8">
      <w:pPr>
        <w:pStyle w:val="Sangra2detindependiente"/>
        <w:ind w:left="709" w:firstLine="0"/>
        <w:rPr>
          <w:rFonts w:cs="Arial"/>
          <w:b/>
          <w:sz w:val="20"/>
          <w:u w:val="none"/>
          <w:lang w:val="es-AR"/>
        </w:rPr>
      </w:pPr>
    </w:p>
    <w:p w:rsidR="000E33C1" w:rsidRPr="004079B0" w:rsidRDefault="000E33C1" w:rsidP="00B702F8">
      <w:pPr>
        <w:pStyle w:val="Sangra2detindependiente"/>
        <w:ind w:left="709" w:firstLine="0"/>
        <w:rPr>
          <w:rFonts w:cs="Arial"/>
          <w:b/>
          <w:sz w:val="20"/>
          <w:u w:val="none"/>
          <w:lang w:val="es-AR"/>
        </w:rPr>
      </w:pPr>
    </w:p>
    <w:p w:rsidR="000E33C1" w:rsidRPr="004079B0" w:rsidRDefault="000E33C1" w:rsidP="00B702F8">
      <w:pPr>
        <w:pStyle w:val="Sangra2detindependiente"/>
        <w:ind w:left="709" w:firstLine="0"/>
        <w:rPr>
          <w:rFonts w:cs="Arial"/>
          <w:b/>
          <w:sz w:val="20"/>
          <w:u w:val="none"/>
          <w:lang w:val="es-AR"/>
        </w:rPr>
      </w:pPr>
    </w:p>
    <w:p w:rsidR="008A08D3" w:rsidRPr="004079B0" w:rsidRDefault="008A08D3">
      <w:pPr>
        <w:spacing w:after="200" w:line="276" w:lineRule="auto"/>
        <w:rPr>
          <w:rFonts w:ascii="Arial" w:hAnsi="Arial" w:cs="Arial"/>
          <w:b/>
          <w:sz w:val="20"/>
          <w:lang w:val="es-AR"/>
        </w:rPr>
      </w:pPr>
      <w:r w:rsidRPr="004079B0">
        <w:rPr>
          <w:rFonts w:cs="Arial"/>
          <w:b/>
          <w:sz w:val="20"/>
          <w:lang w:val="es-AR"/>
        </w:rPr>
        <w:br w:type="page"/>
      </w:r>
    </w:p>
    <w:p w:rsidR="00C2679D" w:rsidRPr="004079B0" w:rsidRDefault="0086139C" w:rsidP="00B702F8">
      <w:pPr>
        <w:pStyle w:val="Sangra2detindependiente"/>
        <w:ind w:left="709" w:firstLine="0"/>
        <w:rPr>
          <w:rFonts w:cs="Arial"/>
          <w:b/>
          <w:sz w:val="20"/>
          <w:u w:val="none"/>
          <w:lang w:val="es-AR"/>
        </w:rPr>
      </w:pPr>
      <w:r w:rsidRPr="004079B0">
        <w:rPr>
          <w:rFonts w:cs="Arial"/>
          <w:b/>
          <w:sz w:val="20"/>
          <w:u w:val="none"/>
          <w:lang w:val="es-AR"/>
        </w:rPr>
        <w:lastRenderedPageBreak/>
        <w:t>ESTADO DE RESULTADOS</w:t>
      </w:r>
    </w:p>
    <w:p w:rsidR="0086139C" w:rsidRPr="004079B0" w:rsidRDefault="0086139C" w:rsidP="00B702F8">
      <w:pPr>
        <w:pStyle w:val="Sangra2detindependiente"/>
        <w:ind w:left="709" w:firstLine="0"/>
        <w:rPr>
          <w:rFonts w:cs="Arial"/>
          <w:b/>
          <w:sz w:val="20"/>
          <w:u w:val="none"/>
          <w:lang w:val="es-AR"/>
        </w:rPr>
      </w:pPr>
    </w:p>
    <w:tbl>
      <w:tblPr>
        <w:tblW w:w="9796" w:type="dxa"/>
        <w:jc w:val="center"/>
        <w:tblLayout w:type="fixed"/>
        <w:tblCellMar>
          <w:left w:w="0" w:type="dxa"/>
          <w:right w:w="0" w:type="dxa"/>
        </w:tblCellMar>
        <w:tblLook w:val="0000" w:firstRow="0" w:lastRow="0" w:firstColumn="0" w:lastColumn="0" w:noHBand="0" w:noVBand="0"/>
      </w:tblPr>
      <w:tblGrid>
        <w:gridCol w:w="5855"/>
        <w:gridCol w:w="467"/>
        <w:gridCol w:w="1593"/>
        <w:gridCol w:w="464"/>
        <w:gridCol w:w="1417"/>
      </w:tblGrid>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Borders>
              <w:bottom w:val="single" w:sz="4" w:space="0" w:color="auto"/>
            </w:tcBorders>
          </w:tcPr>
          <w:p w:rsidR="004079B0" w:rsidRPr="004079B0" w:rsidRDefault="004079B0" w:rsidP="00281368">
            <w:pPr>
              <w:tabs>
                <w:tab w:val="left" w:pos="255"/>
                <w:tab w:val="center" w:pos="779"/>
              </w:tabs>
              <w:jc w:val="center"/>
              <w:rPr>
                <w:rFonts w:ascii="Arial" w:eastAsia="Arial Unicode MS" w:hAnsi="Arial" w:cs="Arial"/>
                <w:b/>
                <w:sz w:val="20"/>
                <w:lang w:val="es-AR"/>
              </w:rPr>
            </w:pPr>
            <w:r w:rsidRPr="004079B0">
              <w:rPr>
                <w:rFonts w:ascii="Arial" w:eastAsia="Arial Unicode MS" w:hAnsi="Arial" w:cs="Arial"/>
                <w:b/>
                <w:sz w:val="20"/>
                <w:lang w:val="es-AR"/>
              </w:rPr>
              <w:t>31/12/2020</w:t>
            </w: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Borders>
              <w:bottom w:val="single" w:sz="4" w:space="0" w:color="auto"/>
            </w:tcBorders>
          </w:tcPr>
          <w:p w:rsidR="004079B0" w:rsidRPr="004079B0" w:rsidRDefault="004079B0" w:rsidP="00281368">
            <w:pPr>
              <w:jc w:val="center"/>
              <w:rPr>
                <w:rFonts w:ascii="Arial" w:eastAsia="Arial Unicode MS" w:hAnsi="Arial" w:cs="Arial"/>
                <w:b/>
                <w:sz w:val="20"/>
                <w:lang w:val="es-AR"/>
              </w:rPr>
            </w:pPr>
            <w:r w:rsidRPr="004079B0">
              <w:rPr>
                <w:rFonts w:ascii="Arial" w:eastAsia="Arial Unicode MS" w:hAnsi="Arial" w:cs="Arial"/>
                <w:b/>
                <w:sz w:val="20"/>
                <w:lang w:val="es-AR"/>
              </w:rPr>
              <w:t>31/12/2019</w:t>
            </w:r>
          </w:p>
        </w:tc>
      </w:tr>
      <w:tr w:rsidR="004079B0" w:rsidRPr="004079B0" w:rsidTr="00281368">
        <w:trPr>
          <w:cantSplit/>
          <w:trHeight w:val="397"/>
          <w:jc w:val="center"/>
        </w:trPr>
        <w:tc>
          <w:tcPr>
            <w:tcW w:w="5855" w:type="dxa"/>
            <w:vAlign w:val="bottom"/>
          </w:tcPr>
          <w:p w:rsidR="004079B0" w:rsidRPr="004079B0" w:rsidRDefault="004079B0" w:rsidP="00281368">
            <w:pPr>
              <w:rPr>
                <w:rFonts w:ascii="Arial" w:eastAsia="Arial Unicode MS" w:hAnsi="Arial" w:cs="Arial"/>
                <w:sz w:val="20"/>
                <w:lang w:val="es-AR"/>
              </w:rPr>
            </w:pPr>
            <w:r w:rsidRPr="004079B0">
              <w:rPr>
                <w:rFonts w:ascii="Arial" w:hAnsi="Arial" w:cs="Arial"/>
                <w:sz w:val="20"/>
                <w:lang w:val="es-AR"/>
              </w:rPr>
              <w:t>Ingresos por servicios</w:t>
            </w: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Borders>
              <w:top w:val="single" w:sz="4" w:space="0" w:color="auto"/>
            </w:tcBorders>
            <w:vAlign w:val="bottom"/>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74.530.784</w:t>
            </w: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Borders>
              <w:top w:val="single" w:sz="4" w:space="0" w:color="auto"/>
            </w:tcBorders>
            <w:vAlign w:val="bottom"/>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85.966.386</w:t>
            </w: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jc w:val="right"/>
              <w:rPr>
                <w:rFonts w:ascii="Arial" w:eastAsia="Arial Unicode MS" w:hAnsi="Arial" w:cs="Arial"/>
                <w:sz w:val="20"/>
                <w:lang w:val="es-AR"/>
              </w:rPr>
            </w:pP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jc w:val="right"/>
              <w:rPr>
                <w:rFonts w:ascii="Arial" w:eastAsia="Arial Unicode MS" w:hAnsi="Arial" w:cs="Arial"/>
                <w:sz w:val="20"/>
                <w:lang w:val="es-AR"/>
              </w:rPr>
            </w:pP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r w:rsidRPr="004079B0">
              <w:rPr>
                <w:rFonts w:ascii="Arial" w:hAnsi="Arial" w:cs="Arial"/>
                <w:sz w:val="20"/>
                <w:lang w:val="es-AR"/>
              </w:rPr>
              <w:t>Gastos de administración (Anexo III)</w:t>
            </w: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(7.365.216)</w:t>
            </w: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(9.848.734)</w:t>
            </w: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jc w:val="right"/>
              <w:rPr>
                <w:rFonts w:ascii="Arial" w:eastAsia="Arial Unicode MS" w:hAnsi="Arial" w:cs="Arial"/>
                <w:sz w:val="20"/>
                <w:lang w:val="es-AR"/>
              </w:rPr>
            </w:pP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jc w:val="right"/>
              <w:rPr>
                <w:rFonts w:ascii="Arial" w:eastAsia="Arial Unicode MS" w:hAnsi="Arial" w:cs="Arial"/>
                <w:sz w:val="20"/>
                <w:lang w:val="es-AR"/>
              </w:rPr>
            </w:pP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r w:rsidRPr="004079B0">
              <w:rPr>
                <w:rFonts w:ascii="Arial" w:hAnsi="Arial" w:cs="Arial"/>
                <w:sz w:val="20"/>
                <w:lang w:val="es-AR"/>
              </w:rPr>
              <w:t>Gastos de comercialización (Anexo III)</w:t>
            </w: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(12.946.947)</w:t>
            </w: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(21.487.525)</w:t>
            </w: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jc w:val="right"/>
              <w:rPr>
                <w:rFonts w:ascii="Arial" w:eastAsia="Arial Unicode MS" w:hAnsi="Arial" w:cs="Arial"/>
                <w:sz w:val="20"/>
                <w:lang w:val="es-AR"/>
              </w:rPr>
            </w:pP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jc w:val="right"/>
              <w:rPr>
                <w:rFonts w:ascii="Arial" w:eastAsia="Arial Unicode MS" w:hAnsi="Arial" w:cs="Arial"/>
                <w:sz w:val="20"/>
                <w:lang w:val="es-AR"/>
              </w:rPr>
            </w:pP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r w:rsidRPr="004079B0">
              <w:rPr>
                <w:rFonts w:ascii="Arial" w:hAnsi="Arial" w:cs="Arial"/>
                <w:sz w:val="20"/>
                <w:lang w:val="es-AR"/>
              </w:rPr>
              <w:t>Resultados financieros y por tenencia incluyendo el resultado por el cambio en el poder adquisitivo de la moneda (RECPAM)</w:t>
            </w: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(6.021.753)</w:t>
            </w: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(3.156.051)</w:t>
            </w: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rPr>
                <w:rFonts w:ascii="Arial" w:eastAsia="Arial Unicode MS" w:hAnsi="Arial" w:cs="Arial"/>
                <w:sz w:val="20"/>
                <w:lang w:val="es-AR"/>
              </w:rPr>
            </w:pP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rPr>
                <w:rFonts w:ascii="Arial" w:eastAsia="Arial Unicode MS" w:hAnsi="Arial" w:cs="Arial"/>
                <w:sz w:val="20"/>
                <w:lang w:val="es-AR"/>
              </w:rPr>
            </w:pP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r w:rsidRPr="004079B0">
              <w:rPr>
                <w:rFonts w:ascii="Arial" w:hAnsi="Arial" w:cs="Arial"/>
                <w:sz w:val="20"/>
                <w:lang w:val="es-AR"/>
              </w:rPr>
              <w:t>Otros ingresos y egresos</w:t>
            </w: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w:t>
            </w: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2.275.288</w:t>
            </w: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jc w:val="right"/>
              <w:rPr>
                <w:rFonts w:ascii="Arial" w:eastAsia="Arial Unicode MS" w:hAnsi="Arial" w:cs="Arial"/>
                <w:sz w:val="20"/>
                <w:lang w:val="es-AR"/>
              </w:rPr>
            </w:pP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jc w:val="right"/>
              <w:rPr>
                <w:rFonts w:ascii="Arial" w:eastAsia="Arial Unicode MS" w:hAnsi="Arial" w:cs="Arial"/>
                <w:sz w:val="20"/>
                <w:lang w:val="es-AR"/>
              </w:rPr>
            </w:pP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r w:rsidRPr="004079B0">
              <w:rPr>
                <w:rFonts w:ascii="Arial" w:hAnsi="Arial" w:cs="Arial"/>
                <w:sz w:val="20"/>
                <w:lang w:val="es-AR"/>
              </w:rPr>
              <w:t>Resultado antes de impuesto a las ganancias</w:t>
            </w: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Borders>
              <w:top w:val="single" w:sz="4" w:space="0" w:color="auto"/>
            </w:tcBorders>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48.196.868</w:t>
            </w: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Borders>
              <w:top w:val="single" w:sz="4" w:space="0" w:color="auto"/>
            </w:tcBorders>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53.749.364</w:t>
            </w: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Pr>
          <w:p w:rsidR="004079B0" w:rsidRPr="004079B0" w:rsidRDefault="004079B0" w:rsidP="00281368">
            <w:pPr>
              <w:rPr>
                <w:rFonts w:ascii="Arial" w:eastAsia="Arial Unicode MS" w:hAnsi="Arial" w:cs="Arial"/>
                <w:sz w:val="20"/>
                <w:lang w:val="es-AR"/>
              </w:rPr>
            </w:pP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Pr>
          <w:p w:rsidR="004079B0" w:rsidRPr="004079B0" w:rsidRDefault="004079B0" w:rsidP="00281368">
            <w:pPr>
              <w:rPr>
                <w:rFonts w:ascii="Arial" w:eastAsia="Arial Unicode MS" w:hAnsi="Arial" w:cs="Arial"/>
                <w:sz w:val="20"/>
                <w:lang w:val="es-AR"/>
              </w:rPr>
            </w:pP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r w:rsidRPr="004079B0">
              <w:rPr>
                <w:rFonts w:ascii="Arial" w:hAnsi="Arial" w:cs="Arial"/>
                <w:sz w:val="20"/>
                <w:lang w:val="es-AR"/>
              </w:rPr>
              <w:t>Impuesto a las ganancias</w:t>
            </w: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Borders>
              <w:bottom w:val="single" w:sz="4" w:space="0" w:color="auto"/>
            </w:tcBorders>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(19.535.072)</w:t>
            </w: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Borders>
              <w:bottom w:val="single" w:sz="4" w:space="0" w:color="auto"/>
            </w:tcBorders>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(16.470.668)</w:t>
            </w:r>
          </w:p>
        </w:tc>
      </w:tr>
      <w:tr w:rsidR="004079B0" w:rsidRPr="004079B0" w:rsidTr="00281368">
        <w:trPr>
          <w:cantSplit/>
          <w:trHeight w:val="255"/>
          <w:jc w:val="center"/>
        </w:trPr>
        <w:tc>
          <w:tcPr>
            <w:tcW w:w="5855" w:type="dxa"/>
          </w:tcPr>
          <w:p w:rsidR="004079B0" w:rsidRPr="004079B0" w:rsidRDefault="004079B0" w:rsidP="00281368">
            <w:pPr>
              <w:rPr>
                <w:rFonts w:ascii="Arial" w:hAnsi="Arial" w:cs="Arial"/>
                <w:sz w:val="20"/>
                <w:lang w:val="es-AR"/>
              </w:rPr>
            </w:pP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Borders>
              <w:top w:val="single" w:sz="4" w:space="0" w:color="auto"/>
            </w:tcBorders>
          </w:tcPr>
          <w:p w:rsidR="004079B0" w:rsidRPr="004079B0" w:rsidRDefault="004079B0" w:rsidP="00281368">
            <w:pPr>
              <w:rPr>
                <w:rFonts w:ascii="Arial" w:eastAsia="Arial Unicode MS" w:hAnsi="Arial" w:cs="Arial"/>
                <w:sz w:val="20"/>
                <w:lang w:val="es-AR"/>
              </w:rPr>
            </w:pP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Borders>
              <w:top w:val="single" w:sz="4" w:space="0" w:color="auto"/>
            </w:tcBorders>
          </w:tcPr>
          <w:p w:rsidR="004079B0" w:rsidRPr="004079B0" w:rsidRDefault="004079B0" w:rsidP="00281368">
            <w:pPr>
              <w:rPr>
                <w:rFonts w:ascii="Arial" w:eastAsia="Arial Unicode MS" w:hAnsi="Arial" w:cs="Arial"/>
                <w:sz w:val="20"/>
                <w:lang w:val="es-AR"/>
              </w:rPr>
            </w:pPr>
          </w:p>
        </w:tc>
      </w:tr>
      <w:tr w:rsidR="004079B0" w:rsidRPr="002C3044" w:rsidTr="00281368">
        <w:trPr>
          <w:cantSplit/>
          <w:trHeight w:val="255"/>
          <w:jc w:val="center"/>
        </w:trPr>
        <w:tc>
          <w:tcPr>
            <w:tcW w:w="5855" w:type="dxa"/>
          </w:tcPr>
          <w:p w:rsidR="004079B0" w:rsidRPr="004079B0" w:rsidRDefault="004079B0" w:rsidP="00281368">
            <w:pPr>
              <w:rPr>
                <w:rFonts w:ascii="Arial" w:hAnsi="Arial" w:cs="Arial"/>
                <w:sz w:val="20"/>
                <w:lang w:val="es-AR"/>
              </w:rPr>
            </w:pPr>
            <w:r w:rsidRPr="004079B0">
              <w:rPr>
                <w:rFonts w:ascii="Arial" w:hAnsi="Arial" w:cs="Arial"/>
                <w:sz w:val="20"/>
                <w:lang w:val="es-AR"/>
              </w:rPr>
              <w:t>Resultado neto del ejercicio  – Ganancia</w:t>
            </w:r>
          </w:p>
        </w:tc>
        <w:tc>
          <w:tcPr>
            <w:tcW w:w="467" w:type="dxa"/>
          </w:tcPr>
          <w:p w:rsidR="004079B0" w:rsidRPr="004079B0" w:rsidRDefault="004079B0" w:rsidP="00281368">
            <w:pPr>
              <w:rPr>
                <w:rFonts w:ascii="Arial" w:eastAsia="Arial Unicode MS" w:hAnsi="Arial" w:cs="Arial"/>
                <w:sz w:val="18"/>
                <w:szCs w:val="18"/>
                <w:lang w:val="es-AR"/>
              </w:rPr>
            </w:pPr>
          </w:p>
        </w:tc>
        <w:tc>
          <w:tcPr>
            <w:tcW w:w="1593" w:type="dxa"/>
            <w:tcBorders>
              <w:bottom w:val="double" w:sz="4" w:space="0" w:color="auto"/>
            </w:tcBorders>
          </w:tcPr>
          <w:p w:rsidR="004079B0" w:rsidRPr="004079B0"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28.661.796</w:t>
            </w:r>
          </w:p>
        </w:tc>
        <w:tc>
          <w:tcPr>
            <w:tcW w:w="464" w:type="dxa"/>
          </w:tcPr>
          <w:p w:rsidR="004079B0" w:rsidRPr="004079B0" w:rsidRDefault="004079B0" w:rsidP="00281368">
            <w:pPr>
              <w:rPr>
                <w:rFonts w:ascii="Arial" w:eastAsia="Arial Unicode MS" w:hAnsi="Arial" w:cs="Arial"/>
                <w:sz w:val="18"/>
                <w:szCs w:val="18"/>
                <w:lang w:val="es-AR"/>
              </w:rPr>
            </w:pPr>
          </w:p>
        </w:tc>
        <w:tc>
          <w:tcPr>
            <w:tcW w:w="1417" w:type="dxa"/>
            <w:tcBorders>
              <w:bottom w:val="double" w:sz="4" w:space="0" w:color="auto"/>
            </w:tcBorders>
          </w:tcPr>
          <w:p w:rsidR="004079B0" w:rsidRPr="002C3044" w:rsidRDefault="004079B0" w:rsidP="00281368">
            <w:pPr>
              <w:jc w:val="right"/>
              <w:rPr>
                <w:rFonts w:ascii="Arial" w:eastAsia="Arial Unicode MS" w:hAnsi="Arial" w:cs="Arial"/>
                <w:sz w:val="20"/>
                <w:lang w:val="es-AR"/>
              </w:rPr>
            </w:pPr>
            <w:r w:rsidRPr="004079B0">
              <w:rPr>
                <w:rFonts w:ascii="Arial" w:eastAsia="Arial Unicode MS" w:hAnsi="Arial" w:cs="Arial"/>
                <w:sz w:val="20"/>
                <w:lang w:val="es-AR"/>
              </w:rPr>
              <w:t>37.278.696</w:t>
            </w:r>
          </w:p>
        </w:tc>
      </w:tr>
      <w:tr w:rsidR="004079B0" w:rsidRPr="002C3044" w:rsidTr="00281368">
        <w:trPr>
          <w:cantSplit/>
          <w:trHeight w:val="255"/>
          <w:jc w:val="center"/>
        </w:trPr>
        <w:tc>
          <w:tcPr>
            <w:tcW w:w="5855" w:type="dxa"/>
          </w:tcPr>
          <w:p w:rsidR="004079B0" w:rsidRPr="002C3044" w:rsidRDefault="004079B0" w:rsidP="00281368">
            <w:pPr>
              <w:rPr>
                <w:rFonts w:ascii="Arial" w:hAnsi="Arial" w:cs="Arial"/>
                <w:sz w:val="20"/>
                <w:lang w:val="es-AR"/>
              </w:rPr>
            </w:pPr>
          </w:p>
        </w:tc>
        <w:tc>
          <w:tcPr>
            <w:tcW w:w="467" w:type="dxa"/>
          </w:tcPr>
          <w:p w:rsidR="004079B0" w:rsidRPr="002C3044" w:rsidRDefault="004079B0" w:rsidP="00281368">
            <w:pPr>
              <w:rPr>
                <w:rFonts w:ascii="Arial" w:eastAsia="Arial Unicode MS" w:hAnsi="Arial" w:cs="Arial"/>
                <w:sz w:val="18"/>
                <w:szCs w:val="18"/>
                <w:lang w:val="es-AR"/>
              </w:rPr>
            </w:pPr>
          </w:p>
        </w:tc>
        <w:tc>
          <w:tcPr>
            <w:tcW w:w="1593" w:type="dxa"/>
            <w:tcBorders>
              <w:top w:val="double" w:sz="4" w:space="0" w:color="auto"/>
            </w:tcBorders>
          </w:tcPr>
          <w:p w:rsidR="004079B0" w:rsidRPr="002C3044" w:rsidRDefault="004079B0" w:rsidP="00281368">
            <w:pPr>
              <w:rPr>
                <w:rFonts w:ascii="Arial" w:eastAsia="Arial Unicode MS" w:hAnsi="Arial" w:cs="Arial"/>
                <w:sz w:val="20"/>
                <w:lang w:val="es-AR"/>
              </w:rPr>
            </w:pPr>
          </w:p>
        </w:tc>
        <w:tc>
          <w:tcPr>
            <w:tcW w:w="464" w:type="dxa"/>
          </w:tcPr>
          <w:p w:rsidR="004079B0" w:rsidRPr="002C3044" w:rsidRDefault="004079B0" w:rsidP="00281368">
            <w:pPr>
              <w:rPr>
                <w:rFonts w:ascii="Arial" w:eastAsia="Arial Unicode MS" w:hAnsi="Arial" w:cs="Arial"/>
                <w:sz w:val="18"/>
                <w:szCs w:val="18"/>
                <w:highlight w:val="yellow"/>
                <w:lang w:val="es-AR"/>
              </w:rPr>
            </w:pPr>
          </w:p>
        </w:tc>
        <w:tc>
          <w:tcPr>
            <w:tcW w:w="1417" w:type="dxa"/>
            <w:tcBorders>
              <w:top w:val="double" w:sz="4" w:space="0" w:color="auto"/>
            </w:tcBorders>
          </w:tcPr>
          <w:p w:rsidR="004079B0" w:rsidRPr="002C3044" w:rsidRDefault="004079B0" w:rsidP="00281368">
            <w:pPr>
              <w:jc w:val="right"/>
              <w:rPr>
                <w:rFonts w:ascii="Arial" w:eastAsia="Arial Unicode MS" w:hAnsi="Arial" w:cs="Arial"/>
                <w:sz w:val="20"/>
                <w:lang w:val="es-AR"/>
              </w:rPr>
            </w:pPr>
          </w:p>
        </w:tc>
      </w:tr>
    </w:tbl>
    <w:p w:rsidR="0086139C" w:rsidRPr="00845C28" w:rsidRDefault="0086139C" w:rsidP="00B702F8">
      <w:pPr>
        <w:pStyle w:val="Sangra2detindependiente"/>
        <w:ind w:left="709" w:firstLine="0"/>
        <w:rPr>
          <w:rFonts w:cs="Arial"/>
          <w:b/>
          <w:sz w:val="20"/>
          <w:highlight w:val="yellow"/>
          <w:u w:val="none"/>
          <w:lang w:val="es-AR"/>
        </w:rPr>
      </w:pPr>
    </w:p>
    <w:p w:rsidR="00C2679D" w:rsidRPr="00845C28" w:rsidRDefault="00C2679D" w:rsidP="00B702F8">
      <w:pPr>
        <w:pStyle w:val="Sangra2detindependiente"/>
        <w:ind w:left="709" w:firstLine="0"/>
        <w:rPr>
          <w:rFonts w:cs="Arial"/>
          <w:b/>
          <w:sz w:val="20"/>
          <w:highlight w:val="yellow"/>
          <w:u w:val="none"/>
          <w:lang w:val="es-AR"/>
        </w:rPr>
      </w:pPr>
    </w:p>
    <w:p w:rsidR="00C2679D" w:rsidRPr="003C6E30" w:rsidRDefault="00C2679D" w:rsidP="00B702F8">
      <w:pPr>
        <w:pStyle w:val="Sangra2detindependiente"/>
        <w:ind w:left="709" w:firstLine="0"/>
        <w:rPr>
          <w:rFonts w:cs="Arial"/>
          <w:b/>
          <w:sz w:val="20"/>
          <w:u w:val="none"/>
          <w:lang w:val="en-US"/>
        </w:rPr>
      </w:pPr>
      <w:r w:rsidRPr="003C6E30">
        <w:rPr>
          <w:rFonts w:cs="Arial"/>
          <w:b/>
          <w:sz w:val="20"/>
          <w:u w:val="none"/>
          <w:lang w:val="en-US"/>
        </w:rPr>
        <w:t>CMF ASSET MANAGEMENT S.A.U. EN INDICES</w:t>
      </w:r>
    </w:p>
    <w:p w:rsidR="00C2679D" w:rsidRPr="003C6E30" w:rsidRDefault="00C2679D" w:rsidP="00B702F8">
      <w:pPr>
        <w:pStyle w:val="Sangra2detindependiente"/>
        <w:ind w:left="709" w:firstLine="0"/>
        <w:rPr>
          <w:rFonts w:cs="Arial"/>
          <w:b/>
          <w:sz w:val="20"/>
          <w:u w:val="none"/>
          <w:lang w:val="en-US"/>
        </w:rPr>
      </w:pPr>
    </w:p>
    <w:tbl>
      <w:tblPr>
        <w:tblW w:w="7513" w:type="dxa"/>
        <w:tblInd w:w="779" w:type="dxa"/>
        <w:tblCellMar>
          <w:left w:w="70" w:type="dxa"/>
          <w:right w:w="70" w:type="dxa"/>
        </w:tblCellMar>
        <w:tblLook w:val="04A0" w:firstRow="1" w:lastRow="0" w:firstColumn="1" w:lastColumn="0" w:noHBand="0" w:noVBand="1"/>
      </w:tblPr>
      <w:tblGrid>
        <w:gridCol w:w="5245"/>
        <w:gridCol w:w="1134"/>
        <w:gridCol w:w="1134"/>
      </w:tblGrid>
      <w:tr w:rsidR="004D2183" w:rsidRPr="003C6E30" w:rsidTr="004D2183">
        <w:trPr>
          <w:trHeight w:val="300"/>
        </w:trPr>
        <w:tc>
          <w:tcPr>
            <w:tcW w:w="5245" w:type="dxa"/>
            <w:tcBorders>
              <w:top w:val="single" w:sz="4" w:space="0" w:color="auto"/>
              <w:left w:val="single" w:sz="4" w:space="0" w:color="auto"/>
              <w:bottom w:val="single" w:sz="4" w:space="0" w:color="auto"/>
              <w:right w:val="nil"/>
            </w:tcBorders>
            <w:shd w:val="clear" w:color="auto" w:fill="auto"/>
            <w:noWrap/>
            <w:vAlign w:val="center"/>
            <w:hideMark/>
          </w:tcPr>
          <w:p w:rsidR="004D2183" w:rsidRPr="003C6E30" w:rsidRDefault="004D2183" w:rsidP="0080131E">
            <w:pPr>
              <w:jc w:val="center"/>
              <w:rPr>
                <w:rFonts w:ascii="Arial" w:hAnsi="Arial" w:cs="Arial"/>
                <w:b/>
                <w:bCs/>
                <w:color w:val="000000"/>
                <w:sz w:val="20"/>
                <w:lang w:val="es-AR" w:eastAsia="es-AR"/>
              </w:rPr>
            </w:pPr>
            <w:r w:rsidRPr="003C6E30">
              <w:rPr>
                <w:rFonts w:ascii="Arial" w:hAnsi="Arial" w:cs="Arial"/>
                <w:b/>
                <w:bCs/>
                <w:color w:val="000000"/>
                <w:sz w:val="20"/>
                <w:lang w:val="es-AR" w:eastAsia="es-AR"/>
              </w:rPr>
              <w:t>Ratio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2183" w:rsidRPr="003C6E30" w:rsidRDefault="004D2183" w:rsidP="004079B0">
            <w:pPr>
              <w:jc w:val="center"/>
              <w:rPr>
                <w:rFonts w:ascii="Calibri" w:hAnsi="Calibri"/>
                <w:b/>
                <w:bCs/>
                <w:color w:val="000000"/>
                <w:szCs w:val="22"/>
                <w:lang w:val="es-AR" w:eastAsia="es-AR"/>
              </w:rPr>
            </w:pPr>
            <w:r w:rsidRPr="003C6E30">
              <w:rPr>
                <w:rFonts w:ascii="Calibri" w:hAnsi="Calibri"/>
                <w:b/>
                <w:bCs/>
                <w:color w:val="000000"/>
                <w:szCs w:val="22"/>
                <w:lang w:val="es-AR" w:eastAsia="es-AR"/>
              </w:rPr>
              <w:t>20</w:t>
            </w:r>
            <w:r w:rsidR="004079B0" w:rsidRPr="003C6E30">
              <w:rPr>
                <w:rFonts w:ascii="Calibri" w:hAnsi="Calibri"/>
                <w:b/>
                <w:bCs/>
                <w:color w:val="000000"/>
                <w:szCs w:val="22"/>
                <w:lang w:val="es-AR" w:eastAsia="es-AR"/>
              </w:rPr>
              <w:t>20</w:t>
            </w:r>
          </w:p>
        </w:tc>
        <w:tc>
          <w:tcPr>
            <w:tcW w:w="1134" w:type="dxa"/>
            <w:tcBorders>
              <w:top w:val="single" w:sz="4" w:space="0" w:color="auto"/>
              <w:left w:val="nil"/>
              <w:bottom w:val="single" w:sz="4" w:space="0" w:color="auto"/>
              <w:right w:val="single" w:sz="4" w:space="0" w:color="auto"/>
            </w:tcBorders>
            <w:vAlign w:val="bottom"/>
          </w:tcPr>
          <w:p w:rsidR="004D2183" w:rsidRPr="003C6E30" w:rsidRDefault="004D2183" w:rsidP="00F221D7">
            <w:pPr>
              <w:jc w:val="center"/>
              <w:rPr>
                <w:rFonts w:ascii="Calibri" w:hAnsi="Calibri"/>
                <w:b/>
                <w:bCs/>
                <w:color w:val="000000"/>
                <w:szCs w:val="22"/>
                <w:lang w:val="es-AR" w:eastAsia="es-AR"/>
              </w:rPr>
            </w:pPr>
            <w:r w:rsidRPr="003C6E30">
              <w:rPr>
                <w:rFonts w:ascii="Calibri" w:hAnsi="Calibri"/>
                <w:b/>
                <w:bCs/>
                <w:color w:val="000000"/>
                <w:szCs w:val="22"/>
                <w:lang w:val="es-AR" w:eastAsia="es-AR"/>
              </w:rPr>
              <w:t>201</w:t>
            </w:r>
            <w:r w:rsidR="00F221D7">
              <w:rPr>
                <w:rFonts w:ascii="Calibri" w:hAnsi="Calibri"/>
                <w:b/>
                <w:bCs/>
                <w:color w:val="000000"/>
                <w:szCs w:val="22"/>
                <w:lang w:val="es-AR" w:eastAsia="es-AR"/>
              </w:rPr>
              <w:t>9</w:t>
            </w:r>
          </w:p>
        </w:tc>
      </w:tr>
      <w:tr w:rsidR="004D2183" w:rsidRPr="003C6E30" w:rsidTr="00997E36">
        <w:trPr>
          <w:trHeight w:val="300"/>
        </w:trPr>
        <w:tc>
          <w:tcPr>
            <w:tcW w:w="5245" w:type="dxa"/>
            <w:tcBorders>
              <w:top w:val="nil"/>
              <w:left w:val="single" w:sz="4" w:space="0" w:color="auto"/>
              <w:bottom w:val="nil"/>
              <w:right w:val="nil"/>
            </w:tcBorders>
            <w:shd w:val="clear" w:color="auto" w:fill="auto"/>
            <w:noWrap/>
            <w:vAlign w:val="bottom"/>
            <w:hideMark/>
          </w:tcPr>
          <w:p w:rsidR="004D2183" w:rsidRPr="003C6E30" w:rsidRDefault="004D2183" w:rsidP="0080131E">
            <w:pPr>
              <w:rPr>
                <w:rFonts w:ascii="Calibri" w:hAnsi="Calibri"/>
                <w:color w:val="000000"/>
                <w:szCs w:val="22"/>
                <w:lang w:val="es-AR" w:eastAsia="es-AR"/>
              </w:rPr>
            </w:pPr>
            <w:r w:rsidRPr="003C6E30">
              <w:rPr>
                <w:rFonts w:ascii="Calibri" w:hAnsi="Calibri"/>
                <w:color w:val="000000"/>
                <w:szCs w:val="22"/>
                <w:lang w:val="es-AR" w:eastAsia="es-AR"/>
              </w:rPr>
              <w:t>Disponibilidades y activos de rápida liquidación / Activo</w:t>
            </w:r>
          </w:p>
        </w:tc>
        <w:tc>
          <w:tcPr>
            <w:tcW w:w="1134" w:type="dxa"/>
            <w:tcBorders>
              <w:top w:val="nil"/>
              <w:left w:val="single" w:sz="4" w:space="0" w:color="auto"/>
              <w:bottom w:val="nil"/>
              <w:right w:val="single" w:sz="4" w:space="0" w:color="auto"/>
            </w:tcBorders>
            <w:shd w:val="clear" w:color="auto" w:fill="auto"/>
            <w:noWrap/>
            <w:vAlign w:val="bottom"/>
          </w:tcPr>
          <w:p w:rsidR="004D2183" w:rsidRPr="003C6E30" w:rsidRDefault="004079B0" w:rsidP="0080131E">
            <w:pPr>
              <w:jc w:val="right"/>
              <w:rPr>
                <w:rFonts w:ascii="Calibri" w:hAnsi="Calibri"/>
                <w:color w:val="000000"/>
                <w:szCs w:val="22"/>
                <w:lang w:val="es-AR" w:eastAsia="es-AR"/>
              </w:rPr>
            </w:pPr>
            <w:r w:rsidRPr="003C6E30">
              <w:rPr>
                <w:rFonts w:ascii="Calibri" w:hAnsi="Calibri"/>
                <w:color w:val="000000"/>
                <w:szCs w:val="22"/>
                <w:lang w:val="es-AR" w:eastAsia="es-AR"/>
              </w:rPr>
              <w:t>93.54</w:t>
            </w:r>
            <w:r w:rsidR="005A502C" w:rsidRPr="003C6E30">
              <w:rPr>
                <w:rFonts w:ascii="Calibri" w:hAnsi="Calibri"/>
                <w:color w:val="000000"/>
                <w:szCs w:val="22"/>
                <w:lang w:val="es-AR" w:eastAsia="es-AR"/>
              </w:rPr>
              <w:t>%</w:t>
            </w:r>
          </w:p>
        </w:tc>
        <w:tc>
          <w:tcPr>
            <w:tcW w:w="1134" w:type="dxa"/>
            <w:tcBorders>
              <w:top w:val="nil"/>
              <w:left w:val="nil"/>
              <w:bottom w:val="nil"/>
              <w:right w:val="single" w:sz="4" w:space="0" w:color="auto"/>
            </w:tcBorders>
            <w:vAlign w:val="bottom"/>
          </w:tcPr>
          <w:p w:rsidR="004D2183" w:rsidRPr="003C6E30" w:rsidRDefault="004079B0" w:rsidP="00871A0A">
            <w:pPr>
              <w:jc w:val="right"/>
              <w:rPr>
                <w:rFonts w:ascii="Calibri" w:hAnsi="Calibri"/>
                <w:color w:val="000000"/>
                <w:szCs w:val="22"/>
                <w:lang w:val="es-AR" w:eastAsia="es-AR"/>
              </w:rPr>
            </w:pPr>
            <w:r w:rsidRPr="003C6E30">
              <w:rPr>
                <w:rFonts w:ascii="Calibri" w:hAnsi="Calibri"/>
                <w:color w:val="000000"/>
                <w:szCs w:val="22"/>
                <w:lang w:val="es-AR" w:eastAsia="es-AR"/>
              </w:rPr>
              <w:t>91.43%</w:t>
            </w:r>
          </w:p>
        </w:tc>
      </w:tr>
      <w:tr w:rsidR="004D2183" w:rsidRPr="003C6E30" w:rsidTr="00997E36">
        <w:trPr>
          <w:trHeight w:val="300"/>
        </w:trPr>
        <w:tc>
          <w:tcPr>
            <w:tcW w:w="5245" w:type="dxa"/>
            <w:tcBorders>
              <w:top w:val="nil"/>
              <w:left w:val="single" w:sz="4" w:space="0" w:color="auto"/>
              <w:bottom w:val="nil"/>
              <w:right w:val="nil"/>
            </w:tcBorders>
            <w:shd w:val="clear" w:color="auto" w:fill="auto"/>
            <w:noWrap/>
            <w:vAlign w:val="bottom"/>
            <w:hideMark/>
          </w:tcPr>
          <w:p w:rsidR="004D2183" w:rsidRPr="003C6E30" w:rsidRDefault="004D2183" w:rsidP="0080131E">
            <w:pPr>
              <w:rPr>
                <w:rFonts w:ascii="Calibri" w:hAnsi="Calibri"/>
                <w:color w:val="000000"/>
                <w:szCs w:val="22"/>
                <w:lang w:val="es-AR" w:eastAsia="es-AR"/>
              </w:rPr>
            </w:pPr>
            <w:r w:rsidRPr="003C6E30">
              <w:rPr>
                <w:rFonts w:ascii="Calibri" w:hAnsi="Calibri"/>
                <w:color w:val="000000"/>
                <w:szCs w:val="22"/>
                <w:lang w:val="es-AR" w:eastAsia="es-AR"/>
              </w:rPr>
              <w:t>Gastos / Activos Totales</w:t>
            </w:r>
          </w:p>
        </w:tc>
        <w:tc>
          <w:tcPr>
            <w:tcW w:w="1134" w:type="dxa"/>
            <w:tcBorders>
              <w:top w:val="nil"/>
              <w:left w:val="single" w:sz="4" w:space="0" w:color="auto"/>
              <w:bottom w:val="nil"/>
              <w:right w:val="single" w:sz="4" w:space="0" w:color="auto"/>
            </w:tcBorders>
            <w:shd w:val="clear" w:color="auto" w:fill="auto"/>
            <w:noWrap/>
            <w:vAlign w:val="bottom"/>
          </w:tcPr>
          <w:p w:rsidR="004D2183" w:rsidRPr="003C6E30" w:rsidRDefault="004079B0" w:rsidP="0080131E">
            <w:pPr>
              <w:jc w:val="right"/>
              <w:rPr>
                <w:rFonts w:ascii="Calibri" w:hAnsi="Calibri"/>
                <w:color w:val="000000"/>
                <w:szCs w:val="22"/>
                <w:lang w:val="es-AR" w:eastAsia="es-AR"/>
              </w:rPr>
            </w:pPr>
            <w:r w:rsidRPr="003C6E30">
              <w:rPr>
                <w:rFonts w:ascii="Calibri" w:hAnsi="Calibri"/>
                <w:color w:val="000000"/>
                <w:szCs w:val="22"/>
                <w:lang w:val="es-AR" w:eastAsia="es-AR"/>
              </w:rPr>
              <w:t>18.53</w:t>
            </w:r>
            <w:r w:rsidR="005A502C" w:rsidRPr="003C6E30">
              <w:rPr>
                <w:rFonts w:ascii="Calibri" w:hAnsi="Calibri"/>
                <w:color w:val="000000"/>
                <w:szCs w:val="22"/>
                <w:lang w:val="es-AR" w:eastAsia="es-AR"/>
              </w:rPr>
              <w:t>%</w:t>
            </w:r>
          </w:p>
        </w:tc>
        <w:tc>
          <w:tcPr>
            <w:tcW w:w="1134" w:type="dxa"/>
            <w:tcBorders>
              <w:top w:val="nil"/>
              <w:left w:val="nil"/>
              <w:bottom w:val="nil"/>
              <w:right w:val="single" w:sz="4" w:space="0" w:color="auto"/>
            </w:tcBorders>
            <w:vAlign w:val="bottom"/>
          </w:tcPr>
          <w:p w:rsidR="004D2183" w:rsidRPr="003C6E30" w:rsidRDefault="004079B0" w:rsidP="00871A0A">
            <w:pPr>
              <w:jc w:val="right"/>
              <w:rPr>
                <w:rFonts w:ascii="Calibri" w:hAnsi="Calibri"/>
                <w:color w:val="000000"/>
                <w:szCs w:val="22"/>
                <w:lang w:val="es-AR" w:eastAsia="es-AR"/>
              </w:rPr>
            </w:pPr>
            <w:r w:rsidRPr="003C6E30">
              <w:rPr>
                <w:rFonts w:ascii="Calibri" w:hAnsi="Calibri"/>
                <w:color w:val="000000"/>
                <w:szCs w:val="22"/>
                <w:lang w:val="es-AR" w:eastAsia="es-AR"/>
              </w:rPr>
              <w:t>39.82</w:t>
            </w:r>
            <w:r w:rsidR="004D2183" w:rsidRPr="003C6E30">
              <w:rPr>
                <w:rFonts w:ascii="Calibri" w:hAnsi="Calibri"/>
                <w:color w:val="000000"/>
                <w:szCs w:val="22"/>
                <w:lang w:val="es-AR" w:eastAsia="es-AR"/>
              </w:rPr>
              <w:t>%</w:t>
            </w:r>
          </w:p>
        </w:tc>
      </w:tr>
      <w:tr w:rsidR="004D2183" w:rsidRPr="003C6E30" w:rsidTr="00997E36">
        <w:trPr>
          <w:trHeight w:val="300"/>
        </w:trPr>
        <w:tc>
          <w:tcPr>
            <w:tcW w:w="5245" w:type="dxa"/>
            <w:tcBorders>
              <w:top w:val="nil"/>
              <w:left w:val="single" w:sz="4" w:space="0" w:color="auto"/>
              <w:bottom w:val="nil"/>
              <w:right w:val="nil"/>
            </w:tcBorders>
            <w:shd w:val="clear" w:color="auto" w:fill="auto"/>
            <w:noWrap/>
            <w:vAlign w:val="bottom"/>
            <w:hideMark/>
          </w:tcPr>
          <w:p w:rsidR="004D2183" w:rsidRPr="003C6E30" w:rsidRDefault="004D2183" w:rsidP="0080131E">
            <w:pPr>
              <w:rPr>
                <w:rFonts w:ascii="Calibri" w:hAnsi="Calibri"/>
                <w:color w:val="000000"/>
                <w:szCs w:val="22"/>
                <w:lang w:val="es-AR" w:eastAsia="es-AR"/>
              </w:rPr>
            </w:pPr>
            <w:proofErr w:type="spellStart"/>
            <w:r w:rsidRPr="003C6E30">
              <w:rPr>
                <w:rFonts w:ascii="Calibri" w:hAnsi="Calibri"/>
                <w:color w:val="000000"/>
                <w:szCs w:val="22"/>
                <w:lang w:val="es-AR" w:eastAsia="es-AR"/>
              </w:rPr>
              <w:t>Leverage</w:t>
            </w:r>
            <w:proofErr w:type="spellEnd"/>
            <w:r w:rsidRPr="003C6E30">
              <w:rPr>
                <w:rFonts w:ascii="Calibri" w:hAnsi="Calibri"/>
                <w:color w:val="000000"/>
                <w:szCs w:val="22"/>
                <w:lang w:val="es-AR" w:eastAsia="es-AR"/>
              </w:rPr>
              <w:t xml:space="preserve"> (Pasivo / Patrimonio Neto)</w:t>
            </w:r>
          </w:p>
        </w:tc>
        <w:tc>
          <w:tcPr>
            <w:tcW w:w="1134" w:type="dxa"/>
            <w:tcBorders>
              <w:top w:val="nil"/>
              <w:left w:val="single" w:sz="4" w:space="0" w:color="auto"/>
              <w:bottom w:val="nil"/>
              <w:right w:val="single" w:sz="4" w:space="0" w:color="auto"/>
            </w:tcBorders>
            <w:shd w:val="clear" w:color="auto" w:fill="auto"/>
            <w:noWrap/>
            <w:vAlign w:val="bottom"/>
          </w:tcPr>
          <w:p w:rsidR="004D2183" w:rsidRPr="003C6E30" w:rsidRDefault="004079B0" w:rsidP="0080131E">
            <w:pPr>
              <w:jc w:val="right"/>
              <w:rPr>
                <w:rFonts w:ascii="Calibri" w:hAnsi="Calibri"/>
                <w:color w:val="000000"/>
                <w:szCs w:val="22"/>
                <w:lang w:val="es-AR" w:eastAsia="es-AR"/>
              </w:rPr>
            </w:pPr>
            <w:r w:rsidRPr="003C6E30">
              <w:rPr>
                <w:rFonts w:ascii="Calibri" w:hAnsi="Calibri"/>
                <w:color w:val="000000"/>
                <w:szCs w:val="22"/>
                <w:lang w:val="es-AR" w:eastAsia="es-AR"/>
              </w:rPr>
              <w:t>10.20</w:t>
            </w:r>
            <w:r w:rsidR="005A502C" w:rsidRPr="003C6E30">
              <w:rPr>
                <w:rFonts w:ascii="Calibri" w:hAnsi="Calibri"/>
                <w:color w:val="000000"/>
                <w:szCs w:val="22"/>
                <w:lang w:val="es-AR" w:eastAsia="es-AR"/>
              </w:rPr>
              <w:t>%</w:t>
            </w:r>
          </w:p>
        </w:tc>
        <w:tc>
          <w:tcPr>
            <w:tcW w:w="1134" w:type="dxa"/>
            <w:tcBorders>
              <w:top w:val="nil"/>
              <w:left w:val="nil"/>
              <w:bottom w:val="nil"/>
              <w:right w:val="single" w:sz="4" w:space="0" w:color="auto"/>
            </w:tcBorders>
            <w:vAlign w:val="bottom"/>
          </w:tcPr>
          <w:p w:rsidR="004D2183" w:rsidRPr="003C6E30" w:rsidRDefault="004079B0" w:rsidP="00871A0A">
            <w:pPr>
              <w:jc w:val="right"/>
              <w:rPr>
                <w:rFonts w:ascii="Calibri" w:hAnsi="Calibri"/>
                <w:color w:val="000000"/>
                <w:szCs w:val="22"/>
                <w:lang w:val="es-AR" w:eastAsia="es-AR"/>
              </w:rPr>
            </w:pPr>
            <w:r w:rsidRPr="003C6E30">
              <w:rPr>
                <w:rFonts w:ascii="Calibri" w:hAnsi="Calibri"/>
                <w:color w:val="000000"/>
                <w:szCs w:val="22"/>
                <w:lang w:val="es-AR" w:eastAsia="es-AR"/>
              </w:rPr>
              <w:t>11.16</w:t>
            </w:r>
            <w:r w:rsidR="004D2183" w:rsidRPr="003C6E30">
              <w:rPr>
                <w:rFonts w:ascii="Calibri" w:hAnsi="Calibri"/>
                <w:color w:val="000000"/>
                <w:szCs w:val="22"/>
                <w:lang w:val="es-AR" w:eastAsia="es-AR"/>
              </w:rPr>
              <w:t>%</w:t>
            </w:r>
          </w:p>
        </w:tc>
      </w:tr>
      <w:tr w:rsidR="004D2183" w:rsidRPr="003C6E30" w:rsidTr="00997E36">
        <w:trPr>
          <w:trHeight w:val="300"/>
        </w:trPr>
        <w:tc>
          <w:tcPr>
            <w:tcW w:w="5245" w:type="dxa"/>
            <w:tcBorders>
              <w:top w:val="nil"/>
              <w:left w:val="single" w:sz="4" w:space="0" w:color="auto"/>
              <w:bottom w:val="nil"/>
              <w:right w:val="nil"/>
            </w:tcBorders>
            <w:shd w:val="clear" w:color="auto" w:fill="auto"/>
            <w:noWrap/>
            <w:vAlign w:val="bottom"/>
            <w:hideMark/>
          </w:tcPr>
          <w:p w:rsidR="004D2183" w:rsidRPr="003C6E30" w:rsidRDefault="004D2183" w:rsidP="0080131E">
            <w:pPr>
              <w:rPr>
                <w:rFonts w:ascii="Calibri" w:hAnsi="Calibri"/>
                <w:color w:val="000000"/>
                <w:szCs w:val="22"/>
                <w:lang w:val="es-AR" w:eastAsia="es-AR"/>
              </w:rPr>
            </w:pPr>
            <w:r w:rsidRPr="003C6E30">
              <w:rPr>
                <w:rFonts w:ascii="Calibri" w:hAnsi="Calibri"/>
                <w:color w:val="000000"/>
                <w:szCs w:val="22"/>
                <w:lang w:val="es-AR" w:eastAsia="es-AR"/>
              </w:rPr>
              <w:t>Patrimonio Neto / Activo</w:t>
            </w:r>
          </w:p>
        </w:tc>
        <w:tc>
          <w:tcPr>
            <w:tcW w:w="1134" w:type="dxa"/>
            <w:tcBorders>
              <w:top w:val="nil"/>
              <w:left w:val="single" w:sz="4" w:space="0" w:color="auto"/>
              <w:bottom w:val="nil"/>
              <w:right w:val="single" w:sz="4" w:space="0" w:color="auto"/>
            </w:tcBorders>
            <w:shd w:val="clear" w:color="auto" w:fill="auto"/>
            <w:noWrap/>
            <w:vAlign w:val="bottom"/>
          </w:tcPr>
          <w:p w:rsidR="004D2183" w:rsidRPr="003C6E30" w:rsidRDefault="004079B0" w:rsidP="0080131E">
            <w:pPr>
              <w:jc w:val="right"/>
              <w:rPr>
                <w:rFonts w:ascii="Calibri" w:hAnsi="Calibri"/>
                <w:color w:val="000000"/>
                <w:szCs w:val="22"/>
                <w:lang w:val="es-AR" w:eastAsia="es-AR"/>
              </w:rPr>
            </w:pPr>
            <w:r w:rsidRPr="003C6E30">
              <w:rPr>
                <w:rFonts w:ascii="Calibri" w:hAnsi="Calibri"/>
                <w:color w:val="000000"/>
                <w:szCs w:val="22"/>
                <w:lang w:val="es-AR" w:eastAsia="es-AR"/>
              </w:rPr>
              <w:t>90.74</w:t>
            </w:r>
            <w:r w:rsidR="005A502C" w:rsidRPr="003C6E30">
              <w:rPr>
                <w:rFonts w:ascii="Calibri" w:hAnsi="Calibri"/>
                <w:color w:val="000000"/>
                <w:szCs w:val="22"/>
                <w:lang w:val="es-AR" w:eastAsia="es-AR"/>
              </w:rPr>
              <w:t>%</w:t>
            </w:r>
          </w:p>
        </w:tc>
        <w:tc>
          <w:tcPr>
            <w:tcW w:w="1134" w:type="dxa"/>
            <w:tcBorders>
              <w:top w:val="nil"/>
              <w:left w:val="nil"/>
              <w:bottom w:val="nil"/>
              <w:right w:val="single" w:sz="4" w:space="0" w:color="auto"/>
            </w:tcBorders>
            <w:vAlign w:val="bottom"/>
          </w:tcPr>
          <w:p w:rsidR="004D2183" w:rsidRPr="003C6E30" w:rsidRDefault="004079B0" w:rsidP="00871A0A">
            <w:pPr>
              <w:jc w:val="right"/>
              <w:rPr>
                <w:rFonts w:ascii="Calibri" w:hAnsi="Calibri"/>
                <w:color w:val="000000"/>
                <w:szCs w:val="22"/>
                <w:lang w:val="es-AR" w:eastAsia="es-AR"/>
              </w:rPr>
            </w:pPr>
            <w:r w:rsidRPr="003C6E30">
              <w:rPr>
                <w:rFonts w:ascii="Calibri" w:hAnsi="Calibri"/>
                <w:color w:val="000000"/>
                <w:szCs w:val="22"/>
                <w:lang w:val="es-AR" w:eastAsia="es-AR"/>
              </w:rPr>
              <w:t>89.96</w:t>
            </w:r>
            <w:r w:rsidR="004D2183" w:rsidRPr="003C6E30">
              <w:rPr>
                <w:rFonts w:ascii="Calibri" w:hAnsi="Calibri"/>
                <w:color w:val="000000"/>
                <w:szCs w:val="22"/>
                <w:lang w:val="es-AR" w:eastAsia="es-AR"/>
              </w:rPr>
              <w:t>%</w:t>
            </w:r>
          </w:p>
        </w:tc>
      </w:tr>
      <w:tr w:rsidR="004D2183" w:rsidRPr="003C6E30" w:rsidTr="00997E36">
        <w:trPr>
          <w:trHeight w:val="300"/>
        </w:trPr>
        <w:tc>
          <w:tcPr>
            <w:tcW w:w="5245" w:type="dxa"/>
            <w:tcBorders>
              <w:top w:val="nil"/>
              <w:left w:val="single" w:sz="4" w:space="0" w:color="auto"/>
              <w:bottom w:val="single" w:sz="4" w:space="0" w:color="auto"/>
              <w:right w:val="nil"/>
            </w:tcBorders>
            <w:shd w:val="clear" w:color="auto" w:fill="auto"/>
            <w:noWrap/>
            <w:vAlign w:val="bottom"/>
            <w:hideMark/>
          </w:tcPr>
          <w:p w:rsidR="004D2183" w:rsidRPr="003C6E30" w:rsidRDefault="004D2183" w:rsidP="0080131E">
            <w:pPr>
              <w:rPr>
                <w:rFonts w:ascii="Calibri" w:hAnsi="Calibri"/>
                <w:color w:val="000000"/>
                <w:szCs w:val="22"/>
                <w:lang w:val="es-AR" w:eastAsia="es-AR"/>
              </w:rPr>
            </w:pPr>
            <w:r w:rsidRPr="003C6E30">
              <w:rPr>
                <w:rFonts w:ascii="Calibri" w:hAnsi="Calibri"/>
                <w:color w:val="000000"/>
                <w:szCs w:val="22"/>
                <w:lang w:val="es-AR" w:eastAsia="es-AR"/>
              </w:rPr>
              <w:t>Activo / Patrimonio Neto</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D2183" w:rsidRPr="003C6E30" w:rsidRDefault="005A502C" w:rsidP="004079B0">
            <w:pPr>
              <w:jc w:val="right"/>
              <w:rPr>
                <w:rFonts w:ascii="Calibri" w:hAnsi="Calibri"/>
                <w:color w:val="000000"/>
                <w:szCs w:val="22"/>
                <w:lang w:val="es-AR" w:eastAsia="es-AR"/>
              </w:rPr>
            </w:pPr>
            <w:r w:rsidRPr="003C6E30">
              <w:rPr>
                <w:rFonts w:ascii="Calibri" w:hAnsi="Calibri"/>
                <w:color w:val="000000"/>
                <w:szCs w:val="22"/>
                <w:lang w:val="es-AR" w:eastAsia="es-AR"/>
              </w:rPr>
              <w:t>1</w:t>
            </w:r>
            <w:r w:rsidR="004079B0" w:rsidRPr="003C6E30">
              <w:rPr>
                <w:rFonts w:ascii="Calibri" w:hAnsi="Calibri"/>
                <w:color w:val="000000"/>
                <w:szCs w:val="22"/>
                <w:lang w:val="es-AR" w:eastAsia="es-AR"/>
              </w:rPr>
              <w:t>10.2</w:t>
            </w:r>
            <w:r w:rsidRPr="003C6E30">
              <w:rPr>
                <w:rFonts w:ascii="Calibri" w:hAnsi="Calibri"/>
                <w:color w:val="000000"/>
                <w:szCs w:val="22"/>
                <w:lang w:val="es-AR" w:eastAsia="es-AR"/>
              </w:rPr>
              <w:t>%</w:t>
            </w:r>
          </w:p>
        </w:tc>
        <w:tc>
          <w:tcPr>
            <w:tcW w:w="1134" w:type="dxa"/>
            <w:tcBorders>
              <w:top w:val="nil"/>
              <w:left w:val="nil"/>
              <w:bottom w:val="single" w:sz="4" w:space="0" w:color="auto"/>
              <w:right w:val="single" w:sz="4" w:space="0" w:color="auto"/>
            </w:tcBorders>
            <w:vAlign w:val="bottom"/>
          </w:tcPr>
          <w:p w:rsidR="004D2183" w:rsidRPr="003C6E30" w:rsidRDefault="004079B0" w:rsidP="00871A0A">
            <w:pPr>
              <w:jc w:val="right"/>
              <w:rPr>
                <w:rFonts w:ascii="Calibri" w:hAnsi="Calibri"/>
                <w:color w:val="000000"/>
                <w:szCs w:val="22"/>
                <w:lang w:val="es-AR" w:eastAsia="es-AR"/>
              </w:rPr>
            </w:pPr>
            <w:r w:rsidRPr="003C6E30">
              <w:rPr>
                <w:rFonts w:ascii="Calibri" w:hAnsi="Calibri"/>
                <w:color w:val="000000"/>
                <w:szCs w:val="22"/>
                <w:lang w:val="es-AR" w:eastAsia="es-AR"/>
              </w:rPr>
              <w:t>111.16</w:t>
            </w:r>
            <w:r w:rsidR="004D2183" w:rsidRPr="003C6E30">
              <w:rPr>
                <w:rFonts w:ascii="Calibri" w:hAnsi="Calibri"/>
                <w:color w:val="000000"/>
                <w:szCs w:val="22"/>
                <w:lang w:val="es-AR" w:eastAsia="es-AR"/>
              </w:rPr>
              <w:t>%</w:t>
            </w:r>
          </w:p>
        </w:tc>
      </w:tr>
    </w:tbl>
    <w:p w:rsidR="00C2679D" w:rsidRPr="003C6E30" w:rsidRDefault="00C2679D" w:rsidP="00C2679D">
      <w:pPr>
        <w:pStyle w:val="Sangra2detindependiente"/>
        <w:ind w:left="709" w:firstLine="0"/>
        <w:rPr>
          <w:rFonts w:cs="Arial"/>
          <w:b/>
          <w:sz w:val="20"/>
          <w:u w:val="none"/>
          <w:lang w:val="es-AR"/>
        </w:rPr>
      </w:pPr>
    </w:p>
    <w:p w:rsidR="004D079A" w:rsidRPr="003C6E30" w:rsidRDefault="004D079A" w:rsidP="00C2679D">
      <w:pPr>
        <w:pStyle w:val="Sangra2detindependiente"/>
        <w:ind w:left="709" w:firstLine="0"/>
        <w:rPr>
          <w:rFonts w:cs="Arial"/>
          <w:b/>
          <w:sz w:val="20"/>
          <w:u w:val="none"/>
          <w:lang w:val="es-AR"/>
        </w:rPr>
      </w:pPr>
    </w:p>
    <w:p w:rsidR="00C2679D" w:rsidRPr="009A1882" w:rsidRDefault="00C2679D" w:rsidP="00C2679D">
      <w:pPr>
        <w:pStyle w:val="Sangra2detindependiente"/>
        <w:ind w:left="709" w:firstLine="0"/>
        <w:rPr>
          <w:rFonts w:cs="Arial"/>
          <w:b/>
          <w:sz w:val="20"/>
          <w:u w:val="none"/>
          <w:lang w:val="es-AR"/>
        </w:rPr>
      </w:pPr>
      <w:r w:rsidRPr="009A1882">
        <w:rPr>
          <w:rFonts w:cs="Arial"/>
          <w:b/>
          <w:sz w:val="20"/>
          <w:u w:val="none"/>
          <w:lang w:val="es-AR"/>
        </w:rPr>
        <w:t>GESTION DEL RIESGO</w:t>
      </w:r>
    </w:p>
    <w:p w:rsidR="00C2679D" w:rsidRPr="003C6E30" w:rsidRDefault="00C2679D" w:rsidP="00C2679D">
      <w:pPr>
        <w:pStyle w:val="Sangra2detindependiente"/>
        <w:ind w:left="709" w:firstLine="0"/>
        <w:rPr>
          <w:rFonts w:cs="Arial"/>
          <w:sz w:val="20"/>
          <w:u w:val="none"/>
          <w:lang w:val="es-AR"/>
        </w:rPr>
      </w:pPr>
    </w:p>
    <w:p w:rsidR="00C2679D" w:rsidRPr="003C6E30" w:rsidRDefault="00C2679D" w:rsidP="00C2679D">
      <w:pPr>
        <w:pStyle w:val="Sangra2detindependiente"/>
        <w:ind w:left="709" w:hanging="1"/>
        <w:rPr>
          <w:rFonts w:cs="Arial"/>
          <w:sz w:val="20"/>
          <w:u w:val="none"/>
          <w:lang w:val="es-AR"/>
        </w:rPr>
      </w:pPr>
      <w:r w:rsidRPr="003C6E30">
        <w:rPr>
          <w:rFonts w:cs="Arial"/>
          <w:sz w:val="20"/>
          <w:u w:val="none"/>
          <w:lang w:val="es-AR"/>
        </w:rPr>
        <w:t>Los riesgos son inherentes a las actividades de la Entidad, se administran a través de un proceso de identificación, medición y control constante, sujeto a los límites y otros controles del riesgo. Este proceso de administración de riesgos es crítico para la rentabilidad de la Entidad.</w:t>
      </w:r>
    </w:p>
    <w:p w:rsidR="00C2679D" w:rsidRPr="003C6E30" w:rsidRDefault="00C2679D" w:rsidP="00C2679D">
      <w:pPr>
        <w:pStyle w:val="Sangra2detindependiente"/>
        <w:ind w:left="709"/>
        <w:rPr>
          <w:rFonts w:cs="Arial"/>
          <w:sz w:val="20"/>
          <w:u w:val="none"/>
          <w:lang w:val="es-AR"/>
        </w:rPr>
      </w:pPr>
    </w:p>
    <w:p w:rsidR="00C2679D" w:rsidRPr="003C6E30" w:rsidRDefault="00C2679D" w:rsidP="00C2679D">
      <w:pPr>
        <w:pStyle w:val="Sangra2detindependiente"/>
        <w:ind w:left="709" w:hanging="1"/>
        <w:rPr>
          <w:rFonts w:cs="Arial"/>
          <w:sz w:val="20"/>
          <w:u w:val="none"/>
          <w:lang w:val="es-AR"/>
        </w:rPr>
      </w:pPr>
      <w:r w:rsidRPr="003C6E30">
        <w:rPr>
          <w:rFonts w:cs="Arial"/>
          <w:sz w:val="20"/>
          <w:u w:val="none"/>
          <w:lang w:val="es-AR"/>
        </w:rPr>
        <w:t>El Directorio está compuesto por cuatro miembros titulares, conforme lo establecido por la Asamblea siendo elegidos por períodos de tres ejercicios anuales con posibilidad de ser reelegidos. Dicho número de integrantes atiende a razones de proporcionalidad a la dimensión, complejidad, importancia económica y perfil de riesgo de</w:t>
      </w:r>
      <w:r w:rsidR="003F2C5F" w:rsidRPr="003C6E30">
        <w:rPr>
          <w:rFonts w:cs="Arial"/>
          <w:sz w:val="20"/>
          <w:u w:val="none"/>
          <w:lang w:val="es-AR"/>
        </w:rPr>
        <w:t xml:space="preserve"> la Entidad</w:t>
      </w:r>
      <w:r w:rsidRPr="003C6E30">
        <w:rPr>
          <w:rFonts w:cs="Arial"/>
          <w:sz w:val="20"/>
          <w:u w:val="none"/>
          <w:lang w:val="es-AR"/>
        </w:rPr>
        <w:t>. Promueven ejercer y garantizar un juicio objetivo e independiente para la toma de decisiones en los mejores intereses de la Entidad en línea con los objetivos societarios, salvando y previniendo conflictos potenciales de intereses o la adopción de decisiones contrarias al interés de la Entidad.</w:t>
      </w:r>
    </w:p>
    <w:p w:rsidR="00C2679D" w:rsidRPr="003C6E30" w:rsidRDefault="00C2679D" w:rsidP="00C2679D">
      <w:pPr>
        <w:pStyle w:val="Sangra2detindependiente"/>
        <w:ind w:left="709"/>
        <w:rPr>
          <w:rFonts w:cs="Arial"/>
          <w:sz w:val="20"/>
          <w:u w:val="none"/>
          <w:lang w:val="es-AR"/>
        </w:rPr>
      </w:pPr>
    </w:p>
    <w:p w:rsidR="00C2679D" w:rsidRPr="003C6E30" w:rsidRDefault="00C2679D" w:rsidP="00C2679D">
      <w:pPr>
        <w:pStyle w:val="Sangra2detindependiente"/>
        <w:ind w:left="709" w:hanging="1"/>
        <w:rPr>
          <w:rFonts w:cs="Arial"/>
          <w:sz w:val="20"/>
          <w:u w:val="none"/>
          <w:lang w:val="es-AR"/>
        </w:rPr>
      </w:pPr>
      <w:r w:rsidRPr="003C6E30">
        <w:rPr>
          <w:rFonts w:cs="Arial"/>
          <w:sz w:val="20"/>
          <w:u w:val="none"/>
          <w:lang w:val="es-AR"/>
        </w:rPr>
        <w:t>No podrán integrar el Directorio quienes se encuentren comprendidos en las inhabilidades e incompatibilidades previstas en la Ley Nº 19.550 de Sociedades Comerciales y en la Ley Nº 21.526 de Entidades Financieras. Por su parte, los antecedentes de los Directores seleccionados son presentados ante el BCRA para su respectiva aprobación.</w:t>
      </w:r>
    </w:p>
    <w:p w:rsidR="00C2679D" w:rsidRPr="003C6E30" w:rsidRDefault="00C2679D" w:rsidP="00C2679D">
      <w:pPr>
        <w:pStyle w:val="Sangra2detindependiente"/>
        <w:ind w:left="709"/>
        <w:rPr>
          <w:rFonts w:cs="Arial"/>
          <w:sz w:val="20"/>
          <w:u w:val="none"/>
          <w:lang w:val="es-AR"/>
        </w:rPr>
      </w:pPr>
    </w:p>
    <w:p w:rsidR="00C2679D" w:rsidRPr="003C6E30" w:rsidRDefault="00C2679D" w:rsidP="00C2679D">
      <w:pPr>
        <w:pStyle w:val="Sangra2detindependiente"/>
        <w:ind w:left="709" w:hanging="1"/>
        <w:rPr>
          <w:rFonts w:cs="Arial"/>
          <w:sz w:val="20"/>
          <w:u w:val="none"/>
          <w:lang w:val="es-AR"/>
        </w:rPr>
      </w:pPr>
      <w:r w:rsidRPr="003C6E30">
        <w:rPr>
          <w:rFonts w:cs="Arial"/>
          <w:sz w:val="20"/>
          <w:u w:val="none"/>
          <w:lang w:val="es-AR"/>
        </w:rPr>
        <w:t xml:space="preserve">El Directorio tiene a su cargo la administración de la Entidad y toma todas las decisiones relacionadas con ese fin. Éste, es el responsable de ejecutar las decisiones asamblearias, del desarrollo de las tareas especialmente delegadas por los accionistas y de establecer la estrategia de negocios debiendo aprobar las políticas generales y particulares con el fin de lograr una buena administración de los negocios. Sus objetivos son, entre otros, coordinar y supervisar que el funcionamiento operativo responda a los objetivos institucionales, facilitar el desarrollo de los negocios con eficiencia, control y productividad, tendiendo a generar una cultura de mejora permanente en los procesos administrativos y comerciales. </w:t>
      </w:r>
      <w:r w:rsidR="00766E5A" w:rsidRPr="003C6E30">
        <w:rPr>
          <w:rFonts w:cs="Arial"/>
          <w:sz w:val="20"/>
          <w:u w:val="none"/>
          <w:lang w:val="es-AR"/>
        </w:rPr>
        <w:t xml:space="preserve"> Asimismo la Entidad se encuentra sometida al cumplimiento que en materia de riesgos determina su Entidad controlante, así se somete adicionalmente a los Comité de Gestión de Riesgos de su Controlante.</w:t>
      </w:r>
    </w:p>
    <w:p w:rsidR="00C2679D" w:rsidRPr="003C6E30" w:rsidRDefault="00C2679D" w:rsidP="00C2679D">
      <w:pPr>
        <w:pStyle w:val="Sangra2detindependiente"/>
        <w:ind w:left="709"/>
        <w:rPr>
          <w:rFonts w:cs="Arial"/>
          <w:sz w:val="20"/>
          <w:u w:val="none"/>
          <w:lang w:val="es-AR"/>
        </w:rPr>
      </w:pPr>
    </w:p>
    <w:p w:rsidR="00C2679D" w:rsidRPr="003C6E30" w:rsidRDefault="00C2679D" w:rsidP="00766E5A">
      <w:pPr>
        <w:pStyle w:val="Sangra2detindependiente"/>
        <w:ind w:left="709" w:hanging="1"/>
        <w:rPr>
          <w:rFonts w:cs="Arial"/>
          <w:sz w:val="20"/>
          <w:u w:val="none"/>
          <w:lang w:val="es-AR"/>
        </w:rPr>
      </w:pPr>
      <w:r w:rsidRPr="003C6E30">
        <w:rPr>
          <w:rFonts w:cs="Arial"/>
          <w:sz w:val="20"/>
          <w:u w:val="none"/>
          <w:lang w:val="es-AR"/>
        </w:rPr>
        <w:t>La estructura antes citada comprende distintos comités separados e independientes. A continuación se incluye la denominación de los mismos, con un detalle de sus funciones:</w:t>
      </w:r>
    </w:p>
    <w:p w:rsidR="00C2679D" w:rsidRPr="003C6E30" w:rsidRDefault="00C2679D" w:rsidP="00C2679D">
      <w:pPr>
        <w:pStyle w:val="Sangra2detindependiente"/>
        <w:ind w:left="709"/>
        <w:rPr>
          <w:rFonts w:cs="Arial"/>
          <w:sz w:val="20"/>
          <w:u w:val="none"/>
          <w:lang w:val="es-AR"/>
        </w:rPr>
      </w:pPr>
    </w:p>
    <w:p w:rsidR="00C2679D" w:rsidRPr="003C6E30" w:rsidRDefault="00C2679D" w:rsidP="00766E5A">
      <w:pPr>
        <w:pStyle w:val="Sangra2detindependiente"/>
        <w:ind w:left="709" w:hanging="1"/>
        <w:rPr>
          <w:rFonts w:cs="Arial"/>
          <w:sz w:val="20"/>
          <w:u w:val="none"/>
          <w:lang w:val="es-AR"/>
        </w:rPr>
      </w:pPr>
      <w:r w:rsidRPr="003C6E30">
        <w:rPr>
          <w:rFonts w:cs="Arial"/>
          <w:sz w:val="20"/>
          <w:u w:val="none"/>
          <w:lang w:val="es-AR"/>
        </w:rPr>
        <w:t>- Comité de Auditoría: Su función es prestar apoyo a la gestión que realiza el Directorio en la implementación y supervisión del control interno de</w:t>
      </w:r>
      <w:r w:rsidR="00B95AAB" w:rsidRPr="003C6E30">
        <w:rPr>
          <w:rFonts w:cs="Arial"/>
          <w:sz w:val="20"/>
          <w:u w:val="none"/>
          <w:lang w:val="es-AR"/>
        </w:rPr>
        <w:t xml:space="preserve"> la Entidad</w:t>
      </w:r>
      <w:r w:rsidRPr="003C6E30">
        <w:rPr>
          <w:rFonts w:cs="Arial"/>
          <w:sz w:val="20"/>
          <w:u w:val="none"/>
          <w:lang w:val="es-AR"/>
        </w:rPr>
        <w:t xml:space="preserve"> y tiene por disposición su propio Reglamento, el cual forma parte del Sistema de Gobierno Corporativo de la Entidad. </w:t>
      </w:r>
    </w:p>
    <w:p w:rsidR="00C2679D" w:rsidRPr="003C6E30" w:rsidRDefault="00C2679D" w:rsidP="00C2679D">
      <w:pPr>
        <w:pStyle w:val="Sangra2detindependiente"/>
        <w:ind w:left="709"/>
        <w:rPr>
          <w:rFonts w:cs="Arial"/>
          <w:sz w:val="20"/>
          <w:u w:val="none"/>
          <w:lang w:val="es-AR"/>
        </w:rPr>
      </w:pPr>
    </w:p>
    <w:p w:rsidR="00C2679D" w:rsidRPr="003C6E30" w:rsidRDefault="00C2679D" w:rsidP="00766E5A">
      <w:pPr>
        <w:pStyle w:val="Sangra2detindependiente"/>
        <w:ind w:left="709" w:hanging="1"/>
        <w:rPr>
          <w:rFonts w:cs="Arial"/>
          <w:sz w:val="20"/>
          <w:u w:val="none"/>
          <w:lang w:val="es-AR"/>
        </w:rPr>
      </w:pPr>
      <w:r w:rsidRPr="003C6E30">
        <w:rPr>
          <w:rFonts w:cs="Arial"/>
          <w:sz w:val="20"/>
          <w:u w:val="none"/>
          <w:lang w:val="es-AR"/>
        </w:rPr>
        <w:t>- Comité de Protección de Activos de la Información: Es un órgano multidisciplinario formal para la protección de los activos de Información, con el fin de establecer los mecanismos para la gestión del Área de Protección de Activos de Información y su control desde una visión integral de la seguridad requerida (física y lógica), adecuada a cada ambiente tecnológico y recursos de información. Su misión es determinar el procedimiento de tratamiento de incidentes, excepciones a las políticas y promover la conciencia y capacitación al resto de la organización, conforme a las pautas establecidas por la Comunicación “A” 4609 y complementarias emitidas por el BCRA.</w:t>
      </w:r>
    </w:p>
    <w:p w:rsidR="00C2679D" w:rsidRPr="003C6E30" w:rsidRDefault="00C2679D" w:rsidP="00C2679D">
      <w:pPr>
        <w:pStyle w:val="Sangra2detindependiente"/>
        <w:ind w:left="709"/>
        <w:rPr>
          <w:rFonts w:cs="Arial"/>
          <w:sz w:val="20"/>
          <w:u w:val="none"/>
          <w:lang w:val="es-AR"/>
        </w:rPr>
      </w:pPr>
    </w:p>
    <w:p w:rsidR="00C2679D" w:rsidRPr="003C6E30" w:rsidRDefault="00C2679D" w:rsidP="00C2679D">
      <w:pPr>
        <w:pStyle w:val="Sangra2detindependiente"/>
        <w:ind w:left="709"/>
        <w:rPr>
          <w:rFonts w:cs="Arial"/>
          <w:sz w:val="20"/>
          <w:u w:val="none"/>
          <w:lang w:val="es-AR"/>
        </w:rPr>
      </w:pPr>
      <w:r w:rsidRPr="003C6E30">
        <w:rPr>
          <w:rFonts w:cs="Arial"/>
          <w:sz w:val="20"/>
          <w:u w:val="none"/>
          <w:lang w:val="es-AR"/>
        </w:rPr>
        <w:t xml:space="preserve"> </w:t>
      </w:r>
      <w:r w:rsidR="00766E5A" w:rsidRPr="003C6E30">
        <w:rPr>
          <w:rFonts w:cs="Arial"/>
          <w:sz w:val="20"/>
          <w:u w:val="none"/>
          <w:lang w:val="es-AR"/>
        </w:rPr>
        <w:tab/>
        <w:t>-</w:t>
      </w:r>
      <w:r w:rsidRPr="003C6E30">
        <w:rPr>
          <w:rFonts w:cs="Arial"/>
          <w:sz w:val="20"/>
          <w:u w:val="none"/>
          <w:lang w:val="es-AR"/>
        </w:rPr>
        <w:t xml:space="preserve"> Comité de Tecnología Informática y Sistemas: Este órgano formal toma decisiones acerca de las distintas cuestiones que hacen al soporte de los negocios de la Entidad y sus subsidiarias en materia de Sistemas y Tecnología conforme a las pautas establecidas por la comunicaciones “A” 4609 y complementarias (Riesgos de IT) emitidas por el BCRA.</w:t>
      </w:r>
    </w:p>
    <w:p w:rsidR="00C2679D" w:rsidRPr="003C6E30" w:rsidRDefault="00C2679D" w:rsidP="00C2679D">
      <w:pPr>
        <w:pStyle w:val="Sangra2detindependiente"/>
        <w:ind w:left="709"/>
        <w:rPr>
          <w:rFonts w:cs="Arial"/>
          <w:sz w:val="20"/>
          <w:u w:val="none"/>
          <w:lang w:val="es-AR"/>
        </w:rPr>
      </w:pPr>
      <w:r w:rsidRPr="003C6E30">
        <w:rPr>
          <w:rFonts w:cs="Arial"/>
          <w:sz w:val="20"/>
          <w:u w:val="none"/>
          <w:lang w:val="es-AR"/>
        </w:rPr>
        <w:t xml:space="preserve"> </w:t>
      </w:r>
    </w:p>
    <w:p w:rsidR="00C2679D" w:rsidRPr="003C6E30" w:rsidRDefault="00C2679D" w:rsidP="00766E5A">
      <w:pPr>
        <w:pStyle w:val="Sangra2detindependiente"/>
        <w:ind w:left="709" w:hanging="1"/>
        <w:rPr>
          <w:rFonts w:cs="Arial"/>
          <w:sz w:val="20"/>
          <w:u w:val="none"/>
          <w:lang w:val="es-AR"/>
        </w:rPr>
      </w:pPr>
      <w:r w:rsidRPr="003C6E30">
        <w:rPr>
          <w:rFonts w:cs="Arial"/>
          <w:sz w:val="20"/>
          <w:u w:val="none"/>
          <w:lang w:val="es-AR"/>
        </w:rPr>
        <w:t xml:space="preserve">- Comité de Recursos Humanos y Ética: Planifica y afianza el desarrollo potencial del recurso humano, pondera la evolución y adecuación de la estructura en función de sus planes estratégicos, analiza la promoción de sus recursos humanos, su política de compensaciones y acompaña a la organización en sus procesos de cambio. </w:t>
      </w:r>
    </w:p>
    <w:p w:rsidR="00C2679D" w:rsidRPr="003C6E30" w:rsidRDefault="00C2679D" w:rsidP="00C2679D">
      <w:pPr>
        <w:pStyle w:val="Sangra2detindependiente"/>
        <w:ind w:left="709"/>
        <w:rPr>
          <w:rFonts w:cs="Arial"/>
          <w:sz w:val="20"/>
          <w:u w:val="none"/>
          <w:lang w:val="es-AR"/>
        </w:rPr>
      </w:pPr>
    </w:p>
    <w:p w:rsidR="00C2679D" w:rsidRPr="003C6E30" w:rsidRDefault="00C2679D" w:rsidP="00766E5A">
      <w:pPr>
        <w:pStyle w:val="Sangra2detindependiente"/>
        <w:ind w:left="709" w:hanging="1"/>
        <w:rPr>
          <w:rFonts w:cs="Arial"/>
          <w:sz w:val="20"/>
          <w:u w:val="none"/>
          <w:lang w:val="es-AR"/>
        </w:rPr>
      </w:pPr>
      <w:r w:rsidRPr="003C6E30">
        <w:rPr>
          <w:rFonts w:cs="Arial"/>
          <w:sz w:val="20"/>
          <w:u w:val="none"/>
          <w:lang w:val="es-AR"/>
        </w:rPr>
        <w:t xml:space="preserve">- Comité de Gobierno Societario y Cumplimiento: Se ocupa que las actuaciones de sus administradores y personal cumplan y observen las estrategias de gestión aprobadas oportunamente por el Directorio. Asimismo promueve que la Entidad </w:t>
      </w:r>
      <w:proofErr w:type="gramStart"/>
      <w:r w:rsidRPr="003C6E30">
        <w:rPr>
          <w:rFonts w:cs="Arial"/>
          <w:sz w:val="20"/>
          <w:u w:val="none"/>
          <w:lang w:val="es-AR"/>
        </w:rPr>
        <w:t>cuenten</w:t>
      </w:r>
      <w:proofErr w:type="gramEnd"/>
      <w:r w:rsidRPr="003C6E30">
        <w:rPr>
          <w:rFonts w:cs="Arial"/>
          <w:sz w:val="20"/>
          <w:u w:val="none"/>
          <w:lang w:val="es-AR"/>
        </w:rPr>
        <w:t xml:space="preserve"> con medios adecuados para el cumplimiento de las regulaciones internas y externas. </w:t>
      </w:r>
    </w:p>
    <w:p w:rsidR="00766E5A" w:rsidRPr="003C6E30" w:rsidRDefault="00766E5A" w:rsidP="00766E5A">
      <w:pPr>
        <w:pStyle w:val="Sangra2detindependiente"/>
        <w:ind w:left="709" w:hanging="1"/>
        <w:rPr>
          <w:rFonts w:cs="Arial"/>
          <w:sz w:val="20"/>
          <w:u w:val="none"/>
          <w:lang w:val="es-AR"/>
        </w:rPr>
      </w:pPr>
    </w:p>
    <w:p w:rsidR="00C2679D" w:rsidRPr="003C6E30" w:rsidRDefault="00766E5A" w:rsidP="00766E5A">
      <w:pPr>
        <w:pStyle w:val="Sangra2detindependiente"/>
        <w:ind w:left="709" w:hanging="1"/>
        <w:rPr>
          <w:rFonts w:cs="Arial"/>
          <w:sz w:val="20"/>
          <w:u w:val="none"/>
          <w:lang w:val="es-AR"/>
        </w:rPr>
      </w:pPr>
      <w:r w:rsidRPr="003C6E30">
        <w:rPr>
          <w:rFonts w:cs="Arial"/>
          <w:sz w:val="20"/>
          <w:u w:val="none"/>
          <w:lang w:val="es-AR"/>
        </w:rPr>
        <w:lastRenderedPageBreak/>
        <w:t>-</w:t>
      </w:r>
      <w:r w:rsidR="00C2679D" w:rsidRPr="003C6E30">
        <w:rPr>
          <w:rFonts w:cs="Arial"/>
          <w:sz w:val="20"/>
          <w:u w:val="none"/>
          <w:lang w:val="es-AR"/>
        </w:rPr>
        <w:t xml:space="preserve">Comité Financiero: Tiene por objetivo ser un órgano formal para la toma de decisiones en materia financiera, acerca de las distintas cuestiones que hacen al soporte de los negocios de la Entidad </w:t>
      </w:r>
    </w:p>
    <w:p w:rsidR="00C2679D" w:rsidRPr="003C6E30" w:rsidRDefault="00C2679D" w:rsidP="00C2679D">
      <w:pPr>
        <w:pStyle w:val="Sangra2detindependiente"/>
        <w:ind w:left="709"/>
        <w:rPr>
          <w:rFonts w:cs="Arial"/>
          <w:sz w:val="20"/>
          <w:u w:val="none"/>
          <w:lang w:val="es-AR"/>
        </w:rPr>
      </w:pPr>
    </w:p>
    <w:p w:rsidR="00C2679D" w:rsidRPr="003C6E30" w:rsidRDefault="00C2679D" w:rsidP="00766E5A">
      <w:pPr>
        <w:pStyle w:val="Sangra2detindependiente"/>
        <w:ind w:left="709" w:hanging="1"/>
        <w:rPr>
          <w:rFonts w:cs="Arial"/>
          <w:sz w:val="20"/>
          <w:u w:val="none"/>
          <w:lang w:val="es-AR"/>
        </w:rPr>
      </w:pPr>
      <w:r w:rsidRPr="003C6E30">
        <w:rPr>
          <w:rFonts w:cs="Arial"/>
          <w:sz w:val="20"/>
          <w:u w:val="none"/>
          <w:lang w:val="es-AR"/>
        </w:rPr>
        <w:t xml:space="preserve">- Comité de Créditos: Es el órgano formal para la toma de decisiones en materia de políticas de crédito. </w:t>
      </w:r>
    </w:p>
    <w:p w:rsidR="00C2679D" w:rsidRPr="003C6E30" w:rsidRDefault="00C2679D" w:rsidP="00C2679D">
      <w:pPr>
        <w:pStyle w:val="Sangra2detindependiente"/>
        <w:ind w:left="709"/>
        <w:rPr>
          <w:rFonts w:cs="Arial"/>
          <w:sz w:val="20"/>
          <w:u w:val="none"/>
          <w:lang w:val="es-AR"/>
        </w:rPr>
      </w:pPr>
    </w:p>
    <w:p w:rsidR="00C2679D" w:rsidRPr="003C6E30" w:rsidRDefault="00C2679D" w:rsidP="00766E5A">
      <w:pPr>
        <w:pStyle w:val="Sangra2detindependiente"/>
        <w:ind w:left="709" w:hanging="1"/>
        <w:rPr>
          <w:rFonts w:cs="Arial"/>
          <w:sz w:val="20"/>
          <w:u w:val="none"/>
          <w:lang w:val="es-AR"/>
        </w:rPr>
      </w:pPr>
      <w:r w:rsidRPr="003C6E30">
        <w:rPr>
          <w:rFonts w:cs="Arial"/>
          <w:sz w:val="20"/>
          <w:u w:val="none"/>
          <w:lang w:val="es-AR"/>
        </w:rPr>
        <w:t>- Comité de Control y Prevención de Lavado de Activos y Financiación del Terrorismo: tiene por objetivo brindar apoyo al Oficial de Cumplimiento en la adopción de políticas y procedimientos necesarios para el buen funcionamiento del Sistema de Prevención de Lavado de Activos y Financiamiento del Terrorismo.</w:t>
      </w:r>
    </w:p>
    <w:p w:rsidR="00C2679D" w:rsidRPr="003C6E30" w:rsidRDefault="00C2679D" w:rsidP="00C2679D">
      <w:pPr>
        <w:pStyle w:val="Sangra2detindependiente"/>
        <w:ind w:left="709"/>
        <w:rPr>
          <w:rFonts w:cs="Arial"/>
          <w:sz w:val="20"/>
          <w:u w:val="none"/>
          <w:lang w:val="es-AR"/>
        </w:rPr>
      </w:pPr>
      <w:r w:rsidRPr="003C6E30">
        <w:rPr>
          <w:rFonts w:cs="Arial"/>
          <w:sz w:val="20"/>
          <w:u w:val="none"/>
          <w:lang w:val="es-AR"/>
        </w:rPr>
        <w:t xml:space="preserve"> </w:t>
      </w:r>
    </w:p>
    <w:p w:rsidR="00C2679D" w:rsidRPr="003C6E30" w:rsidRDefault="00C2679D" w:rsidP="00766E5A">
      <w:pPr>
        <w:pStyle w:val="Sangra2detindependiente"/>
        <w:ind w:left="709" w:hanging="1"/>
        <w:rPr>
          <w:rFonts w:cs="Arial"/>
          <w:sz w:val="20"/>
          <w:u w:val="none"/>
          <w:lang w:val="es-AR"/>
        </w:rPr>
      </w:pPr>
      <w:r w:rsidRPr="003C6E30">
        <w:rPr>
          <w:rFonts w:cs="Arial"/>
          <w:sz w:val="20"/>
          <w:u w:val="none"/>
          <w:lang w:val="es-AR"/>
        </w:rPr>
        <w:t xml:space="preserve">- Comité de Gestión Integral de Riesgos: Es competente en el proceso de gestión integral de todos los riesgos significativos, y vela por el cumplimiento de las políticas y estrategias vigentes en la materia, aprobadas y fijadas por el Directorio. </w:t>
      </w:r>
    </w:p>
    <w:p w:rsidR="00C2679D" w:rsidRPr="003C6E30" w:rsidRDefault="00C2679D" w:rsidP="00C2679D">
      <w:pPr>
        <w:pStyle w:val="Sangra2detindependiente"/>
        <w:ind w:left="709"/>
        <w:rPr>
          <w:rFonts w:cs="Arial"/>
          <w:sz w:val="20"/>
          <w:u w:val="none"/>
          <w:lang w:val="es-AR"/>
        </w:rPr>
      </w:pPr>
    </w:p>
    <w:p w:rsidR="00C2679D" w:rsidRPr="003C6E30" w:rsidRDefault="00C2679D" w:rsidP="00766E5A">
      <w:pPr>
        <w:pStyle w:val="Sangra2detindependiente"/>
        <w:ind w:left="709" w:hanging="1"/>
        <w:rPr>
          <w:rFonts w:cs="Arial"/>
          <w:sz w:val="20"/>
          <w:u w:val="none"/>
          <w:lang w:val="es-AR"/>
        </w:rPr>
      </w:pPr>
      <w:r w:rsidRPr="003C6E30">
        <w:rPr>
          <w:rFonts w:cs="Arial"/>
          <w:sz w:val="20"/>
          <w:u w:val="none"/>
          <w:lang w:val="es-AR"/>
        </w:rPr>
        <w:t xml:space="preserve">- Comité de Comercio Exterior y Cambios: Es el órgano formal para la definición de políticas y lineamientos para los procesos de Comercio Exterior, dentro del marco de la normativa dictada por el BCRA. Asimismo, controla y revisa las solicitudes de intercambio de claves Swift desde y hacia el exterior. </w:t>
      </w:r>
    </w:p>
    <w:p w:rsidR="00C2679D" w:rsidRPr="003C6E30" w:rsidRDefault="00C2679D" w:rsidP="00C2679D">
      <w:pPr>
        <w:pStyle w:val="Sangra2detindependiente"/>
        <w:ind w:left="709"/>
        <w:rPr>
          <w:rFonts w:cs="Arial"/>
          <w:sz w:val="20"/>
          <w:u w:val="none"/>
          <w:lang w:val="es-AR"/>
        </w:rPr>
      </w:pPr>
    </w:p>
    <w:p w:rsidR="00C2679D" w:rsidRPr="003C6E30" w:rsidRDefault="00766E5A" w:rsidP="00766E5A">
      <w:pPr>
        <w:pStyle w:val="Sangra2detindependiente"/>
        <w:ind w:left="709" w:hanging="1"/>
        <w:rPr>
          <w:rFonts w:cs="Arial"/>
          <w:sz w:val="20"/>
          <w:u w:val="none"/>
          <w:lang w:val="es-AR"/>
        </w:rPr>
      </w:pPr>
      <w:r w:rsidRPr="003C6E30">
        <w:rPr>
          <w:rFonts w:cs="Arial"/>
          <w:sz w:val="20"/>
          <w:u w:val="none"/>
          <w:lang w:val="es-AR"/>
        </w:rPr>
        <w:t>El</w:t>
      </w:r>
      <w:r w:rsidR="00C2679D" w:rsidRPr="003C6E30">
        <w:rPr>
          <w:rFonts w:cs="Arial"/>
          <w:sz w:val="20"/>
          <w:u w:val="none"/>
          <w:lang w:val="es-AR"/>
        </w:rPr>
        <w:t xml:space="preserve"> Área de Gestión Integral de Riesgos</w:t>
      </w:r>
      <w:r w:rsidRPr="003C6E30">
        <w:rPr>
          <w:rFonts w:cs="Arial"/>
          <w:sz w:val="20"/>
          <w:u w:val="none"/>
          <w:lang w:val="es-AR"/>
        </w:rPr>
        <w:t>, de su Controlante,</w:t>
      </w:r>
      <w:r w:rsidR="00C2679D" w:rsidRPr="003C6E30">
        <w:rPr>
          <w:rFonts w:cs="Arial"/>
          <w:sz w:val="20"/>
          <w:u w:val="none"/>
          <w:lang w:val="es-AR"/>
        </w:rPr>
        <w:t xml:space="preserve"> tiene a su cargo la gestión integral de los riesgos que afronta la Entidad</w:t>
      </w:r>
      <w:r w:rsidRPr="003C6E30">
        <w:rPr>
          <w:rFonts w:cs="Arial"/>
          <w:sz w:val="20"/>
          <w:u w:val="none"/>
          <w:lang w:val="es-AR"/>
        </w:rPr>
        <w:t xml:space="preserve"> y su grupo de Entidades asociadas</w:t>
      </w:r>
      <w:r w:rsidR="00C2679D" w:rsidRPr="003C6E30">
        <w:rPr>
          <w:rFonts w:cs="Arial"/>
          <w:sz w:val="20"/>
          <w:u w:val="none"/>
          <w:lang w:val="es-AR"/>
        </w:rPr>
        <w:t>, actuando de manera independiente respecto de las áreas de negocios. Su función principal es dar seguimiento al riesgo, asistir en el diseño de políticas y procedimientos, verificar su cumplimiento y alertar al Comité de Gestión Integral de Riesgos o la instancia responsable sobre aquellos riesgos que puedan requerir controles adicionales. Adicionalmente, recopila información relacionada con el nivel de exposición a los distintos tipos de riesgo y reporta a la Gerencia General y al Comité de Gestión Integral de Riesgos, proponiendo y monitoreando los planes de acción correspondientes. Asimismo, realiza anualmente las pruebas de estrés de acuerdo con la metodología formalmente aprobada y documenta los planes de contingencia para cubrir los riesgos que exceden los límites establecidos por el Directorio. También emite el Informe de Autoevaluación del Capital con frecuencia anual.</w:t>
      </w:r>
    </w:p>
    <w:p w:rsidR="00C2679D" w:rsidRPr="003C6E30" w:rsidRDefault="00C2679D" w:rsidP="00C2679D">
      <w:pPr>
        <w:pStyle w:val="Sangra2detindependiente"/>
        <w:ind w:left="709"/>
        <w:rPr>
          <w:rFonts w:cs="Arial"/>
          <w:sz w:val="20"/>
          <w:u w:val="none"/>
          <w:lang w:val="es-AR"/>
        </w:rPr>
      </w:pPr>
    </w:p>
    <w:p w:rsidR="00C2679D" w:rsidRDefault="00C2679D" w:rsidP="00766E5A">
      <w:pPr>
        <w:pStyle w:val="Sangra2detindependiente"/>
        <w:ind w:left="709" w:hanging="1"/>
        <w:rPr>
          <w:rFonts w:cs="Arial"/>
          <w:sz w:val="20"/>
          <w:u w:val="none"/>
          <w:lang w:val="es-AR"/>
        </w:rPr>
      </w:pPr>
      <w:r w:rsidRPr="003C6E30">
        <w:rPr>
          <w:rFonts w:cs="Arial"/>
          <w:sz w:val="20"/>
          <w:u w:val="none"/>
          <w:lang w:val="es-AR"/>
        </w:rPr>
        <w:t xml:space="preserve">El Comité de Gestión Integral de Riesgos tiene como objetivos principales proponer al Directorio la estrategia para la gestión de riesgos de mercado, tasa, liquidez y crédito, entre otros, así como los límites globales de exposición a dichos riesgos. Asimismo, toma conocimiento de las posiciones de cada riesgo y del cumplimiento de las políticas. El alcance de sus funciones comprende a la Entidad y sus sociedades subsidiarias. </w:t>
      </w:r>
    </w:p>
    <w:p w:rsidR="00AE3E7F" w:rsidRDefault="00AE3E7F" w:rsidP="00766E5A">
      <w:pPr>
        <w:pStyle w:val="Sangra2detindependiente"/>
        <w:ind w:left="709" w:hanging="1"/>
        <w:rPr>
          <w:rFonts w:cs="Arial"/>
          <w:sz w:val="20"/>
          <w:u w:val="none"/>
          <w:lang w:val="es-AR"/>
        </w:rPr>
      </w:pPr>
    </w:p>
    <w:p w:rsidR="00AE3E7F" w:rsidRPr="00AE3E7F" w:rsidRDefault="00597762" w:rsidP="00AE3E7F">
      <w:pPr>
        <w:pStyle w:val="Sangra2detindependiente"/>
        <w:numPr>
          <w:ilvl w:val="0"/>
          <w:numId w:val="12"/>
        </w:numPr>
        <w:rPr>
          <w:rFonts w:cs="Arial"/>
          <w:b/>
          <w:sz w:val="20"/>
          <w:u w:val="none"/>
          <w:lang w:val="es-AR"/>
        </w:rPr>
      </w:pPr>
      <w:r w:rsidRPr="00AE3E7F">
        <w:rPr>
          <w:rFonts w:cs="Arial"/>
          <w:b/>
          <w:sz w:val="20"/>
          <w:u w:val="none"/>
          <w:lang w:val="es-AR"/>
        </w:rPr>
        <w:t xml:space="preserve">POLÍTICA DE GÉNERO. RESOLUCIÓN GENERAL 34/2020 DE LA </w:t>
      </w:r>
      <w:r>
        <w:rPr>
          <w:rFonts w:cs="Arial"/>
          <w:b/>
          <w:sz w:val="20"/>
          <w:u w:val="none"/>
          <w:lang w:val="es-AR"/>
        </w:rPr>
        <w:t>INSPECCIÓN GENERAL DE JUSTICIA.</w:t>
      </w:r>
      <w:r>
        <w:rPr>
          <w:rFonts w:cs="Arial"/>
          <w:b/>
          <w:sz w:val="20"/>
          <w:u w:val="none"/>
          <w:lang w:val="es-AR"/>
        </w:rPr>
        <w:tab/>
      </w:r>
      <w:r w:rsidR="00AE3E7F">
        <w:rPr>
          <w:rFonts w:cs="Arial"/>
          <w:b/>
          <w:sz w:val="20"/>
          <w:u w:val="none"/>
          <w:lang w:val="es-AR"/>
        </w:rPr>
        <w:br/>
      </w:r>
    </w:p>
    <w:p w:rsidR="00AE3E7F" w:rsidRDefault="00AE3E7F" w:rsidP="00AE3E7F">
      <w:pPr>
        <w:pStyle w:val="Sangra2detindependiente"/>
        <w:ind w:left="720" w:firstLine="0"/>
        <w:rPr>
          <w:rFonts w:cs="Arial"/>
          <w:sz w:val="20"/>
          <w:u w:val="none"/>
          <w:lang w:val="es-AR"/>
        </w:rPr>
      </w:pPr>
      <w:r w:rsidRPr="00AE3E7F">
        <w:rPr>
          <w:rFonts w:cs="Arial"/>
          <w:sz w:val="20"/>
          <w:u w:val="none"/>
          <w:lang w:val="es-AR"/>
        </w:rPr>
        <w:t xml:space="preserve">Con fecha 5 de agosto de 2020 fue publicada en el Boletín Oficial la Resolución Nro. 34/2020 (la “RG 34/2020”) de la Inspección General de Justicia (“IGJ”) que reguló la composición de los órganos de administración y fiscalización siguiendo políticas de diversidad de género. En tal sentido, la RG 34/2020 estableció que los órganos de administración y de fiscalización de las sociedades anónimas comprendidas en el artículo 299 de la Ley N° 19.550, excepto las abarcadas por los incisos 1°, 2° y 7°, deberán incluir en su órgano de administración, y en su caso en el órgano de fiscalización, una </w:t>
      </w:r>
      <w:r w:rsidRPr="00AE3E7F">
        <w:rPr>
          <w:rFonts w:cs="Arial"/>
          <w:sz w:val="20"/>
          <w:u w:val="none"/>
          <w:lang w:val="es-AR"/>
        </w:rPr>
        <w:lastRenderedPageBreak/>
        <w:t>composición que respete la diversidad de género, estableciendo una composición de los órganos referidos que esté integrado por la misma cantidad de miembros femeninos que de miembros masculinos. Cuando la cantidad de miembros a cubrir fuera de número impar, el órgano deberá integrarse de forma mixta, con un mínimo de un tercio de miembros femeninos.</w:t>
      </w:r>
    </w:p>
    <w:p w:rsidR="00AE3E7F" w:rsidRPr="00AE3E7F" w:rsidRDefault="00AE3E7F" w:rsidP="00AE3E7F">
      <w:pPr>
        <w:pStyle w:val="Sangra2detindependiente"/>
        <w:ind w:left="720" w:firstLine="0"/>
        <w:rPr>
          <w:rFonts w:cs="Arial"/>
          <w:sz w:val="20"/>
          <w:u w:val="none"/>
          <w:lang w:val="es-AR"/>
        </w:rPr>
      </w:pPr>
    </w:p>
    <w:p w:rsidR="00AE3E7F" w:rsidRDefault="00AE3E7F" w:rsidP="00AE3E7F">
      <w:pPr>
        <w:pStyle w:val="Sangra2detindependiente"/>
        <w:ind w:left="720" w:firstLine="0"/>
        <w:rPr>
          <w:rFonts w:cs="Arial"/>
          <w:sz w:val="20"/>
          <w:u w:val="none"/>
          <w:lang w:val="es-AR"/>
        </w:rPr>
      </w:pPr>
      <w:r w:rsidRPr="00AE3E7F">
        <w:rPr>
          <w:rFonts w:cs="Arial"/>
          <w:sz w:val="20"/>
          <w:u w:val="none"/>
          <w:lang w:val="es-AR"/>
        </w:rPr>
        <w:t>El artículo 6 de la RG 34/2020 estableció que la Memoria del Directorio requerida por el artículo 66 de la Ley N° 19.550, debe contener una descripción de la política de género aplicada por la Sociedad en relación a la composición del Directorio.</w:t>
      </w:r>
    </w:p>
    <w:p w:rsidR="00AE3E7F" w:rsidRPr="00AE3E7F" w:rsidRDefault="00AE3E7F" w:rsidP="00AE3E7F">
      <w:pPr>
        <w:pStyle w:val="Sangra2detindependiente"/>
        <w:ind w:left="720" w:firstLine="0"/>
        <w:rPr>
          <w:rFonts w:cs="Arial"/>
          <w:sz w:val="20"/>
          <w:u w:val="none"/>
          <w:lang w:val="es-AR"/>
        </w:rPr>
      </w:pPr>
    </w:p>
    <w:p w:rsidR="00AE3E7F" w:rsidRDefault="00AE3E7F" w:rsidP="00AE3E7F">
      <w:pPr>
        <w:pStyle w:val="Sangra2detindependiente"/>
        <w:ind w:left="720" w:firstLine="0"/>
        <w:rPr>
          <w:rFonts w:cs="Arial"/>
          <w:sz w:val="20"/>
          <w:u w:val="none"/>
          <w:lang w:val="es-AR"/>
        </w:rPr>
      </w:pPr>
      <w:r w:rsidRPr="00AE3E7F">
        <w:rPr>
          <w:rFonts w:cs="Arial"/>
          <w:sz w:val="20"/>
          <w:u w:val="none"/>
          <w:lang w:val="es-AR"/>
        </w:rPr>
        <w:t>El Directorio junto con los accionistas de la Sociedad han mantenido conversaciones y analizado las medidas a llevar a cabo a los efectos de que a partir de la próxima elección de los miembros del Directorio se dé cumplimiento con la normativa vigente y que el Directorio esté compuesto por miembros femeninos en las proporciones indicadas por la RG 34/2020.</w:t>
      </w:r>
    </w:p>
    <w:p w:rsidR="00AE3E7F" w:rsidRPr="00AE3E7F" w:rsidRDefault="00AE3E7F" w:rsidP="00AE3E7F">
      <w:pPr>
        <w:pStyle w:val="Sangra2detindependiente"/>
        <w:ind w:left="720" w:firstLine="0"/>
        <w:rPr>
          <w:rFonts w:cs="Arial"/>
          <w:sz w:val="20"/>
          <w:u w:val="none"/>
          <w:lang w:val="es-AR"/>
        </w:rPr>
      </w:pPr>
    </w:p>
    <w:p w:rsidR="00AE3E7F" w:rsidRDefault="00AE3E7F" w:rsidP="00AE3E7F">
      <w:pPr>
        <w:pStyle w:val="Sangra2detindependiente"/>
        <w:ind w:left="720" w:firstLine="0"/>
        <w:rPr>
          <w:rFonts w:cs="Arial"/>
          <w:sz w:val="20"/>
          <w:u w:val="none"/>
          <w:lang w:val="es-AR"/>
        </w:rPr>
      </w:pPr>
      <w:r w:rsidRPr="00AE3E7F">
        <w:rPr>
          <w:rFonts w:cs="Arial"/>
          <w:sz w:val="20"/>
          <w:u w:val="none"/>
          <w:lang w:val="es-AR"/>
        </w:rPr>
        <w:t xml:space="preserve">Los miembros del Directorio se encuentran capacitándose en asuntos de género y diversidad y en la regulación aplicable. En tal sentido, durante los últimos años, se han venido desarrollando una serie de iniciativas encaminadas a impulsar cambios en la gestión corporativa, específicamente en políticas de flexibilidad y programas de conciliación, para favorecer de manera directa la inserción de la mujer en cargos ejecutivos. De esta forma, la Sociedad espera lograr que se alcance una equilibrada composición del Directorio. </w:t>
      </w:r>
    </w:p>
    <w:p w:rsidR="00AE3E7F" w:rsidRPr="00AE3E7F" w:rsidRDefault="00AE3E7F" w:rsidP="00AE3E7F">
      <w:pPr>
        <w:pStyle w:val="Sangra2detindependiente"/>
        <w:ind w:left="720" w:firstLine="0"/>
        <w:rPr>
          <w:rFonts w:cs="Arial"/>
          <w:sz w:val="20"/>
          <w:u w:val="none"/>
          <w:lang w:val="es-AR"/>
        </w:rPr>
      </w:pPr>
    </w:p>
    <w:p w:rsidR="00AE3E7F" w:rsidRPr="00AE3E7F" w:rsidRDefault="00AE3E7F" w:rsidP="00AE3E7F">
      <w:pPr>
        <w:pStyle w:val="Sangra2detindependiente"/>
        <w:ind w:left="720" w:firstLine="0"/>
        <w:rPr>
          <w:rFonts w:cs="Arial"/>
          <w:sz w:val="20"/>
          <w:u w:val="none"/>
          <w:lang w:val="es-AR"/>
        </w:rPr>
      </w:pPr>
      <w:r w:rsidRPr="00AE3E7F">
        <w:rPr>
          <w:rFonts w:cs="Arial"/>
          <w:sz w:val="20"/>
          <w:u w:val="none"/>
          <w:lang w:val="es-AR"/>
        </w:rPr>
        <w:t>Si bien aún la Sociedad no cuenta con un Directorio que cumpla con los requisitos dispuestos por la RG 34/2020, el Directorio pone énfasis en la necesidad de considerar las especificidades locales y organizacionales a la hora de implementar dichas iniciativas, teniendo en cuenta las realidades y necesidades de los recursos humanos de la Sociedad.</w:t>
      </w:r>
    </w:p>
    <w:p w:rsidR="00AE3E7F" w:rsidRDefault="00AE3E7F" w:rsidP="00AE3E7F">
      <w:pPr>
        <w:pStyle w:val="Sangra2detindependiente"/>
        <w:ind w:left="720" w:firstLine="0"/>
        <w:rPr>
          <w:rFonts w:cs="Arial"/>
          <w:sz w:val="20"/>
          <w:u w:val="none"/>
          <w:lang w:val="es-AR"/>
        </w:rPr>
      </w:pPr>
      <w:r w:rsidRPr="00AE3E7F">
        <w:rPr>
          <w:rFonts w:cs="Arial"/>
          <w:sz w:val="20"/>
          <w:u w:val="none"/>
          <w:lang w:val="es-AR"/>
        </w:rPr>
        <w:t>Asimismo, la Sociedad continuará trabajando en fijar políticas que equiparen la participación en los espacios laborales y que garanticen el derecho a la igualdad de oportunidades y la no discriminación por razones de género, raza o religión.</w:t>
      </w:r>
    </w:p>
    <w:p w:rsidR="00AE3E7F" w:rsidRDefault="00AE3E7F" w:rsidP="00766E5A">
      <w:pPr>
        <w:pStyle w:val="Sangra2detindependiente"/>
        <w:ind w:left="709" w:hanging="1"/>
        <w:rPr>
          <w:rFonts w:cs="Arial"/>
          <w:sz w:val="20"/>
          <w:u w:val="none"/>
          <w:lang w:val="es-AR"/>
        </w:rPr>
      </w:pPr>
    </w:p>
    <w:p w:rsidR="00C27E57" w:rsidRPr="00AE3E7F" w:rsidRDefault="00C27E57" w:rsidP="00AE3E7F">
      <w:pPr>
        <w:pStyle w:val="Sangra2detindependiente"/>
        <w:numPr>
          <w:ilvl w:val="0"/>
          <w:numId w:val="12"/>
        </w:numPr>
        <w:rPr>
          <w:rFonts w:cs="Arial"/>
          <w:sz w:val="20"/>
          <w:u w:val="none"/>
          <w:lang w:val="es-AR"/>
        </w:rPr>
      </w:pPr>
      <w:r w:rsidRPr="006A232D">
        <w:rPr>
          <w:rFonts w:cs="Arial"/>
          <w:b/>
          <w:sz w:val="20"/>
          <w:u w:val="none"/>
          <w:lang w:val="es-AR"/>
        </w:rPr>
        <w:t>CONSI</w:t>
      </w:r>
      <w:r w:rsidRPr="00AE3E7F">
        <w:rPr>
          <w:rFonts w:cs="Arial"/>
          <w:b/>
          <w:sz w:val="20"/>
          <w:u w:val="none"/>
          <w:lang w:val="es-AR"/>
        </w:rPr>
        <w:t>DERACIONES FINALES</w:t>
      </w:r>
    </w:p>
    <w:p w:rsidR="00C27E57" w:rsidRPr="003C6E30" w:rsidRDefault="00C27E57" w:rsidP="00C27E57">
      <w:pPr>
        <w:pStyle w:val="Sangra2detindependiente"/>
        <w:ind w:left="709" w:hanging="1"/>
        <w:rPr>
          <w:rFonts w:cs="Arial"/>
          <w:b/>
          <w:sz w:val="20"/>
          <w:u w:val="none"/>
          <w:lang w:val="es-AR"/>
        </w:rPr>
      </w:pPr>
    </w:p>
    <w:p w:rsidR="00C27E57" w:rsidRPr="003C6E30" w:rsidRDefault="00C27E57" w:rsidP="00C27E57">
      <w:pPr>
        <w:pStyle w:val="Sangra2detindependiente"/>
        <w:ind w:left="709" w:hanging="1"/>
        <w:rPr>
          <w:rFonts w:cs="Arial"/>
          <w:sz w:val="20"/>
          <w:u w:val="none"/>
          <w:lang w:val="es-AR"/>
        </w:rPr>
      </w:pPr>
      <w:r w:rsidRPr="003C6E30">
        <w:rPr>
          <w:rFonts w:cs="Arial"/>
          <w:sz w:val="20"/>
          <w:u w:val="none"/>
          <w:lang w:val="es-AR"/>
        </w:rPr>
        <w:t xml:space="preserve">El Directorio desea expresar su agradecimiento a: </w:t>
      </w:r>
    </w:p>
    <w:p w:rsidR="00C27E57" w:rsidRPr="003C6E30" w:rsidRDefault="00C27E57" w:rsidP="00C27E57">
      <w:pPr>
        <w:pStyle w:val="Sangra2detindependiente"/>
        <w:ind w:left="709" w:hanging="1"/>
        <w:rPr>
          <w:rFonts w:cs="Arial"/>
          <w:sz w:val="20"/>
          <w:u w:val="none"/>
          <w:lang w:val="es-AR"/>
        </w:rPr>
      </w:pPr>
    </w:p>
    <w:p w:rsidR="00C27E57" w:rsidRPr="003C6E30" w:rsidRDefault="00C27E57" w:rsidP="00C27E57">
      <w:pPr>
        <w:pStyle w:val="Sangra2detindependiente"/>
        <w:ind w:left="709" w:hanging="1"/>
        <w:rPr>
          <w:rFonts w:cs="Arial"/>
          <w:sz w:val="20"/>
          <w:u w:val="none"/>
          <w:lang w:val="es-AR"/>
        </w:rPr>
      </w:pPr>
      <w:r w:rsidRPr="003C6E30">
        <w:rPr>
          <w:rFonts w:cs="Arial"/>
          <w:sz w:val="20"/>
          <w:u w:val="none"/>
          <w:lang w:val="es-AR"/>
        </w:rPr>
        <w:t>Nuestros clientes por elegirnos. El compromiso con ellos es y será el máximo esfuerzo y profesionalismo por parte de nuestra Entidad para acompañarlos en el desarrollo de su negocio.</w:t>
      </w:r>
    </w:p>
    <w:p w:rsidR="00C27E57" w:rsidRPr="003C6E30" w:rsidRDefault="00C27E57" w:rsidP="00C27E57">
      <w:pPr>
        <w:pStyle w:val="Sangra2detindependiente"/>
        <w:ind w:left="709" w:hanging="1"/>
        <w:rPr>
          <w:rFonts w:cs="Arial"/>
          <w:sz w:val="20"/>
          <w:u w:val="none"/>
          <w:lang w:val="es-AR"/>
        </w:rPr>
      </w:pPr>
    </w:p>
    <w:p w:rsidR="00C27E57" w:rsidRPr="003C6E30" w:rsidRDefault="00C27E57" w:rsidP="00C27E57">
      <w:pPr>
        <w:pStyle w:val="Sangra2detindependiente"/>
        <w:ind w:left="709" w:hanging="1"/>
        <w:rPr>
          <w:rFonts w:cs="Arial"/>
          <w:sz w:val="20"/>
          <w:u w:val="none"/>
          <w:lang w:val="es-AR"/>
        </w:rPr>
      </w:pPr>
      <w:r w:rsidRPr="003C6E30">
        <w:rPr>
          <w:rFonts w:cs="Arial"/>
          <w:sz w:val="20"/>
          <w:u w:val="none"/>
          <w:lang w:val="es-AR"/>
        </w:rPr>
        <w:t xml:space="preserve">Funcionarios y empleados por su colaboración, constante apoyo y deseos de superación para mejorar la calidad de nuestro servicio y satisfacción de nuestros clientes. </w:t>
      </w:r>
    </w:p>
    <w:p w:rsidR="00C27E57" w:rsidRPr="003C6E30" w:rsidRDefault="00C27E57" w:rsidP="00C27E57">
      <w:pPr>
        <w:pStyle w:val="Sangra2detindependiente"/>
        <w:ind w:left="709" w:hanging="1"/>
        <w:rPr>
          <w:rFonts w:cs="Arial"/>
          <w:sz w:val="20"/>
          <w:u w:val="none"/>
          <w:lang w:val="es-AR"/>
        </w:rPr>
      </w:pPr>
    </w:p>
    <w:p w:rsidR="00C27E57" w:rsidRPr="0024110D" w:rsidRDefault="00C27E57" w:rsidP="00C27E57">
      <w:pPr>
        <w:pStyle w:val="Sangra2detindependiente"/>
        <w:ind w:left="709" w:hanging="1"/>
        <w:rPr>
          <w:rFonts w:cs="Arial"/>
          <w:sz w:val="20"/>
          <w:u w:val="none"/>
          <w:lang w:val="es-AR"/>
        </w:rPr>
      </w:pPr>
      <w:r w:rsidRPr="003C6E30">
        <w:rPr>
          <w:rFonts w:cs="Arial"/>
          <w:sz w:val="20"/>
          <w:u w:val="none"/>
          <w:lang w:val="es-AR"/>
        </w:rPr>
        <w:t xml:space="preserve">Nuestro </w:t>
      </w:r>
      <w:r w:rsidRPr="0024110D">
        <w:rPr>
          <w:rFonts w:cs="Arial"/>
          <w:sz w:val="20"/>
          <w:u w:val="none"/>
          <w:lang w:val="es-AR"/>
        </w:rPr>
        <w:t xml:space="preserve">reconocimiento a las autoridades de la Comisión Nacional de Valores, y otros Entes de la Industria por su eficaz tarea de regulación,  supervisión y soportes del Sistema. </w:t>
      </w:r>
    </w:p>
    <w:p w:rsidR="00C27E57" w:rsidRPr="0024110D" w:rsidRDefault="00C27E57" w:rsidP="00C27E57">
      <w:pPr>
        <w:pStyle w:val="Sangra2detindependiente"/>
        <w:ind w:left="709" w:hanging="1"/>
        <w:rPr>
          <w:rFonts w:cs="Arial"/>
          <w:sz w:val="20"/>
          <w:u w:val="none"/>
          <w:lang w:val="es-AR"/>
        </w:rPr>
      </w:pPr>
    </w:p>
    <w:p w:rsidR="005952A4" w:rsidRPr="004D39A0" w:rsidRDefault="005952A4" w:rsidP="00C27E57">
      <w:pPr>
        <w:pStyle w:val="Sangra2detindependiente"/>
        <w:ind w:left="709" w:hanging="1"/>
        <w:rPr>
          <w:rFonts w:cs="Arial"/>
          <w:sz w:val="20"/>
          <w:u w:val="none"/>
          <w:lang w:val="es-AR"/>
        </w:rPr>
      </w:pPr>
      <w:r w:rsidRPr="0024110D">
        <w:rPr>
          <w:rFonts w:cs="Arial"/>
          <w:sz w:val="20"/>
          <w:u w:val="none"/>
          <w:lang w:val="es-AR"/>
        </w:rPr>
        <w:t xml:space="preserve">El Directorio informa a la Asamblea de </w:t>
      </w:r>
      <w:r w:rsidRPr="004D39A0">
        <w:rPr>
          <w:rFonts w:cs="Arial"/>
          <w:sz w:val="20"/>
          <w:u w:val="none"/>
          <w:lang w:val="es-AR"/>
        </w:rPr>
        <w:t>Accionistas que los Resultados no Asignados acumulados al 31 de diciembre de 20</w:t>
      </w:r>
      <w:r w:rsidR="007C7255" w:rsidRPr="004D39A0">
        <w:rPr>
          <w:rFonts w:cs="Arial"/>
          <w:sz w:val="20"/>
          <w:u w:val="none"/>
          <w:lang w:val="es-AR"/>
        </w:rPr>
        <w:t>20</w:t>
      </w:r>
      <w:r w:rsidRPr="004D39A0">
        <w:rPr>
          <w:rFonts w:cs="Arial"/>
          <w:sz w:val="20"/>
          <w:u w:val="none"/>
          <w:lang w:val="es-AR"/>
        </w:rPr>
        <w:t xml:space="preserve"> ascienden a $ </w:t>
      </w:r>
      <w:r w:rsidR="0024110D" w:rsidRPr="004D39A0">
        <w:rPr>
          <w:rFonts w:cs="Arial"/>
          <w:sz w:val="20"/>
          <w:u w:val="none"/>
          <w:lang w:val="es-AR"/>
        </w:rPr>
        <w:t>28.661.796</w:t>
      </w:r>
      <w:r w:rsidR="00480CB1">
        <w:rPr>
          <w:rFonts w:cs="Arial"/>
          <w:sz w:val="20"/>
          <w:u w:val="none"/>
          <w:lang w:val="es-AR"/>
        </w:rPr>
        <w:t xml:space="preserve">, </w:t>
      </w:r>
      <w:r w:rsidR="00F13096">
        <w:rPr>
          <w:rFonts w:cs="Arial"/>
          <w:sz w:val="20"/>
          <w:u w:val="none"/>
          <w:lang w:val="es-AR"/>
        </w:rPr>
        <w:t xml:space="preserve">habiendo alcanzado la Reserva Legal el 20% de capital ajustado no corresponde constituir durante este período, </w:t>
      </w:r>
      <w:r w:rsidR="00480CB1">
        <w:rPr>
          <w:rFonts w:cs="Arial"/>
          <w:sz w:val="20"/>
          <w:u w:val="none"/>
          <w:lang w:val="es-AR"/>
        </w:rPr>
        <w:t xml:space="preserve">por cuanto se propone asignar la totalidad </w:t>
      </w:r>
      <w:r w:rsidR="00F13096">
        <w:rPr>
          <w:rFonts w:cs="Arial"/>
          <w:sz w:val="20"/>
          <w:u w:val="none"/>
          <w:lang w:val="es-AR"/>
        </w:rPr>
        <w:t xml:space="preserve"> de dichos Resultados No Asignados </w:t>
      </w:r>
      <w:r w:rsidR="00480CB1">
        <w:rPr>
          <w:rFonts w:cs="Arial"/>
          <w:sz w:val="20"/>
          <w:u w:val="none"/>
          <w:lang w:val="es-AR"/>
        </w:rPr>
        <w:t xml:space="preserve">a </w:t>
      </w:r>
      <w:r w:rsidR="00184BA7">
        <w:rPr>
          <w:rFonts w:cs="Arial"/>
          <w:sz w:val="20"/>
          <w:u w:val="none"/>
          <w:lang w:val="es-AR"/>
        </w:rPr>
        <w:t xml:space="preserve">la </w:t>
      </w:r>
      <w:r w:rsidR="00F13096">
        <w:rPr>
          <w:rFonts w:cs="Arial"/>
          <w:sz w:val="20"/>
          <w:u w:val="none"/>
          <w:lang w:val="es-AR"/>
        </w:rPr>
        <w:t>Reserva Facultativa para futuras distribución de resultados</w:t>
      </w:r>
      <w:r w:rsidR="00925476" w:rsidRPr="004D39A0">
        <w:rPr>
          <w:rFonts w:cs="Arial"/>
          <w:sz w:val="20"/>
          <w:u w:val="none"/>
          <w:lang w:val="es-AR"/>
        </w:rPr>
        <w:t>.</w:t>
      </w:r>
    </w:p>
    <w:p w:rsidR="00C27E57" w:rsidRPr="004D39A0" w:rsidRDefault="00C27E57" w:rsidP="00C27E57">
      <w:pPr>
        <w:pStyle w:val="Sangra2detindependiente"/>
        <w:ind w:left="709" w:hanging="1"/>
        <w:rPr>
          <w:rFonts w:cs="Arial"/>
          <w:sz w:val="20"/>
          <w:u w:val="none"/>
          <w:lang w:val="es-AR"/>
        </w:rPr>
      </w:pPr>
    </w:p>
    <w:p w:rsidR="00C27E57" w:rsidRPr="003C6E30" w:rsidRDefault="00C27E57" w:rsidP="00C27E57">
      <w:pPr>
        <w:pStyle w:val="Sangra2detindependiente"/>
        <w:ind w:left="709" w:hanging="1"/>
        <w:rPr>
          <w:rFonts w:cs="Arial"/>
          <w:sz w:val="20"/>
          <w:u w:val="none"/>
          <w:lang w:val="es-AR"/>
        </w:rPr>
      </w:pPr>
      <w:r w:rsidRPr="004D39A0">
        <w:rPr>
          <w:rFonts w:cs="Arial"/>
          <w:sz w:val="20"/>
          <w:u w:val="none"/>
          <w:lang w:val="es-AR"/>
        </w:rPr>
        <w:t xml:space="preserve">Ciudad Autónoma de Buenos Aires, </w:t>
      </w:r>
      <w:r w:rsidR="00F13096">
        <w:rPr>
          <w:rFonts w:cs="Arial"/>
          <w:sz w:val="20"/>
          <w:u w:val="none"/>
          <w:lang w:val="es-AR"/>
        </w:rPr>
        <w:t>17</w:t>
      </w:r>
      <w:r w:rsidR="00F13096" w:rsidRPr="004D39A0">
        <w:rPr>
          <w:rFonts w:cs="Arial"/>
          <w:sz w:val="20"/>
          <w:u w:val="none"/>
          <w:lang w:val="es-AR"/>
        </w:rPr>
        <w:t xml:space="preserve"> </w:t>
      </w:r>
      <w:r w:rsidRPr="004D39A0">
        <w:rPr>
          <w:rFonts w:cs="Arial"/>
          <w:sz w:val="20"/>
          <w:u w:val="none"/>
          <w:lang w:val="es-AR"/>
        </w:rPr>
        <w:t xml:space="preserve">de </w:t>
      </w:r>
      <w:r w:rsidR="003C6E30" w:rsidRPr="004D39A0">
        <w:rPr>
          <w:rFonts w:cs="Arial"/>
          <w:sz w:val="20"/>
          <w:u w:val="none"/>
          <w:lang w:val="es-AR"/>
        </w:rPr>
        <w:t>marzo</w:t>
      </w:r>
      <w:r w:rsidR="004B6968" w:rsidRPr="004D39A0">
        <w:rPr>
          <w:rFonts w:cs="Arial"/>
          <w:sz w:val="20"/>
          <w:u w:val="none"/>
          <w:lang w:val="es-AR"/>
        </w:rPr>
        <w:t xml:space="preserve"> </w:t>
      </w:r>
      <w:r w:rsidRPr="004D39A0">
        <w:rPr>
          <w:rFonts w:cs="Arial"/>
          <w:sz w:val="20"/>
          <w:u w:val="none"/>
          <w:lang w:val="es-AR"/>
        </w:rPr>
        <w:t>de</w:t>
      </w:r>
      <w:r w:rsidRPr="003C6E30">
        <w:rPr>
          <w:rFonts w:cs="Arial"/>
          <w:sz w:val="20"/>
          <w:u w:val="none"/>
          <w:lang w:val="es-AR"/>
        </w:rPr>
        <w:t xml:space="preserve"> 20</w:t>
      </w:r>
      <w:r w:rsidR="008A08D3" w:rsidRPr="003C6E30">
        <w:rPr>
          <w:rFonts w:cs="Arial"/>
          <w:sz w:val="20"/>
          <w:u w:val="none"/>
          <w:lang w:val="es-AR"/>
        </w:rPr>
        <w:t>2</w:t>
      </w:r>
      <w:r w:rsidR="003C6E30" w:rsidRPr="003C6E30">
        <w:rPr>
          <w:rFonts w:cs="Arial"/>
          <w:sz w:val="20"/>
          <w:u w:val="none"/>
          <w:lang w:val="es-AR"/>
        </w:rPr>
        <w:t>1</w:t>
      </w:r>
      <w:r w:rsidRPr="003C6E30">
        <w:rPr>
          <w:rFonts w:cs="Arial"/>
          <w:sz w:val="20"/>
          <w:u w:val="none"/>
          <w:lang w:val="es-AR"/>
        </w:rPr>
        <w:t>.</w:t>
      </w:r>
    </w:p>
    <w:p w:rsidR="00C27E57" w:rsidRPr="003C6E30" w:rsidRDefault="00C27E57" w:rsidP="00C27E57">
      <w:pPr>
        <w:pStyle w:val="Sangra2detindependiente"/>
        <w:ind w:left="709" w:hanging="1"/>
        <w:rPr>
          <w:rFonts w:cs="Arial"/>
          <w:sz w:val="20"/>
          <w:u w:val="none"/>
          <w:lang w:val="es-AR"/>
        </w:rPr>
      </w:pPr>
    </w:p>
    <w:p w:rsidR="00C27E57" w:rsidRPr="003C6E30" w:rsidRDefault="00C27E57" w:rsidP="00C27E57">
      <w:pPr>
        <w:pStyle w:val="Sangra2detindependiente"/>
        <w:ind w:left="709" w:hanging="1"/>
        <w:rPr>
          <w:rFonts w:cs="Arial"/>
          <w:sz w:val="20"/>
          <w:u w:val="none"/>
          <w:lang w:val="es-AR"/>
        </w:rPr>
      </w:pPr>
    </w:p>
    <w:p w:rsidR="00C27E57" w:rsidRPr="003C6E30" w:rsidRDefault="00C27E57" w:rsidP="00C27E57">
      <w:pPr>
        <w:pStyle w:val="Sangra2detindependiente"/>
        <w:ind w:left="709" w:hanging="1"/>
        <w:rPr>
          <w:rFonts w:cs="Arial"/>
          <w:sz w:val="20"/>
          <w:u w:val="none"/>
          <w:lang w:val="es-AR"/>
        </w:rPr>
      </w:pPr>
      <w:r w:rsidRPr="003C6E30">
        <w:rPr>
          <w:rFonts w:cs="Arial"/>
          <w:sz w:val="20"/>
          <w:u w:val="none"/>
          <w:lang w:val="es-AR"/>
        </w:rPr>
        <w:t>EL DIRECTORIO.</w:t>
      </w:r>
    </w:p>
    <w:p w:rsidR="00C27E57" w:rsidRPr="003C6E30" w:rsidRDefault="00C27E57" w:rsidP="00C27E57">
      <w:pPr>
        <w:pStyle w:val="Sangra2detindependiente"/>
        <w:ind w:left="709" w:hanging="1"/>
        <w:rPr>
          <w:rFonts w:cs="Arial"/>
          <w:sz w:val="20"/>
          <w:u w:val="none"/>
          <w:lang w:val="es-AR"/>
        </w:rPr>
      </w:pPr>
    </w:p>
    <w:p w:rsidR="00C27E57" w:rsidRPr="003C6E30" w:rsidRDefault="00C27E57" w:rsidP="00C27E57">
      <w:pPr>
        <w:pStyle w:val="Sangra2detindependiente"/>
        <w:ind w:left="709" w:hanging="1"/>
        <w:rPr>
          <w:rFonts w:cs="Arial"/>
          <w:sz w:val="20"/>
          <w:u w:val="none"/>
          <w:lang w:val="es-AR"/>
        </w:rPr>
      </w:pPr>
    </w:p>
    <w:p w:rsidR="00C27E57" w:rsidRPr="003C6E30" w:rsidRDefault="00C27E57" w:rsidP="00C27E57">
      <w:pPr>
        <w:pStyle w:val="Sangra2detindependiente"/>
        <w:ind w:left="709" w:hanging="1"/>
        <w:rPr>
          <w:rFonts w:cs="Arial"/>
          <w:sz w:val="20"/>
          <w:u w:val="none"/>
          <w:lang w:val="es-AR"/>
        </w:rPr>
      </w:pPr>
    </w:p>
    <w:p w:rsidR="00C27E57" w:rsidRPr="003C6E30" w:rsidRDefault="00C27E57" w:rsidP="00C27E57">
      <w:pPr>
        <w:pStyle w:val="Sangra2detindependiente"/>
        <w:ind w:left="709" w:hanging="1"/>
        <w:rPr>
          <w:rFonts w:cs="Arial"/>
          <w:sz w:val="20"/>
          <w:u w:val="none"/>
          <w:lang w:val="es-AR"/>
        </w:rPr>
      </w:pPr>
    </w:p>
    <w:p w:rsidR="00C27E57" w:rsidRPr="003C6E30" w:rsidRDefault="00C27E57" w:rsidP="00C27E57">
      <w:pPr>
        <w:pStyle w:val="Sangra2detindependiente"/>
        <w:ind w:left="709" w:hanging="1"/>
        <w:rPr>
          <w:rFonts w:cs="Arial"/>
          <w:sz w:val="20"/>
          <w:u w:val="none"/>
          <w:lang w:val="es-AR"/>
        </w:rPr>
      </w:pPr>
      <w:r w:rsidRPr="003C6E30">
        <w:rPr>
          <w:rFonts w:cs="Arial"/>
          <w:sz w:val="20"/>
          <w:u w:val="none"/>
          <w:lang w:val="es-AR"/>
        </w:rPr>
        <w:t xml:space="preserve">                                                                             ………………………………..</w:t>
      </w:r>
    </w:p>
    <w:p w:rsidR="00C27E57" w:rsidRPr="003C6E30" w:rsidRDefault="00C27E57" w:rsidP="00C27E57">
      <w:pPr>
        <w:pStyle w:val="Sangra2detindependiente"/>
        <w:ind w:left="709" w:hanging="1"/>
        <w:rPr>
          <w:rFonts w:cs="Arial"/>
          <w:sz w:val="20"/>
          <w:u w:val="none"/>
          <w:lang w:val="es-AR"/>
        </w:rPr>
      </w:pPr>
      <w:r w:rsidRPr="003C6E30">
        <w:rPr>
          <w:rFonts w:cs="Arial"/>
          <w:sz w:val="20"/>
          <w:u w:val="none"/>
          <w:lang w:val="es-AR"/>
        </w:rPr>
        <w:t xml:space="preserve">                                                                                 </w:t>
      </w:r>
      <w:r w:rsidRPr="003C6E30">
        <w:rPr>
          <w:rFonts w:cs="Arial"/>
          <w:sz w:val="20"/>
          <w:u w:val="none"/>
          <w:lang w:val="es-AR"/>
        </w:rPr>
        <w:tab/>
      </w:r>
      <w:r w:rsidR="00F13096">
        <w:rPr>
          <w:rFonts w:cs="Arial"/>
          <w:sz w:val="20"/>
          <w:u w:val="none"/>
          <w:lang w:val="es-AR"/>
        </w:rPr>
        <w:t>ALVARO SUAREZ</w:t>
      </w:r>
    </w:p>
    <w:p w:rsidR="00C2679D" w:rsidRPr="0086139C" w:rsidRDefault="00C27E57" w:rsidP="00C27E57">
      <w:pPr>
        <w:pStyle w:val="Sangra2detindependiente"/>
        <w:ind w:left="709" w:hanging="1"/>
        <w:rPr>
          <w:rFonts w:cs="Arial"/>
          <w:sz w:val="20"/>
          <w:u w:val="none"/>
          <w:lang w:val="es-AR"/>
        </w:rPr>
      </w:pPr>
      <w:r w:rsidRPr="003C6E30">
        <w:rPr>
          <w:rFonts w:cs="Arial"/>
          <w:sz w:val="20"/>
          <w:u w:val="none"/>
          <w:lang w:val="es-AR"/>
        </w:rPr>
        <w:t xml:space="preserve">                                                                                              Presidente</w:t>
      </w:r>
    </w:p>
    <w:sectPr w:rsidR="00C2679D" w:rsidRPr="0086139C" w:rsidSect="000A3803">
      <w:headerReference w:type="default" r:id="rId10"/>
      <w:footerReference w:type="default" r:id="rId11"/>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58F" w:rsidRDefault="0008658F" w:rsidP="000A3803">
      <w:r>
        <w:separator/>
      </w:r>
    </w:p>
  </w:endnote>
  <w:endnote w:type="continuationSeparator" w:id="0">
    <w:p w:rsidR="0008658F" w:rsidRDefault="0008658F" w:rsidP="000A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18" w:rsidRPr="000A3803" w:rsidRDefault="00E26218">
    <w:pPr>
      <w:pStyle w:val="Piedepgina"/>
      <w:jc w:val="center"/>
      <w:rPr>
        <w:sz w:val="16"/>
        <w:szCs w:val="16"/>
      </w:rPr>
    </w:pPr>
    <w:r w:rsidRPr="000A3803">
      <w:rPr>
        <w:sz w:val="16"/>
        <w:szCs w:val="16"/>
      </w:rPr>
      <w:t>-</w:t>
    </w:r>
    <w:sdt>
      <w:sdtPr>
        <w:rPr>
          <w:sz w:val="16"/>
          <w:szCs w:val="16"/>
        </w:rPr>
        <w:id w:val="1062447939"/>
        <w:docPartObj>
          <w:docPartGallery w:val="Page Numbers (Bottom of Page)"/>
          <w:docPartUnique/>
        </w:docPartObj>
      </w:sdtPr>
      <w:sdtEndPr/>
      <w:sdtContent>
        <w:r w:rsidRPr="000A3803">
          <w:rPr>
            <w:sz w:val="16"/>
            <w:szCs w:val="16"/>
          </w:rPr>
          <w:fldChar w:fldCharType="begin"/>
        </w:r>
        <w:r w:rsidRPr="000A3803">
          <w:rPr>
            <w:sz w:val="16"/>
            <w:szCs w:val="16"/>
          </w:rPr>
          <w:instrText>PAGE   \* MERGEFORMAT</w:instrText>
        </w:r>
        <w:r w:rsidRPr="000A3803">
          <w:rPr>
            <w:sz w:val="16"/>
            <w:szCs w:val="16"/>
          </w:rPr>
          <w:fldChar w:fldCharType="separate"/>
        </w:r>
        <w:r w:rsidR="00D8409D" w:rsidRPr="00D8409D">
          <w:rPr>
            <w:noProof/>
            <w:sz w:val="16"/>
            <w:szCs w:val="16"/>
            <w:lang w:val="es-ES"/>
          </w:rPr>
          <w:t>4</w:t>
        </w:r>
        <w:r w:rsidRPr="000A3803">
          <w:rPr>
            <w:sz w:val="16"/>
            <w:szCs w:val="16"/>
          </w:rPr>
          <w:fldChar w:fldCharType="end"/>
        </w:r>
        <w:r w:rsidRPr="000A3803">
          <w:rPr>
            <w:sz w:val="16"/>
            <w:szCs w:val="16"/>
          </w:rPr>
          <w:t>-</w:t>
        </w:r>
      </w:sdtContent>
    </w:sdt>
  </w:p>
  <w:p w:rsidR="00E26218" w:rsidRDefault="00E262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58F" w:rsidRDefault="0008658F" w:rsidP="000A3803">
      <w:r>
        <w:separator/>
      </w:r>
    </w:p>
  </w:footnote>
  <w:footnote w:type="continuationSeparator" w:id="0">
    <w:p w:rsidR="0008658F" w:rsidRDefault="0008658F" w:rsidP="000A3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18" w:rsidRDefault="00E26218" w:rsidP="000A3803">
    <w:pPr>
      <w:pStyle w:val="Encabezado"/>
      <w:jc w:val="right"/>
    </w:pPr>
  </w:p>
  <w:p w:rsidR="00E26218" w:rsidRPr="004A29E3" w:rsidRDefault="00E26218" w:rsidP="000A3803">
    <w:pPr>
      <w:pStyle w:val="Encabezado"/>
      <w:jc w:val="right"/>
      <w:rPr>
        <w:sz w:val="12"/>
        <w:szCs w:val="12"/>
      </w:rPr>
    </w:pPr>
    <w:r>
      <w:rPr>
        <w:noProof/>
        <w:lang w:val="es-ES"/>
      </w:rPr>
      <w:drawing>
        <wp:inline distT="0" distB="0" distL="0" distR="0" wp14:anchorId="1F464333" wp14:editId="658CC2EF">
          <wp:extent cx="2190750" cy="9974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90750" cy="9974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32CC"/>
    <w:multiLevelType w:val="hybridMultilevel"/>
    <w:tmpl w:val="D8749A1E"/>
    <w:lvl w:ilvl="0" w:tplc="A5A8912E">
      <w:start w:val="2"/>
      <w:numFmt w:val="upperRoman"/>
      <w:lvlText w:val="%1)"/>
      <w:lvlJc w:val="left"/>
      <w:pPr>
        <w:ind w:left="720" w:hanging="360"/>
      </w:pPr>
      <w:rPr>
        <w:rFonts w:hint="default"/>
        <w:b/>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5E418C5"/>
    <w:multiLevelType w:val="hybridMultilevel"/>
    <w:tmpl w:val="C94E42CE"/>
    <w:lvl w:ilvl="0" w:tplc="DE26F3C0">
      <w:start w:val="43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14D494B"/>
    <w:multiLevelType w:val="hybridMultilevel"/>
    <w:tmpl w:val="27A0932A"/>
    <w:lvl w:ilvl="0" w:tplc="FFFFFFFF">
      <w:start w:val="1"/>
      <w:numFmt w:val="bullet"/>
      <w:lvlText w:val="-"/>
      <w:lvlJc w:val="left"/>
      <w:pPr>
        <w:tabs>
          <w:tab w:val="num" w:pos="720"/>
        </w:tabs>
        <w:ind w:left="720" w:hanging="360"/>
      </w:pPr>
      <w:rPr>
        <w:rFonts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23917B4"/>
    <w:multiLevelType w:val="hybridMultilevel"/>
    <w:tmpl w:val="4A262A26"/>
    <w:lvl w:ilvl="0" w:tplc="E7D6A82C">
      <w:start w:val="3"/>
      <w:numFmt w:val="bullet"/>
      <w:lvlText w:val="-"/>
      <w:lvlJc w:val="left"/>
      <w:pPr>
        <w:ind w:left="800" w:hanging="360"/>
      </w:pPr>
      <w:rPr>
        <w:rFonts w:ascii="Arial" w:eastAsia="Times New Roman" w:hAnsi="Arial" w:cs="Arial" w:hint="default"/>
      </w:rPr>
    </w:lvl>
    <w:lvl w:ilvl="1" w:tplc="2C0A0003" w:tentative="1">
      <w:start w:val="1"/>
      <w:numFmt w:val="bullet"/>
      <w:lvlText w:val="o"/>
      <w:lvlJc w:val="left"/>
      <w:pPr>
        <w:ind w:left="1520" w:hanging="360"/>
      </w:pPr>
      <w:rPr>
        <w:rFonts w:ascii="Courier New" w:hAnsi="Courier New" w:cs="Courier New" w:hint="default"/>
      </w:rPr>
    </w:lvl>
    <w:lvl w:ilvl="2" w:tplc="2C0A0005" w:tentative="1">
      <w:start w:val="1"/>
      <w:numFmt w:val="bullet"/>
      <w:lvlText w:val=""/>
      <w:lvlJc w:val="left"/>
      <w:pPr>
        <w:ind w:left="2240" w:hanging="360"/>
      </w:pPr>
      <w:rPr>
        <w:rFonts w:ascii="Wingdings" w:hAnsi="Wingdings" w:hint="default"/>
      </w:rPr>
    </w:lvl>
    <w:lvl w:ilvl="3" w:tplc="2C0A0001" w:tentative="1">
      <w:start w:val="1"/>
      <w:numFmt w:val="bullet"/>
      <w:lvlText w:val=""/>
      <w:lvlJc w:val="left"/>
      <w:pPr>
        <w:ind w:left="2960" w:hanging="360"/>
      </w:pPr>
      <w:rPr>
        <w:rFonts w:ascii="Symbol" w:hAnsi="Symbol" w:hint="default"/>
      </w:rPr>
    </w:lvl>
    <w:lvl w:ilvl="4" w:tplc="2C0A0003" w:tentative="1">
      <w:start w:val="1"/>
      <w:numFmt w:val="bullet"/>
      <w:lvlText w:val="o"/>
      <w:lvlJc w:val="left"/>
      <w:pPr>
        <w:ind w:left="3680" w:hanging="360"/>
      </w:pPr>
      <w:rPr>
        <w:rFonts w:ascii="Courier New" w:hAnsi="Courier New" w:cs="Courier New" w:hint="default"/>
      </w:rPr>
    </w:lvl>
    <w:lvl w:ilvl="5" w:tplc="2C0A0005" w:tentative="1">
      <w:start w:val="1"/>
      <w:numFmt w:val="bullet"/>
      <w:lvlText w:val=""/>
      <w:lvlJc w:val="left"/>
      <w:pPr>
        <w:ind w:left="4400" w:hanging="360"/>
      </w:pPr>
      <w:rPr>
        <w:rFonts w:ascii="Wingdings" w:hAnsi="Wingdings" w:hint="default"/>
      </w:rPr>
    </w:lvl>
    <w:lvl w:ilvl="6" w:tplc="2C0A0001" w:tentative="1">
      <w:start w:val="1"/>
      <w:numFmt w:val="bullet"/>
      <w:lvlText w:val=""/>
      <w:lvlJc w:val="left"/>
      <w:pPr>
        <w:ind w:left="5120" w:hanging="360"/>
      </w:pPr>
      <w:rPr>
        <w:rFonts w:ascii="Symbol" w:hAnsi="Symbol" w:hint="default"/>
      </w:rPr>
    </w:lvl>
    <w:lvl w:ilvl="7" w:tplc="2C0A0003" w:tentative="1">
      <w:start w:val="1"/>
      <w:numFmt w:val="bullet"/>
      <w:lvlText w:val="o"/>
      <w:lvlJc w:val="left"/>
      <w:pPr>
        <w:ind w:left="5840" w:hanging="360"/>
      </w:pPr>
      <w:rPr>
        <w:rFonts w:ascii="Courier New" w:hAnsi="Courier New" w:cs="Courier New" w:hint="default"/>
      </w:rPr>
    </w:lvl>
    <w:lvl w:ilvl="8" w:tplc="2C0A0005" w:tentative="1">
      <w:start w:val="1"/>
      <w:numFmt w:val="bullet"/>
      <w:lvlText w:val=""/>
      <w:lvlJc w:val="left"/>
      <w:pPr>
        <w:ind w:left="6560" w:hanging="360"/>
      </w:pPr>
      <w:rPr>
        <w:rFonts w:ascii="Wingdings" w:hAnsi="Wingdings" w:hint="default"/>
      </w:rPr>
    </w:lvl>
  </w:abstractNum>
  <w:abstractNum w:abstractNumId="4">
    <w:nsid w:val="26A53967"/>
    <w:multiLevelType w:val="multilevel"/>
    <w:tmpl w:val="D42C1D28"/>
    <w:lvl w:ilvl="0">
      <w:start w:val="1"/>
      <w:numFmt w:val="decimal"/>
      <w:lvlText w:val="%1."/>
      <w:lvlJc w:val="left"/>
      <w:pPr>
        <w:ind w:left="360"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F383295"/>
    <w:multiLevelType w:val="hybridMultilevel"/>
    <w:tmpl w:val="97DC75FA"/>
    <w:lvl w:ilvl="0" w:tplc="7CA89E00">
      <w:start w:val="2"/>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63146C7"/>
    <w:multiLevelType w:val="hybridMultilevel"/>
    <w:tmpl w:val="23CCBC0A"/>
    <w:lvl w:ilvl="0" w:tplc="876C9C20">
      <w:start w:val="1"/>
      <w:numFmt w:val="decimal"/>
      <w:lvlText w:val="(%1)"/>
      <w:lvlJc w:val="left"/>
      <w:pPr>
        <w:ind w:left="1428" w:hanging="360"/>
      </w:pPr>
      <w:rPr>
        <w:rFonts w:hint="default"/>
        <w:sz w:val="14"/>
      </w:r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7">
    <w:nsid w:val="40787CC7"/>
    <w:multiLevelType w:val="singleLevel"/>
    <w:tmpl w:val="8F4CF200"/>
    <w:lvl w:ilvl="0">
      <w:start w:val="1"/>
      <w:numFmt w:val="decimal"/>
      <w:lvlText w:val="%1."/>
      <w:lvlJc w:val="left"/>
      <w:pPr>
        <w:tabs>
          <w:tab w:val="num" w:pos="360"/>
        </w:tabs>
        <w:ind w:left="360" w:hanging="360"/>
      </w:pPr>
      <w:rPr>
        <w:rFonts w:ascii="Times New Roman" w:hAnsi="Times New Roman" w:cs="Times New Roman" w:hint="default"/>
        <w:sz w:val="24"/>
        <w:szCs w:val="24"/>
      </w:rPr>
    </w:lvl>
  </w:abstractNum>
  <w:abstractNum w:abstractNumId="8">
    <w:nsid w:val="57EB29FD"/>
    <w:multiLevelType w:val="multilevel"/>
    <w:tmpl w:val="21E4929A"/>
    <w:lvl w:ilvl="0">
      <w:start w:val="1"/>
      <w:numFmt w:val="decimal"/>
      <w:lvlText w:val="%1."/>
      <w:lvlJc w:val="left"/>
      <w:pPr>
        <w:ind w:left="360" w:hanging="360"/>
      </w:pPr>
    </w:lvl>
    <w:lvl w:ilvl="1">
      <w:start w:val="1"/>
      <w:numFmt w:val="decimal"/>
      <w:lvlText w:val="%1.%2."/>
      <w:lvlJc w:val="left"/>
      <w:pPr>
        <w:ind w:left="792" w:hanging="432"/>
      </w:pPr>
      <w:rPr>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8C36BE7"/>
    <w:multiLevelType w:val="multilevel"/>
    <w:tmpl w:val="D42C1D28"/>
    <w:lvl w:ilvl="0">
      <w:start w:val="1"/>
      <w:numFmt w:val="decimal"/>
      <w:lvlText w:val="%1."/>
      <w:lvlJc w:val="left"/>
      <w:pPr>
        <w:ind w:left="360"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EF76976"/>
    <w:multiLevelType w:val="hybridMultilevel"/>
    <w:tmpl w:val="A9D28726"/>
    <w:lvl w:ilvl="0" w:tplc="7AB84D6C">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38D4BFC"/>
    <w:multiLevelType w:val="hybridMultilevel"/>
    <w:tmpl w:val="877E61BC"/>
    <w:lvl w:ilvl="0" w:tplc="9940A440">
      <w:start w:val="1"/>
      <w:numFmt w:val="lowerLetter"/>
      <w:lvlText w:val="%1)"/>
      <w:lvlJc w:val="left"/>
      <w:pPr>
        <w:tabs>
          <w:tab w:val="num" w:pos="644"/>
        </w:tabs>
        <w:ind w:left="644" w:hanging="360"/>
      </w:pPr>
    </w:lvl>
    <w:lvl w:ilvl="1" w:tplc="FFFFFFFF">
      <w:start w:val="1"/>
      <w:numFmt w:val="none"/>
      <w:lvlText w:val="b)"/>
      <w:lvlJc w:val="left"/>
      <w:pPr>
        <w:tabs>
          <w:tab w:val="num" w:pos="625"/>
        </w:tabs>
        <w:ind w:left="625" w:hanging="396"/>
      </w:pPr>
    </w:lvl>
    <w:lvl w:ilvl="2" w:tplc="FFFFFFFF">
      <w:start w:val="1"/>
      <w:numFmt w:val="lowerRoman"/>
      <w:lvlText w:val="%3."/>
      <w:lvlJc w:val="right"/>
      <w:pPr>
        <w:tabs>
          <w:tab w:val="num" w:pos="1309"/>
        </w:tabs>
        <w:ind w:left="1309" w:hanging="180"/>
      </w:pPr>
    </w:lvl>
    <w:lvl w:ilvl="3" w:tplc="FFFFFFFF">
      <w:start w:val="5"/>
      <w:numFmt w:val="lowerLetter"/>
      <w:lvlText w:val="%4)"/>
      <w:lvlJc w:val="left"/>
      <w:pPr>
        <w:tabs>
          <w:tab w:val="num" w:pos="2029"/>
        </w:tabs>
        <w:ind w:left="2029" w:hanging="360"/>
      </w:pPr>
      <w:rPr>
        <w:b/>
        <w:i w:val="0"/>
      </w:rPr>
    </w:lvl>
    <w:lvl w:ilvl="4" w:tplc="C1AC5C52">
      <w:start w:val="5"/>
      <w:numFmt w:val="decimal"/>
      <w:lvlText w:val="%5."/>
      <w:lvlJc w:val="left"/>
      <w:pPr>
        <w:tabs>
          <w:tab w:val="num" w:pos="2839"/>
        </w:tabs>
        <w:ind w:left="2839" w:hanging="450"/>
      </w:pPr>
    </w:lvl>
    <w:lvl w:ilvl="5" w:tplc="A5400EC2">
      <w:start w:val="1"/>
      <w:numFmt w:val="decimal"/>
      <w:lvlText w:val="(%6)"/>
      <w:lvlJc w:val="left"/>
      <w:pPr>
        <w:tabs>
          <w:tab w:val="num" w:pos="786"/>
        </w:tabs>
        <w:ind w:left="786" w:hanging="360"/>
      </w:pPr>
      <w:rPr>
        <w:rFonts w:ascii="Arial" w:hAnsi="Arial" w:cs="Times New Roman" w:hint="default"/>
        <w:sz w:val="20"/>
        <w:szCs w:val="18"/>
      </w:rPr>
    </w:lvl>
    <w:lvl w:ilvl="6" w:tplc="FFFFFFFF">
      <w:start w:val="1"/>
      <w:numFmt w:val="decimal"/>
      <w:lvlText w:val="%7."/>
      <w:lvlJc w:val="left"/>
      <w:pPr>
        <w:tabs>
          <w:tab w:val="num" w:pos="4189"/>
        </w:tabs>
        <w:ind w:left="4189" w:hanging="360"/>
      </w:pPr>
    </w:lvl>
    <w:lvl w:ilvl="7" w:tplc="FFFFFFFF">
      <w:start w:val="1"/>
      <w:numFmt w:val="lowerLetter"/>
      <w:lvlText w:val="%8."/>
      <w:lvlJc w:val="left"/>
      <w:pPr>
        <w:tabs>
          <w:tab w:val="num" w:pos="4909"/>
        </w:tabs>
        <w:ind w:left="4909" w:hanging="360"/>
      </w:pPr>
    </w:lvl>
    <w:lvl w:ilvl="8" w:tplc="FFFFFFFF">
      <w:start w:val="1"/>
      <w:numFmt w:val="lowerRoman"/>
      <w:lvlText w:val="%9."/>
      <w:lvlJc w:val="right"/>
      <w:pPr>
        <w:tabs>
          <w:tab w:val="num" w:pos="5629"/>
        </w:tabs>
        <w:ind w:left="5629" w:hanging="180"/>
      </w:pPr>
    </w:lvl>
  </w:abstractNum>
  <w:num w:numId="1">
    <w:abstractNumId w:val="7"/>
  </w:num>
  <w:num w:numId="2">
    <w:abstractNumId w:val="4"/>
  </w:num>
  <w:num w:numId="3">
    <w:abstractNumId w:val="10"/>
  </w:num>
  <w:num w:numId="4">
    <w:abstractNumId w:val="3"/>
  </w:num>
  <w:num w:numId="5">
    <w:abstractNumId w:val="2"/>
  </w:num>
  <w:num w:numId="6">
    <w:abstractNumId w:val="0"/>
  </w:num>
  <w:num w:numId="7">
    <w:abstractNumId w:val="9"/>
  </w:num>
  <w:num w:numId="8">
    <w:abstractNumId w:val="8"/>
  </w:num>
  <w:num w:numId="9">
    <w:abstractNumId w:val="1"/>
  </w:num>
  <w:num w:numId="10">
    <w:abstractNumId w:val="11"/>
    <w:lvlOverride w:ilvl="0">
      <w:startOverride w:val="1"/>
    </w:lvlOverride>
    <w:lvlOverride w:ilvl="1">
      <w:startOverride w:val="1"/>
    </w:lvlOverride>
    <w:lvlOverride w:ilvl="2">
      <w:startOverride w:val="1"/>
    </w:lvlOverride>
    <w:lvlOverride w:ilvl="3">
      <w:startOverride w:val="5"/>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markup="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B93"/>
    <w:rsid w:val="000009F9"/>
    <w:rsid w:val="00001C7D"/>
    <w:rsid w:val="00014C5F"/>
    <w:rsid w:val="0003550D"/>
    <w:rsid w:val="00035759"/>
    <w:rsid w:val="00037610"/>
    <w:rsid w:val="00041CDE"/>
    <w:rsid w:val="00043FCA"/>
    <w:rsid w:val="000623EC"/>
    <w:rsid w:val="000640FA"/>
    <w:rsid w:val="00075083"/>
    <w:rsid w:val="000818D8"/>
    <w:rsid w:val="0008658F"/>
    <w:rsid w:val="000A34A4"/>
    <w:rsid w:val="000A3803"/>
    <w:rsid w:val="000B099E"/>
    <w:rsid w:val="000B65CF"/>
    <w:rsid w:val="000D3529"/>
    <w:rsid w:val="000E33C1"/>
    <w:rsid w:val="000E4529"/>
    <w:rsid w:val="000F6560"/>
    <w:rsid w:val="00111F48"/>
    <w:rsid w:val="00115149"/>
    <w:rsid w:val="00120465"/>
    <w:rsid w:val="00127743"/>
    <w:rsid w:val="00132544"/>
    <w:rsid w:val="001377F9"/>
    <w:rsid w:val="00142984"/>
    <w:rsid w:val="001429B7"/>
    <w:rsid w:val="001659EF"/>
    <w:rsid w:val="00184BA7"/>
    <w:rsid w:val="001A7FAC"/>
    <w:rsid w:val="001C1C85"/>
    <w:rsid w:val="001D6514"/>
    <w:rsid w:val="001E6861"/>
    <w:rsid w:val="002022F0"/>
    <w:rsid w:val="00206F4F"/>
    <w:rsid w:val="00236A13"/>
    <w:rsid w:val="0024110D"/>
    <w:rsid w:val="00262DF8"/>
    <w:rsid w:val="00280CB2"/>
    <w:rsid w:val="00294155"/>
    <w:rsid w:val="002A2A23"/>
    <w:rsid w:val="002C288E"/>
    <w:rsid w:val="002C2893"/>
    <w:rsid w:val="002C3A2B"/>
    <w:rsid w:val="002E3996"/>
    <w:rsid w:val="002E4EF5"/>
    <w:rsid w:val="002F5E7A"/>
    <w:rsid w:val="0033393B"/>
    <w:rsid w:val="0033426F"/>
    <w:rsid w:val="00347DE6"/>
    <w:rsid w:val="00353745"/>
    <w:rsid w:val="00356CA2"/>
    <w:rsid w:val="00365A71"/>
    <w:rsid w:val="00375B4E"/>
    <w:rsid w:val="003A74FB"/>
    <w:rsid w:val="003C6E30"/>
    <w:rsid w:val="003D3FEE"/>
    <w:rsid w:val="003F2C5F"/>
    <w:rsid w:val="003F3128"/>
    <w:rsid w:val="00406C54"/>
    <w:rsid w:val="004079B0"/>
    <w:rsid w:val="00410BF5"/>
    <w:rsid w:val="0042150D"/>
    <w:rsid w:val="00430D31"/>
    <w:rsid w:val="004340E7"/>
    <w:rsid w:val="004478CE"/>
    <w:rsid w:val="00462CB4"/>
    <w:rsid w:val="00464D55"/>
    <w:rsid w:val="00480CB1"/>
    <w:rsid w:val="00484124"/>
    <w:rsid w:val="004A1B88"/>
    <w:rsid w:val="004A29E3"/>
    <w:rsid w:val="004B02D2"/>
    <w:rsid w:val="004B4961"/>
    <w:rsid w:val="004B6968"/>
    <w:rsid w:val="004C23F8"/>
    <w:rsid w:val="004D079A"/>
    <w:rsid w:val="004D2183"/>
    <w:rsid w:val="004D3595"/>
    <w:rsid w:val="004D39A0"/>
    <w:rsid w:val="004E29F9"/>
    <w:rsid w:val="00530E28"/>
    <w:rsid w:val="00536879"/>
    <w:rsid w:val="005615E6"/>
    <w:rsid w:val="00564693"/>
    <w:rsid w:val="005703B2"/>
    <w:rsid w:val="005874B2"/>
    <w:rsid w:val="00593CF6"/>
    <w:rsid w:val="005952A4"/>
    <w:rsid w:val="00597762"/>
    <w:rsid w:val="005A502C"/>
    <w:rsid w:val="005B34D7"/>
    <w:rsid w:val="005B3B1C"/>
    <w:rsid w:val="005C5DA0"/>
    <w:rsid w:val="005D2948"/>
    <w:rsid w:val="005E7ED3"/>
    <w:rsid w:val="00610347"/>
    <w:rsid w:val="00617BDE"/>
    <w:rsid w:val="00625A32"/>
    <w:rsid w:val="00644831"/>
    <w:rsid w:val="006513D6"/>
    <w:rsid w:val="006563C1"/>
    <w:rsid w:val="0065692C"/>
    <w:rsid w:val="0066120E"/>
    <w:rsid w:val="00661ADA"/>
    <w:rsid w:val="006658A3"/>
    <w:rsid w:val="00670136"/>
    <w:rsid w:val="00673FB1"/>
    <w:rsid w:val="00682A75"/>
    <w:rsid w:val="00684551"/>
    <w:rsid w:val="0068540B"/>
    <w:rsid w:val="00686ADB"/>
    <w:rsid w:val="00694A3C"/>
    <w:rsid w:val="006A086C"/>
    <w:rsid w:val="006A232D"/>
    <w:rsid w:val="006A316A"/>
    <w:rsid w:val="006A65C4"/>
    <w:rsid w:val="006C292F"/>
    <w:rsid w:val="006D3F31"/>
    <w:rsid w:val="006E393A"/>
    <w:rsid w:val="006F378F"/>
    <w:rsid w:val="00705486"/>
    <w:rsid w:val="00720D5A"/>
    <w:rsid w:val="00735A87"/>
    <w:rsid w:val="00741689"/>
    <w:rsid w:val="00746FAE"/>
    <w:rsid w:val="0075416F"/>
    <w:rsid w:val="00766E5A"/>
    <w:rsid w:val="0077028E"/>
    <w:rsid w:val="00774087"/>
    <w:rsid w:val="00774B93"/>
    <w:rsid w:val="00777A4E"/>
    <w:rsid w:val="0078246E"/>
    <w:rsid w:val="0078465D"/>
    <w:rsid w:val="007846AA"/>
    <w:rsid w:val="00793108"/>
    <w:rsid w:val="007A4ACE"/>
    <w:rsid w:val="007A736F"/>
    <w:rsid w:val="007A77C4"/>
    <w:rsid w:val="007C0FE0"/>
    <w:rsid w:val="007C1BD4"/>
    <w:rsid w:val="007C7255"/>
    <w:rsid w:val="007D0551"/>
    <w:rsid w:val="007D5FF7"/>
    <w:rsid w:val="007D72FB"/>
    <w:rsid w:val="007F6562"/>
    <w:rsid w:val="0080131E"/>
    <w:rsid w:val="008041E1"/>
    <w:rsid w:val="00804816"/>
    <w:rsid w:val="008112A5"/>
    <w:rsid w:val="0082562A"/>
    <w:rsid w:val="00831BB3"/>
    <w:rsid w:val="00836E24"/>
    <w:rsid w:val="00845C28"/>
    <w:rsid w:val="00847FCD"/>
    <w:rsid w:val="0085684C"/>
    <w:rsid w:val="0086139C"/>
    <w:rsid w:val="00867B8C"/>
    <w:rsid w:val="00881E7B"/>
    <w:rsid w:val="00882F4E"/>
    <w:rsid w:val="00883CA0"/>
    <w:rsid w:val="008A08D3"/>
    <w:rsid w:val="008A57BC"/>
    <w:rsid w:val="008D0ACC"/>
    <w:rsid w:val="008D701F"/>
    <w:rsid w:val="008D73C7"/>
    <w:rsid w:val="008F7076"/>
    <w:rsid w:val="008F7748"/>
    <w:rsid w:val="00920827"/>
    <w:rsid w:val="00921142"/>
    <w:rsid w:val="00925476"/>
    <w:rsid w:val="00943CBE"/>
    <w:rsid w:val="00945038"/>
    <w:rsid w:val="00946786"/>
    <w:rsid w:val="009811F4"/>
    <w:rsid w:val="00991F8A"/>
    <w:rsid w:val="00995526"/>
    <w:rsid w:val="00997E36"/>
    <w:rsid w:val="009A1882"/>
    <w:rsid w:val="009A47A0"/>
    <w:rsid w:val="009B6539"/>
    <w:rsid w:val="009B7397"/>
    <w:rsid w:val="009C00F3"/>
    <w:rsid w:val="009E3855"/>
    <w:rsid w:val="009E57F5"/>
    <w:rsid w:val="009E7C8E"/>
    <w:rsid w:val="009F2642"/>
    <w:rsid w:val="009F64D1"/>
    <w:rsid w:val="00A0227C"/>
    <w:rsid w:val="00A14A8D"/>
    <w:rsid w:val="00A55AEB"/>
    <w:rsid w:val="00A637CF"/>
    <w:rsid w:val="00A64A08"/>
    <w:rsid w:val="00A73662"/>
    <w:rsid w:val="00A81283"/>
    <w:rsid w:val="00A92CBD"/>
    <w:rsid w:val="00A97C43"/>
    <w:rsid w:val="00AA1546"/>
    <w:rsid w:val="00AC6F4E"/>
    <w:rsid w:val="00AD0168"/>
    <w:rsid w:val="00AD7F65"/>
    <w:rsid w:val="00AE3E7F"/>
    <w:rsid w:val="00B22CBE"/>
    <w:rsid w:val="00B273A4"/>
    <w:rsid w:val="00B36990"/>
    <w:rsid w:val="00B4740A"/>
    <w:rsid w:val="00B66FE5"/>
    <w:rsid w:val="00B702F8"/>
    <w:rsid w:val="00B70B4F"/>
    <w:rsid w:val="00B71471"/>
    <w:rsid w:val="00B9098B"/>
    <w:rsid w:val="00B933E3"/>
    <w:rsid w:val="00B95AAB"/>
    <w:rsid w:val="00BB6787"/>
    <w:rsid w:val="00BB7857"/>
    <w:rsid w:val="00BC2BEF"/>
    <w:rsid w:val="00BC63AE"/>
    <w:rsid w:val="00BF6F90"/>
    <w:rsid w:val="00C130A5"/>
    <w:rsid w:val="00C2679D"/>
    <w:rsid w:val="00C27E57"/>
    <w:rsid w:val="00C35076"/>
    <w:rsid w:val="00C55B87"/>
    <w:rsid w:val="00C75E68"/>
    <w:rsid w:val="00C92BEF"/>
    <w:rsid w:val="00CA0E00"/>
    <w:rsid w:val="00CB5E27"/>
    <w:rsid w:val="00CC0579"/>
    <w:rsid w:val="00CD65B7"/>
    <w:rsid w:val="00CE312C"/>
    <w:rsid w:val="00D129F5"/>
    <w:rsid w:val="00D1453C"/>
    <w:rsid w:val="00D23159"/>
    <w:rsid w:val="00D33152"/>
    <w:rsid w:val="00D465DE"/>
    <w:rsid w:val="00D612E5"/>
    <w:rsid w:val="00D67A38"/>
    <w:rsid w:val="00D8409D"/>
    <w:rsid w:val="00D9234F"/>
    <w:rsid w:val="00D9355B"/>
    <w:rsid w:val="00D935D7"/>
    <w:rsid w:val="00DB01C2"/>
    <w:rsid w:val="00DB1868"/>
    <w:rsid w:val="00DB1F9B"/>
    <w:rsid w:val="00DB4D3A"/>
    <w:rsid w:val="00DD2C5A"/>
    <w:rsid w:val="00DF15C0"/>
    <w:rsid w:val="00DF4E89"/>
    <w:rsid w:val="00DF533B"/>
    <w:rsid w:val="00E06C24"/>
    <w:rsid w:val="00E2367C"/>
    <w:rsid w:val="00E26218"/>
    <w:rsid w:val="00E333C5"/>
    <w:rsid w:val="00E64CA6"/>
    <w:rsid w:val="00E66B30"/>
    <w:rsid w:val="00E75DA9"/>
    <w:rsid w:val="00E91B90"/>
    <w:rsid w:val="00EB120C"/>
    <w:rsid w:val="00EB472B"/>
    <w:rsid w:val="00EF4938"/>
    <w:rsid w:val="00EF5EA3"/>
    <w:rsid w:val="00F040DA"/>
    <w:rsid w:val="00F13096"/>
    <w:rsid w:val="00F219F9"/>
    <w:rsid w:val="00F221D7"/>
    <w:rsid w:val="00F32733"/>
    <w:rsid w:val="00F3339D"/>
    <w:rsid w:val="00F43390"/>
    <w:rsid w:val="00F456BE"/>
    <w:rsid w:val="00F87583"/>
    <w:rsid w:val="00FA52A9"/>
    <w:rsid w:val="00FB547B"/>
    <w:rsid w:val="00FB5D8B"/>
    <w:rsid w:val="00FF63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93"/>
    <w:pPr>
      <w:spacing w:after="0" w:line="240" w:lineRule="auto"/>
    </w:pPr>
    <w:rPr>
      <w:rFonts w:ascii="Times New Roman" w:eastAsia="Times New Roman" w:hAnsi="Times New Roman" w:cs="Times New Roman"/>
      <w:szCs w:val="20"/>
      <w:lang w:val="es-ES_tradnl" w:eastAsia="es-ES"/>
    </w:rPr>
  </w:style>
  <w:style w:type="paragraph" w:styleId="Ttulo1">
    <w:name w:val="heading 1"/>
    <w:basedOn w:val="Normal"/>
    <w:next w:val="Normal"/>
    <w:link w:val="Ttulo1Car"/>
    <w:qFormat/>
    <w:rsid w:val="00774B93"/>
    <w:pPr>
      <w:keepNext/>
      <w:spacing w:before="240" w:after="60"/>
      <w:jc w:val="both"/>
      <w:outlineLvl w:val="0"/>
    </w:pPr>
    <w:rPr>
      <w:rFonts w:ascii="Arial" w:hAnsi="Arial"/>
      <w:b/>
      <w:kern w:val="28"/>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74B93"/>
    <w:rPr>
      <w:rFonts w:ascii="Arial" w:eastAsia="Times New Roman" w:hAnsi="Arial" w:cs="Times New Roman"/>
      <w:b/>
      <w:kern w:val="28"/>
      <w:sz w:val="28"/>
      <w:szCs w:val="20"/>
      <w:lang w:val="es-ES_tradnl" w:eastAsia="es-ES"/>
    </w:rPr>
  </w:style>
  <w:style w:type="paragraph" w:styleId="Textoindependiente">
    <w:name w:val="Body Text"/>
    <w:basedOn w:val="Normal"/>
    <w:link w:val="TextoindependienteCar"/>
    <w:semiHidden/>
    <w:rsid w:val="00774B93"/>
    <w:pPr>
      <w:spacing w:after="120"/>
    </w:pPr>
  </w:style>
  <w:style w:type="character" w:customStyle="1" w:styleId="TextoindependienteCar">
    <w:name w:val="Texto independiente Car"/>
    <w:basedOn w:val="Fuentedeprrafopredeter"/>
    <w:link w:val="Textoindependiente"/>
    <w:semiHidden/>
    <w:rsid w:val="00774B93"/>
    <w:rPr>
      <w:rFonts w:ascii="Times New Roman" w:eastAsia="Times New Roman" w:hAnsi="Times New Roman" w:cs="Times New Roman"/>
      <w:szCs w:val="20"/>
      <w:lang w:val="es-ES_tradnl" w:eastAsia="es-ES"/>
    </w:rPr>
  </w:style>
  <w:style w:type="paragraph" w:styleId="Textoindependiente3">
    <w:name w:val="Body Text 3"/>
    <w:basedOn w:val="Normal"/>
    <w:link w:val="Textoindependiente3Car"/>
    <w:semiHidden/>
    <w:rsid w:val="00774B93"/>
    <w:pPr>
      <w:jc w:val="both"/>
    </w:pPr>
    <w:rPr>
      <w:sz w:val="24"/>
    </w:rPr>
  </w:style>
  <w:style w:type="character" w:customStyle="1" w:styleId="Textoindependiente3Car">
    <w:name w:val="Texto independiente 3 Car"/>
    <w:basedOn w:val="Fuentedeprrafopredeter"/>
    <w:link w:val="Textoindependiente3"/>
    <w:semiHidden/>
    <w:rsid w:val="00774B93"/>
    <w:rPr>
      <w:rFonts w:ascii="Times New Roman" w:eastAsia="Times New Roman" w:hAnsi="Times New Roman" w:cs="Times New Roman"/>
      <w:sz w:val="24"/>
      <w:szCs w:val="20"/>
      <w:lang w:val="es-ES_tradnl" w:eastAsia="es-ES"/>
    </w:rPr>
  </w:style>
  <w:style w:type="paragraph" w:styleId="Sangra2detindependiente">
    <w:name w:val="Body Text Indent 2"/>
    <w:basedOn w:val="Normal"/>
    <w:link w:val="Sangra2detindependienteCar"/>
    <w:semiHidden/>
    <w:rsid w:val="00774B93"/>
    <w:pPr>
      <w:ind w:left="1410" w:hanging="1410"/>
      <w:jc w:val="both"/>
    </w:pPr>
    <w:rPr>
      <w:rFonts w:ascii="Arial" w:hAnsi="Arial"/>
      <w:sz w:val="24"/>
      <w:u w:val="single"/>
      <w:lang w:val="es-ES"/>
    </w:rPr>
  </w:style>
  <w:style w:type="character" w:customStyle="1" w:styleId="Sangra2detindependienteCar">
    <w:name w:val="Sangría 2 de t. independiente Car"/>
    <w:basedOn w:val="Fuentedeprrafopredeter"/>
    <w:link w:val="Sangra2detindependiente"/>
    <w:semiHidden/>
    <w:rsid w:val="00774B93"/>
    <w:rPr>
      <w:rFonts w:ascii="Arial" w:eastAsia="Times New Roman" w:hAnsi="Arial" w:cs="Times New Roman"/>
      <w:sz w:val="24"/>
      <w:szCs w:val="20"/>
      <w:u w:val="single"/>
      <w:lang w:val="es-ES" w:eastAsia="es-ES"/>
    </w:rPr>
  </w:style>
  <w:style w:type="paragraph" w:styleId="NormalWeb">
    <w:name w:val="Normal (Web)"/>
    <w:basedOn w:val="Normal"/>
    <w:semiHidden/>
    <w:rsid w:val="00774B93"/>
    <w:pPr>
      <w:spacing w:before="100" w:beforeAutospacing="1" w:after="100" w:afterAutospacing="1"/>
    </w:pPr>
    <w:rPr>
      <w:sz w:val="24"/>
      <w:szCs w:val="24"/>
      <w:lang w:val="es-ES"/>
    </w:rPr>
  </w:style>
  <w:style w:type="paragraph" w:customStyle="1" w:styleId="Textonota">
    <w:name w:val="Texto nota"/>
    <w:basedOn w:val="Normal"/>
    <w:link w:val="TextonotaChar"/>
    <w:rsid w:val="00774B93"/>
    <w:pPr>
      <w:ind w:left="432"/>
    </w:pPr>
    <w:rPr>
      <w:rFonts w:ascii="Arial" w:hAnsi="Arial"/>
      <w:sz w:val="19"/>
      <w:lang w:eastAsia="en-US"/>
    </w:rPr>
  </w:style>
  <w:style w:type="paragraph" w:styleId="Prrafodelista">
    <w:name w:val="List Paragraph"/>
    <w:basedOn w:val="Normal"/>
    <w:uiPriority w:val="34"/>
    <w:qFormat/>
    <w:rsid w:val="00774B93"/>
    <w:pPr>
      <w:ind w:left="708"/>
    </w:pPr>
  </w:style>
  <w:style w:type="table" w:styleId="Tablaconcuadrcula">
    <w:name w:val="Table Grid"/>
    <w:basedOn w:val="Tablanormal"/>
    <w:uiPriority w:val="59"/>
    <w:rsid w:val="00774B93"/>
    <w:pPr>
      <w:spacing w:after="0" w:line="240" w:lineRule="exact"/>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A3803"/>
    <w:pPr>
      <w:tabs>
        <w:tab w:val="center" w:pos="4419"/>
        <w:tab w:val="right" w:pos="8838"/>
      </w:tabs>
    </w:pPr>
  </w:style>
  <w:style w:type="character" w:customStyle="1" w:styleId="EncabezadoCar">
    <w:name w:val="Encabezado Car"/>
    <w:basedOn w:val="Fuentedeprrafopredeter"/>
    <w:link w:val="Encabezado"/>
    <w:uiPriority w:val="99"/>
    <w:rsid w:val="000A3803"/>
    <w:rPr>
      <w:rFonts w:ascii="Times New Roman" w:eastAsia="Times New Roman" w:hAnsi="Times New Roman" w:cs="Times New Roman"/>
      <w:szCs w:val="20"/>
      <w:lang w:val="es-ES_tradnl" w:eastAsia="es-ES"/>
    </w:rPr>
  </w:style>
  <w:style w:type="paragraph" w:styleId="Piedepgina">
    <w:name w:val="footer"/>
    <w:basedOn w:val="Normal"/>
    <w:link w:val="PiedepginaCar"/>
    <w:uiPriority w:val="99"/>
    <w:unhideWhenUsed/>
    <w:rsid w:val="000A3803"/>
    <w:pPr>
      <w:tabs>
        <w:tab w:val="center" w:pos="4419"/>
        <w:tab w:val="right" w:pos="8838"/>
      </w:tabs>
    </w:pPr>
  </w:style>
  <w:style w:type="character" w:customStyle="1" w:styleId="PiedepginaCar">
    <w:name w:val="Pie de página Car"/>
    <w:basedOn w:val="Fuentedeprrafopredeter"/>
    <w:link w:val="Piedepgina"/>
    <w:uiPriority w:val="99"/>
    <w:rsid w:val="000A3803"/>
    <w:rPr>
      <w:rFonts w:ascii="Times New Roman" w:eastAsia="Times New Roman" w:hAnsi="Times New Roman" w:cs="Times New Roman"/>
      <w:szCs w:val="20"/>
      <w:lang w:val="es-ES_tradnl" w:eastAsia="es-ES"/>
    </w:rPr>
  </w:style>
  <w:style w:type="paragraph" w:styleId="Textodeglobo">
    <w:name w:val="Balloon Text"/>
    <w:basedOn w:val="Normal"/>
    <w:link w:val="TextodegloboCar"/>
    <w:uiPriority w:val="99"/>
    <w:semiHidden/>
    <w:unhideWhenUsed/>
    <w:rsid w:val="000A38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A3803"/>
    <w:rPr>
      <w:rFonts w:ascii="Tahoma" w:eastAsia="Times New Roman" w:hAnsi="Tahoma" w:cs="Tahoma"/>
      <w:sz w:val="16"/>
      <w:szCs w:val="16"/>
      <w:lang w:val="es-ES_tradnl" w:eastAsia="es-ES"/>
    </w:rPr>
  </w:style>
  <w:style w:type="paragraph" w:customStyle="1" w:styleId="Texto">
    <w:name w:val="Texto"/>
    <w:basedOn w:val="Normal"/>
    <w:link w:val="TextoChar"/>
    <w:qFormat/>
    <w:rsid w:val="00353745"/>
    <w:rPr>
      <w:rFonts w:ascii="Arial" w:hAnsi="Arial"/>
      <w:sz w:val="19"/>
      <w:lang w:val="es-AR" w:eastAsia="en-US"/>
    </w:rPr>
  </w:style>
  <w:style w:type="character" w:customStyle="1" w:styleId="TextoChar">
    <w:name w:val="Texto Char"/>
    <w:link w:val="Texto"/>
    <w:rsid w:val="00353745"/>
    <w:rPr>
      <w:rFonts w:ascii="Arial" w:eastAsia="Times New Roman" w:hAnsi="Arial" w:cs="Times New Roman"/>
      <w:sz w:val="19"/>
      <w:szCs w:val="20"/>
    </w:rPr>
  </w:style>
  <w:style w:type="character" w:customStyle="1" w:styleId="TextonotaChar">
    <w:name w:val="Texto nota Char"/>
    <w:link w:val="Textonota"/>
    <w:rsid w:val="00720D5A"/>
    <w:rPr>
      <w:rFonts w:ascii="Arial" w:eastAsia="Times New Roman" w:hAnsi="Arial" w:cs="Times New Roman"/>
      <w:sz w:val="19"/>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93"/>
    <w:pPr>
      <w:spacing w:after="0" w:line="240" w:lineRule="auto"/>
    </w:pPr>
    <w:rPr>
      <w:rFonts w:ascii="Times New Roman" w:eastAsia="Times New Roman" w:hAnsi="Times New Roman" w:cs="Times New Roman"/>
      <w:szCs w:val="20"/>
      <w:lang w:val="es-ES_tradnl" w:eastAsia="es-ES"/>
    </w:rPr>
  </w:style>
  <w:style w:type="paragraph" w:styleId="Ttulo1">
    <w:name w:val="heading 1"/>
    <w:basedOn w:val="Normal"/>
    <w:next w:val="Normal"/>
    <w:link w:val="Ttulo1Car"/>
    <w:qFormat/>
    <w:rsid w:val="00774B93"/>
    <w:pPr>
      <w:keepNext/>
      <w:spacing w:before="240" w:after="60"/>
      <w:jc w:val="both"/>
      <w:outlineLvl w:val="0"/>
    </w:pPr>
    <w:rPr>
      <w:rFonts w:ascii="Arial" w:hAnsi="Arial"/>
      <w:b/>
      <w:kern w:val="28"/>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74B93"/>
    <w:rPr>
      <w:rFonts w:ascii="Arial" w:eastAsia="Times New Roman" w:hAnsi="Arial" w:cs="Times New Roman"/>
      <w:b/>
      <w:kern w:val="28"/>
      <w:sz w:val="28"/>
      <w:szCs w:val="20"/>
      <w:lang w:val="es-ES_tradnl" w:eastAsia="es-ES"/>
    </w:rPr>
  </w:style>
  <w:style w:type="paragraph" w:styleId="Textoindependiente">
    <w:name w:val="Body Text"/>
    <w:basedOn w:val="Normal"/>
    <w:link w:val="TextoindependienteCar"/>
    <w:semiHidden/>
    <w:rsid w:val="00774B93"/>
    <w:pPr>
      <w:spacing w:after="120"/>
    </w:pPr>
  </w:style>
  <w:style w:type="character" w:customStyle="1" w:styleId="TextoindependienteCar">
    <w:name w:val="Texto independiente Car"/>
    <w:basedOn w:val="Fuentedeprrafopredeter"/>
    <w:link w:val="Textoindependiente"/>
    <w:semiHidden/>
    <w:rsid w:val="00774B93"/>
    <w:rPr>
      <w:rFonts w:ascii="Times New Roman" w:eastAsia="Times New Roman" w:hAnsi="Times New Roman" w:cs="Times New Roman"/>
      <w:szCs w:val="20"/>
      <w:lang w:val="es-ES_tradnl" w:eastAsia="es-ES"/>
    </w:rPr>
  </w:style>
  <w:style w:type="paragraph" w:styleId="Textoindependiente3">
    <w:name w:val="Body Text 3"/>
    <w:basedOn w:val="Normal"/>
    <w:link w:val="Textoindependiente3Car"/>
    <w:semiHidden/>
    <w:rsid w:val="00774B93"/>
    <w:pPr>
      <w:jc w:val="both"/>
    </w:pPr>
    <w:rPr>
      <w:sz w:val="24"/>
    </w:rPr>
  </w:style>
  <w:style w:type="character" w:customStyle="1" w:styleId="Textoindependiente3Car">
    <w:name w:val="Texto independiente 3 Car"/>
    <w:basedOn w:val="Fuentedeprrafopredeter"/>
    <w:link w:val="Textoindependiente3"/>
    <w:semiHidden/>
    <w:rsid w:val="00774B93"/>
    <w:rPr>
      <w:rFonts w:ascii="Times New Roman" w:eastAsia="Times New Roman" w:hAnsi="Times New Roman" w:cs="Times New Roman"/>
      <w:sz w:val="24"/>
      <w:szCs w:val="20"/>
      <w:lang w:val="es-ES_tradnl" w:eastAsia="es-ES"/>
    </w:rPr>
  </w:style>
  <w:style w:type="paragraph" w:styleId="Sangra2detindependiente">
    <w:name w:val="Body Text Indent 2"/>
    <w:basedOn w:val="Normal"/>
    <w:link w:val="Sangra2detindependienteCar"/>
    <w:semiHidden/>
    <w:rsid w:val="00774B93"/>
    <w:pPr>
      <w:ind w:left="1410" w:hanging="1410"/>
      <w:jc w:val="both"/>
    </w:pPr>
    <w:rPr>
      <w:rFonts w:ascii="Arial" w:hAnsi="Arial"/>
      <w:sz w:val="24"/>
      <w:u w:val="single"/>
      <w:lang w:val="es-ES"/>
    </w:rPr>
  </w:style>
  <w:style w:type="character" w:customStyle="1" w:styleId="Sangra2detindependienteCar">
    <w:name w:val="Sangría 2 de t. independiente Car"/>
    <w:basedOn w:val="Fuentedeprrafopredeter"/>
    <w:link w:val="Sangra2detindependiente"/>
    <w:semiHidden/>
    <w:rsid w:val="00774B93"/>
    <w:rPr>
      <w:rFonts w:ascii="Arial" w:eastAsia="Times New Roman" w:hAnsi="Arial" w:cs="Times New Roman"/>
      <w:sz w:val="24"/>
      <w:szCs w:val="20"/>
      <w:u w:val="single"/>
      <w:lang w:val="es-ES" w:eastAsia="es-ES"/>
    </w:rPr>
  </w:style>
  <w:style w:type="paragraph" w:styleId="NormalWeb">
    <w:name w:val="Normal (Web)"/>
    <w:basedOn w:val="Normal"/>
    <w:semiHidden/>
    <w:rsid w:val="00774B93"/>
    <w:pPr>
      <w:spacing w:before="100" w:beforeAutospacing="1" w:after="100" w:afterAutospacing="1"/>
    </w:pPr>
    <w:rPr>
      <w:sz w:val="24"/>
      <w:szCs w:val="24"/>
      <w:lang w:val="es-ES"/>
    </w:rPr>
  </w:style>
  <w:style w:type="paragraph" w:customStyle="1" w:styleId="Textonota">
    <w:name w:val="Texto nota"/>
    <w:basedOn w:val="Normal"/>
    <w:link w:val="TextonotaChar"/>
    <w:rsid w:val="00774B93"/>
    <w:pPr>
      <w:ind w:left="432"/>
    </w:pPr>
    <w:rPr>
      <w:rFonts w:ascii="Arial" w:hAnsi="Arial"/>
      <w:sz w:val="19"/>
      <w:lang w:eastAsia="en-US"/>
    </w:rPr>
  </w:style>
  <w:style w:type="paragraph" w:styleId="Prrafodelista">
    <w:name w:val="List Paragraph"/>
    <w:basedOn w:val="Normal"/>
    <w:uiPriority w:val="34"/>
    <w:qFormat/>
    <w:rsid w:val="00774B93"/>
    <w:pPr>
      <w:ind w:left="708"/>
    </w:pPr>
  </w:style>
  <w:style w:type="table" w:styleId="Tablaconcuadrcula">
    <w:name w:val="Table Grid"/>
    <w:basedOn w:val="Tablanormal"/>
    <w:uiPriority w:val="59"/>
    <w:rsid w:val="00774B93"/>
    <w:pPr>
      <w:spacing w:after="0" w:line="240" w:lineRule="exact"/>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A3803"/>
    <w:pPr>
      <w:tabs>
        <w:tab w:val="center" w:pos="4419"/>
        <w:tab w:val="right" w:pos="8838"/>
      </w:tabs>
    </w:pPr>
  </w:style>
  <w:style w:type="character" w:customStyle="1" w:styleId="EncabezadoCar">
    <w:name w:val="Encabezado Car"/>
    <w:basedOn w:val="Fuentedeprrafopredeter"/>
    <w:link w:val="Encabezado"/>
    <w:uiPriority w:val="99"/>
    <w:rsid w:val="000A3803"/>
    <w:rPr>
      <w:rFonts w:ascii="Times New Roman" w:eastAsia="Times New Roman" w:hAnsi="Times New Roman" w:cs="Times New Roman"/>
      <w:szCs w:val="20"/>
      <w:lang w:val="es-ES_tradnl" w:eastAsia="es-ES"/>
    </w:rPr>
  </w:style>
  <w:style w:type="paragraph" w:styleId="Piedepgina">
    <w:name w:val="footer"/>
    <w:basedOn w:val="Normal"/>
    <w:link w:val="PiedepginaCar"/>
    <w:uiPriority w:val="99"/>
    <w:unhideWhenUsed/>
    <w:rsid w:val="000A3803"/>
    <w:pPr>
      <w:tabs>
        <w:tab w:val="center" w:pos="4419"/>
        <w:tab w:val="right" w:pos="8838"/>
      </w:tabs>
    </w:pPr>
  </w:style>
  <w:style w:type="character" w:customStyle="1" w:styleId="PiedepginaCar">
    <w:name w:val="Pie de página Car"/>
    <w:basedOn w:val="Fuentedeprrafopredeter"/>
    <w:link w:val="Piedepgina"/>
    <w:uiPriority w:val="99"/>
    <w:rsid w:val="000A3803"/>
    <w:rPr>
      <w:rFonts w:ascii="Times New Roman" w:eastAsia="Times New Roman" w:hAnsi="Times New Roman" w:cs="Times New Roman"/>
      <w:szCs w:val="20"/>
      <w:lang w:val="es-ES_tradnl" w:eastAsia="es-ES"/>
    </w:rPr>
  </w:style>
  <w:style w:type="paragraph" w:styleId="Textodeglobo">
    <w:name w:val="Balloon Text"/>
    <w:basedOn w:val="Normal"/>
    <w:link w:val="TextodegloboCar"/>
    <w:uiPriority w:val="99"/>
    <w:semiHidden/>
    <w:unhideWhenUsed/>
    <w:rsid w:val="000A38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A3803"/>
    <w:rPr>
      <w:rFonts w:ascii="Tahoma" w:eastAsia="Times New Roman" w:hAnsi="Tahoma" w:cs="Tahoma"/>
      <w:sz w:val="16"/>
      <w:szCs w:val="16"/>
      <w:lang w:val="es-ES_tradnl" w:eastAsia="es-ES"/>
    </w:rPr>
  </w:style>
  <w:style w:type="paragraph" w:customStyle="1" w:styleId="Texto">
    <w:name w:val="Texto"/>
    <w:basedOn w:val="Normal"/>
    <w:link w:val="TextoChar"/>
    <w:qFormat/>
    <w:rsid w:val="00353745"/>
    <w:rPr>
      <w:rFonts w:ascii="Arial" w:hAnsi="Arial"/>
      <w:sz w:val="19"/>
      <w:lang w:val="es-AR" w:eastAsia="en-US"/>
    </w:rPr>
  </w:style>
  <w:style w:type="character" w:customStyle="1" w:styleId="TextoChar">
    <w:name w:val="Texto Char"/>
    <w:link w:val="Texto"/>
    <w:rsid w:val="00353745"/>
    <w:rPr>
      <w:rFonts w:ascii="Arial" w:eastAsia="Times New Roman" w:hAnsi="Arial" w:cs="Times New Roman"/>
      <w:sz w:val="19"/>
      <w:szCs w:val="20"/>
    </w:rPr>
  </w:style>
  <w:style w:type="character" w:customStyle="1" w:styleId="TextonotaChar">
    <w:name w:val="Texto nota Char"/>
    <w:link w:val="Textonota"/>
    <w:rsid w:val="00720D5A"/>
    <w:rPr>
      <w:rFonts w:ascii="Arial" w:eastAsia="Times New Roman" w:hAnsi="Arial" w:cs="Times New Roman"/>
      <w:sz w:val="19"/>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40203">
      <w:bodyDiv w:val="1"/>
      <w:marLeft w:val="0"/>
      <w:marRight w:val="0"/>
      <w:marTop w:val="0"/>
      <w:marBottom w:val="0"/>
      <w:divBdr>
        <w:top w:val="none" w:sz="0" w:space="0" w:color="auto"/>
        <w:left w:val="none" w:sz="0" w:space="0" w:color="auto"/>
        <w:bottom w:val="none" w:sz="0" w:space="0" w:color="auto"/>
        <w:right w:val="none" w:sz="0" w:space="0" w:color="auto"/>
      </w:divBdr>
    </w:div>
    <w:div w:id="250817391">
      <w:bodyDiv w:val="1"/>
      <w:marLeft w:val="0"/>
      <w:marRight w:val="0"/>
      <w:marTop w:val="0"/>
      <w:marBottom w:val="0"/>
      <w:divBdr>
        <w:top w:val="none" w:sz="0" w:space="0" w:color="auto"/>
        <w:left w:val="none" w:sz="0" w:space="0" w:color="auto"/>
        <w:bottom w:val="none" w:sz="0" w:space="0" w:color="auto"/>
        <w:right w:val="none" w:sz="0" w:space="0" w:color="auto"/>
      </w:divBdr>
    </w:div>
    <w:div w:id="399791126">
      <w:bodyDiv w:val="1"/>
      <w:marLeft w:val="0"/>
      <w:marRight w:val="0"/>
      <w:marTop w:val="0"/>
      <w:marBottom w:val="0"/>
      <w:divBdr>
        <w:top w:val="none" w:sz="0" w:space="0" w:color="auto"/>
        <w:left w:val="none" w:sz="0" w:space="0" w:color="auto"/>
        <w:bottom w:val="none" w:sz="0" w:space="0" w:color="auto"/>
        <w:right w:val="none" w:sz="0" w:space="0" w:color="auto"/>
      </w:divBdr>
    </w:div>
    <w:div w:id="731847659">
      <w:bodyDiv w:val="1"/>
      <w:marLeft w:val="0"/>
      <w:marRight w:val="0"/>
      <w:marTop w:val="0"/>
      <w:marBottom w:val="0"/>
      <w:divBdr>
        <w:top w:val="none" w:sz="0" w:space="0" w:color="auto"/>
        <w:left w:val="none" w:sz="0" w:space="0" w:color="auto"/>
        <w:bottom w:val="none" w:sz="0" w:space="0" w:color="auto"/>
        <w:right w:val="none" w:sz="0" w:space="0" w:color="auto"/>
      </w:divBdr>
    </w:div>
    <w:div w:id="739716542">
      <w:bodyDiv w:val="1"/>
      <w:marLeft w:val="0"/>
      <w:marRight w:val="0"/>
      <w:marTop w:val="0"/>
      <w:marBottom w:val="0"/>
      <w:divBdr>
        <w:top w:val="none" w:sz="0" w:space="0" w:color="auto"/>
        <w:left w:val="none" w:sz="0" w:space="0" w:color="auto"/>
        <w:bottom w:val="none" w:sz="0" w:space="0" w:color="auto"/>
        <w:right w:val="none" w:sz="0" w:space="0" w:color="auto"/>
      </w:divBdr>
    </w:div>
    <w:div w:id="1099643169">
      <w:bodyDiv w:val="1"/>
      <w:marLeft w:val="0"/>
      <w:marRight w:val="0"/>
      <w:marTop w:val="0"/>
      <w:marBottom w:val="0"/>
      <w:divBdr>
        <w:top w:val="none" w:sz="0" w:space="0" w:color="auto"/>
        <w:left w:val="none" w:sz="0" w:space="0" w:color="auto"/>
        <w:bottom w:val="none" w:sz="0" w:space="0" w:color="auto"/>
        <w:right w:val="none" w:sz="0" w:space="0" w:color="auto"/>
      </w:divBdr>
    </w:div>
    <w:div w:id="1112089470">
      <w:bodyDiv w:val="1"/>
      <w:marLeft w:val="0"/>
      <w:marRight w:val="0"/>
      <w:marTop w:val="0"/>
      <w:marBottom w:val="0"/>
      <w:divBdr>
        <w:top w:val="none" w:sz="0" w:space="0" w:color="auto"/>
        <w:left w:val="none" w:sz="0" w:space="0" w:color="auto"/>
        <w:bottom w:val="none" w:sz="0" w:space="0" w:color="auto"/>
        <w:right w:val="none" w:sz="0" w:space="0" w:color="auto"/>
      </w:divBdr>
    </w:div>
    <w:div w:id="1233662958">
      <w:bodyDiv w:val="1"/>
      <w:marLeft w:val="0"/>
      <w:marRight w:val="0"/>
      <w:marTop w:val="0"/>
      <w:marBottom w:val="0"/>
      <w:divBdr>
        <w:top w:val="none" w:sz="0" w:space="0" w:color="auto"/>
        <w:left w:val="none" w:sz="0" w:space="0" w:color="auto"/>
        <w:bottom w:val="none" w:sz="0" w:space="0" w:color="auto"/>
        <w:right w:val="none" w:sz="0" w:space="0" w:color="auto"/>
      </w:divBdr>
    </w:div>
    <w:div w:id="1497113799">
      <w:bodyDiv w:val="1"/>
      <w:marLeft w:val="0"/>
      <w:marRight w:val="0"/>
      <w:marTop w:val="0"/>
      <w:marBottom w:val="0"/>
      <w:divBdr>
        <w:top w:val="none" w:sz="0" w:space="0" w:color="auto"/>
        <w:left w:val="none" w:sz="0" w:space="0" w:color="auto"/>
        <w:bottom w:val="none" w:sz="0" w:space="0" w:color="auto"/>
        <w:right w:val="none" w:sz="0" w:space="0" w:color="auto"/>
      </w:divBdr>
    </w:div>
    <w:div w:id="1678268679">
      <w:bodyDiv w:val="1"/>
      <w:marLeft w:val="0"/>
      <w:marRight w:val="0"/>
      <w:marTop w:val="0"/>
      <w:marBottom w:val="0"/>
      <w:divBdr>
        <w:top w:val="none" w:sz="0" w:space="0" w:color="auto"/>
        <w:left w:val="none" w:sz="0" w:space="0" w:color="auto"/>
        <w:bottom w:val="none" w:sz="0" w:space="0" w:color="auto"/>
        <w:right w:val="none" w:sz="0" w:space="0" w:color="auto"/>
      </w:divBdr>
    </w:div>
    <w:div w:id="209789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12</Pages>
  <Words>4290</Words>
  <Characters>23601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Banco CMF S.A.</Company>
  <LinksUpToDate>false</LinksUpToDate>
  <CharactersWithSpaces>27836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Romina Murias</dc:creator>
  <cp:lastModifiedBy>Cintia Soledad Chaves</cp:lastModifiedBy>
  <cp:revision>15</cp:revision>
  <cp:lastPrinted>2020-04-03T16:13:00Z</cp:lastPrinted>
  <dcterms:created xsi:type="dcterms:W3CDTF">2021-03-17T14:19:00Z</dcterms:created>
  <dcterms:modified xsi:type="dcterms:W3CDTF">2021-03-18T15:49:00Z</dcterms:modified>
</cp:coreProperties>
</file>