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E70" w:rsidRPr="005A785D" w:rsidRDefault="00780E70" w:rsidP="000B475F">
      <w:pPr>
        <w:spacing w:line="360" w:lineRule="auto"/>
        <w:ind w:left="708" w:hanging="708"/>
        <w:jc w:val="both"/>
        <w:rPr>
          <w:lang w:val="es-AR"/>
        </w:rPr>
      </w:pPr>
      <w:bookmarkStart w:id="0" w:name="_GoBack"/>
      <w:bookmarkEnd w:id="0"/>
    </w:p>
    <w:p w:rsidR="00C4680B" w:rsidRPr="005A785D" w:rsidRDefault="00C4680B" w:rsidP="000B475F">
      <w:pPr>
        <w:spacing w:line="360" w:lineRule="auto"/>
        <w:jc w:val="both"/>
        <w:rPr>
          <w:lang w:val="es-AR"/>
        </w:rPr>
      </w:pPr>
    </w:p>
    <w:p w:rsidR="00C4680B" w:rsidRPr="005A785D" w:rsidRDefault="009E5EA3" w:rsidP="000B475F">
      <w:pPr>
        <w:spacing w:line="360" w:lineRule="auto"/>
        <w:jc w:val="both"/>
        <w:rPr>
          <w:lang w:val="es-AR"/>
        </w:rPr>
      </w:pPr>
      <w:r w:rsidRPr="005A785D">
        <w:rPr>
          <w:lang w:val="es-AR"/>
        </w:rPr>
        <w:t xml:space="preserve"> </w:t>
      </w:r>
    </w:p>
    <w:p w:rsidR="007E4471" w:rsidRPr="005A785D" w:rsidRDefault="007E4471" w:rsidP="000B475F">
      <w:pPr>
        <w:pStyle w:val="Encabezado"/>
        <w:jc w:val="center"/>
        <w:rPr>
          <w:lang w:val="es-AR"/>
        </w:rPr>
      </w:pPr>
    </w:p>
    <w:p w:rsidR="00C4680B" w:rsidRPr="005A785D" w:rsidRDefault="00C4680B" w:rsidP="000B475F">
      <w:pPr>
        <w:spacing w:line="360" w:lineRule="auto"/>
        <w:jc w:val="center"/>
        <w:rPr>
          <w:lang w:val="es-AR"/>
        </w:rPr>
      </w:pPr>
    </w:p>
    <w:p w:rsidR="00C4680B" w:rsidRPr="005A785D" w:rsidRDefault="00C4680B" w:rsidP="000B475F">
      <w:pPr>
        <w:spacing w:line="360" w:lineRule="auto"/>
        <w:jc w:val="both"/>
        <w:rPr>
          <w:lang w:val="es-AR"/>
        </w:rPr>
      </w:pPr>
    </w:p>
    <w:p w:rsidR="00C4680B" w:rsidRPr="005A785D" w:rsidRDefault="00C4680B" w:rsidP="000B475F">
      <w:pPr>
        <w:spacing w:line="360" w:lineRule="auto"/>
        <w:jc w:val="both"/>
        <w:rPr>
          <w:lang w:val="es-AR"/>
        </w:rPr>
      </w:pPr>
    </w:p>
    <w:p w:rsidR="00C4680B" w:rsidRPr="005A785D" w:rsidRDefault="00C4680B" w:rsidP="000B475F">
      <w:pPr>
        <w:spacing w:line="360" w:lineRule="auto"/>
        <w:jc w:val="both"/>
        <w:rPr>
          <w:lang w:val="es-AR"/>
        </w:rPr>
      </w:pPr>
    </w:p>
    <w:p w:rsidR="00C4680B" w:rsidRPr="005A785D" w:rsidRDefault="00C4680B" w:rsidP="000B475F">
      <w:pPr>
        <w:spacing w:line="360" w:lineRule="auto"/>
        <w:jc w:val="both"/>
        <w:rPr>
          <w:lang w:val="es-AR"/>
        </w:rPr>
      </w:pPr>
    </w:p>
    <w:p w:rsidR="00C4680B" w:rsidRPr="005A785D" w:rsidRDefault="00C4680B" w:rsidP="000B475F">
      <w:pPr>
        <w:spacing w:line="360" w:lineRule="auto"/>
        <w:jc w:val="both"/>
        <w:rPr>
          <w:lang w:val="es-AR"/>
        </w:rPr>
      </w:pPr>
    </w:p>
    <w:p w:rsidR="003B5543" w:rsidRPr="00C5615D" w:rsidRDefault="00FD1CB5" w:rsidP="000B475F">
      <w:pPr>
        <w:pStyle w:val="Textoindependiente"/>
        <w:rPr>
          <w:sz w:val="40"/>
          <w:szCs w:val="40"/>
          <w:lang w:val="es-AR"/>
        </w:rPr>
      </w:pPr>
      <w:r>
        <w:rPr>
          <w:sz w:val="40"/>
          <w:szCs w:val="40"/>
          <w:lang w:val="es-AR"/>
        </w:rPr>
        <w:t>ELECTROTECNICA FAMAR</w:t>
      </w:r>
    </w:p>
    <w:p w:rsidR="00C5615D" w:rsidRPr="00C5615D" w:rsidRDefault="00C5615D" w:rsidP="000B475F">
      <w:pPr>
        <w:pStyle w:val="Textoindependiente"/>
        <w:rPr>
          <w:sz w:val="40"/>
          <w:szCs w:val="40"/>
          <w:lang w:val="es-AR"/>
        </w:rPr>
      </w:pPr>
    </w:p>
    <w:p w:rsidR="00C4680B" w:rsidRPr="00C5615D" w:rsidRDefault="00FD1CB5" w:rsidP="000B475F">
      <w:pPr>
        <w:pStyle w:val="Textoindependiente"/>
        <w:rPr>
          <w:sz w:val="40"/>
          <w:szCs w:val="40"/>
          <w:lang w:val="es-AR"/>
        </w:rPr>
      </w:pPr>
      <w:r>
        <w:rPr>
          <w:sz w:val="40"/>
          <w:szCs w:val="40"/>
          <w:lang w:val="es-AR"/>
        </w:rPr>
        <w:t>S.A.C.I.I.E.</w:t>
      </w:r>
    </w:p>
    <w:p w:rsidR="00C4680B" w:rsidRPr="005A785D" w:rsidRDefault="00C4680B" w:rsidP="000B475F">
      <w:pPr>
        <w:jc w:val="center"/>
        <w:rPr>
          <w:sz w:val="20"/>
          <w:lang w:val="es-AR"/>
        </w:rPr>
      </w:pPr>
    </w:p>
    <w:p w:rsidR="00C4680B" w:rsidRPr="005A785D" w:rsidRDefault="00C4680B" w:rsidP="00C5615D">
      <w:pPr>
        <w:tabs>
          <w:tab w:val="left" w:pos="3975"/>
        </w:tabs>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C4680B" w:rsidRPr="005A785D" w:rsidRDefault="00C4680B" w:rsidP="000B475F">
      <w:pPr>
        <w:jc w:val="center"/>
        <w:rPr>
          <w:sz w:val="20"/>
          <w:lang w:val="es-AR"/>
        </w:rPr>
      </w:pPr>
    </w:p>
    <w:p w:rsidR="003B5543" w:rsidRDefault="003B5543" w:rsidP="000B475F">
      <w:pPr>
        <w:jc w:val="center"/>
        <w:rPr>
          <w:lang w:val="es-AR"/>
        </w:rPr>
      </w:pPr>
      <w:r>
        <w:rPr>
          <w:lang w:val="es-AR"/>
        </w:rPr>
        <w:t>RODNEY 70</w:t>
      </w:r>
    </w:p>
    <w:p w:rsidR="00C4680B" w:rsidRPr="005A785D" w:rsidRDefault="00C4680B" w:rsidP="000B475F">
      <w:pPr>
        <w:jc w:val="center"/>
        <w:rPr>
          <w:lang w:val="es-AR"/>
        </w:rPr>
      </w:pPr>
    </w:p>
    <w:p w:rsidR="00C4680B" w:rsidRDefault="003B5543" w:rsidP="000B475F">
      <w:pPr>
        <w:jc w:val="center"/>
        <w:rPr>
          <w:lang w:val="es-AR"/>
        </w:rPr>
      </w:pPr>
      <w:r>
        <w:rPr>
          <w:lang w:val="es-AR"/>
        </w:rPr>
        <w:t>CIUDAD AUTÓNOMA DE BUENOS AIRES</w:t>
      </w:r>
    </w:p>
    <w:p w:rsidR="003B5543" w:rsidRDefault="003B5543" w:rsidP="000B475F">
      <w:pPr>
        <w:jc w:val="center"/>
        <w:rPr>
          <w:lang w:val="es-AR"/>
        </w:rPr>
      </w:pPr>
    </w:p>
    <w:p w:rsidR="00C4680B" w:rsidRPr="005A785D" w:rsidRDefault="00C4680B" w:rsidP="000B475F">
      <w:pPr>
        <w:jc w:val="center"/>
        <w:rPr>
          <w:lang w:val="es-AR"/>
        </w:rPr>
      </w:pPr>
    </w:p>
    <w:p w:rsidR="00C4680B" w:rsidRPr="005A785D" w:rsidRDefault="00C4680B" w:rsidP="000B475F">
      <w:pPr>
        <w:jc w:val="center"/>
        <w:rPr>
          <w:lang w:val="es-AR"/>
        </w:rPr>
      </w:pPr>
    </w:p>
    <w:p w:rsidR="00C4680B" w:rsidRPr="005A785D" w:rsidRDefault="00C4680B" w:rsidP="000B475F">
      <w:pPr>
        <w:jc w:val="center"/>
        <w:rPr>
          <w:lang w:val="es-AR"/>
        </w:rPr>
      </w:pPr>
    </w:p>
    <w:p w:rsidR="00C4680B" w:rsidRPr="005A785D" w:rsidRDefault="00C4680B" w:rsidP="000B475F">
      <w:pPr>
        <w:jc w:val="center"/>
        <w:rPr>
          <w:lang w:val="es-AR"/>
        </w:rPr>
      </w:pPr>
    </w:p>
    <w:p w:rsidR="00C4680B" w:rsidRPr="005A785D" w:rsidRDefault="00C4680B" w:rsidP="000B475F">
      <w:pPr>
        <w:jc w:val="center"/>
        <w:rPr>
          <w:lang w:val="es-AR"/>
        </w:rPr>
      </w:pPr>
    </w:p>
    <w:p w:rsidR="00C4680B" w:rsidRPr="005A785D" w:rsidRDefault="00C4680B" w:rsidP="000B475F">
      <w:pPr>
        <w:jc w:val="center"/>
        <w:rPr>
          <w:lang w:val="es-AR"/>
        </w:rPr>
      </w:pPr>
    </w:p>
    <w:p w:rsidR="00C4680B" w:rsidRPr="005A785D" w:rsidRDefault="00C4680B" w:rsidP="000B475F">
      <w:pPr>
        <w:jc w:val="center"/>
        <w:rPr>
          <w:lang w:val="es-AR"/>
        </w:rPr>
      </w:pPr>
    </w:p>
    <w:p w:rsidR="009F7C53" w:rsidRPr="005A785D" w:rsidRDefault="009F7C53" w:rsidP="000B475F">
      <w:pPr>
        <w:jc w:val="center"/>
        <w:rPr>
          <w:lang w:val="es-AR"/>
        </w:rPr>
      </w:pPr>
    </w:p>
    <w:p w:rsidR="00726500" w:rsidRPr="005A785D" w:rsidRDefault="00726500" w:rsidP="00726500">
      <w:pPr>
        <w:spacing w:line="480" w:lineRule="auto"/>
        <w:jc w:val="center"/>
        <w:rPr>
          <w:lang w:val="es-AR"/>
        </w:rPr>
      </w:pPr>
      <w:r w:rsidRPr="005A785D">
        <w:rPr>
          <w:lang w:val="es-AR"/>
        </w:rPr>
        <w:t xml:space="preserve">ESTADOS CONTABLES </w:t>
      </w:r>
      <w:r w:rsidR="00574A2C">
        <w:rPr>
          <w:lang w:val="es-AR"/>
        </w:rPr>
        <w:t>POR</w:t>
      </w:r>
      <w:r w:rsidR="005E0232">
        <w:rPr>
          <w:lang w:val="es-AR"/>
        </w:rPr>
        <w:t xml:space="preserve"> EL</w:t>
      </w:r>
      <w:r w:rsidR="00574A2C">
        <w:rPr>
          <w:lang w:val="es-AR"/>
        </w:rPr>
        <w:t xml:space="preserve"> EJERCICIO</w:t>
      </w:r>
    </w:p>
    <w:p w:rsidR="00726500" w:rsidRPr="005A785D" w:rsidRDefault="00AA2858" w:rsidP="00726500">
      <w:pPr>
        <w:spacing w:line="480" w:lineRule="auto"/>
        <w:jc w:val="center"/>
        <w:rPr>
          <w:lang w:val="es-AR"/>
        </w:rPr>
      </w:pPr>
      <w:r>
        <w:rPr>
          <w:lang w:val="es-AR"/>
        </w:rPr>
        <w:t xml:space="preserve">INICIADO EL 1° DE </w:t>
      </w:r>
      <w:r w:rsidR="00DD5870">
        <w:rPr>
          <w:lang w:val="es-AR"/>
        </w:rPr>
        <w:t>ENERO</w:t>
      </w:r>
      <w:r>
        <w:rPr>
          <w:lang w:val="es-AR"/>
        </w:rPr>
        <w:t xml:space="preserve"> DE 2019</w:t>
      </w:r>
      <w:r w:rsidR="00726500" w:rsidRPr="005A785D">
        <w:rPr>
          <w:lang w:val="es-AR"/>
        </w:rPr>
        <w:t xml:space="preserve"> Y FINALIZADO </w:t>
      </w:r>
      <w:r>
        <w:rPr>
          <w:lang w:val="es-AR"/>
        </w:rPr>
        <w:t>EL 3</w:t>
      </w:r>
      <w:r w:rsidR="00FC32ED">
        <w:rPr>
          <w:lang w:val="es-AR"/>
        </w:rPr>
        <w:t>1 DE DICIEMBRE</w:t>
      </w:r>
      <w:r w:rsidR="003B5543">
        <w:rPr>
          <w:lang w:val="es-AR"/>
        </w:rPr>
        <w:t xml:space="preserve"> </w:t>
      </w:r>
      <w:r>
        <w:rPr>
          <w:lang w:val="es-AR"/>
        </w:rPr>
        <w:t>DE 2019</w:t>
      </w:r>
    </w:p>
    <w:p w:rsidR="00726500" w:rsidRPr="005A785D" w:rsidRDefault="0028686C" w:rsidP="00726500">
      <w:pPr>
        <w:spacing w:line="480" w:lineRule="auto"/>
        <w:jc w:val="center"/>
        <w:rPr>
          <w:lang w:val="es-AR"/>
        </w:rPr>
      </w:pPr>
      <w:r>
        <w:rPr>
          <w:lang w:val="es-AR"/>
        </w:rPr>
        <w:t>JUNTAMENTE CON EL INFORME</w:t>
      </w:r>
      <w:r w:rsidR="00726500" w:rsidRPr="005A785D">
        <w:rPr>
          <w:lang w:val="es-AR"/>
        </w:rPr>
        <w:t xml:space="preserve"> DE LOS AUDITORES INDEPENDIENTES</w:t>
      </w:r>
    </w:p>
    <w:p w:rsidR="00726500" w:rsidRPr="005A785D" w:rsidRDefault="00726500" w:rsidP="00726500">
      <w:pPr>
        <w:spacing w:line="480" w:lineRule="auto"/>
        <w:jc w:val="center"/>
        <w:rPr>
          <w:lang w:val="es-AR"/>
        </w:rPr>
      </w:pPr>
      <w:r w:rsidRPr="005A785D">
        <w:rPr>
          <w:lang w:val="es-AR"/>
        </w:rPr>
        <w:t>Y EL INFORME DE LA COMISION FISCALIZADORA</w:t>
      </w:r>
    </w:p>
    <w:p w:rsidR="00726500" w:rsidRPr="005A785D" w:rsidRDefault="00726500" w:rsidP="002B1D61">
      <w:pPr>
        <w:pStyle w:val="Ttulo5"/>
        <w:rPr>
          <w:sz w:val="20"/>
          <w:lang w:val="es-AR"/>
        </w:rPr>
      </w:pPr>
    </w:p>
    <w:p w:rsidR="00726500" w:rsidRPr="005A785D" w:rsidRDefault="00726500" w:rsidP="002B1D61">
      <w:pPr>
        <w:pStyle w:val="Ttulo5"/>
        <w:rPr>
          <w:sz w:val="20"/>
          <w:lang w:val="es-AR"/>
        </w:rPr>
      </w:pPr>
    </w:p>
    <w:p w:rsidR="00726500" w:rsidRPr="005A785D" w:rsidRDefault="00726500" w:rsidP="002B1D61">
      <w:pPr>
        <w:pStyle w:val="Ttulo5"/>
        <w:rPr>
          <w:sz w:val="20"/>
          <w:lang w:val="es-AR"/>
        </w:rPr>
      </w:pPr>
    </w:p>
    <w:p w:rsidR="00726500" w:rsidRPr="005A785D" w:rsidRDefault="00726500" w:rsidP="002B1D61">
      <w:pPr>
        <w:pStyle w:val="Ttulo5"/>
        <w:rPr>
          <w:sz w:val="20"/>
          <w:lang w:val="es-AR"/>
        </w:rPr>
      </w:pPr>
    </w:p>
    <w:p w:rsidR="00726500" w:rsidRPr="005A785D" w:rsidRDefault="00726500" w:rsidP="002B1D61">
      <w:pPr>
        <w:pStyle w:val="Ttulo5"/>
        <w:rPr>
          <w:sz w:val="20"/>
          <w:lang w:val="es-AR"/>
        </w:rPr>
      </w:pPr>
    </w:p>
    <w:p w:rsidR="00726500" w:rsidRPr="005A785D" w:rsidRDefault="00726500" w:rsidP="002B1D61">
      <w:pPr>
        <w:pStyle w:val="Ttulo5"/>
        <w:rPr>
          <w:sz w:val="20"/>
          <w:lang w:val="es-AR"/>
        </w:rPr>
      </w:pPr>
    </w:p>
    <w:p w:rsidR="00726500" w:rsidRPr="005A785D" w:rsidRDefault="00726500" w:rsidP="002B1D61">
      <w:pPr>
        <w:pStyle w:val="Ttulo5"/>
        <w:rPr>
          <w:sz w:val="20"/>
          <w:lang w:val="es-AR"/>
        </w:rPr>
      </w:pPr>
    </w:p>
    <w:p w:rsidR="00726500" w:rsidRPr="005A785D" w:rsidRDefault="00726500" w:rsidP="002B1D61">
      <w:pPr>
        <w:pStyle w:val="Ttulo5"/>
        <w:rPr>
          <w:sz w:val="20"/>
          <w:lang w:val="es-AR"/>
        </w:rPr>
      </w:pPr>
    </w:p>
    <w:p w:rsidR="00CD14A6" w:rsidRPr="005A785D" w:rsidRDefault="00CD14A6" w:rsidP="00CD14A6">
      <w:pPr>
        <w:rPr>
          <w:lang w:val="es-AR"/>
        </w:rPr>
      </w:pPr>
    </w:p>
    <w:p w:rsidR="00CD14A6" w:rsidRPr="005A785D" w:rsidRDefault="00CD14A6" w:rsidP="00CD14A6">
      <w:pPr>
        <w:rPr>
          <w:lang w:val="es-AR"/>
        </w:rPr>
      </w:pPr>
    </w:p>
    <w:p w:rsidR="00CD14A6" w:rsidRPr="005A785D" w:rsidRDefault="00CD14A6" w:rsidP="00CD14A6">
      <w:pPr>
        <w:rPr>
          <w:lang w:val="es-AR"/>
        </w:rPr>
      </w:pPr>
    </w:p>
    <w:p w:rsidR="00CD14A6" w:rsidRPr="005A785D" w:rsidRDefault="00CD14A6" w:rsidP="00CD14A6">
      <w:pPr>
        <w:rPr>
          <w:lang w:val="es-AR"/>
        </w:rPr>
      </w:pPr>
    </w:p>
    <w:p w:rsidR="00CD14A6" w:rsidRPr="005A785D" w:rsidRDefault="00CD14A6" w:rsidP="00CD14A6">
      <w:pPr>
        <w:rPr>
          <w:lang w:val="es-AR"/>
        </w:rPr>
      </w:pPr>
    </w:p>
    <w:p w:rsidR="00CD14A6" w:rsidRPr="005A785D" w:rsidRDefault="00CD14A6" w:rsidP="00CD14A6">
      <w:pPr>
        <w:rPr>
          <w:lang w:val="es-AR"/>
        </w:rPr>
      </w:pPr>
    </w:p>
    <w:p w:rsidR="00CD14A6" w:rsidRPr="005A785D" w:rsidRDefault="00CD14A6" w:rsidP="00CD14A6">
      <w:pPr>
        <w:rPr>
          <w:lang w:val="es-AR"/>
        </w:rPr>
      </w:pPr>
    </w:p>
    <w:p w:rsidR="002B1D61" w:rsidRPr="005A785D" w:rsidRDefault="002B1D61" w:rsidP="002B1D61">
      <w:pPr>
        <w:pStyle w:val="Ttulo5"/>
        <w:rPr>
          <w:sz w:val="20"/>
          <w:lang w:val="es-AR"/>
        </w:rPr>
      </w:pPr>
      <w:r w:rsidRPr="005A785D">
        <w:rPr>
          <w:sz w:val="20"/>
          <w:lang w:val="es-AR"/>
        </w:rPr>
        <w:t>DIRECTORIO</w:t>
      </w:r>
    </w:p>
    <w:p w:rsidR="002B1D61" w:rsidRPr="005A785D" w:rsidRDefault="002B1D61" w:rsidP="002B1D61">
      <w:pPr>
        <w:jc w:val="center"/>
        <w:rPr>
          <w:b/>
          <w:sz w:val="20"/>
          <w:lang w:val="es-AR"/>
        </w:rPr>
      </w:pPr>
    </w:p>
    <w:p w:rsidR="002B1D61" w:rsidRPr="005A785D" w:rsidRDefault="00FD1CB5" w:rsidP="002B1D61">
      <w:pPr>
        <w:jc w:val="center"/>
        <w:rPr>
          <w:b/>
          <w:sz w:val="20"/>
          <w:lang w:val="es-AR"/>
        </w:rPr>
      </w:pPr>
      <w:r>
        <w:rPr>
          <w:b/>
          <w:sz w:val="20"/>
          <w:lang w:val="es-AR"/>
        </w:rPr>
        <w:t>ELECTROTECNICA FAMAR S.A.C.I.I.E.</w:t>
      </w:r>
    </w:p>
    <w:p w:rsidR="002B1D61" w:rsidRPr="005A785D" w:rsidRDefault="002B1D61" w:rsidP="002B1D61">
      <w:pPr>
        <w:jc w:val="center"/>
        <w:rPr>
          <w:b/>
          <w:lang w:val="es-AR"/>
        </w:rPr>
      </w:pPr>
    </w:p>
    <w:p w:rsidR="002B1D61" w:rsidRPr="005A785D" w:rsidRDefault="002B1D61" w:rsidP="002B1D61">
      <w:pPr>
        <w:jc w:val="center"/>
        <w:rPr>
          <w:b/>
          <w:lang w:val="es-AR"/>
        </w:rPr>
      </w:pPr>
    </w:p>
    <w:p w:rsidR="002B1D61" w:rsidRPr="005A785D" w:rsidRDefault="002B1D61" w:rsidP="002B1D61">
      <w:pPr>
        <w:jc w:val="center"/>
        <w:rPr>
          <w:b/>
          <w:lang w:val="es-AR"/>
        </w:rPr>
      </w:pPr>
    </w:p>
    <w:p w:rsidR="002B1D61" w:rsidRPr="005A785D" w:rsidRDefault="002B1D61" w:rsidP="002B1D61">
      <w:pPr>
        <w:jc w:val="center"/>
        <w:rPr>
          <w:b/>
          <w:lang w:val="es-AR"/>
        </w:rPr>
      </w:pPr>
    </w:p>
    <w:p w:rsidR="002B1D61" w:rsidRPr="005A785D" w:rsidRDefault="002B1D61" w:rsidP="002B1D61">
      <w:pPr>
        <w:pStyle w:val="Ttulo6"/>
        <w:rPr>
          <w:lang w:val="es-AR"/>
        </w:rPr>
      </w:pPr>
      <w:r w:rsidRPr="005A785D">
        <w:rPr>
          <w:lang w:val="es-AR"/>
        </w:rPr>
        <w:t>PRESIDENTE</w:t>
      </w:r>
    </w:p>
    <w:p w:rsidR="002B1D61" w:rsidRPr="005A785D" w:rsidRDefault="002B1D61" w:rsidP="002B1D61">
      <w:pPr>
        <w:jc w:val="center"/>
        <w:rPr>
          <w:i/>
          <w:lang w:val="es-AR"/>
        </w:rPr>
      </w:pPr>
    </w:p>
    <w:p w:rsidR="002B1D61" w:rsidRPr="005A785D" w:rsidRDefault="002B1D61" w:rsidP="002B1D61">
      <w:pPr>
        <w:jc w:val="center"/>
        <w:rPr>
          <w:i/>
          <w:lang w:val="es-AR"/>
        </w:rPr>
      </w:pPr>
      <w:r w:rsidRPr="005A785D">
        <w:rPr>
          <w:i/>
          <w:lang w:val="es-AR"/>
        </w:rPr>
        <w:t xml:space="preserve"> </w:t>
      </w:r>
      <w:r w:rsidR="003B5543">
        <w:rPr>
          <w:i/>
          <w:lang w:val="es-AR"/>
        </w:rPr>
        <w:t>Guillermo Reda</w:t>
      </w:r>
    </w:p>
    <w:p w:rsidR="002B1D61" w:rsidRPr="005A785D" w:rsidRDefault="002B1D61" w:rsidP="002B1D61">
      <w:pPr>
        <w:jc w:val="center"/>
        <w:rPr>
          <w:i/>
          <w:lang w:val="es-AR"/>
        </w:rPr>
      </w:pPr>
    </w:p>
    <w:p w:rsidR="002B1D61" w:rsidRPr="005A785D" w:rsidRDefault="002B1D61" w:rsidP="002B1D61">
      <w:pPr>
        <w:pStyle w:val="Ttulo1"/>
        <w:rPr>
          <w:i/>
          <w:sz w:val="20"/>
          <w:lang w:val="es-AR"/>
        </w:rPr>
      </w:pPr>
      <w:r w:rsidRPr="005A785D">
        <w:rPr>
          <w:i/>
          <w:sz w:val="20"/>
          <w:lang w:val="es-AR"/>
        </w:rPr>
        <w:t>VICEPRESIDENTE</w:t>
      </w:r>
    </w:p>
    <w:p w:rsidR="002B1D61" w:rsidRPr="005A785D" w:rsidRDefault="002B1D61" w:rsidP="002B1D61">
      <w:pPr>
        <w:jc w:val="center"/>
        <w:rPr>
          <w:i/>
          <w:lang w:val="es-AR"/>
        </w:rPr>
      </w:pPr>
    </w:p>
    <w:p w:rsidR="002B1D61" w:rsidRPr="005A785D" w:rsidRDefault="003B5543" w:rsidP="002B1D61">
      <w:pPr>
        <w:jc w:val="center"/>
        <w:rPr>
          <w:i/>
          <w:lang w:val="es-AR"/>
        </w:rPr>
      </w:pPr>
      <w:r>
        <w:rPr>
          <w:i/>
          <w:lang w:val="es-AR"/>
        </w:rPr>
        <w:t xml:space="preserve"> Mercedes </w:t>
      </w:r>
      <w:proofErr w:type="spellStart"/>
      <w:r>
        <w:rPr>
          <w:i/>
          <w:lang w:val="es-AR"/>
        </w:rPr>
        <w:t>Rotondó</w:t>
      </w:r>
      <w:proofErr w:type="spellEnd"/>
    </w:p>
    <w:p w:rsidR="002B1D61" w:rsidRPr="005A785D" w:rsidRDefault="002B1D61" w:rsidP="002B1D61">
      <w:pPr>
        <w:jc w:val="center"/>
        <w:rPr>
          <w:i/>
          <w:lang w:val="es-AR"/>
        </w:rPr>
      </w:pPr>
    </w:p>
    <w:p w:rsidR="002B1D61" w:rsidRPr="005A785D" w:rsidRDefault="002B1D61" w:rsidP="002B1D61">
      <w:pPr>
        <w:jc w:val="center"/>
        <w:rPr>
          <w:b/>
          <w:i/>
          <w:sz w:val="20"/>
          <w:lang w:val="es-AR"/>
        </w:rPr>
      </w:pPr>
      <w:r w:rsidRPr="005A785D">
        <w:rPr>
          <w:b/>
          <w:i/>
          <w:sz w:val="20"/>
          <w:lang w:val="es-AR"/>
        </w:rPr>
        <w:t>DIRECTOR TITULAR</w:t>
      </w:r>
    </w:p>
    <w:p w:rsidR="002B1D61" w:rsidRPr="005A785D" w:rsidRDefault="002B1D61" w:rsidP="002B1D61">
      <w:pPr>
        <w:jc w:val="center"/>
        <w:rPr>
          <w:i/>
          <w:lang w:val="es-AR"/>
        </w:rPr>
      </w:pPr>
    </w:p>
    <w:p w:rsidR="002B1D61" w:rsidRPr="005A785D" w:rsidRDefault="003B5543" w:rsidP="002B1D61">
      <w:pPr>
        <w:jc w:val="center"/>
        <w:rPr>
          <w:i/>
          <w:szCs w:val="18"/>
          <w:lang w:val="es-AR"/>
        </w:rPr>
      </w:pPr>
      <w:r>
        <w:rPr>
          <w:i/>
          <w:szCs w:val="18"/>
          <w:lang w:val="es-AR"/>
        </w:rPr>
        <w:t>Ing. Javier Soriano</w:t>
      </w:r>
    </w:p>
    <w:p w:rsidR="002B1D61" w:rsidRPr="005A785D" w:rsidRDefault="002B1D61" w:rsidP="002B1D61">
      <w:pPr>
        <w:jc w:val="center"/>
        <w:rPr>
          <w:i/>
          <w:szCs w:val="18"/>
          <w:lang w:val="es-AR"/>
        </w:rPr>
      </w:pPr>
    </w:p>
    <w:p w:rsidR="002B1D61" w:rsidRPr="005A785D" w:rsidRDefault="002B1D61" w:rsidP="002B1D61">
      <w:pPr>
        <w:jc w:val="center"/>
        <w:rPr>
          <w:b/>
          <w:i/>
          <w:sz w:val="20"/>
          <w:lang w:val="es-AR"/>
        </w:rPr>
      </w:pPr>
      <w:r w:rsidRPr="005A785D">
        <w:rPr>
          <w:b/>
          <w:i/>
          <w:sz w:val="20"/>
          <w:lang w:val="es-AR"/>
        </w:rPr>
        <w:t>DIRECTOR SUPLENTE</w:t>
      </w:r>
    </w:p>
    <w:p w:rsidR="002B1D61" w:rsidRPr="005A785D" w:rsidRDefault="002B1D61" w:rsidP="002B1D61">
      <w:pPr>
        <w:jc w:val="center"/>
        <w:rPr>
          <w:i/>
          <w:lang w:val="es-AR"/>
        </w:rPr>
      </w:pPr>
    </w:p>
    <w:p w:rsidR="002B1D61" w:rsidRPr="005A785D" w:rsidRDefault="002B1D61" w:rsidP="002B1D61">
      <w:pPr>
        <w:jc w:val="center"/>
        <w:rPr>
          <w:i/>
          <w:szCs w:val="18"/>
          <w:lang w:val="es-AR"/>
        </w:rPr>
      </w:pPr>
      <w:r w:rsidRPr="005A785D">
        <w:rPr>
          <w:i/>
          <w:szCs w:val="18"/>
          <w:lang w:val="es-AR"/>
        </w:rPr>
        <w:t xml:space="preserve">Ing. </w:t>
      </w:r>
      <w:r w:rsidR="003B5543">
        <w:rPr>
          <w:i/>
          <w:szCs w:val="18"/>
          <w:lang w:val="es-AR"/>
        </w:rPr>
        <w:t>José Luis Alonso</w:t>
      </w:r>
    </w:p>
    <w:p w:rsidR="002B1D61" w:rsidRPr="005A785D" w:rsidRDefault="002B1D61" w:rsidP="002B1D61">
      <w:pPr>
        <w:jc w:val="center"/>
        <w:rPr>
          <w:i/>
          <w:lang w:val="es-AR"/>
        </w:rPr>
      </w:pPr>
    </w:p>
    <w:p w:rsidR="002B1D61" w:rsidRPr="005A785D" w:rsidRDefault="002B1D61" w:rsidP="002B1D61">
      <w:pPr>
        <w:pStyle w:val="Ttulo6"/>
        <w:rPr>
          <w:lang w:val="es-AR"/>
        </w:rPr>
      </w:pPr>
    </w:p>
    <w:p w:rsidR="002B1D61" w:rsidRPr="005A785D" w:rsidRDefault="002B1D61" w:rsidP="002B1D61">
      <w:pPr>
        <w:pStyle w:val="Ttulo6"/>
        <w:rPr>
          <w:lang w:val="es-AR"/>
        </w:rPr>
      </w:pPr>
      <w:r w:rsidRPr="005A785D">
        <w:rPr>
          <w:lang w:val="es-AR"/>
        </w:rPr>
        <w:t>COMISIÓN FISCALIZADORA</w:t>
      </w:r>
    </w:p>
    <w:p w:rsidR="002B1D61" w:rsidRPr="005A785D" w:rsidRDefault="002B1D61" w:rsidP="002B1D61">
      <w:pPr>
        <w:jc w:val="center"/>
        <w:rPr>
          <w:i/>
          <w:lang w:val="es-AR"/>
        </w:rPr>
      </w:pPr>
    </w:p>
    <w:p w:rsidR="002B1D61" w:rsidRPr="005A785D" w:rsidRDefault="002B1D61" w:rsidP="002B1D61">
      <w:pPr>
        <w:pStyle w:val="Ttulo6"/>
        <w:rPr>
          <w:lang w:val="es-AR"/>
        </w:rPr>
      </w:pPr>
      <w:r w:rsidRPr="005A785D">
        <w:rPr>
          <w:lang w:val="es-AR"/>
        </w:rPr>
        <w:t>Síndicos Titulares</w:t>
      </w:r>
    </w:p>
    <w:p w:rsidR="002B1D61" w:rsidRPr="005A785D" w:rsidRDefault="002B1D61" w:rsidP="002B1D61">
      <w:pPr>
        <w:jc w:val="center"/>
        <w:rPr>
          <w:i/>
          <w:lang w:val="es-AR"/>
        </w:rPr>
      </w:pPr>
    </w:p>
    <w:p w:rsidR="002B1D61" w:rsidRPr="005A785D" w:rsidRDefault="002B1D61" w:rsidP="002B1D61">
      <w:pPr>
        <w:jc w:val="center"/>
        <w:rPr>
          <w:i/>
          <w:lang w:val="es-AR"/>
        </w:rPr>
      </w:pPr>
      <w:r w:rsidRPr="005A785D">
        <w:rPr>
          <w:i/>
          <w:lang w:val="es-AR"/>
        </w:rPr>
        <w:t>Dr. Julio Cueto Rua</w:t>
      </w:r>
    </w:p>
    <w:p w:rsidR="002B1D61" w:rsidRPr="005A785D" w:rsidRDefault="002B1D61" w:rsidP="002B1D61">
      <w:pPr>
        <w:jc w:val="center"/>
        <w:rPr>
          <w:i/>
          <w:lang w:val="es-AR"/>
        </w:rPr>
      </w:pPr>
      <w:r w:rsidRPr="005A785D">
        <w:rPr>
          <w:i/>
          <w:lang w:val="es-AR"/>
        </w:rPr>
        <w:t>Dr. Mario Volman</w:t>
      </w:r>
    </w:p>
    <w:p w:rsidR="002B1D61" w:rsidRPr="005A785D" w:rsidRDefault="002B1D61" w:rsidP="002B1D61">
      <w:pPr>
        <w:jc w:val="center"/>
        <w:rPr>
          <w:i/>
          <w:lang w:val="es-AR"/>
        </w:rPr>
      </w:pPr>
      <w:r w:rsidRPr="005A785D">
        <w:rPr>
          <w:i/>
          <w:lang w:val="es-AR"/>
        </w:rPr>
        <w:t>Dr. Gerardo Biritos</w:t>
      </w:r>
    </w:p>
    <w:p w:rsidR="002B1D61" w:rsidRPr="005A785D" w:rsidRDefault="002B1D61" w:rsidP="002B1D61">
      <w:pPr>
        <w:jc w:val="center"/>
        <w:rPr>
          <w:i/>
          <w:lang w:val="es-AR"/>
        </w:rPr>
      </w:pPr>
    </w:p>
    <w:p w:rsidR="002B1D61" w:rsidRPr="005A785D" w:rsidRDefault="002B1D61" w:rsidP="002B1D61">
      <w:pPr>
        <w:pStyle w:val="Ttulo6"/>
        <w:rPr>
          <w:lang w:val="es-AR"/>
        </w:rPr>
      </w:pPr>
      <w:r w:rsidRPr="005A785D">
        <w:rPr>
          <w:lang w:val="es-AR"/>
        </w:rPr>
        <w:t>Síndicos Suplentes</w:t>
      </w:r>
    </w:p>
    <w:p w:rsidR="002B1D61" w:rsidRPr="005A785D" w:rsidRDefault="002B1D61" w:rsidP="002B1D61">
      <w:pPr>
        <w:jc w:val="center"/>
        <w:rPr>
          <w:i/>
          <w:lang w:val="es-AR"/>
        </w:rPr>
      </w:pPr>
    </w:p>
    <w:p w:rsidR="002B1D61" w:rsidRPr="005A785D" w:rsidRDefault="002B1D61" w:rsidP="002B1D61">
      <w:pPr>
        <w:jc w:val="center"/>
        <w:rPr>
          <w:i/>
          <w:lang w:val="es-AR"/>
        </w:rPr>
      </w:pPr>
      <w:r w:rsidRPr="005A785D">
        <w:rPr>
          <w:i/>
          <w:lang w:val="es-AR"/>
        </w:rPr>
        <w:t>Dra. María Andrea Rabal</w:t>
      </w:r>
    </w:p>
    <w:p w:rsidR="002B1D61" w:rsidRDefault="002B1D61" w:rsidP="002B1D61">
      <w:pPr>
        <w:jc w:val="center"/>
        <w:rPr>
          <w:i/>
          <w:lang w:val="es-AR"/>
        </w:rPr>
      </w:pPr>
      <w:r w:rsidRPr="005A785D">
        <w:rPr>
          <w:i/>
          <w:lang w:val="es-AR"/>
        </w:rPr>
        <w:t>Dr. Hugo Kaplan</w:t>
      </w:r>
    </w:p>
    <w:p w:rsidR="003B5543" w:rsidRPr="005A785D" w:rsidRDefault="003B5543" w:rsidP="002B1D61">
      <w:pPr>
        <w:jc w:val="center"/>
        <w:rPr>
          <w:i/>
          <w:lang w:val="es-AR"/>
        </w:rPr>
      </w:pPr>
      <w:r>
        <w:rPr>
          <w:i/>
          <w:lang w:val="es-AR"/>
        </w:rPr>
        <w:t>Dr. Gastón Malvarez</w:t>
      </w:r>
    </w:p>
    <w:p w:rsidR="002B1D61" w:rsidRPr="005A785D" w:rsidRDefault="002B1D61" w:rsidP="002B1D61">
      <w:pPr>
        <w:jc w:val="center"/>
        <w:rPr>
          <w:i/>
          <w:lang w:val="es-AR"/>
        </w:rPr>
      </w:pPr>
    </w:p>
    <w:p w:rsidR="002B1D61" w:rsidRPr="005A785D" w:rsidRDefault="002B1D61" w:rsidP="00874300">
      <w:pPr>
        <w:tabs>
          <w:tab w:val="left" w:pos="0"/>
        </w:tabs>
        <w:jc w:val="center"/>
        <w:rPr>
          <w:b/>
          <w:i/>
          <w:sz w:val="20"/>
          <w:lang w:val="es-AR"/>
        </w:rPr>
      </w:pPr>
    </w:p>
    <w:p w:rsidR="002B1D61" w:rsidRPr="005A785D" w:rsidRDefault="002B1D61" w:rsidP="00874300">
      <w:pPr>
        <w:tabs>
          <w:tab w:val="left" w:pos="0"/>
        </w:tabs>
        <w:jc w:val="center"/>
        <w:rPr>
          <w:b/>
          <w:i/>
          <w:sz w:val="20"/>
          <w:lang w:val="es-AR"/>
        </w:rPr>
      </w:pPr>
    </w:p>
    <w:p w:rsidR="002B1D61" w:rsidRPr="005A785D" w:rsidRDefault="002B1D61" w:rsidP="00874300">
      <w:pPr>
        <w:tabs>
          <w:tab w:val="left" w:pos="0"/>
        </w:tabs>
        <w:jc w:val="center"/>
        <w:rPr>
          <w:b/>
          <w:i/>
          <w:sz w:val="20"/>
          <w:lang w:val="es-AR"/>
        </w:rPr>
      </w:pPr>
    </w:p>
    <w:p w:rsidR="002B1D61" w:rsidRPr="005A785D" w:rsidRDefault="002B1D61" w:rsidP="00874300">
      <w:pPr>
        <w:tabs>
          <w:tab w:val="left" w:pos="0"/>
        </w:tabs>
        <w:jc w:val="center"/>
        <w:rPr>
          <w:b/>
          <w:i/>
          <w:sz w:val="20"/>
          <w:lang w:val="es-AR"/>
        </w:rPr>
      </w:pPr>
    </w:p>
    <w:p w:rsidR="002B1D61" w:rsidRPr="005A785D" w:rsidRDefault="002B1D61" w:rsidP="00874300">
      <w:pPr>
        <w:tabs>
          <w:tab w:val="left" w:pos="0"/>
        </w:tabs>
        <w:jc w:val="center"/>
        <w:rPr>
          <w:b/>
          <w:i/>
          <w:sz w:val="20"/>
          <w:lang w:val="es-AR"/>
        </w:rPr>
      </w:pPr>
    </w:p>
    <w:p w:rsidR="002B1D61" w:rsidRPr="005A785D" w:rsidRDefault="002B1D61" w:rsidP="00874300">
      <w:pPr>
        <w:tabs>
          <w:tab w:val="left" w:pos="0"/>
        </w:tabs>
        <w:jc w:val="center"/>
        <w:rPr>
          <w:b/>
          <w:i/>
          <w:sz w:val="20"/>
          <w:lang w:val="es-AR"/>
        </w:rPr>
      </w:pPr>
    </w:p>
    <w:p w:rsidR="002B1D61" w:rsidRPr="005A785D" w:rsidRDefault="002B1D61" w:rsidP="00874300">
      <w:pPr>
        <w:tabs>
          <w:tab w:val="left" w:pos="0"/>
        </w:tabs>
        <w:jc w:val="center"/>
        <w:rPr>
          <w:b/>
          <w:i/>
          <w:sz w:val="20"/>
          <w:lang w:val="es-AR"/>
        </w:rPr>
      </w:pPr>
    </w:p>
    <w:p w:rsidR="002B1D61" w:rsidRPr="005A785D" w:rsidRDefault="002B1D61" w:rsidP="00874300">
      <w:pPr>
        <w:tabs>
          <w:tab w:val="left" w:pos="0"/>
        </w:tabs>
        <w:jc w:val="center"/>
        <w:rPr>
          <w:b/>
          <w:i/>
          <w:sz w:val="20"/>
          <w:lang w:val="es-AR"/>
        </w:rPr>
      </w:pPr>
    </w:p>
    <w:p w:rsidR="002B1D61" w:rsidRPr="005A785D" w:rsidRDefault="002B1D61" w:rsidP="00874300">
      <w:pPr>
        <w:tabs>
          <w:tab w:val="left" w:pos="0"/>
        </w:tabs>
        <w:jc w:val="center"/>
        <w:rPr>
          <w:b/>
          <w:i/>
          <w:sz w:val="20"/>
          <w:lang w:val="es-AR"/>
        </w:rPr>
      </w:pPr>
    </w:p>
    <w:p w:rsidR="002512F8" w:rsidRPr="002512F8" w:rsidRDefault="002512F8" w:rsidP="002512F8">
      <w:pPr>
        <w:spacing w:line="360" w:lineRule="auto"/>
        <w:jc w:val="center"/>
        <w:rPr>
          <w:rFonts w:ascii="Arial" w:hAnsi="Arial" w:cs="Arial"/>
          <w:b/>
          <w:sz w:val="20"/>
        </w:rPr>
      </w:pPr>
      <w:r w:rsidRPr="002512F8">
        <w:rPr>
          <w:rFonts w:ascii="Arial" w:hAnsi="Arial" w:cs="Arial"/>
          <w:b/>
          <w:sz w:val="20"/>
        </w:rPr>
        <w:t>MEMORIA</w:t>
      </w:r>
    </w:p>
    <w:p w:rsidR="002512F8" w:rsidRPr="002512F8" w:rsidRDefault="002512F8" w:rsidP="002512F8">
      <w:pPr>
        <w:spacing w:line="360" w:lineRule="auto"/>
        <w:jc w:val="center"/>
        <w:rPr>
          <w:rFonts w:ascii="Arial" w:hAnsi="Arial" w:cs="Arial"/>
          <w:sz w:val="20"/>
        </w:rPr>
      </w:pPr>
      <w:r w:rsidRPr="002512F8">
        <w:rPr>
          <w:rFonts w:ascii="Arial" w:hAnsi="Arial" w:cs="Arial"/>
          <w:sz w:val="20"/>
        </w:rPr>
        <w:t>(Información no examinada y no cubierta por el Informe del Auditor Independiente)</w:t>
      </w:r>
    </w:p>
    <w:p w:rsidR="002512F8" w:rsidRPr="002512F8" w:rsidRDefault="002512F8" w:rsidP="002512F8">
      <w:pPr>
        <w:spacing w:line="360" w:lineRule="auto"/>
        <w:jc w:val="both"/>
        <w:rPr>
          <w:rFonts w:ascii="Arial" w:hAnsi="Arial" w:cs="Arial"/>
          <w:sz w:val="20"/>
        </w:rPr>
      </w:pPr>
    </w:p>
    <w:p w:rsidR="002512F8" w:rsidRPr="002512F8" w:rsidRDefault="002512F8" w:rsidP="002512F8">
      <w:pPr>
        <w:spacing w:line="360" w:lineRule="auto"/>
        <w:jc w:val="both"/>
        <w:rPr>
          <w:rFonts w:ascii="Arial" w:hAnsi="Arial" w:cs="Arial"/>
          <w:sz w:val="20"/>
        </w:rPr>
      </w:pPr>
    </w:p>
    <w:p w:rsidR="002512F8" w:rsidRPr="002512F8" w:rsidRDefault="002512F8" w:rsidP="002512F8">
      <w:pPr>
        <w:spacing w:line="360" w:lineRule="auto"/>
        <w:jc w:val="both"/>
        <w:rPr>
          <w:rFonts w:ascii="Arial" w:hAnsi="Arial" w:cs="Arial"/>
          <w:sz w:val="20"/>
        </w:rPr>
      </w:pPr>
      <w:r w:rsidRPr="002512F8">
        <w:rPr>
          <w:rFonts w:ascii="Arial" w:hAnsi="Arial" w:cs="Arial"/>
          <w:sz w:val="20"/>
        </w:rPr>
        <w:t>Señores Accionistas de:</w:t>
      </w:r>
    </w:p>
    <w:p w:rsidR="002512F8" w:rsidRPr="002512F8" w:rsidRDefault="002512F8" w:rsidP="002512F8">
      <w:pPr>
        <w:spacing w:line="360" w:lineRule="auto"/>
        <w:jc w:val="both"/>
        <w:rPr>
          <w:rFonts w:ascii="Arial" w:hAnsi="Arial" w:cs="Arial"/>
          <w:b/>
          <w:sz w:val="20"/>
        </w:rPr>
      </w:pPr>
      <w:r w:rsidRPr="002512F8">
        <w:rPr>
          <w:rFonts w:ascii="Arial" w:hAnsi="Arial" w:cs="Arial"/>
          <w:b/>
          <w:sz w:val="20"/>
        </w:rPr>
        <w:t>ELECTROTECNICA FAMAR S.A.C.I.I.E.</w:t>
      </w:r>
    </w:p>
    <w:p w:rsidR="002512F8" w:rsidRPr="002512F8" w:rsidRDefault="002512F8" w:rsidP="002512F8">
      <w:pPr>
        <w:spacing w:line="360" w:lineRule="auto"/>
        <w:jc w:val="both"/>
        <w:rPr>
          <w:rFonts w:ascii="Arial" w:hAnsi="Arial" w:cs="Arial"/>
          <w:sz w:val="20"/>
        </w:rPr>
      </w:pPr>
    </w:p>
    <w:p w:rsidR="002512F8" w:rsidRPr="002512F8" w:rsidRDefault="002512F8" w:rsidP="002512F8">
      <w:pPr>
        <w:spacing w:line="360" w:lineRule="auto"/>
        <w:ind w:firstLine="708"/>
        <w:jc w:val="both"/>
        <w:rPr>
          <w:rFonts w:ascii="Arial" w:hAnsi="Arial" w:cs="Arial"/>
          <w:sz w:val="20"/>
        </w:rPr>
      </w:pPr>
      <w:r w:rsidRPr="002512F8">
        <w:rPr>
          <w:rFonts w:ascii="Arial" w:hAnsi="Arial" w:cs="Arial"/>
          <w:sz w:val="20"/>
        </w:rPr>
        <w:t>En cumplimiento con las disposiciones legales y estatutarias, el Directorio tiene el agrado de someter a vuestra consideración la Memoria, Estado de Situación Patrimonial, Estado de Resultados, Estado de Evolución del Patrimonio Neto, Estado de Flujo de Efectivo, Notas 1 a 8 a los estados contables y Cuadros Anexos A, C, E, F, G, H e I que se exponen como información contable complementaria, correspondientes al ejercicio económico N° 53 terminados el 31 de diciembre de 2019.</w:t>
      </w:r>
    </w:p>
    <w:p w:rsidR="002512F8" w:rsidRPr="002512F8" w:rsidRDefault="002512F8" w:rsidP="002512F8">
      <w:pPr>
        <w:spacing w:line="360" w:lineRule="auto"/>
        <w:jc w:val="both"/>
        <w:rPr>
          <w:rFonts w:ascii="Arial" w:hAnsi="Arial" w:cs="Arial"/>
          <w:sz w:val="20"/>
        </w:rPr>
      </w:pPr>
    </w:p>
    <w:p w:rsidR="002512F8" w:rsidRPr="002512F8" w:rsidRDefault="002512F8" w:rsidP="002512F8">
      <w:pPr>
        <w:pStyle w:val="Prrafodelista"/>
        <w:numPr>
          <w:ilvl w:val="0"/>
          <w:numId w:val="37"/>
        </w:numPr>
        <w:spacing w:line="360" w:lineRule="auto"/>
        <w:jc w:val="both"/>
        <w:rPr>
          <w:rFonts w:ascii="Arial" w:hAnsi="Arial" w:cs="Arial"/>
          <w:b/>
        </w:rPr>
      </w:pPr>
      <w:r w:rsidRPr="002512F8">
        <w:rPr>
          <w:rFonts w:ascii="Arial" w:hAnsi="Arial" w:cs="Arial"/>
          <w:b/>
        </w:rPr>
        <w:t>RESULTADOS DEL EJERCICIO</w:t>
      </w:r>
    </w:p>
    <w:p w:rsidR="002512F8" w:rsidRPr="002512F8" w:rsidRDefault="002512F8" w:rsidP="002512F8">
      <w:pPr>
        <w:spacing w:line="360" w:lineRule="auto"/>
        <w:ind w:firstLine="708"/>
        <w:jc w:val="both"/>
        <w:rPr>
          <w:rFonts w:ascii="Arial" w:hAnsi="Arial" w:cs="Arial"/>
          <w:sz w:val="20"/>
        </w:rPr>
      </w:pPr>
      <w:r w:rsidRPr="002512F8">
        <w:rPr>
          <w:rFonts w:ascii="Arial" w:hAnsi="Arial" w:cs="Arial"/>
          <w:sz w:val="20"/>
        </w:rPr>
        <w:t xml:space="preserve">En el año 2019 la compañía continuó con una gran debilidad proveniente de la pérdida de capital de trabajo, la declinación en las ventas, la discontinuidad de algunos productos ofrecidos y la carga financiera de la deuda. Esta situación se vio empeorada por la devaluación del peso haciendo cada vez más gravosa la situación económica-financiera. </w:t>
      </w:r>
    </w:p>
    <w:p w:rsidR="002512F8" w:rsidRPr="002512F8" w:rsidRDefault="002512F8" w:rsidP="002512F8">
      <w:pPr>
        <w:spacing w:line="360" w:lineRule="auto"/>
        <w:ind w:firstLine="708"/>
        <w:jc w:val="both"/>
        <w:rPr>
          <w:rFonts w:ascii="Arial" w:hAnsi="Arial" w:cs="Arial"/>
          <w:sz w:val="20"/>
        </w:rPr>
      </w:pPr>
      <w:r w:rsidRPr="002512F8">
        <w:rPr>
          <w:rFonts w:ascii="Arial" w:hAnsi="Arial" w:cs="Arial"/>
          <w:sz w:val="20"/>
        </w:rPr>
        <w:t xml:space="preserve">En el mes de agosto MIRGOR S.A.C.I.F.I.A. adquirió el 100% de las acciones de la HOLDCAR S.A., controlante de la compañía. </w:t>
      </w:r>
    </w:p>
    <w:p w:rsidR="002512F8" w:rsidRPr="002512F8" w:rsidRDefault="002512F8" w:rsidP="002512F8">
      <w:pPr>
        <w:spacing w:line="360" w:lineRule="auto"/>
        <w:ind w:firstLine="708"/>
        <w:jc w:val="both"/>
        <w:rPr>
          <w:rFonts w:ascii="Arial" w:hAnsi="Arial" w:cs="Arial"/>
          <w:sz w:val="20"/>
        </w:rPr>
      </w:pPr>
      <w:r w:rsidRPr="002512F8">
        <w:rPr>
          <w:rFonts w:ascii="Arial" w:hAnsi="Arial" w:cs="Arial"/>
          <w:sz w:val="20"/>
        </w:rPr>
        <w:t>A partir de este hecho la compañía forma parte del Grupo Mirgor lo cual le da un nuevo horizonte basado en la fortaleza financiera del Grupo. Esto permitió regularizar compromisos que hasta ese momento habían sido postergados. Adicionalmente permitió nutrir de materia prima a nuestra planta de producción para la fabricación y posterior normalización de entregas a nuestros clientes.</w:t>
      </w:r>
    </w:p>
    <w:p w:rsidR="002512F8" w:rsidRPr="002512F8" w:rsidRDefault="002512F8" w:rsidP="002512F8">
      <w:pPr>
        <w:spacing w:line="360" w:lineRule="auto"/>
        <w:ind w:firstLine="708"/>
        <w:jc w:val="both"/>
        <w:rPr>
          <w:rFonts w:ascii="Arial" w:hAnsi="Arial" w:cs="Arial"/>
          <w:sz w:val="20"/>
        </w:rPr>
      </w:pPr>
      <w:r w:rsidRPr="002512F8">
        <w:rPr>
          <w:rFonts w:ascii="Arial" w:hAnsi="Arial" w:cs="Arial"/>
          <w:sz w:val="20"/>
        </w:rPr>
        <w:t>Grupo Mirgor da nuevas perspectivas de abastecer a nuevos clientes con productos diseñados y producidos por la compañía.</w:t>
      </w:r>
    </w:p>
    <w:p w:rsidR="002512F8" w:rsidRPr="002512F8" w:rsidRDefault="002512F8" w:rsidP="002512F8">
      <w:pPr>
        <w:spacing w:line="360" w:lineRule="auto"/>
        <w:ind w:firstLine="708"/>
        <w:jc w:val="both"/>
        <w:rPr>
          <w:rFonts w:ascii="Arial" w:hAnsi="Arial" w:cs="Arial"/>
          <w:sz w:val="20"/>
        </w:rPr>
      </w:pPr>
    </w:p>
    <w:p w:rsidR="002512F8" w:rsidRPr="002512F8" w:rsidRDefault="004D61B9" w:rsidP="002512F8">
      <w:pPr>
        <w:spacing w:line="360" w:lineRule="auto"/>
        <w:jc w:val="center"/>
        <w:rPr>
          <w:rFonts w:ascii="Arial" w:hAnsi="Arial" w:cs="Arial"/>
          <w:sz w:val="20"/>
        </w:rPr>
      </w:pPr>
      <w:r>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403.5pt;height:77.25pt">
            <v:imagedata r:id="rId8" o:title=""/>
          </v:shape>
        </w:pict>
      </w:r>
    </w:p>
    <w:p w:rsidR="002512F8" w:rsidRPr="002512F8" w:rsidRDefault="002512F8" w:rsidP="002512F8">
      <w:pPr>
        <w:spacing w:line="360" w:lineRule="auto"/>
        <w:jc w:val="center"/>
        <w:rPr>
          <w:rFonts w:ascii="Arial" w:hAnsi="Arial" w:cs="Arial"/>
          <w:sz w:val="20"/>
        </w:rPr>
      </w:pPr>
    </w:p>
    <w:p w:rsidR="002512F8" w:rsidRPr="002512F8" w:rsidRDefault="002512F8" w:rsidP="002512F8">
      <w:pPr>
        <w:spacing w:line="360" w:lineRule="auto"/>
        <w:ind w:firstLine="708"/>
        <w:jc w:val="both"/>
        <w:rPr>
          <w:rFonts w:ascii="Arial" w:hAnsi="Arial" w:cs="Arial"/>
          <w:sz w:val="20"/>
        </w:rPr>
      </w:pPr>
      <w:r w:rsidRPr="002512F8">
        <w:rPr>
          <w:rFonts w:ascii="Arial" w:hAnsi="Arial" w:cs="Arial"/>
          <w:sz w:val="20"/>
        </w:rPr>
        <w:t>La pérdida neta del ejercicio fue de miles de $13.904 al 31 de diciembre de 2019, mientras que la del ejercicio anterior ascendió a miles de $6.505.</w:t>
      </w:r>
    </w:p>
    <w:p w:rsidR="002512F8" w:rsidRPr="002512F8" w:rsidRDefault="002512F8" w:rsidP="002512F8">
      <w:pPr>
        <w:spacing w:line="360" w:lineRule="auto"/>
        <w:ind w:firstLine="708"/>
        <w:jc w:val="both"/>
        <w:rPr>
          <w:rFonts w:ascii="Arial" w:hAnsi="Arial" w:cs="Arial"/>
          <w:sz w:val="20"/>
        </w:rPr>
      </w:pPr>
    </w:p>
    <w:p w:rsidR="002512F8" w:rsidRPr="002512F8" w:rsidRDefault="002512F8" w:rsidP="002512F8">
      <w:pPr>
        <w:spacing w:line="360" w:lineRule="auto"/>
        <w:ind w:firstLine="708"/>
        <w:jc w:val="both"/>
        <w:rPr>
          <w:rFonts w:ascii="Arial" w:hAnsi="Arial" w:cs="Arial"/>
          <w:sz w:val="20"/>
        </w:rPr>
      </w:pPr>
    </w:p>
    <w:p w:rsidR="002512F8" w:rsidRPr="002512F8" w:rsidRDefault="002512F8" w:rsidP="002512F8">
      <w:pPr>
        <w:spacing w:line="360" w:lineRule="auto"/>
        <w:ind w:firstLine="708"/>
        <w:jc w:val="both"/>
        <w:rPr>
          <w:rFonts w:ascii="Arial" w:hAnsi="Arial" w:cs="Arial"/>
          <w:sz w:val="20"/>
        </w:rPr>
      </w:pPr>
    </w:p>
    <w:p w:rsidR="002512F8" w:rsidRPr="002512F8" w:rsidRDefault="002512F8" w:rsidP="002512F8">
      <w:pPr>
        <w:pStyle w:val="Prrafodelista"/>
        <w:numPr>
          <w:ilvl w:val="0"/>
          <w:numId w:val="37"/>
        </w:numPr>
        <w:spacing w:line="360" w:lineRule="auto"/>
        <w:jc w:val="both"/>
        <w:rPr>
          <w:rFonts w:ascii="Arial" w:hAnsi="Arial" w:cs="Arial"/>
          <w:b/>
        </w:rPr>
      </w:pPr>
      <w:r w:rsidRPr="002512F8">
        <w:rPr>
          <w:rFonts w:ascii="Arial" w:hAnsi="Arial" w:cs="Arial"/>
          <w:b/>
        </w:rPr>
        <w:t>EVOLUCIÓN PATRIMONIAL</w:t>
      </w:r>
    </w:p>
    <w:p w:rsidR="002512F8" w:rsidRDefault="002512F8" w:rsidP="002512F8">
      <w:pPr>
        <w:pStyle w:val="Prrafodelista"/>
        <w:spacing w:line="360" w:lineRule="auto"/>
        <w:jc w:val="both"/>
        <w:rPr>
          <w:rFonts w:ascii="Arial" w:hAnsi="Arial" w:cs="Arial"/>
          <w:b/>
        </w:rPr>
      </w:pPr>
    </w:p>
    <w:p w:rsidR="002512F8" w:rsidRDefault="004D61B9" w:rsidP="002512F8">
      <w:pPr>
        <w:pStyle w:val="Prrafodelista"/>
        <w:spacing w:line="360" w:lineRule="auto"/>
        <w:jc w:val="center"/>
        <w:rPr>
          <w:rFonts w:ascii="Arial" w:hAnsi="Arial" w:cs="Arial"/>
          <w:b/>
        </w:rPr>
      </w:pPr>
      <w:r>
        <w:rPr>
          <w:rFonts w:ascii="Arial" w:hAnsi="Arial" w:cs="Arial"/>
          <w:b/>
        </w:rPr>
        <w:pict>
          <v:shape id="_x0000_i1086" type="#_x0000_t75" style="width:307.5pt;height:114.75pt">
            <v:imagedata r:id="rId9" o:title=""/>
          </v:shape>
        </w:pict>
      </w:r>
    </w:p>
    <w:p w:rsidR="002512F8" w:rsidRPr="002512F8" w:rsidRDefault="002512F8" w:rsidP="002512F8">
      <w:pPr>
        <w:pStyle w:val="Prrafodelista"/>
        <w:spacing w:line="360" w:lineRule="auto"/>
        <w:jc w:val="both"/>
        <w:rPr>
          <w:rFonts w:ascii="Arial" w:hAnsi="Arial" w:cs="Arial"/>
          <w:b/>
        </w:rPr>
      </w:pPr>
    </w:p>
    <w:p w:rsidR="002512F8" w:rsidRPr="002512F8" w:rsidRDefault="002512F8" w:rsidP="002512F8">
      <w:pPr>
        <w:spacing w:line="360" w:lineRule="auto"/>
        <w:ind w:firstLine="708"/>
        <w:jc w:val="both"/>
        <w:rPr>
          <w:rFonts w:ascii="Arial" w:hAnsi="Arial" w:cs="Arial"/>
          <w:sz w:val="20"/>
        </w:rPr>
      </w:pPr>
      <w:r w:rsidRPr="002512F8">
        <w:rPr>
          <w:rFonts w:ascii="Arial" w:hAnsi="Arial" w:cs="Arial"/>
          <w:sz w:val="20"/>
        </w:rPr>
        <w:t>El activo de la sociedad fue de miles de $269.484 al 31 de diciembre de 2019, mientras que los activos del ejercicio anterior fueron de miles de $279.543.</w:t>
      </w:r>
    </w:p>
    <w:p w:rsidR="00D06DBA" w:rsidRDefault="00D06DBA" w:rsidP="002512F8">
      <w:pPr>
        <w:spacing w:line="360" w:lineRule="auto"/>
        <w:ind w:firstLine="708"/>
        <w:jc w:val="both"/>
        <w:rPr>
          <w:rFonts w:ascii="Arial" w:hAnsi="Arial" w:cs="Arial"/>
          <w:sz w:val="20"/>
        </w:rPr>
      </w:pPr>
    </w:p>
    <w:p w:rsidR="002512F8" w:rsidRPr="002512F8" w:rsidRDefault="002512F8" w:rsidP="002512F8">
      <w:pPr>
        <w:spacing w:line="360" w:lineRule="auto"/>
        <w:ind w:firstLine="708"/>
        <w:jc w:val="both"/>
        <w:rPr>
          <w:rFonts w:ascii="Arial" w:hAnsi="Arial" w:cs="Arial"/>
          <w:sz w:val="20"/>
        </w:rPr>
      </w:pPr>
      <w:r w:rsidRPr="002512F8">
        <w:rPr>
          <w:rFonts w:ascii="Arial" w:hAnsi="Arial" w:cs="Arial"/>
          <w:sz w:val="20"/>
        </w:rPr>
        <w:t>El pasivo de la sociedad aumentó en miles de $3.126, ascendiendo los mismos a miles de $71.985.</w:t>
      </w:r>
    </w:p>
    <w:p w:rsidR="002512F8" w:rsidRPr="002512F8" w:rsidRDefault="002512F8" w:rsidP="002512F8">
      <w:pPr>
        <w:spacing w:line="360" w:lineRule="auto"/>
        <w:jc w:val="both"/>
        <w:rPr>
          <w:rFonts w:ascii="Arial" w:hAnsi="Arial" w:cs="Arial"/>
          <w:b/>
          <w:sz w:val="20"/>
        </w:rPr>
      </w:pPr>
    </w:p>
    <w:p w:rsidR="002512F8" w:rsidRPr="002512F8" w:rsidRDefault="002512F8" w:rsidP="002512F8">
      <w:pPr>
        <w:spacing w:line="360" w:lineRule="auto"/>
        <w:jc w:val="both"/>
        <w:rPr>
          <w:rFonts w:ascii="Arial" w:hAnsi="Arial" w:cs="Arial"/>
          <w:sz w:val="20"/>
        </w:rPr>
      </w:pPr>
    </w:p>
    <w:p w:rsidR="002512F8" w:rsidRPr="002512F8" w:rsidRDefault="002512F8" w:rsidP="002512F8">
      <w:pPr>
        <w:spacing w:line="360" w:lineRule="auto"/>
        <w:jc w:val="both"/>
        <w:rPr>
          <w:rFonts w:ascii="Arial" w:hAnsi="Arial" w:cs="Arial"/>
          <w:sz w:val="20"/>
        </w:rPr>
      </w:pPr>
      <w:r w:rsidRPr="002512F8">
        <w:rPr>
          <w:rFonts w:ascii="Arial" w:hAnsi="Arial" w:cs="Arial"/>
          <w:sz w:val="20"/>
        </w:rPr>
        <w:t>Saludamos a Uds. atentamente.</w:t>
      </w:r>
    </w:p>
    <w:p w:rsidR="002512F8" w:rsidRPr="002512F8" w:rsidRDefault="002512F8" w:rsidP="002512F8">
      <w:pPr>
        <w:spacing w:line="360" w:lineRule="auto"/>
        <w:jc w:val="both"/>
        <w:rPr>
          <w:rFonts w:ascii="Arial" w:hAnsi="Arial" w:cs="Arial"/>
          <w:sz w:val="20"/>
        </w:rPr>
      </w:pPr>
    </w:p>
    <w:p w:rsidR="002512F8" w:rsidRPr="002512F8" w:rsidRDefault="002512F8" w:rsidP="002512F8">
      <w:pPr>
        <w:spacing w:line="360" w:lineRule="auto"/>
        <w:jc w:val="both"/>
        <w:rPr>
          <w:rFonts w:ascii="Arial" w:hAnsi="Arial" w:cs="Arial"/>
          <w:sz w:val="20"/>
        </w:rPr>
      </w:pPr>
    </w:p>
    <w:p w:rsidR="002512F8" w:rsidRPr="002512F8" w:rsidRDefault="002512F8" w:rsidP="002512F8">
      <w:pPr>
        <w:spacing w:line="360" w:lineRule="auto"/>
        <w:jc w:val="both"/>
        <w:rPr>
          <w:rFonts w:ascii="Arial" w:hAnsi="Arial" w:cs="Arial"/>
          <w:sz w:val="20"/>
        </w:rPr>
      </w:pPr>
      <w:r w:rsidRPr="002512F8">
        <w:rPr>
          <w:rFonts w:ascii="Arial" w:hAnsi="Arial" w:cs="Arial"/>
          <w:sz w:val="20"/>
        </w:rPr>
        <w:t>Ciudad Autónoma de Buenos Aires,</w:t>
      </w:r>
    </w:p>
    <w:p w:rsidR="002512F8" w:rsidRPr="002512F8" w:rsidRDefault="002512F8" w:rsidP="002512F8">
      <w:pPr>
        <w:spacing w:line="360" w:lineRule="auto"/>
        <w:jc w:val="both"/>
        <w:rPr>
          <w:rFonts w:ascii="Arial" w:hAnsi="Arial" w:cs="Arial"/>
          <w:sz w:val="20"/>
        </w:rPr>
      </w:pPr>
      <w:r w:rsidRPr="002512F8">
        <w:rPr>
          <w:rFonts w:ascii="Arial" w:hAnsi="Arial" w:cs="Arial"/>
          <w:sz w:val="20"/>
        </w:rPr>
        <w:t>9 de marzo de 2020</w:t>
      </w:r>
    </w:p>
    <w:p w:rsidR="002512F8" w:rsidRPr="002512F8" w:rsidRDefault="002512F8" w:rsidP="002512F8">
      <w:pPr>
        <w:spacing w:line="360" w:lineRule="auto"/>
        <w:jc w:val="center"/>
        <w:rPr>
          <w:rFonts w:ascii="Arial" w:hAnsi="Arial" w:cs="Arial"/>
          <w:sz w:val="20"/>
        </w:rPr>
      </w:pPr>
    </w:p>
    <w:p w:rsidR="002512F8" w:rsidRPr="002512F8" w:rsidRDefault="002512F8" w:rsidP="002512F8">
      <w:pPr>
        <w:spacing w:line="360" w:lineRule="auto"/>
        <w:jc w:val="center"/>
        <w:rPr>
          <w:rFonts w:ascii="Arial" w:hAnsi="Arial" w:cs="Arial"/>
          <w:sz w:val="20"/>
        </w:rPr>
      </w:pPr>
    </w:p>
    <w:p w:rsidR="002512F8" w:rsidRPr="002512F8" w:rsidRDefault="002512F8" w:rsidP="002512F8">
      <w:pPr>
        <w:spacing w:line="360" w:lineRule="auto"/>
        <w:jc w:val="center"/>
        <w:rPr>
          <w:rFonts w:ascii="Arial" w:hAnsi="Arial" w:cs="Arial"/>
          <w:b/>
          <w:sz w:val="20"/>
        </w:rPr>
      </w:pPr>
      <w:r w:rsidRPr="002512F8">
        <w:rPr>
          <w:rFonts w:ascii="Arial" w:hAnsi="Arial" w:cs="Arial"/>
          <w:b/>
          <w:sz w:val="20"/>
        </w:rPr>
        <w:t>Guillermo Reda</w:t>
      </w:r>
    </w:p>
    <w:p w:rsidR="002512F8" w:rsidRPr="002512F8" w:rsidRDefault="002512F8" w:rsidP="002512F8">
      <w:pPr>
        <w:spacing w:line="360" w:lineRule="auto"/>
        <w:jc w:val="center"/>
        <w:rPr>
          <w:rFonts w:ascii="Arial" w:hAnsi="Arial" w:cs="Arial"/>
          <w:sz w:val="20"/>
        </w:rPr>
      </w:pPr>
      <w:r w:rsidRPr="002512F8">
        <w:rPr>
          <w:rFonts w:ascii="Arial" w:hAnsi="Arial" w:cs="Arial"/>
          <w:sz w:val="20"/>
        </w:rPr>
        <w:t>Presidente</w:t>
      </w:r>
    </w:p>
    <w:p w:rsidR="002512F8" w:rsidRDefault="002512F8" w:rsidP="002512F8">
      <w:pPr>
        <w:spacing w:line="360" w:lineRule="auto"/>
        <w:rPr>
          <w:b/>
          <w:i/>
          <w:sz w:val="20"/>
        </w:rPr>
      </w:pPr>
      <w:r>
        <w:rPr>
          <w:b/>
          <w:i/>
          <w:sz w:val="20"/>
        </w:rPr>
        <w:br w:type="page"/>
      </w:r>
    </w:p>
    <w:p w:rsidR="006F6FD0" w:rsidRDefault="006F6FD0" w:rsidP="00347527">
      <w:pPr>
        <w:autoSpaceDE w:val="0"/>
        <w:autoSpaceDN w:val="0"/>
        <w:adjustRightInd w:val="0"/>
        <w:spacing w:line="360" w:lineRule="auto"/>
        <w:jc w:val="both"/>
        <w:rPr>
          <w:rFonts w:ascii="Arial" w:hAnsi="Arial" w:cs="Arial"/>
          <w:b/>
          <w:bCs/>
          <w:color w:val="000000"/>
          <w:szCs w:val="18"/>
        </w:rPr>
      </w:pPr>
    </w:p>
    <w:p w:rsidR="006F6FD0" w:rsidRDefault="006F6FD0" w:rsidP="00347527">
      <w:pPr>
        <w:autoSpaceDE w:val="0"/>
        <w:autoSpaceDN w:val="0"/>
        <w:adjustRightInd w:val="0"/>
        <w:spacing w:line="360" w:lineRule="auto"/>
        <w:jc w:val="both"/>
        <w:rPr>
          <w:rFonts w:ascii="Arial" w:hAnsi="Arial" w:cs="Arial"/>
          <w:b/>
          <w:bCs/>
          <w:color w:val="000000"/>
          <w:szCs w:val="18"/>
        </w:rPr>
      </w:pPr>
    </w:p>
    <w:p w:rsidR="006F6FD0" w:rsidRPr="006F6FD0" w:rsidRDefault="006F6FD0" w:rsidP="006F6FD0">
      <w:pPr>
        <w:autoSpaceDE w:val="0"/>
        <w:autoSpaceDN w:val="0"/>
        <w:adjustRightInd w:val="0"/>
        <w:jc w:val="both"/>
        <w:rPr>
          <w:rFonts w:ascii="Arial" w:hAnsi="Arial" w:cs="Arial"/>
          <w:b/>
          <w:color w:val="000000"/>
          <w:sz w:val="20"/>
        </w:rPr>
      </w:pPr>
      <w:r w:rsidRPr="006F6FD0">
        <w:rPr>
          <w:rFonts w:ascii="Arial" w:hAnsi="Arial" w:cs="Arial"/>
          <w:b/>
          <w:color w:val="000000"/>
          <w:sz w:val="20"/>
        </w:rPr>
        <w:t>INFORME DE LOS AUDITORES INDEPENDIENTES</w:t>
      </w:r>
    </w:p>
    <w:p w:rsidR="006F6FD0" w:rsidRPr="006F6FD0" w:rsidRDefault="006F6FD0" w:rsidP="006F6FD0">
      <w:pPr>
        <w:autoSpaceDE w:val="0"/>
        <w:autoSpaceDN w:val="0"/>
        <w:adjustRightInd w:val="0"/>
        <w:jc w:val="both"/>
        <w:rPr>
          <w:rFonts w:ascii="Arial" w:hAnsi="Arial" w:cs="Arial"/>
          <w:color w:val="000000"/>
          <w:sz w:val="20"/>
        </w:rPr>
      </w:pPr>
      <w:r w:rsidRPr="006F6FD0">
        <w:rPr>
          <w:rFonts w:ascii="Arial" w:hAnsi="Arial" w:cs="Arial"/>
          <w:color w:val="000000"/>
          <w:sz w:val="20"/>
        </w:rPr>
        <w:t>A los Señores Directores de</w:t>
      </w:r>
    </w:p>
    <w:p w:rsidR="006F6FD0" w:rsidRPr="006F6FD0" w:rsidRDefault="006F6FD0" w:rsidP="006F6FD0">
      <w:pPr>
        <w:autoSpaceDE w:val="0"/>
        <w:autoSpaceDN w:val="0"/>
        <w:adjustRightInd w:val="0"/>
        <w:jc w:val="both"/>
        <w:rPr>
          <w:rFonts w:ascii="Arial" w:hAnsi="Arial" w:cs="Arial"/>
          <w:b/>
          <w:color w:val="000000"/>
          <w:sz w:val="20"/>
        </w:rPr>
      </w:pPr>
      <w:r w:rsidRPr="006F6FD0">
        <w:rPr>
          <w:rFonts w:ascii="Arial" w:hAnsi="Arial" w:cs="Arial"/>
          <w:b/>
          <w:color w:val="000000"/>
          <w:sz w:val="20"/>
        </w:rPr>
        <w:t xml:space="preserve">ELECTROTÉCNICA FAMAR S.A.C.I.I.E. </w:t>
      </w:r>
    </w:p>
    <w:p w:rsidR="006F6FD0" w:rsidRPr="006F6FD0" w:rsidRDefault="006F6FD0" w:rsidP="006F6FD0">
      <w:pPr>
        <w:autoSpaceDE w:val="0"/>
        <w:autoSpaceDN w:val="0"/>
        <w:adjustRightInd w:val="0"/>
        <w:jc w:val="both"/>
        <w:rPr>
          <w:rFonts w:ascii="Arial" w:hAnsi="Arial" w:cs="Arial"/>
          <w:color w:val="000000"/>
          <w:sz w:val="20"/>
        </w:rPr>
      </w:pPr>
      <w:r w:rsidRPr="006F6FD0">
        <w:rPr>
          <w:rFonts w:ascii="Arial" w:hAnsi="Arial" w:cs="Arial"/>
          <w:color w:val="000000"/>
          <w:sz w:val="20"/>
        </w:rPr>
        <w:t xml:space="preserve">Domicilio legal: </w:t>
      </w:r>
      <w:proofErr w:type="spellStart"/>
      <w:r w:rsidRPr="006F6FD0">
        <w:rPr>
          <w:rFonts w:ascii="Arial" w:hAnsi="Arial" w:cs="Arial"/>
          <w:color w:val="000000"/>
          <w:sz w:val="20"/>
        </w:rPr>
        <w:t>Rodney</w:t>
      </w:r>
      <w:proofErr w:type="spellEnd"/>
      <w:r w:rsidRPr="006F6FD0">
        <w:rPr>
          <w:rFonts w:ascii="Arial" w:hAnsi="Arial" w:cs="Arial"/>
          <w:color w:val="000000"/>
          <w:sz w:val="20"/>
        </w:rPr>
        <w:t xml:space="preserve"> 70</w:t>
      </w:r>
    </w:p>
    <w:p w:rsidR="006F6FD0" w:rsidRPr="006F6FD0" w:rsidRDefault="006F6FD0" w:rsidP="006F6FD0">
      <w:pPr>
        <w:autoSpaceDE w:val="0"/>
        <w:autoSpaceDN w:val="0"/>
        <w:adjustRightInd w:val="0"/>
        <w:jc w:val="both"/>
        <w:rPr>
          <w:rFonts w:ascii="Arial" w:hAnsi="Arial" w:cs="Arial"/>
          <w:color w:val="000000"/>
          <w:sz w:val="20"/>
        </w:rPr>
      </w:pPr>
      <w:r w:rsidRPr="006F6FD0">
        <w:rPr>
          <w:rFonts w:ascii="Arial" w:hAnsi="Arial" w:cs="Arial"/>
          <w:color w:val="000000"/>
          <w:sz w:val="20"/>
        </w:rPr>
        <w:t>Ciudad Autónoma de Buenos Aires – República Argentina</w:t>
      </w:r>
    </w:p>
    <w:p w:rsidR="006F6FD0" w:rsidRPr="006F6FD0" w:rsidRDefault="006F6FD0" w:rsidP="006F6FD0">
      <w:pPr>
        <w:autoSpaceDE w:val="0"/>
        <w:autoSpaceDN w:val="0"/>
        <w:adjustRightInd w:val="0"/>
        <w:jc w:val="both"/>
        <w:rPr>
          <w:rFonts w:ascii="Arial" w:hAnsi="Arial" w:cs="Arial"/>
          <w:color w:val="000000"/>
          <w:sz w:val="20"/>
        </w:rPr>
      </w:pPr>
      <w:r w:rsidRPr="006F6FD0">
        <w:rPr>
          <w:rFonts w:ascii="Arial" w:hAnsi="Arial" w:cs="Arial"/>
          <w:color w:val="000000"/>
          <w:sz w:val="20"/>
        </w:rPr>
        <w:t>(C.U.I.T.: 30-50434732-6)</w:t>
      </w:r>
    </w:p>
    <w:p w:rsidR="006F6FD0" w:rsidRPr="006F6FD0" w:rsidRDefault="006F6FD0" w:rsidP="006F6FD0">
      <w:pPr>
        <w:autoSpaceDE w:val="0"/>
        <w:autoSpaceDN w:val="0"/>
        <w:adjustRightInd w:val="0"/>
        <w:jc w:val="both"/>
        <w:rPr>
          <w:rFonts w:ascii="Arial" w:hAnsi="Arial" w:cs="Arial"/>
          <w:b/>
          <w:color w:val="000000"/>
          <w:sz w:val="20"/>
        </w:rPr>
      </w:pPr>
    </w:p>
    <w:p w:rsidR="00A05A2A" w:rsidRPr="00B93171" w:rsidRDefault="00A05A2A" w:rsidP="00A05A2A">
      <w:pPr>
        <w:autoSpaceDE w:val="0"/>
        <w:autoSpaceDN w:val="0"/>
        <w:adjustRightInd w:val="0"/>
        <w:jc w:val="both"/>
        <w:rPr>
          <w:rFonts w:ascii="Arial" w:hAnsi="Arial" w:cs="Arial"/>
          <w:color w:val="000000"/>
          <w:sz w:val="20"/>
        </w:rPr>
      </w:pPr>
    </w:p>
    <w:p w:rsidR="00A05A2A" w:rsidRPr="00B93171" w:rsidRDefault="00A05A2A" w:rsidP="00965F33">
      <w:pPr>
        <w:pStyle w:val="Prrafodelista"/>
        <w:numPr>
          <w:ilvl w:val="0"/>
          <w:numId w:val="12"/>
        </w:numPr>
        <w:autoSpaceDE w:val="0"/>
        <w:autoSpaceDN w:val="0"/>
        <w:adjustRightInd w:val="0"/>
        <w:ind w:left="284" w:hanging="284"/>
        <w:jc w:val="both"/>
        <w:rPr>
          <w:rFonts w:ascii="Arial" w:hAnsi="Arial" w:cs="Arial"/>
          <w:color w:val="000000"/>
        </w:rPr>
      </w:pPr>
      <w:r w:rsidRPr="00B93171">
        <w:rPr>
          <w:rFonts w:ascii="Arial" w:hAnsi="Arial" w:cs="Arial"/>
          <w:b/>
          <w:color w:val="000000"/>
        </w:rPr>
        <w:t xml:space="preserve">Informe sobre los estados contables </w:t>
      </w:r>
    </w:p>
    <w:p w:rsidR="00B93171" w:rsidRPr="00B93171" w:rsidRDefault="00B93171" w:rsidP="00B93171">
      <w:pPr>
        <w:pStyle w:val="Prrafodelista"/>
        <w:autoSpaceDE w:val="0"/>
        <w:autoSpaceDN w:val="0"/>
        <w:adjustRightInd w:val="0"/>
        <w:ind w:left="284"/>
        <w:jc w:val="both"/>
        <w:rPr>
          <w:rFonts w:ascii="Arial" w:hAnsi="Arial" w:cs="Arial"/>
          <w:b/>
          <w:color w:val="000000"/>
        </w:rPr>
      </w:pPr>
    </w:p>
    <w:p w:rsidR="00B93171" w:rsidRPr="00B93171" w:rsidRDefault="00B93171" w:rsidP="00B93171">
      <w:pPr>
        <w:pStyle w:val="Prrafodelista"/>
        <w:autoSpaceDE w:val="0"/>
        <w:autoSpaceDN w:val="0"/>
        <w:adjustRightInd w:val="0"/>
        <w:ind w:left="284"/>
        <w:jc w:val="both"/>
        <w:rPr>
          <w:rFonts w:ascii="Arial" w:hAnsi="Arial" w:cs="Arial"/>
          <w:b/>
          <w:color w:val="000000"/>
        </w:rPr>
      </w:pPr>
      <w:r w:rsidRPr="00B93171">
        <w:rPr>
          <w:rFonts w:ascii="Arial" w:hAnsi="Arial" w:cs="Arial"/>
          <w:b/>
          <w:color w:val="000000"/>
        </w:rPr>
        <w:t>Introducción</w:t>
      </w:r>
    </w:p>
    <w:p w:rsidR="006F6FD0" w:rsidRPr="006F6FD0" w:rsidRDefault="006F6FD0" w:rsidP="006F6FD0">
      <w:pPr>
        <w:autoSpaceDE w:val="0"/>
        <w:autoSpaceDN w:val="0"/>
        <w:adjustRightInd w:val="0"/>
        <w:jc w:val="both"/>
        <w:rPr>
          <w:rFonts w:ascii="Arial" w:hAnsi="Arial" w:cs="Arial"/>
          <w:b/>
          <w:color w:val="000000"/>
          <w:sz w:val="20"/>
        </w:rPr>
      </w:pPr>
    </w:p>
    <w:p w:rsidR="006F6FD0" w:rsidRPr="006F6FD0" w:rsidRDefault="006F6FD0" w:rsidP="00B93171">
      <w:pPr>
        <w:autoSpaceDE w:val="0"/>
        <w:autoSpaceDN w:val="0"/>
        <w:adjustRightInd w:val="0"/>
        <w:ind w:left="709" w:hanging="425"/>
        <w:jc w:val="both"/>
        <w:rPr>
          <w:rFonts w:ascii="Arial" w:hAnsi="Arial" w:cs="Arial"/>
          <w:color w:val="000000"/>
          <w:sz w:val="20"/>
        </w:rPr>
      </w:pPr>
      <w:r w:rsidRPr="006F6FD0">
        <w:rPr>
          <w:rFonts w:ascii="Arial" w:hAnsi="Arial" w:cs="Arial"/>
          <w:color w:val="000000"/>
          <w:sz w:val="20"/>
        </w:rPr>
        <w:t>1.</w:t>
      </w:r>
      <w:r w:rsidRPr="006F6FD0">
        <w:rPr>
          <w:rFonts w:ascii="Arial" w:hAnsi="Arial" w:cs="Arial"/>
          <w:b/>
          <w:color w:val="000000"/>
          <w:sz w:val="20"/>
        </w:rPr>
        <w:tab/>
      </w:r>
      <w:r w:rsidRPr="006F6FD0">
        <w:rPr>
          <w:rFonts w:ascii="Arial" w:hAnsi="Arial" w:cs="Arial"/>
          <w:color w:val="000000"/>
          <w:sz w:val="20"/>
        </w:rPr>
        <w:t xml:space="preserve">Hemos auditado los estados contables adjuntos de ELECTROTÉCNICA FAMAR S.A.C.I.I.E. (la “Sociedad”) que comprenden: (a) el estado de situación patrimonial al 31 de diciembre de 2019, (b) los estados de resultados, de evolución del patrimonio neto y de flujo de efectivo por el ejercicio finalizado en esa fecha, y (c) un resumen de las políticas contables significativas y otra información explicativa. </w:t>
      </w:r>
    </w:p>
    <w:p w:rsidR="006F6FD0" w:rsidRPr="006F6FD0" w:rsidRDefault="006F6FD0" w:rsidP="00B93171">
      <w:pPr>
        <w:autoSpaceDE w:val="0"/>
        <w:autoSpaceDN w:val="0"/>
        <w:adjustRightInd w:val="0"/>
        <w:ind w:left="709" w:hanging="425"/>
        <w:jc w:val="both"/>
        <w:rPr>
          <w:rFonts w:ascii="Arial" w:hAnsi="Arial" w:cs="Arial"/>
          <w:color w:val="000000"/>
          <w:sz w:val="20"/>
        </w:rPr>
      </w:pPr>
    </w:p>
    <w:p w:rsidR="006F6FD0" w:rsidRPr="00B93171" w:rsidRDefault="006F6FD0" w:rsidP="00B93171">
      <w:pPr>
        <w:autoSpaceDE w:val="0"/>
        <w:autoSpaceDN w:val="0"/>
        <w:adjustRightInd w:val="0"/>
        <w:ind w:firstLine="284"/>
        <w:jc w:val="both"/>
        <w:rPr>
          <w:rFonts w:ascii="Arial" w:hAnsi="Arial" w:cs="Arial"/>
          <w:b/>
          <w:color w:val="000000"/>
          <w:sz w:val="20"/>
        </w:rPr>
      </w:pPr>
      <w:r w:rsidRPr="00B93171">
        <w:rPr>
          <w:rFonts w:ascii="Arial" w:hAnsi="Arial" w:cs="Arial"/>
          <w:b/>
          <w:color w:val="000000"/>
          <w:sz w:val="20"/>
        </w:rPr>
        <w:t>Responsabilidad de la Dirección de la Sociedad en relación con los estados contables</w:t>
      </w:r>
    </w:p>
    <w:p w:rsidR="006F6FD0" w:rsidRPr="00B93171" w:rsidRDefault="006F6FD0" w:rsidP="00B93171">
      <w:pPr>
        <w:autoSpaceDE w:val="0"/>
        <w:autoSpaceDN w:val="0"/>
        <w:adjustRightInd w:val="0"/>
        <w:ind w:firstLine="284"/>
        <w:jc w:val="both"/>
        <w:rPr>
          <w:rFonts w:ascii="Arial" w:hAnsi="Arial" w:cs="Arial"/>
          <w:b/>
          <w:color w:val="000000"/>
          <w:sz w:val="20"/>
        </w:rPr>
      </w:pPr>
    </w:p>
    <w:p w:rsidR="006F6FD0" w:rsidRPr="006F6FD0" w:rsidRDefault="006F6FD0" w:rsidP="00B93171">
      <w:pPr>
        <w:autoSpaceDE w:val="0"/>
        <w:autoSpaceDN w:val="0"/>
        <w:adjustRightInd w:val="0"/>
        <w:ind w:left="709" w:hanging="425"/>
        <w:jc w:val="both"/>
        <w:rPr>
          <w:rFonts w:ascii="Arial" w:hAnsi="Arial" w:cs="Arial"/>
          <w:color w:val="000000"/>
          <w:sz w:val="20"/>
        </w:rPr>
      </w:pPr>
      <w:r w:rsidRPr="006F6FD0">
        <w:rPr>
          <w:rFonts w:ascii="Arial" w:hAnsi="Arial" w:cs="Arial"/>
          <w:color w:val="000000"/>
          <w:sz w:val="20"/>
        </w:rPr>
        <w:t>2.</w:t>
      </w:r>
      <w:r w:rsidRPr="006F6FD0">
        <w:rPr>
          <w:rFonts w:ascii="Arial" w:hAnsi="Arial" w:cs="Arial"/>
          <w:color w:val="000000"/>
          <w:sz w:val="20"/>
        </w:rPr>
        <w:tab/>
        <w:t>La Dirección de la Sociedad es responsable por la preparación y presentación de los estados contables adjuntos de conformidad con el marco de información contable prescripto por la Inspección General de Justicia (IGJ), que, tal como se indica en la Nota 2.a) a los estados contables adjuntos, requiere aplicar las normas contables profesionales argentinas vigentes en la Ciudad Autónoma de Buenos Aires, en cuanto no esté  previsto de diferente forma en la ley, disposiciones reglamentarias  o resoluciones de dicho organismo de control. La Dirección de la Sociedad es también responsable del control interno que considere necesario para permitir la preparación de estados contables libre de distorsiones significativas, ya sea debido a errores o irregularidades.</w:t>
      </w:r>
    </w:p>
    <w:p w:rsidR="006F6FD0" w:rsidRPr="006F6FD0" w:rsidRDefault="006F6FD0" w:rsidP="00B93171">
      <w:pPr>
        <w:autoSpaceDE w:val="0"/>
        <w:autoSpaceDN w:val="0"/>
        <w:adjustRightInd w:val="0"/>
        <w:ind w:left="709" w:hanging="425"/>
        <w:jc w:val="both"/>
        <w:rPr>
          <w:rFonts w:ascii="Arial" w:hAnsi="Arial" w:cs="Arial"/>
          <w:b/>
          <w:color w:val="000000"/>
          <w:sz w:val="20"/>
        </w:rPr>
      </w:pPr>
    </w:p>
    <w:p w:rsidR="006F6FD0" w:rsidRPr="006F6FD0" w:rsidRDefault="006F6FD0" w:rsidP="00B93171">
      <w:pPr>
        <w:autoSpaceDE w:val="0"/>
        <w:autoSpaceDN w:val="0"/>
        <w:adjustRightInd w:val="0"/>
        <w:ind w:firstLine="284"/>
        <w:jc w:val="both"/>
        <w:rPr>
          <w:rFonts w:ascii="Arial" w:hAnsi="Arial" w:cs="Arial"/>
          <w:b/>
          <w:color w:val="000000"/>
          <w:sz w:val="20"/>
        </w:rPr>
      </w:pPr>
      <w:r w:rsidRPr="006F6FD0">
        <w:rPr>
          <w:rFonts w:ascii="Arial" w:hAnsi="Arial" w:cs="Arial"/>
          <w:b/>
          <w:color w:val="000000"/>
          <w:sz w:val="20"/>
        </w:rPr>
        <w:t xml:space="preserve">Responsabilidad del Auditor </w:t>
      </w:r>
    </w:p>
    <w:p w:rsidR="006F6FD0" w:rsidRPr="006F6FD0" w:rsidRDefault="006F6FD0" w:rsidP="006F6FD0">
      <w:pPr>
        <w:autoSpaceDE w:val="0"/>
        <w:autoSpaceDN w:val="0"/>
        <w:adjustRightInd w:val="0"/>
        <w:jc w:val="both"/>
        <w:rPr>
          <w:rFonts w:ascii="Arial" w:hAnsi="Arial" w:cs="Arial"/>
          <w:b/>
          <w:color w:val="000000"/>
          <w:sz w:val="20"/>
        </w:rPr>
      </w:pPr>
    </w:p>
    <w:p w:rsidR="006F6FD0" w:rsidRPr="00B93171" w:rsidRDefault="00B93171" w:rsidP="00B93171">
      <w:pPr>
        <w:autoSpaceDE w:val="0"/>
        <w:autoSpaceDN w:val="0"/>
        <w:adjustRightInd w:val="0"/>
        <w:ind w:left="709" w:hanging="425"/>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r>
      <w:r w:rsidR="006F6FD0" w:rsidRPr="00B93171">
        <w:rPr>
          <w:rFonts w:ascii="Arial" w:hAnsi="Arial" w:cs="Arial"/>
          <w:color w:val="000000"/>
          <w:sz w:val="20"/>
        </w:rPr>
        <w:t>Nuestra responsabilidad es expresar una opinión sobre los estados contables adjuntos basada en nuestra auditoría. Hemos realizado nuestro trabajo de conformidad con las normas de auditoría establecidas en la Resolución Técnica N° 37 de la Federación Argentina de Consejos Profesionales de Ciencias Económicas. Dichas normas exigen que cumplamos los requerimientos de ética, así como que planifiquemos y ejecutemos la auditoría con el fin de obtener un grado razonable de seguridad acerca de la inexistencia de distorsiones significativas en los estados contables.</w:t>
      </w:r>
    </w:p>
    <w:p w:rsidR="006F6FD0" w:rsidRPr="00B93171" w:rsidRDefault="006F6FD0" w:rsidP="00B93171">
      <w:pPr>
        <w:autoSpaceDE w:val="0"/>
        <w:autoSpaceDN w:val="0"/>
        <w:adjustRightInd w:val="0"/>
        <w:ind w:left="709" w:hanging="425"/>
        <w:jc w:val="both"/>
        <w:rPr>
          <w:rFonts w:ascii="Arial" w:hAnsi="Arial" w:cs="Arial"/>
          <w:color w:val="000000"/>
          <w:sz w:val="20"/>
        </w:rPr>
      </w:pPr>
    </w:p>
    <w:p w:rsidR="006F6FD0" w:rsidRPr="00B93171" w:rsidRDefault="006F6FD0" w:rsidP="00B93171">
      <w:pPr>
        <w:autoSpaceDE w:val="0"/>
        <w:autoSpaceDN w:val="0"/>
        <w:adjustRightInd w:val="0"/>
        <w:ind w:left="709"/>
        <w:jc w:val="both"/>
        <w:rPr>
          <w:rFonts w:ascii="Arial" w:hAnsi="Arial" w:cs="Arial"/>
          <w:color w:val="000000"/>
          <w:sz w:val="20"/>
        </w:rPr>
      </w:pPr>
      <w:r w:rsidRPr="00B93171">
        <w:rPr>
          <w:rFonts w:ascii="Arial" w:hAnsi="Arial" w:cs="Arial"/>
          <w:color w:val="000000"/>
          <w:sz w:val="20"/>
        </w:rPr>
        <w:t>Una auditoría comprende la aplicación de procedimientos para obtener elementos de juicio sobre las cifras y la información presentada en los estados contables. Los procedimientos seleccionados dependen del juicio profesional del auditor, incluida la valoración de los riesgos de distorsiones significativas en los estados contables, originadas en errores o irregularidades. Al realizar valoraciones de riesgos, el auditor considera el control interno existente en la Sociedad, en lo que sea relevante para la preparación y presentación razonable de los estados contables, con la finalidad de diseñar los procedimientos de auditoría que resulten apropiados en las circunstancias, pero no con el propósito de expresar una opinión sobre la eficacia del sistema de control interno de la Sociedad. Asimismo, una auditoría incluye evaluar que las políticas contables utilizadas sean apropiadas, la razonabilidad de las estimaciones contables efectuadas por la Dirección de la Sociedad y la presentación de los estados contables en su conjunto.</w:t>
      </w:r>
    </w:p>
    <w:p w:rsidR="006F6FD0" w:rsidRPr="00B93171" w:rsidRDefault="006F6FD0" w:rsidP="00B93171">
      <w:pPr>
        <w:autoSpaceDE w:val="0"/>
        <w:autoSpaceDN w:val="0"/>
        <w:adjustRightInd w:val="0"/>
        <w:ind w:left="709" w:hanging="425"/>
        <w:jc w:val="both"/>
        <w:rPr>
          <w:rFonts w:ascii="Arial" w:hAnsi="Arial" w:cs="Arial"/>
          <w:color w:val="000000"/>
          <w:sz w:val="20"/>
        </w:rPr>
      </w:pPr>
    </w:p>
    <w:p w:rsidR="006F6FD0" w:rsidRPr="00B93171" w:rsidRDefault="006F6FD0" w:rsidP="00B93171">
      <w:pPr>
        <w:autoSpaceDE w:val="0"/>
        <w:autoSpaceDN w:val="0"/>
        <w:adjustRightInd w:val="0"/>
        <w:ind w:left="709"/>
        <w:jc w:val="both"/>
        <w:rPr>
          <w:rFonts w:ascii="Arial" w:hAnsi="Arial" w:cs="Arial"/>
          <w:color w:val="000000"/>
          <w:sz w:val="20"/>
        </w:rPr>
      </w:pPr>
      <w:r w:rsidRPr="00B93171">
        <w:rPr>
          <w:rFonts w:ascii="Arial" w:hAnsi="Arial" w:cs="Arial"/>
          <w:color w:val="000000"/>
          <w:sz w:val="20"/>
        </w:rPr>
        <w:t xml:space="preserve">Consideramos que los elementos de juicio obtenidos nos brindan una base suficiente y adecuada para nuestra opinión de auditoría. </w:t>
      </w:r>
    </w:p>
    <w:p w:rsidR="00B93171" w:rsidRDefault="00B93171">
      <w:pPr>
        <w:rPr>
          <w:rFonts w:ascii="Arial" w:hAnsi="Arial" w:cs="Arial"/>
          <w:color w:val="000000"/>
          <w:sz w:val="20"/>
        </w:rPr>
      </w:pPr>
      <w:r>
        <w:rPr>
          <w:rFonts w:ascii="Arial" w:hAnsi="Arial" w:cs="Arial"/>
          <w:color w:val="000000"/>
          <w:sz w:val="20"/>
        </w:rPr>
        <w:br w:type="page"/>
      </w:r>
    </w:p>
    <w:p w:rsidR="006F6FD0" w:rsidRPr="006F6FD0" w:rsidRDefault="006F6FD0" w:rsidP="006F6FD0">
      <w:pPr>
        <w:autoSpaceDE w:val="0"/>
        <w:autoSpaceDN w:val="0"/>
        <w:adjustRightInd w:val="0"/>
        <w:ind w:firstLine="284"/>
        <w:jc w:val="both"/>
        <w:rPr>
          <w:rFonts w:ascii="Arial" w:hAnsi="Arial" w:cs="Arial"/>
          <w:b/>
          <w:color w:val="000000"/>
          <w:sz w:val="20"/>
        </w:rPr>
      </w:pPr>
    </w:p>
    <w:p w:rsidR="006F6FD0" w:rsidRPr="006F6FD0" w:rsidRDefault="006F6FD0" w:rsidP="006F6FD0">
      <w:pPr>
        <w:autoSpaceDE w:val="0"/>
        <w:autoSpaceDN w:val="0"/>
        <w:adjustRightInd w:val="0"/>
        <w:ind w:firstLine="284"/>
        <w:jc w:val="both"/>
        <w:rPr>
          <w:rFonts w:ascii="Arial" w:hAnsi="Arial" w:cs="Arial"/>
          <w:b/>
          <w:color w:val="000000"/>
          <w:sz w:val="20"/>
        </w:rPr>
      </w:pPr>
      <w:r w:rsidRPr="006F6FD0">
        <w:rPr>
          <w:rFonts w:ascii="Arial" w:hAnsi="Arial" w:cs="Arial"/>
          <w:b/>
          <w:color w:val="000000"/>
          <w:sz w:val="20"/>
        </w:rPr>
        <w:t>Opinión</w:t>
      </w:r>
    </w:p>
    <w:p w:rsidR="006F6FD0" w:rsidRPr="006F6FD0" w:rsidRDefault="006F6FD0" w:rsidP="006F6FD0">
      <w:pPr>
        <w:autoSpaceDE w:val="0"/>
        <w:autoSpaceDN w:val="0"/>
        <w:adjustRightInd w:val="0"/>
        <w:ind w:firstLine="284"/>
        <w:jc w:val="both"/>
        <w:rPr>
          <w:rFonts w:ascii="Arial" w:hAnsi="Arial" w:cs="Arial"/>
          <w:b/>
          <w:color w:val="000000"/>
          <w:sz w:val="20"/>
        </w:rPr>
      </w:pPr>
    </w:p>
    <w:p w:rsidR="006F6FD0" w:rsidRPr="00B93171" w:rsidRDefault="006F6FD0" w:rsidP="00B93171">
      <w:pPr>
        <w:autoSpaceDE w:val="0"/>
        <w:autoSpaceDN w:val="0"/>
        <w:adjustRightInd w:val="0"/>
        <w:ind w:left="709" w:hanging="283"/>
        <w:jc w:val="both"/>
        <w:rPr>
          <w:rFonts w:ascii="Arial" w:hAnsi="Arial" w:cs="Arial"/>
          <w:color w:val="000000"/>
          <w:sz w:val="20"/>
        </w:rPr>
      </w:pPr>
      <w:r w:rsidRPr="00B93171">
        <w:rPr>
          <w:rFonts w:ascii="Arial" w:hAnsi="Arial" w:cs="Arial"/>
          <w:color w:val="000000"/>
          <w:sz w:val="20"/>
        </w:rPr>
        <w:t>4.</w:t>
      </w:r>
      <w:r w:rsidRPr="00B93171">
        <w:rPr>
          <w:rFonts w:ascii="Arial" w:hAnsi="Arial" w:cs="Arial"/>
          <w:color w:val="000000"/>
          <w:sz w:val="20"/>
        </w:rPr>
        <w:tab/>
        <w:t xml:space="preserve">En nuestra opinión, los estados contables adjuntos presentan razonablemente, en todos sus aspectos significativos, la situación patrimonial de ELECTROTÉCNICA FAMAR S.A.C.I.I.E. al 31 de diciembre de 2019, así como sus resultados y el flujo de su efectivo correspondientes al ejercicio finalizado en esa fecha, de conformidad con el marco de información contable mencionado en el párrafo 2. </w:t>
      </w:r>
    </w:p>
    <w:p w:rsidR="006F6FD0" w:rsidRPr="006F6FD0" w:rsidRDefault="006F6FD0" w:rsidP="006F6FD0">
      <w:pPr>
        <w:autoSpaceDE w:val="0"/>
        <w:autoSpaceDN w:val="0"/>
        <w:adjustRightInd w:val="0"/>
        <w:ind w:firstLine="284"/>
        <w:jc w:val="both"/>
        <w:rPr>
          <w:rFonts w:ascii="Arial" w:hAnsi="Arial" w:cs="Arial"/>
          <w:b/>
          <w:color w:val="000000"/>
          <w:sz w:val="20"/>
        </w:rPr>
      </w:pPr>
    </w:p>
    <w:p w:rsidR="006F6FD0" w:rsidRPr="006F6FD0" w:rsidRDefault="006F6FD0" w:rsidP="006F6FD0">
      <w:pPr>
        <w:autoSpaceDE w:val="0"/>
        <w:autoSpaceDN w:val="0"/>
        <w:adjustRightInd w:val="0"/>
        <w:ind w:firstLine="284"/>
        <w:jc w:val="both"/>
        <w:rPr>
          <w:rFonts w:ascii="Arial" w:hAnsi="Arial" w:cs="Arial"/>
          <w:b/>
          <w:color w:val="000000"/>
          <w:sz w:val="20"/>
        </w:rPr>
      </w:pPr>
      <w:r w:rsidRPr="006F6FD0">
        <w:rPr>
          <w:rFonts w:ascii="Arial" w:hAnsi="Arial" w:cs="Arial"/>
          <w:b/>
          <w:color w:val="000000"/>
          <w:sz w:val="20"/>
        </w:rPr>
        <w:t>Otras cuestiones</w:t>
      </w:r>
    </w:p>
    <w:p w:rsidR="006F6FD0" w:rsidRPr="006F6FD0" w:rsidRDefault="006F6FD0" w:rsidP="006F6FD0">
      <w:pPr>
        <w:autoSpaceDE w:val="0"/>
        <w:autoSpaceDN w:val="0"/>
        <w:adjustRightInd w:val="0"/>
        <w:ind w:firstLine="284"/>
        <w:jc w:val="both"/>
        <w:rPr>
          <w:rFonts w:ascii="Arial" w:hAnsi="Arial" w:cs="Arial"/>
          <w:b/>
          <w:color w:val="000000"/>
          <w:sz w:val="20"/>
        </w:rPr>
      </w:pPr>
    </w:p>
    <w:p w:rsidR="006F6FD0" w:rsidRPr="00B93171" w:rsidRDefault="006F6FD0" w:rsidP="00B93171">
      <w:pPr>
        <w:autoSpaceDE w:val="0"/>
        <w:autoSpaceDN w:val="0"/>
        <w:adjustRightInd w:val="0"/>
        <w:ind w:left="709" w:hanging="283"/>
        <w:jc w:val="both"/>
        <w:rPr>
          <w:rFonts w:ascii="Arial" w:hAnsi="Arial" w:cs="Arial"/>
          <w:color w:val="000000"/>
          <w:sz w:val="20"/>
        </w:rPr>
      </w:pPr>
      <w:r w:rsidRPr="00B93171">
        <w:rPr>
          <w:rFonts w:ascii="Arial" w:hAnsi="Arial" w:cs="Arial"/>
          <w:color w:val="000000"/>
          <w:sz w:val="20"/>
        </w:rPr>
        <w:t>5.</w:t>
      </w:r>
      <w:r w:rsidRPr="00B93171">
        <w:rPr>
          <w:rFonts w:ascii="Arial" w:hAnsi="Arial" w:cs="Arial"/>
          <w:color w:val="000000"/>
          <w:sz w:val="20"/>
        </w:rPr>
        <w:tab/>
        <w:t>Los estados contables de la Sociedad correspondientes al ejercicio finalizado el 31 de diciembre de 2018 no fueron auditados por nosotros sino por otro auditor, que con fecha 29 de abril de 2019 expresó sobre dichos estados contables una opinión sin salvedades.</w:t>
      </w:r>
    </w:p>
    <w:p w:rsidR="006F6FD0" w:rsidRPr="00B93171" w:rsidRDefault="006F6FD0" w:rsidP="00B93171">
      <w:pPr>
        <w:autoSpaceDE w:val="0"/>
        <w:autoSpaceDN w:val="0"/>
        <w:adjustRightInd w:val="0"/>
        <w:ind w:left="709" w:hanging="283"/>
        <w:jc w:val="both"/>
        <w:rPr>
          <w:rFonts w:ascii="Arial" w:hAnsi="Arial" w:cs="Arial"/>
          <w:color w:val="000000"/>
          <w:sz w:val="20"/>
        </w:rPr>
      </w:pPr>
    </w:p>
    <w:p w:rsidR="006F6FD0" w:rsidRPr="006F6FD0" w:rsidRDefault="006F6FD0" w:rsidP="006F6FD0">
      <w:pPr>
        <w:autoSpaceDE w:val="0"/>
        <w:autoSpaceDN w:val="0"/>
        <w:adjustRightInd w:val="0"/>
        <w:ind w:firstLine="284"/>
        <w:jc w:val="both"/>
        <w:rPr>
          <w:rFonts w:ascii="Arial" w:hAnsi="Arial" w:cs="Arial"/>
          <w:b/>
          <w:color w:val="000000"/>
          <w:sz w:val="20"/>
        </w:rPr>
      </w:pPr>
    </w:p>
    <w:p w:rsidR="006F6FD0" w:rsidRPr="006F6FD0" w:rsidRDefault="006F6FD0" w:rsidP="006F6FD0">
      <w:pPr>
        <w:autoSpaceDE w:val="0"/>
        <w:autoSpaceDN w:val="0"/>
        <w:adjustRightInd w:val="0"/>
        <w:ind w:firstLine="284"/>
        <w:jc w:val="both"/>
        <w:rPr>
          <w:rFonts w:ascii="Arial" w:hAnsi="Arial" w:cs="Arial"/>
          <w:b/>
          <w:color w:val="000000"/>
          <w:sz w:val="20"/>
        </w:rPr>
      </w:pPr>
      <w:r w:rsidRPr="006F6FD0">
        <w:rPr>
          <w:rFonts w:ascii="Arial" w:hAnsi="Arial" w:cs="Arial"/>
          <w:b/>
          <w:color w:val="000000"/>
          <w:sz w:val="20"/>
        </w:rPr>
        <w:t>II.</w:t>
      </w:r>
      <w:r w:rsidRPr="006F6FD0">
        <w:rPr>
          <w:rFonts w:ascii="Arial" w:hAnsi="Arial" w:cs="Arial"/>
          <w:b/>
          <w:color w:val="000000"/>
          <w:sz w:val="20"/>
        </w:rPr>
        <w:tab/>
        <w:t>Informe sobre otros requerimientos legales y regulatorios</w:t>
      </w:r>
    </w:p>
    <w:p w:rsidR="006F6FD0" w:rsidRPr="006F6FD0" w:rsidRDefault="006F6FD0" w:rsidP="006F6FD0">
      <w:pPr>
        <w:autoSpaceDE w:val="0"/>
        <w:autoSpaceDN w:val="0"/>
        <w:adjustRightInd w:val="0"/>
        <w:ind w:firstLine="284"/>
        <w:jc w:val="both"/>
        <w:rPr>
          <w:rFonts w:ascii="Arial" w:hAnsi="Arial" w:cs="Arial"/>
          <w:b/>
          <w:color w:val="000000"/>
          <w:sz w:val="20"/>
        </w:rPr>
      </w:pPr>
    </w:p>
    <w:p w:rsidR="006F6FD0" w:rsidRPr="00B93171" w:rsidRDefault="006F6FD0" w:rsidP="006F6FD0">
      <w:pPr>
        <w:autoSpaceDE w:val="0"/>
        <w:autoSpaceDN w:val="0"/>
        <w:adjustRightInd w:val="0"/>
        <w:ind w:firstLine="284"/>
        <w:jc w:val="both"/>
        <w:rPr>
          <w:rFonts w:ascii="Arial" w:hAnsi="Arial" w:cs="Arial"/>
          <w:color w:val="000000"/>
          <w:sz w:val="20"/>
        </w:rPr>
      </w:pPr>
      <w:r w:rsidRPr="00B93171">
        <w:rPr>
          <w:rFonts w:ascii="Arial" w:hAnsi="Arial" w:cs="Arial"/>
          <w:color w:val="000000"/>
          <w:sz w:val="20"/>
        </w:rPr>
        <w:t>En cumplimiento de disposiciones vigentes informamos que:</w:t>
      </w:r>
    </w:p>
    <w:p w:rsidR="006F6FD0" w:rsidRPr="00B93171" w:rsidRDefault="006F6FD0" w:rsidP="006F6FD0">
      <w:pPr>
        <w:autoSpaceDE w:val="0"/>
        <w:autoSpaceDN w:val="0"/>
        <w:adjustRightInd w:val="0"/>
        <w:ind w:firstLine="284"/>
        <w:jc w:val="both"/>
        <w:rPr>
          <w:rFonts w:ascii="Arial" w:hAnsi="Arial" w:cs="Arial"/>
          <w:color w:val="000000"/>
          <w:sz w:val="20"/>
        </w:rPr>
      </w:pPr>
    </w:p>
    <w:p w:rsidR="00A05A2A" w:rsidRDefault="006F6FD0" w:rsidP="00B93171">
      <w:pPr>
        <w:pStyle w:val="Prrafodelista"/>
        <w:numPr>
          <w:ilvl w:val="0"/>
          <w:numId w:val="35"/>
        </w:numPr>
        <w:autoSpaceDE w:val="0"/>
        <w:autoSpaceDN w:val="0"/>
        <w:adjustRightInd w:val="0"/>
        <w:jc w:val="both"/>
        <w:rPr>
          <w:rFonts w:ascii="Arial" w:hAnsi="Arial" w:cs="Arial"/>
          <w:color w:val="000000"/>
        </w:rPr>
      </w:pPr>
      <w:r w:rsidRPr="00B93171">
        <w:rPr>
          <w:rFonts w:ascii="Arial" w:hAnsi="Arial" w:cs="Arial"/>
          <w:color w:val="000000"/>
        </w:rPr>
        <w:t>Excepto por lo mencionado en la Nota 8, los estados contables mencionados en el párrafo 1. surgen de los registros contables llevados, en sus aspectos formales, de conformidad con las normas legales vigentes.</w:t>
      </w:r>
      <w:r w:rsidR="00D06DBA">
        <w:rPr>
          <w:rFonts w:ascii="Arial" w:hAnsi="Arial" w:cs="Arial"/>
          <w:color w:val="000000"/>
        </w:rPr>
        <w:br/>
      </w:r>
    </w:p>
    <w:p w:rsidR="00B93171" w:rsidRPr="00B93171" w:rsidRDefault="00B93171" w:rsidP="00B93171">
      <w:pPr>
        <w:pStyle w:val="Prrafodelista"/>
        <w:numPr>
          <w:ilvl w:val="0"/>
          <w:numId w:val="35"/>
        </w:numPr>
        <w:autoSpaceDE w:val="0"/>
        <w:autoSpaceDN w:val="0"/>
        <w:adjustRightInd w:val="0"/>
        <w:jc w:val="both"/>
        <w:rPr>
          <w:rFonts w:ascii="Arial" w:hAnsi="Arial" w:cs="Arial"/>
          <w:color w:val="000000"/>
        </w:rPr>
      </w:pPr>
      <w:r>
        <w:rPr>
          <w:rFonts w:ascii="Arial" w:hAnsi="Arial" w:cs="Arial"/>
          <w:color w:val="000000"/>
        </w:rPr>
        <w:t>A</w:t>
      </w:r>
      <w:r w:rsidRPr="00B93171">
        <w:rPr>
          <w:rFonts w:ascii="Arial" w:hAnsi="Arial" w:cs="Arial"/>
          <w:color w:val="000000"/>
        </w:rPr>
        <w:t>l 31 de diciembre de 2019, la deuda devengada en concepto de aportes y contribuciones con destino al Sistema Integrado Previsional Argentino, que surge de los registros contables de la Sociedad, asciende a $</w:t>
      </w:r>
      <w:r>
        <w:rPr>
          <w:rFonts w:ascii="Arial" w:hAnsi="Arial" w:cs="Arial"/>
          <w:color w:val="000000"/>
        </w:rPr>
        <w:t xml:space="preserve">59.765, </w:t>
      </w:r>
      <w:r w:rsidRPr="00B137FA">
        <w:rPr>
          <w:rFonts w:ascii="Arial" w:hAnsi="Arial" w:cs="Arial"/>
          <w:color w:val="000000"/>
        </w:rPr>
        <w:t>no siendo exigible a esa fecha</w:t>
      </w:r>
      <w:r>
        <w:rPr>
          <w:rFonts w:ascii="Arial" w:hAnsi="Arial" w:cs="Arial"/>
          <w:color w:val="000000"/>
        </w:rPr>
        <w:t>.</w:t>
      </w:r>
    </w:p>
    <w:p w:rsidR="00B93171" w:rsidRPr="00B93171" w:rsidRDefault="00B93171" w:rsidP="00B93171">
      <w:pPr>
        <w:pStyle w:val="Prrafodelista"/>
        <w:rPr>
          <w:rFonts w:ascii="Arial" w:hAnsi="Arial" w:cs="Arial"/>
          <w:color w:val="000000"/>
          <w:highlight w:val="yellow"/>
        </w:rPr>
      </w:pPr>
    </w:p>
    <w:p w:rsidR="00B93171" w:rsidRPr="00566235" w:rsidRDefault="00B93171" w:rsidP="00B93171">
      <w:pPr>
        <w:pStyle w:val="Prrafodelista"/>
        <w:numPr>
          <w:ilvl w:val="0"/>
          <w:numId w:val="35"/>
        </w:numPr>
        <w:ind w:right="-96"/>
        <w:contextualSpacing w:val="0"/>
        <w:jc w:val="both"/>
        <w:rPr>
          <w:rFonts w:ascii="Arial" w:hAnsi="Arial" w:cs="Arial"/>
          <w:color w:val="000000"/>
        </w:rPr>
      </w:pPr>
      <w:r w:rsidRPr="00566235">
        <w:rPr>
          <w:rFonts w:ascii="Arial" w:hAnsi="Arial" w:cs="Arial"/>
          <w:color w:val="000000"/>
        </w:rPr>
        <w:t>Hemos aplicado los procedimientos sobre prevención de lavado de activos y financiación del terrorismo previstos en las normas profesionales vigentes.</w:t>
      </w:r>
    </w:p>
    <w:p w:rsidR="00B93171" w:rsidRPr="00566235" w:rsidRDefault="00B93171" w:rsidP="00B93171">
      <w:pPr>
        <w:autoSpaceDE w:val="0"/>
        <w:autoSpaceDN w:val="0"/>
        <w:adjustRightInd w:val="0"/>
        <w:spacing w:line="360" w:lineRule="auto"/>
        <w:jc w:val="both"/>
        <w:rPr>
          <w:rFonts w:ascii="Arial" w:hAnsi="Arial" w:cs="Arial"/>
          <w:color w:val="000000"/>
          <w:sz w:val="20"/>
        </w:rPr>
      </w:pPr>
    </w:p>
    <w:p w:rsidR="00B93171" w:rsidRPr="00566235" w:rsidRDefault="00B93171" w:rsidP="00B93171">
      <w:pPr>
        <w:autoSpaceDE w:val="0"/>
        <w:autoSpaceDN w:val="0"/>
        <w:adjustRightInd w:val="0"/>
        <w:spacing w:line="360" w:lineRule="auto"/>
        <w:ind w:left="1440"/>
        <w:jc w:val="both"/>
        <w:rPr>
          <w:rFonts w:ascii="Arial" w:hAnsi="Arial" w:cs="Arial"/>
          <w:color w:val="000000"/>
          <w:sz w:val="20"/>
        </w:rPr>
      </w:pPr>
    </w:p>
    <w:p w:rsidR="00B93171" w:rsidRPr="00566235" w:rsidRDefault="00B93171" w:rsidP="00B93171">
      <w:pPr>
        <w:tabs>
          <w:tab w:val="left" w:pos="76"/>
          <w:tab w:val="left" w:leader="dot" w:pos="6500"/>
          <w:tab w:val="right" w:pos="9595"/>
        </w:tabs>
        <w:spacing w:line="360" w:lineRule="auto"/>
        <w:ind w:right="-892"/>
        <w:rPr>
          <w:rFonts w:ascii="Arial" w:hAnsi="Arial" w:cs="Arial"/>
          <w:color w:val="000000"/>
          <w:sz w:val="20"/>
        </w:rPr>
      </w:pPr>
      <w:r w:rsidRPr="00566235">
        <w:rPr>
          <w:rFonts w:ascii="Arial" w:hAnsi="Arial" w:cs="Arial"/>
          <w:color w:val="000000"/>
          <w:sz w:val="20"/>
        </w:rPr>
        <w:t>Ciudad Autónoma de Buenos Aires,</w:t>
      </w:r>
    </w:p>
    <w:p w:rsidR="00B93171" w:rsidRPr="00566235" w:rsidRDefault="00B93171" w:rsidP="00B93171">
      <w:pPr>
        <w:tabs>
          <w:tab w:val="left" w:pos="76"/>
          <w:tab w:val="left" w:pos="540"/>
          <w:tab w:val="left" w:leader="dot" w:pos="6500"/>
          <w:tab w:val="right" w:pos="9595"/>
        </w:tabs>
        <w:spacing w:line="360" w:lineRule="auto"/>
        <w:ind w:right="-892"/>
        <w:rPr>
          <w:rFonts w:ascii="Arial" w:hAnsi="Arial" w:cs="Arial"/>
          <w:color w:val="000000"/>
          <w:sz w:val="20"/>
        </w:rPr>
      </w:pPr>
      <w:r w:rsidRPr="00566235">
        <w:rPr>
          <w:rFonts w:ascii="Arial" w:hAnsi="Arial" w:cs="Arial"/>
          <w:color w:val="000000"/>
          <w:sz w:val="20"/>
        </w:rPr>
        <w:t xml:space="preserve">  </w:t>
      </w:r>
      <w:r>
        <w:rPr>
          <w:rFonts w:ascii="Arial" w:hAnsi="Arial" w:cs="Arial"/>
          <w:color w:val="000000"/>
          <w:sz w:val="20"/>
        </w:rPr>
        <w:t>9</w:t>
      </w:r>
      <w:r w:rsidRPr="00566235">
        <w:rPr>
          <w:rFonts w:ascii="Arial" w:hAnsi="Arial" w:cs="Arial"/>
          <w:color w:val="000000"/>
          <w:sz w:val="20"/>
        </w:rPr>
        <w:t xml:space="preserve"> de </w:t>
      </w:r>
      <w:r>
        <w:rPr>
          <w:rFonts w:ascii="Arial" w:hAnsi="Arial" w:cs="Arial"/>
          <w:color w:val="000000"/>
          <w:sz w:val="20"/>
        </w:rPr>
        <w:t>m</w:t>
      </w:r>
      <w:r w:rsidRPr="00566235">
        <w:rPr>
          <w:rFonts w:ascii="Arial" w:hAnsi="Arial" w:cs="Arial"/>
          <w:color w:val="000000"/>
          <w:sz w:val="20"/>
        </w:rPr>
        <w:t>arzo de 20</w:t>
      </w:r>
      <w:r>
        <w:rPr>
          <w:rFonts w:ascii="Arial" w:hAnsi="Arial" w:cs="Arial"/>
          <w:color w:val="000000"/>
          <w:sz w:val="20"/>
        </w:rPr>
        <w:t>20</w:t>
      </w:r>
    </w:p>
    <w:p w:rsidR="00B93171" w:rsidRDefault="00B93171" w:rsidP="00B93171">
      <w:pPr>
        <w:tabs>
          <w:tab w:val="left" w:pos="76"/>
          <w:tab w:val="left" w:pos="540"/>
          <w:tab w:val="left" w:leader="dot" w:pos="6500"/>
          <w:tab w:val="right" w:pos="9595"/>
        </w:tabs>
        <w:spacing w:line="360" w:lineRule="auto"/>
        <w:ind w:right="-892"/>
        <w:rPr>
          <w:rFonts w:ascii="Arial" w:hAnsi="Arial" w:cs="Arial"/>
          <w:color w:val="000000"/>
          <w:sz w:val="20"/>
        </w:rPr>
      </w:pPr>
    </w:p>
    <w:p w:rsidR="00B93171" w:rsidRDefault="00B93171" w:rsidP="00B93171">
      <w:pPr>
        <w:tabs>
          <w:tab w:val="left" w:pos="76"/>
          <w:tab w:val="left" w:pos="540"/>
          <w:tab w:val="left" w:leader="dot" w:pos="6500"/>
          <w:tab w:val="right" w:pos="9595"/>
        </w:tabs>
        <w:spacing w:line="360" w:lineRule="auto"/>
        <w:ind w:right="-892"/>
        <w:rPr>
          <w:rFonts w:ascii="Arial" w:hAnsi="Arial" w:cs="Arial"/>
          <w:color w:val="000000"/>
          <w:sz w:val="20"/>
        </w:rPr>
      </w:pPr>
    </w:p>
    <w:p w:rsidR="00B93171" w:rsidRPr="00566235" w:rsidRDefault="00B93171" w:rsidP="00B93171">
      <w:pPr>
        <w:tabs>
          <w:tab w:val="left" w:pos="76"/>
          <w:tab w:val="left" w:pos="540"/>
          <w:tab w:val="left" w:leader="dot" w:pos="6500"/>
          <w:tab w:val="right" w:pos="9595"/>
        </w:tabs>
        <w:spacing w:line="360" w:lineRule="auto"/>
        <w:ind w:right="-892"/>
        <w:rPr>
          <w:rFonts w:ascii="Arial" w:hAnsi="Arial" w:cs="Arial"/>
          <w:color w:val="000000"/>
          <w:sz w:val="20"/>
        </w:rPr>
      </w:pPr>
    </w:p>
    <w:tbl>
      <w:tblPr>
        <w:tblW w:w="5364" w:type="dxa"/>
        <w:jc w:val="right"/>
        <w:tblLayout w:type="fixed"/>
        <w:tblCellMar>
          <w:left w:w="28" w:type="dxa"/>
          <w:right w:w="28" w:type="dxa"/>
        </w:tblCellMar>
        <w:tblLook w:val="0000" w:firstRow="0" w:lastRow="0" w:firstColumn="0" w:lastColumn="0" w:noHBand="0" w:noVBand="0"/>
      </w:tblPr>
      <w:tblGrid>
        <w:gridCol w:w="5364"/>
      </w:tblGrid>
      <w:tr w:rsidR="00B93171" w:rsidRPr="00566235" w:rsidTr="00E9482D">
        <w:trPr>
          <w:jc w:val="right"/>
        </w:trPr>
        <w:tc>
          <w:tcPr>
            <w:tcW w:w="5364" w:type="dxa"/>
          </w:tcPr>
          <w:p w:rsidR="00B93171" w:rsidRPr="00566235" w:rsidRDefault="00B93171" w:rsidP="00E9482D">
            <w:pPr>
              <w:spacing w:line="360" w:lineRule="auto"/>
              <w:ind w:right="-172"/>
              <w:jc w:val="center"/>
              <w:rPr>
                <w:rFonts w:ascii="Arial" w:hAnsi="Arial" w:cs="Arial"/>
                <w:color w:val="000000"/>
                <w:sz w:val="20"/>
              </w:rPr>
            </w:pPr>
            <w:r w:rsidRPr="00566235">
              <w:rPr>
                <w:rFonts w:ascii="Arial" w:hAnsi="Arial" w:cs="Arial"/>
                <w:color w:val="000000"/>
                <w:sz w:val="20"/>
              </w:rPr>
              <w:t>PISTRELLI, HENRY MARTIN Y ASOCIADOS S.R.L.</w:t>
            </w:r>
          </w:p>
          <w:p w:rsidR="00B93171" w:rsidRPr="00566235" w:rsidRDefault="00B93171" w:rsidP="00E9482D">
            <w:pPr>
              <w:spacing w:line="360" w:lineRule="auto"/>
              <w:ind w:right="-172"/>
              <w:jc w:val="center"/>
              <w:rPr>
                <w:rFonts w:ascii="Arial" w:hAnsi="Arial" w:cs="Arial"/>
                <w:color w:val="000000"/>
                <w:sz w:val="20"/>
              </w:rPr>
            </w:pPr>
            <w:r w:rsidRPr="00566235">
              <w:rPr>
                <w:rFonts w:ascii="Arial" w:hAnsi="Arial" w:cs="Arial"/>
                <w:color w:val="000000"/>
                <w:sz w:val="20"/>
              </w:rPr>
              <w:t xml:space="preserve">C.P.C.E.C.A.B.A. </w:t>
            </w:r>
            <w:proofErr w:type="spellStart"/>
            <w:r w:rsidRPr="00566235">
              <w:rPr>
                <w:rFonts w:ascii="Arial" w:hAnsi="Arial" w:cs="Arial"/>
                <w:color w:val="000000"/>
                <w:sz w:val="20"/>
              </w:rPr>
              <w:t>T°</w:t>
            </w:r>
            <w:proofErr w:type="spellEnd"/>
            <w:r w:rsidRPr="00566235">
              <w:rPr>
                <w:rFonts w:ascii="Arial" w:hAnsi="Arial" w:cs="Arial"/>
                <w:color w:val="000000"/>
                <w:sz w:val="20"/>
              </w:rPr>
              <w:t xml:space="preserve"> 1 - </w:t>
            </w:r>
            <w:proofErr w:type="spellStart"/>
            <w:r w:rsidRPr="00566235">
              <w:rPr>
                <w:rFonts w:ascii="Arial" w:hAnsi="Arial" w:cs="Arial"/>
                <w:color w:val="000000"/>
                <w:sz w:val="20"/>
              </w:rPr>
              <w:t>F°</w:t>
            </w:r>
            <w:proofErr w:type="spellEnd"/>
            <w:r w:rsidRPr="00566235">
              <w:rPr>
                <w:rFonts w:ascii="Arial" w:hAnsi="Arial" w:cs="Arial"/>
                <w:color w:val="000000"/>
                <w:sz w:val="20"/>
              </w:rPr>
              <w:t xml:space="preserve"> 13</w:t>
            </w:r>
          </w:p>
        </w:tc>
      </w:tr>
      <w:tr w:rsidR="00B93171" w:rsidRPr="00566235" w:rsidTr="00E9482D">
        <w:trPr>
          <w:trHeight w:hRule="exact" w:val="600"/>
          <w:jc w:val="right"/>
        </w:trPr>
        <w:tc>
          <w:tcPr>
            <w:tcW w:w="5364" w:type="dxa"/>
          </w:tcPr>
          <w:p w:rsidR="00B93171" w:rsidRPr="00566235" w:rsidRDefault="00B93171" w:rsidP="00E9482D">
            <w:pPr>
              <w:spacing w:line="360" w:lineRule="auto"/>
              <w:ind w:right="-172"/>
              <w:jc w:val="center"/>
              <w:rPr>
                <w:rFonts w:ascii="Arial" w:hAnsi="Arial" w:cs="Arial"/>
                <w:color w:val="000000"/>
                <w:sz w:val="20"/>
              </w:rPr>
            </w:pPr>
          </w:p>
          <w:p w:rsidR="00B93171" w:rsidRPr="00566235" w:rsidRDefault="00B93171" w:rsidP="00E9482D">
            <w:pPr>
              <w:spacing w:line="360" w:lineRule="auto"/>
              <w:ind w:right="-172"/>
              <w:jc w:val="center"/>
              <w:rPr>
                <w:rFonts w:ascii="Arial" w:hAnsi="Arial" w:cs="Arial"/>
                <w:color w:val="000000"/>
                <w:sz w:val="20"/>
              </w:rPr>
            </w:pPr>
          </w:p>
          <w:p w:rsidR="00B93171" w:rsidRPr="00566235" w:rsidRDefault="00B93171" w:rsidP="00E9482D">
            <w:pPr>
              <w:spacing w:line="360" w:lineRule="auto"/>
              <w:ind w:right="-172"/>
              <w:jc w:val="center"/>
              <w:rPr>
                <w:rFonts w:ascii="Arial" w:hAnsi="Arial" w:cs="Arial"/>
                <w:color w:val="000000"/>
                <w:sz w:val="20"/>
              </w:rPr>
            </w:pPr>
          </w:p>
          <w:p w:rsidR="00B93171" w:rsidRPr="00566235" w:rsidRDefault="00B93171" w:rsidP="00E9482D">
            <w:pPr>
              <w:spacing w:line="360" w:lineRule="auto"/>
              <w:ind w:right="-172"/>
              <w:jc w:val="center"/>
              <w:rPr>
                <w:rFonts w:ascii="Arial" w:hAnsi="Arial" w:cs="Arial"/>
                <w:color w:val="000000"/>
                <w:sz w:val="20"/>
              </w:rPr>
            </w:pPr>
          </w:p>
        </w:tc>
      </w:tr>
      <w:tr w:rsidR="00B93171" w:rsidRPr="00921967" w:rsidTr="00E9482D">
        <w:trPr>
          <w:jc w:val="right"/>
        </w:trPr>
        <w:tc>
          <w:tcPr>
            <w:tcW w:w="5364" w:type="dxa"/>
          </w:tcPr>
          <w:p w:rsidR="00B93171" w:rsidRPr="00A662B5" w:rsidRDefault="00B93171" w:rsidP="00E9482D">
            <w:pPr>
              <w:spacing w:line="360" w:lineRule="auto"/>
              <w:ind w:right="-94"/>
              <w:jc w:val="center"/>
              <w:rPr>
                <w:rFonts w:ascii="Arial" w:hAnsi="Arial" w:cs="Arial"/>
                <w:color w:val="000000"/>
                <w:sz w:val="20"/>
              </w:rPr>
            </w:pPr>
            <w:r w:rsidRPr="00A662B5">
              <w:rPr>
                <w:rFonts w:ascii="Arial" w:hAnsi="Arial" w:cs="Arial"/>
                <w:color w:val="000000"/>
                <w:sz w:val="20"/>
              </w:rPr>
              <w:t>KARÉN GRIGORIAN</w:t>
            </w:r>
          </w:p>
          <w:p w:rsidR="00B93171" w:rsidRPr="00A662B5" w:rsidRDefault="00B93171" w:rsidP="00E9482D">
            <w:pPr>
              <w:spacing w:line="360" w:lineRule="auto"/>
              <w:ind w:right="-94"/>
              <w:jc w:val="center"/>
              <w:rPr>
                <w:rFonts w:ascii="Arial" w:hAnsi="Arial" w:cs="Arial"/>
                <w:color w:val="000000"/>
                <w:sz w:val="20"/>
              </w:rPr>
            </w:pPr>
            <w:r w:rsidRPr="00A662B5">
              <w:rPr>
                <w:rFonts w:ascii="Arial" w:hAnsi="Arial" w:cs="Arial"/>
                <w:color w:val="000000"/>
                <w:sz w:val="20"/>
              </w:rPr>
              <w:t>Socio</w:t>
            </w:r>
          </w:p>
          <w:p w:rsidR="00B93171" w:rsidRPr="00A662B5" w:rsidRDefault="00B93171" w:rsidP="00E9482D">
            <w:pPr>
              <w:spacing w:line="360" w:lineRule="auto"/>
              <w:ind w:right="-94"/>
              <w:jc w:val="center"/>
              <w:rPr>
                <w:rFonts w:ascii="Arial" w:hAnsi="Arial" w:cs="Arial"/>
                <w:color w:val="000000"/>
                <w:sz w:val="20"/>
              </w:rPr>
            </w:pPr>
            <w:r w:rsidRPr="00A662B5">
              <w:rPr>
                <w:rFonts w:ascii="Arial" w:hAnsi="Arial" w:cs="Arial"/>
                <w:color w:val="000000"/>
                <w:sz w:val="20"/>
              </w:rPr>
              <w:t>Contador Público U.B.A.</w:t>
            </w:r>
          </w:p>
          <w:p w:rsidR="00B93171" w:rsidRPr="00A662B5" w:rsidRDefault="00B93171" w:rsidP="00E9482D">
            <w:pPr>
              <w:spacing w:line="360" w:lineRule="auto"/>
              <w:ind w:right="-172"/>
              <w:jc w:val="center"/>
              <w:rPr>
                <w:rFonts w:ascii="Arial" w:hAnsi="Arial" w:cs="Arial"/>
                <w:color w:val="000000"/>
                <w:sz w:val="20"/>
              </w:rPr>
            </w:pPr>
            <w:r w:rsidRPr="00A662B5">
              <w:rPr>
                <w:rFonts w:ascii="Arial" w:hAnsi="Arial" w:cs="Arial"/>
                <w:color w:val="000000"/>
                <w:sz w:val="20"/>
              </w:rPr>
              <w:t xml:space="preserve">C.P.C.E.C.A.B.A. </w:t>
            </w:r>
            <w:proofErr w:type="spellStart"/>
            <w:r w:rsidRPr="00A662B5">
              <w:rPr>
                <w:rFonts w:ascii="Arial" w:hAnsi="Arial" w:cs="Arial"/>
                <w:color w:val="000000"/>
                <w:sz w:val="20"/>
              </w:rPr>
              <w:t>T°</w:t>
            </w:r>
            <w:proofErr w:type="spellEnd"/>
            <w:r w:rsidRPr="00A662B5">
              <w:rPr>
                <w:rFonts w:ascii="Arial" w:hAnsi="Arial" w:cs="Arial"/>
                <w:color w:val="000000"/>
                <w:sz w:val="20"/>
              </w:rPr>
              <w:t xml:space="preserve"> 175 - </w:t>
            </w:r>
            <w:proofErr w:type="spellStart"/>
            <w:r w:rsidRPr="00A662B5">
              <w:rPr>
                <w:rFonts w:ascii="Arial" w:hAnsi="Arial" w:cs="Arial"/>
                <w:color w:val="000000"/>
                <w:sz w:val="20"/>
              </w:rPr>
              <w:t>F°</w:t>
            </w:r>
            <w:proofErr w:type="spellEnd"/>
            <w:r w:rsidRPr="00A662B5">
              <w:rPr>
                <w:rFonts w:ascii="Arial" w:hAnsi="Arial" w:cs="Arial"/>
                <w:color w:val="000000"/>
                <w:sz w:val="20"/>
              </w:rPr>
              <w:t xml:space="preserve"> 31</w:t>
            </w:r>
          </w:p>
        </w:tc>
      </w:tr>
    </w:tbl>
    <w:p w:rsidR="0063765E" w:rsidRPr="00D06DBA" w:rsidRDefault="003B5543" w:rsidP="003B5543">
      <w:pPr>
        <w:tabs>
          <w:tab w:val="left" w:pos="0"/>
        </w:tabs>
        <w:autoSpaceDE w:val="0"/>
        <w:autoSpaceDN w:val="0"/>
        <w:adjustRightInd w:val="0"/>
        <w:jc w:val="center"/>
        <w:rPr>
          <w:rFonts w:ascii="Arial" w:hAnsi="Arial" w:cs="Arial"/>
          <w:b/>
          <w:color w:val="000000"/>
          <w:szCs w:val="18"/>
        </w:rPr>
      </w:pPr>
      <w:r w:rsidRPr="000A0A93">
        <w:rPr>
          <w:rFonts w:ascii="Arial" w:hAnsi="Arial" w:cs="Arial"/>
          <w:b/>
          <w:color w:val="000000"/>
          <w:szCs w:val="18"/>
          <w:highlight w:val="yellow"/>
          <w:lang w:val="es-AR"/>
        </w:rPr>
        <w:br w:type="page"/>
      </w:r>
      <w:r w:rsidR="0063765E" w:rsidRPr="00D06DBA">
        <w:rPr>
          <w:rFonts w:ascii="Arial" w:hAnsi="Arial" w:cs="Arial"/>
          <w:b/>
          <w:color w:val="000000"/>
          <w:szCs w:val="18"/>
        </w:rPr>
        <w:t>INFORME DE LA COMISION FISCALIZADORA</w:t>
      </w:r>
    </w:p>
    <w:p w:rsidR="0063765E" w:rsidRPr="00D06DBA" w:rsidRDefault="0063765E" w:rsidP="0063765E">
      <w:pPr>
        <w:tabs>
          <w:tab w:val="left" w:pos="0"/>
        </w:tabs>
        <w:autoSpaceDE w:val="0"/>
        <w:autoSpaceDN w:val="0"/>
        <w:adjustRightInd w:val="0"/>
        <w:jc w:val="center"/>
        <w:rPr>
          <w:rFonts w:ascii="Arial" w:hAnsi="Arial" w:cs="Arial"/>
          <w:b/>
          <w:color w:val="000000"/>
          <w:szCs w:val="18"/>
          <w:u w:val="single"/>
        </w:rPr>
      </w:pPr>
    </w:p>
    <w:p w:rsidR="0063765E" w:rsidRPr="00D06DBA" w:rsidRDefault="0063765E" w:rsidP="0063765E">
      <w:pPr>
        <w:tabs>
          <w:tab w:val="left" w:pos="0"/>
        </w:tabs>
        <w:autoSpaceDE w:val="0"/>
        <w:autoSpaceDN w:val="0"/>
        <w:adjustRightInd w:val="0"/>
        <w:rPr>
          <w:rFonts w:ascii="Arial" w:hAnsi="Arial" w:cs="Arial"/>
          <w:color w:val="000000"/>
          <w:szCs w:val="18"/>
        </w:rPr>
      </w:pPr>
      <w:r w:rsidRPr="00D06DBA">
        <w:rPr>
          <w:rFonts w:ascii="Arial" w:hAnsi="Arial" w:cs="Arial"/>
          <w:color w:val="000000"/>
          <w:szCs w:val="18"/>
        </w:rPr>
        <w:t>A los Señores Directores de</w:t>
      </w:r>
    </w:p>
    <w:p w:rsidR="0063765E" w:rsidRPr="00D06DBA" w:rsidRDefault="00FD1CB5" w:rsidP="0063765E">
      <w:pPr>
        <w:tabs>
          <w:tab w:val="left" w:pos="0"/>
        </w:tabs>
        <w:autoSpaceDE w:val="0"/>
        <w:autoSpaceDN w:val="0"/>
        <w:adjustRightInd w:val="0"/>
        <w:rPr>
          <w:rFonts w:ascii="Arial" w:hAnsi="Arial" w:cs="Arial"/>
          <w:b/>
          <w:color w:val="000000"/>
          <w:szCs w:val="18"/>
        </w:rPr>
      </w:pPr>
      <w:r w:rsidRPr="00D06DBA">
        <w:rPr>
          <w:rFonts w:ascii="Arial" w:hAnsi="Arial" w:cs="Arial"/>
          <w:b/>
          <w:color w:val="000000"/>
          <w:szCs w:val="18"/>
        </w:rPr>
        <w:t>ELECTROTECNICA FAMAR S.A.C.I.I.E.</w:t>
      </w:r>
    </w:p>
    <w:p w:rsidR="0063765E" w:rsidRPr="00D06DBA" w:rsidRDefault="0063765E" w:rsidP="0063765E">
      <w:pPr>
        <w:tabs>
          <w:tab w:val="left" w:pos="0"/>
        </w:tabs>
        <w:autoSpaceDE w:val="0"/>
        <w:autoSpaceDN w:val="0"/>
        <w:adjustRightInd w:val="0"/>
        <w:rPr>
          <w:rFonts w:ascii="Arial" w:hAnsi="Arial" w:cs="Arial"/>
          <w:color w:val="000000"/>
          <w:szCs w:val="18"/>
        </w:rPr>
      </w:pPr>
      <w:r w:rsidRPr="00D06DBA">
        <w:rPr>
          <w:rFonts w:ascii="Arial" w:hAnsi="Arial" w:cs="Arial"/>
          <w:color w:val="000000"/>
          <w:szCs w:val="18"/>
          <w:u w:val="single"/>
        </w:rPr>
        <w:t>Presente</w:t>
      </w:r>
    </w:p>
    <w:p w:rsidR="0063765E" w:rsidRPr="00D06DBA" w:rsidRDefault="0063765E" w:rsidP="0063765E">
      <w:pPr>
        <w:tabs>
          <w:tab w:val="left" w:pos="0"/>
        </w:tabs>
        <w:autoSpaceDE w:val="0"/>
        <w:autoSpaceDN w:val="0"/>
        <w:adjustRightInd w:val="0"/>
        <w:rPr>
          <w:rFonts w:ascii="Arial" w:hAnsi="Arial" w:cs="Arial"/>
          <w:color w:val="000000"/>
          <w:szCs w:val="18"/>
        </w:rPr>
      </w:pPr>
    </w:p>
    <w:p w:rsidR="00D06DBA" w:rsidRPr="00D06DBA" w:rsidRDefault="00D06DBA" w:rsidP="00D06DBA">
      <w:pPr>
        <w:tabs>
          <w:tab w:val="left" w:pos="0"/>
        </w:tabs>
        <w:autoSpaceDE w:val="0"/>
        <w:autoSpaceDN w:val="0"/>
        <w:adjustRightInd w:val="0"/>
        <w:rPr>
          <w:rFonts w:ascii="Arial" w:hAnsi="Arial" w:cs="Arial"/>
          <w:color w:val="000000"/>
          <w:szCs w:val="18"/>
        </w:rPr>
      </w:pPr>
      <w:r w:rsidRPr="00D06DBA">
        <w:rPr>
          <w:rFonts w:ascii="Arial" w:hAnsi="Arial" w:cs="Arial"/>
          <w:color w:val="000000"/>
          <w:szCs w:val="18"/>
        </w:rPr>
        <w:t>De nuestra consideración:</w:t>
      </w:r>
    </w:p>
    <w:p w:rsidR="00D06DBA" w:rsidRPr="00D06DBA" w:rsidRDefault="00D06DBA" w:rsidP="00D06DBA">
      <w:pPr>
        <w:tabs>
          <w:tab w:val="left" w:pos="0"/>
        </w:tabs>
        <w:autoSpaceDE w:val="0"/>
        <w:autoSpaceDN w:val="0"/>
        <w:adjustRightInd w:val="0"/>
        <w:rPr>
          <w:rFonts w:ascii="Arial" w:hAnsi="Arial" w:cs="Arial"/>
          <w:color w:val="000000"/>
          <w:szCs w:val="18"/>
        </w:rPr>
      </w:pPr>
    </w:p>
    <w:p w:rsidR="00D06DBA" w:rsidRPr="00D06DBA" w:rsidRDefault="00D06DBA" w:rsidP="00D06DBA">
      <w:pPr>
        <w:pStyle w:val="Textoindependiente"/>
        <w:numPr>
          <w:ilvl w:val="0"/>
          <w:numId w:val="9"/>
        </w:numPr>
        <w:overflowPunct w:val="0"/>
        <w:autoSpaceDE w:val="0"/>
        <w:autoSpaceDN w:val="0"/>
        <w:adjustRightInd w:val="0"/>
        <w:ind w:right="48"/>
        <w:jc w:val="both"/>
        <w:textAlignment w:val="baseline"/>
        <w:rPr>
          <w:rFonts w:ascii="Arial" w:hAnsi="Arial" w:cs="Arial"/>
          <w:b w:val="0"/>
          <w:sz w:val="18"/>
          <w:szCs w:val="18"/>
        </w:rPr>
      </w:pPr>
      <w:r w:rsidRPr="00D06DBA">
        <w:rPr>
          <w:rFonts w:ascii="Arial" w:hAnsi="Arial" w:cs="Arial"/>
          <w:b w:val="0"/>
          <w:sz w:val="18"/>
          <w:szCs w:val="18"/>
        </w:rPr>
        <w:t>De acuerdo con lo dispuesto por el inciso 5 del artículo N° 294 de la ley 19.550, hemos examinado el inventario, memoria, estado de situación patrimonial adjunto de ELECTROTECNICA FAMAR S.A.C.I.I.E. al 31 de diciembre de 2019 y los correspondientes estados de resultados, de evolución del patrimonio neto y de flujo de efectivo por el ejercicio finalizado en esa fecha. Los estados contables mencionados son responsabilidad del Directorio de la Sociedad en ejercicio de sus funciones exclusivas.</w:t>
      </w:r>
    </w:p>
    <w:p w:rsidR="00D06DBA" w:rsidRPr="00D06DBA" w:rsidRDefault="00D06DBA" w:rsidP="00D06DBA">
      <w:pPr>
        <w:pStyle w:val="Textoindependiente"/>
        <w:ind w:left="181" w:right="-328"/>
        <w:rPr>
          <w:rFonts w:ascii="Arial" w:hAnsi="Arial" w:cs="Arial"/>
          <w:b w:val="0"/>
          <w:sz w:val="18"/>
          <w:szCs w:val="18"/>
          <w:highlight w:val="yellow"/>
        </w:rPr>
      </w:pPr>
    </w:p>
    <w:p w:rsidR="00D06DBA" w:rsidRPr="00D06DBA" w:rsidRDefault="00D06DBA" w:rsidP="00D06DBA">
      <w:pPr>
        <w:pStyle w:val="Textoindependiente"/>
        <w:numPr>
          <w:ilvl w:val="0"/>
          <w:numId w:val="9"/>
        </w:numPr>
        <w:overflowPunct w:val="0"/>
        <w:autoSpaceDE w:val="0"/>
        <w:autoSpaceDN w:val="0"/>
        <w:adjustRightInd w:val="0"/>
        <w:ind w:right="48"/>
        <w:jc w:val="both"/>
        <w:textAlignment w:val="baseline"/>
        <w:rPr>
          <w:rFonts w:ascii="Arial" w:hAnsi="Arial" w:cs="Arial"/>
          <w:b w:val="0"/>
          <w:sz w:val="18"/>
          <w:szCs w:val="18"/>
        </w:rPr>
      </w:pPr>
      <w:r w:rsidRPr="00D06DBA">
        <w:rPr>
          <w:rFonts w:ascii="Arial" w:hAnsi="Arial" w:cs="Arial"/>
          <w:b w:val="0"/>
          <w:sz w:val="18"/>
          <w:szCs w:val="18"/>
        </w:rPr>
        <w:t xml:space="preserve">Nuestro trabajo se basó en la auditoría de los estados contables arriba indicados efectuada por la firma </w:t>
      </w:r>
      <w:proofErr w:type="spellStart"/>
      <w:r w:rsidRPr="00D06DBA">
        <w:rPr>
          <w:rFonts w:ascii="Arial" w:hAnsi="Arial" w:cs="Arial"/>
          <w:b w:val="0"/>
          <w:sz w:val="18"/>
          <w:szCs w:val="18"/>
        </w:rPr>
        <w:t>Pistrelli</w:t>
      </w:r>
      <w:proofErr w:type="spellEnd"/>
      <w:r w:rsidRPr="00D06DBA">
        <w:rPr>
          <w:rFonts w:ascii="Arial" w:hAnsi="Arial" w:cs="Arial"/>
          <w:b w:val="0"/>
          <w:sz w:val="18"/>
          <w:szCs w:val="18"/>
        </w:rPr>
        <w:t>, Henry Martin y Asociados S.R.L. de acuerdo con las normas de auditoría vigentes en la República Argentina, y se circunscribió a verificar la razonabilidad de la información significativa de los documentos examinados, su congruencia con la información sobre las decisiones societarias expuestas en actas, y la adecuación de dichas decisiones a la ley y a los estatutos, en lo relativo a sus aspectos formales y documentales. No hemos efectuado ningún control de gestión y, por lo tanto, no hemos evaluado los criterios y decisiones empresarias de administración, financiación, comercialización y producción, dado que estas cuestiones son de responsabilidad exclusiva del Directorio.</w:t>
      </w:r>
    </w:p>
    <w:p w:rsidR="00D06DBA" w:rsidRPr="00D06DBA" w:rsidRDefault="00D06DBA" w:rsidP="00D06DBA">
      <w:pPr>
        <w:pStyle w:val="Textoindependiente"/>
        <w:ind w:right="-328"/>
        <w:rPr>
          <w:rFonts w:ascii="Arial" w:hAnsi="Arial" w:cs="Arial"/>
          <w:b w:val="0"/>
          <w:sz w:val="18"/>
          <w:szCs w:val="18"/>
        </w:rPr>
      </w:pPr>
    </w:p>
    <w:p w:rsidR="00D06DBA" w:rsidRPr="00D06DBA" w:rsidRDefault="00D06DBA" w:rsidP="00D06DBA">
      <w:pPr>
        <w:pStyle w:val="Textoindependiente"/>
        <w:numPr>
          <w:ilvl w:val="0"/>
          <w:numId w:val="9"/>
        </w:numPr>
        <w:overflowPunct w:val="0"/>
        <w:autoSpaceDE w:val="0"/>
        <w:autoSpaceDN w:val="0"/>
        <w:adjustRightInd w:val="0"/>
        <w:ind w:right="48"/>
        <w:jc w:val="both"/>
        <w:textAlignment w:val="baseline"/>
        <w:rPr>
          <w:rFonts w:ascii="Arial" w:hAnsi="Arial" w:cs="Arial"/>
          <w:b w:val="0"/>
          <w:sz w:val="18"/>
          <w:szCs w:val="18"/>
        </w:rPr>
      </w:pPr>
      <w:r w:rsidRPr="00D06DBA">
        <w:rPr>
          <w:rFonts w:ascii="Arial" w:hAnsi="Arial" w:cs="Arial"/>
          <w:b w:val="0"/>
          <w:sz w:val="18"/>
          <w:szCs w:val="18"/>
        </w:rPr>
        <w:t xml:space="preserve">En nuestra opinión, basado en nuestro trabajo y en el informe de fecha 9 de marzo de 2020 del contador </w:t>
      </w:r>
      <w:proofErr w:type="spellStart"/>
      <w:r w:rsidRPr="00D06DBA">
        <w:rPr>
          <w:rFonts w:ascii="Arial" w:hAnsi="Arial" w:cs="Arial"/>
          <w:b w:val="0"/>
          <w:sz w:val="18"/>
          <w:szCs w:val="18"/>
        </w:rPr>
        <w:t>Karén</w:t>
      </w:r>
      <w:proofErr w:type="spellEnd"/>
      <w:r w:rsidRPr="00D06DBA">
        <w:rPr>
          <w:rFonts w:ascii="Arial" w:hAnsi="Arial" w:cs="Arial"/>
          <w:b w:val="0"/>
          <w:sz w:val="18"/>
          <w:szCs w:val="18"/>
        </w:rPr>
        <w:t xml:space="preserve"> Grigorian (socio de la firma </w:t>
      </w:r>
      <w:proofErr w:type="spellStart"/>
      <w:r w:rsidRPr="00D06DBA">
        <w:rPr>
          <w:rFonts w:ascii="Arial" w:hAnsi="Arial" w:cs="Arial"/>
          <w:b w:val="0"/>
          <w:sz w:val="18"/>
          <w:szCs w:val="18"/>
        </w:rPr>
        <w:t>Pistrelli</w:t>
      </w:r>
      <w:proofErr w:type="spellEnd"/>
      <w:r w:rsidRPr="00D06DBA">
        <w:rPr>
          <w:rFonts w:ascii="Arial" w:hAnsi="Arial" w:cs="Arial"/>
          <w:b w:val="0"/>
          <w:sz w:val="18"/>
          <w:szCs w:val="18"/>
        </w:rPr>
        <w:t xml:space="preserve">, Henry Martin y Asociados S.R.L.), los estados contables mencionados en el párrafo 1., presentan razonablemente, en todos sus aspectos significativos, la situación patrimonial de </w:t>
      </w:r>
      <w:r w:rsidR="005A2138" w:rsidRPr="00D06DBA">
        <w:rPr>
          <w:rFonts w:ascii="Arial" w:hAnsi="Arial" w:cs="Arial"/>
          <w:b w:val="0"/>
          <w:sz w:val="18"/>
          <w:szCs w:val="18"/>
        </w:rPr>
        <w:t>ELECTROTECNICA FAMAR S.A.C.I.I.E.</w:t>
      </w:r>
      <w:r w:rsidRPr="00D06DBA">
        <w:rPr>
          <w:rFonts w:ascii="Arial" w:hAnsi="Arial" w:cs="Arial"/>
          <w:b w:val="0"/>
          <w:sz w:val="18"/>
          <w:szCs w:val="18"/>
        </w:rPr>
        <w:t xml:space="preserve"> al 31 de diciembre de 2019 y los resultados de sus operaciones y los flujos de su efectivo por el ejercicio finalizado en esa fecha de conformidad con las normas contables profesionales vigentes en la Ciudad Autónoma de Buenos Aires, República Argentina. </w:t>
      </w:r>
    </w:p>
    <w:p w:rsidR="00D06DBA" w:rsidRPr="00D06DBA" w:rsidRDefault="00D06DBA" w:rsidP="00D06DBA">
      <w:pPr>
        <w:pStyle w:val="Prrafodelista"/>
        <w:rPr>
          <w:rFonts w:ascii="Arial" w:hAnsi="Arial" w:cs="Arial"/>
          <w:sz w:val="18"/>
          <w:szCs w:val="18"/>
        </w:rPr>
      </w:pPr>
    </w:p>
    <w:p w:rsidR="00D06DBA" w:rsidRPr="00D06DBA" w:rsidRDefault="00D06DBA" w:rsidP="00D06DBA">
      <w:pPr>
        <w:pStyle w:val="Textoindependiente"/>
        <w:numPr>
          <w:ilvl w:val="0"/>
          <w:numId w:val="9"/>
        </w:numPr>
        <w:overflowPunct w:val="0"/>
        <w:autoSpaceDE w:val="0"/>
        <w:autoSpaceDN w:val="0"/>
        <w:adjustRightInd w:val="0"/>
        <w:ind w:right="48"/>
        <w:jc w:val="both"/>
        <w:textAlignment w:val="baseline"/>
        <w:rPr>
          <w:rFonts w:ascii="Arial" w:hAnsi="Arial" w:cs="Arial"/>
          <w:b w:val="0"/>
          <w:sz w:val="18"/>
          <w:szCs w:val="18"/>
        </w:rPr>
      </w:pPr>
      <w:r w:rsidRPr="00D06DBA">
        <w:rPr>
          <w:rFonts w:ascii="Arial" w:hAnsi="Arial" w:cs="Arial"/>
          <w:b w:val="0"/>
          <w:sz w:val="18"/>
          <w:szCs w:val="18"/>
        </w:rPr>
        <w:t>Informamos además que en cumplimiento de disposiciones legales vigentes y en ejercicio del control de legalidad que nos compete hemos aplicado durante el ejercicio los restantes procedimientos descriptos en el artículo N° 294 de la Ley N° 19.550 que consideramos necesarios de acuerdo con las circunstancias, no teniendo observaciones que formular al respecto.</w:t>
      </w:r>
    </w:p>
    <w:p w:rsidR="00D06DBA" w:rsidRPr="00D06DBA" w:rsidRDefault="00D06DBA" w:rsidP="00D06DBA">
      <w:pPr>
        <w:pStyle w:val="Textoindependiente"/>
        <w:ind w:left="181" w:right="-328"/>
        <w:rPr>
          <w:rFonts w:ascii="Arial" w:hAnsi="Arial" w:cs="Arial"/>
          <w:b w:val="0"/>
          <w:sz w:val="18"/>
          <w:szCs w:val="18"/>
        </w:rPr>
      </w:pPr>
    </w:p>
    <w:p w:rsidR="00D06DBA" w:rsidRPr="00D06DBA" w:rsidRDefault="00D06DBA" w:rsidP="00D06DBA">
      <w:pPr>
        <w:pStyle w:val="Textoindependiente"/>
        <w:numPr>
          <w:ilvl w:val="0"/>
          <w:numId w:val="9"/>
        </w:numPr>
        <w:overflowPunct w:val="0"/>
        <w:autoSpaceDE w:val="0"/>
        <w:autoSpaceDN w:val="0"/>
        <w:adjustRightInd w:val="0"/>
        <w:ind w:right="48"/>
        <w:jc w:val="both"/>
        <w:textAlignment w:val="baseline"/>
        <w:rPr>
          <w:rFonts w:ascii="Arial" w:hAnsi="Arial" w:cs="Arial"/>
          <w:b w:val="0"/>
          <w:sz w:val="18"/>
          <w:szCs w:val="18"/>
        </w:rPr>
      </w:pPr>
      <w:r w:rsidRPr="00D06DBA">
        <w:rPr>
          <w:rFonts w:ascii="Arial" w:hAnsi="Arial" w:cs="Arial"/>
          <w:b w:val="0"/>
          <w:sz w:val="18"/>
          <w:szCs w:val="18"/>
        </w:rPr>
        <w:t>Los estados contables adjuntos surgen de registros contables llevados, en sus aspectos formales, de conformidad con las disposiciones legales vigentes, excepto por lo mencionado en la nota 8, encontrándose asentados en el libro Inventario y Balances.</w:t>
      </w:r>
    </w:p>
    <w:p w:rsidR="00D06DBA" w:rsidRPr="00D06DBA" w:rsidRDefault="00D06DBA" w:rsidP="00D06DBA">
      <w:pPr>
        <w:pStyle w:val="Prrafodelista"/>
        <w:rPr>
          <w:rFonts w:ascii="Arial" w:hAnsi="Arial" w:cs="Arial"/>
          <w:b/>
          <w:sz w:val="18"/>
          <w:szCs w:val="18"/>
        </w:rPr>
      </w:pPr>
    </w:p>
    <w:p w:rsidR="00D06DBA" w:rsidRPr="00D06DBA" w:rsidRDefault="00D06DBA" w:rsidP="00D06DBA">
      <w:pPr>
        <w:pStyle w:val="Textoindependiente"/>
        <w:numPr>
          <w:ilvl w:val="0"/>
          <w:numId w:val="9"/>
        </w:numPr>
        <w:overflowPunct w:val="0"/>
        <w:autoSpaceDE w:val="0"/>
        <w:autoSpaceDN w:val="0"/>
        <w:adjustRightInd w:val="0"/>
        <w:ind w:right="48"/>
        <w:jc w:val="both"/>
        <w:textAlignment w:val="baseline"/>
        <w:rPr>
          <w:rFonts w:ascii="Arial" w:hAnsi="Arial" w:cs="Arial"/>
          <w:b w:val="0"/>
          <w:sz w:val="18"/>
          <w:szCs w:val="18"/>
        </w:rPr>
      </w:pPr>
      <w:r w:rsidRPr="00D06DBA">
        <w:rPr>
          <w:rFonts w:ascii="Arial" w:hAnsi="Arial" w:cs="Arial"/>
          <w:b w:val="0"/>
          <w:sz w:val="18"/>
          <w:szCs w:val="18"/>
        </w:rPr>
        <w:t>Asimismo, hemos revisado la situación de cumplimiento de las garantías de los directores de acuerdo a la Resolución General Nº 20/04 de la Inspección General de Justicia y al respecto no tenemos observaciones que mencionar.</w:t>
      </w:r>
    </w:p>
    <w:p w:rsidR="00D06DBA" w:rsidRPr="00D06DBA" w:rsidRDefault="00D06DBA" w:rsidP="00D06DBA">
      <w:pPr>
        <w:pStyle w:val="Textoindependiente"/>
        <w:overflowPunct w:val="0"/>
        <w:autoSpaceDE w:val="0"/>
        <w:autoSpaceDN w:val="0"/>
        <w:adjustRightInd w:val="0"/>
        <w:ind w:left="541" w:right="48"/>
        <w:jc w:val="both"/>
        <w:textAlignment w:val="baseline"/>
        <w:rPr>
          <w:rFonts w:ascii="Arial" w:hAnsi="Arial" w:cs="Arial"/>
          <w:b w:val="0"/>
          <w:sz w:val="18"/>
          <w:szCs w:val="18"/>
        </w:rPr>
      </w:pPr>
    </w:p>
    <w:p w:rsidR="00D06DBA" w:rsidRPr="00D06DBA" w:rsidRDefault="00D06DBA" w:rsidP="00D06DBA">
      <w:pPr>
        <w:pStyle w:val="Textoindependiente"/>
        <w:numPr>
          <w:ilvl w:val="0"/>
          <w:numId w:val="9"/>
        </w:numPr>
        <w:overflowPunct w:val="0"/>
        <w:autoSpaceDE w:val="0"/>
        <w:autoSpaceDN w:val="0"/>
        <w:adjustRightInd w:val="0"/>
        <w:ind w:right="48"/>
        <w:jc w:val="both"/>
        <w:textAlignment w:val="baseline"/>
        <w:rPr>
          <w:rFonts w:ascii="Arial" w:hAnsi="Arial" w:cs="Arial"/>
          <w:b w:val="0"/>
          <w:sz w:val="18"/>
          <w:szCs w:val="18"/>
        </w:rPr>
      </w:pPr>
      <w:r w:rsidRPr="00D06DBA">
        <w:rPr>
          <w:rFonts w:ascii="Arial" w:hAnsi="Arial" w:cs="Arial"/>
          <w:b w:val="0"/>
          <w:sz w:val="18"/>
          <w:szCs w:val="18"/>
        </w:rPr>
        <w:t>Hemos aplicado los procedimientos sobre prevención de lavado de activos y financiación del terrorismo previsto en las correspondientes normas profesionales emitidas por la Federación Argentina de Consejos Profesionales de Ciencias Económicas (F.A.C.P.C.E.).</w:t>
      </w:r>
    </w:p>
    <w:p w:rsidR="0063765E" w:rsidRPr="00D06DBA" w:rsidRDefault="0063765E" w:rsidP="00D06DBA">
      <w:pPr>
        <w:pStyle w:val="Textoindependiente"/>
        <w:overflowPunct w:val="0"/>
        <w:autoSpaceDE w:val="0"/>
        <w:autoSpaceDN w:val="0"/>
        <w:adjustRightInd w:val="0"/>
        <w:ind w:right="48"/>
        <w:jc w:val="both"/>
        <w:textAlignment w:val="baseline"/>
        <w:rPr>
          <w:rFonts w:ascii="Arial" w:hAnsi="Arial" w:cs="Arial"/>
          <w:b w:val="0"/>
          <w:sz w:val="18"/>
          <w:szCs w:val="18"/>
          <w:highlight w:val="yellow"/>
        </w:rPr>
      </w:pPr>
    </w:p>
    <w:p w:rsidR="0063765E" w:rsidRPr="00D06DBA" w:rsidRDefault="0063765E" w:rsidP="0063765E">
      <w:pPr>
        <w:tabs>
          <w:tab w:val="left" w:pos="0"/>
        </w:tabs>
        <w:autoSpaceDE w:val="0"/>
        <w:autoSpaceDN w:val="0"/>
        <w:adjustRightInd w:val="0"/>
        <w:spacing w:line="360" w:lineRule="auto"/>
        <w:jc w:val="both"/>
        <w:rPr>
          <w:rFonts w:ascii="Arial" w:hAnsi="Arial" w:cs="Arial"/>
          <w:color w:val="000000"/>
          <w:szCs w:val="18"/>
        </w:rPr>
      </w:pPr>
    </w:p>
    <w:p w:rsidR="0063765E" w:rsidRPr="00D06DBA" w:rsidRDefault="0063765E" w:rsidP="0063765E">
      <w:pPr>
        <w:tabs>
          <w:tab w:val="left" w:pos="0"/>
        </w:tabs>
        <w:autoSpaceDE w:val="0"/>
        <w:autoSpaceDN w:val="0"/>
        <w:adjustRightInd w:val="0"/>
        <w:spacing w:line="360" w:lineRule="auto"/>
        <w:jc w:val="both"/>
        <w:rPr>
          <w:rFonts w:ascii="Arial" w:hAnsi="Arial" w:cs="Arial"/>
          <w:color w:val="000000"/>
          <w:szCs w:val="18"/>
        </w:rPr>
      </w:pPr>
      <w:r w:rsidRPr="00D06DBA">
        <w:rPr>
          <w:rFonts w:ascii="Arial" w:hAnsi="Arial" w:cs="Arial"/>
          <w:color w:val="000000"/>
          <w:szCs w:val="18"/>
        </w:rPr>
        <w:t xml:space="preserve">Ciudad Autónoma de Buenos Aires, </w:t>
      </w:r>
      <w:r w:rsidR="003973F5" w:rsidRPr="00D06DBA">
        <w:rPr>
          <w:rFonts w:ascii="Arial" w:hAnsi="Arial" w:cs="Arial"/>
          <w:color w:val="000000"/>
          <w:szCs w:val="18"/>
        </w:rPr>
        <w:t>9</w:t>
      </w:r>
      <w:r w:rsidR="0060135C" w:rsidRPr="00D06DBA">
        <w:rPr>
          <w:rFonts w:ascii="Arial" w:hAnsi="Arial" w:cs="Arial"/>
          <w:color w:val="000000"/>
          <w:szCs w:val="18"/>
        </w:rPr>
        <w:t xml:space="preserve"> de marzo de 2020</w:t>
      </w:r>
    </w:p>
    <w:p w:rsidR="00347527" w:rsidRDefault="00347527" w:rsidP="0063765E">
      <w:pPr>
        <w:tabs>
          <w:tab w:val="left" w:pos="0"/>
        </w:tabs>
        <w:autoSpaceDE w:val="0"/>
        <w:autoSpaceDN w:val="0"/>
        <w:adjustRightInd w:val="0"/>
        <w:rPr>
          <w:rFonts w:ascii="Arial" w:hAnsi="Arial" w:cs="Arial"/>
          <w:color w:val="000000"/>
          <w:szCs w:val="18"/>
          <w:lang w:eastAsia="en-US"/>
        </w:rPr>
      </w:pPr>
    </w:p>
    <w:p w:rsidR="00D06DBA" w:rsidRPr="00D06DBA" w:rsidRDefault="00D06DBA" w:rsidP="0063765E">
      <w:pPr>
        <w:tabs>
          <w:tab w:val="left" w:pos="0"/>
        </w:tabs>
        <w:autoSpaceDE w:val="0"/>
        <w:autoSpaceDN w:val="0"/>
        <w:adjustRightInd w:val="0"/>
        <w:rPr>
          <w:rFonts w:ascii="Arial" w:hAnsi="Arial" w:cs="Arial"/>
          <w:color w:val="000000"/>
          <w:szCs w:val="18"/>
          <w:lang w:eastAsia="en-US"/>
        </w:rPr>
      </w:pPr>
    </w:p>
    <w:tbl>
      <w:tblPr>
        <w:tblW w:w="9546" w:type="dxa"/>
        <w:jc w:val="center"/>
        <w:tblLayout w:type="fixed"/>
        <w:tblCellMar>
          <w:left w:w="70" w:type="dxa"/>
          <w:right w:w="70" w:type="dxa"/>
        </w:tblCellMar>
        <w:tblLook w:val="0000" w:firstRow="0" w:lastRow="0" w:firstColumn="0" w:lastColumn="0" w:noHBand="0" w:noVBand="0"/>
      </w:tblPr>
      <w:tblGrid>
        <w:gridCol w:w="3182"/>
        <w:gridCol w:w="3182"/>
        <w:gridCol w:w="3182"/>
      </w:tblGrid>
      <w:tr w:rsidR="005A6113" w:rsidRPr="00D06DBA" w:rsidTr="00C8237D">
        <w:trPr>
          <w:jc w:val="center"/>
        </w:trPr>
        <w:tc>
          <w:tcPr>
            <w:tcW w:w="3182" w:type="dxa"/>
          </w:tcPr>
          <w:p w:rsidR="005A6113" w:rsidRPr="00D06DBA" w:rsidRDefault="005A6113" w:rsidP="000825DD">
            <w:pPr>
              <w:widowControl w:val="0"/>
              <w:jc w:val="center"/>
              <w:rPr>
                <w:rFonts w:ascii="Arial" w:hAnsi="Arial" w:cs="Arial"/>
                <w:color w:val="000000"/>
                <w:szCs w:val="18"/>
                <w:lang w:val="es-AR"/>
              </w:rPr>
            </w:pPr>
          </w:p>
        </w:tc>
        <w:tc>
          <w:tcPr>
            <w:tcW w:w="3182" w:type="dxa"/>
          </w:tcPr>
          <w:p w:rsidR="005A6113" w:rsidRPr="00D06DBA" w:rsidRDefault="005A6113" w:rsidP="000825DD">
            <w:pPr>
              <w:pStyle w:val="Textoindependiente2"/>
              <w:jc w:val="center"/>
              <w:rPr>
                <w:rFonts w:ascii="Arial" w:hAnsi="Arial" w:cs="Arial"/>
                <w:b w:val="0"/>
                <w:szCs w:val="18"/>
                <w:lang w:val="es-AR"/>
              </w:rPr>
            </w:pPr>
            <w:r w:rsidRPr="00D06DBA">
              <w:rPr>
                <w:rFonts w:ascii="Arial" w:hAnsi="Arial" w:cs="Arial"/>
                <w:b w:val="0"/>
                <w:szCs w:val="18"/>
                <w:lang w:val="es-AR"/>
              </w:rPr>
              <w:t>Por Comisión Fiscalizadora</w:t>
            </w:r>
          </w:p>
          <w:p w:rsidR="00D06DBA" w:rsidRDefault="00D06DBA" w:rsidP="000825DD">
            <w:pPr>
              <w:pStyle w:val="Textoindependiente2"/>
              <w:jc w:val="center"/>
              <w:rPr>
                <w:rFonts w:ascii="Arial" w:hAnsi="Arial" w:cs="Arial"/>
                <w:b w:val="0"/>
                <w:szCs w:val="18"/>
                <w:lang w:val="es-AR"/>
              </w:rPr>
            </w:pPr>
          </w:p>
          <w:p w:rsidR="00D06DBA" w:rsidRDefault="00D06DBA" w:rsidP="000825DD">
            <w:pPr>
              <w:pStyle w:val="Textoindependiente2"/>
              <w:jc w:val="center"/>
              <w:rPr>
                <w:rFonts w:ascii="Arial" w:hAnsi="Arial" w:cs="Arial"/>
                <w:b w:val="0"/>
                <w:szCs w:val="18"/>
                <w:lang w:val="es-AR"/>
              </w:rPr>
            </w:pPr>
          </w:p>
          <w:p w:rsidR="00D06DBA" w:rsidRPr="00D06DBA" w:rsidRDefault="00D06DBA" w:rsidP="000825DD">
            <w:pPr>
              <w:pStyle w:val="Textoindependiente2"/>
              <w:jc w:val="center"/>
              <w:rPr>
                <w:rFonts w:ascii="Arial" w:hAnsi="Arial" w:cs="Arial"/>
                <w:b w:val="0"/>
                <w:szCs w:val="18"/>
                <w:lang w:val="es-AR"/>
              </w:rPr>
            </w:pPr>
          </w:p>
          <w:p w:rsidR="005A6113" w:rsidRPr="00D06DBA" w:rsidRDefault="00E36D73" w:rsidP="000825DD">
            <w:pPr>
              <w:pStyle w:val="Textoindependiente2"/>
              <w:jc w:val="center"/>
              <w:rPr>
                <w:rFonts w:ascii="Arial" w:hAnsi="Arial" w:cs="Arial"/>
                <w:b w:val="0"/>
                <w:szCs w:val="18"/>
                <w:lang w:val="es-AR"/>
              </w:rPr>
            </w:pPr>
            <w:r w:rsidRPr="00D06DBA">
              <w:rPr>
                <w:rFonts w:ascii="Arial" w:hAnsi="Arial" w:cs="Arial"/>
                <w:b w:val="0"/>
                <w:szCs w:val="18"/>
                <w:lang w:val="es-AR"/>
              </w:rPr>
              <w:t xml:space="preserve">Dr. </w:t>
            </w:r>
            <w:r w:rsidR="00DD3870" w:rsidRPr="00D06DBA">
              <w:rPr>
                <w:rFonts w:ascii="Arial" w:hAnsi="Arial" w:cs="Arial"/>
                <w:b w:val="0"/>
                <w:szCs w:val="18"/>
                <w:lang w:val="es-AR"/>
              </w:rPr>
              <w:t>Gerardo Biritos</w:t>
            </w:r>
          </w:p>
          <w:p w:rsidR="005A6113" w:rsidRPr="00D06DBA" w:rsidRDefault="005A6113" w:rsidP="000825DD">
            <w:pPr>
              <w:pStyle w:val="Textoindependiente2"/>
              <w:jc w:val="center"/>
              <w:rPr>
                <w:rFonts w:ascii="Arial" w:hAnsi="Arial" w:cs="Arial"/>
                <w:b w:val="0"/>
                <w:szCs w:val="18"/>
                <w:lang w:val="es-AR"/>
              </w:rPr>
            </w:pPr>
            <w:r w:rsidRPr="00D06DBA">
              <w:rPr>
                <w:rFonts w:ascii="Arial" w:hAnsi="Arial" w:cs="Arial"/>
                <w:b w:val="0"/>
                <w:szCs w:val="18"/>
                <w:lang w:val="es-AR"/>
              </w:rPr>
              <w:t>Síndico</w:t>
            </w:r>
          </w:p>
          <w:p w:rsidR="005A6113" w:rsidRPr="00D06DBA" w:rsidRDefault="005A6113" w:rsidP="000825DD">
            <w:pPr>
              <w:widowControl w:val="0"/>
              <w:jc w:val="center"/>
              <w:rPr>
                <w:rFonts w:ascii="Arial" w:hAnsi="Arial" w:cs="Arial"/>
                <w:color w:val="000000"/>
                <w:szCs w:val="18"/>
                <w:lang w:val="es-AR"/>
              </w:rPr>
            </w:pPr>
          </w:p>
        </w:tc>
        <w:tc>
          <w:tcPr>
            <w:tcW w:w="3182" w:type="dxa"/>
          </w:tcPr>
          <w:p w:rsidR="005A6113" w:rsidRPr="00D06DBA" w:rsidRDefault="005A6113" w:rsidP="000825DD">
            <w:pPr>
              <w:widowControl w:val="0"/>
              <w:jc w:val="center"/>
              <w:rPr>
                <w:rFonts w:ascii="Arial" w:hAnsi="Arial" w:cs="Arial"/>
                <w:color w:val="000000"/>
                <w:szCs w:val="18"/>
                <w:lang w:val="es-AR"/>
              </w:rPr>
            </w:pPr>
          </w:p>
        </w:tc>
      </w:tr>
    </w:tbl>
    <w:p w:rsidR="005A6113" w:rsidRPr="005A785D" w:rsidRDefault="005A6113" w:rsidP="000B475F">
      <w:pPr>
        <w:autoSpaceDE w:val="0"/>
        <w:autoSpaceDN w:val="0"/>
        <w:adjustRightInd w:val="0"/>
        <w:spacing w:line="360" w:lineRule="auto"/>
        <w:jc w:val="both"/>
        <w:rPr>
          <w:i/>
          <w:lang w:val="es-AR"/>
        </w:rPr>
        <w:sectPr w:rsidR="005A6113" w:rsidRPr="005A785D" w:rsidSect="00FC7ECC">
          <w:headerReference w:type="default" r:id="rId10"/>
          <w:pgSz w:w="12240" w:h="15840" w:code="1"/>
          <w:pgMar w:top="1418" w:right="851" w:bottom="1134" w:left="1418" w:header="720" w:footer="284" w:gutter="0"/>
          <w:pgNumType w:start="1"/>
          <w:cols w:space="720"/>
        </w:sectPr>
      </w:pPr>
    </w:p>
    <w:p w:rsidR="00C4680B" w:rsidRPr="005A785D" w:rsidRDefault="00C4680B" w:rsidP="000178A9">
      <w:pPr>
        <w:pStyle w:val="Textoindependiente2"/>
        <w:rPr>
          <w:spacing w:val="-2"/>
          <w:lang w:val="es-AR"/>
        </w:rPr>
      </w:pPr>
      <w:r w:rsidRPr="005A785D">
        <w:rPr>
          <w:spacing w:val="-2"/>
          <w:lang w:val="es-AR"/>
        </w:rPr>
        <w:t>ESTADOS CONTABLES CORRESPONDIEN</w:t>
      </w:r>
      <w:r w:rsidR="004A3CA6" w:rsidRPr="005A785D">
        <w:rPr>
          <w:spacing w:val="-2"/>
          <w:lang w:val="es-AR"/>
        </w:rPr>
        <w:t>TES AL EJERCICIO ECONÓ</w:t>
      </w:r>
      <w:r w:rsidR="00FE7B90" w:rsidRPr="005A785D">
        <w:rPr>
          <w:spacing w:val="-2"/>
          <w:lang w:val="es-AR"/>
        </w:rPr>
        <w:t xml:space="preserve">MICO </w:t>
      </w:r>
      <w:r w:rsidR="00F74DFF" w:rsidRPr="005A785D">
        <w:rPr>
          <w:spacing w:val="-2"/>
          <w:lang w:val="es-AR"/>
        </w:rPr>
        <w:t xml:space="preserve">Nº </w:t>
      </w:r>
      <w:r w:rsidR="00FD1CB5">
        <w:rPr>
          <w:spacing w:val="-2"/>
          <w:lang w:val="es-AR"/>
        </w:rPr>
        <w:t>53</w:t>
      </w:r>
      <w:r w:rsidR="009E4EA5" w:rsidRPr="005A785D">
        <w:rPr>
          <w:spacing w:val="-2"/>
          <w:lang w:val="es-AR"/>
        </w:rPr>
        <w:t>,</w:t>
      </w:r>
      <w:r w:rsidR="00AF0DAA" w:rsidRPr="005A785D">
        <w:rPr>
          <w:spacing w:val="-2"/>
          <w:lang w:val="es-AR"/>
        </w:rPr>
        <w:t xml:space="preserve"> </w:t>
      </w:r>
      <w:r w:rsidR="00BA0E77" w:rsidRPr="005A785D">
        <w:rPr>
          <w:spacing w:val="-2"/>
          <w:lang w:val="es-AR"/>
        </w:rPr>
        <w:t xml:space="preserve">POR EL </w:t>
      </w:r>
      <w:r w:rsidR="00066D12">
        <w:rPr>
          <w:spacing w:val="-2"/>
          <w:lang w:val="es-AR"/>
        </w:rPr>
        <w:t xml:space="preserve">EJERCICIO </w:t>
      </w:r>
      <w:r w:rsidR="00AA2858">
        <w:rPr>
          <w:spacing w:val="-2"/>
          <w:lang w:val="es-AR"/>
        </w:rPr>
        <w:t xml:space="preserve">INICIADO EL 1° DE </w:t>
      </w:r>
      <w:r w:rsidR="00DD5870">
        <w:rPr>
          <w:spacing w:val="-2"/>
          <w:lang w:val="es-AR"/>
        </w:rPr>
        <w:t>ENERO</w:t>
      </w:r>
      <w:r w:rsidR="00AA2858">
        <w:rPr>
          <w:spacing w:val="-2"/>
          <w:lang w:val="es-AR"/>
        </w:rPr>
        <w:t xml:space="preserve"> DE 2019</w:t>
      </w:r>
      <w:r w:rsidR="00D141F5" w:rsidRPr="005A785D">
        <w:rPr>
          <w:spacing w:val="-2"/>
          <w:lang w:val="es-AR"/>
        </w:rPr>
        <w:t xml:space="preserve"> Y F</w:t>
      </w:r>
      <w:r w:rsidR="00E84D07" w:rsidRPr="005A785D">
        <w:rPr>
          <w:spacing w:val="-2"/>
          <w:lang w:val="es-AR"/>
        </w:rPr>
        <w:t>INALIZADO</w:t>
      </w:r>
      <w:r w:rsidR="006C17BA">
        <w:rPr>
          <w:spacing w:val="-2"/>
          <w:lang w:val="es-AR"/>
        </w:rPr>
        <w:t xml:space="preserve"> EL 3</w:t>
      </w:r>
      <w:r w:rsidR="009D1004">
        <w:rPr>
          <w:spacing w:val="-2"/>
          <w:lang w:val="es-AR"/>
        </w:rPr>
        <w:t>1</w:t>
      </w:r>
      <w:r w:rsidR="006C17BA">
        <w:rPr>
          <w:spacing w:val="-2"/>
          <w:lang w:val="es-AR"/>
        </w:rPr>
        <w:t xml:space="preserve"> DE </w:t>
      </w:r>
      <w:r w:rsidR="009D1004">
        <w:rPr>
          <w:spacing w:val="-2"/>
          <w:lang w:val="es-AR"/>
        </w:rPr>
        <w:t>DICIEMBRE</w:t>
      </w:r>
      <w:r w:rsidR="00AA2858">
        <w:rPr>
          <w:spacing w:val="-2"/>
          <w:lang w:val="es-AR"/>
        </w:rPr>
        <w:t xml:space="preserve"> DE 2019</w:t>
      </w:r>
    </w:p>
    <w:p w:rsidR="00C4680B" w:rsidRPr="005A785D" w:rsidRDefault="00C4680B" w:rsidP="000B475F">
      <w:pPr>
        <w:spacing w:line="360" w:lineRule="auto"/>
        <w:jc w:val="both"/>
        <w:rPr>
          <w:lang w:val="es-AR"/>
        </w:rPr>
      </w:pPr>
    </w:p>
    <w:p w:rsidR="00C4680B" w:rsidRPr="005A785D" w:rsidRDefault="00C4680B" w:rsidP="000B475F">
      <w:pPr>
        <w:spacing w:line="360" w:lineRule="auto"/>
        <w:jc w:val="both"/>
        <w:rPr>
          <w:lang w:val="es-AR"/>
        </w:rPr>
      </w:pPr>
      <w:r w:rsidRPr="005A785D">
        <w:rPr>
          <w:lang w:val="es-AR"/>
        </w:rPr>
        <w:t xml:space="preserve">Domicilio Legal: </w:t>
      </w:r>
      <w:proofErr w:type="spellStart"/>
      <w:r w:rsidR="00402686">
        <w:rPr>
          <w:lang w:val="es-AR"/>
        </w:rPr>
        <w:t>Rodney</w:t>
      </w:r>
      <w:proofErr w:type="spellEnd"/>
      <w:r w:rsidR="00402686">
        <w:rPr>
          <w:lang w:val="es-AR"/>
        </w:rPr>
        <w:t xml:space="preserve"> 70</w:t>
      </w:r>
      <w:r w:rsidRPr="005A785D">
        <w:rPr>
          <w:lang w:val="es-AR"/>
        </w:rPr>
        <w:t xml:space="preserve"> – </w:t>
      </w:r>
      <w:r w:rsidR="00402686">
        <w:rPr>
          <w:lang w:val="es-AR"/>
        </w:rPr>
        <w:t>Ciudad Autónoma de Buenos Aires</w:t>
      </w:r>
      <w:r w:rsidRPr="005A785D">
        <w:rPr>
          <w:lang w:val="es-AR"/>
        </w:rPr>
        <w:t>.</w:t>
      </w:r>
    </w:p>
    <w:p w:rsidR="00C4680B" w:rsidRPr="005A785D" w:rsidRDefault="00C4680B" w:rsidP="000B475F">
      <w:pPr>
        <w:spacing w:line="360" w:lineRule="auto"/>
        <w:jc w:val="both"/>
        <w:rPr>
          <w:lang w:val="es-AR"/>
        </w:rPr>
      </w:pPr>
    </w:p>
    <w:p w:rsidR="00C4680B" w:rsidRPr="00D36743" w:rsidRDefault="00C4680B" w:rsidP="00D36743">
      <w:pPr>
        <w:spacing w:line="360" w:lineRule="auto"/>
        <w:ind w:right="-377"/>
        <w:jc w:val="both"/>
        <w:rPr>
          <w:lang w:val="es-AR"/>
        </w:rPr>
      </w:pPr>
      <w:r w:rsidRPr="005A785D">
        <w:rPr>
          <w:lang w:val="es-AR"/>
        </w:rPr>
        <w:t xml:space="preserve">Actividad principal: </w:t>
      </w:r>
      <w:r w:rsidR="00D36743" w:rsidRPr="00D36743">
        <w:rPr>
          <w:lang w:val="es-AR"/>
        </w:rPr>
        <w:t>Elaboración, importación, exportación, compra venta y armado de artículos electrónicos en general y su servicio técnico.</w:t>
      </w:r>
    </w:p>
    <w:p w:rsidR="00C4680B" w:rsidRPr="005A785D" w:rsidRDefault="00C4680B" w:rsidP="000B475F">
      <w:pPr>
        <w:spacing w:line="360" w:lineRule="auto"/>
        <w:jc w:val="both"/>
        <w:rPr>
          <w:lang w:val="es-AR"/>
        </w:rPr>
      </w:pPr>
    </w:p>
    <w:p w:rsidR="00C4680B" w:rsidRPr="005A785D" w:rsidRDefault="00C4680B" w:rsidP="000B475F">
      <w:pPr>
        <w:spacing w:line="360" w:lineRule="auto"/>
        <w:jc w:val="both"/>
        <w:rPr>
          <w:lang w:val="es-AR"/>
        </w:rPr>
      </w:pPr>
      <w:r w:rsidRPr="005A785D">
        <w:rPr>
          <w:lang w:val="es-AR"/>
        </w:rPr>
        <w:t>Fecha de Inscripción en el Registro Público de Comercio:</w:t>
      </w:r>
    </w:p>
    <w:p w:rsidR="00C4680B" w:rsidRPr="005A785D" w:rsidRDefault="00C4680B" w:rsidP="000B475F">
      <w:pPr>
        <w:spacing w:line="360" w:lineRule="auto"/>
        <w:jc w:val="both"/>
        <w:rPr>
          <w:lang w:val="es-AR"/>
        </w:rPr>
      </w:pPr>
    </w:p>
    <w:p w:rsidR="00C4680B" w:rsidRPr="005A785D" w:rsidRDefault="00C4680B" w:rsidP="000B475F">
      <w:pPr>
        <w:numPr>
          <w:ilvl w:val="0"/>
          <w:numId w:val="1"/>
        </w:numPr>
        <w:spacing w:line="360" w:lineRule="auto"/>
        <w:jc w:val="both"/>
        <w:rPr>
          <w:lang w:val="es-AR"/>
        </w:rPr>
      </w:pPr>
      <w:r w:rsidRPr="005A785D">
        <w:rPr>
          <w:lang w:val="es-AR"/>
        </w:rPr>
        <w:t xml:space="preserve">Del </w:t>
      </w:r>
      <w:r w:rsidR="00700FCD">
        <w:rPr>
          <w:lang w:val="es-AR"/>
        </w:rPr>
        <w:t>contrato</w:t>
      </w:r>
      <w:r w:rsidRPr="005A785D">
        <w:rPr>
          <w:lang w:val="es-AR"/>
        </w:rPr>
        <w:t xml:space="preserve"> social: </w:t>
      </w:r>
      <w:r w:rsidR="00700FCD">
        <w:rPr>
          <w:lang w:val="es-AR"/>
        </w:rPr>
        <w:t>1 de Julio</w:t>
      </w:r>
      <w:r w:rsidRPr="005A785D">
        <w:rPr>
          <w:lang w:val="es-AR"/>
        </w:rPr>
        <w:t xml:space="preserve"> de 19</w:t>
      </w:r>
      <w:r w:rsidR="00FD1CB5">
        <w:rPr>
          <w:lang w:val="es-AR"/>
        </w:rPr>
        <w:t>68</w:t>
      </w:r>
      <w:r w:rsidRPr="005A785D">
        <w:rPr>
          <w:lang w:val="es-AR"/>
        </w:rPr>
        <w:t>.</w:t>
      </w:r>
    </w:p>
    <w:p w:rsidR="00C4680B" w:rsidRPr="005A785D" w:rsidRDefault="00C4680B" w:rsidP="000B475F">
      <w:pPr>
        <w:numPr>
          <w:ilvl w:val="0"/>
          <w:numId w:val="1"/>
        </w:numPr>
        <w:spacing w:line="360" w:lineRule="auto"/>
        <w:jc w:val="both"/>
        <w:rPr>
          <w:lang w:val="es-AR"/>
        </w:rPr>
      </w:pPr>
      <w:r w:rsidRPr="005A785D">
        <w:rPr>
          <w:lang w:val="es-AR"/>
        </w:rPr>
        <w:t xml:space="preserve">De la última </w:t>
      </w:r>
      <w:r w:rsidR="00700FCD">
        <w:rPr>
          <w:lang w:val="es-AR"/>
        </w:rPr>
        <w:t>modificaci</w:t>
      </w:r>
      <w:r w:rsidR="008A1825">
        <w:rPr>
          <w:lang w:val="es-AR"/>
        </w:rPr>
        <w:t>ó</w:t>
      </w:r>
      <w:r w:rsidR="00700FCD">
        <w:rPr>
          <w:lang w:val="es-AR"/>
        </w:rPr>
        <w:t>n</w:t>
      </w:r>
      <w:r w:rsidRPr="005A785D">
        <w:rPr>
          <w:lang w:val="es-AR"/>
        </w:rPr>
        <w:t xml:space="preserve"> del estatuto: </w:t>
      </w:r>
      <w:r w:rsidR="007C299B">
        <w:rPr>
          <w:lang w:val="es-AR"/>
        </w:rPr>
        <w:t>2</w:t>
      </w:r>
      <w:r w:rsidR="00FD1CB5">
        <w:rPr>
          <w:lang w:val="es-AR"/>
        </w:rPr>
        <w:t>6</w:t>
      </w:r>
      <w:r w:rsidR="00EE3078" w:rsidRPr="005A785D">
        <w:rPr>
          <w:lang w:val="es-AR"/>
        </w:rPr>
        <w:t xml:space="preserve"> de </w:t>
      </w:r>
      <w:r w:rsidR="00FD1CB5">
        <w:rPr>
          <w:lang w:val="es-AR"/>
        </w:rPr>
        <w:t>abril</w:t>
      </w:r>
      <w:r w:rsidR="00EE3078" w:rsidRPr="005A785D">
        <w:rPr>
          <w:lang w:val="es-AR"/>
        </w:rPr>
        <w:t xml:space="preserve"> de 20</w:t>
      </w:r>
      <w:r w:rsidR="00FD1CB5">
        <w:rPr>
          <w:lang w:val="es-AR"/>
        </w:rPr>
        <w:t>12</w:t>
      </w:r>
      <w:r w:rsidR="00EE3078" w:rsidRPr="005A785D">
        <w:rPr>
          <w:lang w:val="es-AR"/>
        </w:rPr>
        <w:t>.</w:t>
      </w:r>
    </w:p>
    <w:p w:rsidR="00C4680B" w:rsidRPr="005A785D" w:rsidRDefault="00C4680B" w:rsidP="000B475F">
      <w:pPr>
        <w:spacing w:line="360" w:lineRule="auto"/>
        <w:jc w:val="both"/>
        <w:rPr>
          <w:lang w:val="es-AR"/>
        </w:rPr>
      </w:pPr>
    </w:p>
    <w:p w:rsidR="00C4680B" w:rsidRPr="005A785D" w:rsidRDefault="00C4680B" w:rsidP="000B475F">
      <w:pPr>
        <w:spacing w:line="360" w:lineRule="auto"/>
        <w:jc w:val="both"/>
        <w:rPr>
          <w:lang w:val="es-AR"/>
        </w:rPr>
      </w:pPr>
      <w:r w:rsidRPr="005A785D">
        <w:rPr>
          <w:lang w:val="es-AR"/>
        </w:rPr>
        <w:t>Número de registro de la Inspección General de Justicia (</w:t>
      </w:r>
      <w:r w:rsidR="00514A1F" w:rsidRPr="005A785D">
        <w:rPr>
          <w:lang w:val="es-AR"/>
        </w:rPr>
        <w:t>IGJ</w:t>
      </w:r>
      <w:r w:rsidRPr="005A785D">
        <w:rPr>
          <w:lang w:val="es-AR"/>
        </w:rPr>
        <w:t xml:space="preserve">): </w:t>
      </w:r>
      <w:r w:rsidR="00FD1CB5">
        <w:rPr>
          <w:lang w:val="es-AR"/>
        </w:rPr>
        <w:t>484.121</w:t>
      </w:r>
      <w:r w:rsidR="00445FA3">
        <w:rPr>
          <w:lang w:val="es-AR"/>
        </w:rPr>
        <w:t>.</w:t>
      </w:r>
    </w:p>
    <w:p w:rsidR="00C4680B" w:rsidRPr="005A785D" w:rsidRDefault="00C4680B" w:rsidP="000B475F">
      <w:pPr>
        <w:spacing w:line="360" w:lineRule="auto"/>
        <w:jc w:val="both"/>
        <w:rPr>
          <w:lang w:val="es-AR"/>
        </w:rPr>
      </w:pPr>
    </w:p>
    <w:p w:rsidR="00C4680B" w:rsidRPr="005A785D" w:rsidRDefault="00C4680B" w:rsidP="000B475F">
      <w:pPr>
        <w:spacing w:line="360" w:lineRule="auto"/>
        <w:jc w:val="both"/>
        <w:rPr>
          <w:lang w:val="es-AR"/>
        </w:rPr>
      </w:pPr>
      <w:r w:rsidRPr="005A785D">
        <w:rPr>
          <w:lang w:val="es-AR"/>
        </w:rPr>
        <w:t xml:space="preserve">Fecha de finalización del plazo de duración: </w:t>
      </w:r>
      <w:r w:rsidR="00700FCD">
        <w:rPr>
          <w:lang w:val="es-AR"/>
        </w:rPr>
        <w:t xml:space="preserve">7 de </w:t>
      </w:r>
      <w:proofErr w:type="gramStart"/>
      <w:r w:rsidR="00FD1CB5">
        <w:rPr>
          <w:lang w:val="es-AR"/>
        </w:rPr>
        <w:t>Mayo</w:t>
      </w:r>
      <w:proofErr w:type="gramEnd"/>
      <w:r w:rsidR="00700FCD">
        <w:rPr>
          <w:lang w:val="es-AR"/>
        </w:rPr>
        <w:t xml:space="preserve"> de 20</w:t>
      </w:r>
      <w:r w:rsidR="00FD1CB5">
        <w:rPr>
          <w:lang w:val="es-AR"/>
        </w:rPr>
        <w:t>6</w:t>
      </w:r>
      <w:r w:rsidR="00700FCD">
        <w:rPr>
          <w:lang w:val="es-AR"/>
        </w:rPr>
        <w:t>4</w:t>
      </w:r>
      <w:r w:rsidRPr="005A785D">
        <w:rPr>
          <w:lang w:val="es-AR"/>
        </w:rPr>
        <w:t>.</w:t>
      </w:r>
    </w:p>
    <w:p w:rsidR="00C4680B" w:rsidRPr="005A785D" w:rsidRDefault="00C4680B" w:rsidP="000B475F">
      <w:pPr>
        <w:spacing w:line="360" w:lineRule="auto"/>
        <w:jc w:val="both"/>
        <w:rPr>
          <w:lang w:val="es-AR"/>
        </w:rPr>
      </w:pPr>
    </w:p>
    <w:p w:rsidR="00C4680B" w:rsidRPr="005A785D" w:rsidRDefault="00FE05BF" w:rsidP="000B475F">
      <w:pPr>
        <w:spacing w:line="360" w:lineRule="auto"/>
        <w:jc w:val="both"/>
        <w:rPr>
          <w:lang w:val="es-AR"/>
        </w:rPr>
      </w:pPr>
      <w:r w:rsidRPr="005A785D">
        <w:rPr>
          <w:lang w:val="es-AR"/>
        </w:rPr>
        <w:t>Datos de la Sociedad controlante:</w:t>
      </w:r>
    </w:p>
    <w:p w:rsidR="00FE05BF" w:rsidRPr="005A785D" w:rsidRDefault="00FE05BF" w:rsidP="00965F33">
      <w:pPr>
        <w:numPr>
          <w:ilvl w:val="0"/>
          <w:numId w:val="8"/>
        </w:numPr>
        <w:spacing w:line="360" w:lineRule="auto"/>
        <w:jc w:val="both"/>
        <w:rPr>
          <w:lang w:val="es-AR"/>
        </w:rPr>
      </w:pPr>
      <w:r w:rsidRPr="005A785D">
        <w:rPr>
          <w:lang w:val="es-AR"/>
        </w:rPr>
        <w:t xml:space="preserve">Razón Social: </w:t>
      </w:r>
      <w:proofErr w:type="spellStart"/>
      <w:r w:rsidR="008F735D">
        <w:rPr>
          <w:lang w:val="es-AR"/>
        </w:rPr>
        <w:t>Holdcar</w:t>
      </w:r>
      <w:proofErr w:type="spellEnd"/>
      <w:r w:rsidR="008F735D">
        <w:rPr>
          <w:lang w:val="es-AR"/>
        </w:rPr>
        <w:t xml:space="preserve"> S.A.</w:t>
      </w:r>
    </w:p>
    <w:p w:rsidR="00FE05BF" w:rsidRPr="005A785D" w:rsidRDefault="00FE05BF" w:rsidP="00965F33">
      <w:pPr>
        <w:numPr>
          <w:ilvl w:val="0"/>
          <w:numId w:val="8"/>
        </w:numPr>
        <w:spacing w:line="360" w:lineRule="auto"/>
        <w:jc w:val="both"/>
        <w:rPr>
          <w:lang w:val="es-AR"/>
        </w:rPr>
      </w:pPr>
      <w:r w:rsidRPr="005A785D">
        <w:rPr>
          <w:lang w:val="es-AR"/>
        </w:rPr>
        <w:t xml:space="preserve">Domicilio legal: </w:t>
      </w:r>
      <w:proofErr w:type="spellStart"/>
      <w:r w:rsidR="008F735D">
        <w:rPr>
          <w:szCs w:val="18"/>
          <w:lang w:val="es-AR"/>
        </w:rPr>
        <w:t>Rodney</w:t>
      </w:r>
      <w:proofErr w:type="spellEnd"/>
      <w:r w:rsidR="008F735D">
        <w:rPr>
          <w:szCs w:val="18"/>
          <w:lang w:val="es-AR"/>
        </w:rPr>
        <w:t xml:space="preserve"> 70, Ciudad Autónoma de Buenos Aires, República Argentina.</w:t>
      </w:r>
    </w:p>
    <w:p w:rsidR="00FE05BF" w:rsidRPr="005A785D" w:rsidRDefault="00FE05BF" w:rsidP="00965F33">
      <w:pPr>
        <w:numPr>
          <w:ilvl w:val="0"/>
          <w:numId w:val="8"/>
        </w:numPr>
        <w:spacing w:line="360" w:lineRule="auto"/>
        <w:jc w:val="both"/>
        <w:rPr>
          <w:lang w:val="es-AR"/>
        </w:rPr>
      </w:pPr>
      <w:r w:rsidRPr="005A785D">
        <w:rPr>
          <w:lang w:val="es-AR"/>
        </w:rPr>
        <w:t>Actividad principal:</w:t>
      </w:r>
      <w:r w:rsidRPr="005A785D">
        <w:rPr>
          <w:szCs w:val="18"/>
          <w:lang w:val="es-AR"/>
        </w:rPr>
        <w:t xml:space="preserve"> </w:t>
      </w:r>
      <w:r w:rsidR="008F735D">
        <w:rPr>
          <w:szCs w:val="18"/>
          <w:lang w:val="es-AR"/>
        </w:rPr>
        <w:t>I</w:t>
      </w:r>
      <w:r w:rsidRPr="005A785D">
        <w:rPr>
          <w:szCs w:val="18"/>
          <w:lang w:val="es-AR"/>
        </w:rPr>
        <w:t>nversora en sociedades.</w:t>
      </w:r>
    </w:p>
    <w:p w:rsidR="00FE05BF" w:rsidRPr="005A785D" w:rsidRDefault="00FE05BF" w:rsidP="00965F33">
      <w:pPr>
        <w:numPr>
          <w:ilvl w:val="0"/>
          <w:numId w:val="8"/>
        </w:numPr>
        <w:spacing w:line="360" w:lineRule="auto"/>
        <w:jc w:val="both"/>
        <w:rPr>
          <w:lang w:val="es-AR"/>
        </w:rPr>
      </w:pPr>
      <w:r w:rsidRPr="005A785D">
        <w:rPr>
          <w:szCs w:val="18"/>
          <w:lang w:val="es-AR"/>
        </w:rPr>
        <w:t xml:space="preserve">Participación sobre el capital social y votos: </w:t>
      </w:r>
      <w:r w:rsidR="008F735D">
        <w:rPr>
          <w:szCs w:val="18"/>
          <w:lang w:val="es-AR"/>
        </w:rPr>
        <w:t>98%</w:t>
      </w:r>
      <w:r w:rsidR="00E33D21">
        <w:rPr>
          <w:szCs w:val="18"/>
          <w:lang w:val="es-AR"/>
        </w:rPr>
        <w:t xml:space="preserve"> </w:t>
      </w:r>
    </w:p>
    <w:p w:rsidR="009F16B7" w:rsidRDefault="009F16B7" w:rsidP="000B475F">
      <w:pPr>
        <w:spacing w:line="360" w:lineRule="auto"/>
        <w:jc w:val="both"/>
        <w:rPr>
          <w:lang w:val="es-AR"/>
        </w:rPr>
      </w:pPr>
    </w:p>
    <w:p w:rsidR="0015602C" w:rsidRPr="005A785D" w:rsidRDefault="0015602C" w:rsidP="000B475F">
      <w:pPr>
        <w:spacing w:line="360" w:lineRule="auto"/>
        <w:jc w:val="both"/>
        <w:rPr>
          <w:lang w:val="es-AR"/>
        </w:rPr>
      </w:pPr>
    </w:p>
    <w:p w:rsidR="00700FCD" w:rsidRDefault="00732063" w:rsidP="000B475F">
      <w:pPr>
        <w:spacing w:line="360" w:lineRule="auto"/>
        <w:jc w:val="center"/>
        <w:rPr>
          <w:b/>
          <w:lang w:val="es-AR"/>
        </w:rPr>
      </w:pPr>
      <w:r w:rsidRPr="005A785D">
        <w:rPr>
          <w:b/>
          <w:lang w:val="es-AR"/>
        </w:rPr>
        <w:t>COMPOSICIÓN DEL CAPITA</w:t>
      </w:r>
      <w:r w:rsidR="00E33D21">
        <w:rPr>
          <w:b/>
          <w:lang w:val="es-AR"/>
        </w:rPr>
        <w:t xml:space="preserve">L </w:t>
      </w:r>
    </w:p>
    <w:tbl>
      <w:tblPr>
        <w:tblW w:w="0" w:type="auto"/>
        <w:jc w:val="right"/>
        <w:tblLook w:val="04A0" w:firstRow="1" w:lastRow="0" w:firstColumn="1" w:lastColumn="0" w:noHBand="0" w:noVBand="1"/>
      </w:tblPr>
      <w:tblGrid>
        <w:gridCol w:w="8620"/>
        <w:gridCol w:w="1351"/>
      </w:tblGrid>
      <w:tr w:rsidR="00700FCD" w:rsidRPr="006F7491" w:rsidTr="00F15668">
        <w:trPr>
          <w:jc w:val="right"/>
        </w:trPr>
        <w:tc>
          <w:tcPr>
            <w:tcW w:w="8755" w:type="dxa"/>
            <w:shd w:val="clear" w:color="auto" w:fill="auto"/>
          </w:tcPr>
          <w:p w:rsidR="00700FCD" w:rsidRPr="006F7491" w:rsidRDefault="00700FCD" w:rsidP="006F7491">
            <w:pPr>
              <w:spacing w:line="360" w:lineRule="auto"/>
              <w:jc w:val="center"/>
              <w:rPr>
                <w:b/>
                <w:lang w:val="es-AR"/>
              </w:rPr>
            </w:pPr>
          </w:p>
        </w:tc>
        <w:tc>
          <w:tcPr>
            <w:tcW w:w="1356" w:type="dxa"/>
            <w:tcBorders>
              <w:bottom w:val="single" w:sz="4" w:space="0" w:color="auto"/>
            </w:tcBorders>
            <w:shd w:val="clear" w:color="auto" w:fill="auto"/>
          </w:tcPr>
          <w:p w:rsidR="00700FCD" w:rsidRPr="006F7491" w:rsidRDefault="00700FCD" w:rsidP="006F7491">
            <w:pPr>
              <w:spacing w:line="360" w:lineRule="auto"/>
              <w:jc w:val="center"/>
              <w:rPr>
                <w:b/>
                <w:lang w:val="es-AR"/>
              </w:rPr>
            </w:pPr>
            <w:r w:rsidRPr="006F7491">
              <w:rPr>
                <w:b/>
                <w:lang w:val="es-AR"/>
              </w:rPr>
              <w:t>3</w:t>
            </w:r>
            <w:r w:rsidR="00FD1CB5">
              <w:rPr>
                <w:b/>
                <w:lang w:val="es-AR"/>
              </w:rPr>
              <w:t>1</w:t>
            </w:r>
            <w:r w:rsidRPr="006F7491">
              <w:rPr>
                <w:b/>
                <w:lang w:val="es-AR"/>
              </w:rPr>
              <w:t>/</w:t>
            </w:r>
            <w:r w:rsidR="00FD1CB5">
              <w:rPr>
                <w:b/>
                <w:lang w:val="es-AR"/>
              </w:rPr>
              <w:t>12</w:t>
            </w:r>
            <w:r w:rsidRPr="006F7491">
              <w:rPr>
                <w:b/>
                <w:lang w:val="es-AR"/>
              </w:rPr>
              <w:t>/2019</w:t>
            </w:r>
          </w:p>
        </w:tc>
      </w:tr>
      <w:tr w:rsidR="00700FCD" w:rsidRPr="006F7491" w:rsidTr="00F15668">
        <w:trPr>
          <w:jc w:val="right"/>
        </w:trPr>
        <w:tc>
          <w:tcPr>
            <w:tcW w:w="8755" w:type="dxa"/>
            <w:tcBorders>
              <w:right w:val="single" w:sz="4" w:space="0" w:color="auto"/>
            </w:tcBorders>
            <w:shd w:val="clear" w:color="auto" w:fill="auto"/>
          </w:tcPr>
          <w:p w:rsidR="00700FCD" w:rsidRPr="006F7491" w:rsidRDefault="00700FCD" w:rsidP="006F7491">
            <w:pPr>
              <w:spacing w:line="360" w:lineRule="auto"/>
              <w:jc w:val="center"/>
              <w:rPr>
                <w:b/>
                <w:lang w:val="es-AR"/>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00FCD" w:rsidRPr="006F7491" w:rsidRDefault="00700FCD" w:rsidP="006F7491">
            <w:pPr>
              <w:spacing w:line="360" w:lineRule="auto"/>
              <w:jc w:val="center"/>
              <w:rPr>
                <w:b/>
                <w:lang w:val="es-AR"/>
              </w:rPr>
            </w:pPr>
            <w:r w:rsidRPr="006F7491">
              <w:rPr>
                <w:b/>
                <w:lang w:val="es-AR"/>
              </w:rPr>
              <w:t>Pesos</w:t>
            </w:r>
          </w:p>
        </w:tc>
      </w:tr>
      <w:tr w:rsidR="00700FCD" w:rsidRPr="006F7491" w:rsidTr="00F15668">
        <w:trPr>
          <w:jc w:val="right"/>
        </w:trPr>
        <w:tc>
          <w:tcPr>
            <w:tcW w:w="8755" w:type="dxa"/>
            <w:tcBorders>
              <w:right w:val="single" w:sz="4" w:space="0" w:color="auto"/>
            </w:tcBorders>
            <w:shd w:val="clear" w:color="auto" w:fill="auto"/>
          </w:tcPr>
          <w:p w:rsidR="00700FCD" w:rsidRPr="002764BA" w:rsidRDefault="00700FCD" w:rsidP="008F735D">
            <w:pPr>
              <w:spacing w:line="360" w:lineRule="auto"/>
              <w:rPr>
                <w:bCs/>
                <w:sz w:val="16"/>
                <w:szCs w:val="16"/>
                <w:lang w:val="es-AR"/>
              </w:rPr>
            </w:pPr>
            <w:r w:rsidRPr="002764BA">
              <w:rPr>
                <w:bCs/>
                <w:sz w:val="16"/>
                <w:szCs w:val="16"/>
                <w:lang w:val="es-AR"/>
              </w:rPr>
              <w:t xml:space="preserve">Acciones ordinarias de valor nominal $1 – Capital suscripto, emitido e integrado en el Registro </w:t>
            </w:r>
            <w:r w:rsidR="0015602C" w:rsidRPr="002764BA">
              <w:rPr>
                <w:bCs/>
                <w:sz w:val="16"/>
                <w:szCs w:val="16"/>
                <w:lang w:val="es-AR"/>
              </w:rPr>
              <w:t>Público</w:t>
            </w:r>
            <w:r w:rsidRPr="002764BA">
              <w:rPr>
                <w:bCs/>
                <w:sz w:val="16"/>
                <w:szCs w:val="16"/>
                <w:lang w:val="es-AR"/>
              </w:rPr>
              <w:t xml:space="preserve"> de Comercio</w:t>
            </w:r>
          </w:p>
        </w:tc>
        <w:tc>
          <w:tcPr>
            <w:tcW w:w="1356" w:type="dxa"/>
            <w:tcBorders>
              <w:top w:val="single" w:sz="4" w:space="0" w:color="auto"/>
              <w:left w:val="single" w:sz="4" w:space="0" w:color="auto"/>
              <w:right w:val="single" w:sz="4" w:space="0" w:color="auto"/>
            </w:tcBorders>
            <w:shd w:val="clear" w:color="auto" w:fill="auto"/>
          </w:tcPr>
          <w:p w:rsidR="00700FCD" w:rsidRPr="006F7491" w:rsidRDefault="00FD1CB5" w:rsidP="002764BA">
            <w:pPr>
              <w:spacing w:line="360" w:lineRule="auto"/>
              <w:jc w:val="right"/>
              <w:rPr>
                <w:bCs/>
                <w:lang w:val="es-AR"/>
              </w:rPr>
            </w:pPr>
            <w:r>
              <w:rPr>
                <w:bCs/>
                <w:lang w:val="es-AR"/>
              </w:rPr>
              <w:t>5.</w:t>
            </w:r>
            <w:r w:rsidR="008F735D">
              <w:rPr>
                <w:bCs/>
                <w:lang w:val="es-AR"/>
              </w:rPr>
              <w:t>172</w:t>
            </w:r>
          </w:p>
        </w:tc>
      </w:tr>
      <w:tr w:rsidR="008F735D" w:rsidRPr="006F7491" w:rsidTr="00F15668">
        <w:trPr>
          <w:jc w:val="right"/>
        </w:trPr>
        <w:tc>
          <w:tcPr>
            <w:tcW w:w="8755" w:type="dxa"/>
            <w:tcBorders>
              <w:right w:val="single" w:sz="4" w:space="0" w:color="auto"/>
            </w:tcBorders>
            <w:shd w:val="clear" w:color="auto" w:fill="auto"/>
          </w:tcPr>
          <w:p w:rsidR="008F735D" w:rsidRPr="002764BA" w:rsidRDefault="008F735D" w:rsidP="008F735D">
            <w:pPr>
              <w:spacing w:line="360" w:lineRule="auto"/>
              <w:rPr>
                <w:bCs/>
                <w:sz w:val="16"/>
                <w:szCs w:val="16"/>
                <w:lang w:val="es-AR"/>
              </w:rPr>
            </w:pPr>
            <w:bookmarkStart w:id="1" w:name="_Hlk34157359"/>
            <w:r w:rsidRPr="002764BA">
              <w:rPr>
                <w:bCs/>
                <w:sz w:val="16"/>
                <w:szCs w:val="16"/>
                <w:lang w:val="es-AR"/>
              </w:rPr>
              <w:t>Acciones preferidas</w:t>
            </w:r>
            <w:r w:rsidR="00450FDC" w:rsidRPr="002764BA">
              <w:rPr>
                <w:bCs/>
                <w:sz w:val="16"/>
                <w:szCs w:val="16"/>
                <w:lang w:val="es-AR"/>
              </w:rPr>
              <w:t xml:space="preserve"> de valor nominal $1 – Capital suscripto, emitido e integrado en el Registro Público de Comercio</w:t>
            </w:r>
          </w:p>
        </w:tc>
        <w:tc>
          <w:tcPr>
            <w:tcW w:w="1356" w:type="dxa"/>
            <w:tcBorders>
              <w:left w:val="single" w:sz="4" w:space="0" w:color="auto"/>
              <w:bottom w:val="single" w:sz="4" w:space="0" w:color="auto"/>
              <w:right w:val="single" w:sz="4" w:space="0" w:color="auto"/>
            </w:tcBorders>
            <w:shd w:val="clear" w:color="auto" w:fill="auto"/>
          </w:tcPr>
          <w:p w:rsidR="008F735D" w:rsidRDefault="008F735D" w:rsidP="002764BA">
            <w:pPr>
              <w:spacing w:line="360" w:lineRule="auto"/>
              <w:jc w:val="right"/>
              <w:rPr>
                <w:bCs/>
                <w:lang w:val="es-AR"/>
              </w:rPr>
            </w:pPr>
            <w:r>
              <w:rPr>
                <w:bCs/>
                <w:lang w:val="es-AR"/>
              </w:rPr>
              <w:t>10</w:t>
            </w:r>
            <w:r w:rsidR="002764BA">
              <w:rPr>
                <w:bCs/>
                <w:lang w:val="es-AR"/>
              </w:rPr>
              <w:t>6</w:t>
            </w:r>
          </w:p>
        </w:tc>
      </w:tr>
      <w:bookmarkEnd w:id="1"/>
      <w:tr w:rsidR="00700FCD" w:rsidRPr="008F735D" w:rsidTr="00F15668">
        <w:trPr>
          <w:jc w:val="right"/>
        </w:trPr>
        <w:tc>
          <w:tcPr>
            <w:tcW w:w="8755" w:type="dxa"/>
            <w:tcBorders>
              <w:right w:val="single" w:sz="4" w:space="0" w:color="auto"/>
            </w:tcBorders>
            <w:shd w:val="clear" w:color="auto" w:fill="auto"/>
          </w:tcPr>
          <w:p w:rsidR="00700FCD" w:rsidRPr="008F735D" w:rsidRDefault="0015602C" w:rsidP="006F7491">
            <w:pPr>
              <w:spacing w:line="360" w:lineRule="auto"/>
              <w:rPr>
                <w:b/>
                <w:lang w:val="es-AR"/>
              </w:rPr>
            </w:pPr>
            <w:r w:rsidRPr="008F735D">
              <w:rPr>
                <w:b/>
                <w:lang w:val="es-AR"/>
              </w:rPr>
              <w:t>Tota</w:t>
            </w:r>
            <w:r w:rsidR="008A1825" w:rsidRPr="008F735D">
              <w:rPr>
                <w:b/>
                <w:lang w:val="es-AR"/>
              </w:rPr>
              <w:t>l Capital</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700FCD" w:rsidRPr="008F735D" w:rsidRDefault="00FD1CB5" w:rsidP="002764BA">
            <w:pPr>
              <w:spacing w:line="360" w:lineRule="auto"/>
              <w:jc w:val="right"/>
              <w:rPr>
                <w:b/>
                <w:lang w:val="es-AR"/>
              </w:rPr>
            </w:pPr>
            <w:r w:rsidRPr="008F735D">
              <w:rPr>
                <w:b/>
                <w:lang w:val="es-AR"/>
              </w:rPr>
              <w:t>5.278</w:t>
            </w:r>
          </w:p>
        </w:tc>
      </w:tr>
    </w:tbl>
    <w:p w:rsidR="00700FCD" w:rsidRPr="008F735D" w:rsidRDefault="00700FCD" w:rsidP="000B475F">
      <w:pPr>
        <w:spacing w:line="360" w:lineRule="auto"/>
        <w:jc w:val="center"/>
        <w:rPr>
          <w:b/>
          <w:lang w:val="es-AR"/>
        </w:rPr>
      </w:pPr>
    </w:p>
    <w:p w:rsidR="00C4680B" w:rsidRPr="005A785D" w:rsidRDefault="00C4680B" w:rsidP="000B475F">
      <w:pPr>
        <w:rPr>
          <w:lang w:val="es-AR"/>
        </w:rPr>
      </w:pPr>
    </w:p>
    <w:p w:rsidR="00C4680B" w:rsidRPr="005A785D" w:rsidRDefault="00C4680B" w:rsidP="000B475F">
      <w:pPr>
        <w:jc w:val="center"/>
        <w:rPr>
          <w:b/>
          <w:lang w:val="es-AR"/>
        </w:rPr>
      </w:pPr>
    </w:p>
    <w:p w:rsidR="00C4680B" w:rsidRPr="005A785D" w:rsidRDefault="00C4680B" w:rsidP="000B475F">
      <w:pPr>
        <w:spacing w:line="360" w:lineRule="auto"/>
        <w:jc w:val="both"/>
        <w:rPr>
          <w:lang w:val="es-AR"/>
        </w:rPr>
      </w:pPr>
    </w:p>
    <w:p w:rsidR="008C648B" w:rsidRPr="005A785D" w:rsidRDefault="008C648B" w:rsidP="000B475F">
      <w:pPr>
        <w:spacing w:line="360" w:lineRule="auto"/>
        <w:jc w:val="both"/>
        <w:rPr>
          <w:lang w:val="es-AR"/>
        </w:rPr>
      </w:pPr>
    </w:p>
    <w:p w:rsidR="009467C9" w:rsidRDefault="008444EB" w:rsidP="00015A36">
      <w:pPr>
        <w:pStyle w:val="Textoindependiente3"/>
        <w:rPr>
          <w:lang w:val="es-AR"/>
        </w:rPr>
      </w:pPr>
      <w:r w:rsidRPr="005A785D">
        <w:rPr>
          <w:lang w:val="es-AR"/>
        </w:rPr>
        <w:br w:type="page"/>
      </w:r>
    </w:p>
    <w:p w:rsidR="00F260F0" w:rsidRPr="00B60438" w:rsidRDefault="00F260F0" w:rsidP="00F260F0">
      <w:pPr>
        <w:tabs>
          <w:tab w:val="center" w:pos="4985"/>
          <w:tab w:val="left" w:pos="9028"/>
        </w:tabs>
        <w:spacing w:line="360" w:lineRule="auto"/>
        <w:jc w:val="center"/>
        <w:rPr>
          <w:b/>
          <w:szCs w:val="18"/>
          <w:lang w:val="es-AR"/>
        </w:rPr>
      </w:pPr>
      <w:r>
        <w:rPr>
          <w:b/>
          <w:szCs w:val="18"/>
          <w:lang w:val="es-AR"/>
        </w:rPr>
        <w:t>ESTADO DE SITUACION PATRIMO</w:t>
      </w:r>
      <w:r w:rsidRPr="00B60438">
        <w:rPr>
          <w:b/>
          <w:szCs w:val="18"/>
          <w:lang w:val="es-AR"/>
        </w:rPr>
        <w:t>NIAL</w:t>
      </w:r>
    </w:p>
    <w:p w:rsidR="00F260F0" w:rsidRPr="00B60438" w:rsidRDefault="00B02096" w:rsidP="00F260F0">
      <w:pPr>
        <w:spacing w:line="360" w:lineRule="auto"/>
        <w:jc w:val="center"/>
        <w:rPr>
          <w:b/>
          <w:szCs w:val="18"/>
          <w:lang w:val="es-AR"/>
        </w:rPr>
      </w:pPr>
      <w:r>
        <w:rPr>
          <w:b/>
          <w:szCs w:val="18"/>
          <w:lang w:val="es-AR"/>
        </w:rPr>
        <w:t>A</w:t>
      </w:r>
      <w:r w:rsidR="00F260F0" w:rsidRPr="00B60438">
        <w:rPr>
          <w:b/>
          <w:szCs w:val="18"/>
          <w:lang w:val="es-AR"/>
        </w:rPr>
        <w:t>L 31 DE DICIEMBRE DE 2019</w:t>
      </w:r>
    </w:p>
    <w:p w:rsidR="00F260F0" w:rsidRPr="00B60438" w:rsidRDefault="00F260F0" w:rsidP="00F260F0">
      <w:pPr>
        <w:spacing w:line="360" w:lineRule="auto"/>
        <w:jc w:val="center"/>
        <w:rPr>
          <w:b/>
          <w:szCs w:val="18"/>
          <w:lang w:val="es-AR"/>
        </w:rPr>
      </w:pPr>
      <w:r w:rsidRPr="00B60438">
        <w:rPr>
          <w:b/>
          <w:szCs w:val="18"/>
          <w:lang w:val="es-AR"/>
        </w:rPr>
        <w:t>PRESENTADO EN FORMA COMPARATIVA CON EL EJERC</w:t>
      </w:r>
      <w:r>
        <w:rPr>
          <w:b/>
          <w:szCs w:val="18"/>
          <w:lang w:val="es-AR"/>
        </w:rPr>
        <w:t>I</w:t>
      </w:r>
      <w:r w:rsidRPr="00B60438">
        <w:rPr>
          <w:b/>
          <w:szCs w:val="18"/>
          <w:lang w:val="es-AR"/>
        </w:rPr>
        <w:t>CIO ANTERIOR</w:t>
      </w:r>
    </w:p>
    <w:p w:rsidR="00F260F0" w:rsidRPr="00291ABB" w:rsidRDefault="00F260F0" w:rsidP="00F260F0">
      <w:pPr>
        <w:spacing w:line="360" w:lineRule="auto"/>
        <w:jc w:val="center"/>
        <w:rPr>
          <w:szCs w:val="18"/>
          <w:lang w:val="es-AR"/>
        </w:rPr>
      </w:pPr>
      <w:r w:rsidRPr="00291ABB">
        <w:rPr>
          <w:szCs w:val="18"/>
          <w:lang w:val="es-AR"/>
        </w:rPr>
        <w:t>- Cifras expresadas en miles de pesos (Nota 2.b) -</w:t>
      </w:r>
    </w:p>
    <w:p w:rsidR="007B3309" w:rsidRDefault="007B3309" w:rsidP="00015A36">
      <w:pPr>
        <w:tabs>
          <w:tab w:val="left" w:pos="3780"/>
        </w:tabs>
        <w:spacing w:line="360" w:lineRule="auto"/>
        <w:jc w:val="center"/>
        <w:rPr>
          <w:lang w:val="es-AR"/>
        </w:rPr>
      </w:pPr>
    </w:p>
    <w:p w:rsidR="00DB78E8" w:rsidRDefault="004D61B9" w:rsidP="00015A36">
      <w:pPr>
        <w:tabs>
          <w:tab w:val="left" w:pos="3780"/>
        </w:tabs>
        <w:spacing w:line="360" w:lineRule="auto"/>
        <w:jc w:val="center"/>
        <w:rPr>
          <w:lang w:val="es-AR"/>
        </w:rPr>
      </w:pPr>
      <w:r>
        <w:rPr>
          <w:lang w:val="es-AR"/>
        </w:rPr>
        <w:pict>
          <v:shape id="_x0000_i1085" type="#_x0000_t75" style="width:433.5pt;height:364.5pt">
            <v:imagedata r:id="rId11" o:title=""/>
          </v:shape>
        </w:pict>
      </w:r>
    </w:p>
    <w:p w:rsidR="002F0B6A" w:rsidRPr="008A1825" w:rsidRDefault="002F0B6A" w:rsidP="00015A36">
      <w:pPr>
        <w:tabs>
          <w:tab w:val="left" w:pos="3780"/>
        </w:tabs>
        <w:spacing w:line="360" w:lineRule="auto"/>
        <w:jc w:val="center"/>
        <w:rPr>
          <w:lang w:val="es-AR"/>
        </w:rPr>
      </w:pPr>
    </w:p>
    <w:p w:rsidR="008A1825" w:rsidRPr="005A785D" w:rsidRDefault="0028686C" w:rsidP="008A1825">
      <w:pPr>
        <w:tabs>
          <w:tab w:val="left" w:pos="3780"/>
        </w:tabs>
        <w:spacing w:line="360" w:lineRule="auto"/>
        <w:jc w:val="center"/>
        <w:rPr>
          <w:lang w:val="es-AR"/>
        </w:rPr>
      </w:pPr>
      <w:r>
        <w:rPr>
          <w:lang w:val="es-AR"/>
        </w:rPr>
        <w:t>Las notas 1 a 8</w:t>
      </w:r>
      <w:r w:rsidR="008A1825">
        <w:rPr>
          <w:lang w:val="es-AR"/>
        </w:rPr>
        <w:t xml:space="preserve">, los </w:t>
      </w:r>
      <w:r w:rsidR="006B78E7">
        <w:rPr>
          <w:lang w:val="es-AR"/>
        </w:rPr>
        <w:t>A</w:t>
      </w:r>
      <w:r w:rsidR="008A1825">
        <w:rPr>
          <w:lang w:val="es-AR"/>
        </w:rPr>
        <w:t>nexos A, C, E,</w:t>
      </w:r>
      <w:r w:rsidR="006B78E7">
        <w:rPr>
          <w:lang w:val="es-AR"/>
        </w:rPr>
        <w:t xml:space="preserve"> </w:t>
      </w:r>
      <w:r w:rsidR="008A1825">
        <w:rPr>
          <w:lang w:val="es-AR"/>
        </w:rPr>
        <w:t>F</w:t>
      </w:r>
      <w:r w:rsidR="006B78E7">
        <w:rPr>
          <w:lang w:val="es-AR"/>
        </w:rPr>
        <w:t>,</w:t>
      </w:r>
      <w:r w:rsidR="008A1825">
        <w:rPr>
          <w:lang w:val="es-AR"/>
        </w:rPr>
        <w:t xml:space="preserve"> G,</w:t>
      </w:r>
      <w:r w:rsidR="006B78E7">
        <w:rPr>
          <w:lang w:val="es-AR"/>
        </w:rPr>
        <w:t xml:space="preserve"> </w:t>
      </w:r>
      <w:r w:rsidR="008A1825">
        <w:rPr>
          <w:lang w:val="es-AR"/>
        </w:rPr>
        <w:t>H e I integran los presentes estados contables.</w:t>
      </w:r>
    </w:p>
    <w:p w:rsidR="00F260F0" w:rsidRPr="00B60438" w:rsidRDefault="002105F4" w:rsidP="00F260F0">
      <w:pPr>
        <w:spacing w:line="360" w:lineRule="auto"/>
        <w:jc w:val="center"/>
        <w:rPr>
          <w:b/>
          <w:szCs w:val="18"/>
          <w:lang w:val="es-AR"/>
        </w:rPr>
      </w:pPr>
      <w:r>
        <w:rPr>
          <w:lang w:val="es-AR"/>
        </w:rPr>
        <w:br w:type="page"/>
      </w:r>
      <w:r w:rsidR="00F260F0" w:rsidRPr="00B60438">
        <w:rPr>
          <w:b/>
          <w:szCs w:val="18"/>
          <w:lang w:val="es-AR"/>
        </w:rPr>
        <w:t xml:space="preserve">ESTADO DE </w:t>
      </w:r>
      <w:r w:rsidR="00F260F0">
        <w:rPr>
          <w:b/>
          <w:szCs w:val="18"/>
          <w:lang w:val="es-AR"/>
        </w:rPr>
        <w:t>RESULTADOS</w:t>
      </w:r>
    </w:p>
    <w:p w:rsidR="00F260F0" w:rsidRPr="00B60438" w:rsidRDefault="00D03F9E" w:rsidP="00F260F0">
      <w:pPr>
        <w:spacing w:line="360" w:lineRule="auto"/>
        <w:jc w:val="center"/>
        <w:rPr>
          <w:b/>
          <w:szCs w:val="18"/>
          <w:lang w:val="es-AR"/>
        </w:rPr>
      </w:pPr>
      <w:r>
        <w:rPr>
          <w:b/>
          <w:szCs w:val="18"/>
          <w:lang w:val="es-AR"/>
        </w:rPr>
        <w:t>AL</w:t>
      </w:r>
      <w:r w:rsidR="00F260F0" w:rsidRPr="00B60438">
        <w:rPr>
          <w:b/>
          <w:szCs w:val="18"/>
          <w:lang w:val="es-AR"/>
        </w:rPr>
        <w:t xml:space="preserve"> 31 DE DICIEMBRE DE 2019</w:t>
      </w:r>
    </w:p>
    <w:p w:rsidR="00F260F0" w:rsidRPr="00B60438" w:rsidRDefault="00F260F0" w:rsidP="00F260F0">
      <w:pPr>
        <w:spacing w:line="360" w:lineRule="auto"/>
        <w:jc w:val="center"/>
        <w:rPr>
          <w:b/>
          <w:szCs w:val="18"/>
          <w:lang w:val="es-AR"/>
        </w:rPr>
      </w:pPr>
      <w:r w:rsidRPr="00B60438">
        <w:rPr>
          <w:b/>
          <w:szCs w:val="18"/>
          <w:lang w:val="es-AR"/>
        </w:rPr>
        <w:t>PRESENTADO EN FORMA COMPARATIVA CON EL EJERC</w:t>
      </w:r>
      <w:r>
        <w:rPr>
          <w:b/>
          <w:szCs w:val="18"/>
          <w:lang w:val="es-AR"/>
        </w:rPr>
        <w:t>I</w:t>
      </w:r>
      <w:r w:rsidRPr="00B60438">
        <w:rPr>
          <w:b/>
          <w:szCs w:val="18"/>
          <w:lang w:val="es-AR"/>
        </w:rPr>
        <w:t>CIO ANTERIOR</w:t>
      </w:r>
    </w:p>
    <w:p w:rsidR="00A1542C" w:rsidRPr="005A785D" w:rsidRDefault="00F260F0" w:rsidP="00F260F0">
      <w:pPr>
        <w:tabs>
          <w:tab w:val="left" w:pos="3780"/>
        </w:tabs>
        <w:spacing w:line="360" w:lineRule="auto"/>
        <w:jc w:val="center"/>
        <w:rPr>
          <w:lang w:val="es-AR"/>
        </w:rPr>
      </w:pPr>
      <w:r w:rsidRPr="00291ABB">
        <w:rPr>
          <w:szCs w:val="18"/>
          <w:lang w:val="es-AR"/>
        </w:rPr>
        <w:t xml:space="preserve">- Cifras expresadas en miles de pesos (Nota 2.b) </w:t>
      </w:r>
      <w:r w:rsidR="00A1542C">
        <w:rPr>
          <w:lang w:val="es-AR"/>
        </w:rPr>
        <w:t xml:space="preserve">- </w:t>
      </w:r>
    </w:p>
    <w:p w:rsidR="004156E6" w:rsidRDefault="004156E6" w:rsidP="00931165">
      <w:pPr>
        <w:tabs>
          <w:tab w:val="left" w:pos="3780"/>
        </w:tabs>
        <w:spacing w:line="360" w:lineRule="auto"/>
        <w:jc w:val="center"/>
        <w:rPr>
          <w:lang w:val="es-AR"/>
        </w:rPr>
      </w:pPr>
    </w:p>
    <w:p w:rsidR="00DB78E8" w:rsidRPr="005A785D" w:rsidRDefault="004D61B9" w:rsidP="00983804">
      <w:pPr>
        <w:tabs>
          <w:tab w:val="left" w:pos="3780"/>
        </w:tabs>
        <w:spacing w:line="360" w:lineRule="auto"/>
        <w:jc w:val="center"/>
        <w:rPr>
          <w:lang w:val="es-AR"/>
        </w:rPr>
      </w:pPr>
      <w:r>
        <w:rPr>
          <w:lang w:val="es-AR"/>
        </w:rPr>
        <w:pict>
          <v:shape id="_x0000_i1084" type="#_x0000_t75" style="width:441.75pt;height:2in">
            <v:imagedata r:id="rId12" o:title=""/>
          </v:shape>
        </w:pict>
      </w:r>
      <w:hyperlink r:id="rId13" w:history="1">
        <w:r w:rsidR="003673BB" w:rsidRPr="003673BB">
          <w:rPr>
            <w:rStyle w:val="Hipervnculo"/>
          </w:rPr>
          <w:t>\\ad.mirgor.com.ar\Tablada\Direcciones\Administracion y Finanzas\Balances\Balances CNV\</w:t>
        </w:r>
        <w:proofErr w:type="spellStart"/>
        <w:r w:rsidR="003673BB" w:rsidRPr="003673BB">
          <w:rPr>
            <w:rStyle w:val="Hipervnculo"/>
          </w:rPr>
          <w:t>Bce</w:t>
        </w:r>
        <w:proofErr w:type="spellEnd"/>
        <w:r w:rsidR="003673BB" w:rsidRPr="003673BB">
          <w:rPr>
            <w:rStyle w:val="Hipervnculo"/>
          </w:rPr>
          <w:t xml:space="preserve"> 1219\ELECTRONICA FAMAR\EF Armado EECC 12-19 V1.xlsx</w:t>
        </w:r>
      </w:hyperlink>
    </w:p>
    <w:p w:rsidR="009D5193" w:rsidRPr="005A785D" w:rsidRDefault="009D5193" w:rsidP="009D5193">
      <w:pPr>
        <w:tabs>
          <w:tab w:val="left" w:pos="3140"/>
          <w:tab w:val="left" w:pos="3780"/>
        </w:tabs>
        <w:spacing w:line="360" w:lineRule="auto"/>
        <w:jc w:val="center"/>
        <w:rPr>
          <w:lang w:val="es-AR"/>
        </w:rPr>
      </w:pPr>
      <w:r>
        <w:rPr>
          <w:lang w:val="es-AR"/>
        </w:rPr>
        <w:t xml:space="preserve">Las notas 1 a </w:t>
      </w:r>
      <w:r w:rsidR="0028686C">
        <w:rPr>
          <w:lang w:val="es-AR"/>
        </w:rPr>
        <w:t>8</w:t>
      </w:r>
      <w:r>
        <w:rPr>
          <w:lang w:val="es-AR"/>
        </w:rPr>
        <w:t xml:space="preserve">, los </w:t>
      </w:r>
      <w:r w:rsidR="002B106B">
        <w:rPr>
          <w:lang w:val="es-AR"/>
        </w:rPr>
        <w:t>A</w:t>
      </w:r>
      <w:r>
        <w:rPr>
          <w:lang w:val="es-AR"/>
        </w:rPr>
        <w:t>nexos</w:t>
      </w:r>
      <w:r w:rsidR="009A312C">
        <w:rPr>
          <w:lang w:val="es-AR"/>
        </w:rPr>
        <w:t xml:space="preserve"> A,</w:t>
      </w:r>
      <w:r>
        <w:rPr>
          <w:lang w:val="es-AR"/>
        </w:rPr>
        <w:t xml:space="preserve"> C,</w:t>
      </w:r>
      <w:r w:rsidR="006B78E7">
        <w:rPr>
          <w:lang w:val="es-AR"/>
        </w:rPr>
        <w:t xml:space="preserve"> </w:t>
      </w:r>
      <w:r w:rsidR="009A312C">
        <w:rPr>
          <w:lang w:val="es-AR"/>
        </w:rPr>
        <w:t>E,</w:t>
      </w:r>
      <w:r w:rsidR="006B78E7">
        <w:rPr>
          <w:lang w:val="es-AR"/>
        </w:rPr>
        <w:t xml:space="preserve"> </w:t>
      </w:r>
      <w:r w:rsidR="009A312C">
        <w:rPr>
          <w:lang w:val="es-AR"/>
        </w:rPr>
        <w:t>F</w:t>
      </w:r>
      <w:r w:rsidR="006B78E7">
        <w:rPr>
          <w:lang w:val="es-AR"/>
        </w:rPr>
        <w:t>,</w:t>
      </w:r>
      <w:r>
        <w:rPr>
          <w:lang w:val="es-AR"/>
        </w:rPr>
        <w:t xml:space="preserve"> G,</w:t>
      </w:r>
      <w:r w:rsidR="006B78E7">
        <w:rPr>
          <w:lang w:val="es-AR"/>
        </w:rPr>
        <w:t xml:space="preserve"> </w:t>
      </w:r>
      <w:r w:rsidR="009A312C">
        <w:rPr>
          <w:lang w:val="es-AR"/>
        </w:rPr>
        <w:t>H</w:t>
      </w:r>
      <w:r>
        <w:rPr>
          <w:lang w:val="es-AR"/>
        </w:rPr>
        <w:t xml:space="preserve"> e I integran los presentes estados contables.</w:t>
      </w:r>
    </w:p>
    <w:p w:rsidR="00C4680B" w:rsidRDefault="00C4680B" w:rsidP="000B475F">
      <w:pPr>
        <w:spacing w:line="360" w:lineRule="auto"/>
        <w:jc w:val="both"/>
        <w:rPr>
          <w:lang w:val="es-AR"/>
        </w:rPr>
      </w:pPr>
    </w:p>
    <w:p w:rsidR="005F6CDB" w:rsidRPr="005A785D" w:rsidRDefault="005F6CDB" w:rsidP="000B475F">
      <w:pPr>
        <w:spacing w:line="360" w:lineRule="auto"/>
        <w:jc w:val="both"/>
        <w:rPr>
          <w:lang w:val="es-AR"/>
        </w:rPr>
        <w:sectPr w:rsidR="005F6CDB" w:rsidRPr="005A785D" w:rsidSect="00FC7ECC">
          <w:headerReference w:type="default" r:id="rId14"/>
          <w:footerReference w:type="default" r:id="rId15"/>
          <w:pgSz w:w="12240" w:h="15840" w:code="1"/>
          <w:pgMar w:top="1418" w:right="851" w:bottom="1134" w:left="1418" w:header="720" w:footer="284" w:gutter="0"/>
          <w:pgNumType w:start="1"/>
          <w:cols w:space="720"/>
        </w:sectPr>
      </w:pPr>
    </w:p>
    <w:p w:rsidR="00C4680B" w:rsidRPr="005A785D" w:rsidRDefault="00C4680B" w:rsidP="000B475F">
      <w:pPr>
        <w:spacing w:line="360" w:lineRule="auto"/>
        <w:jc w:val="center"/>
        <w:rPr>
          <w:lang w:val="es-AR"/>
        </w:rPr>
      </w:pPr>
    </w:p>
    <w:p w:rsidR="00F260F0" w:rsidRPr="00B60438" w:rsidRDefault="00F260F0" w:rsidP="00F260F0">
      <w:pPr>
        <w:spacing w:line="360" w:lineRule="auto"/>
        <w:jc w:val="center"/>
        <w:rPr>
          <w:b/>
          <w:szCs w:val="18"/>
          <w:lang w:val="es-AR"/>
        </w:rPr>
      </w:pPr>
      <w:r w:rsidRPr="00B60438">
        <w:rPr>
          <w:b/>
          <w:szCs w:val="18"/>
          <w:lang w:val="es-AR"/>
        </w:rPr>
        <w:t xml:space="preserve">ESTADO DE </w:t>
      </w:r>
      <w:r>
        <w:rPr>
          <w:b/>
          <w:szCs w:val="18"/>
          <w:lang w:val="es-AR"/>
        </w:rPr>
        <w:t>EVOLUCION DEL PATRIMONIO NETO</w:t>
      </w:r>
    </w:p>
    <w:p w:rsidR="00F260F0" w:rsidRPr="00B60438" w:rsidRDefault="00F260F0" w:rsidP="00F260F0">
      <w:pPr>
        <w:spacing w:line="360" w:lineRule="auto"/>
        <w:jc w:val="center"/>
        <w:rPr>
          <w:b/>
          <w:szCs w:val="18"/>
          <w:lang w:val="es-AR"/>
        </w:rPr>
      </w:pPr>
      <w:r>
        <w:rPr>
          <w:b/>
          <w:szCs w:val="18"/>
          <w:lang w:val="es-AR"/>
        </w:rPr>
        <w:t>CORRESPONDIENTE AL EJERCICIO FINALIZADO E</w:t>
      </w:r>
      <w:r w:rsidRPr="00B60438">
        <w:rPr>
          <w:b/>
          <w:szCs w:val="18"/>
          <w:lang w:val="es-AR"/>
        </w:rPr>
        <w:t>L 31 DE DICIEMBRE DE 2019</w:t>
      </w:r>
    </w:p>
    <w:p w:rsidR="00F260F0" w:rsidRPr="00B60438" w:rsidRDefault="00F260F0" w:rsidP="00F260F0">
      <w:pPr>
        <w:spacing w:line="360" w:lineRule="auto"/>
        <w:jc w:val="center"/>
        <w:rPr>
          <w:b/>
          <w:szCs w:val="18"/>
          <w:lang w:val="es-AR"/>
        </w:rPr>
      </w:pPr>
      <w:r w:rsidRPr="00B60438">
        <w:rPr>
          <w:b/>
          <w:szCs w:val="18"/>
          <w:lang w:val="es-AR"/>
        </w:rPr>
        <w:t>PRESENTADO EN FORMA COMPARATIVA CON EL EJERC</w:t>
      </w:r>
      <w:r>
        <w:rPr>
          <w:b/>
          <w:szCs w:val="18"/>
          <w:lang w:val="es-AR"/>
        </w:rPr>
        <w:t>I</w:t>
      </w:r>
      <w:r w:rsidRPr="00B60438">
        <w:rPr>
          <w:b/>
          <w:szCs w:val="18"/>
          <w:lang w:val="es-AR"/>
        </w:rPr>
        <w:t>CIO ANTERIOR</w:t>
      </w:r>
    </w:p>
    <w:p w:rsidR="00F260F0" w:rsidRPr="00291ABB" w:rsidRDefault="00F260F0" w:rsidP="00F260F0">
      <w:pPr>
        <w:spacing w:line="360" w:lineRule="auto"/>
        <w:jc w:val="center"/>
        <w:rPr>
          <w:szCs w:val="18"/>
          <w:lang w:val="es-AR"/>
        </w:rPr>
      </w:pPr>
      <w:r w:rsidRPr="00291ABB">
        <w:rPr>
          <w:szCs w:val="18"/>
          <w:lang w:val="es-AR"/>
        </w:rPr>
        <w:t>- Cifras expresadas en miles de pesos (Nota 2.b) -</w:t>
      </w:r>
    </w:p>
    <w:p w:rsidR="00C6191A" w:rsidRDefault="00C6191A" w:rsidP="00C6191A">
      <w:pPr>
        <w:spacing w:line="360" w:lineRule="auto"/>
        <w:jc w:val="center"/>
        <w:rPr>
          <w:lang w:val="es-AR"/>
        </w:rPr>
      </w:pPr>
    </w:p>
    <w:p w:rsidR="00C6191A" w:rsidRDefault="004D61B9" w:rsidP="006A4B92">
      <w:pPr>
        <w:spacing w:line="360" w:lineRule="auto"/>
        <w:jc w:val="center"/>
        <w:rPr>
          <w:lang w:val="es-AR"/>
        </w:rPr>
      </w:pPr>
      <w:r>
        <w:rPr>
          <w:lang w:val="es-AR"/>
        </w:rPr>
        <w:pict>
          <v:shape id="_x0000_i1083" type="#_x0000_t75" style="width:673.5pt;height:135pt">
            <v:imagedata r:id="rId16" o:title=""/>
          </v:shape>
        </w:pict>
      </w:r>
    </w:p>
    <w:p w:rsidR="00C6191A" w:rsidRDefault="00C6191A" w:rsidP="00C6191A">
      <w:pPr>
        <w:spacing w:line="360" w:lineRule="auto"/>
        <w:jc w:val="center"/>
        <w:rPr>
          <w:lang w:val="es-AR"/>
        </w:rPr>
      </w:pPr>
      <w:r>
        <w:rPr>
          <w:lang w:val="es-AR"/>
        </w:rPr>
        <w:t xml:space="preserve"> </w:t>
      </w:r>
    </w:p>
    <w:p w:rsidR="009D5193" w:rsidRPr="005A785D" w:rsidRDefault="009D5193" w:rsidP="009D5193">
      <w:pPr>
        <w:tabs>
          <w:tab w:val="left" w:pos="3140"/>
          <w:tab w:val="left" w:pos="3780"/>
        </w:tabs>
        <w:spacing w:line="360" w:lineRule="auto"/>
        <w:jc w:val="center"/>
        <w:rPr>
          <w:lang w:val="es-AR"/>
        </w:rPr>
      </w:pPr>
      <w:r>
        <w:rPr>
          <w:lang w:val="es-AR"/>
        </w:rPr>
        <w:t xml:space="preserve">Las notas 1 a </w:t>
      </w:r>
      <w:r w:rsidR="0028686C">
        <w:rPr>
          <w:lang w:val="es-AR"/>
        </w:rPr>
        <w:t>8</w:t>
      </w:r>
      <w:r>
        <w:rPr>
          <w:lang w:val="es-AR"/>
        </w:rPr>
        <w:t xml:space="preserve">, los </w:t>
      </w:r>
      <w:r w:rsidR="00A07D0B">
        <w:rPr>
          <w:lang w:val="es-AR"/>
        </w:rPr>
        <w:t>A</w:t>
      </w:r>
      <w:r>
        <w:rPr>
          <w:lang w:val="es-AR"/>
        </w:rPr>
        <w:t>nexos</w:t>
      </w:r>
      <w:r w:rsidR="009A312C">
        <w:rPr>
          <w:lang w:val="es-AR"/>
        </w:rPr>
        <w:t xml:space="preserve"> A,</w:t>
      </w:r>
      <w:r w:rsidR="00A07D0B">
        <w:rPr>
          <w:lang w:val="es-AR"/>
        </w:rPr>
        <w:t xml:space="preserve"> </w:t>
      </w:r>
      <w:r w:rsidR="009A312C">
        <w:rPr>
          <w:lang w:val="es-AR"/>
        </w:rPr>
        <w:t>C</w:t>
      </w:r>
      <w:r w:rsidR="00A07D0B">
        <w:rPr>
          <w:lang w:val="es-AR"/>
        </w:rPr>
        <w:t xml:space="preserve">, </w:t>
      </w:r>
      <w:r w:rsidR="009A312C">
        <w:rPr>
          <w:lang w:val="es-AR"/>
        </w:rPr>
        <w:t>E,</w:t>
      </w:r>
      <w:r w:rsidR="00A07D0B">
        <w:rPr>
          <w:lang w:val="es-AR"/>
        </w:rPr>
        <w:t xml:space="preserve"> </w:t>
      </w:r>
      <w:r w:rsidR="009A312C">
        <w:rPr>
          <w:lang w:val="es-AR"/>
        </w:rPr>
        <w:t>F,</w:t>
      </w:r>
      <w:r w:rsidR="00A07D0B">
        <w:rPr>
          <w:lang w:val="es-AR"/>
        </w:rPr>
        <w:t xml:space="preserve"> </w:t>
      </w:r>
      <w:r w:rsidR="009A312C">
        <w:rPr>
          <w:lang w:val="es-AR"/>
        </w:rPr>
        <w:t>G,</w:t>
      </w:r>
      <w:r w:rsidR="00A07D0B">
        <w:rPr>
          <w:lang w:val="es-AR"/>
        </w:rPr>
        <w:t xml:space="preserve"> </w:t>
      </w:r>
      <w:r w:rsidR="009A312C">
        <w:rPr>
          <w:lang w:val="es-AR"/>
        </w:rPr>
        <w:t>H</w:t>
      </w:r>
      <w:r>
        <w:rPr>
          <w:lang w:val="es-AR"/>
        </w:rPr>
        <w:t xml:space="preserve"> e I integran los presentes estados contables.</w:t>
      </w:r>
    </w:p>
    <w:p w:rsidR="00CF2E28" w:rsidRDefault="00CF2E28" w:rsidP="00C6191A">
      <w:pPr>
        <w:spacing w:line="360" w:lineRule="auto"/>
        <w:jc w:val="center"/>
        <w:rPr>
          <w:lang w:val="es-AR"/>
        </w:rPr>
      </w:pPr>
    </w:p>
    <w:p w:rsidR="005F6CDB" w:rsidRDefault="005F6CDB" w:rsidP="00C6191A">
      <w:pPr>
        <w:spacing w:line="360" w:lineRule="auto"/>
        <w:jc w:val="center"/>
        <w:rPr>
          <w:lang w:val="es-AR"/>
        </w:rPr>
      </w:pPr>
    </w:p>
    <w:p w:rsidR="005F6CDB" w:rsidRPr="005A785D" w:rsidRDefault="005F6CDB" w:rsidP="00C6191A">
      <w:pPr>
        <w:spacing w:line="360" w:lineRule="auto"/>
        <w:jc w:val="center"/>
        <w:rPr>
          <w:lang w:val="es-AR"/>
        </w:rPr>
        <w:sectPr w:rsidR="005F6CDB" w:rsidRPr="005A785D" w:rsidSect="00417108">
          <w:headerReference w:type="default" r:id="rId17"/>
          <w:pgSz w:w="15842" w:h="12242" w:orient="landscape" w:code="1"/>
          <w:pgMar w:top="1418" w:right="851" w:bottom="1134" w:left="1418" w:header="720" w:footer="647" w:gutter="0"/>
          <w:cols w:space="720"/>
        </w:sectPr>
      </w:pPr>
    </w:p>
    <w:p w:rsidR="00F260F0" w:rsidRPr="00B60438" w:rsidRDefault="00F260F0" w:rsidP="00F260F0">
      <w:pPr>
        <w:spacing w:line="360" w:lineRule="auto"/>
        <w:jc w:val="center"/>
        <w:rPr>
          <w:b/>
          <w:szCs w:val="18"/>
          <w:lang w:val="es-AR"/>
        </w:rPr>
      </w:pPr>
      <w:r w:rsidRPr="00B60438">
        <w:rPr>
          <w:b/>
          <w:szCs w:val="18"/>
          <w:lang w:val="es-AR"/>
        </w:rPr>
        <w:t xml:space="preserve">ESTADO DE </w:t>
      </w:r>
      <w:r>
        <w:rPr>
          <w:b/>
          <w:szCs w:val="18"/>
          <w:lang w:val="es-AR"/>
        </w:rPr>
        <w:t>FLUJO DE EFECTIVO</w:t>
      </w:r>
    </w:p>
    <w:p w:rsidR="00F260F0" w:rsidRPr="00B60438" w:rsidRDefault="00F260F0" w:rsidP="00F260F0">
      <w:pPr>
        <w:spacing w:line="360" w:lineRule="auto"/>
        <w:jc w:val="center"/>
        <w:rPr>
          <w:b/>
          <w:szCs w:val="18"/>
          <w:lang w:val="es-AR"/>
        </w:rPr>
      </w:pPr>
      <w:r>
        <w:rPr>
          <w:b/>
          <w:szCs w:val="18"/>
          <w:lang w:val="es-AR"/>
        </w:rPr>
        <w:t>CORRESPONDIENTE AL EJERCICIO FINALIZADO E</w:t>
      </w:r>
      <w:r w:rsidRPr="00B60438">
        <w:rPr>
          <w:b/>
          <w:szCs w:val="18"/>
          <w:lang w:val="es-AR"/>
        </w:rPr>
        <w:t>L 31 DE DICIEMBRE DE 2019</w:t>
      </w:r>
    </w:p>
    <w:p w:rsidR="00F260F0" w:rsidRPr="00B60438" w:rsidRDefault="00F260F0" w:rsidP="00F260F0">
      <w:pPr>
        <w:spacing w:line="360" w:lineRule="auto"/>
        <w:jc w:val="center"/>
        <w:rPr>
          <w:b/>
          <w:szCs w:val="18"/>
          <w:lang w:val="es-AR"/>
        </w:rPr>
      </w:pPr>
      <w:r w:rsidRPr="00B60438">
        <w:rPr>
          <w:b/>
          <w:szCs w:val="18"/>
          <w:lang w:val="es-AR"/>
        </w:rPr>
        <w:t>PRESENTADO EN FORMA COMPARATIVA CON EL EJERC</w:t>
      </w:r>
      <w:r>
        <w:rPr>
          <w:b/>
          <w:szCs w:val="18"/>
          <w:lang w:val="es-AR"/>
        </w:rPr>
        <w:t>I</w:t>
      </w:r>
      <w:r w:rsidRPr="00B60438">
        <w:rPr>
          <w:b/>
          <w:szCs w:val="18"/>
          <w:lang w:val="es-AR"/>
        </w:rPr>
        <w:t>CIO ANTERIOR</w:t>
      </w:r>
    </w:p>
    <w:p w:rsidR="00F260F0" w:rsidRPr="00291ABB" w:rsidRDefault="00F260F0" w:rsidP="00F260F0">
      <w:pPr>
        <w:spacing w:line="360" w:lineRule="auto"/>
        <w:jc w:val="center"/>
        <w:rPr>
          <w:szCs w:val="18"/>
          <w:lang w:val="es-AR"/>
        </w:rPr>
      </w:pPr>
      <w:r w:rsidRPr="00291ABB">
        <w:rPr>
          <w:szCs w:val="18"/>
          <w:lang w:val="es-AR"/>
        </w:rPr>
        <w:t xml:space="preserve">- Cifras expresadas en miles de pesos (Nota 2.b) </w:t>
      </w:r>
      <w:r>
        <w:rPr>
          <w:szCs w:val="18"/>
          <w:lang w:val="es-AR"/>
        </w:rPr>
        <w:t>-</w:t>
      </w:r>
    </w:p>
    <w:p w:rsidR="002B2AD5" w:rsidRDefault="002B2AD5" w:rsidP="000B475F">
      <w:pPr>
        <w:pStyle w:val="Textoindependiente3"/>
        <w:rPr>
          <w:lang w:val="es-AR"/>
        </w:rPr>
      </w:pPr>
    </w:p>
    <w:p w:rsidR="009E3626" w:rsidRDefault="004D61B9" w:rsidP="008E44F4">
      <w:pPr>
        <w:pStyle w:val="Textoindependiente3"/>
        <w:rPr>
          <w:lang w:val="es-AR"/>
        </w:rPr>
      </w:pPr>
      <w:r>
        <w:rPr>
          <w:lang w:val="es-AR"/>
        </w:rPr>
        <w:pict>
          <v:shape id="_x0000_i1082" type="#_x0000_t75" style="width:486.75pt;height:420.75pt">
            <v:imagedata r:id="rId18" o:title=""/>
          </v:shape>
        </w:pict>
      </w:r>
    </w:p>
    <w:p w:rsidR="009D5193" w:rsidRPr="00E72721" w:rsidRDefault="009D5193" w:rsidP="0028686C">
      <w:pPr>
        <w:pStyle w:val="Textoindependiente3"/>
        <w:tabs>
          <w:tab w:val="left" w:pos="2534"/>
        </w:tabs>
        <w:rPr>
          <w:b w:val="0"/>
          <w:bCs/>
          <w:lang w:val="es-AR"/>
        </w:rPr>
      </w:pPr>
      <w:r w:rsidRPr="00E72721">
        <w:rPr>
          <w:b w:val="0"/>
          <w:bCs/>
          <w:lang w:val="es-AR"/>
        </w:rPr>
        <w:t xml:space="preserve">Las notas 1 a </w:t>
      </w:r>
      <w:r w:rsidR="0028686C">
        <w:rPr>
          <w:b w:val="0"/>
          <w:bCs/>
          <w:lang w:val="es-AR"/>
        </w:rPr>
        <w:t>8</w:t>
      </w:r>
      <w:r w:rsidRPr="00E72721">
        <w:rPr>
          <w:b w:val="0"/>
          <w:bCs/>
          <w:lang w:val="es-AR"/>
        </w:rPr>
        <w:t xml:space="preserve">, los </w:t>
      </w:r>
      <w:r w:rsidR="00E72721" w:rsidRPr="00E72721">
        <w:rPr>
          <w:b w:val="0"/>
          <w:bCs/>
          <w:lang w:val="es-AR"/>
        </w:rPr>
        <w:t>A</w:t>
      </w:r>
      <w:r w:rsidRPr="00E72721">
        <w:rPr>
          <w:b w:val="0"/>
          <w:bCs/>
          <w:lang w:val="es-AR"/>
        </w:rPr>
        <w:t>nexos</w:t>
      </w:r>
      <w:r w:rsidR="009A312C" w:rsidRPr="00E72721">
        <w:rPr>
          <w:b w:val="0"/>
          <w:bCs/>
          <w:lang w:val="es-AR"/>
        </w:rPr>
        <w:t xml:space="preserve"> A, C,</w:t>
      </w:r>
      <w:r w:rsidR="00E72721" w:rsidRPr="00E72721">
        <w:rPr>
          <w:b w:val="0"/>
          <w:bCs/>
          <w:lang w:val="es-AR"/>
        </w:rPr>
        <w:t xml:space="preserve"> </w:t>
      </w:r>
      <w:r w:rsidR="009A312C" w:rsidRPr="00E72721">
        <w:rPr>
          <w:b w:val="0"/>
          <w:bCs/>
          <w:lang w:val="es-AR"/>
        </w:rPr>
        <w:t>E,</w:t>
      </w:r>
      <w:r w:rsidR="00E72721" w:rsidRPr="00E72721">
        <w:rPr>
          <w:b w:val="0"/>
          <w:bCs/>
          <w:lang w:val="es-AR"/>
        </w:rPr>
        <w:t xml:space="preserve"> </w:t>
      </w:r>
      <w:r w:rsidR="009A312C" w:rsidRPr="00E72721">
        <w:rPr>
          <w:b w:val="0"/>
          <w:bCs/>
          <w:lang w:val="es-AR"/>
        </w:rPr>
        <w:t>F,</w:t>
      </w:r>
      <w:r w:rsidR="00E72721" w:rsidRPr="00E72721">
        <w:rPr>
          <w:b w:val="0"/>
          <w:bCs/>
          <w:lang w:val="es-AR"/>
        </w:rPr>
        <w:t xml:space="preserve"> </w:t>
      </w:r>
      <w:r w:rsidR="009A312C" w:rsidRPr="00E72721">
        <w:rPr>
          <w:b w:val="0"/>
          <w:bCs/>
          <w:lang w:val="es-AR"/>
        </w:rPr>
        <w:t>G,</w:t>
      </w:r>
      <w:r w:rsidR="00E72721" w:rsidRPr="00E72721">
        <w:rPr>
          <w:b w:val="0"/>
          <w:bCs/>
          <w:lang w:val="es-AR"/>
        </w:rPr>
        <w:t xml:space="preserve"> </w:t>
      </w:r>
      <w:r w:rsidR="009A312C" w:rsidRPr="00E72721">
        <w:rPr>
          <w:b w:val="0"/>
          <w:bCs/>
          <w:lang w:val="es-AR"/>
        </w:rPr>
        <w:t>H</w:t>
      </w:r>
      <w:r w:rsidRPr="00E72721">
        <w:rPr>
          <w:b w:val="0"/>
          <w:bCs/>
          <w:lang w:val="es-AR"/>
        </w:rPr>
        <w:t xml:space="preserve"> e I integran los presentes estados contables</w:t>
      </w:r>
      <w:r w:rsidR="0086496C" w:rsidRPr="00E72721">
        <w:rPr>
          <w:b w:val="0"/>
          <w:bCs/>
          <w:lang w:val="es-AR"/>
        </w:rPr>
        <w:t>.</w:t>
      </w:r>
    </w:p>
    <w:p w:rsidR="00EC1965" w:rsidRDefault="00EC1965" w:rsidP="000B475F">
      <w:pPr>
        <w:pStyle w:val="Textoindependiente3"/>
        <w:rPr>
          <w:lang w:val="es-AR"/>
        </w:rPr>
      </w:pPr>
    </w:p>
    <w:p w:rsidR="003104ED" w:rsidRPr="005A785D" w:rsidRDefault="003104ED" w:rsidP="000B475F">
      <w:pPr>
        <w:spacing w:line="360" w:lineRule="auto"/>
        <w:jc w:val="both"/>
        <w:rPr>
          <w:lang w:val="es-AR"/>
        </w:rPr>
      </w:pPr>
    </w:p>
    <w:p w:rsidR="003104ED" w:rsidRPr="005A785D" w:rsidRDefault="003104ED" w:rsidP="000B475F">
      <w:pPr>
        <w:spacing w:line="360" w:lineRule="auto"/>
        <w:jc w:val="both"/>
        <w:rPr>
          <w:lang w:val="es-AR"/>
        </w:rPr>
        <w:sectPr w:rsidR="003104ED" w:rsidRPr="005A785D">
          <w:pgSz w:w="12242" w:h="15842" w:code="1"/>
          <w:pgMar w:top="1418" w:right="851" w:bottom="1134" w:left="1418" w:header="720" w:footer="284" w:gutter="0"/>
          <w:cols w:space="720"/>
        </w:sectPr>
      </w:pPr>
    </w:p>
    <w:p w:rsidR="00733289" w:rsidRPr="005A785D" w:rsidRDefault="00733289" w:rsidP="000B475F">
      <w:pPr>
        <w:jc w:val="both"/>
        <w:rPr>
          <w:b/>
          <w:lang w:val="es-AR"/>
        </w:rPr>
      </w:pPr>
    </w:p>
    <w:p w:rsidR="00C4680B" w:rsidRPr="00EE3F78" w:rsidRDefault="00C4680B" w:rsidP="006408FA">
      <w:pPr>
        <w:spacing w:line="360" w:lineRule="auto"/>
        <w:jc w:val="both"/>
        <w:rPr>
          <w:szCs w:val="18"/>
          <w:lang w:val="es-AR"/>
        </w:rPr>
      </w:pPr>
      <w:r w:rsidRPr="00EE3F78">
        <w:rPr>
          <w:b/>
          <w:szCs w:val="18"/>
          <w:lang w:val="es-AR"/>
        </w:rPr>
        <w:t>NOTA 1</w:t>
      </w:r>
      <w:r w:rsidRPr="00EE3F78">
        <w:rPr>
          <w:szCs w:val="18"/>
          <w:lang w:val="es-AR"/>
        </w:rPr>
        <w:t xml:space="preserve"> </w:t>
      </w:r>
      <w:r w:rsidRPr="00EE3F78">
        <w:rPr>
          <w:b/>
          <w:szCs w:val="18"/>
          <w:lang w:val="es-AR"/>
        </w:rPr>
        <w:t>–</w:t>
      </w:r>
      <w:r w:rsidR="001A6746" w:rsidRPr="00EE3F78">
        <w:rPr>
          <w:b/>
          <w:szCs w:val="18"/>
          <w:u w:val="single"/>
          <w:lang w:val="es-AR"/>
        </w:rPr>
        <w:t xml:space="preserve"> LA SOCIEDAD </w:t>
      </w:r>
    </w:p>
    <w:p w:rsidR="001A6746" w:rsidRPr="00EE3F78" w:rsidRDefault="001A6746" w:rsidP="000B475F">
      <w:pPr>
        <w:jc w:val="both"/>
        <w:rPr>
          <w:szCs w:val="18"/>
          <w:lang w:val="es-AR"/>
        </w:rPr>
      </w:pPr>
    </w:p>
    <w:p w:rsidR="001A6746" w:rsidRPr="00EE3F78" w:rsidRDefault="008E44F4" w:rsidP="000B475F">
      <w:pPr>
        <w:spacing w:line="360" w:lineRule="auto"/>
        <w:jc w:val="both"/>
        <w:rPr>
          <w:szCs w:val="18"/>
          <w:lang w:val="es-AR"/>
        </w:rPr>
      </w:pPr>
      <w:r>
        <w:rPr>
          <w:szCs w:val="18"/>
          <w:lang w:val="es-AR"/>
        </w:rPr>
        <w:t>ELECTROTECNICA FAMAR S</w:t>
      </w:r>
      <w:r w:rsidR="002B7254">
        <w:rPr>
          <w:szCs w:val="18"/>
          <w:lang w:val="es-AR"/>
        </w:rPr>
        <w:t>.</w:t>
      </w:r>
      <w:r>
        <w:rPr>
          <w:szCs w:val="18"/>
          <w:lang w:val="es-AR"/>
        </w:rPr>
        <w:t>A</w:t>
      </w:r>
      <w:r w:rsidR="002B7254">
        <w:rPr>
          <w:szCs w:val="18"/>
          <w:lang w:val="es-AR"/>
        </w:rPr>
        <w:t>.</w:t>
      </w:r>
      <w:r>
        <w:rPr>
          <w:szCs w:val="18"/>
          <w:lang w:val="es-AR"/>
        </w:rPr>
        <w:t>C</w:t>
      </w:r>
      <w:r w:rsidR="002B7254">
        <w:rPr>
          <w:szCs w:val="18"/>
          <w:lang w:val="es-AR"/>
        </w:rPr>
        <w:t>.</w:t>
      </w:r>
      <w:r>
        <w:rPr>
          <w:szCs w:val="18"/>
          <w:lang w:val="es-AR"/>
        </w:rPr>
        <w:t>I</w:t>
      </w:r>
      <w:r w:rsidR="002B7254">
        <w:rPr>
          <w:szCs w:val="18"/>
          <w:lang w:val="es-AR"/>
        </w:rPr>
        <w:t>.</w:t>
      </w:r>
      <w:r>
        <w:rPr>
          <w:szCs w:val="18"/>
          <w:lang w:val="es-AR"/>
        </w:rPr>
        <w:t>I</w:t>
      </w:r>
      <w:r w:rsidR="002B7254">
        <w:rPr>
          <w:szCs w:val="18"/>
          <w:lang w:val="es-AR"/>
        </w:rPr>
        <w:t>.</w:t>
      </w:r>
      <w:r>
        <w:rPr>
          <w:szCs w:val="18"/>
          <w:lang w:val="es-AR"/>
        </w:rPr>
        <w:t>E</w:t>
      </w:r>
      <w:r w:rsidR="002B7254">
        <w:rPr>
          <w:szCs w:val="18"/>
          <w:lang w:val="es-AR"/>
        </w:rPr>
        <w:t>.</w:t>
      </w:r>
      <w:r w:rsidR="001A6746" w:rsidRPr="00EE3F78">
        <w:rPr>
          <w:szCs w:val="18"/>
          <w:lang w:val="es-AR"/>
        </w:rPr>
        <w:t xml:space="preserve">es una sociedad constituida de conformidad con las leyes de la Argentina e inscripta en la Inspección General de Justicia en el año </w:t>
      </w:r>
      <w:r w:rsidR="001A6746" w:rsidRPr="0086496C">
        <w:rPr>
          <w:szCs w:val="18"/>
          <w:lang w:val="es-AR"/>
        </w:rPr>
        <w:t>19</w:t>
      </w:r>
      <w:r w:rsidR="0086496C">
        <w:rPr>
          <w:szCs w:val="18"/>
          <w:lang w:val="es-AR"/>
        </w:rPr>
        <w:t>68</w:t>
      </w:r>
      <w:r w:rsidR="001A6746" w:rsidRPr="00EE3F78">
        <w:rPr>
          <w:szCs w:val="18"/>
          <w:lang w:val="es-AR"/>
        </w:rPr>
        <w:t xml:space="preserve">, cuya participación accionaria fue adquirida en </w:t>
      </w:r>
      <w:r w:rsidR="00A83032">
        <w:rPr>
          <w:szCs w:val="18"/>
          <w:lang w:val="es-AR"/>
        </w:rPr>
        <w:t>agosto d</w:t>
      </w:r>
      <w:r w:rsidR="001A6746" w:rsidRPr="00EE3F78">
        <w:rPr>
          <w:szCs w:val="18"/>
          <w:lang w:val="es-AR"/>
        </w:rPr>
        <w:t xml:space="preserve">el año </w:t>
      </w:r>
      <w:r w:rsidR="00A83032">
        <w:rPr>
          <w:szCs w:val="18"/>
          <w:lang w:val="es-AR"/>
        </w:rPr>
        <w:t>2019</w:t>
      </w:r>
      <w:r w:rsidR="001A6746" w:rsidRPr="00EE3F78">
        <w:rPr>
          <w:szCs w:val="18"/>
          <w:lang w:val="es-AR"/>
        </w:rPr>
        <w:t xml:space="preserve"> por la soc</w:t>
      </w:r>
      <w:r w:rsidR="00780EAC" w:rsidRPr="00EE3F78">
        <w:rPr>
          <w:szCs w:val="18"/>
          <w:lang w:val="es-AR"/>
        </w:rPr>
        <w:t>iedad Mirgor S.A.C.I.F.I.A. La S</w:t>
      </w:r>
      <w:r w:rsidR="001A6746" w:rsidRPr="00EE3F78">
        <w:rPr>
          <w:szCs w:val="18"/>
          <w:lang w:val="es-AR"/>
        </w:rPr>
        <w:t xml:space="preserve">ociedad tiene por objeto dedicarse </w:t>
      </w:r>
      <w:r w:rsidR="00265BA5">
        <w:rPr>
          <w:szCs w:val="18"/>
          <w:lang w:val="es-AR"/>
        </w:rPr>
        <w:t>a la prestación de servicios de reparación de auto-radios y venta de repuestos</w:t>
      </w:r>
      <w:r w:rsidR="001A6746" w:rsidRPr="00EE3F78">
        <w:rPr>
          <w:szCs w:val="18"/>
          <w:lang w:val="es-AR"/>
        </w:rPr>
        <w:t xml:space="preserve">, desarrollando dichas actividades en la </w:t>
      </w:r>
      <w:r w:rsidR="00A83032">
        <w:rPr>
          <w:szCs w:val="18"/>
          <w:lang w:val="es-AR"/>
        </w:rPr>
        <w:t xml:space="preserve">Ciudad Autónoma de Buenos Aires </w:t>
      </w:r>
      <w:r w:rsidR="00182E63">
        <w:rPr>
          <w:szCs w:val="18"/>
          <w:lang w:val="es-AR"/>
        </w:rPr>
        <w:t xml:space="preserve">de la República </w:t>
      </w:r>
      <w:r w:rsidR="00A83032">
        <w:rPr>
          <w:szCs w:val="18"/>
          <w:lang w:val="es-AR"/>
        </w:rPr>
        <w:t>Argentina</w:t>
      </w:r>
      <w:r w:rsidR="00752B0F" w:rsidRPr="00EE3F78">
        <w:rPr>
          <w:szCs w:val="18"/>
          <w:lang w:val="es-AR"/>
        </w:rPr>
        <w:t>.</w:t>
      </w:r>
    </w:p>
    <w:p w:rsidR="00752B0F" w:rsidRDefault="00752B0F" w:rsidP="000B475F">
      <w:pPr>
        <w:jc w:val="both"/>
        <w:rPr>
          <w:szCs w:val="18"/>
          <w:lang w:val="es-AR"/>
        </w:rPr>
      </w:pPr>
    </w:p>
    <w:p w:rsidR="00B03142" w:rsidRDefault="0046020C" w:rsidP="000B475F">
      <w:pPr>
        <w:jc w:val="both"/>
        <w:rPr>
          <w:b/>
          <w:szCs w:val="18"/>
          <w:u w:val="single"/>
          <w:lang w:val="es-AR"/>
        </w:rPr>
      </w:pPr>
      <w:r w:rsidRPr="0046020C">
        <w:rPr>
          <w:b/>
          <w:szCs w:val="18"/>
          <w:lang w:val="es-AR"/>
        </w:rPr>
        <w:t>NOTA 2</w:t>
      </w:r>
      <w:r>
        <w:rPr>
          <w:b/>
          <w:szCs w:val="18"/>
          <w:lang w:val="es-AR"/>
        </w:rPr>
        <w:t xml:space="preserve"> </w:t>
      </w:r>
      <w:r w:rsidRPr="00EE3F78">
        <w:rPr>
          <w:b/>
          <w:szCs w:val="18"/>
          <w:lang w:val="es-AR"/>
        </w:rPr>
        <w:t>–</w:t>
      </w:r>
      <w:r>
        <w:rPr>
          <w:b/>
          <w:szCs w:val="18"/>
          <w:lang w:val="es-AR"/>
        </w:rPr>
        <w:t xml:space="preserve"> </w:t>
      </w:r>
      <w:r w:rsidR="00B03142" w:rsidRPr="00EE3F78">
        <w:rPr>
          <w:b/>
          <w:szCs w:val="18"/>
          <w:u w:val="single"/>
          <w:lang w:val="es-AR"/>
        </w:rPr>
        <w:t>BASE DE PRESENTACIÓN DE LOS ESTADOS CONTABLES</w:t>
      </w:r>
      <w:r w:rsidR="00080F1E">
        <w:rPr>
          <w:b/>
          <w:szCs w:val="18"/>
          <w:u w:val="single"/>
          <w:lang w:val="es-AR"/>
        </w:rPr>
        <w:t xml:space="preserve"> </w:t>
      </w:r>
    </w:p>
    <w:p w:rsidR="009720DD" w:rsidRPr="00EE3F78" w:rsidRDefault="009720DD" w:rsidP="009720DD">
      <w:pPr>
        <w:spacing w:line="360" w:lineRule="auto"/>
        <w:jc w:val="both"/>
        <w:rPr>
          <w:szCs w:val="18"/>
          <w:lang w:val="es-AR"/>
        </w:rPr>
      </w:pPr>
    </w:p>
    <w:p w:rsidR="006435EB" w:rsidRPr="006435EB" w:rsidRDefault="006435EB" w:rsidP="006435EB">
      <w:pPr>
        <w:numPr>
          <w:ilvl w:val="0"/>
          <w:numId w:val="2"/>
        </w:numPr>
        <w:jc w:val="both"/>
        <w:rPr>
          <w:b/>
          <w:bCs/>
          <w:szCs w:val="18"/>
          <w:u w:val="single"/>
          <w:lang w:val="es-AR"/>
        </w:rPr>
      </w:pPr>
      <w:r w:rsidRPr="006435EB">
        <w:rPr>
          <w:b/>
          <w:bCs/>
          <w:szCs w:val="18"/>
          <w:u w:val="single"/>
          <w:lang w:val="es-AR"/>
        </w:rPr>
        <w:t>Normas contables aplicadas</w:t>
      </w:r>
    </w:p>
    <w:p w:rsidR="006435EB" w:rsidRPr="00EE3F78" w:rsidRDefault="006435EB" w:rsidP="006435EB">
      <w:pPr>
        <w:jc w:val="both"/>
        <w:rPr>
          <w:szCs w:val="18"/>
          <w:u w:val="single"/>
          <w:lang w:val="es-AR"/>
        </w:rPr>
      </w:pPr>
    </w:p>
    <w:p w:rsidR="00ED60ED" w:rsidRDefault="00ED60ED" w:rsidP="00ED60ED">
      <w:pPr>
        <w:spacing w:line="360" w:lineRule="auto"/>
        <w:jc w:val="both"/>
        <w:rPr>
          <w:szCs w:val="18"/>
        </w:rPr>
      </w:pPr>
      <w:r w:rsidRPr="00A17F2C">
        <w:rPr>
          <w:bCs/>
          <w:color w:val="000000"/>
          <w:szCs w:val="18"/>
        </w:rPr>
        <w:t>Los estados contables de la Sociedad han sido preparados de acuerdo con el marco de información contable prescripto por la Inspección General de Justicia (IGJ), que requiere aplicar las normas contables profesionales vigentes en la Ciudad Autónoma de Buenos Aires (CABA), en cuanto no esté previsto de diferente forma en la ley, disposiciones reglamentarias o resoluciones de dicho organismo de control</w:t>
      </w:r>
      <w:r w:rsidRPr="00A17F2C">
        <w:rPr>
          <w:szCs w:val="18"/>
        </w:rPr>
        <w:t>; y las normas pertinentes de la Comisión Nacional de Valores (CNV), en consideración de la entidad de control de la sociedad controlante</w:t>
      </w:r>
      <w:r w:rsidR="00023123">
        <w:rPr>
          <w:szCs w:val="18"/>
        </w:rPr>
        <w:t xml:space="preserve"> indirecta, Mirgor S.A.C.I.F.I.A.</w:t>
      </w:r>
      <w:r w:rsidR="00023123" w:rsidRPr="00A17F2C">
        <w:rPr>
          <w:szCs w:val="18"/>
        </w:rPr>
        <w:t>.</w:t>
      </w:r>
    </w:p>
    <w:p w:rsidR="00ED60ED" w:rsidRPr="00A17F2C" w:rsidRDefault="00ED60ED" w:rsidP="00ED60ED">
      <w:pPr>
        <w:spacing w:line="360" w:lineRule="auto"/>
        <w:jc w:val="both"/>
        <w:rPr>
          <w:bCs/>
          <w:color w:val="000000"/>
          <w:szCs w:val="18"/>
        </w:rPr>
      </w:pPr>
    </w:p>
    <w:p w:rsidR="00ED60ED" w:rsidRDefault="00ED60ED" w:rsidP="00ED60ED">
      <w:pPr>
        <w:spacing w:line="360" w:lineRule="auto"/>
        <w:jc w:val="both"/>
        <w:rPr>
          <w:bCs/>
          <w:color w:val="000000"/>
          <w:szCs w:val="18"/>
        </w:rPr>
      </w:pPr>
      <w:r w:rsidRPr="00A17F2C">
        <w:rPr>
          <w:bCs/>
          <w:color w:val="000000"/>
          <w:szCs w:val="18"/>
        </w:rPr>
        <w:t>La expresión normas contables profesionales vigentes en CABA se refiere al marco de información contable compuesto por las Resoluciones Técnicas (RT) e Interpretaciones emitidas por la Federación Argentina de Consejos Profesionales de Ciencias Económicas (FACPCE) y aprobadas por el Consejo Profesional de Ciencias Económicas de la Ciudad Autónoma de Buenos Aires (CPCECABA). De las posibilidades que brinda ese marco contable es posible optar por:</w:t>
      </w:r>
    </w:p>
    <w:p w:rsidR="00ED60ED" w:rsidRPr="00A17F2C" w:rsidRDefault="00ED60ED" w:rsidP="00ED60ED">
      <w:pPr>
        <w:spacing w:line="360" w:lineRule="auto"/>
        <w:jc w:val="both"/>
        <w:rPr>
          <w:bCs/>
          <w:color w:val="000000"/>
          <w:szCs w:val="18"/>
        </w:rPr>
      </w:pPr>
    </w:p>
    <w:p w:rsidR="00ED60ED" w:rsidRPr="00A17F2C" w:rsidRDefault="00ED60ED" w:rsidP="00965F33">
      <w:pPr>
        <w:pStyle w:val="Prrafodelista"/>
        <w:numPr>
          <w:ilvl w:val="0"/>
          <w:numId w:val="14"/>
        </w:numPr>
        <w:spacing w:line="360" w:lineRule="auto"/>
        <w:contextualSpacing w:val="0"/>
        <w:jc w:val="both"/>
        <w:rPr>
          <w:bCs/>
          <w:color w:val="000000"/>
          <w:szCs w:val="18"/>
        </w:rPr>
      </w:pPr>
      <w:r w:rsidRPr="00A17F2C">
        <w:rPr>
          <w:bCs/>
          <w:color w:val="000000"/>
          <w:szCs w:val="18"/>
        </w:rPr>
        <w:t>las Normas Internacionales de Información Financiera (NIIF) del Consejo de Normas Internacionales de Contabilidad (IASB por su sigla en inglés), o la NIIF para Pequeñas y Medianas Entidades, incorporadas por la FACPCE a su normativa contable en la RT N° 26 y Circulares de adopción de las NIIF, o bien</w:t>
      </w:r>
    </w:p>
    <w:p w:rsidR="00ED60ED" w:rsidRPr="00A17F2C" w:rsidRDefault="00ED60ED" w:rsidP="00ED60ED">
      <w:pPr>
        <w:pStyle w:val="Prrafodelista"/>
        <w:spacing w:line="360" w:lineRule="auto"/>
        <w:jc w:val="both"/>
        <w:rPr>
          <w:bCs/>
          <w:color w:val="000000"/>
          <w:szCs w:val="18"/>
        </w:rPr>
      </w:pPr>
    </w:p>
    <w:p w:rsidR="00ED60ED" w:rsidRPr="00A17F2C" w:rsidRDefault="00ED60ED" w:rsidP="00965F33">
      <w:pPr>
        <w:pStyle w:val="Prrafodelista"/>
        <w:numPr>
          <w:ilvl w:val="0"/>
          <w:numId w:val="14"/>
        </w:numPr>
        <w:spacing w:line="360" w:lineRule="auto"/>
        <w:contextualSpacing w:val="0"/>
        <w:jc w:val="both"/>
        <w:rPr>
          <w:bCs/>
          <w:color w:val="000000"/>
          <w:szCs w:val="18"/>
        </w:rPr>
      </w:pPr>
      <w:r w:rsidRPr="00A17F2C">
        <w:rPr>
          <w:bCs/>
          <w:color w:val="000000"/>
          <w:szCs w:val="18"/>
        </w:rPr>
        <w:t>las normas contables profesionales argentinas emitidas por la FACPCE y aprobadas por el CPCECABA, distintas a la RT N° 26.</w:t>
      </w:r>
    </w:p>
    <w:p w:rsidR="00ED60ED" w:rsidRPr="00A17F2C" w:rsidRDefault="00ED60ED" w:rsidP="00ED60ED">
      <w:pPr>
        <w:pStyle w:val="Sinespaciado"/>
        <w:spacing w:line="360" w:lineRule="auto"/>
        <w:jc w:val="both"/>
        <w:rPr>
          <w:rFonts w:ascii="Times New Roman" w:hAnsi="Times New Roman"/>
          <w:sz w:val="18"/>
          <w:szCs w:val="18"/>
        </w:rPr>
      </w:pPr>
      <w:r w:rsidRPr="00A17F2C">
        <w:rPr>
          <w:rFonts w:ascii="Times New Roman" w:hAnsi="Times New Roman"/>
          <w:sz w:val="18"/>
          <w:szCs w:val="18"/>
        </w:rPr>
        <w:t>La Sociedad ha optado por la posib</w:t>
      </w:r>
      <w:r w:rsidR="005D38CE">
        <w:rPr>
          <w:rFonts w:ascii="Times New Roman" w:hAnsi="Times New Roman"/>
          <w:sz w:val="18"/>
          <w:szCs w:val="18"/>
        </w:rPr>
        <w:t>ilidad indicada en el acápite (b</w:t>
      </w:r>
      <w:r w:rsidRPr="00A17F2C">
        <w:rPr>
          <w:rFonts w:ascii="Times New Roman" w:hAnsi="Times New Roman"/>
          <w:sz w:val="18"/>
          <w:szCs w:val="18"/>
        </w:rPr>
        <w:t xml:space="preserve">) precedente. </w:t>
      </w:r>
    </w:p>
    <w:p w:rsidR="00ED60ED" w:rsidRDefault="00ED60ED" w:rsidP="00ED60ED">
      <w:pPr>
        <w:pStyle w:val="Sinespaciado"/>
        <w:spacing w:line="360" w:lineRule="auto"/>
        <w:jc w:val="both"/>
        <w:rPr>
          <w:rFonts w:ascii="Times New Roman" w:hAnsi="Times New Roman"/>
          <w:sz w:val="18"/>
          <w:szCs w:val="18"/>
        </w:rPr>
      </w:pPr>
    </w:p>
    <w:p w:rsidR="00ED60ED" w:rsidRPr="00A17F2C" w:rsidRDefault="00ED60ED" w:rsidP="00ED60ED">
      <w:pPr>
        <w:pStyle w:val="Sinespaciado"/>
        <w:spacing w:line="360" w:lineRule="auto"/>
        <w:jc w:val="both"/>
        <w:rPr>
          <w:rFonts w:ascii="Times New Roman" w:hAnsi="Times New Roman"/>
          <w:sz w:val="18"/>
          <w:szCs w:val="18"/>
        </w:rPr>
      </w:pPr>
      <w:r w:rsidRPr="00A17F2C">
        <w:rPr>
          <w:rFonts w:ascii="Times New Roman" w:hAnsi="Times New Roman"/>
          <w:sz w:val="18"/>
          <w:szCs w:val="18"/>
        </w:rPr>
        <w:t xml:space="preserve">La sociedad controlante indirecta, Mirgor S.A.C.I.F.I.A., presenta sus estados financieros de acuerdo con las Normas Contables Profesionales (NCP) vigentes en la Provincia de Tierra del Fuego y con las disposiciones vigentes de la CNV, que aprobó la Resolución General (RG) N° 622 (texto ordenado en 2013), la cual establece que las entidades emisoras de acciones y/u obligaciones negociables, con ciertas excepciones, están obligadas a preparar sus estados financieros aplicando la RT N° 43 (y modificatorias) de la FACPCE, que dispone la adopción de las NIIF según las emitió el IASB, mientras que otras entidades, entre las cuales se encuentra la Sociedad, tendrán la opción de utilizar las NIIF o la NIIF para las </w:t>
      </w:r>
      <w:proofErr w:type="spellStart"/>
      <w:r w:rsidRPr="00A17F2C">
        <w:rPr>
          <w:rFonts w:ascii="Times New Roman" w:hAnsi="Times New Roman"/>
          <w:sz w:val="18"/>
          <w:szCs w:val="18"/>
        </w:rPr>
        <w:t>PyMES</w:t>
      </w:r>
      <w:proofErr w:type="spellEnd"/>
      <w:r w:rsidRPr="00A17F2C">
        <w:rPr>
          <w:rFonts w:ascii="Times New Roman" w:hAnsi="Times New Roman"/>
          <w:sz w:val="18"/>
          <w:szCs w:val="18"/>
        </w:rPr>
        <w:t xml:space="preserve"> en reemplazo de las NCP.</w:t>
      </w:r>
    </w:p>
    <w:p w:rsidR="00ED60ED" w:rsidRPr="00A17F2C" w:rsidRDefault="00ED60ED" w:rsidP="00ED60ED">
      <w:pPr>
        <w:pStyle w:val="Sinespaciado"/>
        <w:spacing w:line="360" w:lineRule="auto"/>
        <w:jc w:val="both"/>
        <w:rPr>
          <w:rFonts w:ascii="Times New Roman" w:hAnsi="Times New Roman"/>
          <w:sz w:val="18"/>
          <w:szCs w:val="18"/>
        </w:rPr>
      </w:pPr>
    </w:p>
    <w:p w:rsidR="00ED60ED" w:rsidRPr="00A17F2C" w:rsidRDefault="00ED60ED" w:rsidP="00ED60ED">
      <w:pPr>
        <w:pStyle w:val="Sinespaciado"/>
        <w:spacing w:line="360" w:lineRule="auto"/>
        <w:jc w:val="both"/>
        <w:rPr>
          <w:rFonts w:ascii="Times New Roman" w:hAnsi="Times New Roman"/>
          <w:sz w:val="18"/>
          <w:szCs w:val="18"/>
        </w:rPr>
      </w:pPr>
      <w:r w:rsidRPr="00A17F2C">
        <w:rPr>
          <w:rFonts w:ascii="Times New Roman" w:hAnsi="Times New Roman"/>
          <w:sz w:val="18"/>
          <w:szCs w:val="18"/>
        </w:rPr>
        <w:t>A través de la RG N° 622, se admite que las sociedades controladas por una emisora continúen presentando sus estados contables de acuerdo con las normas utilizadas para preparar estados contables con fines societarios o regulatorios, debiendo presentar en ese caso una reconciliación con las NIIF para el patrimonio neto y el resultado. La Sociedad ha hecho uso de esta opción (Ver nota 2.d).</w:t>
      </w:r>
    </w:p>
    <w:p w:rsidR="00ED60ED" w:rsidRPr="001C20A3" w:rsidRDefault="00ED60ED" w:rsidP="00ED60ED">
      <w:pPr>
        <w:numPr>
          <w:ilvl w:val="12"/>
          <w:numId w:val="0"/>
        </w:numPr>
        <w:spacing w:line="360" w:lineRule="auto"/>
        <w:jc w:val="both"/>
        <w:rPr>
          <w:lang w:val="es-AR"/>
        </w:rPr>
      </w:pPr>
    </w:p>
    <w:p w:rsidR="00ED60ED" w:rsidRPr="001C20A3" w:rsidRDefault="00ED60ED" w:rsidP="00ED60ED">
      <w:pPr>
        <w:spacing w:line="360" w:lineRule="auto"/>
        <w:jc w:val="both"/>
        <w:rPr>
          <w:lang w:val="es-AR"/>
        </w:rPr>
      </w:pPr>
      <w:r w:rsidRPr="001C20A3">
        <w:rPr>
          <w:lang w:val="es-AR"/>
        </w:rPr>
        <w:t xml:space="preserve">a.1) </w:t>
      </w:r>
      <w:r w:rsidRPr="001C20A3">
        <w:rPr>
          <w:u w:val="single"/>
          <w:lang w:val="es-AR"/>
        </w:rPr>
        <w:t>Juicios, estimaciones y supuestos contables significativos</w:t>
      </w:r>
    </w:p>
    <w:p w:rsidR="00ED60ED" w:rsidRPr="001C20A3" w:rsidRDefault="00ED60ED" w:rsidP="00ED60ED">
      <w:pPr>
        <w:numPr>
          <w:ilvl w:val="12"/>
          <w:numId w:val="0"/>
        </w:numPr>
        <w:spacing w:line="360" w:lineRule="auto"/>
        <w:jc w:val="both"/>
        <w:rPr>
          <w:lang w:val="es-AR"/>
        </w:rPr>
      </w:pPr>
    </w:p>
    <w:p w:rsidR="00ED60ED" w:rsidRDefault="00ED60ED" w:rsidP="00ED60ED">
      <w:pPr>
        <w:spacing w:line="360" w:lineRule="auto"/>
        <w:jc w:val="both"/>
        <w:rPr>
          <w:lang w:val="es-AR"/>
        </w:rPr>
      </w:pPr>
      <w:r w:rsidRPr="001C20A3">
        <w:rPr>
          <w:lang w:val="es-AR"/>
        </w:rPr>
        <w:t xml:space="preserve">La preparación de los estados contables de acuerdo con las normas mencionadas precedentemente requiere la elaboración y consideración, por parte de la Dirección de la Sociedad, de juicios, estimaciones y supuestos contables significativos que impactan en los saldos informados de activos y pasivos, ingresos y gastos, así como en la determinación y exposición de activos y pasivos contingentes a la fecha de dichos estados. En este sentido, la incertidumbre asociada con las estimaciones y supuestos adoptados podría dar lugar en el futuro a resultados finales que podrían diferir de dichas estimaciones y requerir de ajustes significativos a los saldos informados de los activos y pasivos afectados. </w:t>
      </w:r>
    </w:p>
    <w:p w:rsidR="00465F72" w:rsidRDefault="00465F72" w:rsidP="00ED60ED">
      <w:pPr>
        <w:spacing w:line="360" w:lineRule="auto"/>
        <w:jc w:val="both"/>
        <w:rPr>
          <w:lang w:val="es-AR"/>
        </w:rPr>
      </w:pPr>
    </w:p>
    <w:p w:rsidR="00ED60ED" w:rsidRPr="001C20A3" w:rsidRDefault="00ED60ED" w:rsidP="00ED60ED">
      <w:pPr>
        <w:spacing w:line="360" w:lineRule="auto"/>
        <w:jc w:val="both"/>
        <w:rPr>
          <w:lang w:val="es-AR"/>
        </w:rPr>
      </w:pPr>
      <w:r w:rsidRPr="001C20A3">
        <w:rPr>
          <w:lang w:val="es-AR"/>
        </w:rPr>
        <w:t xml:space="preserve">a.2) </w:t>
      </w:r>
      <w:r w:rsidRPr="001C20A3">
        <w:rPr>
          <w:u w:val="single"/>
          <w:lang w:val="es-AR"/>
        </w:rPr>
        <w:t>Cuestiones no previstas: aplicación de fuentes normativas supletorias</w:t>
      </w:r>
    </w:p>
    <w:p w:rsidR="00ED60ED" w:rsidRPr="001C20A3" w:rsidRDefault="00ED60ED" w:rsidP="00ED60ED">
      <w:pPr>
        <w:spacing w:line="360" w:lineRule="auto"/>
        <w:jc w:val="both"/>
        <w:rPr>
          <w:lang w:val="es-AR"/>
        </w:rPr>
      </w:pPr>
    </w:p>
    <w:p w:rsidR="00ED60ED" w:rsidRPr="001C20A3" w:rsidRDefault="00ED60ED" w:rsidP="00ED60ED">
      <w:pPr>
        <w:spacing w:line="360" w:lineRule="auto"/>
        <w:jc w:val="both"/>
        <w:rPr>
          <w:lang w:val="es-AR"/>
        </w:rPr>
      </w:pPr>
      <w:r w:rsidRPr="001C20A3">
        <w:rPr>
          <w:lang w:val="es-AR"/>
        </w:rPr>
        <w:t>Las cuestiones de medición no previstas en las normas contables profesionales argentinas podrán resolverse mediante (i) la utilización de normas contables particulares que traten temas similares y relacionados (salvo que la norma que se pretende utilizar prohíba su aplicación al caso particular que se intenta resolver, o indique que el tratamiento contable que establece, no debe ser aplicado a otros casos por analogía); (ii) la aplicación de las normas sobre medición contable en general; y (iii) los conceptos incluidos en el Marco Conceptual de las normas contables profesionales argentinas vigentes, en el orden de prioridad antes indicado.</w:t>
      </w:r>
    </w:p>
    <w:p w:rsidR="00ED60ED" w:rsidRPr="001C20A3" w:rsidRDefault="00ED60ED" w:rsidP="00ED60ED">
      <w:pPr>
        <w:spacing w:line="360" w:lineRule="auto"/>
        <w:jc w:val="both"/>
        <w:rPr>
          <w:lang w:val="es-AR"/>
        </w:rPr>
      </w:pPr>
    </w:p>
    <w:p w:rsidR="00ED60ED" w:rsidRPr="001C20A3" w:rsidRDefault="00ED60ED" w:rsidP="00ED60ED">
      <w:pPr>
        <w:spacing w:line="360" w:lineRule="auto"/>
        <w:jc w:val="both"/>
        <w:rPr>
          <w:lang w:val="es-AR"/>
        </w:rPr>
      </w:pPr>
      <w:r w:rsidRPr="001C20A3">
        <w:rPr>
          <w:lang w:val="es-AR"/>
        </w:rPr>
        <w:t xml:space="preserve">Cuando la resolución de la cuestión de medición no prevista a partir de las fuentes antes indicadas no resulte evidente, se podrán considerar en forma supletoria para la formación del juicio de la Dirección y el desarrollo de la correspondiente política contable, en orden descendente de prioridad (i) las Normas Internacionales de Información Financiera (NIIF), las NIIF para las </w:t>
      </w:r>
      <w:proofErr w:type="spellStart"/>
      <w:r w:rsidRPr="001C20A3">
        <w:rPr>
          <w:lang w:val="es-AR"/>
        </w:rPr>
        <w:t>PyMES</w:t>
      </w:r>
      <w:proofErr w:type="spellEnd"/>
      <w:r w:rsidRPr="001C20A3">
        <w:rPr>
          <w:lang w:val="es-AR"/>
        </w:rPr>
        <w:t xml:space="preserve"> e Interpretaciones que hayan sido aprobadas y emitidas por el  International </w:t>
      </w:r>
      <w:proofErr w:type="spellStart"/>
      <w:r w:rsidRPr="001C20A3">
        <w:rPr>
          <w:lang w:val="es-AR"/>
        </w:rPr>
        <w:t>Accounting</w:t>
      </w:r>
      <w:proofErr w:type="spellEnd"/>
      <w:r w:rsidRPr="001C20A3">
        <w:rPr>
          <w:lang w:val="es-AR"/>
        </w:rPr>
        <w:t xml:space="preserve"> </w:t>
      </w:r>
      <w:proofErr w:type="spellStart"/>
      <w:r w:rsidRPr="001C20A3">
        <w:rPr>
          <w:lang w:val="es-AR"/>
        </w:rPr>
        <w:t>Standards</w:t>
      </w:r>
      <w:proofErr w:type="spellEnd"/>
      <w:r w:rsidRPr="001C20A3">
        <w:rPr>
          <w:lang w:val="es-AR"/>
        </w:rPr>
        <w:t xml:space="preserve"> </w:t>
      </w:r>
      <w:proofErr w:type="spellStart"/>
      <w:r w:rsidRPr="001C20A3">
        <w:rPr>
          <w:lang w:val="es-AR"/>
        </w:rPr>
        <w:t>Board</w:t>
      </w:r>
      <w:proofErr w:type="spellEnd"/>
      <w:r w:rsidRPr="001C20A3">
        <w:rPr>
          <w:lang w:val="es-AR"/>
        </w:rPr>
        <w:t xml:space="preserve"> (IASB); y (ii) sin un orden establecido, los pronunciamientos más recientes de otros emisores que empleen un marco conceptual similar para la emisión de normas contables, las prácticas aceptadas de la industria y la doctrina contable, con la condición de que las fuentes supletorias utilizadas no entren en conflicto con las fuentes normativas señaladas en el párrafo anterior, y hasta tanto la FACPCE emita una norma que cubra la cuestión de medición involucrada. </w:t>
      </w:r>
    </w:p>
    <w:p w:rsidR="00ED60ED" w:rsidRPr="001C20A3" w:rsidRDefault="00ED60ED" w:rsidP="00ED60ED">
      <w:pPr>
        <w:spacing w:line="360" w:lineRule="auto"/>
        <w:jc w:val="both"/>
        <w:rPr>
          <w:lang w:val="es-AR"/>
        </w:rPr>
      </w:pPr>
    </w:p>
    <w:p w:rsidR="00ED60ED" w:rsidRPr="00E6297C" w:rsidRDefault="00ED60ED" w:rsidP="0008337C">
      <w:pPr>
        <w:numPr>
          <w:ilvl w:val="0"/>
          <w:numId w:val="2"/>
        </w:numPr>
        <w:spacing w:line="360" w:lineRule="auto"/>
        <w:jc w:val="both"/>
        <w:rPr>
          <w:b/>
          <w:u w:val="single"/>
          <w:lang w:val="es-AR"/>
        </w:rPr>
      </w:pPr>
      <w:r w:rsidRPr="00E6297C">
        <w:rPr>
          <w:b/>
          <w:u w:val="single"/>
          <w:lang w:val="es-AR"/>
        </w:rPr>
        <w:t>Unidad de medida</w:t>
      </w:r>
    </w:p>
    <w:p w:rsidR="00ED60ED" w:rsidRPr="00E251C0" w:rsidRDefault="00ED60ED" w:rsidP="00ED60ED">
      <w:pPr>
        <w:spacing w:line="360" w:lineRule="auto"/>
        <w:jc w:val="both"/>
        <w:rPr>
          <w:lang w:val="es-AR"/>
        </w:rPr>
      </w:pPr>
    </w:p>
    <w:p w:rsidR="001C6016" w:rsidRPr="00052C97" w:rsidRDefault="001C6016" w:rsidP="001C6016">
      <w:pPr>
        <w:spacing w:line="360" w:lineRule="auto"/>
        <w:jc w:val="both"/>
        <w:rPr>
          <w:szCs w:val="18"/>
        </w:rPr>
      </w:pPr>
      <w:r w:rsidRPr="00052C97">
        <w:rPr>
          <w:szCs w:val="18"/>
        </w:rPr>
        <w:t>Los presentes estados financieros se presentan en pesos argentinos, salvo cuando se indique lo contrario, y todos los valores se han redondeado a la unidad de mil más próxima.</w:t>
      </w:r>
    </w:p>
    <w:p w:rsidR="00ED60ED" w:rsidRDefault="00ED60ED" w:rsidP="00ED60ED">
      <w:pPr>
        <w:spacing w:line="360" w:lineRule="auto"/>
        <w:jc w:val="both"/>
        <w:rPr>
          <w:lang w:val="es-AR"/>
        </w:rPr>
      </w:pPr>
    </w:p>
    <w:p w:rsidR="00F15851" w:rsidRDefault="00F15851">
      <w:pPr>
        <w:rPr>
          <w:lang w:val="es-AR"/>
        </w:rPr>
      </w:pPr>
      <w:r>
        <w:rPr>
          <w:lang w:val="es-AR"/>
        </w:rPr>
        <w:br w:type="page"/>
      </w:r>
    </w:p>
    <w:p w:rsidR="00ED60ED" w:rsidRPr="00E6297C" w:rsidRDefault="00F568B7" w:rsidP="00965F33">
      <w:pPr>
        <w:pStyle w:val="Prrafodelista"/>
        <w:numPr>
          <w:ilvl w:val="0"/>
          <w:numId w:val="15"/>
        </w:numPr>
        <w:spacing w:after="160" w:line="360" w:lineRule="auto"/>
        <w:jc w:val="both"/>
        <w:rPr>
          <w:color w:val="000000"/>
          <w:szCs w:val="18"/>
        </w:rPr>
      </w:pPr>
      <w:r>
        <w:rPr>
          <w:color w:val="000000"/>
          <w:szCs w:val="18"/>
        </w:rPr>
        <w:t>M</w:t>
      </w:r>
      <w:r w:rsidR="00ED60ED" w:rsidRPr="00E6297C">
        <w:rPr>
          <w:color w:val="000000"/>
          <w:szCs w:val="18"/>
        </w:rPr>
        <w:t>arco normativo</w:t>
      </w:r>
    </w:p>
    <w:p w:rsidR="00ED60ED" w:rsidRPr="00A17F2C" w:rsidRDefault="00ED60ED" w:rsidP="00ED60ED">
      <w:pPr>
        <w:pStyle w:val="Prrafodelista"/>
        <w:spacing w:line="360" w:lineRule="auto"/>
        <w:ind w:left="360"/>
        <w:jc w:val="both"/>
        <w:rPr>
          <w:b/>
          <w:color w:val="000000"/>
          <w:szCs w:val="18"/>
        </w:rPr>
      </w:pPr>
    </w:p>
    <w:p w:rsidR="00ED60ED" w:rsidRPr="00A17F2C" w:rsidRDefault="00ED60ED" w:rsidP="00ED60ED">
      <w:pPr>
        <w:pStyle w:val="Prrafodelista"/>
        <w:spacing w:line="360" w:lineRule="auto"/>
        <w:ind w:left="360"/>
        <w:jc w:val="both"/>
        <w:rPr>
          <w:i/>
          <w:color w:val="000000"/>
          <w:szCs w:val="18"/>
        </w:rPr>
      </w:pPr>
      <w:r w:rsidRPr="00A17F2C">
        <w:rPr>
          <w:color w:val="000000"/>
          <w:szCs w:val="18"/>
        </w:rPr>
        <w:t>Los estados contables al 31 de diciembre de 201</w:t>
      </w:r>
      <w:r>
        <w:rPr>
          <w:color w:val="000000"/>
          <w:szCs w:val="18"/>
        </w:rPr>
        <w:t>9</w:t>
      </w:r>
      <w:r w:rsidRPr="00A17F2C">
        <w:rPr>
          <w:color w:val="000000"/>
          <w:szCs w:val="18"/>
        </w:rPr>
        <w:t xml:space="preserve"> han sido ajustados para que queden expresados en moneda de poder adquisitivo de esa fecha, de conformidad con lo aceptado por la IGJ</w:t>
      </w:r>
      <w:r w:rsidRPr="00A17F2C">
        <w:rPr>
          <w:i/>
          <w:color w:val="000000"/>
          <w:szCs w:val="18"/>
        </w:rPr>
        <w:t xml:space="preserve">, </w:t>
      </w:r>
      <w:r w:rsidRPr="00A17F2C">
        <w:rPr>
          <w:color w:val="000000"/>
          <w:szCs w:val="18"/>
        </w:rPr>
        <w:t>que a los fines de la reexpresión de los estados contables en moneda homogénea requiere aplicar las normas que sobre el particular ha emitido la FACPCE y adoptado por el CPCECABA</w:t>
      </w:r>
      <w:r w:rsidRPr="00A17F2C">
        <w:rPr>
          <w:i/>
          <w:color w:val="000000"/>
          <w:szCs w:val="18"/>
        </w:rPr>
        <w:t>.</w:t>
      </w:r>
    </w:p>
    <w:p w:rsidR="00ED60ED" w:rsidRPr="00A17F2C" w:rsidRDefault="00ED60ED" w:rsidP="00ED60ED">
      <w:pPr>
        <w:pStyle w:val="Prrafodelista"/>
        <w:spacing w:line="360" w:lineRule="auto"/>
        <w:ind w:left="360"/>
        <w:jc w:val="both"/>
        <w:rPr>
          <w:color w:val="000000"/>
          <w:szCs w:val="18"/>
        </w:rPr>
      </w:pPr>
    </w:p>
    <w:p w:rsidR="00ED60ED" w:rsidRPr="00A17F2C" w:rsidRDefault="00ED60ED" w:rsidP="00ED60ED">
      <w:pPr>
        <w:pStyle w:val="Prrafodelista"/>
        <w:spacing w:line="360" w:lineRule="auto"/>
        <w:ind w:left="360"/>
        <w:jc w:val="both"/>
        <w:rPr>
          <w:color w:val="000000"/>
          <w:szCs w:val="18"/>
        </w:rPr>
      </w:pPr>
      <w:r w:rsidRPr="00A17F2C">
        <w:rPr>
          <w:color w:val="000000"/>
          <w:szCs w:val="18"/>
        </w:rPr>
        <w:t>Las siguientes son las principales normas legales y profesionales y guías de aplicación que regulan la reexpresión de los estados contables en moneda homogénea:</w:t>
      </w:r>
    </w:p>
    <w:p w:rsidR="00ED60ED" w:rsidRPr="00D241EF" w:rsidRDefault="00ED60ED" w:rsidP="00ED60ED">
      <w:pPr>
        <w:rPr>
          <w:lang w:val="es-AR"/>
        </w:rPr>
      </w:pPr>
    </w:p>
    <w:p w:rsidR="00ED60ED" w:rsidRPr="00D241EF" w:rsidRDefault="00ED60ED" w:rsidP="00965F33">
      <w:pPr>
        <w:pStyle w:val="Prrafodelista"/>
        <w:numPr>
          <w:ilvl w:val="0"/>
          <w:numId w:val="16"/>
        </w:numPr>
        <w:spacing w:line="360" w:lineRule="auto"/>
        <w:jc w:val="both"/>
        <w:rPr>
          <w:lang w:val="es-AR"/>
        </w:rPr>
      </w:pPr>
      <w:r w:rsidRPr="00D241EF">
        <w:rPr>
          <w:lang w:val="es-AR"/>
        </w:rPr>
        <w:t xml:space="preserve">Ley N° 27.468, que dispuso la derogación de la restricción que imponía el Decreto N° 1269/2002 (modificado por el Decreto N° 664/2003) para la aceptación de estados contables reexpresados por parte de ciertos organismos de control, y da plena aplicación al artículo 62 </w:t>
      </w:r>
      <w:r>
        <w:rPr>
          <w:lang w:val="es-AR"/>
        </w:rPr>
        <w:t>“</w:t>
      </w:r>
      <w:r w:rsidRPr="00D241EF">
        <w:rPr>
          <w:lang w:val="es-AR"/>
        </w:rPr>
        <w:t>in fine</w:t>
      </w:r>
      <w:r>
        <w:rPr>
          <w:lang w:val="es-AR"/>
        </w:rPr>
        <w:t>”</w:t>
      </w:r>
      <w:r w:rsidRPr="00D241EF">
        <w:rPr>
          <w:lang w:val="es-AR"/>
        </w:rPr>
        <w:t xml:space="preserve"> de la Ley General de Sociedades N° 19.550 y sus modificatorias.</w:t>
      </w:r>
    </w:p>
    <w:p w:rsidR="00ED60ED" w:rsidRPr="00D241EF" w:rsidRDefault="00ED60ED" w:rsidP="00ED60ED">
      <w:pPr>
        <w:pStyle w:val="Prrafodelista"/>
        <w:spacing w:line="360" w:lineRule="auto"/>
        <w:jc w:val="both"/>
        <w:rPr>
          <w:lang w:val="es-AR"/>
        </w:rPr>
      </w:pPr>
    </w:p>
    <w:p w:rsidR="00ED60ED" w:rsidRPr="00D241EF" w:rsidRDefault="00ED60ED" w:rsidP="00965F33">
      <w:pPr>
        <w:pStyle w:val="Prrafodelista"/>
        <w:numPr>
          <w:ilvl w:val="0"/>
          <w:numId w:val="16"/>
        </w:numPr>
        <w:spacing w:line="360" w:lineRule="auto"/>
        <w:jc w:val="both"/>
        <w:rPr>
          <w:lang w:val="es-AR"/>
        </w:rPr>
      </w:pPr>
      <w:bookmarkStart w:id="2" w:name="_Hlk15458656"/>
      <w:r w:rsidRPr="00D241EF">
        <w:rPr>
          <w:lang w:val="es-AR"/>
        </w:rPr>
        <w:t>Las normas contables emitidas por la FACPCE: Resolución Técnica (RT) N° 6 (Estados contables en moneda homogénea), RT N° 17 (sección 3.1: Expresión en moneda homogénea), e Interpretación N° 8 (Aplicación del párrafo 3.1 de la RT N° 17); y la Guía de aplicación de la RT N° 6 emitida por el Consejo Elaborador de Normas de Contabilidad y Auditoría.</w:t>
      </w:r>
    </w:p>
    <w:p w:rsidR="00ED60ED" w:rsidRPr="00D241EF" w:rsidRDefault="00ED60ED" w:rsidP="00ED60ED">
      <w:pPr>
        <w:pStyle w:val="Prrafodelista"/>
        <w:spacing w:line="360" w:lineRule="auto"/>
        <w:jc w:val="both"/>
        <w:rPr>
          <w:lang w:val="es-AR"/>
        </w:rPr>
      </w:pPr>
    </w:p>
    <w:p w:rsidR="00ED60ED" w:rsidRPr="00D241EF" w:rsidRDefault="00ED60ED" w:rsidP="00965F33">
      <w:pPr>
        <w:pStyle w:val="Prrafodelista"/>
        <w:numPr>
          <w:ilvl w:val="0"/>
          <w:numId w:val="16"/>
        </w:numPr>
        <w:spacing w:line="360" w:lineRule="auto"/>
        <w:jc w:val="both"/>
        <w:rPr>
          <w:lang w:val="es-AR"/>
        </w:rPr>
      </w:pPr>
      <w:bookmarkStart w:id="3" w:name="_Hlk15854406"/>
      <w:r w:rsidRPr="00D241EF">
        <w:rPr>
          <w:lang w:val="es-AR"/>
        </w:rPr>
        <w:t xml:space="preserve">Para concluir sobre la existencia de un contexto de alta inflación que amerite la reexpresión de los estados contables estas normas establecen (a) que corresponde evaluar, entre otras características del contexto económico, la existencia de una corrección generalizada en los precios y salarios ante la evolución de los índices de precios; la brecha entre la tasa de interés para colocaciones en moneda local y en una moneda extranjera estable; y el comportamiento general de la población para conservar la riqueza ante la pérdida del poder adquisitivo de la moneda local; y (b) como solución práctica, que los estados contables deben </w:t>
      </w:r>
      <w:proofErr w:type="spellStart"/>
      <w:r w:rsidRPr="00D241EF">
        <w:rPr>
          <w:lang w:val="es-AR"/>
        </w:rPr>
        <w:t>reexpresarse</w:t>
      </w:r>
      <w:proofErr w:type="spellEnd"/>
      <w:r w:rsidRPr="00D241EF">
        <w:rPr>
          <w:lang w:val="es-AR"/>
        </w:rPr>
        <w:t xml:space="preserve"> para incorporar el efecto de los cambios en el poder adquisitivo de la moneda cuando se presente el hecho fáctico de una variación acumulada en el índice general de precios utilizado para reflejar esos cambios que alcance o sobrepase el 100% trienal. Debido a diversos factores macroeconómicos, la inflación trienal se ubicó en 2018 por encima de ese guarismo, a la vez que las metas del gobierno nacional, y otras proyecciones disponibles, indican que esta tendencia no se revertirá en el corto plazo. </w:t>
      </w:r>
    </w:p>
    <w:bookmarkEnd w:id="3"/>
    <w:p w:rsidR="00ED60ED" w:rsidRPr="00D241EF" w:rsidRDefault="00ED60ED" w:rsidP="00ED60ED">
      <w:pPr>
        <w:pStyle w:val="Prrafodelista"/>
        <w:spacing w:line="360" w:lineRule="auto"/>
        <w:jc w:val="both"/>
        <w:rPr>
          <w:lang w:val="es-AR"/>
        </w:rPr>
      </w:pPr>
    </w:p>
    <w:p w:rsidR="00ED60ED" w:rsidRPr="00D241EF" w:rsidRDefault="00ED60ED" w:rsidP="00965F33">
      <w:pPr>
        <w:pStyle w:val="Prrafodelista"/>
        <w:numPr>
          <w:ilvl w:val="0"/>
          <w:numId w:val="16"/>
        </w:numPr>
        <w:spacing w:line="360" w:lineRule="auto"/>
        <w:jc w:val="both"/>
        <w:rPr>
          <w:lang w:val="es-AR"/>
        </w:rPr>
      </w:pPr>
      <w:bookmarkStart w:id="4" w:name="_Hlk15454309"/>
      <w:r w:rsidRPr="00D241EF">
        <w:rPr>
          <w:lang w:val="es-AR"/>
        </w:rPr>
        <w:t>La Resolución JG N° 539/18 de la FACPCE, modificada por la Resolución JG N° 553/19, que, considerando lo dispuesto en las normas contables profesionales mencionadas precedentemente, declaró la existencia de un contexto de alta inflación en Argentina a partir del 1° de julio de 2018 y requirió aplicar la RT N° 6 en la preparación de los estados contables correspondientes a ejercicios anuales o períodos intermedios cerrados a partir de esa fecha, estableciendo además (a) la posibilidad de utilizar una serie de simplificaciones destinadas a facilitar el proceso de reexpresión a moneda homogénea, y (b) un período de transición para estados contables correspondientes a ejercicios anuales o períodos intermedios cerrados entre el 1 de julio de 2018 y el 30 de diciembre de 2018, inclusive, durante el cual la reexpresión a moneda homogénea fue optativa.</w:t>
      </w:r>
    </w:p>
    <w:bookmarkEnd w:id="2"/>
    <w:bookmarkEnd w:id="4"/>
    <w:p w:rsidR="00ED60ED" w:rsidRPr="00D241EF" w:rsidRDefault="00ED60ED" w:rsidP="00ED60ED">
      <w:pPr>
        <w:pStyle w:val="Prrafodelista"/>
        <w:spacing w:line="360" w:lineRule="auto"/>
        <w:jc w:val="both"/>
        <w:rPr>
          <w:lang w:val="es-AR"/>
        </w:rPr>
      </w:pPr>
    </w:p>
    <w:p w:rsidR="00ED60ED" w:rsidRPr="00D241EF" w:rsidRDefault="00ED60ED" w:rsidP="00965F33">
      <w:pPr>
        <w:pStyle w:val="Prrafodelista"/>
        <w:numPr>
          <w:ilvl w:val="0"/>
          <w:numId w:val="16"/>
        </w:numPr>
        <w:spacing w:line="360" w:lineRule="auto"/>
        <w:jc w:val="both"/>
        <w:rPr>
          <w:lang w:val="es-AR"/>
        </w:rPr>
      </w:pPr>
      <w:r w:rsidRPr="00D241EF">
        <w:rPr>
          <w:lang w:val="es-AR"/>
        </w:rPr>
        <w:t>La Resolución C.D. N° 107/2018 del CPCECABA</w:t>
      </w:r>
      <w:r>
        <w:rPr>
          <w:lang w:val="es-AR"/>
        </w:rPr>
        <w:t xml:space="preserve">, que ratifica los términos de </w:t>
      </w:r>
      <w:r w:rsidRPr="00D241EF">
        <w:rPr>
          <w:lang w:val="es-AR"/>
        </w:rPr>
        <w:t>la Resolución JG N° 539/18 de la FACPCE para la reexpresión de los estados contables a moneda homogénea.</w:t>
      </w:r>
    </w:p>
    <w:p w:rsidR="00ED60ED" w:rsidRPr="00D241EF" w:rsidRDefault="00ED60ED" w:rsidP="00ED60ED">
      <w:pPr>
        <w:pStyle w:val="Prrafodelista"/>
        <w:spacing w:line="360" w:lineRule="auto"/>
        <w:jc w:val="both"/>
        <w:rPr>
          <w:lang w:val="es-AR"/>
        </w:rPr>
      </w:pPr>
    </w:p>
    <w:p w:rsidR="00ED60ED" w:rsidRPr="00D241EF" w:rsidRDefault="00ED60ED" w:rsidP="00965F33">
      <w:pPr>
        <w:pStyle w:val="Prrafodelista"/>
        <w:numPr>
          <w:ilvl w:val="0"/>
          <w:numId w:val="16"/>
        </w:numPr>
        <w:spacing w:line="360" w:lineRule="auto"/>
        <w:jc w:val="both"/>
        <w:rPr>
          <w:lang w:val="es-AR"/>
        </w:rPr>
      </w:pPr>
      <w:r w:rsidRPr="00D241EF">
        <w:rPr>
          <w:lang w:val="es-AR"/>
        </w:rPr>
        <w:t>La Resolución General N° 10/2018 de la Inspección General de Justicia que adopta las normas contables profesionales sobre unidad de medida vigentes en la Ciudad Autónoma de Buenos Aires.</w:t>
      </w:r>
    </w:p>
    <w:p w:rsidR="00ED60ED" w:rsidRPr="00D241EF" w:rsidRDefault="00ED60ED" w:rsidP="00ED60ED">
      <w:pPr>
        <w:pStyle w:val="Prrafodelista"/>
        <w:spacing w:line="360" w:lineRule="auto"/>
        <w:rPr>
          <w:lang w:val="es-AR"/>
        </w:rPr>
      </w:pPr>
    </w:p>
    <w:p w:rsidR="00ED60ED" w:rsidRPr="00D241EF" w:rsidRDefault="00ED60ED" w:rsidP="00ED60ED">
      <w:pPr>
        <w:spacing w:line="360" w:lineRule="auto"/>
        <w:contextualSpacing/>
        <w:jc w:val="both"/>
        <w:rPr>
          <w:lang w:val="es-AR"/>
        </w:rPr>
      </w:pPr>
      <w:r w:rsidRPr="00D241EF">
        <w:rPr>
          <w:lang w:val="es-AR"/>
        </w:rPr>
        <w:t>Para la reexpresión de los estados contables a moneda homogénea se utiliza una serie de índices que combina el Índice de Precios al Consumidor (IPC) Nacional publicado por el Instituto Nacional de Estadísticas y Censos (INDEC) a partir de enero de 2017 (mes base: diciembre de 2016) con el Índice de Precios Internos al por Mayor (IPIM) publicado por el INDEC hasta esa fecha (computando para los meses de noviembre y diciembre de 2015, respecto de los cuales no se cuenta con información del INDEC sobre la evolución del IPIM, la variación en el IPC de la Ciudad Autónoma de Buenos Aires).</w:t>
      </w:r>
    </w:p>
    <w:p w:rsidR="00ED60ED" w:rsidRPr="00D241EF" w:rsidRDefault="00ED60ED" w:rsidP="00ED60ED">
      <w:pPr>
        <w:spacing w:line="360" w:lineRule="auto"/>
        <w:contextualSpacing/>
        <w:jc w:val="both"/>
        <w:rPr>
          <w:lang w:val="es-AR"/>
        </w:rPr>
      </w:pPr>
    </w:p>
    <w:p w:rsidR="00ED60ED" w:rsidRPr="003058AA" w:rsidRDefault="00ED60ED" w:rsidP="00ED60ED">
      <w:pPr>
        <w:spacing w:line="360" w:lineRule="auto"/>
        <w:contextualSpacing/>
        <w:jc w:val="both"/>
        <w:rPr>
          <w:szCs w:val="18"/>
        </w:rPr>
      </w:pPr>
      <w:r w:rsidRPr="00D241EF">
        <w:rPr>
          <w:lang w:val="es-AR"/>
        </w:rPr>
        <w:t>Considerando esta serie de índices, la inflación fue de 53,83% y 47,64% en los ejercicios finalizados 31 de diciembre de 2019 y 2018, respectivamente.</w:t>
      </w:r>
    </w:p>
    <w:p w:rsidR="00ED60ED" w:rsidRDefault="00ED60ED" w:rsidP="00ED60ED">
      <w:pPr>
        <w:spacing w:line="360" w:lineRule="auto"/>
        <w:rPr>
          <w:szCs w:val="18"/>
        </w:rPr>
      </w:pPr>
    </w:p>
    <w:p w:rsidR="00ED60ED" w:rsidRPr="00D241EF" w:rsidRDefault="00ED60ED" w:rsidP="00965F33">
      <w:pPr>
        <w:numPr>
          <w:ilvl w:val="0"/>
          <w:numId w:val="15"/>
        </w:numPr>
        <w:spacing w:line="360" w:lineRule="auto"/>
        <w:contextualSpacing/>
        <w:jc w:val="both"/>
        <w:rPr>
          <w:lang w:val="es-AR"/>
        </w:rPr>
      </w:pPr>
      <w:r w:rsidRPr="00D241EF">
        <w:rPr>
          <w:lang w:val="es-AR"/>
        </w:rPr>
        <w:t>Información comparativa</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ind w:left="708"/>
        <w:contextualSpacing/>
        <w:jc w:val="both"/>
        <w:rPr>
          <w:lang w:val="es-AR"/>
        </w:rPr>
      </w:pPr>
      <w:r w:rsidRPr="00D241EF">
        <w:rPr>
          <w:lang w:val="es-AR"/>
        </w:rPr>
        <w:t xml:space="preserve">Las cifras correspondientes a la información comparativa han sido </w:t>
      </w:r>
      <w:proofErr w:type="spellStart"/>
      <w:r w:rsidRPr="00D241EF">
        <w:rPr>
          <w:lang w:val="es-AR"/>
        </w:rPr>
        <w:t>reexpresadas</w:t>
      </w:r>
      <w:proofErr w:type="spellEnd"/>
      <w:r w:rsidRPr="00D241EF">
        <w:rPr>
          <w:lang w:val="es-AR"/>
        </w:rPr>
        <w:t xml:space="preserve"> para considerar los cambios en el poder adquisitivo de la moneda y, como resultado, están expresadas en la unidad de medida corriente al final del período sobre el cual se informa.</w:t>
      </w:r>
    </w:p>
    <w:p w:rsidR="00ED60ED" w:rsidRPr="00D241EF" w:rsidRDefault="00ED60ED" w:rsidP="00ED60ED">
      <w:pPr>
        <w:spacing w:line="360" w:lineRule="auto"/>
        <w:contextualSpacing/>
        <w:jc w:val="both"/>
        <w:rPr>
          <w:lang w:val="es-AR"/>
        </w:rPr>
      </w:pPr>
    </w:p>
    <w:p w:rsidR="00ED60ED" w:rsidRDefault="00ED60ED" w:rsidP="00965F33">
      <w:pPr>
        <w:numPr>
          <w:ilvl w:val="0"/>
          <w:numId w:val="15"/>
        </w:numPr>
        <w:spacing w:line="360" w:lineRule="auto"/>
        <w:contextualSpacing/>
        <w:jc w:val="both"/>
        <w:rPr>
          <w:lang w:val="es-AR"/>
        </w:rPr>
      </w:pPr>
      <w:r>
        <w:rPr>
          <w:lang w:val="es-AR"/>
        </w:rPr>
        <w:t>Descripción del proceso de reexpresión de los estados contables</w:t>
      </w:r>
    </w:p>
    <w:p w:rsidR="00ED60ED" w:rsidRDefault="00ED60ED" w:rsidP="00ED60ED">
      <w:pPr>
        <w:spacing w:line="360" w:lineRule="auto"/>
        <w:ind w:left="360"/>
        <w:contextualSpacing/>
        <w:jc w:val="both"/>
        <w:rPr>
          <w:lang w:val="es-AR"/>
        </w:rPr>
      </w:pPr>
    </w:p>
    <w:p w:rsidR="00ED60ED" w:rsidRPr="00D241EF" w:rsidRDefault="00ED60ED" w:rsidP="00ED60ED">
      <w:pPr>
        <w:spacing w:line="360" w:lineRule="auto"/>
        <w:ind w:left="360"/>
        <w:contextualSpacing/>
        <w:jc w:val="both"/>
        <w:rPr>
          <w:lang w:val="es-AR"/>
        </w:rPr>
      </w:pPr>
      <w:r w:rsidRPr="00D241EF">
        <w:rPr>
          <w:lang w:val="es-AR"/>
        </w:rPr>
        <w:t>Descripción del proceso de reexpresión del estado de situación patrimonial</w:t>
      </w:r>
    </w:p>
    <w:p w:rsidR="00F15851" w:rsidRDefault="00F15851">
      <w:pPr>
        <w:rPr>
          <w:lang w:val="es-AR"/>
        </w:rPr>
      </w:pPr>
      <w:r>
        <w:rPr>
          <w:lang w:val="es-AR"/>
        </w:rPr>
        <w:br w:type="page"/>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ind w:firstLine="708"/>
        <w:rPr>
          <w:lang w:val="es-AR"/>
        </w:rPr>
      </w:pPr>
      <w:r w:rsidRPr="00D241EF">
        <w:rPr>
          <w:lang w:val="es-AR"/>
        </w:rPr>
        <w:t>Proceso general de reexpresión</w:t>
      </w:r>
    </w:p>
    <w:p w:rsidR="00ED60ED" w:rsidRPr="00D241EF" w:rsidRDefault="00ED60ED" w:rsidP="00ED60ED">
      <w:pPr>
        <w:spacing w:line="360" w:lineRule="auto"/>
        <w:rPr>
          <w:lang w:val="es-AR"/>
        </w:rPr>
      </w:pPr>
    </w:p>
    <w:p w:rsidR="00ED60ED" w:rsidRPr="00D241EF" w:rsidRDefault="00ED60ED" w:rsidP="00965F33">
      <w:pPr>
        <w:pStyle w:val="Prrafodelista"/>
        <w:numPr>
          <w:ilvl w:val="0"/>
          <w:numId w:val="17"/>
        </w:numPr>
        <w:spacing w:line="360" w:lineRule="auto"/>
        <w:jc w:val="both"/>
        <w:rPr>
          <w:lang w:val="es-AR"/>
        </w:rPr>
      </w:pPr>
      <w:r w:rsidRPr="00D241EF">
        <w:rPr>
          <w:lang w:val="es-AR"/>
        </w:rPr>
        <w:t>Las partidas monetarias (aquellas con un valor nominal fijo en moneda local) no se reexpresan, dado que ya se encuentran expresadas en la unidad de medida corriente a la fecha de cierre del período sobre el cual se informa. En un período inflacionario, mantener activos monetarios genera pérdida de poder adquisitivo y mantener pasivos monetarios genera ganancia de poder adquisitivo, siempre que tales partidas no se encuentren sujetas a un mecanismo de ajuste que compense en alguna medida esos efectos. La pérdida o ganancia monetaria se incluye en el resultado del período sobre el que se informa.</w:t>
      </w:r>
    </w:p>
    <w:p w:rsidR="00ED60ED" w:rsidRPr="00D241EF" w:rsidRDefault="00ED60ED" w:rsidP="00ED60ED">
      <w:pPr>
        <w:spacing w:line="360" w:lineRule="auto"/>
        <w:rPr>
          <w:lang w:val="es-AR"/>
        </w:rPr>
      </w:pPr>
    </w:p>
    <w:p w:rsidR="00ED60ED" w:rsidRPr="00D241EF" w:rsidRDefault="00ED60ED" w:rsidP="00965F33">
      <w:pPr>
        <w:pStyle w:val="Prrafodelista"/>
        <w:numPr>
          <w:ilvl w:val="0"/>
          <w:numId w:val="17"/>
        </w:numPr>
        <w:spacing w:line="360" w:lineRule="auto"/>
        <w:jc w:val="both"/>
        <w:rPr>
          <w:lang w:val="es-AR"/>
        </w:rPr>
      </w:pPr>
      <w:r w:rsidRPr="00D241EF">
        <w:rPr>
          <w:lang w:val="es-AR"/>
        </w:rPr>
        <w:t>Las partidas no monetarias medidas a sus valores corrientes al final del periodo sobre el que se informa, no se reexpresan a efectos de su presentación en el estado de situación patrimonial, pero el proceso de ajuste debe completarse para determinar en términos de unidad de medida homogénea los resultados producidos por la tenencia de esas partidas no monetarias.</w:t>
      </w:r>
    </w:p>
    <w:p w:rsidR="00ED60ED" w:rsidRPr="00D241EF" w:rsidRDefault="00ED60ED" w:rsidP="00ED60ED">
      <w:pPr>
        <w:pStyle w:val="Prrafodelista"/>
        <w:spacing w:line="360" w:lineRule="auto"/>
        <w:jc w:val="both"/>
        <w:rPr>
          <w:lang w:val="es-AR"/>
        </w:rPr>
      </w:pPr>
    </w:p>
    <w:p w:rsidR="00ED60ED" w:rsidRPr="00D241EF" w:rsidRDefault="00ED60ED" w:rsidP="00965F33">
      <w:pPr>
        <w:pStyle w:val="Prrafodelista"/>
        <w:numPr>
          <w:ilvl w:val="0"/>
          <w:numId w:val="17"/>
        </w:numPr>
        <w:spacing w:line="360" w:lineRule="auto"/>
        <w:jc w:val="both"/>
        <w:rPr>
          <w:lang w:val="es-AR"/>
        </w:rPr>
      </w:pPr>
      <w:r w:rsidRPr="00D241EF">
        <w:rPr>
          <w:lang w:val="es-AR"/>
        </w:rPr>
        <w:t xml:space="preserve">Las partidas no monetarias medidas a costo histórico o a un valor corriente de una fecha anterior a la de cierre del período sobre el cual se informa se reexpresan por coeficientes que reflejen la variación ocurrida en el nivel general de precios desde la fecha de adquisición o revaluación hasta la fecha de cierre, procediéndose luego a comparar los importes reexpresados de esos activos con los correspondientes valores recuperables. No obstante, está permitido agrupar partidas por fecha de origen en período mayores al mes cuando este procedimiento no genere distorsiones significativas. Los cargos al resultado del período por consumo de activos no monetarios (depreciación, amortización, valor residual de activos dados de baja, </w:t>
      </w:r>
      <w:proofErr w:type="spellStart"/>
      <w:r w:rsidRPr="00D241EF">
        <w:rPr>
          <w:lang w:val="es-AR"/>
        </w:rPr>
        <w:t>etc</w:t>
      </w:r>
      <w:proofErr w:type="spellEnd"/>
      <w:r w:rsidRPr="00D241EF">
        <w:rPr>
          <w:lang w:val="es-AR"/>
        </w:rPr>
        <w:t>) se determinarán sobre la base de los nuevos importes reexpresados.</w:t>
      </w:r>
    </w:p>
    <w:p w:rsidR="00ED60ED" w:rsidRPr="00D241EF" w:rsidRDefault="00ED60ED" w:rsidP="00ED60ED">
      <w:pPr>
        <w:pStyle w:val="Prrafodelista"/>
        <w:spacing w:line="360" w:lineRule="auto"/>
        <w:rPr>
          <w:lang w:val="es-AR"/>
        </w:rPr>
      </w:pPr>
    </w:p>
    <w:p w:rsidR="00ED60ED" w:rsidRPr="00D241EF" w:rsidRDefault="00ED60ED" w:rsidP="00965F33">
      <w:pPr>
        <w:pStyle w:val="Prrafodelista"/>
        <w:numPr>
          <w:ilvl w:val="0"/>
          <w:numId w:val="17"/>
        </w:numPr>
        <w:spacing w:line="360" w:lineRule="auto"/>
        <w:jc w:val="both"/>
        <w:rPr>
          <w:lang w:val="es-AR"/>
        </w:rPr>
      </w:pPr>
      <w:r w:rsidRPr="00D241EF">
        <w:rPr>
          <w:lang w:val="es-AR"/>
        </w:rPr>
        <w:t>La reexpresión de los activos no monetarios en los términos de unidad de medida corriente al final del período sobre el que se informa sin un ajuste equivalente para propósitos fiscales, da lugar a una diferencia temporaria gravable y al reconocimiento de un pasivo por impuesto diferido cuya contrapartida se reconoce en el resultado del ejercicio.</w:t>
      </w:r>
    </w:p>
    <w:p w:rsidR="00ED60ED" w:rsidRPr="00D241EF" w:rsidRDefault="00ED60ED" w:rsidP="00ED60ED">
      <w:pPr>
        <w:pStyle w:val="Prrafodelista"/>
        <w:spacing w:line="360" w:lineRule="auto"/>
        <w:rPr>
          <w:lang w:val="es-AR"/>
        </w:rPr>
      </w:pPr>
    </w:p>
    <w:p w:rsidR="00ED60ED" w:rsidRPr="00D241EF" w:rsidRDefault="00ED60ED" w:rsidP="00ED60ED">
      <w:pPr>
        <w:pStyle w:val="Prrafodelista"/>
        <w:spacing w:line="360" w:lineRule="auto"/>
        <w:jc w:val="both"/>
        <w:rPr>
          <w:lang w:val="es-AR"/>
        </w:rPr>
      </w:pPr>
      <w:r w:rsidRPr="00D241EF">
        <w:rPr>
          <w:lang w:val="es-AR"/>
        </w:rPr>
        <w:t xml:space="preserve">Cuando además de la reexpresión a moneda homogénea existe una revaluación de activos no monetarios, el impuesto diferido que se corresponde con la reexpresión se reconoce en el resultado del período, y el impuesto diferido que se corresponde con la revaluación (exceso del valor revaluado sobre el importe </w:t>
      </w:r>
      <w:proofErr w:type="spellStart"/>
      <w:r w:rsidRPr="00D241EF">
        <w:rPr>
          <w:lang w:val="es-AR"/>
        </w:rPr>
        <w:t>reexpresado</w:t>
      </w:r>
      <w:proofErr w:type="spellEnd"/>
      <w:r w:rsidRPr="00D241EF">
        <w:rPr>
          <w:lang w:val="es-AR"/>
        </w:rPr>
        <w:t>) se reconoce en los resultados diferidos.</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En la Nota 2.c) se detallan los efectos resultantes de este proceso.</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Descripción del proceso de reexpresión del estado de resultados y simplificaciones utilizadas</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Proceso general de reexpresión</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El proceso más depurado de reexpresión del estado de resultados a moneda de la fecha de cierre del período por el que se informa contempla los siguientes aspectos principales:</w:t>
      </w:r>
    </w:p>
    <w:p w:rsidR="00ED60ED" w:rsidRPr="00D241EF" w:rsidRDefault="00ED60ED" w:rsidP="00ED60ED">
      <w:pPr>
        <w:spacing w:line="360" w:lineRule="auto"/>
        <w:contextualSpacing/>
        <w:jc w:val="both"/>
        <w:rPr>
          <w:lang w:val="es-AR"/>
        </w:rPr>
      </w:pPr>
    </w:p>
    <w:p w:rsidR="00ED60ED" w:rsidRPr="00D241EF" w:rsidRDefault="00ED60ED" w:rsidP="00965F33">
      <w:pPr>
        <w:pStyle w:val="Prrafodelista"/>
        <w:numPr>
          <w:ilvl w:val="0"/>
          <w:numId w:val="18"/>
        </w:numPr>
        <w:spacing w:line="360" w:lineRule="auto"/>
        <w:jc w:val="both"/>
        <w:rPr>
          <w:lang w:val="es-AR"/>
        </w:rPr>
      </w:pPr>
      <w:r w:rsidRPr="00D241EF">
        <w:rPr>
          <w:lang w:val="es-AR"/>
        </w:rPr>
        <w:t xml:space="preserve">Los ingresos y gastos se ajustan desde la fecha de origen de las transacciones que los originan o del correspondiente </w:t>
      </w:r>
      <w:proofErr w:type="spellStart"/>
      <w:r w:rsidRPr="00D241EF">
        <w:rPr>
          <w:lang w:val="es-AR"/>
        </w:rPr>
        <w:t>devengamiento</w:t>
      </w:r>
      <w:proofErr w:type="spellEnd"/>
      <w:r w:rsidRPr="00D241EF">
        <w:rPr>
          <w:lang w:val="es-AR"/>
        </w:rPr>
        <w:t>. No obstante, está permitido agrupar partidas por fecha de origen en período mayores al mes cuando este procedimiento no genere distorsiones significativas.</w:t>
      </w:r>
    </w:p>
    <w:p w:rsidR="00ED60ED" w:rsidRPr="00D241EF" w:rsidRDefault="00ED60ED" w:rsidP="00ED60ED">
      <w:pPr>
        <w:pStyle w:val="Prrafodelista"/>
        <w:spacing w:line="360" w:lineRule="auto"/>
        <w:jc w:val="both"/>
        <w:rPr>
          <w:lang w:val="es-AR"/>
        </w:rPr>
      </w:pPr>
    </w:p>
    <w:p w:rsidR="00ED60ED" w:rsidRPr="00D241EF" w:rsidRDefault="00ED60ED" w:rsidP="00965F33">
      <w:pPr>
        <w:pStyle w:val="Prrafodelista"/>
        <w:numPr>
          <w:ilvl w:val="0"/>
          <w:numId w:val="18"/>
        </w:numPr>
        <w:spacing w:line="360" w:lineRule="auto"/>
        <w:jc w:val="both"/>
        <w:rPr>
          <w:lang w:val="es-AR"/>
        </w:rPr>
      </w:pPr>
      <w:r w:rsidRPr="00D241EF">
        <w:rPr>
          <w:lang w:val="es-AR"/>
        </w:rPr>
        <w:t>Los consumos de activos no monetarios medidos a valor corriente del momento previo al consumo se ajustan desde el momento del consumo registrado.</w:t>
      </w:r>
    </w:p>
    <w:p w:rsidR="00ED60ED" w:rsidRPr="00D241EF" w:rsidRDefault="00ED60ED" w:rsidP="00ED60ED">
      <w:pPr>
        <w:pStyle w:val="Prrafodelista"/>
        <w:spacing w:line="360" w:lineRule="auto"/>
        <w:rPr>
          <w:lang w:val="es-AR"/>
        </w:rPr>
      </w:pPr>
    </w:p>
    <w:p w:rsidR="00ED60ED" w:rsidRPr="00D241EF" w:rsidRDefault="00ED60ED" w:rsidP="00965F33">
      <w:pPr>
        <w:pStyle w:val="Prrafodelista"/>
        <w:numPr>
          <w:ilvl w:val="0"/>
          <w:numId w:val="18"/>
        </w:numPr>
        <w:spacing w:line="360" w:lineRule="auto"/>
        <w:jc w:val="both"/>
        <w:rPr>
          <w:lang w:val="es-AR"/>
        </w:rPr>
      </w:pPr>
      <w:r w:rsidRPr="00D241EF">
        <w:rPr>
          <w:lang w:val="es-AR"/>
        </w:rPr>
        <w:t>Las partidas del resultado que reflejan o incluyen en su determinación el consumo de activos medidos en moneda de poder adquisitivo de una fecha anterior a la de registración del consumo, se ajustan tomando como base la fecha de origen del activo con el que está relacionada la partida.</w:t>
      </w:r>
    </w:p>
    <w:p w:rsidR="00ED60ED" w:rsidRPr="00D241EF" w:rsidRDefault="00ED60ED" w:rsidP="00ED60ED">
      <w:pPr>
        <w:pStyle w:val="Prrafodelista"/>
        <w:spacing w:line="360" w:lineRule="auto"/>
        <w:rPr>
          <w:lang w:val="es-AR"/>
        </w:rPr>
      </w:pPr>
    </w:p>
    <w:p w:rsidR="00ED60ED" w:rsidRPr="00D241EF" w:rsidRDefault="00ED60ED" w:rsidP="00965F33">
      <w:pPr>
        <w:pStyle w:val="Prrafodelista"/>
        <w:numPr>
          <w:ilvl w:val="0"/>
          <w:numId w:val="18"/>
        </w:numPr>
        <w:spacing w:line="360" w:lineRule="auto"/>
        <w:jc w:val="both"/>
        <w:rPr>
          <w:lang w:val="es-AR"/>
        </w:rPr>
      </w:pPr>
      <w:r w:rsidRPr="00D241EF">
        <w:rPr>
          <w:lang w:val="es-AR"/>
        </w:rPr>
        <w:t xml:space="preserve">Los resultados por tenencia y otros que surgen de comparar dos mediciones expresadas en moneda de poder adquisitivo de diferentes fechas, requieren identificar los importes comparados y </w:t>
      </w:r>
      <w:proofErr w:type="spellStart"/>
      <w:r w:rsidRPr="00D241EF">
        <w:rPr>
          <w:lang w:val="es-AR"/>
        </w:rPr>
        <w:t>reexpresarlos</w:t>
      </w:r>
      <w:proofErr w:type="spellEnd"/>
      <w:r w:rsidRPr="00D241EF">
        <w:rPr>
          <w:lang w:val="es-AR"/>
        </w:rPr>
        <w:t xml:space="preserve"> por separado para volver a efectuar la comparación con los importes ya reexpresados.</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Simplificaciones utilizadas por la Sociedad relacionadas con el proceso de reexpresión del estado de resultados</w:t>
      </w:r>
    </w:p>
    <w:p w:rsidR="00ED60ED" w:rsidRPr="00D241EF" w:rsidRDefault="00ED60ED" w:rsidP="00ED60ED">
      <w:pPr>
        <w:spacing w:line="360" w:lineRule="auto"/>
        <w:contextualSpacing/>
        <w:jc w:val="both"/>
        <w:rPr>
          <w:lang w:val="es-AR"/>
        </w:rPr>
      </w:pPr>
    </w:p>
    <w:p w:rsidR="00ED60ED" w:rsidRPr="00D241EF" w:rsidRDefault="00ED60ED" w:rsidP="00965F33">
      <w:pPr>
        <w:pStyle w:val="Prrafodelista"/>
        <w:numPr>
          <w:ilvl w:val="0"/>
          <w:numId w:val="19"/>
        </w:numPr>
        <w:spacing w:line="360" w:lineRule="auto"/>
        <w:jc w:val="both"/>
        <w:rPr>
          <w:lang w:val="es-AR"/>
        </w:rPr>
      </w:pPr>
      <w:r w:rsidRPr="00D241EF">
        <w:rPr>
          <w:lang w:val="es-AR"/>
        </w:rPr>
        <w:t>Los resultados financieros y por tenencia, incluyendo el RECPAM, se presentan en una sola línea del estado de resultados, cumplimentando la Sociedad en otros aspectos el proceso general de reexpresión mencionado precedentemente.</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Descripción del proceso de reexpresión del Estado de Evolución del Patrimonio Neto</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 xml:space="preserve">Todos los componentes del patrimonio reexpresados a moneda de inicio del ejercicio son llevados a moneda de cierre aplicando el índice general de precios, y las variaciones de esos componentes se reexpresan a moneda de cierre de la siguiente manera: si se trata de aportes,  desde la fecha de suscripción; si son movimientos </w:t>
      </w:r>
      <w:proofErr w:type="spellStart"/>
      <w:r w:rsidRPr="00D241EF">
        <w:rPr>
          <w:lang w:val="es-AR"/>
        </w:rPr>
        <w:t>permutativos</w:t>
      </w:r>
      <w:proofErr w:type="spellEnd"/>
      <w:r w:rsidRPr="00D241EF">
        <w:rPr>
          <w:lang w:val="es-AR"/>
        </w:rPr>
        <w:t xml:space="preserve"> que afecten los resultados acumulados, desde la fecha de cierre del ejercicio anterior si la Asamblea trata los resultados acumulados  en moneda de ese momento, en tanto si la Asamblea trata los resultados en moneda de poder adquisitivo de la fecha de la Asamblea, los movimientos </w:t>
      </w:r>
      <w:proofErr w:type="spellStart"/>
      <w:r w:rsidRPr="00D241EF">
        <w:rPr>
          <w:lang w:val="es-AR"/>
        </w:rPr>
        <w:t>permutativos</w:t>
      </w:r>
      <w:proofErr w:type="spellEnd"/>
      <w:r w:rsidRPr="00D241EF">
        <w:rPr>
          <w:lang w:val="es-AR"/>
        </w:rPr>
        <w:t xml:space="preserve"> se </w:t>
      </w:r>
      <w:proofErr w:type="spellStart"/>
      <w:r w:rsidRPr="00D241EF">
        <w:rPr>
          <w:lang w:val="es-AR"/>
        </w:rPr>
        <w:t>reexpresarán</w:t>
      </w:r>
      <w:proofErr w:type="spellEnd"/>
      <w:r w:rsidRPr="00D241EF">
        <w:rPr>
          <w:lang w:val="es-AR"/>
        </w:rPr>
        <w:t xml:space="preserve"> desde la fecha en que está expresada esa moneda; si se trata de reducciones  de los resultados acumulados por  movimientos modificativos, desde la fecha de realización de la Asamblea que tome la decisión, en tanto que si son partidas de resultados diferidos deben presentarse en términos reales.</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De acuerdo con la RG 777/18 de la CNV, en las entidades sujetas al control de ese organismo las distribuciones de utilidades deberán ser tratadas en la moneda de la fecha de celebración de la asamblea de accionistas mediante la utilización del índice de precios correspondiente al mes anterior a su reunión.</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Descripción del proceso de reexpresión del Estado de Flujo de Efectivo y simplificaciones utilizadas</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Todas las partidas de este estado contable se reexpresan en términos de la unidad de medida corriente a la fecha de cierre del período sobre el que se informa.</w:t>
      </w:r>
    </w:p>
    <w:p w:rsidR="00ED60ED" w:rsidRPr="00D241EF" w:rsidRDefault="00ED60ED" w:rsidP="00ED60ED">
      <w:pPr>
        <w:spacing w:line="360" w:lineRule="auto"/>
        <w:contextualSpacing/>
        <w:jc w:val="both"/>
        <w:rPr>
          <w:lang w:val="es-AR"/>
        </w:rPr>
      </w:pPr>
    </w:p>
    <w:p w:rsidR="00ED60ED" w:rsidRPr="00D241EF" w:rsidRDefault="00ED60ED" w:rsidP="00ED60ED">
      <w:pPr>
        <w:spacing w:line="360" w:lineRule="auto"/>
        <w:contextualSpacing/>
        <w:jc w:val="both"/>
        <w:rPr>
          <w:lang w:val="es-AR"/>
        </w:rPr>
      </w:pPr>
      <w:r w:rsidRPr="00D241EF">
        <w:rPr>
          <w:lang w:val="es-AR"/>
        </w:rPr>
        <w:t>El resultado de los cambios en el poder adquisitivo de la moneda sobre los componentes del efectivo y equivalentes al efectivo se presenta en el estado de flujo de efectivo, en la sección “Causas de la variación” luego de las actividades operativas, de inversión y de financiación, en un renglón separado e independiente de ellas, bajo el título “Resultado financiero y por tenencia generado por el efectivo – RECPAM”.</w:t>
      </w:r>
    </w:p>
    <w:p w:rsidR="00ED60ED" w:rsidRDefault="00ED60ED" w:rsidP="00ED60ED">
      <w:pPr>
        <w:rPr>
          <w:b/>
          <w:color w:val="000000"/>
        </w:rPr>
      </w:pPr>
    </w:p>
    <w:p w:rsidR="006435EB" w:rsidRDefault="006435EB" w:rsidP="006435EB">
      <w:pPr>
        <w:ind w:left="720"/>
        <w:jc w:val="both"/>
        <w:rPr>
          <w:szCs w:val="18"/>
          <w:lang w:val="es-AR"/>
        </w:rPr>
      </w:pPr>
      <w:r w:rsidRPr="00EE3F78">
        <w:rPr>
          <w:szCs w:val="18"/>
          <w:lang w:val="es-AR"/>
        </w:rPr>
        <w:t xml:space="preserve">      </w:t>
      </w:r>
    </w:p>
    <w:p w:rsidR="006435EB" w:rsidRPr="00332ECB" w:rsidRDefault="006435EB" w:rsidP="006435EB">
      <w:pPr>
        <w:ind w:left="720"/>
        <w:jc w:val="both"/>
        <w:rPr>
          <w:sz w:val="10"/>
          <w:szCs w:val="10"/>
          <w:lang w:val="es-AR" w:eastAsia="en-US"/>
        </w:rPr>
      </w:pPr>
    </w:p>
    <w:p w:rsidR="006435EB" w:rsidRPr="00EE3F78" w:rsidRDefault="006435EB" w:rsidP="006435EB">
      <w:pPr>
        <w:numPr>
          <w:ilvl w:val="0"/>
          <w:numId w:val="2"/>
        </w:numPr>
        <w:spacing w:line="360" w:lineRule="auto"/>
        <w:jc w:val="both"/>
        <w:rPr>
          <w:szCs w:val="18"/>
          <w:lang w:val="es-AR"/>
        </w:rPr>
      </w:pPr>
      <w:r w:rsidRPr="006C1867">
        <w:rPr>
          <w:b/>
          <w:bCs/>
          <w:szCs w:val="18"/>
          <w:u w:val="single"/>
          <w:lang w:val="es-AR"/>
        </w:rPr>
        <w:t>Criterios de valuación</w:t>
      </w:r>
      <w:r w:rsidRPr="00EE3F78">
        <w:rPr>
          <w:szCs w:val="18"/>
          <w:lang w:val="es-AR"/>
        </w:rPr>
        <w:t>:</w:t>
      </w:r>
    </w:p>
    <w:p w:rsidR="006435EB" w:rsidRPr="00EE3F78" w:rsidRDefault="006435EB" w:rsidP="006435EB">
      <w:pPr>
        <w:jc w:val="both"/>
        <w:rPr>
          <w:szCs w:val="18"/>
          <w:lang w:val="es-AR"/>
        </w:rPr>
      </w:pPr>
    </w:p>
    <w:p w:rsidR="00465F72" w:rsidRPr="001C20A3" w:rsidRDefault="00465F72" w:rsidP="00465F72">
      <w:pPr>
        <w:spacing w:line="360" w:lineRule="auto"/>
        <w:jc w:val="both"/>
        <w:rPr>
          <w:lang w:val="es-AR"/>
        </w:rPr>
      </w:pPr>
      <w:r w:rsidRPr="001C20A3">
        <w:rPr>
          <w:lang w:val="es-AR"/>
        </w:rPr>
        <w:t>Los principales criterios de valuación utilizados en la preparación de los estados contables son los siguientes:</w:t>
      </w:r>
    </w:p>
    <w:p w:rsidR="00465F72" w:rsidRPr="001C20A3" w:rsidRDefault="00465F72" w:rsidP="00465F72">
      <w:pPr>
        <w:spacing w:line="360" w:lineRule="auto"/>
        <w:jc w:val="both"/>
        <w:rPr>
          <w:sz w:val="14"/>
          <w:szCs w:val="14"/>
          <w:lang w:val="es-AR"/>
        </w:rPr>
      </w:pPr>
    </w:p>
    <w:p w:rsidR="00465F72" w:rsidRPr="001C20A3" w:rsidRDefault="00465F72" w:rsidP="00465F72">
      <w:pPr>
        <w:numPr>
          <w:ilvl w:val="0"/>
          <w:numId w:val="4"/>
        </w:numPr>
        <w:spacing w:line="360" w:lineRule="auto"/>
        <w:jc w:val="both"/>
        <w:rPr>
          <w:lang w:val="es-AR"/>
        </w:rPr>
      </w:pPr>
      <w:r w:rsidRPr="001C20A3">
        <w:rPr>
          <w:lang w:val="es-AR"/>
        </w:rPr>
        <w:t>Caja y bancos:</w:t>
      </w:r>
    </w:p>
    <w:p w:rsidR="00465F72" w:rsidRPr="001C20A3" w:rsidRDefault="00465F72" w:rsidP="00465F72">
      <w:pPr>
        <w:numPr>
          <w:ilvl w:val="0"/>
          <w:numId w:val="5"/>
        </w:numPr>
        <w:tabs>
          <w:tab w:val="clear" w:pos="360"/>
          <w:tab w:val="num" w:pos="720"/>
        </w:tabs>
        <w:spacing w:line="360" w:lineRule="auto"/>
        <w:ind w:left="720"/>
        <w:jc w:val="both"/>
        <w:rPr>
          <w:lang w:val="es-AR"/>
        </w:rPr>
      </w:pPr>
      <w:r w:rsidRPr="001C20A3">
        <w:rPr>
          <w:lang w:val="es-AR"/>
        </w:rPr>
        <w:t>En moneda nacional: a su valor nominal.</w:t>
      </w:r>
    </w:p>
    <w:p w:rsidR="00465F72" w:rsidRPr="001C20A3" w:rsidRDefault="00465F72" w:rsidP="00465F72">
      <w:pPr>
        <w:spacing w:line="360" w:lineRule="auto"/>
        <w:jc w:val="both"/>
        <w:rPr>
          <w:lang w:val="es-AR"/>
        </w:rPr>
      </w:pPr>
    </w:p>
    <w:p w:rsidR="00465F72" w:rsidRPr="001C20A3" w:rsidRDefault="00465F72" w:rsidP="00465F72">
      <w:pPr>
        <w:numPr>
          <w:ilvl w:val="0"/>
          <w:numId w:val="3"/>
        </w:numPr>
        <w:tabs>
          <w:tab w:val="num" w:pos="360"/>
        </w:tabs>
        <w:spacing w:line="360" w:lineRule="auto"/>
        <w:ind w:left="360"/>
        <w:jc w:val="both"/>
        <w:rPr>
          <w:lang w:val="es-AR"/>
        </w:rPr>
      </w:pPr>
      <w:r w:rsidRPr="001C20A3">
        <w:rPr>
          <w:lang w:val="es-AR"/>
        </w:rPr>
        <w:t xml:space="preserve">Créditos y deudas: </w:t>
      </w:r>
    </w:p>
    <w:p w:rsidR="00465F72" w:rsidRDefault="00465F72" w:rsidP="00965F33">
      <w:pPr>
        <w:numPr>
          <w:ilvl w:val="0"/>
          <w:numId w:val="20"/>
        </w:numPr>
        <w:tabs>
          <w:tab w:val="clear" w:pos="360"/>
          <w:tab w:val="num" w:pos="720"/>
        </w:tabs>
        <w:spacing w:line="360" w:lineRule="auto"/>
        <w:ind w:left="720"/>
        <w:jc w:val="both"/>
        <w:rPr>
          <w:lang w:val="es-AR"/>
        </w:rPr>
      </w:pPr>
      <w:r w:rsidRPr="001C20A3">
        <w:rPr>
          <w:lang w:val="es-AR"/>
        </w:rPr>
        <w:t>En moneda local: en el caso de saldos por transacciones con partes independientes y por transacciones comerciales con partes relacionadas, se valuaron al valor actual de los flujos de fondos que originarán los mismos, descontados, en la medida que sus efectos fueran significativos, utilizando tasas implícitas, explícitas o de mercado, según corresponda, vigentes al momento de cada transacción. En el caso de saldos por transacciones no comerciales con partes relacionadas, se valuaron al valor nominal considerando los intereses devengados al cierre del ejercicio.</w:t>
      </w:r>
    </w:p>
    <w:p w:rsidR="00465F72" w:rsidRPr="001C20A3" w:rsidRDefault="00465F72" w:rsidP="00465F72">
      <w:pPr>
        <w:spacing w:line="360" w:lineRule="auto"/>
        <w:ind w:left="720"/>
        <w:jc w:val="both"/>
        <w:rPr>
          <w:lang w:val="es-AR"/>
        </w:rPr>
      </w:pPr>
    </w:p>
    <w:p w:rsidR="00465F72" w:rsidRPr="001C20A3" w:rsidRDefault="00465F72" w:rsidP="00965F33">
      <w:pPr>
        <w:numPr>
          <w:ilvl w:val="0"/>
          <w:numId w:val="20"/>
        </w:numPr>
        <w:tabs>
          <w:tab w:val="clear" w:pos="360"/>
          <w:tab w:val="num" w:pos="720"/>
        </w:tabs>
        <w:spacing w:line="360" w:lineRule="auto"/>
        <w:ind w:left="720"/>
        <w:jc w:val="both"/>
        <w:rPr>
          <w:szCs w:val="18"/>
          <w:lang w:val="es-AR"/>
        </w:rPr>
      </w:pPr>
      <w:r w:rsidRPr="001C20A3">
        <w:rPr>
          <w:lang w:val="es-AR"/>
        </w:rPr>
        <w:t>En moneda extranjera: se valuaron, conforme a los parámetros indicados en el párrafo precedente, calculando los valores actuales en moneda extranjera, en la medida que sus efectos fueran</w:t>
      </w:r>
      <w:r w:rsidRPr="001C20A3">
        <w:rPr>
          <w:szCs w:val="18"/>
          <w:lang w:val="es-AR"/>
        </w:rPr>
        <w:t xml:space="preserve"> significativos. Estos saldos fueron convertidos a moneda local al tipo de cambio vigente a la fecha de cierre del ejercicio aplicable para la liquidación de las respectivas operaciones. Las diferencias de cambio fueron imputadas al </w:t>
      </w:r>
      <w:r w:rsidRPr="000B0975">
        <w:rPr>
          <w:szCs w:val="18"/>
          <w:lang w:val="es-AR"/>
        </w:rPr>
        <w:t>resultado del ejercicio. El</w:t>
      </w:r>
      <w:r w:rsidRPr="001C20A3">
        <w:rPr>
          <w:szCs w:val="18"/>
          <w:lang w:val="es-AR"/>
        </w:rPr>
        <w:t xml:space="preserve"> detalle respectivo se expone en el Anexo G.</w:t>
      </w:r>
    </w:p>
    <w:p w:rsidR="00465F72" w:rsidRPr="001C20A3" w:rsidRDefault="00465F72" w:rsidP="00465F72">
      <w:pPr>
        <w:pStyle w:val="Prrafodelista"/>
        <w:rPr>
          <w:szCs w:val="18"/>
          <w:lang w:val="es-AR"/>
        </w:rPr>
      </w:pPr>
    </w:p>
    <w:p w:rsidR="00465F72" w:rsidRPr="001C20A3" w:rsidRDefault="00465F72" w:rsidP="00965F33">
      <w:pPr>
        <w:numPr>
          <w:ilvl w:val="0"/>
          <w:numId w:val="20"/>
        </w:numPr>
        <w:tabs>
          <w:tab w:val="clear" w:pos="360"/>
          <w:tab w:val="num" w:pos="720"/>
        </w:tabs>
        <w:spacing w:line="360" w:lineRule="auto"/>
        <w:ind w:left="720"/>
        <w:jc w:val="both"/>
        <w:rPr>
          <w:lang w:val="es-AR"/>
        </w:rPr>
      </w:pPr>
      <w:r w:rsidRPr="001C20A3">
        <w:rPr>
          <w:lang w:val="es-AR"/>
        </w:rPr>
        <w:t>Pasivos por costos laborales: los pasivos por cos</w:t>
      </w:r>
      <w:r>
        <w:rPr>
          <w:lang w:val="es-AR"/>
        </w:rPr>
        <w:t xml:space="preserve">tos laborales se devengan en el ejercicio </w:t>
      </w:r>
      <w:r w:rsidRPr="001C20A3">
        <w:rPr>
          <w:lang w:val="es-AR"/>
        </w:rPr>
        <w:t>en los cuales los empleados hayan prestado el servicio que da origen a tales contraprestaciones.</w:t>
      </w:r>
    </w:p>
    <w:p w:rsidR="00465F72" w:rsidRPr="001C20A3" w:rsidRDefault="00465F72" w:rsidP="00465F72">
      <w:pPr>
        <w:spacing w:line="360" w:lineRule="auto"/>
        <w:jc w:val="both"/>
        <w:rPr>
          <w:b/>
          <w:lang w:val="es-AR"/>
        </w:rPr>
      </w:pPr>
    </w:p>
    <w:p w:rsidR="00465F72" w:rsidRPr="001C20A3" w:rsidRDefault="00465F72" w:rsidP="00965F33">
      <w:pPr>
        <w:numPr>
          <w:ilvl w:val="0"/>
          <w:numId w:val="20"/>
        </w:numPr>
        <w:tabs>
          <w:tab w:val="clear" w:pos="360"/>
          <w:tab w:val="num" w:pos="720"/>
        </w:tabs>
        <w:spacing w:line="360" w:lineRule="auto"/>
        <w:ind w:left="720"/>
        <w:jc w:val="both"/>
        <w:rPr>
          <w:b/>
          <w:u w:val="single"/>
          <w:lang w:val="es-AR"/>
        </w:rPr>
      </w:pPr>
      <w:r w:rsidRPr="001C20A3">
        <w:rPr>
          <w:lang w:val="es-AR"/>
        </w:rPr>
        <w:t>Valor corriente de créditos y deudas: la Dirección de la Sociedad estima que el valor corriente de los mismos al cierre del ejercicio, no difiere significativamente de su valor de libros a esas fechas.</w:t>
      </w:r>
    </w:p>
    <w:p w:rsidR="00465F72" w:rsidRPr="001C20A3" w:rsidRDefault="00465F72" w:rsidP="00465F72">
      <w:pPr>
        <w:spacing w:line="360" w:lineRule="auto"/>
        <w:ind w:left="720"/>
        <w:jc w:val="both"/>
        <w:rPr>
          <w:b/>
          <w:u w:val="single"/>
          <w:lang w:val="es-AR"/>
        </w:rPr>
      </w:pPr>
    </w:p>
    <w:p w:rsidR="00465F72" w:rsidRPr="001C20A3" w:rsidRDefault="00465F72" w:rsidP="00965F33">
      <w:pPr>
        <w:numPr>
          <w:ilvl w:val="0"/>
          <w:numId w:val="21"/>
        </w:numPr>
        <w:spacing w:line="360" w:lineRule="auto"/>
        <w:ind w:left="360"/>
        <w:jc w:val="both"/>
        <w:rPr>
          <w:lang w:val="es-AR"/>
        </w:rPr>
      </w:pPr>
      <w:r w:rsidRPr="001C20A3">
        <w:rPr>
          <w:lang w:val="es-AR"/>
        </w:rPr>
        <w:t>Bienes de cambio:</w:t>
      </w:r>
    </w:p>
    <w:p w:rsidR="00465F72" w:rsidRPr="00C125C5" w:rsidRDefault="00465F72" w:rsidP="00965F33">
      <w:pPr>
        <w:numPr>
          <w:ilvl w:val="0"/>
          <w:numId w:val="22"/>
        </w:numPr>
        <w:spacing w:line="360" w:lineRule="auto"/>
        <w:jc w:val="both"/>
        <w:rPr>
          <w:b/>
          <w:lang w:val="es-AR"/>
        </w:rPr>
      </w:pPr>
      <w:r w:rsidRPr="001C20A3">
        <w:rPr>
          <w:lang w:val="es-AR"/>
        </w:rPr>
        <w:t xml:space="preserve">Las mercaderías de reventa fueron valuadas a su costo de reposición al cierre del </w:t>
      </w:r>
      <w:r w:rsidRPr="00C125C5">
        <w:rPr>
          <w:lang w:val="es-AR"/>
        </w:rPr>
        <w:t>ejercicio considerando los precios de contado para los volúmenes habituales de compra. Asimismo, para los bienes importados se han considerado los costos de reposición en moneda extranjera, siendo convertidos al tipo de cambio vigente al cierre del ejercicio, aplicable para la liquidación de estas operaciones.</w:t>
      </w:r>
    </w:p>
    <w:p w:rsidR="00465F72" w:rsidRPr="001C20A3" w:rsidRDefault="00465F72" w:rsidP="00465F72">
      <w:pPr>
        <w:spacing w:line="360" w:lineRule="auto"/>
        <w:ind w:left="720"/>
        <w:jc w:val="both"/>
        <w:rPr>
          <w:b/>
          <w:sz w:val="10"/>
          <w:szCs w:val="10"/>
          <w:lang w:val="es-AR"/>
        </w:rPr>
      </w:pPr>
    </w:p>
    <w:p w:rsidR="00465F72" w:rsidRPr="001C20A3" w:rsidRDefault="00465F72" w:rsidP="00965F33">
      <w:pPr>
        <w:numPr>
          <w:ilvl w:val="0"/>
          <w:numId w:val="22"/>
        </w:numPr>
        <w:spacing w:line="360" w:lineRule="auto"/>
        <w:jc w:val="both"/>
        <w:rPr>
          <w:lang w:val="es-AR"/>
        </w:rPr>
      </w:pPr>
      <w:r w:rsidRPr="001C20A3">
        <w:rPr>
          <w:lang w:val="es-AR"/>
        </w:rPr>
        <w:t>Los anticipos a proveedores se valúan según la metodología descripta para los créditos y deudas.</w:t>
      </w:r>
    </w:p>
    <w:p w:rsidR="00465F72" w:rsidRPr="001C20A3" w:rsidRDefault="00465F72" w:rsidP="00465F72">
      <w:pPr>
        <w:spacing w:line="360" w:lineRule="auto"/>
        <w:jc w:val="both"/>
        <w:rPr>
          <w:sz w:val="16"/>
          <w:szCs w:val="16"/>
          <w:lang w:val="es-AR"/>
        </w:rPr>
      </w:pPr>
    </w:p>
    <w:p w:rsidR="00465F72" w:rsidRPr="003A20CC" w:rsidRDefault="00465F72" w:rsidP="00965F33">
      <w:pPr>
        <w:numPr>
          <w:ilvl w:val="0"/>
          <w:numId w:val="22"/>
        </w:numPr>
        <w:spacing w:line="360" w:lineRule="auto"/>
        <w:jc w:val="both"/>
        <w:rPr>
          <w:b/>
          <w:lang w:val="es-AR"/>
        </w:rPr>
      </w:pPr>
      <w:r w:rsidRPr="001C20A3">
        <w:rPr>
          <w:lang w:val="es-AR"/>
        </w:rPr>
        <w:t>El valor de los bienes de cambio así determinado al cierre del ejercicio, y luego de considerar la previsión para desvalorización y obsolescencia correspondiente, no supera su valor recuperable a las fechas respectivas.</w:t>
      </w:r>
    </w:p>
    <w:p w:rsidR="003A20CC" w:rsidRPr="003A20CC" w:rsidRDefault="003A20CC" w:rsidP="003A20CC">
      <w:pPr>
        <w:spacing w:line="360" w:lineRule="auto"/>
        <w:ind w:left="360"/>
        <w:jc w:val="both"/>
        <w:rPr>
          <w:lang w:val="es-AR"/>
        </w:rPr>
      </w:pPr>
    </w:p>
    <w:p w:rsidR="003A20CC" w:rsidRPr="003A20CC" w:rsidRDefault="003A20CC" w:rsidP="003A20CC">
      <w:pPr>
        <w:numPr>
          <w:ilvl w:val="0"/>
          <w:numId w:val="21"/>
        </w:numPr>
        <w:spacing w:line="360" w:lineRule="auto"/>
        <w:ind w:left="360"/>
        <w:jc w:val="both"/>
        <w:rPr>
          <w:lang w:val="es-AR"/>
        </w:rPr>
      </w:pPr>
      <w:r w:rsidRPr="003A20CC">
        <w:rPr>
          <w:lang w:val="es-AR"/>
        </w:rPr>
        <w:t>Participaciones permanentes en sociedades</w:t>
      </w:r>
    </w:p>
    <w:p w:rsidR="003A20CC" w:rsidRPr="0030645E" w:rsidRDefault="003A20CC" w:rsidP="003A20CC">
      <w:pPr>
        <w:spacing w:line="360" w:lineRule="auto"/>
        <w:ind w:left="709"/>
        <w:jc w:val="both"/>
        <w:rPr>
          <w:szCs w:val="18"/>
          <w:lang w:val="es-AR"/>
        </w:rPr>
      </w:pPr>
      <w:r w:rsidRPr="0030645E">
        <w:rPr>
          <w:szCs w:val="18"/>
          <w:lang w:val="es-AR"/>
        </w:rPr>
        <w:t>Se compone de:</w:t>
      </w:r>
    </w:p>
    <w:p w:rsidR="003A20CC" w:rsidRDefault="003A20CC" w:rsidP="003A20CC">
      <w:pPr>
        <w:numPr>
          <w:ilvl w:val="0"/>
          <w:numId w:val="38"/>
        </w:numPr>
        <w:spacing w:line="360" w:lineRule="auto"/>
        <w:ind w:left="1276"/>
        <w:jc w:val="both"/>
        <w:rPr>
          <w:szCs w:val="18"/>
          <w:lang w:val="es-AR"/>
        </w:rPr>
      </w:pPr>
      <w:proofErr w:type="spellStart"/>
      <w:r>
        <w:rPr>
          <w:szCs w:val="18"/>
          <w:lang w:val="es-AR"/>
        </w:rPr>
        <w:t>Famar</w:t>
      </w:r>
      <w:proofErr w:type="spellEnd"/>
      <w:r>
        <w:rPr>
          <w:szCs w:val="18"/>
          <w:lang w:val="es-AR"/>
        </w:rPr>
        <w:t xml:space="preserve"> Fueguina S.A.</w:t>
      </w:r>
      <w:r w:rsidRPr="009E46DB">
        <w:rPr>
          <w:szCs w:val="18"/>
          <w:lang w:val="es-AR"/>
        </w:rPr>
        <w:t>: es</w:t>
      </w:r>
      <w:r>
        <w:rPr>
          <w:szCs w:val="18"/>
          <w:lang w:val="es-AR"/>
        </w:rPr>
        <w:t xml:space="preserve"> una sociedad constituida en la ciudad de Rio Grande</w:t>
      </w:r>
      <w:r w:rsidRPr="009E46DB">
        <w:rPr>
          <w:szCs w:val="18"/>
          <w:lang w:val="es-AR"/>
        </w:rPr>
        <w:t xml:space="preserve">. La participación en el capital de dicha sociedad asciende al 2%. </w:t>
      </w:r>
    </w:p>
    <w:p w:rsidR="003A20CC" w:rsidRDefault="003A20CC" w:rsidP="003A20CC">
      <w:pPr>
        <w:spacing w:line="360" w:lineRule="auto"/>
        <w:ind w:left="1276"/>
        <w:jc w:val="both"/>
        <w:rPr>
          <w:szCs w:val="18"/>
          <w:lang w:val="es-AR"/>
        </w:rPr>
      </w:pPr>
    </w:p>
    <w:p w:rsidR="003A20CC" w:rsidRDefault="003A20CC" w:rsidP="003A20CC">
      <w:pPr>
        <w:spacing w:line="360" w:lineRule="auto"/>
        <w:ind w:left="709"/>
        <w:jc w:val="both"/>
        <w:rPr>
          <w:szCs w:val="18"/>
          <w:lang w:val="es-AR"/>
        </w:rPr>
      </w:pPr>
      <w:r>
        <w:rPr>
          <w:szCs w:val="18"/>
          <w:lang w:val="es-AR"/>
        </w:rPr>
        <w:t>La valuación de las inversiones se ha determinado en base al valor patrimonial proporcional, de acuerdo con lo establecido por la RT N° 21 de la FACPCE, calculados en base a los estados contables de las sociedades al 31 de diciembre de 2019 y 2018, los cuales incluyen un informe de los auditores sin salvedades.</w:t>
      </w:r>
    </w:p>
    <w:p w:rsidR="003A20CC" w:rsidRPr="009E46DB" w:rsidRDefault="003A20CC" w:rsidP="003A20CC">
      <w:pPr>
        <w:spacing w:line="360" w:lineRule="auto"/>
        <w:ind w:left="709"/>
        <w:jc w:val="both"/>
        <w:rPr>
          <w:szCs w:val="18"/>
          <w:lang w:val="es-AR"/>
        </w:rPr>
      </w:pPr>
    </w:p>
    <w:p w:rsidR="003A20CC" w:rsidRDefault="003A20CC" w:rsidP="003A20CC">
      <w:pPr>
        <w:spacing w:line="360" w:lineRule="auto"/>
        <w:ind w:left="709"/>
        <w:jc w:val="both"/>
        <w:rPr>
          <w:szCs w:val="18"/>
          <w:lang w:val="es-AR"/>
        </w:rPr>
      </w:pPr>
      <w:r w:rsidRPr="0030645E">
        <w:rPr>
          <w:szCs w:val="18"/>
          <w:lang w:val="es-AR"/>
        </w:rPr>
        <w:t>El detalle de las inversiones se incluye en el Anexo C. La Sociedad no ha tomado conocimiento de hechos posteriores que modifiquen la situación patrimonial, financiera o resultados a las fechas respectivas, que tengan un impacto significativo presente o futuro en la valuación de las inversiones.</w:t>
      </w:r>
    </w:p>
    <w:p w:rsidR="003A20CC" w:rsidRDefault="003A20CC" w:rsidP="003A20CC">
      <w:pPr>
        <w:spacing w:line="360" w:lineRule="auto"/>
        <w:ind w:left="709"/>
        <w:jc w:val="both"/>
        <w:rPr>
          <w:szCs w:val="18"/>
          <w:lang w:val="es-AR"/>
        </w:rPr>
      </w:pPr>
    </w:p>
    <w:p w:rsidR="003A20CC" w:rsidRDefault="003A20CC" w:rsidP="003A20CC">
      <w:pPr>
        <w:spacing w:line="360" w:lineRule="auto"/>
        <w:ind w:left="709"/>
        <w:jc w:val="both"/>
        <w:rPr>
          <w:szCs w:val="18"/>
          <w:lang w:val="es-AR"/>
        </w:rPr>
      </w:pPr>
      <w:r>
        <w:rPr>
          <w:szCs w:val="18"/>
          <w:lang w:val="es-AR"/>
        </w:rPr>
        <w:t>Para determinar el valor patrimonial proporcional, se han eliminado las participaciones reciprocas entre sociedades. Por la aplicación de este criterio se ha considerado una participación del 2% sobre el resultado de la sociedad neto del resultado reciproco.</w:t>
      </w:r>
    </w:p>
    <w:p w:rsidR="00465F72" w:rsidRPr="001C20A3" w:rsidRDefault="00465F72" w:rsidP="00465F72">
      <w:pPr>
        <w:spacing w:line="360" w:lineRule="auto"/>
        <w:jc w:val="both"/>
        <w:rPr>
          <w:b/>
          <w:lang w:val="es-AR"/>
        </w:rPr>
      </w:pPr>
    </w:p>
    <w:p w:rsidR="00465F72" w:rsidRPr="001C20A3" w:rsidRDefault="005D38CE" w:rsidP="00965F33">
      <w:pPr>
        <w:numPr>
          <w:ilvl w:val="0"/>
          <w:numId w:val="21"/>
        </w:numPr>
        <w:spacing w:line="360" w:lineRule="auto"/>
        <w:ind w:left="360"/>
        <w:jc w:val="both"/>
        <w:rPr>
          <w:szCs w:val="18"/>
          <w:lang w:val="es-AR"/>
        </w:rPr>
      </w:pPr>
      <w:r>
        <w:rPr>
          <w:szCs w:val="18"/>
          <w:lang w:val="es-AR"/>
        </w:rPr>
        <w:t>Bienes de uso</w:t>
      </w:r>
      <w:r w:rsidR="00465F72" w:rsidRPr="001C20A3">
        <w:rPr>
          <w:szCs w:val="18"/>
          <w:lang w:val="es-AR"/>
        </w:rPr>
        <w:t>:</w:t>
      </w:r>
    </w:p>
    <w:p w:rsidR="00465F72" w:rsidRPr="001C20A3" w:rsidRDefault="00465F72" w:rsidP="00965F33">
      <w:pPr>
        <w:numPr>
          <w:ilvl w:val="0"/>
          <w:numId w:val="27"/>
        </w:numPr>
        <w:spacing w:line="360" w:lineRule="auto"/>
        <w:jc w:val="both"/>
        <w:rPr>
          <w:lang w:val="es-AR"/>
        </w:rPr>
      </w:pPr>
      <w:r w:rsidRPr="001C20A3">
        <w:rPr>
          <w:lang w:val="es-AR"/>
        </w:rPr>
        <w:t>Los bienes de uso se valuaron a su costo de adquisición, neto de las depreciaciones y amortizaciones</w:t>
      </w:r>
      <w:r>
        <w:rPr>
          <w:lang w:val="es-AR"/>
        </w:rPr>
        <w:t xml:space="preserve"> </w:t>
      </w:r>
      <w:proofErr w:type="spellStart"/>
      <w:r>
        <w:rPr>
          <w:lang w:val="es-AR"/>
        </w:rPr>
        <w:t>reexpresado</w:t>
      </w:r>
      <w:proofErr w:type="spellEnd"/>
      <w:r>
        <w:rPr>
          <w:lang w:val="es-AR"/>
        </w:rPr>
        <w:t xml:space="preserve"> en moneda </w:t>
      </w:r>
      <w:proofErr w:type="spellStart"/>
      <w:r>
        <w:rPr>
          <w:lang w:val="es-AR"/>
        </w:rPr>
        <w:t>homogenea</w:t>
      </w:r>
      <w:proofErr w:type="spellEnd"/>
      <w:r>
        <w:rPr>
          <w:lang w:val="es-AR"/>
        </w:rPr>
        <w:t>, según lo establecido en (Nota 2.b)</w:t>
      </w:r>
      <w:r w:rsidRPr="001C20A3">
        <w:rPr>
          <w:lang w:val="es-AR"/>
        </w:rPr>
        <w:t>, acumuladas hasta la finalización del ejercicio.</w:t>
      </w:r>
    </w:p>
    <w:p w:rsidR="00465F72" w:rsidRPr="001C20A3" w:rsidRDefault="00465F72" w:rsidP="00465F72">
      <w:pPr>
        <w:spacing w:line="360" w:lineRule="auto"/>
        <w:ind w:left="720"/>
        <w:jc w:val="both"/>
        <w:rPr>
          <w:lang w:val="es-AR"/>
        </w:rPr>
      </w:pPr>
    </w:p>
    <w:p w:rsidR="00465F72" w:rsidRPr="001C20A3" w:rsidRDefault="00465F72" w:rsidP="00965F33">
      <w:pPr>
        <w:numPr>
          <w:ilvl w:val="0"/>
          <w:numId w:val="27"/>
        </w:numPr>
        <w:spacing w:line="360" w:lineRule="auto"/>
        <w:jc w:val="both"/>
        <w:rPr>
          <w:b/>
          <w:u w:val="single"/>
          <w:lang w:val="es-AR"/>
        </w:rPr>
      </w:pPr>
      <w:r w:rsidRPr="001C20A3">
        <w:rPr>
          <w:lang w:val="es-AR"/>
        </w:rPr>
        <w:t>Las depreciaciones y amortizaciones son calculadas por el método de la línea recta</w:t>
      </w:r>
      <w:r>
        <w:rPr>
          <w:lang w:val="es-AR"/>
        </w:rPr>
        <w:t xml:space="preserve"> </w:t>
      </w:r>
      <w:proofErr w:type="spellStart"/>
      <w:r>
        <w:rPr>
          <w:lang w:val="es-AR"/>
        </w:rPr>
        <w:t>reexpresado</w:t>
      </w:r>
      <w:proofErr w:type="spellEnd"/>
      <w:r>
        <w:rPr>
          <w:lang w:val="es-AR"/>
        </w:rPr>
        <w:t xml:space="preserve"> en moneda homogénea</w:t>
      </w:r>
      <w:r w:rsidRPr="001C20A3">
        <w:rPr>
          <w:lang w:val="es-AR"/>
        </w:rPr>
        <w:t>, aplicando tasas anuales suficientes para extinguir el valor de libros de estos bienes al final de su vida útil estimada.</w:t>
      </w:r>
    </w:p>
    <w:p w:rsidR="00465F72" w:rsidRPr="001C20A3" w:rsidRDefault="00465F72" w:rsidP="00465F72">
      <w:pPr>
        <w:spacing w:line="360" w:lineRule="auto"/>
        <w:ind w:left="720"/>
        <w:jc w:val="both"/>
        <w:rPr>
          <w:b/>
          <w:u w:val="single"/>
          <w:lang w:val="es-AR"/>
        </w:rPr>
      </w:pPr>
    </w:p>
    <w:p w:rsidR="00465F72" w:rsidRPr="001C20A3" w:rsidRDefault="00465F72" w:rsidP="00965F33">
      <w:pPr>
        <w:numPr>
          <w:ilvl w:val="0"/>
          <w:numId w:val="27"/>
        </w:numPr>
        <w:spacing w:line="360" w:lineRule="auto"/>
        <w:jc w:val="both"/>
        <w:rPr>
          <w:lang w:val="es-AR"/>
        </w:rPr>
      </w:pPr>
      <w:r w:rsidRPr="001C20A3">
        <w:rPr>
          <w:lang w:val="es-AR"/>
        </w:rPr>
        <w:t xml:space="preserve">La valuación de estos bienes se revisa para verificar si ha sufrido alguna desvalorización, cuando existe algún indicio que el valor libros de los mismos podría exceder su valor recuperable. Las pérdidas o </w:t>
      </w:r>
      <w:proofErr w:type="spellStart"/>
      <w:r w:rsidRPr="001C20A3">
        <w:rPr>
          <w:lang w:val="es-AR"/>
        </w:rPr>
        <w:t>recuperos</w:t>
      </w:r>
      <w:proofErr w:type="spellEnd"/>
      <w:r w:rsidRPr="001C20A3">
        <w:rPr>
          <w:lang w:val="es-AR"/>
        </w:rPr>
        <w:t xml:space="preserve"> por desvalorización se reconocen en los resultados financieros y por tenencia del estado de resultados.</w:t>
      </w:r>
    </w:p>
    <w:p w:rsidR="00465F72" w:rsidRPr="001C20A3" w:rsidRDefault="00465F72" w:rsidP="00465F72">
      <w:pPr>
        <w:spacing w:line="360" w:lineRule="auto"/>
        <w:jc w:val="both"/>
        <w:rPr>
          <w:lang w:val="es-AR"/>
        </w:rPr>
      </w:pPr>
    </w:p>
    <w:p w:rsidR="00465F72" w:rsidRPr="001C20A3" w:rsidRDefault="00465F72" w:rsidP="00965F33">
      <w:pPr>
        <w:numPr>
          <w:ilvl w:val="0"/>
          <w:numId w:val="27"/>
        </w:numPr>
        <w:spacing w:line="360" w:lineRule="auto"/>
        <w:jc w:val="both"/>
        <w:rPr>
          <w:lang w:val="es-AR"/>
        </w:rPr>
      </w:pPr>
      <w:r w:rsidRPr="001C20A3">
        <w:rPr>
          <w:lang w:val="es-AR"/>
        </w:rPr>
        <w:t>El valor de libros de estos bienes, considerado a nivel de actividad generadora de efectivo, no supera su valor recuperable.</w:t>
      </w:r>
    </w:p>
    <w:p w:rsidR="00465F72" w:rsidRPr="001C20A3" w:rsidRDefault="00465F72" w:rsidP="00465F72">
      <w:pPr>
        <w:spacing w:line="360" w:lineRule="auto"/>
        <w:jc w:val="both"/>
        <w:rPr>
          <w:sz w:val="14"/>
          <w:szCs w:val="14"/>
          <w:lang w:val="es-AR"/>
        </w:rPr>
      </w:pPr>
    </w:p>
    <w:p w:rsidR="00465F72" w:rsidRPr="00906321" w:rsidRDefault="00465F72" w:rsidP="00965F33">
      <w:pPr>
        <w:numPr>
          <w:ilvl w:val="0"/>
          <w:numId w:val="27"/>
        </w:numPr>
        <w:spacing w:line="360" w:lineRule="auto"/>
        <w:jc w:val="both"/>
        <w:rPr>
          <w:lang w:val="es-AR"/>
        </w:rPr>
      </w:pPr>
      <w:r w:rsidRPr="001C20A3">
        <w:rPr>
          <w:lang w:val="es-AR"/>
        </w:rPr>
        <w:t>La evolución de estos bien</w:t>
      </w:r>
      <w:r w:rsidR="005D38CE">
        <w:rPr>
          <w:lang w:val="es-AR"/>
        </w:rPr>
        <w:t>es se expone en los Anexos A</w:t>
      </w:r>
      <w:r w:rsidRPr="001C20A3">
        <w:rPr>
          <w:lang w:val="es-AR"/>
        </w:rPr>
        <w:t>.</w:t>
      </w:r>
    </w:p>
    <w:p w:rsidR="00F15851" w:rsidRDefault="00F15851">
      <w:pPr>
        <w:rPr>
          <w:szCs w:val="18"/>
          <w:lang w:val="es-AR"/>
        </w:rPr>
      </w:pPr>
      <w:r>
        <w:rPr>
          <w:szCs w:val="18"/>
          <w:lang w:val="es-AR"/>
        </w:rPr>
        <w:br w:type="page"/>
      </w:r>
    </w:p>
    <w:p w:rsidR="0008337C" w:rsidRDefault="0008337C" w:rsidP="0008337C">
      <w:pPr>
        <w:spacing w:line="360" w:lineRule="auto"/>
        <w:ind w:left="360"/>
        <w:jc w:val="both"/>
        <w:rPr>
          <w:szCs w:val="18"/>
          <w:lang w:val="es-AR"/>
        </w:rPr>
      </w:pPr>
    </w:p>
    <w:p w:rsidR="00465F72" w:rsidRPr="001D33CB" w:rsidRDefault="00465F72" w:rsidP="00965F33">
      <w:pPr>
        <w:numPr>
          <w:ilvl w:val="0"/>
          <w:numId w:val="21"/>
        </w:numPr>
        <w:spacing w:line="360" w:lineRule="auto"/>
        <w:ind w:left="360"/>
        <w:jc w:val="both"/>
        <w:rPr>
          <w:szCs w:val="18"/>
          <w:lang w:val="es-AR"/>
        </w:rPr>
      </w:pPr>
      <w:r w:rsidRPr="001D33CB">
        <w:rPr>
          <w:szCs w:val="18"/>
          <w:lang w:val="es-AR"/>
        </w:rPr>
        <w:t>Previsiones:</w:t>
      </w:r>
    </w:p>
    <w:p w:rsidR="00465F72" w:rsidRPr="00F95841" w:rsidRDefault="00465F72" w:rsidP="00965F33">
      <w:pPr>
        <w:numPr>
          <w:ilvl w:val="0"/>
          <w:numId w:val="26"/>
        </w:numPr>
        <w:spacing w:line="360" w:lineRule="auto"/>
        <w:jc w:val="both"/>
        <w:rPr>
          <w:lang w:val="es-AR"/>
        </w:rPr>
      </w:pPr>
      <w:r>
        <w:rPr>
          <w:szCs w:val="18"/>
          <w:lang w:val="es-AR"/>
        </w:rPr>
        <w:t>D</w:t>
      </w:r>
      <w:r w:rsidRPr="001C20A3">
        <w:rPr>
          <w:szCs w:val="18"/>
          <w:lang w:val="es-AR"/>
        </w:rPr>
        <w:t>educidas del activo:</w:t>
      </w:r>
    </w:p>
    <w:p w:rsidR="00465F72" w:rsidRPr="001C20A3" w:rsidRDefault="00465F72" w:rsidP="00465F72">
      <w:pPr>
        <w:spacing w:line="360" w:lineRule="auto"/>
        <w:ind w:left="709"/>
        <w:jc w:val="both"/>
        <w:rPr>
          <w:lang w:val="es-AR"/>
        </w:rPr>
      </w:pPr>
      <w:r w:rsidRPr="001C20A3">
        <w:rPr>
          <w:lang w:val="es-AR"/>
        </w:rPr>
        <w:t>Para desvalorización y obsolescencia de bienes de cambio: se ha constituido para reducir el valor de ciertas existencias de mercadería de reventa obsoletos y de lenta rotación a su valor probable de recupero determinado sobre un análisis individ</w:t>
      </w:r>
      <w:r>
        <w:rPr>
          <w:lang w:val="es-AR"/>
        </w:rPr>
        <w:t>ual de los mismos al cierre del</w:t>
      </w:r>
      <w:r w:rsidRPr="001C20A3">
        <w:rPr>
          <w:lang w:val="es-AR"/>
        </w:rPr>
        <w:t xml:space="preserve"> ejercicio. </w:t>
      </w:r>
    </w:p>
    <w:p w:rsidR="00465F72" w:rsidRPr="001C20A3" w:rsidRDefault="00465F72" w:rsidP="00465F72">
      <w:pPr>
        <w:spacing w:line="360" w:lineRule="auto"/>
        <w:ind w:left="709"/>
        <w:jc w:val="both"/>
        <w:rPr>
          <w:lang w:val="es-AR"/>
        </w:rPr>
      </w:pPr>
    </w:p>
    <w:p w:rsidR="00465F72" w:rsidRPr="001C20A3" w:rsidRDefault="00465F72" w:rsidP="00465F72">
      <w:pPr>
        <w:spacing w:line="360" w:lineRule="auto"/>
        <w:ind w:firstLine="360"/>
        <w:jc w:val="both"/>
        <w:rPr>
          <w:szCs w:val="18"/>
          <w:lang w:val="es-AR"/>
        </w:rPr>
      </w:pPr>
      <w:r w:rsidRPr="001C20A3">
        <w:rPr>
          <w:lang w:val="es-AR"/>
        </w:rPr>
        <w:t>El detalle de las previsiones se expone en el Anexo E.</w:t>
      </w:r>
    </w:p>
    <w:p w:rsidR="00465F72" w:rsidRPr="001C20A3" w:rsidRDefault="00465F72" w:rsidP="00465F72">
      <w:pPr>
        <w:pStyle w:val="Prrafodelista"/>
        <w:rPr>
          <w:lang w:val="es-AR"/>
        </w:rPr>
      </w:pPr>
    </w:p>
    <w:p w:rsidR="00465F72" w:rsidRPr="001A34E5" w:rsidRDefault="00465F72" w:rsidP="00965F33">
      <w:pPr>
        <w:numPr>
          <w:ilvl w:val="0"/>
          <w:numId w:val="21"/>
        </w:numPr>
        <w:spacing w:line="360" w:lineRule="auto"/>
        <w:ind w:left="360"/>
        <w:jc w:val="both"/>
      </w:pPr>
      <w:r w:rsidRPr="00D71053">
        <w:rPr>
          <w:szCs w:val="18"/>
          <w:lang w:val="es-AR"/>
        </w:rPr>
        <w:t>Cuentas de patrimonio neto:</w:t>
      </w:r>
    </w:p>
    <w:p w:rsidR="00465F72" w:rsidRPr="001C20A3" w:rsidRDefault="00465F72" w:rsidP="00965F33">
      <w:pPr>
        <w:numPr>
          <w:ilvl w:val="0"/>
          <w:numId w:val="23"/>
        </w:numPr>
        <w:autoSpaceDE w:val="0"/>
        <w:autoSpaceDN w:val="0"/>
        <w:adjustRightInd w:val="0"/>
        <w:spacing w:line="360" w:lineRule="auto"/>
        <w:jc w:val="both"/>
        <w:rPr>
          <w:szCs w:val="18"/>
          <w:lang w:val="es-AR"/>
        </w:rPr>
      </w:pPr>
      <w:r w:rsidRPr="001C20A3">
        <w:rPr>
          <w:szCs w:val="18"/>
          <w:lang w:val="es-AR"/>
        </w:rPr>
        <w:t>Se encuent</w:t>
      </w:r>
      <w:r>
        <w:rPr>
          <w:szCs w:val="18"/>
          <w:lang w:val="es-AR"/>
        </w:rPr>
        <w:t xml:space="preserve">ran valuadas a su valor nominal </w:t>
      </w:r>
      <w:proofErr w:type="spellStart"/>
      <w:r>
        <w:rPr>
          <w:szCs w:val="18"/>
          <w:lang w:val="es-AR"/>
        </w:rPr>
        <w:t>reexpresado</w:t>
      </w:r>
      <w:proofErr w:type="spellEnd"/>
      <w:r>
        <w:rPr>
          <w:szCs w:val="18"/>
          <w:lang w:val="es-AR"/>
        </w:rPr>
        <w:t xml:space="preserve"> en moneda homogénea de acuerdo con lo establecido en la (Nota 2.b)</w:t>
      </w:r>
    </w:p>
    <w:p w:rsidR="00465F72" w:rsidRPr="001C20A3" w:rsidRDefault="00465F72" w:rsidP="00465F72">
      <w:pPr>
        <w:pStyle w:val="Prrafodelista"/>
        <w:rPr>
          <w:lang w:val="es-AR"/>
        </w:rPr>
      </w:pPr>
    </w:p>
    <w:p w:rsidR="00465F72" w:rsidRPr="001A34E5" w:rsidRDefault="00465F72" w:rsidP="00965F33">
      <w:pPr>
        <w:numPr>
          <w:ilvl w:val="0"/>
          <w:numId w:val="21"/>
        </w:numPr>
        <w:spacing w:line="360" w:lineRule="auto"/>
        <w:ind w:left="360"/>
        <w:jc w:val="both"/>
      </w:pPr>
      <w:bookmarkStart w:id="5" w:name="OLE_LINK3"/>
      <w:r w:rsidRPr="00D71053">
        <w:rPr>
          <w:szCs w:val="18"/>
          <w:lang w:val="es-AR"/>
        </w:rPr>
        <w:t>Cuentas de resultados:</w:t>
      </w:r>
    </w:p>
    <w:bookmarkEnd w:id="5"/>
    <w:p w:rsidR="00465F72" w:rsidRPr="002759C9" w:rsidRDefault="00465F72" w:rsidP="00965F33">
      <w:pPr>
        <w:numPr>
          <w:ilvl w:val="0"/>
          <w:numId w:val="24"/>
        </w:numPr>
        <w:autoSpaceDE w:val="0"/>
        <w:autoSpaceDN w:val="0"/>
        <w:adjustRightInd w:val="0"/>
        <w:spacing w:line="360" w:lineRule="auto"/>
        <w:jc w:val="both"/>
        <w:rPr>
          <w:szCs w:val="18"/>
          <w:lang w:val="es-AR"/>
        </w:rPr>
      </w:pPr>
      <w:r w:rsidRPr="001C20A3">
        <w:rPr>
          <w:lang w:val="es-AR"/>
        </w:rPr>
        <w:t>Las cuentas que</w:t>
      </w:r>
      <w:r>
        <w:rPr>
          <w:lang w:val="es-AR"/>
        </w:rPr>
        <w:t xml:space="preserve"> acumulan operaciones</w:t>
      </w:r>
      <w:r w:rsidRPr="001C20A3">
        <w:rPr>
          <w:lang w:val="es-AR"/>
        </w:rPr>
        <w:t xml:space="preserve"> se encuent</w:t>
      </w:r>
      <w:r>
        <w:rPr>
          <w:lang w:val="es-AR"/>
        </w:rPr>
        <w:t xml:space="preserve">ran valuadas a su valor nominal, </w:t>
      </w:r>
      <w:proofErr w:type="spellStart"/>
      <w:r>
        <w:rPr>
          <w:lang w:val="es-AR"/>
        </w:rPr>
        <w:t>reexpresado</w:t>
      </w:r>
      <w:proofErr w:type="spellEnd"/>
      <w:r>
        <w:rPr>
          <w:lang w:val="es-AR"/>
        </w:rPr>
        <w:t xml:space="preserve"> en moneda homogénea.</w:t>
      </w:r>
    </w:p>
    <w:p w:rsidR="00465F72" w:rsidRPr="001A34E5" w:rsidRDefault="00465F72" w:rsidP="00465F72">
      <w:pPr>
        <w:pStyle w:val="Prrafodelista"/>
      </w:pPr>
    </w:p>
    <w:p w:rsidR="00465F72" w:rsidRDefault="00465F72" w:rsidP="00965F33">
      <w:pPr>
        <w:numPr>
          <w:ilvl w:val="0"/>
          <w:numId w:val="24"/>
        </w:numPr>
        <w:autoSpaceDE w:val="0"/>
        <w:autoSpaceDN w:val="0"/>
        <w:adjustRightInd w:val="0"/>
        <w:spacing w:line="360" w:lineRule="auto"/>
        <w:jc w:val="both"/>
        <w:rPr>
          <w:szCs w:val="18"/>
          <w:lang w:val="es-AR"/>
        </w:rPr>
      </w:pPr>
      <w:r w:rsidRPr="001C20A3">
        <w:rPr>
          <w:szCs w:val="18"/>
          <w:lang w:val="es-AR"/>
        </w:rPr>
        <w:t>Las depreciaciones de los bienes de uso y las amortizaciones de activos intangibles fueron calculadas sobre el v</w:t>
      </w:r>
      <w:r>
        <w:rPr>
          <w:szCs w:val="18"/>
          <w:lang w:val="es-AR"/>
        </w:rPr>
        <w:t>alor de los activos respectivos, reexpresados en moneda homogénea.</w:t>
      </w:r>
    </w:p>
    <w:p w:rsidR="00465F72" w:rsidRDefault="00465F72" w:rsidP="00465F72">
      <w:pPr>
        <w:pStyle w:val="Prrafodelista"/>
        <w:rPr>
          <w:szCs w:val="18"/>
          <w:lang w:val="es-AR"/>
        </w:rPr>
      </w:pPr>
    </w:p>
    <w:p w:rsidR="00465F72" w:rsidRDefault="00465F72" w:rsidP="00965F33">
      <w:pPr>
        <w:numPr>
          <w:ilvl w:val="0"/>
          <w:numId w:val="24"/>
        </w:numPr>
        <w:autoSpaceDE w:val="0"/>
        <w:autoSpaceDN w:val="0"/>
        <w:adjustRightInd w:val="0"/>
        <w:spacing w:line="360" w:lineRule="auto"/>
        <w:jc w:val="both"/>
        <w:rPr>
          <w:szCs w:val="18"/>
          <w:lang w:val="es-AR"/>
        </w:rPr>
      </w:pPr>
      <w:r w:rsidRPr="001C20A3">
        <w:rPr>
          <w:szCs w:val="18"/>
          <w:lang w:val="es-AR"/>
        </w:rPr>
        <w:t xml:space="preserve">El costo de los bienes vendidos se determinó sobre la base de los </w:t>
      </w:r>
      <w:r>
        <w:rPr>
          <w:szCs w:val="18"/>
          <w:lang w:val="es-AR"/>
        </w:rPr>
        <w:t xml:space="preserve">costos de reposición de cada mes; </w:t>
      </w:r>
      <w:proofErr w:type="spellStart"/>
      <w:r>
        <w:rPr>
          <w:szCs w:val="18"/>
          <w:lang w:val="es-AR"/>
        </w:rPr>
        <w:t>reexpresado</w:t>
      </w:r>
      <w:proofErr w:type="spellEnd"/>
      <w:r>
        <w:rPr>
          <w:szCs w:val="18"/>
          <w:lang w:val="es-AR"/>
        </w:rPr>
        <w:t xml:space="preserve"> en moneda homogénea. </w:t>
      </w:r>
      <w:r w:rsidRPr="001C20A3">
        <w:rPr>
          <w:szCs w:val="18"/>
          <w:lang w:val="es-AR"/>
        </w:rPr>
        <w:t>El resultado por tenencia se expone en el rubro “Resultados financieros y po</w:t>
      </w:r>
      <w:r>
        <w:rPr>
          <w:szCs w:val="18"/>
          <w:lang w:val="es-AR"/>
        </w:rPr>
        <w:t>r tenencia</w:t>
      </w:r>
      <w:r w:rsidRPr="001C20A3">
        <w:rPr>
          <w:szCs w:val="18"/>
          <w:lang w:val="es-AR"/>
        </w:rPr>
        <w:t xml:space="preserve">”. </w:t>
      </w:r>
    </w:p>
    <w:p w:rsidR="00465F72" w:rsidRDefault="00465F72" w:rsidP="00465F72">
      <w:pPr>
        <w:pStyle w:val="Prrafodelista"/>
        <w:rPr>
          <w:szCs w:val="18"/>
          <w:lang w:val="es-AR"/>
        </w:rPr>
      </w:pPr>
    </w:p>
    <w:p w:rsidR="00465F72" w:rsidRDefault="00465F72" w:rsidP="00965F33">
      <w:pPr>
        <w:numPr>
          <w:ilvl w:val="0"/>
          <w:numId w:val="24"/>
        </w:numPr>
        <w:autoSpaceDE w:val="0"/>
        <w:autoSpaceDN w:val="0"/>
        <w:adjustRightInd w:val="0"/>
        <w:spacing w:line="360" w:lineRule="auto"/>
        <w:jc w:val="both"/>
        <w:rPr>
          <w:szCs w:val="18"/>
          <w:lang w:val="es-AR"/>
        </w:rPr>
      </w:pPr>
      <w:r w:rsidRPr="001C20A3">
        <w:rPr>
          <w:szCs w:val="18"/>
          <w:lang w:val="es-AR"/>
        </w:rPr>
        <w:t>Bajo la denominación de “Resultados financieros y por tenencia”, se exponen en forma conjunta: a) las ganancias y costos financieros nominales</w:t>
      </w:r>
      <w:r>
        <w:rPr>
          <w:szCs w:val="18"/>
          <w:lang w:val="es-AR"/>
        </w:rPr>
        <w:t>, reexpresados en moneda homogénea</w:t>
      </w:r>
      <w:r w:rsidRPr="001C20A3">
        <w:rPr>
          <w:szCs w:val="18"/>
          <w:lang w:val="es-AR"/>
        </w:rPr>
        <w:t>; b) las diferencias de cambio</w:t>
      </w:r>
      <w:r>
        <w:rPr>
          <w:szCs w:val="18"/>
          <w:lang w:val="es-AR"/>
        </w:rPr>
        <w:t xml:space="preserve">, </w:t>
      </w:r>
      <w:proofErr w:type="spellStart"/>
      <w:r>
        <w:rPr>
          <w:szCs w:val="18"/>
          <w:lang w:val="es-AR"/>
        </w:rPr>
        <w:t>reexpresadas</w:t>
      </w:r>
      <w:proofErr w:type="spellEnd"/>
      <w:r>
        <w:rPr>
          <w:szCs w:val="18"/>
          <w:lang w:val="es-AR"/>
        </w:rPr>
        <w:t xml:space="preserve"> en moneda homogénea</w:t>
      </w:r>
      <w:r w:rsidRPr="001C20A3">
        <w:rPr>
          <w:szCs w:val="18"/>
          <w:lang w:val="es-AR"/>
        </w:rPr>
        <w:t>; c) los resultados por tenencia de bienes de cambio</w:t>
      </w:r>
      <w:r>
        <w:rPr>
          <w:szCs w:val="18"/>
          <w:lang w:val="es-AR"/>
        </w:rPr>
        <w:t xml:space="preserve"> reexpresados en moneda homogénea</w:t>
      </w:r>
      <w:r w:rsidRPr="001C20A3">
        <w:rPr>
          <w:szCs w:val="18"/>
          <w:lang w:val="es-AR"/>
        </w:rPr>
        <w:t>; d) el efecto de los valores descontados de créditos y deudas</w:t>
      </w:r>
      <w:r>
        <w:rPr>
          <w:szCs w:val="18"/>
          <w:lang w:val="es-AR"/>
        </w:rPr>
        <w:t xml:space="preserve"> en moneda homogénea, </w:t>
      </w:r>
      <w:r w:rsidRPr="001C20A3">
        <w:rPr>
          <w:szCs w:val="18"/>
          <w:lang w:val="es-AR"/>
        </w:rPr>
        <w:t>e) el cargo por previsiones para desvalori</w:t>
      </w:r>
      <w:r>
        <w:rPr>
          <w:szCs w:val="18"/>
          <w:lang w:val="es-AR"/>
        </w:rPr>
        <w:t>zaciones de créditos por ventas en moneda homogénea y f)  el Resultado por exposición</w:t>
      </w:r>
      <w:r w:rsidRPr="0091419B">
        <w:rPr>
          <w:szCs w:val="18"/>
          <w:lang w:val="es-AR"/>
        </w:rPr>
        <w:t xml:space="preserve"> al cambio en el poder adquisitivo de la moneda</w:t>
      </w:r>
      <w:r>
        <w:rPr>
          <w:szCs w:val="18"/>
          <w:lang w:val="es-AR"/>
        </w:rPr>
        <w:t>.</w:t>
      </w:r>
    </w:p>
    <w:p w:rsidR="00465F72" w:rsidRPr="001C20A3" w:rsidRDefault="00465F72" w:rsidP="00465F72">
      <w:pPr>
        <w:autoSpaceDE w:val="0"/>
        <w:autoSpaceDN w:val="0"/>
        <w:adjustRightInd w:val="0"/>
        <w:spacing w:line="360" w:lineRule="auto"/>
        <w:ind w:left="720"/>
        <w:jc w:val="both"/>
        <w:rPr>
          <w:szCs w:val="18"/>
          <w:lang w:val="es-AR"/>
        </w:rPr>
      </w:pPr>
    </w:p>
    <w:p w:rsidR="00465F72" w:rsidRPr="00D71053" w:rsidRDefault="00465F72" w:rsidP="00965F33">
      <w:pPr>
        <w:pStyle w:val="Prrafodelista"/>
        <w:numPr>
          <w:ilvl w:val="0"/>
          <w:numId w:val="21"/>
        </w:numPr>
        <w:spacing w:line="360" w:lineRule="auto"/>
        <w:ind w:left="360"/>
        <w:contextualSpacing w:val="0"/>
        <w:jc w:val="both"/>
        <w:rPr>
          <w:sz w:val="14"/>
          <w:szCs w:val="14"/>
          <w:lang w:val="es-AR"/>
        </w:rPr>
      </w:pPr>
      <w:r w:rsidRPr="00D71053">
        <w:rPr>
          <w:lang w:val="es-AR"/>
        </w:rPr>
        <w:t>Impuesto a las ganancias, a la ganancia mínima presunta y crédito por impuesto a las ganancias diferido:</w:t>
      </w:r>
    </w:p>
    <w:p w:rsidR="00465F72" w:rsidRPr="001C20A3" w:rsidRDefault="00465F72" w:rsidP="00965F33">
      <w:pPr>
        <w:numPr>
          <w:ilvl w:val="0"/>
          <w:numId w:val="25"/>
        </w:numPr>
        <w:spacing w:line="360" w:lineRule="auto"/>
        <w:jc w:val="both"/>
        <w:rPr>
          <w:lang w:val="es-AR"/>
        </w:rPr>
      </w:pPr>
      <w:r w:rsidRPr="001C20A3">
        <w:rPr>
          <w:lang w:val="es-AR"/>
        </w:rPr>
        <w:t xml:space="preserve">La Sociedad determina el cargo contable por impuesto a las ganancias de acuerdo con el método del impuesto a las ganancias diferido, el cual consiste en el reconocimiento, como crédito o deuda, del efecto impositivo de las diferencias temporarias entre la valuación contable y la impositiva de los activos y pasivos, y su posterior imputación a los resultados de los ejercicios en los cuales se produce la reversión de las mismas, considerando asimismo la posibilidad de aprovechamiento de los quebrantos impositivos en el futuro. Las diferencias temporarias determinan saldos activos o pasivos de impuesto a las ganancias diferido cuando su reversión futura disminuya o aumente los impuestos determinados. </w:t>
      </w:r>
    </w:p>
    <w:p w:rsidR="00465F72" w:rsidRPr="001C20A3" w:rsidRDefault="00465F72" w:rsidP="00465F72">
      <w:pPr>
        <w:spacing w:line="360" w:lineRule="auto"/>
        <w:jc w:val="both"/>
        <w:rPr>
          <w:sz w:val="12"/>
          <w:szCs w:val="12"/>
          <w:lang w:val="es-AR"/>
        </w:rPr>
      </w:pPr>
    </w:p>
    <w:p w:rsidR="00465F72" w:rsidRPr="001C20A3" w:rsidRDefault="00465F72" w:rsidP="00465F72">
      <w:pPr>
        <w:spacing w:line="360" w:lineRule="auto"/>
        <w:ind w:left="708"/>
        <w:jc w:val="both"/>
        <w:rPr>
          <w:lang w:val="es-AR"/>
        </w:rPr>
      </w:pPr>
      <w:r w:rsidRPr="001C20A3">
        <w:rPr>
          <w:lang w:val="es-AR"/>
        </w:rPr>
        <w:t xml:space="preserve">Cuando existen quebrantos impositivos susceptibles de deducción de ganancias impositivas futuras o el impuesto a las ganancias diferido resultante de las diferencias sea un activo, se reconocen dichos créditos, en la medida en que se estime que su aprovechamiento sea probable.  </w:t>
      </w:r>
    </w:p>
    <w:p w:rsidR="00465F72" w:rsidRPr="001C20A3" w:rsidRDefault="00465F72" w:rsidP="00465F72">
      <w:pPr>
        <w:spacing w:line="360" w:lineRule="auto"/>
        <w:ind w:left="708"/>
        <w:jc w:val="both"/>
        <w:rPr>
          <w:sz w:val="12"/>
          <w:szCs w:val="12"/>
          <w:lang w:val="es-AR"/>
        </w:rPr>
      </w:pPr>
    </w:p>
    <w:p w:rsidR="00465F72" w:rsidRDefault="00465F72" w:rsidP="00465F72">
      <w:pPr>
        <w:autoSpaceDE w:val="0"/>
        <w:autoSpaceDN w:val="0"/>
        <w:adjustRightInd w:val="0"/>
        <w:spacing w:line="360" w:lineRule="auto"/>
        <w:ind w:left="708"/>
        <w:jc w:val="both"/>
        <w:rPr>
          <w:lang w:val="es-AR"/>
        </w:rPr>
      </w:pPr>
      <w:r w:rsidRPr="001C20A3">
        <w:rPr>
          <w:lang w:val="es-AR"/>
        </w:rPr>
        <w:t>El impuesto a la ganancia mínima presunta es complementario del impuesto a las ganancias, dado que, mientras esta última grava la utilidad impositiva del ejercicio, el impuesto a la ganancia mínima presunta constituye una imposición mínima que grava la renta potencial de ciertos activos a la tasa del 1%, de modo que la obligación fiscal de la Sociedad coincida con el mayor de ambos impuestos. Sin embargo, si el impuesto a la ganancia mínima presunta excede en un ejercicio fiscal al impuesto a las ganancias, dicho exceso podrá computarse como pago a cuenta de cualquier excedente del impuesto a las ganancias sobre el impuesto a la ganancia mínima presunta durante los siguientes diez ejercicios.</w:t>
      </w:r>
    </w:p>
    <w:p w:rsidR="00465F72" w:rsidRPr="0043785D" w:rsidRDefault="00465F72" w:rsidP="00465F72">
      <w:pPr>
        <w:autoSpaceDE w:val="0"/>
        <w:autoSpaceDN w:val="0"/>
        <w:adjustRightInd w:val="0"/>
        <w:spacing w:line="360" w:lineRule="auto"/>
        <w:ind w:left="708"/>
        <w:jc w:val="both"/>
        <w:rPr>
          <w:lang w:val="es-AR"/>
        </w:rPr>
      </w:pPr>
    </w:p>
    <w:p w:rsidR="00465F72" w:rsidRPr="001C20A3" w:rsidRDefault="00465F72" w:rsidP="00465F72">
      <w:pPr>
        <w:autoSpaceDE w:val="0"/>
        <w:autoSpaceDN w:val="0"/>
        <w:adjustRightInd w:val="0"/>
        <w:spacing w:line="360" w:lineRule="auto"/>
        <w:ind w:left="708"/>
        <w:jc w:val="both"/>
        <w:rPr>
          <w:lang w:val="es-AR"/>
        </w:rPr>
      </w:pPr>
      <w:r w:rsidRPr="001C20A3">
        <w:rPr>
          <w:lang w:val="es-AR"/>
        </w:rPr>
        <w:t>Con la aprobación de la ley N° 27.260, publicada en el Boletín Oficial con fecha 22 de julio de 2016, se deroga el impuesto a la ganancia mínima presunta para los ejercicios que se inician a partir del 1° de enero de 2019.</w:t>
      </w:r>
    </w:p>
    <w:p w:rsidR="00465F72" w:rsidRDefault="00465F72" w:rsidP="00465F72">
      <w:pPr>
        <w:autoSpaceDE w:val="0"/>
        <w:autoSpaceDN w:val="0"/>
        <w:adjustRightInd w:val="0"/>
        <w:spacing w:line="360" w:lineRule="auto"/>
        <w:ind w:left="708"/>
        <w:jc w:val="both"/>
        <w:rPr>
          <w:lang w:val="es-AR"/>
        </w:rPr>
      </w:pPr>
    </w:p>
    <w:p w:rsidR="006435EB" w:rsidRPr="007237C0" w:rsidRDefault="006435EB" w:rsidP="006435EB">
      <w:pPr>
        <w:autoSpaceDE w:val="0"/>
        <w:autoSpaceDN w:val="0"/>
        <w:adjustRightInd w:val="0"/>
        <w:spacing w:line="360" w:lineRule="auto"/>
        <w:ind w:left="708"/>
        <w:jc w:val="both"/>
        <w:rPr>
          <w:szCs w:val="18"/>
          <w:lang w:val="es-AR"/>
        </w:rPr>
      </w:pPr>
      <w:r w:rsidRPr="007237C0">
        <w:rPr>
          <w:szCs w:val="18"/>
          <w:lang w:val="es-AR"/>
        </w:rPr>
        <w:t xml:space="preserve">La evolución del crédito por impuesto a las ganancias diferido y el cargo a resultados del </w:t>
      </w:r>
      <w:r>
        <w:rPr>
          <w:szCs w:val="18"/>
          <w:lang w:val="es-AR"/>
        </w:rPr>
        <w:t>ejercicio</w:t>
      </w:r>
      <w:r w:rsidRPr="007237C0">
        <w:rPr>
          <w:szCs w:val="18"/>
          <w:lang w:val="es-AR"/>
        </w:rPr>
        <w:t xml:space="preserve"> finalizado el 3</w:t>
      </w:r>
      <w:r>
        <w:rPr>
          <w:szCs w:val="18"/>
          <w:lang w:val="es-AR"/>
        </w:rPr>
        <w:t>1</w:t>
      </w:r>
      <w:r w:rsidRPr="007237C0">
        <w:rPr>
          <w:szCs w:val="18"/>
          <w:lang w:val="es-AR"/>
        </w:rPr>
        <w:t xml:space="preserve"> de </w:t>
      </w:r>
      <w:r>
        <w:rPr>
          <w:szCs w:val="18"/>
          <w:lang w:val="es-AR"/>
        </w:rPr>
        <w:t>diciembre</w:t>
      </w:r>
      <w:r w:rsidR="00D36743">
        <w:rPr>
          <w:szCs w:val="18"/>
          <w:lang w:val="es-AR"/>
        </w:rPr>
        <w:t xml:space="preserve"> de 2019, es la siguiente:</w:t>
      </w:r>
    </w:p>
    <w:p w:rsidR="006435EB" w:rsidRDefault="004D61B9" w:rsidP="006435EB">
      <w:pPr>
        <w:spacing w:line="360" w:lineRule="auto"/>
        <w:ind w:left="142"/>
        <w:jc w:val="center"/>
        <w:rPr>
          <w:szCs w:val="18"/>
          <w:lang w:val="es-AR"/>
        </w:rPr>
      </w:pPr>
      <w:r>
        <w:rPr>
          <w:szCs w:val="18"/>
          <w:lang w:val="es-AR"/>
        </w:rPr>
        <w:pict>
          <v:shape id="_x0000_i1081" type="#_x0000_t75" style="width:353.25pt;height:95.25pt">
            <v:imagedata r:id="rId19" o:title=""/>
          </v:shape>
        </w:pict>
      </w:r>
    </w:p>
    <w:p w:rsidR="006435EB" w:rsidRPr="007237C0" w:rsidRDefault="006435EB" w:rsidP="006435EB">
      <w:pPr>
        <w:spacing w:line="360" w:lineRule="auto"/>
        <w:ind w:left="142"/>
        <w:jc w:val="center"/>
        <w:rPr>
          <w:szCs w:val="18"/>
          <w:lang w:val="es-AR"/>
        </w:rPr>
      </w:pPr>
    </w:p>
    <w:p w:rsidR="006435EB" w:rsidRPr="00331FF6" w:rsidRDefault="006435EB" w:rsidP="006435EB">
      <w:pPr>
        <w:spacing w:line="360" w:lineRule="auto"/>
        <w:ind w:left="708"/>
        <w:jc w:val="both"/>
        <w:rPr>
          <w:szCs w:val="18"/>
          <w:highlight w:val="yellow"/>
          <w:lang w:val="es-AR"/>
        </w:rPr>
      </w:pPr>
      <w:r w:rsidRPr="007237C0">
        <w:rPr>
          <w:szCs w:val="18"/>
          <w:lang w:val="es-AR"/>
        </w:rPr>
        <w:t xml:space="preserve">La conciliación entre el cargo a resultados registrado por el impuesto a las ganancias y el resultante de aplicar la tasa del 30%, establecida por las normas impositivas vigentes al resultado contable del </w:t>
      </w:r>
      <w:r>
        <w:rPr>
          <w:szCs w:val="18"/>
          <w:lang w:val="es-AR"/>
        </w:rPr>
        <w:t>ejercicio</w:t>
      </w:r>
      <w:r w:rsidRPr="007237C0">
        <w:rPr>
          <w:szCs w:val="18"/>
          <w:lang w:val="es-AR"/>
        </w:rPr>
        <w:t xml:space="preserve"> es la siguiente:</w:t>
      </w:r>
    </w:p>
    <w:p w:rsidR="006435EB" w:rsidRDefault="006435EB" w:rsidP="006435EB">
      <w:pPr>
        <w:spacing w:line="360" w:lineRule="auto"/>
        <w:ind w:left="705"/>
        <w:jc w:val="center"/>
        <w:rPr>
          <w:b/>
          <w:szCs w:val="18"/>
          <w:lang w:val="es-AR"/>
        </w:rPr>
      </w:pPr>
    </w:p>
    <w:p w:rsidR="00D423E1" w:rsidRDefault="004D61B9" w:rsidP="006435EB">
      <w:pPr>
        <w:spacing w:line="360" w:lineRule="auto"/>
        <w:ind w:left="705"/>
        <w:jc w:val="center"/>
        <w:rPr>
          <w:b/>
          <w:szCs w:val="18"/>
          <w:lang w:val="es-AR"/>
        </w:rPr>
      </w:pPr>
      <w:r>
        <w:rPr>
          <w:b/>
          <w:szCs w:val="18"/>
          <w:lang w:val="es-AR"/>
        </w:rPr>
        <w:pict>
          <v:shape id="_x0000_i1080" type="#_x0000_t75" style="width:366pt;height:108pt">
            <v:imagedata r:id="rId20" o:title=""/>
          </v:shape>
        </w:pict>
      </w:r>
    </w:p>
    <w:p w:rsidR="006435EB" w:rsidRPr="0006453C" w:rsidRDefault="006435EB" w:rsidP="006435EB">
      <w:pPr>
        <w:spacing w:line="360" w:lineRule="auto"/>
        <w:ind w:left="360"/>
        <w:jc w:val="both"/>
        <w:rPr>
          <w:bCs/>
          <w:szCs w:val="18"/>
          <w:lang w:val="es-AR"/>
        </w:rPr>
      </w:pPr>
    </w:p>
    <w:p w:rsidR="00C23C63" w:rsidRPr="00853834" w:rsidRDefault="00C23C63" w:rsidP="00C23C63">
      <w:pPr>
        <w:shd w:val="clear" w:color="auto" w:fill="FFFFFF"/>
        <w:autoSpaceDE w:val="0"/>
        <w:autoSpaceDN w:val="0"/>
        <w:adjustRightInd w:val="0"/>
        <w:spacing w:line="360" w:lineRule="auto"/>
        <w:jc w:val="both"/>
        <w:rPr>
          <w:b/>
          <w:u w:val="single"/>
          <w:lang w:val="es-AR"/>
        </w:rPr>
      </w:pPr>
      <w:r w:rsidRPr="00C23C63">
        <w:rPr>
          <w:b/>
          <w:lang w:val="es-AR"/>
        </w:rPr>
        <w:t xml:space="preserve">d) </w:t>
      </w:r>
      <w:r w:rsidRPr="00C23C63">
        <w:rPr>
          <w:b/>
          <w:u w:val="single"/>
          <w:lang w:val="es-AR"/>
        </w:rPr>
        <w:t xml:space="preserve">Normas </w:t>
      </w:r>
      <w:r w:rsidRPr="00853834">
        <w:rPr>
          <w:b/>
          <w:u w:val="single"/>
          <w:lang w:val="es-AR"/>
        </w:rPr>
        <w:t>contables profesionales (NCP) aplicadas por la sociedad controlante – Normas Internacionales de Información Financiera (NIIF)</w:t>
      </w:r>
    </w:p>
    <w:p w:rsidR="00C23C63" w:rsidRPr="00853834" w:rsidRDefault="00C23C63" w:rsidP="00C23C63">
      <w:pPr>
        <w:autoSpaceDE w:val="0"/>
        <w:autoSpaceDN w:val="0"/>
        <w:adjustRightInd w:val="0"/>
        <w:spacing w:line="360" w:lineRule="auto"/>
        <w:jc w:val="both"/>
        <w:rPr>
          <w:szCs w:val="18"/>
          <w:lang w:val="es-AR"/>
        </w:rPr>
      </w:pPr>
    </w:p>
    <w:p w:rsidR="00C23C63" w:rsidRPr="001C20A3" w:rsidRDefault="00C23C63" w:rsidP="00C23C63">
      <w:pPr>
        <w:autoSpaceDE w:val="0"/>
        <w:autoSpaceDN w:val="0"/>
        <w:adjustRightInd w:val="0"/>
        <w:spacing w:line="360" w:lineRule="auto"/>
        <w:jc w:val="both"/>
        <w:rPr>
          <w:szCs w:val="18"/>
          <w:lang w:val="es-AR"/>
        </w:rPr>
      </w:pPr>
      <w:r w:rsidRPr="00853834">
        <w:rPr>
          <w:szCs w:val="18"/>
          <w:lang w:val="es-AR"/>
        </w:rPr>
        <w:t>De acuerdo a lo mencionado en la Nota 2.a). considerando que la Sociedad ha preparado sus estados contables al 31 de diciembre de 2019 de acuerdo con las NCP, se incluyen a continuación las conciliaciones de patrimonio neto y resultado neto del ejercicio entre dichas normas y las resultantes de aplicar la RT 43 modificada (</w:t>
      </w:r>
      <w:r w:rsidRPr="001C20A3">
        <w:rPr>
          <w:szCs w:val="18"/>
          <w:lang w:val="es-AR"/>
        </w:rPr>
        <w:t>NIIF), conforme lo requerido por la RG 622/13 de la CNV:</w:t>
      </w:r>
    </w:p>
    <w:p w:rsidR="00C23C63" w:rsidRPr="001C20A3" w:rsidRDefault="00C23C63" w:rsidP="00C23C63">
      <w:pPr>
        <w:autoSpaceDE w:val="0"/>
        <w:autoSpaceDN w:val="0"/>
        <w:adjustRightInd w:val="0"/>
        <w:spacing w:line="360" w:lineRule="auto"/>
        <w:jc w:val="both"/>
        <w:rPr>
          <w:szCs w:val="18"/>
          <w:lang w:val="es-AR"/>
        </w:rPr>
      </w:pPr>
    </w:p>
    <w:p w:rsidR="00C23C63" w:rsidRPr="001C20A3" w:rsidRDefault="00C23C63" w:rsidP="00C23C63">
      <w:pPr>
        <w:autoSpaceDE w:val="0"/>
        <w:autoSpaceDN w:val="0"/>
        <w:adjustRightInd w:val="0"/>
        <w:spacing w:line="360" w:lineRule="auto"/>
        <w:jc w:val="both"/>
        <w:rPr>
          <w:szCs w:val="18"/>
          <w:lang w:val="es-AR"/>
        </w:rPr>
      </w:pPr>
      <w:r w:rsidRPr="001C20A3">
        <w:rPr>
          <w:szCs w:val="18"/>
          <w:lang w:val="es-AR"/>
        </w:rPr>
        <w:t xml:space="preserve">Conciliación del patrimonio neto </w:t>
      </w:r>
      <w:r>
        <w:rPr>
          <w:szCs w:val="18"/>
          <w:lang w:val="es-AR"/>
        </w:rPr>
        <w:t>al 31</w:t>
      </w:r>
      <w:r w:rsidRPr="001C20A3">
        <w:rPr>
          <w:szCs w:val="18"/>
          <w:lang w:val="es-AR"/>
        </w:rPr>
        <w:t xml:space="preserve"> de </w:t>
      </w:r>
      <w:r>
        <w:rPr>
          <w:szCs w:val="18"/>
          <w:lang w:val="es-AR"/>
        </w:rPr>
        <w:t>diciembre</w:t>
      </w:r>
      <w:r w:rsidRPr="001C20A3">
        <w:rPr>
          <w:szCs w:val="18"/>
          <w:lang w:val="es-AR"/>
        </w:rPr>
        <w:t xml:space="preserve"> de 201</w:t>
      </w:r>
      <w:r>
        <w:rPr>
          <w:szCs w:val="18"/>
          <w:lang w:val="es-AR"/>
        </w:rPr>
        <w:t>9</w:t>
      </w:r>
      <w:r w:rsidRPr="001C20A3">
        <w:rPr>
          <w:szCs w:val="18"/>
          <w:lang w:val="es-AR"/>
        </w:rPr>
        <w:t>:</w:t>
      </w:r>
    </w:p>
    <w:p w:rsidR="00C23C63" w:rsidRPr="001C20A3" w:rsidRDefault="00C23C63" w:rsidP="00C23C63">
      <w:pPr>
        <w:autoSpaceDE w:val="0"/>
        <w:autoSpaceDN w:val="0"/>
        <w:adjustRightInd w:val="0"/>
        <w:spacing w:line="360" w:lineRule="auto"/>
        <w:jc w:val="both"/>
        <w:rPr>
          <w:szCs w:val="18"/>
          <w:lang w:val="es-AR"/>
        </w:rPr>
      </w:pPr>
    </w:p>
    <w:p w:rsidR="00C23C63" w:rsidRDefault="004D61B9" w:rsidP="00C23C63">
      <w:pPr>
        <w:autoSpaceDE w:val="0"/>
        <w:autoSpaceDN w:val="0"/>
        <w:adjustRightInd w:val="0"/>
        <w:spacing w:line="360" w:lineRule="auto"/>
        <w:jc w:val="center"/>
        <w:rPr>
          <w:szCs w:val="18"/>
          <w:lang w:val="es-AR"/>
        </w:rPr>
      </w:pPr>
      <w:r>
        <w:rPr>
          <w:szCs w:val="18"/>
          <w:lang w:val="es-AR"/>
        </w:rPr>
        <w:pict>
          <v:shape id="_x0000_i1079" type="#_x0000_t75" style="width:355.5pt;height:71.25pt">
            <v:imagedata r:id="rId21" o:title=""/>
          </v:shape>
        </w:pict>
      </w:r>
    </w:p>
    <w:p w:rsidR="00C23C63" w:rsidRDefault="00C23C63" w:rsidP="00C23C63">
      <w:pPr>
        <w:autoSpaceDE w:val="0"/>
        <w:autoSpaceDN w:val="0"/>
        <w:adjustRightInd w:val="0"/>
        <w:spacing w:line="360" w:lineRule="auto"/>
        <w:jc w:val="center"/>
        <w:rPr>
          <w:szCs w:val="18"/>
          <w:lang w:val="es-AR"/>
        </w:rPr>
      </w:pPr>
    </w:p>
    <w:p w:rsidR="00C23C63" w:rsidRPr="007C67D0" w:rsidRDefault="00C23C63" w:rsidP="00965F33">
      <w:pPr>
        <w:numPr>
          <w:ilvl w:val="0"/>
          <w:numId w:val="30"/>
        </w:numPr>
        <w:autoSpaceDE w:val="0"/>
        <w:autoSpaceDN w:val="0"/>
        <w:adjustRightInd w:val="0"/>
        <w:spacing w:line="360" w:lineRule="auto"/>
        <w:jc w:val="both"/>
        <w:rPr>
          <w:szCs w:val="18"/>
          <w:lang w:val="es-AR"/>
        </w:rPr>
      </w:pPr>
      <w:r w:rsidRPr="007C67D0">
        <w:rPr>
          <w:szCs w:val="18"/>
          <w:lang w:val="es-AR"/>
        </w:rPr>
        <w:t>No existen participaciones no controladoras para los fines de la consolidación de Mirgor S.A.C.I.F.I.A.</w:t>
      </w:r>
      <w:r w:rsidRPr="007C67D0">
        <w:rPr>
          <w:szCs w:val="18"/>
          <w:lang w:val="es-AR"/>
        </w:rPr>
        <w:tab/>
      </w:r>
    </w:p>
    <w:p w:rsidR="00C23C63" w:rsidRDefault="00C23C63" w:rsidP="00C23C63">
      <w:pPr>
        <w:autoSpaceDE w:val="0"/>
        <w:autoSpaceDN w:val="0"/>
        <w:adjustRightInd w:val="0"/>
        <w:spacing w:line="360" w:lineRule="auto"/>
        <w:jc w:val="center"/>
        <w:rPr>
          <w:szCs w:val="18"/>
          <w:lang w:val="es-AR"/>
        </w:rPr>
      </w:pPr>
    </w:p>
    <w:p w:rsidR="00C23C63" w:rsidRPr="001C20A3" w:rsidRDefault="00C23C63" w:rsidP="00C23C63">
      <w:pPr>
        <w:autoSpaceDE w:val="0"/>
        <w:autoSpaceDN w:val="0"/>
        <w:adjustRightInd w:val="0"/>
        <w:spacing w:line="360" w:lineRule="auto"/>
        <w:jc w:val="center"/>
        <w:rPr>
          <w:szCs w:val="18"/>
          <w:lang w:val="es-AR"/>
        </w:rPr>
      </w:pPr>
      <w:r w:rsidRPr="001C20A3">
        <w:rPr>
          <w:szCs w:val="18"/>
          <w:lang w:val="es-AR"/>
        </w:rPr>
        <w:t xml:space="preserve">Conciliación del resultado neto correspondiente al </w:t>
      </w:r>
      <w:r>
        <w:rPr>
          <w:szCs w:val="18"/>
          <w:lang w:val="es-AR"/>
        </w:rPr>
        <w:t>ejercicio finalizado el 31</w:t>
      </w:r>
      <w:r w:rsidRPr="001C20A3">
        <w:rPr>
          <w:szCs w:val="18"/>
          <w:lang w:val="es-AR"/>
        </w:rPr>
        <w:t xml:space="preserve"> de</w:t>
      </w:r>
      <w:r>
        <w:rPr>
          <w:szCs w:val="18"/>
          <w:lang w:val="es-AR"/>
        </w:rPr>
        <w:t xml:space="preserve"> diciembr</w:t>
      </w:r>
      <w:r w:rsidRPr="001C20A3">
        <w:rPr>
          <w:szCs w:val="18"/>
          <w:lang w:val="es-AR"/>
        </w:rPr>
        <w:t>e de 201</w:t>
      </w:r>
      <w:r>
        <w:rPr>
          <w:szCs w:val="18"/>
          <w:lang w:val="es-AR"/>
        </w:rPr>
        <w:t>9</w:t>
      </w:r>
      <w:r w:rsidRPr="001C20A3">
        <w:rPr>
          <w:szCs w:val="18"/>
          <w:lang w:val="es-AR"/>
        </w:rPr>
        <w:t>:</w:t>
      </w:r>
    </w:p>
    <w:p w:rsidR="00C23C63" w:rsidRPr="001C20A3" w:rsidRDefault="00C23C63" w:rsidP="00C23C63">
      <w:pPr>
        <w:autoSpaceDE w:val="0"/>
        <w:autoSpaceDN w:val="0"/>
        <w:adjustRightInd w:val="0"/>
        <w:spacing w:line="360" w:lineRule="auto"/>
        <w:jc w:val="both"/>
        <w:rPr>
          <w:szCs w:val="18"/>
          <w:lang w:val="es-AR"/>
        </w:rPr>
      </w:pPr>
    </w:p>
    <w:p w:rsidR="00C23C63" w:rsidRPr="001C20A3" w:rsidRDefault="004D61B9" w:rsidP="00C23C63">
      <w:pPr>
        <w:autoSpaceDE w:val="0"/>
        <w:autoSpaceDN w:val="0"/>
        <w:adjustRightInd w:val="0"/>
        <w:spacing w:line="360" w:lineRule="auto"/>
        <w:jc w:val="center"/>
        <w:rPr>
          <w:szCs w:val="18"/>
          <w:highlight w:val="yellow"/>
          <w:lang w:val="es-AR"/>
        </w:rPr>
      </w:pPr>
      <w:r>
        <w:rPr>
          <w:szCs w:val="18"/>
          <w:lang w:val="es-AR"/>
        </w:rPr>
        <w:pict>
          <v:shape id="_x0000_i1078" type="#_x0000_t75" style="width:351.75pt;height:77.25pt">
            <v:imagedata r:id="rId22" o:title=""/>
          </v:shape>
        </w:pict>
      </w:r>
    </w:p>
    <w:p w:rsidR="00C23C63" w:rsidRPr="007C67D0" w:rsidRDefault="00C23C63" w:rsidP="00C23C63">
      <w:pPr>
        <w:autoSpaceDE w:val="0"/>
        <w:autoSpaceDN w:val="0"/>
        <w:adjustRightInd w:val="0"/>
        <w:spacing w:line="360" w:lineRule="auto"/>
        <w:jc w:val="both"/>
        <w:rPr>
          <w:szCs w:val="18"/>
          <w:lang w:val="es-AR"/>
        </w:rPr>
      </w:pPr>
    </w:p>
    <w:p w:rsidR="00C23C63" w:rsidRPr="007C67D0" w:rsidRDefault="00C23C63" w:rsidP="00965F33">
      <w:pPr>
        <w:numPr>
          <w:ilvl w:val="0"/>
          <w:numId w:val="29"/>
        </w:numPr>
        <w:autoSpaceDE w:val="0"/>
        <w:autoSpaceDN w:val="0"/>
        <w:adjustRightInd w:val="0"/>
        <w:spacing w:line="360" w:lineRule="auto"/>
        <w:jc w:val="both"/>
        <w:rPr>
          <w:szCs w:val="18"/>
          <w:lang w:val="es-AR"/>
        </w:rPr>
      </w:pPr>
      <w:r w:rsidRPr="007C67D0">
        <w:rPr>
          <w:szCs w:val="18"/>
          <w:lang w:val="es-AR"/>
        </w:rPr>
        <w:t>No existen participaciones no controladoras para los fines de la consolidación de Mirgor S.A.C.I.F.I.A.</w:t>
      </w:r>
      <w:r w:rsidRPr="007C67D0">
        <w:rPr>
          <w:szCs w:val="18"/>
          <w:lang w:val="es-AR"/>
        </w:rPr>
        <w:tab/>
      </w:r>
    </w:p>
    <w:p w:rsidR="00C23C63" w:rsidRDefault="00C23C63" w:rsidP="00C23C63">
      <w:pPr>
        <w:autoSpaceDE w:val="0"/>
        <w:autoSpaceDN w:val="0"/>
        <w:adjustRightInd w:val="0"/>
        <w:spacing w:line="360" w:lineRule="auto"/>
        <w:jc w:val="both"/>
        <w:rPr>
          <w:color w:val="000000"/>
          <w:szCs w:val="18"/>
          <w:u w:val="single"/>
          <w:lang w:val="es-AR"/>
        </w:rPr>
      </w:pPr>
    </w:p>
    <w:p w:rsidR="00650B47" w:rsidRPr="005E42B6" w:rsidRDefault="00650B47" w:rsidP="00650B47">
      <w:pPr>
        <w:pStyle w:val="Prrafodelista"/>
        <w:numPr>
          <w:ilvl w:val="0"/>
          <w:numId w:val="34"/>
        </w:numPr>
        <w:spacing w:line="360" w:lineRule="auto"/>
        <w:jc w:val="both"/>
        <w:rPr>
          <w:b/>
          <w:szCs w:val="18"/>
          <w:u w:val="single"/>
          <w:lang w:val="es-AR"/>
        </w:rPr>
      </w:pPr>
      <w:r w:rsidRPr="005E42B6">
        <w:rPr>
          <w:b/>
          <w:szCs w:val="18"/>
          <w:u w:val="single"/>
          <w:lang w:val="es-AR"/>
        </w:rPr>
        <w:t>Modificación a los resultados asignados al inicio del ejercicio e información comparativa</w:t>
      </w:r>
    </w:p>
    <w:p w:rsidR="00650B47" w:rsidRPr="00FA0C4D" w:rsidRDefault="00650B47" w:rsidP="00650B47">
      <w:pPr>
        <w:spacing w:line="360" w:lineRule="auto"/>
        <w:ind w:left="720"/>
        <w:jc w:val="both"/>
        <w:rPr>
          <w:b/>
          <w:szCs w:val="18"/>
          <w:u w:val="single"/>
          <w:lang w:val="es-AR"/>
        </w:rPr>
      </w:pPr>
    </w:p>
    <w:p w:rsidR="00650B47" w:rsidRDefault="00650B47" w:rsidP="00650B47">
      <w:pPr>
        <w:autoSpaceDE w:val="0"/>
        <w:autoSpaceDN w:val="0"/>
        <w:adjustRightInd w:val="0"/>
        <w:spacing w:line="360" w:lineRule="auto"/>
        <w:jc w:val="both"/>
        <w:rPr>
          <w:color w:val="000000"/>
          <w:szCs w:val="18"/>
          <w:u w:val="single"/>
          <w:lang w:val="es-AR"/>
        </w:rPr>
      </w:pPr>
      <w:r w:rsidRPr="00D04EFA">
        <w:rPr>
          <w:bCs/>
          <w:szCs w:val="18"/>
          <w:lang w:val="es-AR"/>
        </w:rPr>
        <w:t>Las cifras correspondientes al ejercicio finalizado el 31 de diciembre de 2018</w:t>
      </w:r>
      <w:r>
        <w:rPr>
          <w:bCs/>
          <w:szCs w:val="18"/>
          <w:lang w:val="es-AR"/>
        </w:rPr>
        <w:t xml:space="preserve">, los cuales corresponden a los </w:t>
      </w:r>
      <w:r w:rsidRPr="00D04EFA">
        <w:rPr>
          <w:bCs/>
          <w:szCs w:val="18"/>
          <w:lang w:val="es-AR"/>
        </w:rPr>
        <w:t>saldos al inicio del Estado de Evolución del Patrimonio Neto</w:t>
      </w:r>
      <w:r>
        <w:rPr>
          <w:bCs/>
          <w:szCs w:val="18"/>
          <w:lang w:val="es-AR"/>
        </w:rPr>
        <w:t>, f</w:t>
      </w:r>
      <w:r w:rsidRPr="00D04EFA">
        <w:rPr>
          <w:bCs/>
          <w:szCs w:val="18"/>
          <w:lang w:val="es-AR"/>
        </w:rPr>
        <w:t>ueron modificadas por incorporar retroactivamente ciertos cambios en los resultados no asignados al inicio del ejercicio</w:t>
      </w:r>
      <w:r>
        <w:rPr>
          <w:bCs/>
          <w:szCs w:val="18"/>
          <w:lang w:val="es-AR"/>
        </w:rPr>
        <w:t xml:space="preserve"> </w:t>
      </w:r>
      <w:r>
        <w:t xml:space="preserve">e incluyen ciertas reclasificaciones </w:t>
      </w:r>
      <w:r w:rsidRPr="00D04EFA">
        <w:rPr>
          <w:bCs/>
          <w:szCs w:val="18"/>
          <w:lang w:val="es-AR"/>
        </w:rPr>
        <w:t>para adecuar su</w:t>
      </w:r>
      <w:r>
        <w:rPr>
          <w:bCs/>
          <w:szCs w:val="18"/>
          <w:lang w:val="es-AR"/>
        </w:rPr>
        <w:t xml:space="preserve"> </w:t>
      </w:r>
      <w:r w:rsidRPr="00D04EFA">
        <w:rPr>
          <w:bCs/>
          <w:szCs w:val="18"/>
          <w:lang w:val="es-AR"/>
        </w:rPr>
        <w:t xml:space="preserve">exposición a las cifras correspondientes al </w:t>
      </w:r>
      <w:r>
        <w:rPr>
          <w:bCs/>
          <w:szCs w:val="18"/>
          <w:lang w:val="es-AR"/>
        </w:rPr>
        <w:t>ejercicio</w:t>
      </w:r>
      <w:r w:rsidRPr="00D04EFA">
        <w:rPr>
          <w:bCs/>
          <w:szCs w:val="18"/>
          <w:lang w:val="es-AR"/>
        </w:rPr>
        <w:t xml:space="preserve"> finalizado el 3</w:t>
      </w:r>
      <w:r>
        <w:rPr>
          <w:bCs/>
          <w:szCs w:val="18"/>
          <w:lang w:val="es-AR"/>
        </w:rPr>
        <w:t>1</w:t>
      </w:r>
      <w:r w:rsidRPr="00D04EFA">
        <w:rPr>
          <w:bCs/>
          <w:szCs w:val="18"/>
          <w:lang w:val="es-AR"/>
        </w:rPr>
        <w:t xml:space="preserve"> de </w:t>
      </w:r>
      <w:r>
        <w:rPr>
          <w:bCs/>
          <w:szCs w:val="18"/>
          <w:lang w:val="es-AR"/>
        </w:rPr>
        <w:t>diciembre</w:t>
      </w:r>
      <w:r w:rsidRPr="00D04EFA">
        <w:rPr>
          <w:bCs/>
          <w:szCs w:val="18"/>
          <w:lang w:val="es-AR"/>
        </w:rPr>
        <w:t xml:space="preserve"> de 2019</w:t>
      </w:r>
      <w:r w:rsidR="00830C3D">
        <w:rPr>
          <w:bCs/>
          <w:szCs w:val="18"/>
          <w:lang w:val="es-AR"/>
        </w:rPr>
        <w:t>.</w:t>
      </w:r>
    </w:p>
    <w:p w:rsidR="00DE295E" w:rsidRDefault="006435EB" w:rsidP="00A43026">
      <w:pPr>
        <w:spacing w:line="360" w:lineRule="auto"/>
        <w:ind w:left="708"/>
        <w:rPr>
          <w:b/>
          <w:szCs w:val="18"/>
          <w:u w:val="single"/>
          <w:lang w:val="es-AR"/>
        </w:rPr>
      </w:pPr>
      <w:r>
        <w:rPr>
          <w:szCs w:val="18"/>
          <w:lang w:val="es-AR"/>
        </w:rPr>
        <w:br w:type="page"/>
      </w:r>
      <w:r w:rsidR="00C4680B" w:rsidRPr="00EE3F78">
        <w:rPr>
          <w:b/>
          <w:szCs w:val="18"/>
          <w:lang w:val="es-AR"/>
        </w:rPr>
        <w:t xml:space="preserve">NOTA </w:t>
      </w:r>
      <w:r w:rsidR="006408FA">
        <w:rPr>
          <w:b/>
          <w:szCs w:val="18"/>
          <w:lang w:val="es-AR"/>
        </w:rPr>
        <w:t>3</w:t>
      </w:r>
      <w:r w:rsidR="00C4680B" w:rsidRPr="00EE3F78">
        <w:rPr>
          <w:szCs w:val="18"/>
          <w:lang w:val="es-AR"/>
        </w:rPr>
        <w:t xml:space="preserve"> </w:t>
      </w:r>
      <w:r w:rsidR="00C4680B" w:rsidRPr="00EE3F78">
        <w:rPr>
          <w:b/>
          <w:szCs w:val="18"/>
          <w:lang w:val="es-AR"/>
        </w:rPr>
        <w:t xml:space="preserve">– </w:t>
      </w:r>
      <w:r w:rsidR="00C4680B" w:rsidRPr="00EE3F78">
        <w:rPr>
          <w:b/>
          <w:szCs w:val="18"/>
          <w:u w:val="single"/>
          <w:lang w:val="es-AR"/>
        </w:rPr>
        <w:t>COMPOSICIÓN DE LOS PRINCIPALES RUBROS</w:t>
      </w:r>
    </w:p>
    <w:p w:rsidR="00C519D6" w:rsidRPr="00D429D7" w:rsidRDefault="004D61B9" w:rsidP="002F0B6A">
      <w:pPr>
        <w:spacing w:line="360" w:lineRule="auto"/>
        <w:ind w:left="708" w:hanging="708"/>
        <w:rPr>
          <w:b/>
          <w:szCs w:val="18"/>
          <w:u w:val="single"/>
          <w:lang w:val="es-AR"/>
        </w:rPr>
      </w:pPr>
      <w:r>
        <w:rPr>
          <w:b/>
          <w:szCs w:val="18"/>
          <w:lang w:val="es-AR"/>
        </w:rPr>
        <w:pict>
          <v:shape id="_x0000_i1077" type="#_x0000_t75" style="width:489.75pt;height:477pt">
            <v:imagedata r:id="rId23" o:title=""/>
          </v:shape>
        </w:pict>
      </w:r>
    </w:p>
    <w:p w:rsidR="00275EB9" w:rsidRDefault="00B37D27" w:rsidP="000B475F">
      <w:pPr>
        <w:spacing w:line="360" w:lineRule="auto"/>
        <w:jc w:val="both"/>
        <w:rPr>
          <w:b/>
          <w:lang w:val="es-AR"/>
        </w:rPr>
      </w:pPr>
      <w:r>
        <w:rPr>
          <w:b/>
          <w:lang w:val="es-AR"/>
        </w:rPr>
        <w:br w:type="page"/>
      </w:r>
    </w:p>
    <w:p w:rsidR="00275EB9" w:rsidRDefault="004D61B9" w:rsidP="000B475F">
      <w:pPr>
        <w:spacing w:line="360" w:lineRule="auto"/>
        <w:jc w:val="both"/>
        <w:rPr>
          <w:b/>
          <w:lang w:val="es-AR"/>
        </w:rPr>
      </w:pPr>
      <w:r>
        <w:rPr>
          <w:b/>
          <w:lang w:val="es-AR"/>
        </w:rPr>
        <w:pict>
          <v:shape id="_x0000_i1076" type="#_x0000_t75" style="width:468pt;height:388.5pt">
            <v:imagedata r:id="rId24" o:title=""/>
          </v:shape>
        </w:pict>
      </w:r>
    </w:p>
    <w:p w:rsidR="004B3AB5" w:rsidRDefault="004B3AB5" w:rsidP="000B475F">
      <w:pPr>
        <w:spacing w:line="360" w:lineRule="auto"/>
        <w:jc w:val="both"/>
        <w:rPr>
          <w:b/>
          <w:lang w:val="es-AR"/>
        </w:rPr>
      </w:pPr>
    </w:p>
    <w:p w:rsidR="00C4680B" w:rsidRDefault="00014930" w:rsidP="000B475F">
      <w:pPr>
        <w:spacing w:line="360" w:lineRule="auto"/>
        <w:jc w:val="both"/>
        <w:rPr>
          <w:b/>
          <w:u w:val="single"/>
          <w:lang w:val="es-AR"/>
        </w:rPr>
      </w:pPr>
      <w:r>
        <w:rPr>
          <w:b/>
          <w:lang w:val="es-AR"/>
        </w:rPr>
        <w:br w:type="page"/>
      </w:r>
      <w:r w:rsidR="00C4680B" w:rsidRPr="005A785D">
        <w:rPr>
          <w:b/>
          <w:lang w:val="es-AR"/>
        </w:rPr>
        <w:t>NOTA</w:t>
      </w:r>
      <w:r w:rsidR="006408FA">
        <w:rPr>
          <w:b/>
          <w:lang w:val="es-AR"/>
        </w:rPr>
        <w:t xml:space="preserve"> 4</w:t>
      </w:r>
      <w:r w:rsidR="00C4680B" w:rsidRPr="005A785D">
        <w:rPr>
          <w:lang w:val="es-AR"/>
        </w:rPr>
        <w:t xml:space="preserve"> </w:t>
      </w:r>
      <w:r w:rsidR="00C4680B" w:rsidRPr="005A785D">
        <w:rPr>
          <w:b/>
          <w:lang w:val="es-AR"/>
        </w:rPr>
        <w:t xml:space="preserve">– </w:t>
      </w:r>
      <w:r w:rsidR="00C4680B" w:rsidRPr="005A785D">
        <w:rPr>
          <w:b/>
          <w:u w:val="single"/>
          <w:lang w:val="es-AR"/>
        </w:rPr>
        <w:t>ESTADO DE CAPITALES</w:t>
      </w:r>
    </w:p>
    <w:p w:rsidR="00BE17C3" w:rsidRPr="005A785D" w:rsidRDefault="00BE17C3" w:rsidP="000B475F">
      <w:pPr>
        <w:spacing w:line="360" w:lineRule="auto"/>
        <w:jc w:val="both"/>
        <w:rPr>
          <w:b/>
          <w:u w:val="single"/>
          <w:lang w:val="es-AR"/>
        </w:rPr>
      </w:pPr>
    </w:p>
    <w:p w:rsidR="003A219A" w:rsidRPr="005A785D" w:rsidRDefault="00C4680B" w:rsidP="000B475F">
      <w:pPr>
        <w:spacing w:line="360" w:lineRule="auto"/>
        <w:jc w:val="both"/>
        <w:rPr>
          <w:lang w:val="es-AR"/>
        </w:rPr>
      </w:pPr>
      <w:r w:rsidRPr="005A785D">
        <w:rPr>
          <w:lang w:val="es-AR"/>
        </w:rPr>
        <w:t xml:space="preserve">En cumplimiento de lo requerido por la </w:t>
      </w:r>
      <w:r w:rsidR="00F11B84" w:rsidRPr="005A785D">
        <w:rPr>
          <w:lang w:val="es-AR"/>
        </w:rPr>
        <w:t>IGJ</w:t>
      </w:r>
      <w:r w:rsidRPr="005A785D">
        <w:rPr>
          <w:lang w:val="es-AR"/>
        </w:rPr>
        <w:t>, se informa que el estado de capitales al</w:t>
      </w:r>
      <w:r w:rsidR="008B5C23" w:rsidRPr="005A785D">
        <w:rPr>
          <w:lang w:val="es-AR"/>
        </w:rPr>
        <w:t xml:space="preserve"> </w:t>
      </w:r>
      <w:r w:rsidR="00622B15" w:rsidRPr="005A785D">
        <w:rPr>
          <w:lang w:val="es-AR"/>
        </w:rPr>
        <w:t>3</w:t>
      </w:r>
      <w:r w:rsidR="00DA2A1A">
        <w:rPr>
          <w:lang w:val="es-AR"/>
        </w:rPr>
        <w:t>1 de diciembre</w:t>
      </w:r>
      <w:r w:rsidR="00B2704C" w:rsidRPr="005A785D">
        <w:rPr>
          <w:lang w:val="es-AR"/>
        </w:rPr>
        <w:t xml:space="preserve"> </w:t>
      </w:r>
      <w:r w:rsidR="006C072B">
        <w:rPr>
          <w:lang w:val="es-AR"/>
        </w:rPr>
        <w:t>de 2019</w:t>
      </w:r>
      <w:r w:rsidRPr="005A785D">
        <w:rPr>
          <w:lang w:val="es-AR"/>
        </w:rPr>
        <w:t>, es el siguiente:</w:t>
      </w:r>
    </w:p>
    <w:p w:rsidR="00226EDA" w:rsidRPr="005A785D" w:rsidRDefault="00226EDA" w:rsidP="000B475F">
      <w:pPr>
        <w:spacing w:line="360" w:lineRule="auto"/>
        <w:jc w:val="both"/>
        <w:rPr>
          <w:lang w:val="es-AR"/>
        </w:rPr>
      </w:pPr>
    </w:p>
    <w:tbl>
      <w:tblPr>
        <w:tblW w:w="0" w:type="auto"/>
        <w:tblLook w:val="04A0" w:firstRow="1" w:lastRow="0" w:firstColumn="1" w:lastColumn="0" w:noHBand="0" w:noVBand="1"/>
      </w:tblPr>
      <w:tblGrid>
        <w:gridCol w:w="8634"/>
        <w:gridCol w:w="1037"/>
      </w:tblGrid>
      <w:tr w:rsidR="0068579F" w:rsidRPr="006F7491" w:rsidTr="004A4E16">
        <w:tc>
          <w:tcPr>
            <w:tcW w:w="0" w:type="auto"/>
            <w:shd w:val="clear" w:color="auto" w:fill="auto"/>
          </w:tcPr>
          <w:p w:rsidR="0068579F" w:rsidRPr="006F7491" w:rsidRDefault="0068579F" w:rsidP="006F7491">
            <w:pPr>
              <w:spacing w:line="360" w:lineRule="auto"/>
              <w:jc w:val="center"/>
              <w:rPr>
                <w:b/>
                <w:lang w:val="es-AR"/>
              </w:rPr>
            </w:pPr>
          </w:p>
        </w:tc>
        <w:tc>
          <w:tcPr>
            <w:tcW w:w="0" w:type="auto"/>
            <w:tcBorders>
              <w:bottom w:val="single" w:sz="4" w:space="0" w:color="auto"/>
            </w:tcBorders>
            <w:shd w:val="clear" w:color="auto" w:fill="auto"/>
          </w:tcPr>
          <w:p w:rsidR="0068579F" w:rsidRPr="006F7491" w:rsidRDefault="0068579F" w:rsidP="006F7491">
            <w:pPr>
              <w:spacing w:line="360" w:lineRule="auto"/>
              <w:jc w:val="center"/>
              <w:rPr>
                <w:b/>
                <w:lang w:val="es-AR"/>
              </w:rPr>
            </w:pPr>
            <w:r w:rsidRPr="006F7491">
              <w:rPr>
                <w:b/>
                <w:lang w:val="es-AR"/>
              </w:rPr>
              <w:t>3</w:t>
            </w:r>
            <w:r w:rsidR="00321947">
              <w:rPr>
                <w:b/>
                <w:lang w:val="es-AR"/>
              </w:rPr>
              <w:t>1</w:t>
            </w:r>
            <w:r w:rsidRPr="006F7491">
              <w:rPr>
                <w:b/>
                <w:lang w:val="es-AR"/>
              </w:rPr>
              <w:t>/</w:t>
            </w:r>
            <w:r w:rsidR="00321947">
              <w:rPr>
                <w:b/>
                <w:lang w:val="es-AR"/>
              </w:rPr>
              <w:t>12</w:t>
            </w:r>
            <w:r w:rsidRPr="006F7491">
              <w:rPr>
                <w:b/>
                <w:lang w:val="es-AR"/>
              </w:rPr>
              <w:t>/2019</w:t>
            </w:r>
          </w:p>
        </w:tc>
      </w:tr>
      <w:tr w:rsidR="0068579F" w:rsidRPr="006F7491" w:rsidTr="004A4E16">
        <w:tc>
          <w:tcPr>
            <w:tcW w:w="0" w:type="auto"/>
            <w:tcBorders>
              <w:right w:val="single" w:sz="4" w:space="0" w:color="auto"/>
            </w:tcBorders>
            <w:shd w:val="clear" w:color="auto" w:fill="auto"/>
          </w:tcPr>
          <w:p w:rsidR="0068579F" w:rsidRPr="006F7491" w:rsidRDefault="0068579F" w:rsidP="006F7491">
            <w:pPr>
              <w:spacing w:line="360" w:lineRule="auto"/>
              <w:jc w:val="center"/>
              <w:rPr>
                <w:b/>
                <w:lang w:val="es-AR"/>
              </w:rPr>
            </w:pPr>
          </w:p>
        </w:tc>
        <w:tc>
          <w:tcPr>
            <w:tcW w:w="0" w:type="auto"/>
            <w:tcBorders>
              <w:top w:val="single" w:sz="4" w:space="0" w:color="auto"/>
              <w:left w:val="single" w:sz="4" w:space="0" w:color="auto"/>
              <w:right w:val="single" w:sz="4" w:space="0" w:color="auto"/>
            </w:tcBorders>
            <w:shd w:val="clear" w:color="auto" w:fill="auto"/>
          </w:tcPr>
          <w:p w:rsidR="0068579F" w:rsidRPr="006F7491" w:rsidRDefault="0068579F" w:rsidP="006F7491">
            <w:pPr>
              <w:spacing w:line="360" w:lineRule="auto"/>
              <w:jc w:val="center"/>
              <w:rPr>
                <w:b/>
                <w:lang w:val="es-AR"/>
              </w:rPr>
            </w:pPr>
            <w:r w:rsidRPr="006F7491">
              <w:rPr>
                <w:b/>
                <w:lang w:val="es-AR"/>
              </w:rPr>
              <w:t>Pesos</w:t>
            </w:r>
          </w:p>
        </w:tc>
      </w:tr>
      <w:tr w:rsidR="0068579F" w:rsidRPr="006F7491" w:rsidTr="004A4E16">
        <w:tc>
          <w:tcPr>
            <w:tcW w:w="0" w:type="auto"/>
            <w:tcBorders>
              <w:right w:val="single" w:sz="4" w:space="0" w:color="auto"/>
            </w:tcBorders>
            <w:shd w:val="clear" w:color="auto" w:fill="auto"/>
          </w:tcPr>
          <w:p w:rsidR="0068579F" w:rsidRPr="006F7491" w:rsidRDefault="0068579F" w:rsidP="006F7491">
            <w:pPr>
              <w:spacing w:line="360" w:lineRule="auto"/>
              <w:jc w:val="center"/>
              <w:rPr>
                <w:bCs/>
                <w:lang w:val="es-AR"/>
              </w:rPr>
            </w:pPr>
            <w:r w:rsidRPr="006F7491">
              <w:rPr>
                <w:bCs/>
                <w:lang w:val="es-AR"/>
              </w:rPr>
              <w:t>Acciones ordinarias de valor nominal $1 – Capital suscripto, emitido e integrado en el Registro Público de Comercio</w:t>
            </w:r>
          </w:p>
        </w:tc>
        <w:tc>
          <w:tcPr>
            <w:tcW w:w="0" w:type="auto"/>
            <w:tcBorders>
              <w:left w:val="single" w:sz="4" w:space="0" w:color="auto"/>
              <w:right w:val="single" w:sz="4" w:space="0" w:color="auto"/>
            </w:tcBorders>
            <w:shd w:val="clear" w:color="auto" w:fill="auto"/>
          </w:tcPr>
          <w:p w:rsidR="0068579F" w:rsidRPr="006F7491" w:rsidRDefault="004A4E16" w:rsidP="00275EB9">
            <w:pPr>
              <w:spacing w:line="360" w:lineRule="auto"/>
              <w:jc w:val="right"/>
              <w:rPr>
                <w:bCs/>
                <w:lang w:val="es-AR"/>
              </w:rPr>
            </w:pPr>
            <w:r>
              <w:rPr>
                <w:bCs/>
                <w:lang w:val="es-AR"/>
              </w:rPr>
              <w:t>5.172</w:t>
            </w:r>
          </w:p>
        </w:tc>
      </w:tr>
      <w:tr w:rsidR="004A4E16" w:rsidRPr="006F7491" w:rsidTr="004A4E16">
        <w:tc>
          <w:tcPr>
            <w:tcW w:w="0" w:type="auto"/>
            <w:tcBorders>
              <w:right w:val="single" w:sz="4" w:space="0" w:color="auto"/>
            </w:tcBorders>
            <w:shd w:val="clear" w:color="auto" w:fill="auto"/>
          </w:tcPr>
          <w:p w:rsidR="004A4E16" w:rsidRPr="001534C4" w:rsidRDefault="004A4E16" w:rsidP="004A4E16">
            <w:r w:rsidRPr="001534C4">
              <w:t>Acciones preferidas</w:t>
            </w:r>
            <w:r w:rsidR="001C6016" w:rsidRPr="006F7491">
              <w:rPr>
                <w:bCs/>
                <w:lang w:val="es-AR"/>
              </w:rPr>
              <w:t xml:space="preserve"> de valor nominal $1 – Capital suscripto, emitido e integrado en el Registro Público de Comercio</w:t>
            </w:r>
          </w:p>
        </w:tc>
        <w:tc>
          <w:tcPr>
            <w:tcW w:w="0" w:type="auto"/>
            <w:tcBorders>
              <w:left w:val="single" w:sz="4" w:space="0" w:color="auto"/>
              <w:bottom w:val="single" w:sz="4" w:space="0" w:color="auto"/>
              <w:right w:val="single" w:sz="4" w:space="0" w:color="auto"/>
            </w:tcBorders>
            <w:shd w:val="clear" w:color="auto" w:fill="auto"/>
          </w:tcPr>
          <w:p w:rsidR="004A4E16" w:rsidRDefault="004A4E16" w:rsidP="00275EB9">
            <w:pPr>
              <w:jc w:val="right"/>
            </w:pPr>
            <w:r w:rsidRPr="001534C4">
              <w:t>106</w:t>
            </w:r>
          </w:p>
        </w:tc>
      </w:tr>
      <w:tr w:rsidR="0068579F" w:rsidRPr="006F7491" w:rsidTr="004A4E16">
        <w:trPr>
          <w:trHeight w:val="400"/>
        </w:trPr>
        <w:tc>
          <w:tcPr>
            <w:tcW w:w="0" w:type="auto"/>
            <w:tcBorders>
              <w:right w:val="single" w:sz="4" w:space="0" w:color="auto"/>
            </w:tcBorders>
            <w:shd w:val="clear" w:color="auto" w:fill="auto"/>
            <w:vAlign w:val="center"/>
          </w:tcPr>
          <w:p w:rsidR="0068579F" w:rsidRPr="004A4E16" w:rsidRDefault="0068579F" w:rsidP="004A4E16">
            <w:pPr>
              <w:spacing w:line="360" w:lineRule="auto"/>
              <w:rPr>
                <w:b/>
                <w:lang w:val="es-AR"/>
              </w:rPr>
            </w:pPr>
            <w:r w:rsidRPr="004A4E16">
              <w:rPr>
                <w:b/>
                <w:lang w:val="es-AR"/>
              </w:rPr>
              <w:t>Total Capital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8579F" w:rsidRPr="004A4E16" w:rsidRDefault="002B6D0C" w:rsidP="00275EB9">
            <w:pPr>
              <w:spacing w:line="360" w:lineRule="auto"/>
              <w:jc w:val="right"/>
              <w:rPr>
                <w:b/>
                <w:lang w:val="es-AR"/>
              </w:rPr>
            </w:pPr>
            <w:r w:rsidRPr="004A4E16">
              <w:rPr>
                <w:b/>
                <w:lang w:val="es-AR"/>
              </w:rPr>
              <w:t>5.278</w:t>
            </w:r>
          </w:p>
        </w:tc>
      </w:tr>
    </w:tbl>
    <w:p w:rsidR="000A663F" w:rsidRDefault="000A663F" w:rsidP="000B475F">
      <w:pPr>
        <w:spacing w:line="360" w:lineRule="auto"/>
        <w:jc w:val="center"/>
        <w:rPr>
          <w:lang w:val="es-AR"/>
        </w:rPr>
      </w:pPr>
    </w:p>
    <w:p w:rsidR="00733289" w:rsidRPr="005A785D" w:rsidRDefault="0063628C" w:rsidP="000B475F">
      <w:pPr>
        <w:spacing w:line="360" w:lineRule="auto"/>
        <w:jc w:val="both"/>
        <w:rPr>
          <w:b/>
          <w:lang w:val="es-AR"/>
        </w:rPr>
      </w:pPr>
      <w:r>
        <w:rPr>
          <w:lang w:val="es-AR"/>
        </w:rPr>
        <w:t>.</w:t>
      </w:r>
    </w:p>
    <w:p w:rsidR="00C4680B" w:rsidRPr="005A785D" w:rsidRDefault="00C4680B" w:rsidP="000B475F">
      <w:pPr>
        <w:spacing w:line="360" w:lineRule="auto"/>
        <w:jc w:val="both"/>
        <w:rPr>
          <w:b/>
          <w:lang w:val="es-AR"/>
        </w:rPr>
      </w:pPr>
      <w:r w:rsidRPr="005A785D">
        <w:rPr>
          <w:b/>
          <w:lang w:val="es-AR"/>
        </w:rPr>
        <w:t xml:space="preserve">NOTA </w:t>
      </w:r>
      <w:r w:rsidR="006408FA">
        <w:rPr>
          <w:b/>
          <w:lang w:val="es-AR"/>
        </w:rPr>
        <w:t>5</w:t>
      </w:r>
      <w:r w:rsidRPr="005A785D">
        <w:rPr>
          <w:lang w:val="es-AR"/>
        </w:rPr>
        <w:t xml:space="preserve"> </w:t>
      </w:r>
      <w:r w:rsidRPr="005A785D">
        <w:rPr>
          <w:b/>
          <w:lang w:val="es-AR"/>
        </w:rPr>
        <w:t>–</w:t>
      </w:r>
      <w:bookmarkStart w:id="6" w:name="OLE_LINK1"/>
      <w:bookmarkStart w:id="7" w:name="OLE_LINK2"/>
      <w:r w:rsidR="007728C5" w:rsidRPr="005A785D">
        <w:rPr>
          <w:b/>
          <w:lang w:val="es-AR"/>
        </w:rPr>
        <w:t xml:space="preserve"> </w:t>
      </w:r>
      <w:r w:rsidRPr="005A785D">
        <w:rPr>
          <w:b/>
          <w:u w:val="single"/>
          <w:lang w:val="es-AR"/>
        </w:rPr>
        <w:t>INFORMACIÓN SOBRE PARTES RELACIONADAS</w:t>
      </w:r>
    </w:p>
    <w:bookmarkEnd w:id="6"/>
    <w:bookmarkEnd w:id="7"/>
    <w:p w:rsidR="00C4680B" w:rsidRPr="005A785D" w:rsidRDefault="00C4680B" w:rsidP="000B475F">
      <w:pPr>
        <w:spacing w:line="360" w:lineRule="auto"/>
        <w:jc w:val="both"/>
        <w:rPr>
          <w:b/>
          <w:lang w:val="es-AR"/>
        </w:rPr>
      </w:pPr>
    </w:p>
    <w:p w:rsidR="00C4680B" w:rsidRPr="005A785D" w:rsidRDefault="00503E10" w:rsidP="000B475F">
      <w:pPr>
        <w:spacing w:line="360" w:lineRule="auto"/>
        <w:jc w:val="both"/>
        <w:rPr>
          <w:lang w:val="es-AR"/>
        </w:rPr>
      </w:pPr>
      <w:bookmarkStart w:id="8" w:name="OLE_LINK5"/>
      <w:bookmarkStart w:id="9" w:name="OLE_LINK6"/>
      <w:r w:rsidRPr="005A785D">
        <w:rPr>
          <w:lang w:val="es-AR"/>
        </w:rPr>
        <w:t xml:space="preserve">Al </w:t>
      </w:r>
      <w:r w:rsidR="00622B15" w:rsidRPr="005A785D">
        <w:rPr>
          <w:lang w:val="es-AR"/>
        </w:rPr>
        <w:t>3</w:t>
      </w:r>
      <w:r w:rsidR="00343BBD">
        <w:rPr>
          <w:lang w:val="es-AR"/>
        </w:rPr>
        <w:t>1 de diciembre</w:t>
      </w:r>
      <w:r w:rsidR="00C35FD9" w:rsidRPr="005A785D">
        <w:rPr>
          <w:lang w:val="es-AR"/>
        </w:rPr>
        <w:t xml:space="preserve"> </w:t>
      </w:r>
      <w:r w:rsidR="004D2027">
        <w:rPr>
          <w:lang w:val="es-AR"/>
        </w:rPr>
        <w:t>de 2019</w:t>
      </w:r>
      <w:r w:rsidR="006435EB">
        <w:rPr>
          <w:lang w:val="es-AR"/>
        </w:rPr>
        <w:t xml:space="preserve"> y al 31 de diciembre de 2018</w:t>
      </w:r>
      <w:r w:rsidRPr="005A785D">
        <w:rPr>
          <w:lang w:val="es-AR"/>
        </w:rPr>
        <w:t xml:space="preserve">, </w:t>
      </w:r>
      <w:r w:rsidR="00AD4D40">
        <w:rPr>
          <w:lang w:val="es-AR"/>
        </w:rPr>
        <w:t>el saldo</w:t>
      </w:r>
      <w:bookmarkStart w:id="10" w:name="OLE_LINK4"/>
      <w:bookmarkStart w:id="11" w:name="OLE_LINK7"/>
      <w:r w:rsidR="00FE6BEF">
        <w:rPr>
          <w:lang w:val="es-AR"/>
        </w:rPr>
        <w:t xml:space="preserve"> con </w:t>
      </w:r>
      <w:proofErr w:type="spellStart"/>
      <w:r w:rsidR="00331FF6">
        <w:rPr>
          <w:lang w:val="es-AR"/>
        </w:rPr>
        <w:t>Famar</w:t>
      </w:r>
      <w:proofErr w:type="spellEnd"/>
      <w:r w:rsidR="008A3ACA">
        <w:rPr>
          <w:lang w:val="es-AR"/>
        </w:rPr>
        <w:t xml:space="preserve"> Fueguina</w:t>
      </w:r>
      <w:r w:rsidRPr="005A785D">
        <w:rPr>
          <w:lang w:val="es-AR"/>
        </w:rPr>
        <w:t xml:space="preserve"> </w:t>
      </w:r>
      <w:bookmarkEnd w:id="10"/>
      <w:bookmarkEnd w:id="11"/>
      <w:r w:rsidR="006435EB">
        <w:rPr>
          <w:lang w:val="es-AR"/>
        </w:rPr>
        <w:t xml:space="preserve">S.A. </w:t>
      </w:r>
      <w:r w:rsidR="00AD4D40">
        <w:rPr>
          <w:lang w:val="es-AR"/>
        </w:rPr>
        <w:t>es el</w:t>
      </w:r>
      <w:r w:rsidRPr="005A785D">
        <w:rPr>
          <w:lang w:val="es-AR"/>
        </w:rPr>
        <w:t xml:space="preserve"> siguiente:</w:t>
      </w:r>
      <w:bookmarkEnd w:id="8"/>
      <w:bookmarkEnd w:id="9"/>
    </w:p>
    <w:p w:rsidR="006A5A3D" w:rsidRPr="005A785D" w:rsidRDefault="006A5A3D" w:rsidP="00EA79ED">
      <w:pPr>
        <w:spacing w:line="360" w:lineRule="auto"/>
        <w:ind w:left="-142"/>
        <w:jc w:val="center"/>
        <w:rPr>
          <w:lang w:val="es-AR"/>
        </w:rPr>
      </w:pPr>
    </w:p>
    <w:p w:rsidR="00FA57EC" w:rsidRPr="002D506D" w:rsidRDefault="00FA57EC" w:rsidP="003F12DE">
      <w:pPr>
        <w:tabs>
          <w:tab w:val="left" w:pos="8385"/>
        </w:tabs>
        <w:jc w:val="center"/>
        <w:rPr>
          <w:b/>
          <w:sz w:val="8"/>
          <w:szCs w:val="8"/>
          <w:lang w:val="es-AR"/>
        </w:rPr>
      </w:pPr>
    </w:p>
    <w:p w:rsidR="003C1E59" w:rsidRDefault="003C1E59" w:rsidP="000E0DA3">
      <w:pPr>
        <w:tabs>
          <w:tab w:val="left" w:pos="8385"/>
        </w:tabs>
        <w:rPr>
          <w:b/>
          <w:sz w:val="10"/>
          <w:szCs w:val="10"/>
          <w:lang w:val="es-AR"/>
        </w:rPr>
      </w:pPr>
    </w:p>
    <w:p w:rsidR="0058656C" w:rsidRDefault="004D61B9" w:rsidP="000E0DA3">
      <w:pPr>
        <w:tabs>
          <w:tab w:val="left" w:pos="8385"/>
        </w:tabs>
        <w:rPr>
          <w:b/>
          <w:sz w:val="10"/>
          <w:szCs w:val="10"/>
          <w:lang w:val="es-AR"/>
        </w:rPr>
      </w:pPr>
      <w:r>
        <w:rPr>
          <w:b/>
          <w:sz w:val="10"/>
          <w:szCs w:val="10"/>
          <w:lang w:val="es-AR"/>
        </w:rPr>
        <w:pict>
          <v:shape id="_x0000_i1075" type="#_x0000_t75" style="width:233.25pt;height:50.25pt">
            <v:imagedata r:id="rId25" o:title=""/>
          </v:shape>
        </w:pict>
      </w:r>
    </w:p>
    <w:p w:rsidR="00C519D6" w:rsidRDefault="00C519D6" w:rsidP="000E0DA3">
      <w:pPr>
        <w:tabs>
          <w:tab w:val="left" w:pos="8385"/>
        </w:tabs>
        <w:rPr>
          <w:b/>
          <w:sz w:val="10"/>
          <w:szCs w:val="10"/>
          <w:lang w:val="es-AR"/>
        </w:rPr>
      </w:pPr>
    </w:p>
    <w:p w:rsidR="00C519D6" w:rsidRDefault="00C519D6" w:rsidP="000E0DA3">
      <w:pPr>
        <w:tabs>
          <w:tab w:val="left" w:pos="8385"/>
        </w:tabs>
        <w:rPr>
          <w:b/>
          <w:sz w:val="10"/>
          <w:szCs w:val="10"/>
          <w:lang w:val="es-AR"/>
        </w:rPr>
      </w:pPr>
    </w:p>
    <w:p w:rsidR="00C519D6" w:rsidRDefault="00C519D6" w:rsidP="000E0DA3">
      <w:pPr>
        <w:tabs>
          <w:tab w:val="left" w:pos="8385"/>
        </w:tabs>
        <w:rPr>
          <w:b/>
          <w:sz w:val="10"/>
          <w:szCs w:val="10"/>
          <w:lang w:val="es-AR"/>
        </w:rPr>
      </w:pPr>
    </w:p>
    <w:p w:rsidR="0058656C" w:rsidRDefault="004D61B9" w:rsidP="000E0DA3">
      <w:pPr>
        <w:tabs>
          <w:tab w:val="left" w:pos="8385"/>
        </w:tabs>
        <w:rPr>
          <w:b/>
          <w:sz w:val="10"/>
          <w:szCs w:val="10"/>
          <w:lang w:val="es-AR"/>
        </w:rPr>
      </w:pPr>
      <w:r>
        <w:rPr>
          <w:b/>
          <w:sz w:val="10"/>
          <w:szCs w:val="10"/>
          <w:lang w:val="es-AR"/>
        </w:rPr>
        <w:pict>
          <v:shape id="_x0000_i1074" type="#_x0000_t75" style="width:384pt;height:51pt">
            <v:imagedata r:id="rId26" o:title=""/>
          </v:shape>
        </w:pict>
      </w:r>
    </w:p>
    <w:p w:rsidR="0058656C" w:rsidRPr="006435EB" w:rsidRDefault="0058656C" w:rsidP="006435EB">
      <w:pPr>
        <w:spacing w:line="360" w:lineRule="auto"/>
        <w:jc w:val="both"/>
        <w:rPr>
          <w:lang w:val="es-AR"/>
        </w:rPr>
      </w:pPr>
    </w:p>
    <w:p w:rsidR="000C1699" w:rsidRDefault="006435EB" w:rsidP="000B475F">
      <w:pPr>
        <w:spacing w:line="360" w:lineRule="auto"/>
        <w:jc w:val="both"/>
        <w:rPr>
          <w:b/>
          <w:bCs/>
          <w:szCs w:val="18"/>
          <w:u w:val="single"/>
          <w:lang w:val="es-AR"/>
        </w:rPr>
      </w:pPr>
      <w:r>
        <w:rPr>
          <w:lang w:val="es-AR"/>
        </w:rPr>
        <w:br w:type="page"/>
      </w:r>
      <w:r w:rsidR="00BB5AB8" w:rsidRPr="005A785D">
        <w:rPr>
          <w:b/>
          <w:lang w:val="es-AR"/>
        </w:rPr>
        <w:t xml:space="preserve">NOTA </w:t>
      </w:r>
      <w:r w:rsidR="006408FA">
        <w:rPr>
          <w:b/>
          <w:lang w:val="es-AR"/>
        </w:rPr>
        <w:t>6</w:t>
      </w:r>
      <w:r w:rsidR="00E75137" w:rsidRPr="005A785D">
        <w:rPr>
          <w:b/>
          <w:lang w:val="es-AR"/>
        </w:rPr>
        <w:t xml:space="preserve"> – </w:t>
      </w:r>
      <w:r w:rsidR="000C1699" w:rsidRPr="005A785D">
        <w:rPr>
          <w:b/>
          <w:bCs/>
          <w:szCs w:val="18"/>
          <w:u w:val="single"/>
          <w:lang w:val="es-AR"/>
        </w:rPr>
        <w:t>RESTRICCIÓN A LA DISTRIBUCIÓN DE UTILIDADES</w:t>
      </w:r>
    </w:p>
    <w:p w:rsidR="00910F7A" w:rsidRPr="005A785D" w:rsidRDefault="00910F7A" w:rsidP="000B475F">
      <w:pPr>
        <w:spacing w:line="360" w:lineRule="auto"/>
        <w:jc w:val="both"/>
        <w:rPr>
          <w:b/>
          <w:bCs/>
          <w:szCs w:val="18"/>
          <w:u w:val="single"/>
          <w:lang w:val="es-AR"/>
        </w:rPr>
      </w:pPr>
    </w:p>
    <w:p w:rsidR="00B0681D" w:rsidRPr="005A785D" w:rsidRDefault="00B0681D" w:rsidP="000B475F">
      <w:pPr>
        <w:spacing w:line="360" w:lineRule="auto"/>
        <w:jc w:val="both"/>
        <w:rPr>
          <w:szCs w:val="18"/>
          <w:lang w:val="es-AR"/>
        </w:rPr>
      </w:pPr>
      <w:r w:rsidRPr="005A785D">
        <w:rPr>
          <w:szCs w:val="18"/>
          <w:lang w:val="es-AR"/>
        </w:rPr>
        <w:t xml:space="preserve">De acuerdo con lo establecido por el Art. 70 de la Ley </w:t>
      </w:r>
      <w:r w:rsidR="00C8092D" w:rsidRPr="005A785D">
        <w:rPr>
          <w:szCs w:val="18"/>
          <w:lang w:val="es-AR"/>
        </w:rPr>
        <w:t xml:space="preserve">General </w:t>
      </w:r>
      <w:r w:rsidRPr="005A785D">
        <w:rPr>
          <w:szCs w:val="18"/>
          <w:lang w:val="es-AR"/>
        </w:rPr>
        <w:t xml:space="preserve">de Sociedades (Ley Nº 19.550), deberá destinarse a Reserva legal el 5% de las utilidades que arroje el estado de resultados de cada </w:t>
      </w:r>
      <w:r w:rsidR="002406DA" w:rsidRPr="005A785D">
        <w:rPr>
          <w:szCs w:val="18"/>
          <w:lang w:val="es-AR"/>
        </w:rPr>
        <w:t>ejercicio</w:t>
      </w:r>
      <w:r w:rsidR="004D2027">
        <w:rPr>
          <w:szCs w:val="18"/>
          <w:lang w:val="es-AR"/>
        </w:rPr>
        <w:t xml:space="preserve">, hasta que la </w:t>
      </w:r>
      <w:proofErr w:type="gramStart"/>
      <w:r w:rsidR="004D2027">
        <w:rPr>
          <w:szCs w:val="18"/>
          <w:lang w:val="es-AR"/>
        </w:rPr>
        <w:t xml:space="preserve">misma </w:t>
      </w:r>
      <w:r w:rsidRPr="005A785D">
        <w:rPr>
          <w:szCs w:val="18"/>
          <w:lang w:val="es-AR"/>
        </w:rPr>
        <w:t>alcance</w:t>
      </w:r>
      <w:proofErr w:type="gramEnd"/>
      <w:r w:rsidRPr="005A785D">
        <w:rPr>
          <w:szCs w:val="18"/>
          <w:lang w:val="es-AR"/>
        </w:rPr>
        <w:t xml:space="preserve"> el 20% del capital social. Dicha reserva no estará disponible para la distribución de dividendos</w:t>
      </w:r>
      <w:r w:rsidR="00C84C27">
        <w:rPr>
          <w:szCs w:val="18"/>
          <w:lang w:val="es-AR"/>
        </w:rPr>
        <w:t>.</w:t>
      </w:r>
    </w:p>
    <w:p w:rsidR="00BB5AB8" w:rsidRDefault="00BB5AB8" w:rsidP="000B475F">
      <w:pPr>
        <w:spacing w:line="360" w:lineRule="auto"/>
        <w:jc w:val="both"/>
        <w:rPr>
          <w:lang w:val="es-AR"/>
        </w:rPr>
      </w:pPr>
    </w:p>
    <w:p w:rsidR="006435EB" w:rsidRPr="006C1867" w:rsidRDefault="006408FA" w:rsidP="006435EB">
      <w:pPr>
        <w:spacing w:line="360" w:lineRule="auto"/>
        <w:jc w:val="both"/>
        <w:rPr>
          <w:b/>
          <w:bCs/>
          <w:u w:val="single"/>
          <w:lang w:val="es-AR"/>
        </w:rPr>
      </w:pPr>
      <w:r>
        <w:rPr>
          <w:b/>
          <w:bCs/>
          <w:lang w:val="es-AR"/>
        </w:rPr>
        <w:t>NOTA 7</w:t>
      </w:r>
      <w:r w:rsidR="006435EB" w:rsidRPr="00910F7A">
        <w:rPr>
          <w:b/>
          <w:bCs/>
          <w:lang w:val="es-AR"/>
        </w:rPr>
        <w:t xml:space="preserve"> –</w:t>
      </w:r>
      <w:r w:rsidR="006435EB" w:rsidRPr="006C1867">
        <w:rPr>
          <w:b/>
          <w:bCs/>
          <w:u w:val="single"/>
          <w:lang w:val="es-AR"/>
        </w:rPr>
        <w:t xml:space="preserve"> CONTEXTO ECONOMICO</w:t>
      </w:r>
    </w:p>
    <w:p w:rsidR="006435EB" w:rsidRDefault="006435EB" w:rsidP="006435EB">
      <w:pPr>
        <w:spacing w:line="360" w:lineRule="auto"/>
        <w:jc w:val="both"/>
        <w:rPr>
          <w:b/>
          <w:bCs/>
          <w:lang w:val="es-AR"/>
        </w:rPr>
      </w:pPr>
    </w:p>
    <w:p w:rsidR="006435EB" w:rsidRPr="006C1867" w:rsidRDefault="006435EB" w:rsidP="006435EB">
      <w:pPr>
        <w:spacing w:line="360" w:lineRule="auto"/>
        <w:jc w:val="both"/>
        <w:rPr>
          <w:lang w:val="es-AR"/>
        </w:rPr>
      </w:pPr>
      <w:r w:rsidRPr="006C1867">
        <w:rPr>
          <w:lang w:val="es-AR"/>
        </w:rPr>
        <w:t>El 10 de diciembre de 2019 asumió un nuevo gobierno nacional y ha comenzado un proceso de cambios con respecto a la administración anterior.</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 xml:space="preserve">El nuevo gobierno ha establecido como prioridad encarar soluciones para las dificultades en las áreas económica y social. </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En el marco del proceso de ajuste del mecanismo de control de cambios necesario para preservar las reservas del BCRA, esta institución ha emitido las Comunicaciones “A” 6854 (27/12/19) y “A” 6856 (30/12/19) por las que se extienden con plazo indefinido las normas sobre Exterior y Cambios emitidas por el BCRA durante la anterior administración de gobierno, que caducaban originalmente el 31 de diciembre de 2019.</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Como medidas directas del nuevo gobierno, el 23 de diciembre de 2019 se publicó en el Boletín Oficial la Ley N° 27.541 de “Solidaridad Social y Reactivación Productiva en el marco de Emergencia Pública” y el Decreto N° 58/2019 que la promulgó. Asimismo, el 28 de diciembre de 2019 se publicó el Decreto N° 99/2019 con las regulaciones para la implementación de la Ley. Las reformas introducidas procuran reactivar las áreas económica, financiera, fiscal, administrativa, previsional, tarifaria, energética, sanitaria y social, y facultan al Poder Ejecutivo Nacional (PEN) a llevar adelante las gestiones y los actos necesarios para recuperar y asegurar la sostenibilidad de la deuda pública de la República Argentina.</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Las principales medidas contenidas en la Ley y su reglamentación son las siguientes:</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Obligaciones tributarias</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a)</w:t>
      </w:r>
      <w:r>
        <w:rPr>
          <w:lang w:val="es-AR"/>
        </w:rPr>
        <w:t xml:space="preserve"> R</w:t>
      </w:r>
      <w:r w:rsidRPr="006C1867">
        <w:rPr>
          <w:lang w:val="es-AR"/>
        </w:rPr>
        <w:t>egularización de obligaciones</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 xml:space="preserve">Se establece un régimen de regularización de las obligaciones tributarias, de la seguridad social y aduaneras, respecto de las obligaciones vencidas al 30 de noviembre de 2019 inclusive, para aquellas empresas que acrediten su inscripción como micro, pequeñas o medianas empresas, según los términos del artículo 2° de la Ley N° 24.467, y para las entidades civiles sin fines de lucro. </w:t>
      </w:r>
    </w:p>
    <w:p w:rsidR="00F15851" w:rsidRDefault="00F15851">
      <w:pPr>
        <w:rPr>
          <w:lang w:val="es-AR"/>
        </w:rPr>
      </w:pPr>
      <w:r>
        <w:rPr>
          <w:lang w:val="es-AR"/>
        </w:rPr>
        <w:br w:type="page"/>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b)</w:t>
      </w:r>
      <w:r>
        <w:rPr>
          <w:lang w:val="es-AR"/>
        </w:rPr>
        <w:t xml:space="preserve"> </w:t>
      </w:r>
      <w:r w:rsidRPr="006C1867">
        <w:rPr>
          <w:lang w:val="es-AR"/>
        </w:rPr>
        <w:t>Impuesto a las ganancias</w:t>
      </w:r>
    </w:p>
    <w:p w:rsidR="006435EB" w:rsidRPr="006C1867" w:rsidRDefault="006435EB" w:rsidP="006435EB">
      <w:pPr>
        <w:spacing w:line="360" w:lineRule="auto"/>
        <w:jc w:val="both"/>
        <w:rPr>
          <w:lang w:val="es-AR"/>
        </w:rPr>
      </w:pPr>
    </w:p>
    <w:p w:rsidR="006435EB" w:rsidRPr="006C1867" w:rsidRDefault="006435EB" w:rsidP="006435EB">
      <w:pPr>
        <w:spacing w:line="360" w:lineRule="auto"/>
        <w:ind w:firstLine="284"/>
        <w:jc w:val="both"/>
        <w:rPr>
          <w:lang w:val="es-AR"/>
        </w:rPr>
      </w:pPr>
      <w:r w:rsidRPr="006C1867">
        <w:rPr>
          <w:lang w:val="es-AR"/>
        </w:rPr>
        <w:t>(i)</w:t>
      </w:r>
      <w:r w:rsidRPr="006C1867">
        <w:rPr>
          <w:lang w:val="es-AR"/>
        </w:rPr>
        <w:tab/>
        <w:t>La Ley N° 27.430 había dispuesto para los períodos fiscales iniciados a partir del 1 de enero de 2020, que la alícuota corporativa de impuesto a las ganancias se reduciría del 30% al 25% y que el impuesto adicional a los dividendos o utilidades que se distribuyan a personas humanas de Argentina y del exterior y personas jurídicas del exterior se incrementaría del 7% al 13%. La reforma suspende ese cambio de tasas y mantiene las originales del 30% y 7%, hasta los ejercicios fiscales que se inicien a partir del 1° de enero de 2021 inclusive.</w:t>
      </w:r>
    </w:p>
    <w:p w:rsidR="006435EB" w:rsidRPr="006C1867" w:rsidRDefault="006435EB" w:rsidP="006435EB">
      <w:pPr>
        <w:spacing w:line="360" w:lineRule="auto"/>
        <w:jc w:val="both"/>
        <w:rPr>
          <w:lang w:val="es-AR"/>
        </w:rPr>
      </w:pPr>
    </w:p>
    <w:p w:rsidR="006435EB" w:rsidRPr="006C1867" w:rsidRDefault="006435EB" w:rsidP="006435EB">
      <w:pPr>
        <w:spacing w:line="360" w:lineRule="auto"/>
        <w:ind w:firstLine="284"/>
        <w:jc w:val="both"/>
        <w:rPr>
          <w:lang w:val="es-AR"/>
        </w:rPr>
      </w:pPr>
      <w:r w:rsidRPr="006C1867">
        <w:rPr>
          <w:lang w:val="es-AR"/>
        </w:rPr>
        <w:t>(ii)</w:t>
      </w:r>
      <w:r w:rsidRPr="006C1867">
        <w:rPr>
          <w:lang w:val="es-AR"/>
        </w:rPr>
        <w:tab/>
        <w:t>La Ley N° 27.468 había dispuesto para los tres primeros ejercicios fiscales iniciados a partir del 1 de enero de 2018, que el ajuste por inflación positivo o negativo que pudiera corresponder debía distribuirse un tercio en el ejercicio fiscal en que se determinara el ajuste, y los dos tercios restantes, en partes iguales, en los dos períodos fiscales inmediatos siguientes. La reforma modificó esa distribución y establece que el ajuste positivo o negativo correspondiente al primer y segundo ejercicio fiscal iniciados a partir del 1 de enero de 2019, deberá imputarse un sexto al ejercicio fiscal en que se determine el ajuste y los cinco sextos restantes en los cinco períodos fiscales inmediatos siguientes; en tanto que para los ejercicios fiscales iniciados a partir del 1 de enero de 2021 se podrá deducir el 100% del ajuste en el año en el cual él se determina.</w:t>
      </w:r>
    </w:p>
    <w:p w:rsidR="006435EB" w:rsidRPr="006C1867" w:rsidRDefault="006435EB" w:rsidP="006435EB">
      <w:pPr>
        <w:spacing w:line="360" w:lineRule="auto"/>
        <w:jc w:val="both"/>
        <w:rPr>
          <w:lang w:val="es-AR"/>
        </w:rPr>
      </w:pPr>
    </w:p>
    <w:p w:rsidR="006435EB" w:rsidRPr="006C1867" w:rsidRDefault="006435EB" w:rsidP="00965F33">
      <w:pPr>
        <w:numPr>
          <w:ilvl w:val="0"/>
          <w:numId w:val="6"/>
        </w:numPr>
        <w:tabs>
          <w:tab w:val="clear" w:pos="360"/>
          <w:tab w:val="left" w:pos="284"/>
          <w:tab w:val="left" w:pos="426"/>
          <w:tab w:val="num" w:pos="502"/>
        </w:tabs>
        <w:spacing w:line="360" w:lineRule="auto"/>
        <w:ind w:left="502" w:hanging="502"/>
        <w:jc w:val="both"/>
        <w:rPr>
          <w:lang w:val="es-AR"/>
        </w:rPr>
      </w:pPr>
      <w:r w:rsidRPr="006C1867">
        <w:rPr>
          <w:lang w:val="es-AR"/>
        </w:rPr>
        <w:t>Contribuciones patronales</w:t>
      </w:r>
    </w:p>
    <w:p w:rsidR="006435EB" w:rsidRPr="006C1867" w:rsidRDefault="006435EB" w:rsidP="006435EB">
      <w:pPr>
        <w:spacing w:line="360" w:lineRule="auto"/>
        <w:jc w:val="both"/>
        <w:rPr>
          <w:lang w:val="es-AR"/>
        </w:rPr>
      </w:pPr>
    </w:p>
    <w:p w:rsidR="006435EB" w:rsidRPr="006C1867" w:rsidRDefault="006435EB" w:rsidP="006435EB">
      <w:pPr>
        <w:spacing w:line="360" w:lineRule="auto"/>
        <w:ind w:firstLine="284"/>
        <w:jc w:val="both"/>
        <w:rPr>
          <w:lang w:val="es-AR"/>
        </w:rPr>
      </w:pPr>
      <w:r w:rsidRPr="006C1867">
        <w:rPr>
          <w:lang w:val="es-AR"/>
        </w:rPr>
        <w:t>(i)</w:t>
      </w:r>
      <w:r w:rsidRPr="006C1867">
        <w:rPr>
          <w:lang w:val="es-AR"/>
        </w:rPr>
        <w:tab/>
        <w:t>Se elimina la reducción progresiva de las contribuciones prevista hasta el 2022, y fija las alícuotas desde diciembre de 2019.</w:t>
      </w:r>
    </w:p>
    <w:p w:rsidR="006435EB" w:rsidRPr="006C1867" w:rsidRDefault="006435EB" w:rsidP="006435EB">
      <w:pPr>
        <w:spacing w:line="360" w:lineRule="auto"/>
        <w:jc w:val="both"/>
        <w:rPr>
          <w:lang w:val="es-AR"/>
        </w:rPr>
      </w:pPr>
    </w:p>
    <w:p w:rsidR="006435EB" w:rsidRPr="006C1867" w:rsidRDefault="006435EB" w:rsidP="006435EB">
      <w:pPr>
        <w:spacing w:line="360" w:lineRule="auto"/>
        <w:ind w:firstLine="284"/>
        <w:jc w:val="both"/>
        <w:rPr>
          <w:lang w:val="es-AR"/>
        </w:rPr>
      </w:pPr>
      <w:r w:rsidRPr="006C1867">
        <w:rPr>
          <w:lang w:val="es-AR"/>
        </w:rPr>
        <w:t>(ii)</w:t>
      </w:r>
      <w:r w:rsidRPr="006C1867">
        <w:rPr>
          <w:lang w:val="es-AR"/>
        </w:rPr>
        <w:tab/>
        <w:t>Se establecen sumas fijas que podrán detraerse de la base de cálculo, sin que exista en la norma previsión de ajuste futuro.</w:t>
      </w:r>
    </w:p>
    <w:p w:rsidR="006435EB" w:rsidRPr="006C1867" w:rsidRDefault="006435EB" w:rsidP="006435EB">
      <w:pPr>
        <w:spacing w:line="360" w:lineRule="auto"/>
        <w:jc w:val="both"/>
        <w:rPr>
          <w:lang w:val="es-AR"/>
        </w:rPr>
      </w:pPr>
    </w:p>
    <w:p w:rsidR="006435EB" w:rsidRPr="006C1867" w:rsidRDefault="006435EB" w:rsidP="00965F33">
      <w:pPr>
        <w:numPr>
          <w:ilvl w:val="0"/>
          <w:numId w:val="6"/>
        </w:numPr>
        <w:spacing w:line="360" w:lineRule="auto"/>
        <w:jc w:val="both"/>
        <w:rPr>
          <w:lang w:val="es-AR"/>
        </w:rPr>
      </w:pPr>
      <w:r w:rsidRPr="006C1867">
        <w:rPr>
          <w:lang w:val="es-AR"/>
        </w:rPr>
        <w:t>Impuesto sobre los créditos y débitos en cuentas bancarias</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Se establece que las extracciones en efectivo de cuentas abiertas en entidades regidas por la Ley de Entidades Financieras, efectuadas bajo cualquier forma a partir del 24 de noviembre de 2019, estarán sujetas a un impuesto del 1,2% sobre el correspondiente débito en las cuentas mencionadas, en vez de la tasa regular del 0,6%. Esta duplicación de tasa no aplica para cuentas de personas jurídicas que revistan y acrediten la condición de Micro y Pequeñas Empresas en los términos del artículo 2°de la Ley N° 24.467.</w:t>
      </w:r>
    </w:p>
    <w:p w:rsidR="006435EB" w:rsidRPr="006C1867" w:rsidRDefault="006435EB" w:rsidP="006435EB">
      <w:pPr>
        <w:spacing w:line="360" w:lineRule="auto"/>
        <w:jc w:val="both"/>
        <w:rPr>
          <w:lang w:val="es-AR"/>
        </w:rPr>
      </w:pPr>
    </w:p>
    <w:p w:rsidR="006435EB" w:rsidRPr="006C1867" w:rsidRDefault="006435EB" w:rsidP="00965F33">
      <w:pPr>
        <w:numPr>
          <w:ilvl w:val="0"/>
          <w:numId w:val="6"/>
        </w:numPr>
        <w:spacing w:line="360" w:lineRule="auto"/>
        <w:jc w:val="both"/>
        <w:rPr>
          <w:lang w:val="es-AR"/>
        </w:rPr>
      </w:pPr>
      <w:r w:rsidRPr="006C1867">
        <w:rPr>
          <w:lang w:val="es-AR"/>
        </w:rPr>
        <w:t>Tasa de estadística</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Se establece un incremento del 2,5 % al 3% en la tasa de estadística aplicable a importaciones definitivas para consumo efectuadas desde el 1 de enero hasta el 31 de diciembre de 2020.</w:t>
      </w:r>
    </w:p>
    <w:p w:rsidR="00F15851" w:rsidRDefault="00F15851">
      <w:pPr>
        <w:rPr>
          <w:lang w:val="es-AR"/>
        </w:rPr>
      </w:pPr>
      <w:r>
        <w:rPr>
          <w:lang w:val="es-AR"/>
        </w:rPr>
        <w:br w:type="page"/>
      </w:r>
    </w:p>
    <w:p w:rsidR="006435EB" w:rsidRPr="006C1867" w:rsidRDefault="006435EB" w:rsidP="006435EB">
      <w:pPr>
        <w:spacing w:line="360" w:lineRule="auto"/>
        <w:jc w:val="both"/>
        <w:rPr>
          <w:lang w:val="es-AR"/>
        </w:rPr>
      </w:pPr>
    </w:p>
    <w:p w:rsidR="006435EB" w:rsidRPr="006C1867" w:rsidRDefault="006435EB" w:rsidP="00965F33">
      <w:pPr>
        <w:numPr>
          <w:ilvl w:val="0"/>
          <w:numId w:val="6"/>
        </w:numPr>
        <w:spacing w:line="360" w:lineRule="auto"/>
        <w:jc w:val="both"/>
        <w:rPr>
          <w:lang w:val="es-AR"/>
        </w:rPr>
      </w:pPr>
      <w:r w:rsidRPr="006C1867">
        <w:rPr>
          <w:lang w:val="es-AR"/>
        </w:rPr>
        <w:t>Impuesto para una Argentina inclusiva y solidaria (PAIS)</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Se establece con carácter de emergencia, por el término de cinco períodos fiscales, un impuesto que grava con una tasa del 30% las operaciones vinculadas con la adquisición de moneda extranjera para atesoramiento, compra de bienes y servicios en moneda extranjera y transporte internacional de pasajeros, y están alcanzados todos los sujetos residentes en Argentina, ya sean personas humanas o jurídicas. El gravamen no revistará el carácter de pago a cuenta de ningún impuesto.</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Derechos de exportación</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Se faculta al PEN a incrementar los derechos de exportación hasta (i) un 33% del valor imponible o del precio oficial FOB para las habas de soja, (ii) un 15% para las exportaciones de mercancías que no estaban sujetas a derechos de exportación o tenían una alícuota del 0</w:t>
      </w:r>
      <w:proofErr w:type="gramStart"/>
      <w:r w:rsidRPr="006C1867">
        <w:rPr>
          <w:lang w:val="es-AR"/>
        </w:rPr>
        <w:t>%  al</w:t>
      </w:r>
      <w:proofErr w:type="gramEnd"/>
      <w:r w:rsidRPr="006C1867">
        <w:rPr>
          <w:lang w:val="es-AR"/>
        </w:rPr>
        <w:t xml:space="preserve"> 2 de septiembre de 2018, (iii) un 5% para los productos agroindustriales de las economías regionales definidas por el PEN, y (iv) un 5% del valor imponible o del precio oficial FOB para productos industriales y servicios.</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Previo a la aprobación de la Ley N° 25.541, el gobierno emitió el Decreto N° 37/2019 (B.O 14/12/2019) por el que cambió el esquema de retenciones, dejando sin efecto el límite de 4 pesos por dólar que había establecido la anterior administración en 2018, y subió los derechos de exportación para determinadas posiciones arancelarias.</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Aspectos laborales y tributación de la nómina</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 xml:space="preserve">Se faculta al PEN a disponer incrementos salariales mínimos que los empleadores del sector privado deberán abonar a sus trabajadores, y también faculta al PEN a eximir por tiempo limitado del pago de aportes y contribuciones al Sistema Integrado Previsional Argentino (SIPA) sobre los aumentos que decrete el PEN o resulten de negociaciones colectivas. </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Vinculado a aspectos laborales, previamente a la emisión de la Ley N° 27.541 y por medio del Decreto de Necesidad y Urgencia N° 34/19 (B.O. 13/12/2019), el PEN instauró por un plazo de 180 días la doble indemnización para trabajadores despedidos sin causa justa. Esta medida no es aplicable a las contrataciones celebradas con posterioridad a la entrada en vigencia del Decreto.</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Sistema energético</w:t>
      </w:r>
    </w:p>
    <w:p w:rsidR="006435EB" w:rsidRPr="006C1867" w:rsidRDefault="006435EB" w:rsidP="006435EB">
      <w:pPr>
        <w:spacing w:line="360" w:lineRule="auto"/>
        <w:jc w:val="both"/>
        <w:rPr>
          <w:lang w:val="es-AR"/>
        </w:rPr>
      </w:pPr>
    </w:p>
    <w:p w:rsidR="006435EB" w:rsidRPr="006C1867" w:rsidRDefault="006435EB" w:rsidP="006435EB">
      <w:pPr>
        <w:spacing w:line="360" w:lineRule="auto"/>
        <w:jc w:val="both"/>
        <w:rPr>
          <w:lang w:val="es-AR"/>
        </w:rPr>
      </w:pPr>
      <w:r w:rsidRPr="006C1867">
        <w:rPr>
          <w:lang w:val="es-AR"/>
        </w:rPr>
        <w:t xml:space="preserve">La Ley faculta al PEN a mantener las tarifas de electricidad y gas natural que estén bajo jurisdicción federal y a iniciar un proceso de renegociación de la revisión tarifaria integral vigente o iniciar una revisión de carácter extraordinario, a partir de la vigencia de la presente ley y por un plazo máximo de hasta ciento ochenta (180) días, propendiendo a una reducción de la carga tarifaria real sobre los hogares, comercios e industrias para el año 2020. </w:t>
      </w:r>
    </w:p>
    <w:p w:rsidR="00DB78E8" w:rsidRDefault="00DB78E8">
      <w:pPr>
        <w:rPr>
          <w:b/>
          <w:bCs/>
          <w:szCs w:val="18"/>
          <w:lang w:val="es-AR"/>
        </w:rPr>
      </w:pPr>
      <w:r>
        <w:rPr>
          <w:b/>
          <w:bCs/>
          <w:szCs w:val="18"/>
          <w:lang w:val="es-AR"/>
        </w:rPr>
        <w:br w:type="page"/>
      </w:r>
    </w:p>
    <w:p w:rsidR="006435EB" w:rsidRDefault="006435EB" w:rsidP="00F504F5">
      <w:pPr>
        <w:spacing w:line="360" w:lineRule="auto"/>
        <w:jc w:val="both"/>
        <w:rPr>
          <w:b/>
          <w:bCs/>
          <w:szCs w:val="18"/>
          <w:lang w:val="es-AR"/>
        </w:rPr>
      </w:pPr>
    </w:p>
    <w:p w:rsidR="00DB78E8" w:rsidRDefault="00DB78E8" w:rsidP="00DB78E8">
      <w:pPr>
        <w:spacing w:line="360" w:lineRule="auto"/>
        <w:jc w:val="both"/>
        <w:rPr>
          <w:b/>
          <w:bCs/>
          <w:szCs w:val="18"/>
          <w:u w:val="single"/>
          <w:lang w:val="es-AR"/>
        </w:rPr>
      </w:pPr>
      <w:r>
        <w:rPr>
          <w:b/>
          <w:bCs/>
          <w:szCs w:val="18"/>
          <w:lang w:val="es-AR"/>
        </w:rPr>
        <w:t xml:space="preserve">NOTA 8 – </w:t>
      </w:r>
      <w:r>
        <w:rPr>
          <w:b/>
          <w:bCs/>
          <w:szCs w:val="18"/>
          <w:u w:val="single"/>
          <w:lang w:val="es-AR"/>
        </w:rPr>
        <w:t>REGISTROS CONTABLES</w:t>
      </w:r>
    </w:p>
    <w:p w:rsidR="00DB78E8" w:rsidRDefault="00DB78E8" w:rsidP="00DB78E8">
      <w:pPr>
        <w:spacing w:line="360" w:lineRule="auto"/>
        <w:jc w:val="both"/>
        <w:rPr>
          <w:b/>
          <w:bCs/>
          <w:szCs w:val="18"/>
          <w:u w:val="single"/>
          <w:lang w:val="es-AR"/>
        </w:rPr>
      </w:pPr>
    </w:p>
    <w:p w:rsidR="00E321F2" w:rsidRPr="00DB78E8" w:rsidRDefault="00DB78E8" w:rsidP="00F504F5">
      <w:pPr>
        <w:spacing w:line="360" w:lineRule="auto"/>
        <w:jc w:val="both"/>
        <w:rPr>
          <w:szCs w:val="18"/>
          <w:lang w:val="es-AR"/>
        </w:rPr>
      </w:pPr>
      <w:r>
        <w:rPr>
          <w:szCs w:val="18"/>
          <w:lang w:val="es-AR"/>
        </w:rPr>
        <w:t xml:space="preserve">A la fecha de los presentes estados contables, por razones de índole administrativas, las operaciones del ejercicio 2019 de </w:t>
      </w:r>
      <w:r w:rsidR="00F86477">
        <w:rPr>
          <w:szCs w:val="18"/>
          <w:lang w:val="es-AR"/>
        </w:rPr>
        <w:t xml:space="preserve">Electrotécnica </w:t>
      </w:r>
      <w:proofErr w:type="spellStart"/>
      <w:r w:rsidR="00F86477">
        <w:rPr>
          <w:szCs w:val="18"/>
          <w:lang w:val="es-AR"/>
        </w:rPr>
        <w:t>Famar</w:t>
      </w:r>
      <w:proofErr w:type="spellEnd"/>
      <w:r w:rsidR="00F86477">
        <w:rPr>
          <w:szCs w:val="18"/>
          <w:lang w:val="es-AR"/>
        </w:rPr>
        <w:t xml:space="preserve"> S.A.C.I.I.E.</w:t>
      </w:r>
      <w:r>
        <w:rPr>
          <w:szCs w:val="18"/>
          <w:lang w:val="es-AR"/>
        </w:rPr>
        <w:t>, aún no han sido transcriptas al libro diario. No obstante, dichas operaciones se encuentran reflejadas en el sistema contable computarizado de la sociedad.</w:t>
      </w:r>
    </w:p>
    <w:p w:rsidR="00014930" w:rsidRDefault="00014930" w:rsidP="00F504F5">
      <w:pPr>
        <w:spacing w:line="360" w:lineRule="auto"/>
        <w:jc w:val="both"/>
        <w:rPr>
          <w:b/>
          <w:bCs/>
          <w:szCs w:val="18"/>
          <w:lang w:val="es-AR"/>
        </w:rPr>
      </w:pPr>
    </w:p>
    <w:p w:rsidR="00F504F5" w:rsidRDefault="00F504F5" w:rsidP="003544F6">
      <w:pPr>
        <w:spacing w:line="360" w:lineRule="auto"/>
        <w:jc w:val="both"/>
        <w:rPr>
          <w:b/>
          <w:bCs/>
          <w:szCs w:val="18"/>
          <w:u w:val="single"/>
          <w:lang w:val="es-AR"/>
        </w:rPr>
      </w:pPr>
    </w:p>
    <w:p w:rsidR="00C70DFC" w:rsidRPr="00C70DFC" w:rsidRDefault="00C70DFC" w:rsidP="003544F6">
      <w:pPr>
        <w:spacing w:line="360" w:lineRule="auto"/>
        <w:jc w:val="both"/>
        <w:rPr>
          <w:color w:val="000000"/>
          <w:lang w:val="es-AR"/>
        </w:rPr>
        <w:sectPr w:rsidR="00C70DFC" w:rsidRPr="00C70DFC" w:rsidSect="008060F8">
          <w:headerReference w:type="default" r:id="rId27"/>
          <w:pgSz w:w="12242" w:h="15842" w:code="1"/>
          <w:pgMar w:top="1926" w:right="851" w:bottom="1134" w:left="1418" w:header="567" w:footer="113" w:gutter="0"/>
          <w:cols w:space="720"/>
        </w:sectPr>
      </w:pPr>
    </w:p>
    <w:p w:rsidR="00333F2E" w:rsidRDefault="00333F2E" w:rsidP="00603F82">
      <w:pPr>
        <w:ind w:right="248"/>
        <w:jc w:val="right"/>
        <w:rPr>
          <w:lang w:val="es-AR"/>
        </w:rPr>
      </w:pPr>
    </w:p>
    <w:p w:rsidR="00C800BA" w:rsidRPr="005A785D" w:rsidRDefault="00C800BA" w:rsidP="00C800BA">
      <w:pPr>
        <w:pStyle w:val="Ttulo1"/>
        <w:spacing w:line="360" w:lineRule="auto"/>
        <w:jc w:val="right"/>
        <w:rPr>
          <w:lang w:val="es-AR"/>
        </w:rPr>
      </w:pPr>
      <w:r w:rsidRPr="005A785D">
        <w:rPr>
          <w:lang w:val="es-AR"/>
        </w:rPr>
        <w:t>ANEXO “</w:t>
      </w:r>
      <w:r>
        <w:rPr>
          <w:lang w:val="es-AR"/>
        </w:rPr>
        <w:t>A</w:t>
      </w:r>
      <w:r w:rsidRPr="005A785D">
        <w:rPr>
          <w:lang w:val="es-AR"/>
        </w:rPr>
        <w:t>”</w:t>
      </w:r>
    </w:p>
    <w:p w:rsidR="00F260F0" w:rsidRDefault="00C800BA" w:rsidP="00C800BA">
      <w:pPr>
        <w:jc w:val="center"/>
        <w:rPr>
          <w:b/>
          <w:bCs/>
          <w:lang w:val="es-AR"/>
        </w:rPr>
      </w:pPr>
      <w:r>
        <w:rPr>
          <w:b/>
          <w:bCs/>
          <w:lang w:val="es-AR"/>
        </w:rPr>
        <w:t xml:space="preserve">EVOLUCION DE LOS BIENES DE USO </w:t>
      </w:r>
    </w:p>
    <w:p w:rsidR="00C800BA" w:rsidRDefault="00C800BA" w:rsidP="00C800BA">
      <w:pPr>
        <w:jc w:val="center"/>
        <w:rPr>
          <w:b/>
          <w:bCs/>
          <w:lang w:val="es-AR"/>
        </w:rPr>
      </w:pPr>
      <w:r>
        <w:rPr>
          <w:b/>
          <w:bCs/>
          <w:lang w:val="es-AR"/>
        </w:rPr>
        <w:t>POR EJERCICIO AL 31 DE DICIEMBRE DE 2019</w:t>
      </w:r>
    </w:p>
    <w:p w:rsidR="00C800BA" w:rsidRDefault="00C800BA" w:rsidP="00C800BA">
      <w:pPr>
        <w:jc w:val="center"/>
        <w:rPr>
          <w:b/>
          <w:bCs/>
          <w:lang w:val="es-AR"/>
        </w:rPr>
      </w:pPr>
      <w:r>
        <w:rPr>
          <w:b/>
          <w:bCs/>
          <w:lang w:val="es-AR"/>
        </w:rPr>
        <w:t>PRESENTADO EN FORMA COMPARATIVA CON EL EJERCICIO ANTERIOR</w:t>
      </w:r>
    </w:p>
    <w:p w:rsidR="00920781" w:rsidRPr="005A785D" w:rsidRDefault="00920781" w:rsidP="00920781">
      <w:pPr>
        <w:tabs>
          <w:tab w:val="left" w:pos="3780"/>
        </w:tabs>
        <w:spacing w:line="360" w:lineRule="auto"/>
        <w:jc w:val="center"/>
        <w:rPr>
          <w:lang w:val="es-AR"/>
        </w:rPr>
      </w:pPr>
      <w:r>
        <w:rPr>
          <w:lang w:val="es-AR"/>
        </w:rPr>
        <w:t xml:space="preserve">- Cifras </w:t>
      </w:r>
      <w:r w:rsidRPr="0015602C">
        <w:rPr>
          <w:lang w:val="es-AR"/>
        </w:rPr>
        <w:t xml:space="preserve">expresadas </w:t>
      </w:r>
      <w:r>
        <w:rPr>
          <w:lang w:val="es-AR"/>
        </w:rPr>
        <w:t xml:space="preserve">en </w:t>
      </w:r>
      <w:r w:rsidR="00FF5B5B">
        <w:rPr>
          <w:lang w:val="es-AR"/>
        </w:rPr>
        <w:t xml:space="preserve">miles de </w:t>
      </w:r>
      <w:r>
        <w:rPr>
          <w:lang w:val="es-AR"/>
        </w:rPr>
        <w:t xml:space="preserve">pesos (Nota 2.b) - </w:t>
      </w:r>
    </w:p>
    <w:p w:rsidR="00EB16CB" w:rsidRDefault="00EB16CB" w:rsidP="00FF5B5B">
      <w:pPr>
        <w:spacing w:line="360" w:lineRule="auto"/>
        <w:jc w:val="center"/>
        <w:rPr>
          <w:lang w:val="es-AR"/>
        </w:rPr>
      </w:pPr>
    </w:p>
    <w:p w:rsidR="00187229" w:rsidRDefault="00187229" w:rsidP="00FF5B5B">
      <w:pPr>
        <w:spacing w:line="360" w:lineRule="auto"/>
        <w:jc w:val="center"/>
        <w:rPr>
          <w:lang w:val="es-AR"/>
        </w:rPr>
      </w:pPr>
    </w:p>
    <w:p w:rsidR="00187229" w:rsidRDefault="004D61B9" w:rsidP="00FF5B5B">
      <w:pPr>
        <w:spacing w:line="360" w:lineRule="auto"/>
        <w:jc w:val="center"/>
        <w:rPr>
          <w:lang w:val="es-AR"/>
        </w:rPr>
      </w:pPr>
      <w:r>
        <w:rPr>
          <w:lang w:val="es-AR"/>
        </w:rPr>
        <w:pict>
          <v:shape id="_x0000_i1073" type="#_x0000_t75" style="width:669.75pt;height:114.75pt">
            <v:imagedata r:id="rId28" o:title=""/>
          </v:shape>
        </w:pict>
      </w:r>
    </w:p>
    <w:p w:rsidR="00187229" w:rsidRDefault="00187229">
      <w:pPr>
        <w:rPr>
          <w:lang w:val="es-AR"/>
        </w:rPr>
      </w:pPr>
      <w:r>
        <w:rPr>
          <w:lang w:val="es-AR"/>
        </w:rPr>
        <w:br w:type="page"/>
      </w:r>
    </w:p>
    <w:p w:rsidR="00AF566D" w:rsidRPr="005A785D" w:rsidRDefault="00715BF8" w:rsidP="00945044">
      <w:pPr>
        <w:pStyle w:val="Ttulo1"/>
        <w:spacing w:line="360" w:lineRule="auto"/>
        <w:jc w:val="right"/>
        <w:rPr>
          <w:lang w:val="es-AR"/>
        </w:rPr>
      </w:pPr>
      <w:r w:rsidRPr="005A785D">
        <w:rPr>
          <w:lang w:val="es-AR"/>
        </w:rPr>
        <w:t>ANEXO “</w:t>
      </w:r>
      <w:r w:rsidR="00763794">
        <w:rPr>
          <w:lang w:val="es-AR"/>
        </w:rPr>
        <w:t>C</w:t>
      </w:r>
      <w:r w:rsidRPr="005A785D">
        <w:rPr>
          <w:lang w:val="es-AR"/>
        </w:rPr>
        <w:t>”</w:t>
      </w:r>
    </w:p>
    <w:p w:rsidR="00F260F0" w:rsidRPr="00B60438" w:rsidRDefault="00F260F0" w:rsidP="007E2DD8">
      <w:pPr>
        <w:spacing w:line="360" w:lineRule="auto"/>
        <w:jc w:val="center"/>
        <w:rPr>
          <w:b/>
          <w:szCs w:val="18"/>
          <w:lang w:val="es-AR"/>
        </w:rPr>
      </w:pPr>
      <w:r>
        <w:rPr>
          <w:b/>
          <w:szCs w:val="18"/>
          <w:lang w:val="es-AR"/>
        </w:rPr>
        <w:t>PARTICIPACIÓN EN OTRAS SOCIEDADES</w:t>
      </w:r>
    </w:p>
    <w:p w:rsidR="00F260F0" w:rsidRPr="00B60438" w:rsidRDefault="00F260F0" w:rsidP="007E2DD8">
      <w:pPr>
        <w:spacing w:line="360" w:lineRule="auto"/>
        <w:jc w:val="center"/>
        <w:rPr>
          <w:b/>
          <w:szCs w:val="18"/>
          <w:lang w:val="es-AR"/>
        </w:rPr>
      </w:pPr>
      <w:r>
        <w:rPr>
          <w:b/>
          <w:szCs w:val="18"/>
          <w:lang w:val="es-AR"/>
        </w:rPr>
        <w:t>AL EJERCICIO FINALIZADO E</w:t>
      </w:r>
      <w:r w:rsidRPr="00B60438">
        <w:rPr>
          <w:b/>
          <w:szCs w:val="18"/>
          <w:lang w:val="es-AR"/>
        </w:rPr>
        <w:t>L 31 DE DICIEMBRE DE 2019</w:t>
      </w:r>
    </w:p>
    <w:p w:rsidR="00F260F0" w:rsidRPr="00B60438" w:rsidRDefault="00F260F0" w:rsidP="007E2DD8">
      <w:pPr>
        <w:spacing w:line="360" w:lineRule="auto"/>
        <w:jc w:val="center"/>
        <w:rPr>
          <w:b/>
          <w:szCs w:val="18"/>
          <w:lang w:val="es-AR"/>
        </w:rPr>
      </w:pPr>
      <w:r w:rsidRPr="00B60438">
        <w:rPr>
          <w:b/>
          <w:szCs w:val="18"/>
          <w:lang w:val="es-AR"/>
        </w:rPr>
        <w:t>PRESENTADO EN FORMA COMPARATIVA CON EL EJERC</w:t>
      </w:r>
      <w:r>
        <w:rPr>
          <w:b/>
          <w:szCs w:val="18"/>
          <w:lang w:val="es-AR"/>
        </w:rPr>
        <w:t>I</w:t>
      </w:r>
      <w:r w:rsidRPr="00B60438">
        <w:rPr>
          <w:b/>
          <w:szCs w:val="18"/>
          <w:lang w:val="es-AR"/>
        </w:rPr>
        <w:t>CIO ANTERIOR</w:t>
      </w:r>
    </w:p>
    <w:p w:rsidR="00F260F0" w:rsidRPr="00291ABB" w:rsidRDefault="00F260F0" w:rsidP="007E2DD8">
      <w:pPr>
        <w:ind w:firstLine="708"/>
        <w:jc w:val="center"/>
        <w:rPr>
          <w:szCs w:val="18"/>
          <w:lang w:val="es-AR"/>
        </w:rPr>
      </w:pPr>
      <w:r w:rsidRPr="00291ABB">
        <w:rPr>
          <w:szCs w:val="18"/>
          <w:lang w:val="es-AR"/>
        </w:rPr>
        <w:t xml:space="preserve">- Cifras expresadas en miles de pesos (Nota 2.b) </w:t>
      </w:r>
      <w:r>
        <w:rPr>
          <w:szCs w:val="18"/>
          <w:lang w:val="es-AR"/>
        </w:rPr>
        <w:t>-</w:t>
      </w:r>
    </w:p>
    <w:p w:rsidR="000857BB" w:rsidRDefault="000857BB" w:rsidP="007E2DD8">
      <w:pPr>
        <w:jc w:val="center"/>
        <w:rPr>
          <w:lang w:val="es-AR"/>
        </w:rPr>
      </w:pPr>
    </w:p>
    <w:p w:rsidR="00B20FE7" w:rsidRDefault="00B20FE7" w:rsidP="000B475F">
      <w:pPr>
        <w:jc w:val="center"/>
        <w:rPr>
          <w:lang w:val="es-AR"/>
        </w:rPr>
      </w:pPr>
    </w:p>
    <w:p w:rsidR="00B20FE7" w:rsidRDefault="004D61B9" w:rsidP="00B20FE7">
      <w:pPr>
        <w:rPr>
          <w:lang w:val="es-AR"/>
        </w:rPr>
      </w:pPr>
      <w:r>
        <w:rPr>
          <w:lang w:val="es-AR"/>
        </w:rPr>
        <w:pict>
          <v:shape id="_x0000_i1072" type="#_x0000_t75" style="width:669.75pt;height:127.5pt">
            <v:imagedata r:id="rId29" o:title=""/>
          </v:shape>
        </w:pict>
      </w:r>
    </w:p>
    <w:p w:rsidR="001F18E0" w:rsidRDefault="001F18E0" w:rsidP="00B20FE7">
      <w:pPr>
        <w:rPr>
          <w:lang w:val="es-AR"/>
        </w:rPr>
      </w:pPr>
    </w:p>
    <w:p w:rsidR="001F18E0" w:rsidRPr="005F297F" w:rsidRDefault="0061405B" w:rsidP="005F297F">
      <w:pPr>
        <w:pStyle w:val="Prrafodelista"/>
        <w:numPr>
          <w:ilvl w:val="2"/>
          <w:numId w:val="29"/>
        </w:numPr>
        <w:ind w:left="567" w:hanging="567"/>
        <w:rPr>
          <w:sz w:val="16"/>
          <w:szCs w:val="16"/>
          <w:lang w:val="es-AR"/>
        </w:rPr>
      </w:pPr>
      <w:r w:rsidRPr="005F297F">
        <w:rPr>
          <w:sz w:val="16"/>
          <w:szCs w:val="16"/>
          <w:lang w:val="es-AR"/>
        </w:rPr>
        <w:t>Estados contables por el ejercicio finalizado el 31 de diciembre de 2019.</w:t>
      </w:r>
    </w:p>
    <w:p w:rsidR="001F18E0" w:rsidRDefault="001F18E0" w:rsidP="00B20FE7">
      <w:pPr>
        <w:rPr>
          <w:lang w:val="es-AR"/>
        </w:rPr>
      </w:pPr>
    </w:p>
    <w:p w:rsidR="00C800BA" w:rsidRDefault="00B20FE7" w:rsidP="00B20FE7">
      <w:pPr>
        <w:rPr>
          <w:lang w:val="es-AR"/>
        </w:rPr>
        <w:sectPr w:rsidR="00C800BA" w:rsidSect="00FF5B5B">
          <w:headerReference w:type="default" r:id="rId30"/>
          <w:pgSz w:w="15842" w:h="12242" w:orient="landscape" w:code="1"/>
          <w:pgMar w:top="1418" w:right="1667" w:bottom="851" w:left="1134" w:header="720" w:footer="284" w:gutter="0"/>
          <w:cols w:space="720"/>
        </w:sectPr>
      </w:pPr>
      <w:r>
        <w:rPr>
          <w:lang w:val="es-AR"/>
        </w:rPr>
        <w:tab/>
      </w:r>
    </w:p>
    <w:p w:rsidR="00C800BA" w:rsidRDefault="00C800BA" w:rsidP="00C800BA">
      <w:pPr>
        <w:jc w:val="right"/>
        <w:rPr>
          <w:b/>
          <w:bCs/>
          <w:lang w:val="es-AR"/>
        </w:rPr>
      </w:pPr>
      <w:r>
        <w:rPr>
          <w:b/>
          <w:bCs/>
          <w:lang w:val="es-AR"/>
        </w:rPr>
        <w:t>ANEXO “E”</w:t>
      </w:r>
    </w:p>
    <w:p w:rsidR="00C800BA" w:rsidRDefault="00C800BA" w:rsidP="00C800BA">
      <w:pPr>
        <w:jc w:val="right"/>
        <w:rPr>
          <w:b/>
          <w:bCs/>
          <w:lang w:val="es-AR"/>
        </w:rPr>
      </w:pPr>
    </w:p>
    <w:p w:rsidR="00C800BA" w:rsidRDefault="00C800BA" w:rsidP="00C800BA">
      <w:pPr>
        <w:jc w:val="right"/>
        <w:rPr>
          <w:b/>
          <w:bCs/>
          <w:lang w:val="es-AR"/>
        </w:rPr>
      </w:pPr>
    </w:p>
    <w:p w:rsidR="00C800BA" w:rsidRDefault="00C800BA" w:rsidP="00C800BA">
      <w:pPr>
        <w:jc w:val="right"/>
        <w:rPr>
          <w:b/>
          <w:bCs/>
          <w:lang w:val="es-AR"/>
        </w:rPr>
      </w:pPr>
    </w:p>
    <w:p w:rsidR="00F260F0" w:rsidRDefault="00C800BA" w:rsidP="00C800BA">
      <w:pPr>
        <w:jc w:val="center"/>
        <w:rPr>
          <w:b/>
          <w:bCs/>
          <w:lang w:val="es-AR"/>
        </w:rPr>
      </w:pPr>
      <w:r>
        <w:rPr>
          <w:b/>
          <w:bCs/>
          <w:lang w:val="es-AR"/>
        </w:rPr>
        <w:t xml:space="preserve">EVOLUCIÓN DE LAS PREVISIONES </w:t>
      </w:r>
    </w:p>
    <w:p w:rsidR="00C800BA" w:rsidRDefault="00C800BA" w:rsidP="00C800BA">
      <w:pPr>
        <w:jc w:val="center"/>
        <w:rPr>
          <w:b/>
          <w:bCs/>
          <w:lang w:val="es-AR"/>
        </w:rPr>
      </w:pPr>
      <w:r>
        <w:rPr>
          <w:b/>
          <w:bCs/>
          <w:lang w:val="es-AR"/>
        </w:rPr>
        <w:t>POR EJERCICIO FINALIZADO EL 31 DE DICIEMBRE DE 2019</w:t>
      </w:r>
    </w:p>
    <w:p w:rsidR="00C800BA" w:rsidRDefault="00C800BA" w:rsidP="00C800BA">
      <w:pPr>
        <w:jc w:val="center"/>
        <w:rPr>
          <w:b/>
          <w:bCs/>
          <w:lang w:val="es-AR"/>
        </w:rPr>
      </w:pPr>
      <w:r>
        <w:rPr>
          <w:b/>
          <w:bCs/>
          <w:lang w:val="es-AR"/>
        </w:rPr>
        <w:t>PRESENTADO EN FORMA COMPARATIVA CON EL EJERCICIO ANTERIOR</w:t>
      </w:r>
    </w:p>
    <w:p w:rsidR="00920781" w:rsidRPr="005A785D" w:rsidRDefault="00920781" w:rsidP="00920781">
      <w:pPr>
        <w:tabs>
          <w:tab w:val="left" w:pos="3780"/>
        </w:tabs>
        <w:spacing w:line="360" w:lineRule="auto"/>
        <w:jc w:val="center"/>
        <w:rPr>
          <w:lang w:val="es-AR"/>
        </w:rPr>
      </w:pPr>
      <w:r>
        <w:rPr>
          <w:lang w:val="es-AR"/>
        </w:rPr>
        <w:t xml:space="preserve">- Cifras </w:t>
      </w:r>
      <w:r w:rsidRPr="0015602C">
        <w:rPr>
          <w:lang w:val="es-AR"/>
        </w:rPr>
        <w:t xml:space="preserve">expresadas </w:t>
      </w:r>
      <w:r>
        <w:rPr>
          <w:lang w:val="es-AR"/>
        </w:rPr>
        <w:t xml:space="preserve">en </w:t>
      </w:r>
      <w:r w:rsidR="00FF5B5B">
        <w:rPr>
          <w:lang w:val="es-AR"/>
        </w:rPr>
        <w:t xml:space="preserve">miles de </w:t>
      </w:r>
      <w:r>
        <w:rPr>
          <w:lang w:val="es-AR"/>
        </w:rPr>
        <w:t xml:space="preserve">pesos (Nota 2.b) - </w:t>
      </w:r>
    </w:p>
    <w:p w:rsidR="00C800BA" w:rsidRDefault="00C800BA" w:rsidP="00C800BA">
      <w:pPr>
        <w:jc w:val="center"/>
        <w:rPr>
          <w:lang w:val="es-AR"/>
        </w:rPr>
      </w:pPr>
    </w:p>
    <w:p w:rsidR="00EB1216" w:rsidRPr="00F76FBC" w:rsidRDefault="00EB1216" w:rsidP="00C800BA">
      <w:pPr>
        <w:jc w:val="center"/>
        <w:rPr>
          <w:lang w:val="es-AR"/>
        </w:rPr>
      </w:pPr>
    </w:p>
    <w:p w:rsidR="00C800BA" w:rsidRDefault="004D61B9" w:rsidP="00364F43">
      <w:pPr>
        <w:jc w:val="center"/>
        <w:rPr>
          <w:b/>
          <w:bCs/>
          <w:lang w:val="es-AR"/>
        </w:rPr>
      </w:pPr>
      <w:r>
        <w:rPr>
          <w:b/>
          <w:bCs/>
          <w:lang w:val="es-AR"/>
        </w:rPr>
        <w:pict>
          <v:shape id="_x0000_i1071" type="#_x0000_t75" style="width:467.25pt;height:105pt">
            <v:imagedata r:id="rId31" o:title=""/>
          </v:shape>
        </w:pict>
      </w:r>
    </w:p>
    <w:p w:rsidR="00C800BA" w:rsidRDefault="00C800BA" w:rsidP="00C800BA">
      <w:pPr>
        <w:jc w:val="right"/>
        <w:rPr>
          <w:b/>
          <w:bCs/>
          <w:lang w:val="es-AR"/>
        </w:rPr>
      </w:pPr>
    </w:p>
    <w:p w:rsidR="00C800BA" w:rsidRDefault="00C800BA" w:rsidP="00C800BA">
      <w:pPr>
        <w:jc w:val="right"/>
        <w:rPr>
          <w:b/>
          <w:bCs/>
          <w:lang w:val="es-AR"/>
        </w:rPr>
      </w:pPr>
    </w:p>
    <w:p w:rsidR="00C800BA" w:rsidRDefault="00C800BA" w:rsidP="00C800BA">
      <w:pPr>
        <w:jc w:val="right"/>
        <w:rPr>
          <w:b/>
          <w:bCs/>
          <w:lang w:val="es-AR"/>
        </w:rPr>
      </w:pPr>
    </w:p>
    <w:p w:rsidR="00C800BA" w:rsidRDefault="00C800BA" w:rsidP="00C800BA">
      <w:pPr>
        <w:jc w:val="right"/>
        <w:rPr>
          <w:b/>
          <w:bCs/>
          <w:lang w:val="es-AR"/>
        </w:rPr>
      </w:pPr>
    </w:p>
    <w:p w:rsidR="00C800BA" w:rsidRDefault="00C800BA" w:rsidP="00C800BA">
      <w:pPr>
        <w:jc w:val="right"/>
        <w:rPr>
          <w:b/>
          <w:bCs/>
          <w:lang w:val="es-AR"/>
        </w:rPr>
      </w:pPr>
    </w:p>
    <w:p w:rsidR="00B20FE7" w:rsidRDefault="00B20FE7" w:rsidP="00B20FE7">
      <w:pPr>
        <w:rPr>
          <w:lang w:val="es-AR"/>
        </w:rPr>
      </w:pPr>
    </w:p>
    <w:p w:rsidR="00C800BA" w:rsidRDefault="002E0FF1" w:rsidP="00CD7A7D">
      <w:pPr>
        <w:pStyle w:val="Ttulo1"/>
        <w:spacing w:line="360" w:lineRule="auto"/>
        <w:jc w:val="right"/>
        <w:rPr>
          <w:lang w:val="es-AR"/>
        </w:rPr>
      </w:pPr>
      <w:r>
        <w:rPr>
          <w:lang w:val="es-AR"/>
        </w:rPr>
        <w:br w:type="page"/>
      </w:r>
    </w:p>
    <w:p w:rsidR="00C800BA" w:rsidRPr="005A785D" w:rsidRDefault="00C800BA" w:rsidP="00C800BA">
      <w:pPr>
        <w:pStyle w:val="Ttulo1"/>
        <w:spacing w:line="360" w:lineRule="auto"/>
        <w:jc w:val="right"/>
        <w:rPr>
          <w:lang w:val="es-AR"/>
        </w:rPr>
      </w:pPr>
      <w:r w:rsidRPr="005A785D">
        <w:rPr>
          <w:lang w:val="es-AR"/>
        </w:rPr>
        <w:t>ANEXO “</w:t>
      </w:r>
      <w:r>
        <w:rPr>
          <w:lang w:val="es-AR"/>
        </w:rPr>
        <w:t>F</w:t>
      </w:r>
      <w:r w:rsidRPr="005A785D">
        <w:rPr>
          <w:lang w:val="es-AR"/>
        </w:rPr>
        <w:t>”</w:t>
      </w:r>
    </w:p>
    <w:p w:rsidR="00C800BA" w:rsidRDefault="00C800BA" w:rsidP="00C800BA">
      <w:pPr>
        <w:jc w:val="center"/>
        <w:rPr>
          <w:b/>
          <w:bCs/>
          <w:lang w:val="es-AR"/>
        </w:rPr>
      </w:pPr>
    </w:p>
    <w:p w:rsidR="00F260F0" w:rsidRDefault="00C800BA" w:rsidP="00C800BA">
      <w:pPr>
        <w:jc w:val="center"/>
        <w:rPr>
          <w:b/>
          <w:bCs/>
          <w:lang w:val="es-AR"/>
        </w:rPr>
      </w:pPr>
      <w:r>
        <w:rPr>
          <w:b/>
          <w:bCs/>
          <w:lang w:val="es-AR"/>
        </w:rPr>
        <w:t xml:space="preserve">COSTO DE </w:t>
      </w:r>
      <w:r w:rsidR="00F260F0">
        <w:rPr>
          <w:b/>
          <w:bCs/>
          <w:lang w:val="es-AR"/>
        </w:rPr>
        <w:t xml:space="preserve">LOS </w:t>
      </w:r>
      <w:r>
        <w:rPr>
          <w:b/>
          <w:bCs/>
          <w:lang w:val="es-AR"/>
        </w:rPr>
        <w:t>BIENES Y SERVICIOS</w:t>
      </w:r>
    </w:p>
    <w:p w:rsidR="00C800BA" w:rsidRDefault="00C800BA" w:rsidP="00C800BA">
      <w:pPr>
        <w:jc w:val="center"/>
        <w:rPr>
          <w:b/>
          <w:bCs/>
          <w:lang w:val="es-AR"/>
        </w:rPr>
      </w:pPr>
      <w:r>
        <w:rPr>
          <w:b/>
          <w:bCs/>
          <w:lang w:val="es-AR"/>
        </w:rPr>
        <w:t xml:space="preserve"> </w:t>
      </w:r>
      <w:r w:rsidR="00F260F0">
        <w:rPr>
          <w:b/>
          <w:bCs/>
          <w:lang w:val="es-AR"/>
        </w:rPr>
        <w:t xml:space="preserve">POR EL EJERCICIO FINALIZADO POR EL </w:t>
      </w:r>
      <w:r>
        <w:rPr>
          <w:b/>
          <w:bCs/>
          <w:lang w:val="es-AR"/>
        </w:rPr>
        <w:t>31 DE DICIEMBRE DE 2019</w:t>
      </w:r>
    </w:p>
    <w:p w:rsidR="00C800BA" w:rsidRDefault="00C800BA" w:rsidP="00C800BA">
      <w:pPr>
        <w:jc w:val="center"/>
        <w:rPr>
          <w:b/>
          <w:bCs/>
          <w:lang w:val="es-AR"/>
        </w:rPr>
      </w:pPr>
      <w:r>
        <w:rPr>
          <w:b/>
          <w:bCs/>
          <w:lang w:val="es-AR"/>
        </w:rPr>
        <w:t>PRESENTADO EN FORMA COMPARATIVA CON EL EJERCICIO ANTERIOR</w:t>
      </w:r>
    </w:p>
    <w:p w:rsidR="00920781" w:rsidRPr="005A785D" w:rsidRDefault="00920781" w:rsidP="00920781">
      <w:pPr>
        <w:tabs>
          <w:tab w:val="left" w:pos="3780"/>
        </w:tabs>
        <w:spacing w:line="360" w:lineRule="auto"/>
        <w:jc w:val="center"/>
        <w:rPr>
          <w:lang w:val="es-AR"/>
        </w:rPr>
      </w:pPr>
      <w:r>
        <w:rPr>
          <w:lang w:val="es-AR"/>
        </w:rPr>
        <w:t xml:space="preserve">- Cifras </w:t>
      </w:r>
      <w:r w:rsidR="00FF5B5B">
        <w:rPr>
          <w:lang w:val="es-AR"/>
        </w:rPr>
        <w:t xml:space="preserve">expresadas </w:t>
      </w:r>
      <w:r>
        <w:rPr>
          <w:lang w:val="es-AR"/>
        </w:rPr>
        <w:t xml:space="preserve">en </w:t>
      </w:r>
      <w:r w:rsidR="00FF5B5B">
        <w:rPr>
          <w:lang w:val="es-AR"/>
        </w:rPr>
        <w:t xml:space="preserve">miles de </w:t>
      </w:r>
      <w:r>
        <w:rPr>
          <w:lang w:val="es-AR"/>
        </w:rPr>
        <w:t xml:space="preserve">pesos (Nota 2.b) - </w:t>
      </w:r>
    </w:p>
    <w:p w:rsidR="00C800BA" w:rsidRDefault="00C800BA" w:rsidP="00C800BA">
      <w:pPr>
        <w:jc w:val="center"/>
        <w:rPr>
          <w:lang w:val="es-AR"/>
        </w:rPr>
      </w:pPr>
    </w:p>
    <w:p w:rsidR="00A63194" w:rsidRDefault="00A63194" w:rsidP="00C800BA">
      <w:pPr>
        <w:jc w:val="center"/>
        <w:rPr>
          <w:lang w:val="es-AR"/>
        </w:rPr>
      </w:pPr>
    </w:p>
    <w:p w:rsidR="00C800BA" w:rsidRDefault="00C800BA" w:rsidP="00C800BA">
      <w:pPr>
        <w:jc w:val="center"/>
        <w:rPr>
          <w:lang w:val="es-AR"/>
        </w:rPr>
      </w:pPr>
    </w:p>
    <w:p w:rsidR="00C800BA" w:rsidRDefault="004D61B9" w:rsidP="00364F43">
      <w:pPr>
        <w:jc w:val="center"/>
        <w:rPr>
          <w:b/>
          <w:bCs/>
          <w:lang w:val="es-AR"/>
        </w:rPr>
      </w:pPr>
      <w:r>
        <w:rPr>
          <w:b/>
          <w:bCs/>
          <w:lang w:val="es-AR"/>
        </w:rPr>
        <w:pict>
          <v:shape id="_x0000_i1070" type="#_x0000_t75" style="width:440.25pt;height:75.75pt">
            <v:imagedata r:id="rId32" o:title=""/>
          </v:shape>
        </w:pict>
      </w:r>
    </w:p>
    <w:p w:rsidR="00C800BA" w:rsidRDefault="00C800BA" w:rsidP="00C800BA">
      <w:pPr>
        <w:jc w:val="right"/>
        <w:rPr>
          <w:b/>
          <w:bCs/>
          <w:lang w:val="es-AR"/>
        </w:rPr>
      </w:pPr>
    </w:p>
    <w:p w:rsidR="00C800BA" w:rsidRDefault="00C800BA" w:rsidP="007B3309">
      <w:pPr>
        <w:jc w:val="center"/>
        <w:rPr>
          <w:b/>
          <w:bCs/>
          <w:lang w:val="es-AR"/>
        </w:rPr>
      </w:pPr>
    </w:p>
    <w:p w:rsidR="00C800BA" w:rsidRDefault="00C800BA" w:rsidP="00C800BA">
      <w:pPr>
        <w:jc w:val="right"/>
        <w:rPr>
          <w:b/>
          <w:bCs/>
          <w:lang w:val="es-AR"/>
        </w:rPr>
      </w:pPr>
      <w:r>
        <w:rPr>
          <w:b/>
          <w:bCs/>
          <w:lang w:val="es-AR"/>
        </w:rPr>
        <w:br w:type="page"/>
      </w:r>
    </w:p>
    <w:p w:rsidR="00C800BA" w:rsidRPr="005A785D" w:rsidRDefault="00C800BA" w:rsidP="00C800BA">
      <w:pPr>
        <w:pStyle w:val="Ttulo1"/>
        <w:spacing w:line="360" w:lineRule="auto"/>
        <w:jc w:val="right"/>
        <w:rPr>
          <w:lang w:val="es-AR"/>
        </w:rPr>
      </w:pPr>
      <w:r w:rsidRPr="005A785D">
        <w:rPr>
          <w:lang w:val="es-AR"/>
        </w:rPr>
        <w:t>ANEXO “G”</w:t>
      </w:r>
    </w:p>
    <w:p w:rsidR="00C800BA" w:rsidRDefault="00C800BA" w:rsidP="00C800BA">
      <w:pPr>
        <w:jc w:val="center"/>
        <w:rPr>
          <w:b/>
          <w:bCs/>
          <w:lang w:val="es-AR"/>
        </w:rPr>
      </w:pPr>
    </w:p>
    <w:p w:rsidR="00F260F0" w:rsidRDefault="00C800BA" w:rsidP="00C800BA">
      <w:pPr>
        <w:jc w:val="center"/>
        <w:rPr>
          <w:b/>
          <w:bCs/>
          <w:lang w:val="es-AR"/>
        </w:rPr>
      </w:pPr>
      <w:r w:rsidRPr="00B20FE7">
        <w:rPr>
          <w:b/>
          <w:bCs/>
          <w:lang w:val="es-AR"/>
        </w:rPr>
        <w:t>ACTIVOS Y PASIVOS EN MONEDA EXTRANJERA</w:t>
      </w:r>
    </w:p>
    <w:p w:rsidR="00C800BA" w:rsidRDefault="00920E33" w:rsidP="00C800BA">
      <w:pPr>
        <w:jc w:val="center"/>
        <w:rPr>
          <w:b/>
          <w:bCs/>
          <w:lang w:val="es-AR"/>
        </w:rPr>
      </w:pPr>
      <w:r>
        <w:rPr>
          <w:b/>
          <w:bCs/>
          <w:lang w:val="es-AR"/>
        </w:rPr>
        <w:t>A</w:t>
      </w:r>
      <w:r w:rsidR="00F260F0">
        <w:rPr>
          <w:b/>
          <w:bCs/>
          <w:lang w:val="es-AR"/>
        </w:rPr>
        <w:t>L</w:t>
      </w:r>
      <w:r w:rsidR="00C800BA">
        <w:rPr>
          <w:b/>
          <w:bCs/>
          <w:lang w:val="es-AR"/>
        </w:rPr>
        <w:t xml:space="preserve"> 31 DE DICIEMBRE DE 2019</w:t>
      </w:r>
    </w:p>
    <w:p w:rsidR="00C800BA" w:rsidRDefault="00C800BA" w:rsidP="00C800BA">
      <w:pPr>
        <w:jc w:val="center"/>
        <w:rPr>
          <w:b/>
          <w:bCs/>
          <w:lang w:val="es-AR"/>
        </w:rPr>
      </w:pPr>
      <w:r>
        <w:rPr>
          <w:b/>
          <w:bCs/>
          <w:lang w:val="es-AR"/>
        </w:rPr>
        <w:t>PRESENTADO EN FORMA COMPARATIVA CON EL EJERCICIO ANTERIOR</w:t>
      </w:r>
    </w:p>
    <w:p w:rsidR="00920781" w:rsidRPr="005A785D" w:rsidRDefault="00920781" w:rsidP="00920781">
      <w:pPr>
        <w:tabs>
          <w:tab w:val="left" w:pos="3780"/>
        </w:tabs>
        <w:spacing w:line="360" w:lineRule="auto"/>
        <w:jc w:val="center"/>
        <w:rPr>
          <w:lang w:val="es-AR"/>
        </w:rPr>
      </w:pPr>
      <w:r>
        <w:rPr>
          <w:lang w:val="es-AR"/>
        </w:rPr>
        <w:t xml:space="preserve">- Cifras </w:t>
      </w:r>
      <w:r w:rsidRPr="0015602C">
        <w:rPr>
          <w:lang w:val="es-AR"/>
        </w:rPr>
        <w:t xml:space="preserve">expresadas </w:t>
      </w:r>
      <w:r>
        <w:rPr>
          <w:lang w:val="es-AR"/>
        </w:rPr>
        <w:t xml:space="preserve">en </w:t>
      </w:r>
      <w:r w:rsidR="00FF5B5B">
        <w:rPr>
          <w:lang w:val="es-AR"/>
        </w:rPr>
        <w:t xml:space="preserve">miles de </w:t>
      </w:r>
      <w:r>
        <w:rPr>
          <w:lang w:val="es-AR"/>
        </w:rPr>
        <w:t xml:space="preserve">pesos (Nota 2.b) - </w:t>
      </w:r>
    </w:p>
    <w:p w:rsidR="00C800BA" w:rsidRDefault="00C800BA" w:rsidP="00C800BA">
      <w:pPr>
        <w:jc w:val="center"/>
        <w:rPr>
          <w:lang w:val="es-AR"/>
        </w:rPr>
      </w:pPr>
    </w:p>
    <w:p w:rsidR="00C800BA" w:rsidRDefault="00C800BA" w:rsidP="00C800BA">
      <w:pPr>
        <w:jc w:val="center"/>
        <w:rPr>
          <w:lang w:val="es-AR"/>
        </w:rPr>
      </w:pPr>
    </w:p>
    <w:p w:rsidR="00C800BA" w:rsidRDefault="004D61B9" w:rsidP="00DB78E8">
      <w:pPr>
        <w:jc w:val="center"/>
        <w:rPr>
          <w:lang w:val="es-AR"/>
        </w:rPr>
        <w:sectPr w:rsidR="00C800BA" w:rsidSect="00C800BA">
          <w:pgSz w:w="12242" w:h="15842" w:code="1"/>
          <w:pgMar w:top="1418" w:right="851" w:bottom="1134" w:left="1418" w:header="720" w:footer="284" w:gutter="0"/>
          <w:cols w:space="720"/>
          <w:docGrid w:linePitch="245"/>
        </w:sectPr>
      </w:pPr>
      <w:r>
        <w:rPr>
          <w:lang w:val="es-AR"/>
        </w:rPr>
        <w:pict>
          <v:shape id="_x0000_i1069" type="#_x0000_t75" style="width:435.75pt;height:123.75pt">
            <v:imagedata r:id="rId33" o:title=""/>
          </v:shape>
        </w:pict>
      </w:r>
    </w:p>
    <w:p w:rsidR="00C800BA" w:rsidRDefault="00C800BA" w:rsidP="00CD7A7D">
      <w:pPr>
        <w:pStyle w:val="Ttulo1"/>
        <w:spacing w:line="360" w:lineRule="auto"/>
        <w:jc w:val="right"/>
        <w:rPr>
          <w:lang w:val="es-AR"/>
        </w:rPr>
      </w:pPr>
    </w:p>
    <w:p w:rsidR="00CD7A7D" w:rsidRPr="005A785D" w:rsidRDefault="00CD7A7D" w:rsidP="00CD7A7D">
      <w:pPr>
        <w:pStyle w:val="Ttulo1"/>
        <w:spacing w:line="360" w:lineRule="auto"/>
        <w:jc w:val="right"/>
        <w:rPr>
          <w:lang w:val="es-AR"/>
        </w:rPr>
      </w:pPr>
      <w:r w:rsidRPr="005A785D">
        <w:rPr>
          <w:lang w:val="es-AR"/>
        </w:rPr>
        <w:t>ANEXO “</w:t>
      </w:r>
      <w:r>
        <w:rPr>
          <w:lang w:val="es-AR"/>
        </w:rPr>
        <w:t>H</w:t>
      </w:r>
      <w:r w:rsidRPr="005A785D">
        <w:rPr>
          <w:lang w:val="es-AR"/>
        </w:rPr>
        <w:t>”</w:t>
      </w:r>
    </w:p>
    <w:p w:rsidR="00CD7A7D" w:rsidRDefault="00CD7A7D" w:rsidP="00CD7A7D">
      <w:pPr>
        <w:jc w:val="center"/>
        <w:rPr>
          <w:b/>
          <w:bCs/>
          <w:lang w:val="es-AR"/>
        </w:rPr>
      </w:pPr>
      <w:r>
        <w:rPr>
          <w:b/>
          <w:bCs/>
          <w:lang w:val="es-AR"/>
        </w:rPr>
        <w:t>INFORMACION REQUERIDA POR EL ART. 64 APARTADO I INC B) DE LA LEY N* 19.550</w:t>
      </w:r>
    </w:p>
    <w:p w:rsidR="00CD7A7D" w:rsidRDefault="00CD7A7D" w:rsidP="00CD7A7D">
      <w:pPr>
        <w:jc w:val="center"/>
        <w:rPr>
          <w:b/>
          <w:bCs/>
          <w:lang w:val="es-AR"/>
        </w:rPr>
      </w:pPr>
      <w:r>
        <w:rPr>
          <w:b/>
          <w:bCs/>
          <w:lang w:val="es-AR"/>
        </w:rPr>
        <w:t>AL 31 DE DICIEMBRE 2019</w:t>
      </w:r>
    </w:p>
    <w:p w:rsidR="005F6CDB" w:rsidRDefault="005F6CDB" w:rsidP="00CD7A7D">
      <w:pPr>
        <w:jc w:val="center"/>
        <w:rPr>
          <w:b/>
          <w:bCs/>
          <w:lang w:val="es-AR"/>
        </w:rPr>
      </w:pPr>
      <w:r>
        <w:rPr>
          <w:b/>
          <w:bCs/>
          <w:lang w:val="es-AR"/>
        </w:rPr>
        <w:tab/>
      </w:r>
      <w:r w:rsidR="00003823">
        <w:rPr>
          <w:b/>
          <w:bCs/>
          <w:lang w:val="es-AR"/>
        </w:rPr>
        <w:t>P</w:t>
      </w:r>
      <w:r>
        <w:rPr>
          <w:b/>
          <w:bCs/>
          <w:lang w:val="es-AR"/>
        </w:rPr>
        <w:t>RESENTADO EN FORMA COMPARATIVA CON EL EJERCICIO ANTERIOR</w:t>
      </w:r>
    </w:p>
    <w:p w:rsidR="00920781" w:rsidRPr="005A785D" w:rsidRDefault="00920781" w:rsidP="00920781">
      <w:pPr>
        <w:tabs>
          <w:tab w:val="left" w:pos="3780"/>
        </w:tabs>
        <w:spacing w:line="360" w:lineRule="auto"/>
        <w:jc w:val="center"/>
        <w:rPr>
          <w:lang w:val="es-AR"/>
        </w:rPr>
      </w:pPr>
      <w:r>
        <w:rPr>
          <w:lang w:val="es-AR"/>
        </w:rPr>
        <w:t xml:space="preserve">- Cifras </w:t>
      </w:r>
      <w:r w:rsidRPr="0015602C">
        <w:rPr>
          <w:lang w:val="es-AR"/>
        </w:rPr>
        <w:t xml:space="preserve">expresadas </w:t>
      </w:r>
      <w:r>
        <w:rPr>
          <w:lang w:val="es-AR"/>
        </w:rPr>
        <w:t xml:space="preserve">en </w:t>
      </w:r>
      <w:r w:rsidR="00FF5B5B">
        <w:rPr>
          <w:lang w:val="es-AR"/>
        </w:rPr>
        <w:t xml:space="preserve">miles de </w:t>
      </w:r>
      <w:r>
        <w:rPr>
          <w:lang w:val="es-AR"/>
        </w:rPr>
        <w:t xml:space="preserve">pesos (Nota 2.b) - </w:t>
      </w:r>
    </w:p>
    <w:p w:rsidR="00B20FE7" w:rsidRDefault="00B20FE7" w:rsidP="000B475F">
      <w:pPr>
        <w:jc w:val="center"/>
        <w:rPr>
          <w:lang w:val="es-AR"/>
        </w:rPr>
      </w:pPr>
    </w:p>
    <w:p w:rsidR="00CD7A7D" w:rsidRDefault="00CD7A7D" w:rsidP="000B475F">
      <w:pPr>
        <w:jc w:val="center"/>
        <w:rPr>
          <w:lang w:val="es-AR"/>
        </w:rPr>
      </w:pPr>
    </w:p>
    <w:p w:rsidR="00B82183" w:rsidRPr="005A785D" w:rsidRDefault="004D61B9" w:rsidP="00C800BA">
      <w:pPr>
        <w:pStyle w:val="Ttulo1"/>
        <w:spacing w:line="360" w:lineRule="auto"/>
        <w:jc w:val="right"/>
        <w:rPr>
          <w:lang w:val="es-AR"/>
        </w:rPr>
      </w:pPr>
      <w:r>
        <w:rPr>
          <w:lang w:val="es-AR"/>
        </w:rPr>
        <w:pict>
          <v:shape id="_x0000_i1068" type="#_x0000_t75" style="width:630pt;height:188.25pt">
            <v:imagedata r:id="rId34" o:title=""/>
          </v:shape>
        </w:pict>
      </w:r>
      <w:r w:rsidR="00CD7A7D">
        <w:rPr>
          <w:lang w:val="es-AR"/>
        </w:rPr>
        <w:br w:type="page"/>
      </w:r>
    </w:p>
    <w:p w:rsidR="00E23E18" w:rsidRPr="00956DC5" w:rsidRDefault="00E23E18" w:rsidP="00E23E18">
      <w:pPr>
        <w:jc w:val="right"/>
        <w:rPr>
          <w:b/>
          <w:bCs/>
          <w:lang w:val="es-AR"/>
        </w:rPr>
      </w:pPr>
      <w:r>
        <w:rPr>
          <w:b/>
          <w:bCs/>
          <w:lang w:val="es-AR"/>
        </w:rPr>
        <w:t>ANEXO “I”</w:t>
      </w:r>
    </w:p>
    <w:p w:rsidR="00B82183" w:rsidRDefault="00B82183" w:rsidP="000B475F">
      <w:pPr>
        <w:jc w:val="center"/>
        <w:rPr>
          <w:lang w:val="es-AR"/>
        </w:rPr>
      </w:pPr>
    </w:p>
    <w:p w:rsidR="00E23E18" w:rsidRPr="005A785D" w:rsidRDefault="00E23E18" w:rsidP="000B475F">
      <w:pPr>
        <w:jc w:val="center"/>
        <w:rPr>
          <w:lang w:val="es-AR"/>
        </w:rPr>
      </w:pPr>
    </w:p>
    <w:p w:rsidR="00E23E18" w:rsidRDefault="00E23E18" w:rsidP="000B475F">
      <w:pPr>
        <w:jc w:val="center"/>
        <w:rPr>
          <w:b/>
          <w:bCs/>
          <w:lang w:val="es-AR"/>
        </w:rPr>
      </w:pPr>
    </w:p>
    <w:p w:rsidR="00B82183" w:rsidRDefault="00956DC5" w:rsidP="000B475F">
      <w:pPr>
        <w:jc w:val="center"/>
        <w:rPr>
          <w:b/>
          <w:bCs/>
          <w:lang w:val="es-AR"/>
        </w:rPr>
      </w:pPr>
      <w:r w:rsidRPr="00956DC5">
        <w:rPr>
          <w:b/>
          <w:bCs/>
          <w:lang w:val="es-AR"/>
        </w:rPr>
        <w:t>APERTURA DE CREDITOS, INVERSIONES Y PASIVOS</w:t>
      </w:r>
    </w:p>
    <w:p w:rsidR="00956DC5" w:rsidRDefault="00956DC5" w:rsidP="000B475F">
      <w:pPr>
        <w:jc w:val="center"/>
        <w:rPr>
          <w:b/>
          <w:bCs/>
          <w:lang w:val="es-AR"/>
        </w:rPr>
      </w:pPr>
      <w:r>
        <w:rPr>
          <w:b/>
          <w:bCs/>
          <w:lang w:val="es-AR"/>
        </w:rPr>
        <w:t>AL 3</w:t>
      </w:r>
      <w:r w:rsidR="00D40E30">
        <w:rPr>
          <w:b/>
          <w:bCs/>
          <w:lang w:val="es-AR"/>
        </w:rPr>
        <w:t>1</w:t>
      </w:r>
      <w:r>
        <w:rPr>
          <w:b/>
          <w:bCs/>
          <w:lang w:val="es-AR"/>
        </w:rPr>
        <w:t xml:space="preserve"> DE </w:t>
      </w:r>
      <w:r w:rsidR="00D40E30">
        <w:rPr>
          <w:b/>
          <w:bCs/>
          <w:lang w:val="es-AR"/>
        </w:rPr>
        <w:t>DICIEMBRE</w:t>
      </w:r>
      <w:r>
        <w:rPr>
          <w:b/>
          <w:bCs/>
          <w:lang w:val="es-AR"/>
        </w:rPr>
        <w:t xml:space="preserve"> DE 2019</w:t>
      </w:r>
    </w:p>
    <w:p w:rsidR="00920781" w:rsidRPr="005A785D" w:rsidRDefault="00920781" w:rsidP="00920781">
      <w:pPr>
        <w:tabs>
          <w:tab w:val="left" w:pos="3780"/>
        </w:tabs>
        <w:spacing w:line="360" w:lineRule="auto"/>
        <w:jc w:val="center"/>
        <w:rPr>
          <w:lang w:val="es-AR"/>
        </w:rPr>
      </w:pPr>
      <w:r>
        <w:rPr>
          <w:lang w:val="es-AR"/>
        </w:rPr>
        <w:t xml:space="preserve">- Cifras </w:t>
      </w:r>
      <w:r w:rsidRPr="0015602C">
        <w:rPr>
          <w:lang w:val="es-AR"/>
        </w:rPr>
        <w:t xml:space="preserve">expresadas </w:t>
      </w:r>
      <w:r>
        <w:rPr>
          <w:lang w:val="es-AR"/>
        </w:rPr>
        <w:t xml:space="preserve">en </w:t>
      </w:r>
      <w:r w:rsidR="00FF5B5B">
        <w:rPr>
          <w:lang w:val="es-AR"/>
        </w:rPr>
        <w:t xml:space="preserve">miles de </w:t>
      </w:r>
      <w:r>
        <w:rPr>
          <w:lang w:val="es-AR"/>
        </w:rPr>
        <w:t xml:space="preserve">pesos (Nota 2.b) - </w:t>
      </w:r>
    </w:p>
    <w:p w:rsidR="00C4680B" w:rsidRDefault="00C4680B" w:rsidP="000B475F">
      <w:pPr>
        <w:pStyle w:val="Ttulo2"/>
        <w:tabs>
          <w:tab w:val="right" w:pos="9973"/>
        </w:tabs>
        <w:jc w:val="center"/>
        <w:rPr>
          <w:lang w:val="es-AR"/>
        </w:rPr>
      </w:pPr>
    </w:p>
    <w:p w:rsidR="00956DC5" w:rsidRDefault="00956DC5" w:rsidP="00956DC5">
      <w:pPr>
        <w:rPr>
          <w:lang w:val="es-AR"/>
        </w:rPr>
      </w:pPr>
    </w:p>
    <w:p w:rsidR="00956DC5" w:rsidRPr="00956DC5" w:rsidRDefault="004D61B9" w:rsidP="00956DC5">
      <w:pPr>
        <w:jc w:val="center"/>
        <w:rPr>
          <w:lang w:val="es-AR"/>
        </w:rPr>
      </w:pPr>
      <w:r>
        <w:rPr>
          <w:lang w:val="es-AR"/>
        </w:rPr>
        <w:pict>
          <v:shape id="_x0000_i1067" type="#_x0000_t75" style="width:663.75pt;height:228pt">
            <v:imagedata r:id="rId35" o:title=""/>
          </v:shape>
        </w:pict>
      </w:r>
    </w:p>
    <w:p w:rsidR="00AE71B2" w:rsidRPr="00AE71B2" w:rsidRDefault="00AE71B2" w:rsidP="00764946">
      <w:pPr>
        <w:spacing w:line="360" w:lineRule="auto"/>
        <w:jc w:val="both"/>
        <w:rPr>
          <w:rStyle w:val="nfasis"/>
          <w:b/>
          <w:bCs/>
          <w:i w:val="0"/>
          <w:lang w:val="es-AR"/>
        </w:rPr>
      </w:pPr>
    </w:p>
    <w:sectPr w:rsidR="00AE71B2" w:rsidRPr="00AE71B2" w:rsidSect="00C800BA">
      <w:headerReference w:type="default" r:id="rId36"/>
      <w:pgSz w:w="15842" w:h="12242" w:orient="landscape" w:code="1"/>
      <w:pgMar w:top="1418" w:right="1418" w:bottom="851" w:left="1134" w:header="720" w:footer="28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1D" w:rsidRDefault="0070421D">
      <w:r>
        <w:separator/>
      </w:r>
    </w:p>
  </w:endnote>
  <w:endnote w:type="continuationSeparator" w:id="0">
    <w:p w:rsidR="0070421D" w:rsidRDefault="0070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A0" w:firstRow="1" w:lastRow="0" w:firstColumn="1" w:lastColumn="0" w:noHBand="0" w:noVBand="1"/>
    </w:tblPr>
    <w:tblGrid>
      <w:gridCol w:w="4407"/>
      <w:gridCol w:w="2497"/>
      <w:gridCol w:w="3067"/>
    </w:tblGrid>
    <w:tr w:rsidR="0070421D" w:rsidRPr="00627705" w:rsidTr="001A0CA3">
      <w:trPr>
        <w:jc w:val="center"/>
      </w:trPr>
      <w:tc>
        <w:tcPr>
          <w:tcW w:w="2210" w:type="pct"/>
        </w:tcPr>
        <w:p w:rsidR="0070421D" w:rsidRPr="00627705" w:rsidRDefault="0070421D" w:rsidP="00260C8E">
          <w:pPr>
            <w:pStyle w:val="Piedepgina"/>
            <w:ind w:right="-92"/>
            <w:jc w:val="center"/>
            <w:rPr>
              <w:lang w:val="es-MX"/>
            </w:rPr>
          </w:pPr>
          <w:r w:rsidRPr="00627705">
            <w:rPr>
              <w:lang w:val="es-MX"/>
            </w:rPr>
            <w:t>Firmados a efectos de su identificación</w:t>
          </w:r>
        </w:p>
        <w:p w:rsidR="0070421D" w:rsidRDefault="0070421D" w:rsidP="00496B2C">
          <w:pPr>
            <w:pStyle w:val="Piedepgina"/>
            <w:ind w:right="-92"/>
            <w:jc w:val="center"/>
            <w:rPr>
              <w:lang w:val="es-MX"/>
            </w:rPr>
          </w:pPr>
          <w:r w:rsidRPr="008842D4">
            <w:rPr>
              <w:lang w:val="es-MX"/>
            </w:rPr>
            <w:t xml:space="preserve">con el informe </w:t>
          </w:r>
          <w:r w:rsidRPr="00AF1204">
            <w:rPr>
              <w:lang w:val="es-MX"/>
            </w:rPr>
            <w:t xml:space="preserve">de fecha </w:t>
          </w:r>
          <w:r>
            <w:rPr>
              <w:lang w:val="es-MX"/>
            </w:rPr>
            <w:t>09/03/2020</w:t>
          </w:r>
        </w:p>
        <w:p w:rsidR="0070421D" w:rsidRPr="00627705" w:rsidRDefault="0070421D" w:rsidP="00496B2C">
          <w:pPr>
            <w:pStyle w:val="Piedepgina"/>
            <w:ind w:right="-92"/>
            <w:jc w:val="center"/>
            <w:rPr>
              <w:lang w:val="es-MX"/>
            </w:rPr>
          </w:pPr>
        </w:p>
      </w:tc>
      <w:tc>
        <w:tcPr>
          <w:tcW w:w="1252" w:type="pct"/>
        </w:tcPr>
        <w:p w:rsidR="0070421D" w:rsidRPr="00627705" w:rsidRDefault="0070421D" w:rsidP="00260C8E">
          <w:pPr>
            <w:pStyle w:val="Piedepgina"/>
            <w:jc w:val="center"/>
            <w:rPr>
              <w:lang w:val="es-MX"/>
            </w:rPr>
          </w:pPr>
        </w:p>
      </w:tc>
      <w:tc>
        <w:tcPr>
          <w:tcW w:w="1538" w:type="pct"/>
        </w:tcPr>
        <w:p w:rsidR="0070421D" w:rsidRPr="00452859" w:rsidRDefault="0070421D" w:rsidP="00260C8E">
          <w:pPr>
            <w:pStyle w:val="Piedepgina"/>
            <w:jc w:val="center"/>
          </w:pPr>
          <w:r>
            <w:t>ELECTROTECNICA FAMAR S.A.C.I.I.E.</w:t>
          </w:r>
        </w:p>
      </w:tc>
    </w:tr>
    <w:tr w:rsidR="0070421D" w:rsidRPr="00627705" w:rsidTr="00627705">
      <w:trPr>
        <w:jc w:val="center"/>
      </w:trPr>
      <w:tc>
        <w:tcPr>
          <w:tcW w:w="2210" w:type="pct"/>
        </w:tcPr>
        <w:p w:rsidR="0070421D" w:rsidRPr="00C5615D" w:rsidRDefault="0070421D" w:rsidP="00C5615D">
          <w:pPr>
            <w:ind w:right="-172"/>
            <w:jc w:val="center"/>
            <w:rPr>
              <w:color w:val="000000"/>
              <w:szCs w:val="18"/>
            </w:rPr>
          </w:pPr>
          <w:r w:rsidRPr="00C5615D">
            <w:rPr>
              <w:color w:val="000000"/>
              <w:szCs w:val="18"/>
            </w:rPr>
            <w:t>PISTRELLI, HENRY MARTIN Y ASOCIADOS S.R.L.</w:t>
          </w:r>
        </w:p>
        <w:p w:rsidR="0070421D" w:rsidRPr="00C5615D" w:rsidRDefault="0070421D" w:rsidP="00C5615D">
          <w:pPr>
            <w:pStyle w:val="Piedepgina"/>
            <w:ind w:right="-92"/>
            <w:jc w:val="center"/>
            <w:rPr>
              <w:szCs w:val="18"/>
              <w:lang w:val="es-MX"/>
            </w:rPr>
          </w:pPr>
          <w:r w:rsidRPr="00C5615D">
            <w:rPr>
              <w:color w:val="000000"/>
              <w:szCs w:val="18"/>
            </w:rPr>
            <w:t xml:space="preserve">C.P.C.E.C.A.B.A. </w:t>
          </w:r>
          <w:proofErr w:type="spellStart"/>
          <w:r w:rsidRPr="00C5615D">
            <w:rPr>
              <w:color w:val="000000"/>
              <w:szCs w:val="18"/>
            </w:rPr>
            <w:t>T°</w:t>
          </w:r>
          <w:proofErr w:type="spellEnd"/>
          <w:r w:rsidRPr="00C5615D">
            <w:rPr>
              <w:color w:val="000000"/>
              <w:szCs w:val="18"/>
            </w:rPr>
            <w:t xml:space="preserve"> 1 - </w:t>
          </w:r>
          <w:proofErr w:type="spellStart"/>
          <w:r w:rsidRPr="00C5615D">
            <w:rPr>
              <w:color w:val="000000"/>
              <w:szCs w:val="18"/>
            </w:rPr>
            <w:t>F°</w:t>
          </w:r>
          <w:proofErr w:type="spellEnd"/>
          <w:r w:rsidRPr="00C5615D">
            <w:rPr>
              <w:color w:val="000000"/>
              <w:szCs w:val="18"/>
            </w:rPr>
            <w:t xml:space="preserve"> 13</w:t>
          </w:r>
        </w:p>
      </w:tc>
      <w:tc>
        <w:tcPr>
          <w:tcW w:w="1252" w:type="pct"/>
        </w:tcPr>
        <w:p w:rsidR="0070421D" w:rsidRPr="00627705" w:rsidRDefault="0070421D" w:rsidP="00DC63A6">
          <w:pPr>
            <w:pStyle w:val="Piedepgina"/>
            <w:jc w:val="center"/>
            <w:rPr>
              <w:lang w:val="es-MX"/>
            </w:rPr>
          </w:pPr>
        </w:p>
      </w:tc>
      <w:tc>
        <w:tcPr>
          <w:tcW w:w="1538" w:type="pct"/>
        </w:tcPr>
        <w:p w:rsidR="0070421D" w:rsidRPr="00627705" w:rsidRDefault="0070421D" w:rsidP="00DC63A6">
          <w:pPr>
            <w:pStyle w:val="Piedepgina"/>
            <w:jc w:val="center"/>
            <w:rPr>
              <w:lang w:val="es-MX"/>
            </w:rPr>
          </w:pPr>
        </w:p>
      </w:tc>
    </w:tr>
    <w:tr w:rsidR="0070421D" w:rsidRPr="00627705" w:rsidTr="00627705">
      <w:trPr>
        <w:jc w:val="center"/>
      </w:trPr>
      <w:tc>
        <w:tcPr>
          <w:tcW w:w="2210" w:type="pct"/>
        </w:tcPr>
        <w:p w:rsidR="0070421D" w:rsidRPr="00627705" w:rsidRDefault="0070421D" w:rsidP="00DC63A6">
          <w:pPr>
            <w:pStyle w:val="Piedepgina"/>
            <w:ind w:right="-92"/>
            <w:jc w:val="center"/>
            <w:rPr>
              <w:lang w:val="es-MX"/>
            </w:rPr>
          </w:pPr>
        </w:p>
        <w:p w:rsidR="0070421D" w:rsidRPr="00627705" w:rsidRDefault="0070421D" w:rsidP="00DC63A6">
          <w:pPr>
            <w:pStyle w:val="Piedepgina"/>
            <w:ind w:right="-92"/>
            <w:jc w:val="center"/>
            <w:rPr>
              <w:lang w:val="es-MX"/>
            </w:rPr>
          </w:pPr>
        </w:p>
        <w:p w:rsidR="0070421D" w:rsidRPr="00627705" w:rsidRDefault="0070421D" w:rsidP="00DC63A6">
          <w:pPr>
            <w:pStyle w:val="Piedepgina"/>
            <w:ind w:right="-92"/>
            <w:jc w:val="center"/>
            <w:rPr>
              <w:lang w:val="es-MX"/>
            </w:rPr>
          </w:pPr>
        </w:p>
      </w:tc>
      <w:tc>
        <w:tcPr>
          <w:tcW w:w="1252" w:type="pct"/>
        </w:tcPr>
        <w:p w:rsidR="0070421D" w:rsidRPr="00627705" w:rsidRDefault="0070421D" w:rsidP="00DC63A6">
          <w:pPr>
            <w:pStyle w:val="Piedepgina"/>
            <w:jc w:val="center"/>
            <w:rPr>
              <w:lang w:val="es-MX"/>
            </w:rPr>
          </w:pPr>
        </w:p>
      </w:tc>
      <w:tc>
        <w:tcPr>
          <w:tcW w:w="1538" w:type="pct"/>
        </w:tcPr>
        <w:p w:rsidR="0070421D" w:rsidRPr="00627705" w:rsidRDefault="0070421D" w:rsidP="00DC63A6">
          <w:pPr>
            <w:pStyle w:val="Piedepgina"/>
            <w:jc w:val="center"/>
            <w:rPr>
              <w:lang w:val="es-MX"/>
            </w:rPr>
          </w:pPr>
        </w:p>
      </w:tc>
    </w:tr>
    <w:tr w:rsidR="0070421D" w:rsidRPr="00627705" w:rsidTr="00627705">
      <w:trPr>
        <w:jc w:val="center"/>
      </w:trPr>
      <w:tc>
        <w:tcPr>
          <w:tcW w:w="2210" w:type="pct"/>
        </w:tcPr>
        <w:p w:rsidR="0070421D" w:rsidRPr="00627705" w:rsidRDefault="0070421D" w:rsidP="00DC63A6">
          <w:pPr>
            <w:pStyle w:val="Piedepgina"/>
            <w:ind w:right="-92"/>
            <w:jc w:val="center"/>
            <w:rPr>
              <w:lang w:val="es-MX"/>
            </w:rPr>
          </w:pPr>
          <w:proofErr w:type="spellStart"/>
          <w:r>
            <w:rPr>
              <w:lang w:val="es-MX"/>
            </w:rPr>
            <w:t>Karén</w:t>
          </w:r>
          <w:proofErr w:type="spellEnd"/>
          <w:r>
            <w:rPr>
              <w:lang w:val="es-MX"/>
            </w:rPr>
            <w:t xml:space="preserve"> Grigorian</w:t>
          </w:r>
          <w:r w:rsidRPr="00267B1B">
            <w:rPr>
              <w:lang w:val="es-MX"/>
            </w:rPr>
            <w:t xml:space="preserve"> </w:t>
          </w:r>
          <w:r w:rsidRPr="00627705">
            <w:rPr>
              <w:lang w:val="es-MX"/>
            </w:rPr>
            <w:t>(Socio)</w:t>
          </w:r>
        </w:p>
        <w:p w:rsidR="0070421D" w:rsidRPr="00627705" w:rsidRDefault="0070421D" w:rsidP="00DC63A6">
          <w:pPr>
            <w:pStyle w:val="Piedepgina"/>
            <w:ind w:right="-92"/>
            <w:jc w:val="center"/>
            <w:rPr>
              <w:lang w:val="es-MX"/>
            </w:rPr>
          </w:pPr>
          <w:r w:rsidRPr="00627705">
            <w:rPr>
              <w:color w:val="000000"/>
              <w:lang w:val="pt-BR"/>
            </w:rPr>
            <w:t>Contador Público (U.</w:t>
          </w:r>
          <w:r>
            <w:rPr>
              <w:color w:val="000000"/>
              <w:lang w:val="pt-BR"/>
            </w:rPr>
            <w:t>B.A.</w:t>
          </w:r>
          <w:r w:rsidRPr="00627705">
            <w:rPr>
              <w:color w:val="000000"/>
              <w:lang w:val="pt-BR"/>
            </w:rPr>
            <w:t>)</w:t>
          </w:r>
        </w:p>
        <w:p w:rsidR="0070421D" w:rsidRPr="00C5615D" w:rsidRDefault="0070421D" w:rsidP="00F01B3D">
          <w:pPr>
            <w:pStyle w:val="Piedepgina"/>
            <w:ind w:right="-92"/>
            <w:jc w:val="center"/>
            <w:rPr>
              <w:szCs w:val="18"/>
              <w:lang w:val="es-MX"/>
            </w:rPr>
          </w:pPr>
          <w:r w:rsidRPr="00C5615D">
            <w:rPr>
              <w:color w:val="000000"/>
              <w:szCs w:val="18"/>
            </w:rPr>
            <w:t xml:space="preserve">C.P.C.E.C.A.B.A. </w:t>
          </w:r>
          <w:proofErr w:type="spellStart"/>
          <w:r w:rsidRPr="00C5615D">
            <w:rPr>
              <w:color w:val="000000"/>
              <w:szCs w:val="18"/>
            </w:rPr>
            <w:t>T°</w:t>
          </w:r>
          <w:proofErr w:type="spellEnd"/>
          <w:r w:rsidRPr="00C5615D">
            <w:rPr>
              <w:color w:val="000000"/>
              <w:szCs w:val="18"/>
            </w:rPr>
            <w:t xml:space="preserve"> 175 - </w:t>
          </w:r>
          <w:proofErr w:type="spellStart"/>
          <w:r w:rsidRPr="00C5615D">
            <w:rPr>
              <w:color w:val="000000"/>
              <w:szCs w:val="18"/>
            </w:rPr>
            <w:t>F°</w:t>
          </w:r>
          <w:proofErr w:type="spellEnd"/>
          <w:r w:rsidRPr="00C5615D">
            <w:rPr>
              <w:color w:val="000000"/>
              <w:szCs w:val="18"/>
            </w:rPr>
            <w:t xml:space="preserve"> 31</w:t>
          </w:r>
        </w:p>
      </w:tc>
      <w:tc>
        <w:tcPr>
          <w:tcW w:w="1252" w:type="pct"/>
        </w:tcPr>
        <w:p w:rsidR="0070421D" w:rsidRDefault="0070421D" w:rsidP="009245C7">
          <w:pPr>
            <w:pStyle w:val="Piedepgina"/>
            <w:jc w:val="center"/>
            <w:rPr>
              <w:lang w:val="es-MX"/>
            </w:rPr>
          </w:pPr>
          <w:r>
            <w:rPr>
              <w:lang w:val="es-MX"/>
            </w:rPr>
            <w:t>Dr. Gerardo Biritos</w:t>
          </w:r>
        </w:p>
        <w:p w:rsidR="0070421D" w:rsidRPr="00627705" w:rsidRDefault="0070421D" w:rsidP="009245C7">
          <w:pPr>
            <w:pStyle w:val="Piedepgina"/>
            <w:jc w:val="center"/>
            <w:rPr>
              <w:lang w:val="es-MX"/>
            </w:rPr>
          </w:pPr>
          <w:r>
            <w:rPr>
              <w:lang w:val="es-MX"/>
            </w:rPr>
            <w:t>Comisión Fiscalizadora</w:t>
          </w:r>
        </w:p>
      </w:tc>
      <w:tc>
        <w:tcPr>
          <w:tcW w:w="1538" w:type="pct"/>
        </w:tcPr>
        <w:p w:rsidR="0070421D" w:rsidRDefault="0070421D" w:rsidP="00DC63A6">
          <w:pPr>
            <w:pStyle w:val="Piedepgina"/>
            <w:jc w:val="center"/>
          </w:pPr>
          <w:r>
            <w:t>Dr. Guillermo Reda</w:t>
          </w:r>
        </w:p>
        <w:p w:rsidR="0070421D" w:rsidRPr="00627705" w:rsidRDefault="0070421D" w:rsidP="00DC63A6">
          <w:pPr>
            <w:pStyle w:val="Piedepgina"/>
            <w:jc w:val="center"/>
            <w:rPr>
              <w:lang w:val="es-MX"/>
            </w:rPr>
          </w:pPr>
          <w:r w:rsidRPr="00627705">
            <w:rPr>
              <w:lang w:val="es-MX"/>
            </w:rPr>
            <w:t>Presidente</w:t>
          </w:r>
        </w:p>
      </w:tc>
    </w:tr>
  </w:tbl>
  <w:p w:rsidR="0070421D" w:rsidRDefault="0070421D" w:rsidP="00200467">
    <w:pPr>
      <w:pStyle w:val="Piedepgina"/>
      <w:jc w:val="center"/>
      <w:rPr>
        <w:lang w:val="es-MX"/>
      </w:rPr>
    </w:pPr>
    <w:r>
      <w:rPr>
        <w:snapToGrid w:val="0"/>
        <w:lang w:val="es-MX"/>
      </w:rPr>
      <w:t xml:space="preserve">- </w:t>
    </w:r>
    <w:r>
      <w:rPr>
        <w:snapToGrid w:val="0"/>
        <w:lang w:val="es-MX"/>
      </w:rPr>
      <w:fldChar w:fldCharType="begin"/>
    </w:r>
    <w:r>
      <w:rPr>
        <w:snapToGrid w:val="0"/>
        <w:lang w:val="es-MX"/>
      </w:rPr>
      <w:instrText xml:space="preserve"> PAGE </w:instrText>
    </w:r>
    <w:r>
      <w:rPr>
        <w:snapToGrid w:val="0"/>
        <w:lang w:val="es-MX"/>
      </w:rPr>
      <w:fldChar w:fldCharType="separate"/>
    </w:r>
    <w:r w:rsidR="004D61B9">
      <w:rPr>
        <w:noProof/>
        <w:snapToGrid w:val="0"/>
        <w:lang w:val="es-MX"/>
      </w:rPr>
      <w:t>14</w:t>
    </w:r>
    <w:r>
      <w:rPr>
        <w:snapToGrid w:val="0"/>
        <w:lang w:val="es-MX"/>
      </w:rPr>
      <w:fldChar w:fldCharType="end"/>
    </w:r>
    <w:r>
      <w:rPr>
        <w:snapToGrid w:val="0"/>
        <w:lang w:val="es-MX"/>
      </w:rPr>
      <w:t xml:space="preserve"> -</w:t>
    </w:r>
  </w:p>
  <w:p w:rsidR="0070421D" w:rsidRDefault="007042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1D" w:rsidRDefault="0070421D">
      <w:r>
        <w:separator/>
      </w:r>
    </w:p>
  </w:footnote>
  <w:footnote w:type="continuationSeparator" w:id="0">
    <w:p w:rsidR="0070421D" w:rsidRDefault="0070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1D" w:rsidRPr="004B04A7" w:rsidRDefault="0070421D">
    <w:pPr>
      <w:pStyle w:val="Encabezado"/>
      <w:rPr>
        <w:noProof/>
        <w:sz w:val="19"/>
      </w:rPr>
    </w:pPr>
  </w:p>
  <w:p w:rsidR="0070421D" w:rsidRDefault="0070421D">
    <w:pPr>
      <w:pStyle w:val="Encabezado"/>
      <w:rPr>
        <w:sz w:val="22"/>
      </w:rPr>
    </w:pPr>
  </w:p>
  <w:p w:rsidR="0070421D" w:rsidRDefault="007042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1D" w:rsidRPr="00F260F0" w:rsidRDefault="0070421D">
    <w:pPr>
      <w:pStyle w:val="Encabezado"/>
      <w:rPr>
        <w:b/>
        <w:noProof/>
        <w:sz w:val="24"/>
        <w:szCs w:val="24"/>
      </w:rPr>
    </w:pPr>
    <w:r w:rsidRPr="00F260F0">
      <w:rPr>
        <w:b/>
        <w:sz w:val="24"/>
        <w:szCs w:val="24"/>
      </w:rPr>
      <w:t>ELECTROTECNICA FAMAR S.A.C.I.I.E.</w:t>
    </w:r>
  </w:p>
  <w:p w:rsidR="0070421D" w:rsidRPr="00F260F0" w:rsidRDefault="0070421D">
    <w:pPr>
      <w:pStyle w:val="Encabezado"/>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1D" w:rsidRPr="00C5615D" w:rsidRDefault="0070421D" w:rsidP="00402686">
    <w:pPr>
      <w:pStyle w:val="Encabezado"/>
      <w:rPr>
        <w:b/>
        <w:noProof/>
        <w:sz w:val="32"/>
        <w:szCs w:val="32"/>
      </w:rPr>
    </w:pPr>
    <w:r>
      <w:rPr>
        <w:b/>
        <w:sz w:val="32"/>
        <w:szCs w:val="32"/>
      </w:rPr>
      <w:t>ELECTROTECNICA FAMAR S.A.C.I.I.E.</w:t>
    </w:r>
  </w:p>
  <w:p w:rsidR="0070421D" w:rsidRDefault="0070421D">
    <w:pPr>
      <w:pStyle w:val="Encabezado"/>
      <w:rPr>
        <w:noProof/>
        <w:sz w:val="19"/>
      </w:rPr>
    </w:pPr>
  </w:p>
  <w:p w:rsidR="0070421D" w:rsidRDefault="0070421D">
    <w:pPr>
      <w:pStyle w:val="Encabezado"/>
      <w:rPr>
        <w:noProof/>
        <w:sz w:val="19"/>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1D" w:rsidRPr="00C5615D" w:rsidRDefault="0070421D" w:rsidP="00402686">
    <w:pPr>
      <w:pStyle w:val="Encabezado"/>
      <w:rPr>
        <w:b/>
        <w:noProof/>
        <w:sz w:val="32"/>
        <w:szCs w:val="32"/>
      </w:rPr>
    </w:pPr>
    <w:r>
      <w:rPr>
        <w:b/>
        <w:sz w:val="32"/>
        <w:szCs w:val="32"/>
      </w:rPr>
      <w:t>ELECTROTECNICA FAMAR S.A.C.I.I.E.</w:t>
    </w:r>
  </w:p>
  <w:p w:rsidR="0070421D" w:rsidRPr="009720DD" w:rsidRDefault="0070421D" w:rsidP="000C7915">
    <w:pPr>
      <w:pStyle w:val="Encabezado"/>
      <w:rPr>
        <w:szCs w:val="18"/>
        <w:lang w:val="pt-BR"/>
      </w:rPr>
    </w:pPr>
  </w:p>
  <w:p w:rsidR="0070421D" w:rsidRPr="00402686" w:rsidRDefault="0070421D" w:rsidP="008D74F7">
    <w:pPr>
      <w:pStyle w:val="Textoindependiente3"/>
      <w:jc w:val="both"/>
      <w:rPr>
        <w:spacing w:val="-6"/>
        <w:sz w:val="16"/>
        <w:szCs w:val="16"/>
      </w:rPr>
    </w:pPr>
    <w:r w:rsidRPr="00402686">
      <w:rPr>
        <w:spacing w:val="-6"/>
        <w:sz w:val="16"/>
        <w:szCs w:val="16"/>
      </w:rPr>
      <w:t xml:space="preserve">NOTAS A LOS ESTADOS CONTABLES POR EL </w:t>
    </w:r>
    <w:r>
      <w:rPr>
        <w:spacing w:val="-6"/>
        <w:sz w:val="16"/>
        <w:szCs w:val="16"/>
      </w:rPr>
      <w:t>EJERCICIO</w:t>
    </w:r>
    <w:r w:rsidRPr="00402686">
      <w:rPr>
        <w:spacing w:val="-6"/>
        <w:sz w:val="16"/>
        <w:szCs w:val="16"/>
      </w:rPr>
      <w:t xml:space="preserve"> FINALIZADO EL 3</w:t>
    </w:r>
    <w:r>
      <w:rPr>
        <w:spacing w:val="-6"/>
        <w:sz w:val="16"/>
        <w:szCs w:val="16"/>
      </w:rPr>
      <w:t>1</w:t>
    </w:r>
    <w:r w:rsidRPr="00402686">
      <w:rPr>
        <w:spacing w:val="-6"/>
        <w:sz w:val="16"/>
        <w:szCs w:val="16"/>
      </w:rPr>
      <w:t xml:space="preserve"> DE </w:t>
    </w:r>
    <w:r>
      <w:rPr>
        <w:spacing w:val="-6"/>
        <w:sz w:val="16"/>
        <w:szCs w:val="16"/>
      </w:rPr>
      <w:t>DICIEMBRE</w:t>
    </w:r>
    <w:r w:rsidRPr="00402686">
      <w:rPr>
        <w:spacing w:val="-6"/>
        <w:sz w:val="16"/>
        <w:szCs w:val="16"/>
      </w:rPr>
      <w:t xml:space="preserve"> DE 2019.</w:t>
    </w:r>
  </w:p>
  <w:p w:rsidR="0070421D" w:rsidRPr="009720DD" w:rsidRDefault="0070421D" w:rsidP="008D74F7">
    <w:pPr>
      <w:pStyle w:val="Textoindependiente3"/>
      <w:jc w:val="left"/>
      <w:rPr>
        <w:b w:val="0"/>
        <w:szCs w:val="18"/>
      </w:rPr>
    </w:pPr>
    <w:r w:rsidRPr="009720DD">
      <w:rPr>
        <w:b w:val="0"/>
        <w:szCs w:val="18"/>
      </w:rPr>
      <w:t xml:space="preserve">– Cifras expresadas en </w:t>
    </w:r>
    <w:r>
      <w:rPr>
        <w:b w:val="0"/>
        <w:szCs w:val="18"/>
      </w:rPr>
      <w:t xml:space="preserve">miles de </w:t>
    </w:r>
    <w:r w:rsidRPr="009720DD">
      <w:rPr>
        <w:b w:val="0"/>
        <w:szCs w:val="18"/>
      </w:rPr>
      <w:t xml:space="preserve">pesos (Nota </w:t>
    </w:r>
    <w:r>
      <w:rPr>
        <w:b w:val="0"/>
        <w:szCs w:val="18"/>
      </w:rPr>
      <w:t>2</w:t>
    </w:r>
    <w:r w:rsidRPr="009720DD">
      <w:rPr>
        <w:b w:val="0"/>
        <w:szCs w:val="18"/>
      </w:rPr>
      <w:t>.b)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1D" w:rsidRPr="00C5615D" w:rsidRDefault="0070421D" w:rsidP="00402686">
    <w:pPr>
      <w:pStyle w:val="Encabezado"/>
      <w:rPr>
        <w:b/>
        <w:noProof/>
        <w:sz w:val="32"/>
        <w:szCs w:val="32"/>
      </w:rPr>
    </w:pPr>
    <w:r>
      <w:rPr>
        <w:b/>
        <w:sz w:val="32"/>
        <w:szCs w:val="32"/>
      </w:rPr>
      <w:t>ELECTROTECNICA FAMAR S.A.C.I.I.E.</w:t>
    </w:r>
  </w:p>
  <w:p w:rsidR="0070421D" w:rsidRDefault="0070421D">
    <w:pPr>
      <w:pStyle w:val="Encabezado"/>
    </w:pPr>
  </w:p>
  <w:p w:rsidR="0070421D" w:rsidRDefault="0070421D">
    <w:pPr>
      <w:pStyle w:val="Encabezado"/>
    </w:pPr>
  </w:p>
  <w:p w:rsidR="0070421D" w:rsidRDefault="0070421D">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1D" w:rsidRPr="00C5615D" w:rsidRDefault="0070421D" w:rsidP="00402686">
    <w:pPr>
      <w:pStyle w:val="Encabezado"/>
      <w:rPr>
        <w:b/>
        <w:noProof/>
        <w:sz w:val="32"/>
        <w:szCs w:val="32"/>
      </w:rPr>
    </w:pPr>
    <w:r>
      <w:rPr>
        <w:b/>
        <w:sz w:val="32"/>
        <w:szCs w:val="32"/>
      </w:rPr>
      <w:t>ELECTROTECNICA FAMAR S.A.C.I.I.E.</w:t>
    </w:r>
  </w:p>
  <w:p w:rsidR="0070421D" w:rsidRDefault="0070421D">
    <w:pPr>
      <w:pStyle w:val="Encabezado"/>
    </w:pPr>
  </w:p>
  <w:p w:rsidR="0070421D" w:rsidRPr="00C202E2" w:rsidRDefault="0070421D">
    <w:pPr>
      <w:pStyle w:val="Encabezado"/>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A97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5DA4D1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50427E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3B74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33F7A"/>
    <w:multiLevelType w:val="hybridMultilevel"/>
    <w:tmpl w:val="9C864776"/>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04624561"/>
    <w:multiLevelType w:val="hybridMultilevel"/>
    <w:tmpl w:val="128037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5F95CF2"/>
    <w:multiLevelType w:val="hybridMultilevel"/>
    <w:tmpl w:val="8AF8F836"/>
    <w:lvl w:ilvl="0" w:tplc="2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6EE0E2B"/>
    <w:multiLevelType w:val="multilevel"/>
    <w:tmpl w:val="FD2AF432"/>
    <w:lvl w:ilvl="0">
      <w:start w:val="1"/>
      <w:numFmt w:val="lowerLetter"/>
      <w:lvlText w:val="%1)"/>
      <w:lvlJc w:val="left"/>
      <w:pPr>
        <w:tabs>
          <w:tab w:val="num" w:pos="360"/>
        </w:tabs>
        <w:ind w:left="360" w:hanging="360"/>
      </w:pPr>
      <w:rPr>
        <w:b/>
        <w:bCs/>
        <w:sz w:val="18"/>
        <w:szCs w:val="18"/>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15:restartNumberingAfterBreak="0">
    <w:nsid w:val="0B88006F"/>
    <w:multiLevelType w:val="hybridMultilevel"/>
    <w:tmpl w:val="B45015BC"/>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0653861"/>
    <w:multiLevelType w:val="hybridMultilevel"/>
    <w:tmpl w:val="EFC03BEA"/>
    <w:lvl w:ilvl="0" w:tplc="B1A6D6C6">
      <w:start w:val="1"/>
      <w:numFmt w:val="decimal"/>
      <w:lvlText w:val="%1."/>
      <w:lvlJc w:val="left"/>
      <w:pPr>
        <w:tabs>
          <w:tab w:val="num" w:pos="541"/>
        </w:tabs>
        <w:ind w:left="541" w:hanging="360"/>
      </w:pPr>
    </w:lvl>
    <w:lvl w:ilvl="1" w:tplc="0C0A0019">
      <w:start w:val="1"/>
      <w:numFmt w:val="lowerLetter"/>
      <w:lvlText w:val="%2."/>
      <w:lvlJc w:val="left"/>
      <w:pPr>
        <w:tabs>
          <w:tab w:val="num" w:pos="1261"/>
        </w:tabs>
        <w:ind w:left="1261" w:hanging="360"/>
      </w:pPr>
    </w:lvl>
    <w:lvl w:ilvl="2" w:tplc="0C0A001B">
      <w:start w:val="1"/>
      <w:numFmt w:val="lowerRoman"/>
      <w:lvlText w:val="%3."/>
      <w:lvlJc w:val="right"/>
      <w:pPr>
        <w:tabs>
          <w:tab w:val="num" w:pos="1981"/>
        </w:tabs>
        <w:ind w:left="1981" w:hanging="180"/>
      </w:pPr>
    </w:lvl>
    <w:lvl w:ilvl="3" w:tplc="0C0A000F">
      <w:start w:val="1"/>
      <w:numFmt w:val="decimal"/>
      <w:lvlText w:val="%4."/>
      <w:lvlJc w:val="left"/>
      <w:pPr>
        <w:tabs>
          <w:tab w:val="num" w:pos="2701"/>
        </w:tabs>
        <w:ind w:left="2701" w:hanging="360"/>
      </w:pPr>
    </w:lvl>
    <w:lvl w:ilvl="4" w:tplc="0C0A0019">
      <w:start w:val="1"/>
      <w:numFmt w:val="lowerLetter"/>
      <w:lvlText w:val="%5."/>
      <w:lvlJc w:val="left"/>
      <w:pPr>
        <w:tabs>
          <w:tab w:val="num" w:pos="3421"/>
        </w:tabs>
        <w:ind w:left="3421" w:hanging="360"/>
      </w:pPr>
    </w:lvl>
    <w:lvl w:ilvl="5" w:tplc="0C0A001B">
      <w:start w:val="1"/>
      <w:numFmt w:val="lowerRoman"/>
      <w:lvlText w:val="%6."/>
      <w:lvlJc w:val="right"/>
      <w:pPr>
        <w:tabs>
          <w:tab w:val="num" w:pos="4141"/>
        </w:tabs>
        <w:ind w:left="4141" w:hanging="180"/>
      </w:pPr>
    </w:lvl>
    <w:lvl w:ilvl="6" w:tplc="0C0A000F">
      <w:start w:val="1"/>
      <w:numFmt w:val="decimal"/>
      <w:lvlText w:val="%7."/>
      <w:lvlJc w:val="left"/>
      <w:pPr>
        <w:tabs>
          <w:tab w:val="num" w:pos="4861"/>
        </w:tabs>
        <w:ind w:left="4861" w:hanging="360"/>
      </w:pPr>
    </w:lvl>
    <w:lvl w:ilvl="7" w:tplc="0C0A0019">
      <w:start w:val="1"/>
      <w:numFmt w:val="lowerLetter"/>
      <w:lvlText w:val="%8."/>
      <w:lvlJc w:val="left"/>
      <w:pPr>
        <w:tabs>
          <w:tab w:val="num" w:pos="5581"/>
        </w:tabs>
        <w:ind w:left="5581" w:hanging="360"/>
      </w:pPr>
    </w:lvl>
    <w:lvl w:ilvl="8" w:tplc="0C0A001B">
      <w:start w:val="1"/>
      <w:numFmt w:val="lowerRoman"/>
      <w:lvlText w:val="%9."/>
      <w:lvlJc w:val="right"/>
      <w:pPr>
        <w:tabs>
          <w:tab w:val="num" w:pos="6301"/>
        </w:tabs>
        <w:ind w:left="6301" w:hanging="180"/>
      </w:pPr>
    </w:lvl>
  </w:abstractNum>
  <w:abstractNum w:abstractNumId="10" w15:restartNumberingAfterBreak="0">
    <w:nsid w:val="115D5ECB"/>
    <w:multiLevelType w:val="hybridMultilevel"/>
    <w:tmpl w:val="E3107E64"/>
    <w:lvl w:ilvl="0" w:tplc="E3E2F5D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13C34C9C"/>
    <w:multiLevelType w:val="singleLevel"/>
    <w:tmpl w:val="977852CA"/>
    <w:lvl w:ilvl="0">
      <w:start w:val="20"/>
      <w:numFmt w:val="bullet"/>
      <w:lvlText w:val="-"/>
      <w:lvlJc w:val="left"/>
      <w:pPr>
        <w:ind w:left="720" w:hanging="360"/>
      </w:pPr>
      <w:rPr>
        <w:rFonts w:hint="default"/>
      </w:rPr>
    </w:lvl>
  </w:abstractNum>
  <w:abstractNum w:abstractNumId="12" w15:restartNumberingAfterBreak="0">
    <w:nsid w:val="18F828BF"/>
    <w:multiLevelType w:val="hybridMultilevel"/>
    <w:tmpl w:val="DCCC19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98965AF"/>
    <w:multiLevelType w:val="hybridMultilevel"/>
    <w:tmpl w:val="626C38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D6FFE"/>
    <w:multiLevelType w:val="singleLevel"/>
    <w:tmpl w:val="977852CA"/>
    <w:lvl w:ilvl="0">
      <w:start w:val="20"/>
      <w:numFmt w:val="bullet"/>
      <w:lvlText w:val="-"/>
      <w:lvlJc w:val="left"/>
      <w:pPr>
        <w:ind w:left="720" w:hanging="360"/>
      </w:pPr>
      <w:rPr>
        <w:rFonts w:hint="default"/>
      </w:rPr>
    </w:lvl>
  </w:abstractNum>
  <w:abstractNum w:abstractNumId="15" w15:restartNumberingAfterBreak="0">
    <w:nsid w:val="1DAE52A6"/>
    <w:multiLevelType w:val="hybridMultilevel"/>
    <w:tmpl w:val="9C864776"/>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6" w15:restartNumberingAfterBreak="0">
    <w:nsid w:val="244404A5"/>
    <w:multiLevelType w:val="hybridMultilevel"/>
    <w:tmpl w:val="99F00E62"/>
    <w:lvl w:ilvl="0" w:tplc="E3B2A7D2">
      <w:start w:val="1"/>
      <w:numFmt w:val="low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17" w15:restartNumberingAfterBreak="0">
    <w:nsid w:val="26B70380"/>
    <w:multiLevelType w:val="hybridMultilevel"/>
    <w:tmpl w:val="D12290DC"/>
    <w:lvl w:ilvl="0" w:tplc="EB744FE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7D968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A8C665D"/>
    <w:multiLevelType w:val="hybridMultilevel"/>
    <w:tmpl w:val="A5D08A1A"/>
    <w:lvl w:ilvl="0" w:tplc="EE04B44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DE56157"/>
    <w:multiLevelType w:val="hybridMultilevel"/>
    <w:tmpl w:val="1EA04DCC"/>
    <w:lvl w:ilvl="0" w:tplc="977852CA">
      <w:start w:val="20"/>
      <w:numFmt w:val="bullet"/>
      <w:lvlText w:val="-"/>
      <w:lvlJc w:val="left"/>
      <w:pPr>
        <w:ind w:left="360" w:hanging="360"/>
      </w:pPr>
      <w:rPr>
        <w:rFonts w:hint="default"/>
      </w:rPr>
    </w:lvl>
    <w:lvl w:ilvl="1" w:tplc="2C0A0003">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15:restartNumberingAfterBreak="0">
    <w:nsid w:val="2F7B38B8"/>
    <w:multiLevelType w:val="hybridMultilevel"/>
    <w:tmpl w:val="3A38E8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070A2A"/>
    <w:multiLevelType w:val="hybridMultilevel"/>
    <w:tmpl w:val="5254FB6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1C468CB"/>
    <w:multiLevelType w:val="hybridMultilevel"/>
    <w:tmpl w:val="676299E8"/>
    <w:lvl w:ilvl="0" w:tplc="865044D0">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4" w15:restartNumberingAfterBreak="0">
    <w:nsid w:val="388A380A"/>
    <w:multiLevelType w:val="hybridMultilevel"/>
    <w:tmpl w:val="3B4E8F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D4B15"/>
    <w:multiLevelType w:val="multilevel"/>
    <w:tmpl w:val="97C84E80"/>
    <w:lvl w:ilvl="0">
      <w:start w:val="1"/>
      <w:numFmt w:val="decimal"/>
      <w:lvlText w:val="(%1)"/>
      <w:lvlJc w:val="left"/>
      <w:pPr>
        <w:tabs>
          <w:tab w:val="num" w:pos="360"/>
        </w:tabs>
        <w:ind w:left="360" w:hanging="360"/>
      </w:pPr>
      <w:rPr>
        <w:rFonts w:hint="default"/>
        <w:lang w:val="es-AR"/>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4B566726"/>
    <w:multiLevelType w:val="singleLevel"/>
    <w:tmpl w:val="977852CA"/>
    <w:lvl w:ilvl="0">
      <w:start w:val="20"/>
      <w:numFmt w:val="bullet"/>
      <w:lvlText w:val="-"/>
      <w:lvlJc w:val="left"/>
      <w:pPr>
        <w:tabs>
          <w:tab w:val="num" w:pos="360"/>
        </w:tabs>
        <w:ind w:left="360" w:hanging="360"/>
      </w:pPr>
      <w:rPr>
        <w:rFonts w:hint="default"/>
      </w:rPr>
    </w:lvl>
  </w:abstractNum>
  <w:abstractNum w:abstractNumId="27" w15:restartNumberingAfterBreak="0">
    <w:nsid w:val="4BEA18E1"/>
    <w:multiLevelType w:val="hybridMultilevel"/>
    <w:tmpl w:val="5F9A1B7E"/>
    <w:lvl w:ilvl="0" w:tplc="2C0A0017">
      <w:start w:val="1"/>
      <w:numFmt w:val="lowerLetter"/>
      <w:lvlText w:val="%1)"/>
      <w:lvlJc w:val="left"/>
      <w:pPr>
        <w:ind w:left="630" w:hanging="360"/>
      </w:pPr>
      <w:rPr>
        <w:rFonts w:hint="default"/>
        <w:b w:val="0"/>
      </w:rPr>
    </w:lvl>
    <w:lvl w:ilvl="1" w:tplc="2C0A0019">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28" w15:restartNumberingAfterBreak="0">
    <w:nsid w:val="4C925531"/>
    <w:multiLevelType w:val="hybridMultilevel"/>
    <w:tmpl w:val="9C864776"/>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9" w15:restartNumberingAfterBreak="0">
    <w:nsid w:val="520C58B6"/>
    <w:multiLevelType w:val="hybridMultilevel"/>
    <w:tmpl w:val="0B122164"/>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EAC3841"/>
    <w:multiLevelType w:val="singleLevel"/>
    <w:tmpl w:val="67546B32"/>
    <w:lvl w:ilvl="0">
      <w:start w:val="1"/>
      <w:numFmt w:val="lowerLetter"/>
      <w:lvlText w:val="%1)"/>
      <w:lvlJc w:val="left"/>
      <w:pPr>
        <w:tabs>
          <w:tab w:val="num" w:pos="360"/>
        </w:tabs>
        <w:ind w:left="360" w:hanging="360"/>
      </w:pPr>
    </w:lvl>
  </w:abstractNum>
  <w:abstractNum w:abstractNumId="31" w15:restartNumberingAfterBreak="0">
    <w:nsid w:val="5ED851F5"/>
    <w:multiLevelType w:val="hybridMultilevel"/>
    <w:tmpl w:val="6010D01E"/>
    <w:lvl w:ilvl="0" w:tplc="DA582096">
      <w:start w:val="1"/>
      <w:numFmt w:val="lowerLetter"/>
      <w:lvlText w:val="(%1)"/>
      <w:lvlJc w:val="left"/>
      <w:pPr>
        <w:ind w:left="704" w:hanging="42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2" w15:restartNumberingAfterBreak="0">
    <w:nsid w:val="5F50486A"/>
    <w:multiLevelType w:val="multilevel"/>
    <w:tmpl w:val="16F618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673E0D8A"/>
    <w:multiLevelType w:val="hybridMultilevel"/>
    <w:tmpl w:val="515817E8"/>
    <w:lvl w:ilvl="0" w:tplc="977852CA">
      <w:start w:val="20"/>
      <w:numFmt w:val="bullet"/>
      <w:lvlText w:val="-"/>
      <w:lvlJc w:val="left"/>
      <w:pPr>
        <w:ind w:left="720" w:hanging="360"/>
      </w:pPr>
      <w:rPr>
        <w:rFont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78C413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8474BC7"/>
    <w:multiLevelType w:val="hybridMultilevel"/>
    <w:tmpl w:val="7B1C7AFE"/>
    <w:lvl w:ilvl="0" w:tplc="AFF2786E">
      <w:start w:val="1"/>
      <w:numFmt w:val="decimal"/>
      <w:lvlText w:val="%1."/>
      <w:lvlJc w:val="left"/>
      <w:pPr>
        <w:ind w:left="630" w:hanging="360"/>
      </w:pPr>
      <w:rPr>
        <w:rFonts w:hint="default"/>
        <w:b w:val="0"/>
      </w:rPr>
    </w:lvl>
    <w:lvl w:ilvl="1" w:tplc="2C0A0019">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36" w15:restartNumberingAfterBreak="0">
    <w:nsid w:val="69A06015"/>
    <w:multiLevelType w:val="singleLevel"/>
    <w:tmpl w:val="0C0A0001"/>
    <w:lvl w:ilvl="0">
      <w:start w:val="1"/>
      <w:numFmt w:val="bullet"/>
      <w:lvlText w:val=""/>
      <w:lvlJc w:val="left"/>
      <w:pPr>
        <w:ind w:left="720" w:hanging="360"/>
      </w:pPr>
      <w:rPr>
        <w:rFonts w:ascii="Symbol" w:hAnsi="Symbol" w:hint="default"/>
      </w:rPr>
    </w:lvl>
  </w:abstractNum>
  <w:abstractNum w:abstractNumId="37" w15:restartNumberingAfterBreak="0">
    <w:nsid w:val="6C2173C0"/>
    <w:multiLevelType w:val="hybridMultilevel"/>
    <w:tmpl w:val="9C864776"/>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8" w15:restartNumberingAfterBreak="0">
    <w:nsid w:val="7A920F40"/>
    <w:multiLevelType w:val="multilevel"/>
    <w:tmpl w:val="D228F894"/>
    <w:lvl w:ilvl="0">
      <w:start w:val="5"/>
      <w:numFmt w:val="lowerLetter"/>
      <w:lvlText w:val="%1)"/>
      <w:lvlJc w:val="left"/>
      <w:pPr>
        <w:tabs>
          <w:tab w:val="num" w:pos="360"/>
        </w:tabs>
        <w:ind w:left="360" w:hanging="360"/>
      </w:pPr>
      <w:rPr>
        <w:rFonts w:hint="default"/>
        <w:b/>
        <w:bCs/>
        <w:sz w:val="18"/>
        <w:szCs w:val="18"/>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num w:numId="1">
    <w:abstractNumId w:val="18"/>
  </w:num>
  <w:num w:numId="2">
    <w:abstractNumId w:val="7"/>
  </w:num>
  <w:num w:numId="3">
    <w:abstractNumId w:val="14"/>
  </w:num>
  <w:num w:numId="4">
    <w:abstractNumId w:val="26"/>
  </w:num>
  <w:num w:numId="5">
    <w:abstractNumId w:val="34"/>
  </w:num>
  <w:num w:numId="6">
    <w:abstractNumId w:val="30"/>
  </w:num>
  <w:num w:numId="7">
    <w:abstractNumId w:val="20"/>
  </w:num>
  <w:num w:numId="8">
    <w:abstractNumId w:val="17"/>
  </w:num>
  <w:num w:numId="9">
    <w:abstractNumId w:val="9"/>
  </w:num>
  <w:num w:numId="10">
    <w:abstractNumId w:val="6"/>
  </w:num>
  <w:num w:numId="11">
    <w:abstractNumId w:val="35"/>
  </w:num>
  <w:num w:numId="12">
    <w:abstractNumId w:val="19"/>
  </w:num>
  <w:num w:numId="13">
    <w:abstractNumId w:val="27"/>
  </w:num>
  <w:num w:numId="14">
    <w:abstractNumId w:val="23"/>
  </w:num>
  <w:num w:numId="15">
    <w:abstractNumId w:val="16"/>
  </w:num>
  <w:num w:numId="16">
    <w:abstractNumId w:val="37"/>
  </w:num>
  <w:num w:numId="17">
    <w:abstractNumId w:val="28"/>
  </w:num>
  <w:num w:numId="18">
    <w:abstractNumId w:val="15"/>
  </w:num>
  <w:num w:numId="19">
    <w:abstractNumId w:val="4"/>
  </w:num>
  <w:num w:numId="20">
    <w:abstractNumId w:val="3"/>
  </w:num>
  <w:num w:numId="21">
    <w:abstractNumId w:val="11"/>
  </w:num>
  <w:num w:numId="22">
    <w:abstractNumId w:val="24"/>
  </w:num>
  <w:num w:numId="23">
    <w:abstractNumId w:val="21"/>
  </w:num>
  <w:num w:numId="24">
    <w:abstractNumId w:val="13"/>
  </w:num>
  <w:num w:numId="25">
    <w:abstractNumId w:val="36"/>
  </w:num>
  <w:num w:numId="26">
    <w:abstractNumId w:val="29"/>
  </w:num>
  <w:num w:numId="27">
    <w:abstractNumId w:val="8"/>
  </w:num>
  <w:num w:numId="28">
    <w:abstractNumId w:val="33"/>
  </w:num>
  <w:num w:numId="29">
    <w:abstractNumId w:val="25"/>
  </w:num>
  <w:num w:numId="30">
    <w:abstractNumId w:val="32"/>
  </w:num>
  <w:num w:numId="31">
    <w:abstractNumId w:val="2"/>
  </w:num>
  <w:num w:numId="32">
    <w:abstractNumId w:val="1"/>
  </w:num>
  <w:num w:numId="33">
    <w:abstractNumId w:val="0"/>
  </w:num>
  <w:num w:numId="34">
    <w:abstractNumId w:val="38"/>
  </w:num>
  <w:num w:numId="35">
    <w:abstractNumId w:val="31"/>
  </w:num>
  <w:num w:numId="36">
    <w:abstractNumId w:val="10"/>
  </w:num>
  <w:num w:numId="37">
    <w:abstractNumId w:val="5"/>
  </w:num>
  <w:num w:numId="38">
    <w:abstractNumId w:val="22"/>
  </w:num>
  <w:num w:numId="3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pt-BR" w:vendorID="64" w:dllVersion="131078" w:nlCheck="1" w:checkStyle="0"/>
  <w:activeWritingStyle w:appName="MSWord" w:lang="es-AR"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B3"/>
    <w:rsid w:val="00000119"/>
    <w:rsid w:val="0000066E"/>
    <w:rsid w:val="00001427"/>
    <w:rsid w:val="00001CE2"/>
    <w:rsid w:val="00001EC5"/>
    <w:rsid w:val="0000246C"/>
    <w:rsid w:val="00002816"/>
    <w:rsid w:val="000028B3"/>
    <w:rsid w:val="00002B2B"/>
    <w:rsid w:val="00002D76"/>
    <w:rsid w:val="00002E0A"/>
    <w:rsid w:val="00002E3F"/>
    <w:rsid w:val="00003044"/>
    <w:rsid w:val="0000322D"/>
    <w:rsid w:val="00003823"/>
    <w:rsid w:val="00003FE9"/>
    <w:rsid w:val="000046B5"/>
    <w:rsid w:val="000047EC"/>
    <w:rsid w:val="00004881"/>
    <w:rsid w:val="00004C03"/>
    <w:rsid w:val="00004E66"/>
    <w:rsid w:val="00004F17"/>
    <w:rsid w:val="00004F45"/>
    <w:rsid w:val="00005084"/>
    <w:rsid w:val="00005316"/>
    <w:rsid w:val="000061D9"/>
    <w:rsid w:val="00006260"/>
    <w:rsid w:val="00006DBD"/>
    <w:rsid w:val="00006DFC"/>
    <w:rsid w:val="0000712C"/>
    <w:rsid w:val="00007A08"/>
    <w:rsid w:val="00007DA8"/>
    <w:rsid w:val="00010667"/>
    <w:rsid w:val="00010854"/>
    <w:rsid w:val="0001085D"/>
    <w:rsid w:val="00010A68"/>
    <w:rsid w:val="00010AE2"/>
    <w:rsid w:val="00010D8C"/>
    <w:rsid w:val="0001105E"/>
    <w:rsid w:val="00011621"/>
    <w:rsid w:val="000118E0"/>
    <w:rsid w:val="00011B9E"/>
    <w:rsid w:val="00011CD7"/>
    <w:rsid w:val="00011E1F"/>
    <w:rsid w:val="00011E95"/>
    <w:rsid w:val="000129D7"/>
    <w:rsid w:val="00012C9A"/>
    <w:rsid w:val="00013275"/>
    <w:rsid w:val="000134CC"/>
    <w:rsid w:val="00014089"/>
    <w:rsid w:val="00014100"/>
    <w:rsid w:val="000141CF"/>
    <w:rsid w:val="00014930"/>
    <w:rsid w:val="00014A27"/>
    <w:rsid w:val="00014B39"/>
    <w:rsid w:val="00014B86"/>
    <w:rsid w:val="00015124"/>
    <w:rsid w:val="000154AC"/>
    <w:rsid w:val="00015961"/>
    <w:rsid w:val="00015A36"/>
    <w:rsid w:val="00015B16"/>
    <w:rsid w:val="000161AA"/>
    <w:rsid w:val="00016349"/>
    <w:rsid w:val="00016A2E"/>
    <w:rsid w:val="00016A5D"/>
    <w:rsid w:val="00016B0B"/>
    <w:rsid w:val="00017505"/>
    <w:rsid w:val="000176A4"/>
    <w:rsid w:val="000177E2"/>
    <w:rsid w:val="000178A9"/>
    <w:rsid w:val="00017C17"/>
    <w:rsid w:val="00017D24"/>
    <w:rsid w:val="00020317"/>
    <w:rsid w:val="000204A6"/>
    <w:rsid w:val="00020E28"/>
    <w:rsid w:val="00021574"/>
    <w:rsid w:val="00021E88"/>
    <w:rsid w:val="00021ECD"/>
    <w:rsid w:val="00021FE4"/>
    <w:rsid w:val="000220E0"/>
    <w:rsid w:val="0002213E"/>
    <w:rsid w:val="00022376"/>
    <w:rsid w:val="000223EC"/>
    <w:rsid w:val="00022422"/>
    <w:rsid w:val="000225CC"/>
    <w:rsid w:val="00022716"/>
    <w:rsid w:val="0002291D"/>
    <w:rsid w:val="00022DD2"/>
    <w:rsid w:val="00023123"/>
    <w:rsid w:val="00023299"/>
    <w:rsid w:val="000234C6"/>
    <w:rsid w:val="0002374F"/>
    <w:rsid w:val="000238F4"/>
    <w:rsid w:val="00023FA1"/>
    <w:rsid w:val="00024232"/>
    <w:rsid w:val="000242A8"/>
    <w:rsid w:val="00024867"/>
    <w:rsid w:val="00024C00"/>
    <w:rsid w:val="00024FF8"/>
    <w:rsid w:val="0002547F"/>
    <w:rsid w:val="00025561"/>
    <w:rsid w:val="000255F3"/>
    <w:rsid w:val="00025A88"/>
    <w:rsid w:val="00025B91"/>
    <w:rsid w:val="00026CDD"/>
    <w:rsid w:val="00027114"/>
    <w:rsid w:val="00027A7A"/>
    <w:rsid w:val="00027EA9"/>
    <w:rsid w:val="00030401"/>
    <w:rsid w:val="000305ED"/>
    <w:rsid w:val="00030610"/>
    <w:rsid w:val="00030E0B"/>
    <w:rsid w:val="00030E7E"/>
    <w:rsid w:val="000310D6"/>
    <w:rsid w:val="000311DD"/>
    <w:rsid w:val="000312D3"/>
    <w:rsid w:val="00031379"/>
    <w:rsid w:val="0003164A"/>
    <w:rsid w:val="000322C1"/>
    <w:rsid w:val="00032787"/>
    <w:rsid w:val="0003278C"/>
    <w:rsid w:val="000328EB"/>
    <w:rsid w:val="000328FC"/>
    <w:rsid w:val="0003293A"/>
    <w:rsid w:val="00033273"/>
    <w:rsid w:val="000334E9"/>
    <w:rsid w:val="00033B34"/>
    <w:rsid w:val="00033CE4"/>
    <w:rsid w:val="00034BE9"/>
    <w:rsid w:val="00034C11"/>
    <w:rsid w:val="00034C2D"/>
    <w:rsid w:val="00034EFB"/>
    <w:rsid w:val="000351BE"/>
    <w:rsid w:val="00035200"/>
    <w:rsid w:val="00035431"/>
    <w:rsid w:val="00035711"/>
    <w:rsid w:val="00035C40"/>
    <w:rsid w:val="000360F5"/>
    <w:rsid w:val="0003619A"/>
    <w:rsid w:val="00036688"/>
    <w:rsid w:val="0003676E"/>
    <w:rsid w:val="00036F7D"/>
    <w:rsid w:val="000370CE"/>
    <w:rsid w:val="0003762E"/>
    <w:rsid w:val="00037A91"/>
    <w:rsid w:val="00040480"/>
    <w:rsid w:val="0004068C"/>
    <w:rsid w:val="00040AC7"/>
    <w:rsid w:val="00040D77"/>
    <w:rsid w:val="00040F45"/>
    <w:rsid w:val="00040F59"/>
    <w:rsid w:val="0004131E"/>
    <w:rsid w:val="000413B6"/>
    <w:rsid w:val="00041D33"/>
    <w:rsid w:val="000421FE"/>
    <w:rsid w:val="00042287"/>
    <w:rsid w:val="000423BF"/>
    <w:rsid w:val="000426A3"/>
    <w:rsid w:val="000426DE"/>
    <w:rsid w:val="0004282A"/>
    <w:rsid w:val="00042B49"/>
    <w:rsid w:val="00042B4B"/>
    <w:rsid w:val="00042FB8"/>
    <w:rsid w:val="000430F9"/>
    <w:rsid w:val="00043161"/>
    <w:rsid w:val="0004381E"/>
    <w:rsid w:val="000443BF"/>
    <w:rsid w:val="0004524F"/>
    <w:rsid w:val="00045763"/>
    <w:rsid w:val="000459FF"/>
    <w:rsid w:val="00046004"/>
    <w:rsid w:val="00046246"/>
    <w:rsid w:val="00046429"/>
    <w:rsid w:val="000466C3"/>
    <w:rsid w:val="00046D2C"/>
    <w:rsid w:val="00046E4B"/>
    <w:rsid w:val="00046F56"/>
    <w:rsid w:val="00046FF2"/>
    <w:rsid w:val="00047733"/>
    <w:rsid w:val="00050019"/>
    <w:rsid w:val="00050806"/>
    <w:rsid w:val="000508E6"/>
    <w:rsid w:val="000509B8"/>
    <w:rsid w:val="000509DC"/>
    <w:rsid w:val="000513FC"/>
    <w:rsid w:val="00051579"/>
    <w:rsid w:val="0005163D"/>
    <w:rsid w:val="000518C3"/>
    <w:rsid w:val="00051A19"/>
    <w:rsid w:val="00051B72"/>
    <w:rsid w:val="000522BB"/>
    <w:rsid w:val="00052DB7"/>
    <w:rsid w:val="00052EF5"/>
    <w:rsid w:val="00053105"/>
    <w:rsid w:val="000533E7"/>
    <w:rsid w:val="0005396C"/>
    <w:rsid w:val="000540AD"/>
    <w:rsid w:val="00054425"/>
    <w:rsid w:val="0005466F"/>
    <w:rsid w:val="00054A10"/>
    <w:rsid w:val="00054C53"/>
    <w:rsid w:val="00054D78"/>
    <w:rsid w:val="00054F51"/>
    <w:rsid w:val="00055AE3"/>
    <w:rsid w:val="00055C8A"/>
    <w:rsid w:val="00055D82"/>
    <w:rsid w:val="0005652C"/>
    <w:rsid w:val="000568DD"/>
    <w:rsid w:val="00056979"/>
    <w:rsid w:val="00056B1A"/>
    <w:rsid w:val="00056B4C"/>
    <w:rsid w:val="00056F12"/>
    <w:rsid w:val="00057668"/>
    <w:rsid w:val="0005792F"/>
    <w:rsid w:val="00057B97"/>
    <w:rsid w:val="00057C3B"/>
    <w:rsid w:val="00057F5D"/>
    <w:rsid w:val="00060243"/>
    <w:rsid w:val="0006098E"/>
    <w:rsid w:val="00060ACD"/>
    <w:rsid w:val="00061161"/>
    <w:rsid w:val="00061318"/>
    <w:rsid w:val="0006194B"/>
    <w:rsid w:val="000620C7"/>
    <w:rsid w:val="00062F08"/>
    <w:rsid w:val="00062F9E"/>
    <w:rsid w:val="00063126"/>
    <w:rsid w:val="00064444"/>
    <w:rsid w:val="0006453C"/>
    <w:rsid w:val="00064973"/>
    <w:rsid w:val="00064A52"/>
    <w:rsid w:val="00064CCE"/>
    <w:rsid w:val="0006514E"/>
    <w:rsid w:val="000651B5"/>
    <w:rsid w:val="0006544A"/>
    <w:rsid w:val="000654BC"/>
    <w:rsid w:val="0006565F"/>
    <w:rsid w:val="00065672"/>
    <w:rsid w:val="00065734"/>
    <w:rsid w:val="00065FB6"/>
    <w:rsid w:val="000661A3"/>
    <w:rsid w:val="0006638A"/>
    <w:rsid w:val="00066942"/>
    <w:rsid w:val="00066992"/>
    <w:rsid w:val="00066D12"/>
    <w:rsid w:val="00066E36"/>
    <w:rsid w:val="00066F3A"/>
    <w:rsid w:val="000673C3"/>
    <w:rsid w:val="00067783"/>
    <w:rsid w:val="0007052E"/>
    <w:rsid w:val="0007064C"/>
    <w:rsid w:val="00070790"/>
    <w:rsid w:val="000708D8"/>
    <w:rsid w:val="00070AB4"/>
    <w:rsid w:val="000711D8"/>
    <w:rsid w:val="00071210"/>
    <w:rsid w:val="0007167B"/>
    <w:rsid w:val="000723C8"/>
    <w:rsid w:val="0007264B"/>
    <w:rsid w:val="00072A28"/>
    <w:rsid w:val="00072C41"/>
    <w:rsid w:val="00073006"/>
    <w:rsid w:val="000731BC"/>
    <w:rsid w:val="00073684"/>
    <w:rsid w:val="00073697"/>
    <w:rsid w:val="00073A65"/>
    <w:rsid w:val="00073CC7"/>
    <w:rsid w:val="00074053"/>
    <w:rsid w:val="000746CB"/>
    <w:rsid w:val="000749EC"/>
    <w:rsid w:val="00074A00"/>
    <w:rsid w:val="00074A08"/>
    <w:rsid w:val="00074D20"/>
    <w:rsid w:val="00075B7D"/>
    <w:rsid w:val="00075F71"/>
    <w:rsid w:val="000763D1"/>
    <w:rsid w:val="00076796"/>
    <w:rsid w:val="00076978"/>
    <w:rsid w:val="00076BA7"/>
    <w:rsid w:val="00076CDB"/>
    <w:rsid w:val="00077173"/>
    <w:rsid w:val="000771A5"/>
    <w:rsid w:val="000772FE"/>
    <w:rsid w:val="00077656"/>
    <w:rsid w:val="00077B23"/>
    <w:rsid w:val="00077D37"/>
    <w:rsid w:val="00077D88"/>
    <w:rsid w:val="00077D9C"/>
    <w:rsid w:val="00077E83"/>
    <w:rsid w:val="00077F7C"/>
    <w:rsid w:val="00077FC3"/>
    <w:rsid w:val="00080F1E"/>
    <w:rsid w:val="00081424"/>
    <w:rsid w:val="00081597"/>
    <w:rsid w:val="00081D22"/>
    <w:rsid w:val="00081F02"/>
    <w:rsid w:val="0008242C"/>
    <w:rsid w:val="000825DD"/>
    <w:rsid w:val="00082801"/>
    <w:rsid w:val="00082E03"/>
    <w:rsid w:val="0008337C"/>
    <w:rsid w:val="0008349C"/>
    <w:rsid w:val="0008378B"/>
    <w:rsid w:val="00083860"/>
    <w:rsid w:val="00083DF4"/>
    <w:rsid w:val="000840C8"/>
    <w:rsid w:val="0008424B"/>
    <w:rsid w:val="0008454B"/>
    <w:rsid w:val="00084615"/>
    <w:rsid w:val="0008499F"/>
    <w:rsid w:val="000857BB"/>
    <w:rsid w:val="000859B9"/>
    <w:rsid w:val="00085D81"/>
    <w:rsid w:val="00085EB7"/>
    <w:rsid w:val="00085EE9"/>
    <w:rsid w:val="000861CA"/>
    <w:rsid w:val="000864EF"/>
    <w:rsid w:val="00086544"/>
    <w:rsid w:val="00086551"/>
    <w:rsid w:val="000865CF"/>
    <w:rsid w:val="00086B48"/>
    <w:rsid w:val="00086E4A"/>
    <w:rsid w:val="00086F65"/>
    <w:rsid w:val="000874CA"/>
    <w:rsid w:val="0008770C"/>
    <w:rsid w:val="00087EB0"/>
    <w:rsid w:val="00090317"/>
    <w:rsid w:val="000905DC"/>
    <w:rsid w:val="0009088F"/>
    <w:rsid w:val="00090F81"/>
    <w:rsid w:val="000910A0"/>
    <w:rsid w:val="00091660"/>
    <w:rsid w:val="00091743"/>
    <w:rsid w:val="0009192D"/>
    <w:rsid w:val="00091993"/>
    <w:rsid w:val="00091C91"/>
    <w:rsid w:val="00092034"/>
    <w:rsid w:val="000925DA"/>
    <w:rsid w:val="00092999"/>
    <w:rsid w:val="00092B5C"/>
    <w:rsid w:val="00092CBE"/>
    <w:rsid w:val="00092F70"/>
    <w:rsid w:val="00093712"/>
    <w:rsid w:val="00093AED"/>
    <w:rsid w:val="00093D3E"/>
    <w:rsid w:val="00093D73"/>
    <w:rsid w:val="00093D90"/>
    <w:rsid w:val="00093FCD"/>
    <w:rsid w:val="000947BF"/>
    <w:rsid w:val="00094C2B"/>
    <w:rsid w:val="00095780"/>
    <w:rsid w:val="000958A7"/>
    <w:rsid w:val="00095A68"/>
    <w:rsid w:val="00095BC3"/>
    <w:rsid w:val="00095C40"/>
    <w:rsid w:val="00096337"/>
    <w:rsid w:val="000963B8"/>
    <w:rsid w:val="00096638"/>
    <w:rsid w:val="00096782"/>
    <w:rsid w:val="0009681D"/>
    <w:rsid w:val="00096C4E"/>
    <w:rsid w:val="00096CAD"/>
    <w:rsid w:val="00096D87"/>
    <w:rsid w:val="000973E5"/>
    <w:rsid w:val="00097497"/>
    <w:rsid w:val="00097D8E"/>
    <w:rsid w:val="00097E2C"/>
    <w:rsid w:val="000A00F6"/>
    <w:rsid w:val="000A01A6"/>
    <w:rsid w:val="000A053B"/>
    <w:rsid w:val="000A05D0"/>
    <w:rsid w:val="000A06B4"/>
    <w:rsid w:val="000A09DE"/>
    <w:rsid w:val="000A0A93"/>
    <w:rsid w:val="000A0B31"/>
    <w:rsid w:val="000A0DAE"/>
    <w:rsid w:val="000A1220"/>
    <w:rsid w:val="000A15D2"/>
    <w:rsid w:val="000A1A10"/>
    <w:rsid w:val="000A1BAD"/>
    <w:rsid w:val="000A233E"/>
    <w:rsid w:val="000A2743"/>
    <w:rsid w:val="000A295F"/>
    <w:rsid w:val="000A29B6"/>
    <w:rsid w:val="000A305F"/>
    <w:rsid w:val="000A31A9"/>
    <w:rsid w:val="000A3205"/>
    <w:rsid w:val="000A3700"/>
    <w:rsid w:val="000A37BA"/>
    <w:rsid w:val="000A3B04"/>
    <w:rsid w:val="000A3B4E"/>
    <w:rsid w:val="000A3DF0"/>
    <w:rsid w:val="000A4B00"/>
    <w:rsid w:val="000A4CAA"/>
    <w:rsid w:val="000A5173"/>
    <w:rsid w:val="000A519E"/>
    <w:rsid w:val="000A5681"/>
    <w:rsid w:val="000A57B1"/>
    <w:rsid w:val="000A641A"/>
    <w:rsid w:val="000A663F"/>
    <w:rsid w:val="000A6A15"/>
    <w:rsid w:val="000A6DAB"/>
    <w:rsid w:val="000A6E1B"/>
    <w:rsid w:val="000A7035"/>
    <w:rsid w:val="000A7084"/>
    <w:rsid w:val="000A721E"/>
    <w:rsid w:val="000A7992"/>
    <w:rsid w:val="000A7BAC"/>
    <w:rsid w:val="000A7E9A"/>
    <w:rsid w:val="000A7EF5"/>
    <w:rsid w:val="000A7FF3"/>
    <w:rsid w:val="000B0014"/>
    <w:rsid w:val="000B00CF"/>
    <w:rsid w:val="000B037C"/>
    <w:rsid w:val="000B05BA"/>
    <w:rsid w:val="000B081E"/>
    <w:rsid w:val="000B1107"/>
    <w:rsid w:val="000B140A"/>
    <w:rsid w:val="000B1A87"/>
    <w:rsid w:val="000B2096"/>
    <w:rsid w:val="000B22E2"/>
    <w:rsid w:val="000B26A2"/>
    <w:rsid w:val="000B2702"/>
    <w:rsid w:val="000B285E"/>
    <w:rsid w:val="000B2C6B"/>
    <w:rsid w:val="000B3135"/>
    <w:rsid w:val="000B3729"/>
    <w:rsid w:val="000B4136"/>
    <w:rsid w:val="000B43DD"/>
    <w:rsid w:val="000B4473"/>
    <w:rsid w:val="000B475F"/>
    <w:rsid w:val="000B47D4"/>
    <w:rsid w:val="000B4847"/>
    <w:rsid w:val="000B4852"/>
    <w:rsid w:val="000B49A0"/>
    <w:rsid w:val="000B4A4F"/>
    <w:rsid w:val="000B4B0E"/>
    <w:rsid w:val="000B4D5F"/>
    <w:rsid w:val="000B51F3"/>
    <w:rsid w:val="000B5570"/>
    <w:rsid w:val="000B5668"/>
    <w:rsid w:val="000B59D2"/>
    <w:rsid w:val="000B5B78"/>
    <w:rsid w:val="000B65BB"/>
    <w:rsid w:val="000B67A6"/>
    <w:rsid w:val="000B67AE"/>
    <w:rsid w:val="000B6BA7"/>
    <w:rsid w:val="000B6BB7"/>
    <w:rsid w:val="000B6C87"/>
    <w:rsid w:val="000B7151"/>
    <w:rsid w:val="000B7558"/>
    <w:rsid w:val="000B7668"/>
    <w:rsid w:val="000B79F3"/>
    <w:rsid w:val="000C010C"/>
    <w:rsid w:val="000C01A4"/>
    <w:rsid w:val="000C05AC"/>
    <w:rsid w:val="000C0A07"/>
    <w:rsid w:val="000C0C5C"/>
    <w:rsid w:val="000C1699"/>
    <w:rsid w:val="000C17A3"/>
    <w:rsid w:val="000C1BCA"/>
    <w:rsid w:val="000C21B4"/>
    <w:rsid w:val="000C21FC"/>
    <w:rsid w:val="000C23A0"/>
    <w:rsid w:val="000C2BCF"/>
    <w:rsid w:val="000C2C1A"/>
    <w:rsid w:val="000C2DE5"/>
    <w:rsid w:val="000C2FC4"/>
    <w:rsid w:val="000C3EC5"/>
    <w:rsid w:val="000C3F8C"/>
    <w:rsid w:val="000C5464"/>
    <w:rsid w:val="000C54D4"/>
    <w:rsid w:val="000C5887"/>
    <w:rsid w:val="000C5B9B"/>
    <w:rsid w:val="000C5F9C"/>
    <w:rsid w:val="000C6A84"/>
    <w:rsid w:val="000C6F88"/>
    <w:rsid w:val="000C7319"/>
    <w:rsid w:val="000C74A0"/>
    <w:rsid w:val="000C7915"/>
    <w:rsid w:val="000C7B0E"/>
    <w:rsid w:val="000C7F44"/>
    <w:rsid w:val="000D0711"/>
    <w:rsid w:val="000D0A1E"/>
    <w:rsid w:val="000D0AFF"/>
    <w:rsid w:val="000D1091"/>
    <w:rsid w:val="000D13D1"/>
    <w:rsid w:val="000D169D"/>
    <w:rsid w:val="000D19C9"/>
    <w:rsid w:val="000D1F9A"/>
    <w:rsid w:val="000D2997"/>
    <w:rsid w:val="000D2B1D"/>
    <w:rsid w:val="000D380E"/>
    <w:rsid w:val="000D39AC"/>
    <w:rsid w:val="000D3AAC"/>
    <w:rsid w:val="000D3FB4"/>
    <w:rsid w:val="000D43E3"/>
    <w:rsid w:val="000D53B9"/>
    <w:rsid w:val="000D6B73"/>
    <w:rsid w:val="000D70C6"/>
    <w:rsid w:val="000E0104"/>
    <w:rsid w:val="000E0543"/>
    <w:rsid w:val="000E089D"/>
    <w:rsid w:val="000E0A45"/>
    <w:rsid w:val="000E0DA3"/>
    <w:rsid w:val="000E10B8"/>
    <w:rsid w:val="000E1361"/>
    <w:rsid w:val="000E1374"/>
    <w:rsid w:val="000E13B7"/>
    <w:rsid w:val="000E1585"/>
    <w:rsid w:val="000E171E"/>
    <w:rsid w:val="000E1BC9"/>
    <w:rsid w:val="000E21E0"/>
    <w:rsid w:val="000E28AE"/>
    <w:rsid w:val="000E28DC"/>
    <w:rsid w:val="000E28E8"/>
    <w:rsid w:val="000E2928"/>
    <w:rsid w:val="000E2B97"/>
    <w:rsid w:val="000E2D76"/>
    <w:rsid w:val="000E2EAD"/>
    <w:rsid w:val="000E30FC"/>
    <w:rsid w:val="000E3279"/>
    <w:rsid w:val="000E3BF2"/>
    <w:rsid w:val="000E3BFB"/>
    <w:rsid w:val="000E4C97"/>
    <w:rsid w:val="000E55F7"/>
    <w:rsid w:val="000E5B2D"/>
    <w:rsid w:val="000E5E2A"/>
    <w:rsid w:val="000E6244"/>
    <w:rsid w:val="000E684C"/>
    <w:rsid w:val="000E6A44"/>
    <w:rsid w:val="000E6A4D"/>
    <w:rsid w:val="000E71CA"/>
    <w:rsid w:val="000E73D5"/>
    <w:rsid w:val="000E7ABE"/>
    <w:rsid w:val="000F0695"/>
    <w:rsid w:val="000F1CB8"/>
    <w:rsid w:val="000F29D5"/>
    <w:rsid w:val="000F2BB3"/>
    <w:rsid w:val="000F305A"/>
    <w:rsid w:val="000F30B2"/>
    <w:rsid w:val="000F369D"/>
    <w:rsid w:val="000F36A3"/>
    <w:rsid w:val="000F3870"/>
    <w:rsid w:val="000F3EB3"/>
    <w:rsid w:val="000F4020"/>
    <w:rsid w:val="000F4802"/>
    <w:rsid w:val="000F4AF3"/>
    <w:rsid w:val="000F4B0E"/>
    <w:rsid w:val="000F4E16"/>
    <w:rsid w:val="000F4FAB"/>
    <w:rsid w:val="000F4FF7"/>
    <w:rsid w:val="000F53A4"/>
    <w:rsid w:val="000F5457"/>
    <w:rsid w:val="000F5508"/>
    <w:rsid w:val="000F56B1"/>
    <w:rsid w:val="000F574C"/>
    <w:rsid w:val="000F5A78"/>
    <w:rsid w:val="000F5C32"/>
    <w:rsid w:val="000F6037"/>
    <w:rsid w:val="000F64CE"/>
    <w:rsid w:val="000F678A"/>
    <w:rsid w:val="000F6919"/>
    <w:rsid w:val="000F6926"/>
    <w:rsid w:val="000F6EB5"/>
    <w:rsid w:val="000F76C2"/>
    <w:rsid w:val="000F79E9"/>
    <w:rsid w:val="000F7D4B"/>
    <w:rsid w:val="000F7FEC"/>
    <w:rsid w:val="00100722"/>
    <w:rsid w:val="00100970"/>
    <w:rsid w:val="001011AD"/>
    <w:rsid w:val="001016EB"/>
    <w:rsid w:val="00101B3C"/>
    <w:rsid w:val="00101C22"/>
    <w:rsid w:val="001021AC"/>
    <w:rsid w:val="00102258"/>
    <w:rsid w:val="0010271A"/>
    <w:rsid w:val="0010299E"/>
    <w:rsid w:val="00102C18"/>
    <w:rsid w:val="001035A1"/>
    <w:rsid w:val="00103ADD"/>
    <w:rsid w:val="00103CDE"/>
    <w:rsid w:val="00104198"/>
    <w:rsid w:val="0010490C"/>
    <w:rsid w:val="00104C6B"/>
    <w:rsid w:val="00104E07"/>
    <w:rsid w:val="00104FA5"/>
    <w:rsid w:val="00105328"/>
    <w:rsid w:val="0010546D"/>
    <w:rsid w:val="00105B19"/>
    <w:rsid w:val="00105D3C"/>
    <w:rsid w:val="00106527"/>
    <w:rsid w:val="001065B4"/>
    <w:rsid w:val="00106703"/>
    <w:rsid w:val="0010673F"/>
    <w:rsid w:val="001067D3"/>
    <w:rsid w:val="00106C0C"/>
    <w:rsid w:val="00107288"/>
    <w:rsid w:val="0010733A"/>
    <w:rsid w:val="00107575"/>
    <w:rsid w:val="00107699"/>
    <w:rsid w:val="001077CB"/>
    <w:rsid w:val="0010781C"/>
    <w:rsid w:val="0010799B"/>
    <w:rsid w:val="00107D06"/>
    <w:rsid w:val="00107E1C"/>
    <w:rsid w:val="0011094B"/>
    <w:rsid w:val="00110EA1"/>
    <w:rsid w:val="00110FF4"/>
    <w:rsid w:val="00111047"/>
    <w:rsid w:val="001113A9"/>
    <w:rsid w:val="00111CF8"/>
    <w:rsid w:val="0011222B"/>
    <w:rsid w:val="001122AE"/>
    <w:rsid w:val="0011230A"/>
    <w:rsid w:val="0011274C"/>
    <w:rsid w:val="0011278F"/>
    <w:rsid w:val="00112B3E"/>
    <w:rsid w:val="0011335D"/>
    <w:rsid w:val="00113F26"/>
    <w:rsid w:val="001140B0"/>
    <w:rsid w:val="001148D9"/>
    <w:rsid w:val="00114D1A"/>
    <w:rsid w:val="00114D54"/>
    <w:rsid w:val="001151B7"/>
    <w:rsid w:val="00115546"/>
    <w:rsid w:val="00115ABA"/>
    <w:rsid w:val="00115ACE"/>
    <w:rsid w:val="00115EBD"/>
    <w:rsid w:val="0011717A"/>
    <w:rsid w:val="00117268"/>
    <w:rsid w:val="00117344"/>
    <w:rsid w:val="00117C7F"/>
    <w:rsid w:val="00120324"/>
    <w:rsid w:val="001205B9"/>
    <w:rsid w:val="0012072F"/>
    <w:rsid w:val="001209AF"/>
    <w:rsid w:val="00120ED8"/>
    <w:rsid w:val="0012100A"/>
    <w:rsid w:val="0012183B"/>
    <w:rsid w:val="00122124"/>
    <w:rsid w:val="001224E7"/>
    <w:rsid w:val="001229AE"/>
    <w:rsid w:val="001233EF"/>
    <w:rsid w:val="00123A1E"/>
    <w:rsid w:val="00123E75"/>
    <w:rsid w:val="001243B7"/>
    <w:rsid w:val="00124D0D"/>
    <w:rsid w:val="00124E8E"/>
    <w:rsid w:val="00124F0F"/>
    <w:rsid w:val="00125B99"/>
    <w:rsid w:val="00125FC6"/>
    <w:rsid w:val="001263E3"/>
    <w:rsid w:val="00126CE1"/>
    <w:rsid w:val="00126F9A"/>
    <w:rsid w:val="0012744D"/>
    <w:rsid w:val="0012754D"/>
    <w:rsid w:val="0012783F"/>
    <w:rsid w:val="00127B77"/>
    <w:rsid w:val="00127FBA"/>
    <w:rsid w:val="0013036F"/>
    <w:rsid w:val="00130B61"/>
    <w:rsid w:val="00130F4C"/>
    <w:rsid w:val="00130FF2"/>
    <w:rsid w:val="00131C2A"/>
    <w:rsid w:val="00131FB5"/>
    <w:rsid w:val="00132418"/>
    <w:rsid w:val="00132909"/>
    <w:rsid w:val="00132DE4"/>
    <w:rsid w:val="00132F3C"/>
    <w:rsid w:val="0013309C"/>
    <w:rsid w:val="00133539"/>
    <w:rsid w:val="00133903"/>
    <w:rsid w:val="001342EB"/>
    <w:rsid w:val="0013491A"/>
    <w:rsid w:val="001349CA"/>
    <w:rsid w:val="00134E32"/>
    <w:rsid w:val="00135062"/>
    <w:rsid w:val="0013507D"/>
    <w:rsid w:val="00135416"/>
    <w:rsid w:val="00135771"/>
    <w:rsid w:val="0013593C"/>
    <w:rsid w:val="001365C8"/>
    <w:rsid w:val="00136E6D"/>
    <w:rsid w:val="00136FE6"/>
    <w:rsid w:val="00137743"/>
    <w:rsid w:val="00137BB2"/>
    <w:rsid w:val="00140181"/>
    <w:rsid w:val="0014023E"/>
    <w:rsid w:val="001404BA"/>
    <w:rsid w:val="001408F8"/>
    <w:rsid w:val="00140CAF"/>
    <w:rsid w:val="00141048"/>
    <w:rsid w:val="00141105"/>
    <w:rsid w:val="0014124B"/>
    <w:rsid w:val="00141786"/>
    <w:rsid w:val="00141A04"/>
    <w:rsid w:val="00141B1C"/>
    <w:rsid w:val="00141C7E"/>
    <w:rsid w:val="00141F0C"/>
    <w:rsid w:val="00141FC5"/>
    <w:rsid w:val="00142588"/>
    <w:rsid w:val="0014292A"/>
    <w:rsid w:val="00142A03"/>
    <w:rsid w:val="00142A38"/>
    <w:rsid w:val="00142AC4"/>
    <w:rsid w:val="00142F71"/>
    <w:rsid w:val="00143672"/>
    <w:rsid w:val="00143A7D"/>
    <w:rsid w:val="00143C3A"/>
    <w:rsid w:val="00143CB2"/>
    <w:rsid w:val="00144AF0"/>
    <w:rsid w:val="00144C57"/>
    <w:rsid w:val="00145868"/>
    <w:rsid w:val="00145CB0"/>
    <w:rsid w:val="00145E04"/>
    <w:rsid w:val="001461EF"/>
    <w:rsid w:val="00146237"/>
    <w:rsid w:val="00146320"/>
    <w:rsid w:val="00146793"/>
    <w:rsid w:val="00146901"/>
    <w:rsid w:val="00147235"/>
    <w:rsid w:val="00147259"/>
    <w:rsid w:val="001472CB"/>
    <w:rsid w:val="001473FD"/>
    <w:rsid w:val="0014754D"/>
    <w:rsid w:val="00147A95"/>
    <w:rsid w:val="00147E0C"/>
    <w:rsid w:val="00150721"/>
    <w:rsid w:val="00150C2F"/>
    <w:rsid w:val="001511AB"/>
    <w:rsid w:val="001511D9"/>
    <w:rsid w:val="00151242"/>
    <w:rsid w:val="00151483"/>
    <w:rsid w:val="0015161B"/>
    <w:rsid w:val="001517F3"/>
    <w:rsid w:val="00151940"/>
    <w:rsid w:val="00151BB7"/>
    <w:rsid w:val="00152083"/>
    <w:rsid w:val="00152312"/>
    <w:rsid w:val="00152760"/>
    <w:rsid w:val="00152EAD"/>
    <w:rsid w:val="001535FD"/>
    <w:rsid w:val="00153C7D"/>
    <w:rsid w:val="00153DB4"/>
    <w:rsid w:val="00153FD3"/>
    <w:rsid w:val="00154076"/>
    <w:rsid w:val="00154374"/>
    <w:rsid w:val="001548AF"/>
    <w:rsid w:val="00154E1D"/>
    <w:rsid w:val="001554BD"/>
    <w:rsid w:val="00155D9F"/>
    <w:rsid w:val="00155DBF"/>
    <w:rsid w:val="00155DD3"/>
    <w:rsid w:val="00155DD8"/>
    <w:rsid w:val="0015602C"/>
    <w:rsid w:val="0015623D"/>
    <w:rsid w:val="001562DA"/>
    <w:rsid w:val="0015670F"/>
    <w:rsid w:val="001570A1"/>
    <w:rsid w:val="00157432"/>
    <w:rsid w:val="00157A23"/>
    <w:rsid w:val="00157DA5"/>
    <w:rsid w:val="00157DFA"/>
    <w:rsid w:val="00160743"/>
    <w:rsid w:val="00160A0F"/>
    <w:rsid w:val="001611AE"/>
    <w:rsid w:val="0016121D"/>
    <w:rsid w:val="001614C9"/>
    <w:rsid w:val="001617F1"/>
    <w:rsid w:val="00161C67"/>
    <w:rsid w:val="00161E79"/>
    <w:rsid w:val="00161F17"/>
    <w:rsid w:val="00161F4C"/>
    <w:rsid w:val="001626FA"/>
    <w:rsid w:val="00162986"/>
    <w:rsid w:val="00162A53"/>
    <w:rsid w:val="00162E68"/>
    <w:rsid w:val="00162FCB"/>
    <w:rsid w:val="001637EC"/>
    <w:rsid w:val="00164346"/>
    <w:rsid w:val="0016439F"/>
    <w:rsid w:val="00164473"/>
    <w:rsid w:val="001646A2"/>
    <w:rsid w:val="00164A05"/>
    <w:rsid w:val="0016504B"/>
    <w:rsid w:val="001656BF"/>
    <w:rsid w:val="00165920"/>
    <w:rsid w:val="00165F7F"/>
    <w:rsid w:val="00165FA5"/>
    <w:rsid w:val="001661D3"/>
    <w:rsid w:val="00166630"/>
    <w:rsid w:val="0016699C"/>
    <w:rsid w:val="00166D9B"/>
    <w:rsid w:val="00167338"/>
    <w:rsid w:val="0016765B"/>
    <w:rsid w:val="001677C6"/>
    <w:rsid w:val="00167AB8"/>
    <w:rsid w:val="001706BA"/>
    <w:rsid w:val="00170C9C"/>
    <w:rsid w:val="00170CC4"/>
    <w:rsid w:val="00170F94"/>
    <w:rsid w:val="00171619"/>
    <w:rsid w:val="001719FD"/>
    <w:rsid w:val="00172125"/>
    <w:rsid w:val="00172968"/>
    <w:rsid w:val="00172B47"/>
    <w:rsid w:val="00172BEF"/>
    <w:rsid w:val="00172C52"/>
    <w:rsid w:val="00172C62"/>
    <w:rsid w:val="001731C7"/>
    <w:rsid w:val="0017324E"/>
    <w:rsid w:val="00173476"/>
    <w:rsid w:val="00173564"/>
    <w:rsid w:val="001739FA"/>
    <w:rsid w:val="00173B18"/>
    <w:rsid w:val="00173FFC"/>
    <w:rsid w:val="00174534"/>
    <w:rsid w:val="00174B63"/>
    <w:rsid w:val="00174C61"/>
    <w:rsid w:val="00174F4D"/>
    <w:rsid w:val="001755B3"/>
    <w:rsid w:val="0017577A"/>
    <w:rsid w:val="001757F7"/>
    <w:rsid w:val="00175AD5"/>
    <w:rsid w:val="00175CF1"/>
    <w:rsid w:val="00176481"/>
    <w:rsid w:val="0017662A"/>
    <w:rsid w:val="00176960"/>
    <w:rsid w:val="001769FA"/>
    <w:rsid w:val="00176E2B"/>
    <w:rsid w:val="00176F23"/>
    <w:rsid w:val="0017733C"/>
    <w:rsid w:val="0017759C"/>
    <w:rsid w:val="0017775E"/>
    <w:rsid w:val="00177F11"/>
    <w:rsid w:val="00177F4E"/>
    <w:rsid w:val="001805CF"/>
    <w:rsid w:val="00180AC4"/>
    <w:rsid w:val="00180D7D"/>
    <w:rsid w:val="00180E32"/>
    <w:rsid w:val="001811D4"/>
    <w:rsid w:val="0018258D"/>
    <w:rsid w:val="0018261C"/>
    <w:rsid w:val="00182E63"/>
    <w:rsid w:val="00183125"/>
    <w:rsid w:val="00183B7F"/>
    <w:rsid w:val="00183C77"/>
    <w:rsid w:val="0018441F"/>
    <w:rsid w:val="001845E0"/>
    <w:rsid w:val="00184908"/>
    <w:rsid w:val="00184BC5"/>
    <w:rsid w:val="00185285"/>
    <w:rsid w:val="001855B6"/>
    <w:rsid w:val="00185611"/>
    <w:rsid w:val="00185882"/>
    <w:rsid w:val="0018596B"/>
    <w:rsid w:val="0018598F"/>
    <w:rsid w:val="00185B26"/>
    <w:rsid w:val="00185C8C"/>
    <w:rsid w:val="00185E40"/>
    <w:rsid w:val="001860BD"/>
    <w:rsid w:val="001866BA"/>
    <w:rsid w:val="00186BF1"/>
    <w:rsid w:val="00186F1D"/>
    <w:rsid w:val="001871A9"/>
    <w:rsid w:val="00187229"/>
    <w:rsid w:val="001875F7"/>
    <w:rsid w:val="00187688"/>
    <w:rsid w:val="001876A0"/>
    <w:rsid w:val="001877B2"/>
    <w:rsid w:val="00187C07"/>
    <w:rsid w:val="00187EA8"/>
    <w:rsid w:val="00190ED2"/>
    <w:rsid w:val="001916CD"/>
    <w:rsid w:val="00191708"/>
    <w:rsid w:val="001919ED"/>
    <w:rsid w:val="001929AE"/>
    <w:rsid w:val="00192EB6"/>
    <w:rsid w:val="00193021"/>
    <w:rsid w:val="00193318"/>
    <w:rsid w:val="00193785"/>
    <w:rsid w:val="0019438B"/>
    <w:rsid w:val="00194677"/>
    <w:rsid w:val="00194F75"/>
    <w:rsid w:val="001956C3"/>
    <w:rsid w:val="00195ADF"/>
    <w:rsid w:val="00195C9D"/>
    <w:rsid w:val="00195DC0"/>
    <w:rsid w:val="00196691"/>
    <w:rsid w:val="00196EDC"/>
    <w:rsid w:val="0019716E"/>
    <w:rsid w:val="001971CC"/>
    <w:rsid w:val="00197C97"/>
    <w:rsid w:val="001A01F7"/>
    <w:rsid w:val="001A04EE"/>
    <w:rsid w:val="001A05F0"/>
    <w:rsid w:val="001A087E"/>
    <w:rsid w:val="001A0B00"/>
    <w:rsid w:val="001A0CA3"/>
    <w:rsid w:val="001A0F88"/>
    <w:rsid w:val="001A0F9D"/>
    <w:rsid w:val="001A13D9"/>
    <w:rsid w:val="001A1707"/>
    <w:rsid w:val="001A1A02"/>
    <w:rsid w:val="001A1A07"/>
    <w:rsid w:val="001A1AD3"/>
    <w:rsid w:val="001A1C1B"/>
    <w:rsid w:val="001A2100"/>
    <w:rsid w:val="001A217B"/>
    <w:rsid w:val="001A2245"/>
    <w:rsid w:val="001A237A"/>
    <w:rsid w:val="001A25DE"/>
    <w:rsid w:val="001A31C5"/>
    <w:rsid w:val="001A3394"/>
    <w:rsid w:val="001A3F4B"/>
    <w:rsid w:val="001A4158"/>
    <w:rsid w:val="001A44E7"/>
    <w:rsid w:val="001A473C"/>
    <w:rsid w:val="001A47FD"/>
    <w:rsid w:val="001A4CF6"/>
    <w:rsid w:val="001A5615"/>
    <w:rsid w:val="001A5E89"/>
    <w:rsid w:val="001A60BC"/>
    <w:rsid w:val="001A6746"/>
    <w:rsid w:val="001A6F60"/>
    <w:rsid w:val="001A7068"/>
    <w:rsid w:val="001A70B6"/>
    <w:rsid w:val="001A718B"/>
    <w:rsid w:val="001A7219"/>
    <w:rsid w:val="001A7B40"/>
    <w:rsid w:val="001B0468"/>
    <w:rsid w:val="001B09B6"/>
    <w:rsid w:val="001B0F91"/>
    <w:rsid w:val="001B11B9"/>
    <w:rsid w:val="001B14B9"/>
    <w:rsid w:val="001B1B38"/>
    <w:rsid w:val="001B210B"/>
    <w:rsid w:val="001B24FD"/>
    <w:rsid w:val="001B257B"/>
    <w:rsid w:val="001B268B"/>
    <w:rsid w:val="001B272F"/>
    <w:rsid w:val="001B2888"/>
    <w:rsid w:val="001B2F3C"/>
    <w:rsid w:val="001B3279"/>
    <w:rsid w:val="001B331C"/>
    <w:rsid w:val="001B3A83"/>
    <w:rsid w:val="001B3C41"/>
    <w:rsid w:val="001B3DA8"/>
    <w:rsid w:val="001B3F82"/>
    <w:rsid w:val="001B41D7"/>
    <w:rsid w:val="001B42A8"/>
    <w:rsid w:val="001B42F9"/>
    <w:rsid w:val="001B4A13"/>
    <w:rsid w:val="001B508C"/>
    <w:rsid w:val="001B5481"/>
    <w:rsid w:val="001B567D"/>
    <w:rsid w:val="001B5C7B"/>
    <w:rsid w:val="001B681E"/>
    <w:rsid w:val="001B6F31"/>
    <w:rsid w:val="001B70B7"/>
    <w:rsid w:val="001B7536"/>
    <w:rsid w:val="001B7576"/>
    <w:rsid w:val="001B7BA4"/>
    <w:rsid w:val="001C052F"/>
    <w:rsid w:val="001C058C"/>
    <w:rsid w:val="001C0B5F"/>
    <w:rsid w:val="001C0BE9"/>
    <w:rsid w:val="001C0C75"/>
    <w:rsid w:val="001C0F61"/>
    <w:rsid w:val="001C1B81"/>
    <w:rsid w:val="001C1D2C"/>
    <w:rsid w:val="001C22C4"/>
    <w:rsid w:val="001C25BB"/>
    <w:rsid w:val="001C2671"/>
    <w:rsid w:val="001C2C89"/>
    <w:rsid w:val="001C2D26"/>
    <w:rsid w:val="001C2D56"/>
    <w:rsid w:val="001C3049"/>
    <w:rsid w:val="001C30CF"/>
    <w:rsid w:val="001C3893"/>
    <w:rsid w:val="001C3CAF"/>
    <w:rsid w:val="001C3D0C"/>
    <w:rsid w:val="001C3DD0"/>
    <w:rsid w:val="001C3EBE"/>
    <w:rsid w:val="001C41EE"/>
    <w:rsid w:val="001C455D"/>
    <w:rsid w:val="001C49E0"/>
    <w:rsid w:val="001C4AF5"/>
    <w:rsid w:val="001C4BB6"/>
    <w:rsid w:val="001C4C7A"/>
    <w:rsid w:val="001C511E"/>
    <w:rsid w:val="001C5161"/>
    <w:rsid w:val="001C5421"/>
    <w:rsid w:val="001C56A6"/>
    <w:rsid w:val="001C57B6"/>
    <w:rsid w:val="001C57F0"/>
    <w:rsid w:val="001C59FE"/>
    <w:rsid w:val="001C5A6A"/>
    <w:rsid w:val="001C6016"/>
    <w:rsid w:val="001C70B8"/>
    <w:rsid w:val="001C7878"/>
    <w:rsid w:val="001C7896"/>
    <w:rsid w:val="001C7C0F"/>
    <w:rsid w:val="001C7CD1"/>
    <w:rsid w:val="001C7CEC"/>
    <w:rsid w:val="001C7E11"/>
    <w:rsid w:val="001C7E98"/>
    <w:rsid w:val="001D0BE8"/>
    <w:rsid w:val="001D12E9"/>
    <w:rsid w:val="001D1C45"/>
    <w:rsid w:val="001D1D47"/>
    <w:rsid w:val="001D260F"/>
    <w:rsid w:val="001D26D3"/>
    <w:rsid w:val="001D284A"/>
    <w:rsid w:val="001D293B"/>
    <w:rsid w:val="001D29FF"/>
    <w:rsid w:val="001D2D8D"/>
    <w:rsid w:val="001D303D"/>
    <w:rsid w:val="001D322C"/>
    <w:rsid w:val="001D3549"/>
    <w:rsid w:val="001D47C8"/>
    <w:rsid w:val="001D4BB6"/>
    <w:rsid w:val="001D5015"/>
    <w:rsid w:val="001D5181"/>
    <w:rsid w:val="001D5444"/>
    <w:rsid w:val="001D55CA"/>
    <w:rsid w:val="001D55D4"/>
    <w:rsid w:val="001D58BC"/>
    <w:rsid w:val="001D5CC2"/>
    <w:rsid w:val="001D6011"/>
    <w:rsid w:val="001D6890"/>
    <w:rsid w:val="001D6B2C"/>
    <w:rsid w:val="001D6F9B"/>
    <w:rsid w:val="001D75C3"/>
    <w:rsid w:val="001D7976"/>
    <w:rsid w:val="001E0441"/>
    <w:rsid w:val="001E060E"/>
    <w:rsid w:val="001E0857"/>
    <w:rsid w:val="001E09F3"/>
    <w:rsid w:val="001E0A67"/>
    <w:rsid w:val="001E0C01"/>
    <w:rsid w:val="001E1130"/>
    <w:rsid w:val="001E128E"/>
    <w:rsid w:val="001E136D"/>
    <w:rsid w:val="001E156F"/>
    <w:rsid w:val="001E15E9"/>
    <w:rsid w:val="001E1A13"/>
    <w:rsid w:val="001E2A90"/>
    <w:rsid w:val="001E2F4E"/>
    <w:rsid w:val="001E3570"/>
    <w:rsid w:val="001E3572"/>
    <w:rsid w:val="001E35CE"/>
    <w:rsid w:val="001E4104"/>
    <w:rsid w:val="001E42C6"/>
    <w:rsid w:val="001E4963"/>
    <w:rsid w:val="001E542A"/>
    <w:rsid w:val="001E56F4"/>
    <w:rsid w:val="001E5A1C"/>
    <w:rsid w:val="001E5DF3"/>
    <w:rsid w:val="001E5F2B"/>
    <w:rsid w:val="001E638C"/>
    <w:rsid w:val="001E7634"/>
    <w:rsid w:val="001E770F"/>
    <w:rsid w:val="001E7925"/>
    <w:rsid w:val="001E7A3B"/>
    <w:rsid w:val="001E7D73"/>
    <w:rsid w:val="001E7DA1"/>
    <w:rsid w:val="001F0382"/>
    <w:rsid w:val="001F0485"/>
    <w:rsid w:val="001F09F2"/>
    <w:rsid w:val="001F0B07"/>
    <w:rsid w:val="001F0EF3"/>
    <w:rsid w:val="001F112C"/>
    <w:rsid w:val="001F14E5"/>
    <w:rsid w:val="001F17FE"/>
    <w:rsid w:val="001F18E0"/>
    <w:rsid w:val="001F1D2A"/>
    <w:rsid w:val="001F2364"/>
    <w:rsid w:val="001F2B09"/>
    <w:rsid w:val="001F2B1D"/>
    <w:rsid w:val="001F2BA7"/>
    <w:rsid w:val="001F2C65"/>
    <w:rsid w:val="001F319C"/>
    <w:rsid w:val="001F3A19"/>
    <w:rsid w:val="001F3B44"/>
    <w:rsid w:val="001F3D3B"/>
    <w:rsid w:val="001F3E65"/>
    <w:rsid w:val="001F3EDA"/>
    <w:rsid w:val="001F4220"/>
    <w:rsid w:val="001F4CCD"/>
    <w:rsid w:val="001F4FD9"/>
    <w:rsid w:val="001F5139"/>
    <w:rsid w:val="001F51C8"/>
    <w:rsid w:val="001F5236"/>
    <w:rsid w:val="001F5478"/>
    <w:rsid w:val="001F54C1"/>
    <w:rsid w:val="001F55F2"/>
    <w:rsid w:val="001F5767"/>
    <w:rsid w:val="001F5868"/>
    <w:rsid w:val="001F596A"/>
    <w:rsid w:val="001F59C6"/>
    <w:rsid w:val="001F5C30"/>
    <w:rsid w:val="001F5EFF"/>
    <w:rsid w:val="001F5F5B"/>
    <w:rsid w:val="001F649B"/>
    <w:rsid w:val="001F6B61"/>
    <w:rsid w:val="001F6B75"/>
    <w:rsid w:val="001F7214"/>
    <w:rsid w:val="001F7635"/>
    <w:rsid w:val="001F765F"/>
    <w:rsid w:val="001F76F5"/>
    <w:rsid w:val="001F7CD9"/>
    <w:rsid w:val="002000DF"/>
    <w:rsid w:val="00200164"/>
    <w:rsid w:val="00200467"/>
    <w:rsid w:val="002004B7"/>
    <w:rsid w:val="00200954"/>
    <w:rsid w:val="002009A7"/>
    <w:rsid w:val="00201438"/>
    <w:rsid w:val="00201C6E"/>
    <w:rsid w:val="00202D06"/>
    <w:rsid w:val="00203049"/>
    <w:rsid w:val="002031C4"/>
    <w:rsid w:val="002033B2"/>
    <w:rsid w:val="002033C2"/>
    <w:rsid w:val="00203AF8"/>
    <w:rsid w:val="00203D09"/>
    <w:rsid w:val="00203DDF"/>
    <w:rsid w:val="0020423F"/>
    <w:rsid w:val="00204264"/>
    <w:rsid w:val="0020455B"/>
    <w:rsid w:val="00204622"/>
    <w:rsid w:val="002047BA"/>
    <w:rsid w:val="00204B78"/>
    <w:rsid w:val="002050A0"/>
    <w:rsid w:val="00206032"/>
    <w:rsid w:val="002063A6"/>
    <w:rsid w:val="0020644E"/>
    <w:rsid w:val="0020652E"/>
    <w:rsid w:val="0020658D"/>
    <w:rsid w:val="002065C3"/>
    <w:rsid w:val="00206622"/>
    <w:rsid w:val="002066A0"/>
    <w:rsid w:val="00206782"/>
    <w:rsid w:val="00206A91"/>
    <w:rsid w:val="00206CE7"/>
    <w:rsid w:val="00206D10"/>
    <w:rsid w:val="0020733A"/>
    <w:rsid w:val="00207379"/>
    <w:rsid w:val="00207C3C"/>
    <w:rsid w:val="00207C9F"/>
    <w:rsid w:val="0021000F"/>
    <w:rsid w:val="002101D8"/>
    <w:rsid w:val="002103A2"/>
    <w:rsid w:val="0021045A"/>
    <w:rsid w:val="002105F4"/>
    <w:rsid w:val="00210896"/>
    <w:rsid w:val="00210C78"/>
    <w:rsid w:val="002112A2"/>
    <w:rsid w:val="002112CC"/>
    <w:rsid w:val="0021153E"/>
    <w:rsid w:val="00211754"/>
    <w:rsid w:val="00211996"/>
    <w:rsid w:val="00211E40"/>
    <w:rsid w:val="00211ECB"/>
    <w:rsid w:val="00212350"/>
    <w:rsid w:val="002123A6"/>
    <w:rsid w:val="002126B2"/>
    <w:rsid w:val="0021284B"/>
    <w:rsid w:val="00212B8A"/>
    <w:rsid w:val="00212E98"/>
    <w:rsid w:val="00212EAE"/>
    <w:rsid w:val="00213589"/>
    <w:rsid w:val="0021444B"/>
    <w:rsid w:val="0021555F"/>
    <w:rsid w:val="0021570B"/>
    <w:rsid w:val="00215A54"/>
    <w:rsid w:val="002161A5"/>
    <w:rsid w:val="002164DD"/>
    <w:rsid w:val="002165BA"/>
    <w:rsid w:val="002166C9"/>
    <w:rsid w:val="002167A9"/>
    <w:rsid w:val="002169AF"/>
    <w:rsid w:val="00216B47"/>
    <w:rsid w:val="002172CA"/>
    <w:rsid w:val="0021791C"/>
    <w:rsid w:val="00217A3A"/>
    <w:rsid w:val="00217ED1"/>
    <w:rsid w:val="00220461"/>
    <w:rsid w:val="002206B5"/>
    <w:rsid w:val="00220F2F"/>
    <w:rsid w:val="0022135D"/>
    <w:rsid w:val="00221740"/>
    <w:rsid w:val="00221A9C"/>
    <w:rsid w:val="00221BB6"/>
    <w:rsid w:val="00222347"/>
    <w:rsid w:val="002225A2"/>
    <w:rsid w:val="002226E9"/>
    <w:rsid w:val="00222852"/>
    <w:rsid w:val="0022323B"/>
    <w:rsid w:val="00223560"/>
    <w:rsid w:val="00223806"/>
    <w:rsid w:val="00223BFC"/>
    <w:rsid w:val="00223C55"/>
    <w:rsid w:val="00223DD5"/>
    <w:rsid w:val="00223EC5"/>
    <w:rsid w:val="00223F17"/>
    <w:rsid w:val="00224092"/>
    <w:rsid w:val="002245EC"/>
    <w:rsid w:val="00224BA6"/>
    <w:rsid w:val="00225601"/>
    <w:rsid w:val="002259CB"/>
    <w:rsid w:val="00225A1B"/>
    <w:rsid w:val="00225A6A"/>
    <w:rsid w:val="002265C4"/>
    <w:rsid w:val="00226688"/>
    <w:rsid w:val="00226EDA"/>
    <w:rsid w:val="00226EE4"/>
    <w:rsid w:val="002272E1"/>
    <w:rsid w:val="002274B4"/>
    <w:rsid w:val="0022757F"/>
    <w:rsid w:val="002275AC"/>
    <w:rsid w:val="00227611"/>
    <w:rsid w:val="00227AA2"/>
    <w:rsid w:val="00227C76"/>
    <w:rsid w:val="00227C9B"/>
    <w:rsid w:val="00230213"/>
    <w:rsid w:val="002305BB"/>
    <w:rsid w:val="00230CD3"/>
    <w:rsid w:val="00231101"/>
    <w:rsid w:val="00231538"/>
    <w:rsid w:val="002316A1"/>
    <w:rsid w:val="002321D0"/>
    <w:rsid w:val="0023268D"/>
    <w:rsid w:val="002326B3"/>
    <w:rsid w:val="0023275A"/>
    <w:rsid w:val="00232DAD"/>
    <w:rsid w:val="00232E75"/>
    <w:rsid w:val="0023344A"/>
    <w:rsid w:val="00233FE2"/>
    <w:rsid w:val="002345C1"/>
    <w:rsid w:val="00234D03"/>
    <w:rsid w:val="00235DE6"/>
    <w:rsid w:val="00236000"/>
    <w:rsid w:val="0023646E"/>
    <w:rsid w:val="00236827"/>
    <w:rsid w:val="00236CFC"/>
    <w:rsid w:val="00237346"/>
    <w:rsid w:val="00237404"/>
    <w:rsid w:val="00237619"/>
    <w:rsid w:val="00237841"/>
    <w:rsid w:val="0024012A"/>
    <w:rsid w:val="002406DA"/>
    <w:rsid w:val="00240805"/>
    <w:rsid w:val="00240A6C"/>
    <w:rsid w:val="00240B41"/>
    <w:rsid w:val="002410FF"/>
    <w:rsid w:val="002412F5"/>
    <w:rsid w:val="00241411"/>
    <w:rsid w:val="002416C4"/>
    <w:rsid w:val="00241A4F"/>
    <w:rsid w:val="00241DC2"/>
    <w:rsid w:val="00241EDF"/>
    <w:rsid w:val="0024206F"/>
    <w:rsid w:val="00242119"/>
    <w:rsid w:val="00243251"/>
    <w:rsid w:val="00243E82"/>
    <w:rsid w:val="002446E5"/>
    <w:rsid w:val="0024493D"/>
    <w:rsid w:val="00244DD8"/>
    <w:rsid w:val="00244F24"/>
    <w:rsid w:val="00244FFD"/>
    <w:rsid w:val="00245014"/>
    <w:rsid w:val="0024524F"/>
    <w:rsid w:val="00245A50"/>
    <w:rsid w:val="00245EA1"/>
    <w:rsid w:val="00246823"/>
    <w:rsid w:val="00246A76"/>
    <w:rsid w:val="00246A97"/>
    <w:rsid w:val="00246C76"/>
    <w:rsid w:val="00246DBE"/>
    <w:rsid w:val="00246EF4"/>
    <w:rsid w:val="0024724F"/>
    <w:rsid w:val="002474FE"/>
    <w:rsid w:val="00247D3B"/>
    <w:rsid w:val="00250149"/>
    <w:rsid w:val="00250C07"/>
    <w:rsid w:val="00250DB7"/>
    <w:rsid w:val="002510E1"/>
    <w:rsid w:val="002511B7"/>
    <w:rsid w:val="002512F8"/>
    <w:rsid w:val="002523DF"/>
    <w:rsid w:val="00252EDA"/>
    <w:rsid w:val="00252F42"/>
    <w:rsid w:val="0025307F"/>
    <w:rsid w:val="00253857"/>
    <w:rsid w:val="00253ACE"/>
    <w:rsid w:val="00254B72"/>
    <w:rsid w:val="00254EE4"/>
    <w:rsid w:val="0025519F"/>
    <w:rsid w:val="002557EC"/>
    <w:rsid w:val="00255C29"/>
    <w:rsid w:val="00255DF2"/>
    <w:rsid w:val="0025677E"/>
    <w:rsid w:val="00256A48"/>
    <w:rsid w:val="00256B18"/>
    <w:rsid w:val="00256CCE"/>
    <w:rsid w:val="00257024"/>
    <w:rsid w:val="002573EF"/>
    <w:rsid w:val="002577D8"/>
    <w:rsid w:val="0025797D"/>
    <w:rsid w:val="002602AD"/>
    <w:rsid w:val="00260330"/>
    <w:rsid w:val="00260758"/>
    <w:rsid w:val="00260C43"/>
    <w:rsid w:val="00260C8E"/>
    <w:rsid w:val="00260E98"/>
    <w:rsid w:val="002610CF"/>
    <w:rsid w:val="00261404"/>
    <w:rsid w:val="00261731"/>
    <w:rsid w:val="002628EB"/>
    <w:rsid w:val="00262C79"/>
    <w:rsid w:val="00262DD6"/>
    <w:rsid w:val="0026311E"/>
    <w:rsid w:val="002635BE"/>
    <w:rsid w:val="00263D69"/>
    <w:rsid w:val="00263E86"/>
    <w:rsid w:val="002645C9"/>
    <w:rsid w:val="00264FB6"/>
    <w:rsid w:val="002650F4"/>
    <w:rsid w:val="002655D5"/>
    <w:rsid w:val="00265862"/>
    <w:rsid w:val="00265BA5"/>
    <w:rsid w:val="0026698B"/>
    <w:rsid w:val="0026746A"/>
    <w:rsid w:val="00267587"/>
    <w:rsid w:val="00267870"/>
    <w:rsid w:val="00267B1B"/>
    <w:rsid w:val="00267D00"/>
    <w:rsid w:val="00270275"/>
    <w:rsid w:val="0027066F"/>
    <w:rsid w:val="00270827"/>
    <w:rsid w:val="00270863"/>
    <w:rsid w:val="00270905"/>
    <w:rsid w:val="00270B63"/>
    <w:rsid w:val="002711CC"/>
    <w:rsid w:val="0027186A"/>
    <w:rsid w:val="00271F31"/>
    <w:rsid w:val="00271FC4"/>
    <w:rsid w:val="002722C8"/>
    <w:rsid w:val="0027232D"/>
    <w:rsid w:val="00272642"/>
    <w:rsid w:val="00272F9B"/>
    <w:rsid w:val="00273148"/>
    <w:rsid w:val="002732A5"/>
    <w:rsid w:val="002737D0"/>
    <w:rsid w:val="0027457B"/>
    <w:rsid w:val="002745F8"/>
    <w:rsid w:val="00274E7B"/>
    <w:rsid w:val="002758B1"/>
    <w:rsid w:val="00275EB9"/>
    <w:rsid w:val="002762D1"/>
    <w:rsid w:val="002764BA"/>
    <w:rsid w:val="002767C1"/>
    <w:rsid w:val="00276843"/>
    <w:rsid w:val="002769FA"/>
    <w:rsid w:val="00276AB4"/>
    <w:rsid w:val="00276E2A"/>
    <w:rsid w:val="00276EAF"/>
    <w:rsid w:val="0027718B"/>
    <w:rsid w:val="002774AF"/>
    <w:rsid w:val="002775F6"/>
    <w:rsid w:val="002776F0"/>
    <w:rsid w:val="002802FA"/>
    <w:rsid w:val="002804B9"/>
    <w:rsid w:val="0028094C"/>
    <w:rsid w:val="002809C9"/>
    <w:rsid w:val="00280F21"/>
    <w:rsid w:val="00282AFB"/>
    <w:rsid w:val="00282CA7"/>
    <w:rsid w:val="00282D33"/>
    <w:rsid w:val="00282D4C"/>
    <w:rsid w:val="00282E32"/>
    <w:rsid w:val="0028340F"/>
    <w:rsid w:val="002834C5"/>
    <w:rsid w:val="00283F60"/>
    <w:rsid w:val="002840A8"/>
    <w:rsid w:val="00284456"/>
    <w:rsid w:val="002844F2"/>
    <w:rsid w:val="00284757"/>
    <w:rsid w:val="002849D0"/>
    <w:rsid w:val="00284B22"/>
    <w:rsid w:val="00285B6C"/>
    <w:rsid w:val="0028611B"/>
    <w:rsid w:val="00286287"/>
    <w:rsid w:val="00286317"/>
    <w:rsid w:val="0028660A"/>
    <w:rsid w:val="00286849"/>
    <w:rsid w:val="0028686C"/>
    <w:rsid w:val="00286A50"/>
    <w:rsid w:val="00286D42"/>
    <w:rsid w:val="00286FCD"/>
    <w:rsid w:val="0028712D"/>
    <w:rsid w:val="002871A9"/>
    <w:rsid w:val="002874D3"/>
    <w:rsid w:val="0028751B"/>
    <w:rsid w:val="00287817"/>
    <w:rsid w:val="00287A0E"/>
    <w:rsid w:val="00287B46"/>
    <w:rsid w:val="00287FBC"/>
    <w:rsid w:val="002902E6"/>
    <w:rsid w:val="002903CC"/>
    <w:rsid w:val="002912D1"/>
    <w:rsid w:val="00291441"/>
    <w:rsid w:val="002914FF"/>
    <w:rsid w:val="0029188C"/>
    <w:rsid w:val="00291A74"/>
    <w:rsid w:val="00291D59"/>
    <w:rsid w:val="00292009"/>
    <w:rsid w:val="0029286A"/>
    <w:rsid w:val="00292CE4"/>
    <w:rsid w:val="00292D1C"/>
    <w:rsid w:val="00292D94"/>
    <w:rsid w:val="00292F58"/>
    <w:rsid w:val="00293497"/>
    <w:rsid w:val="002935F2"/>
    <w:rsid w:val="002938AE"/>
    <w:rsid w:val="002939B5"/>
    <w:rsid w:val="00293CAC"/>
    <w:rsid w:val="00293E9B"/>
    <w:rsid w:val="00294A00"/>
    <w:rsid w:val="0029512B"/>
    <w:rsid w:val="002952CD"/>
    <w:rsid w:val="002954A8"/>
    <w:rsid w:val="002955F4"/>
    <w:rsid w:val="00296C89"/>
    <w:rsid w:val="002975AC"/>
    <w:rsid w:val="002977EF"/>
    <w:rsid w:val="002978FB"/>
    <w:rsid w:val="00297C5D"/>
    <w:rsid w:val="00297CAE"/>
    <w:rsid w:val="00297CF2"/>
    <w:rsid w:val="002A004B"/>
    <w:rsid w:val="002A0165"/>
    <w:rsid w:val="002A02F3"/>
    <w:rsid w:val="002A03C2"/>
    <w:rsid w:val="002A0582"/>
    <w:rsid w:val="002A0805"/>
    <w:rsid w:val="002A0AC2"/>
    <w:rsid w:val="002A0B83"/>
    <w:rsid w:val="002A0CF8"/>
    <w:rsid w:val="002A0D2C"/>
    <w:rsid w:val="002A103A"/>
    <w:rsid w:val="002A119E"/>
    <w:rsid w:val="002A11F2"/>
    <w:rsid w:val="002A13FA"/>
    <w:rsid w:val="002A25B3"/>
    <w:rsid w:val="002A296D"/>
    <w:rsid w:val="002A2C17"/>
    <w:rsid w:val="002A2DDF"/>
    <w:rsid w:val="002A31DD"/>
    <w:rsid w:val="002A342B"/>
    <w:rsid w:val="002A3523"/>
    <w:rsid w:val="002A36AD"/>
    <w:rsid w:val="002A37E0"/>
    <w:rsid w:val="002A3E52"/>
    <w:rsid w:val="002A3FDA"/>
    <w:rsid w:val="002A46D9"/>
    <w:rsid w:val="002A498B"/>
    <w:rsid w:val="002A4F47"/>
    <w:rsid w:val="002A50F4"/>
    <w:rsid w:val="002A52B7"/>
    <w:rsid w:val="002A5303"/>
    <w:rsid w:val="002A5CF6"/>
    <w:rsid w:val="002A5FA3"/>
    <w:rsid w:val="002A6611"/>
    <w:rsid w:val="002A7185"/>
    <w:rsid w:val="002A76D0"/>
    <w:rsid w:val="002A7C35"/>
    <w:rsid w:val="002A7DC1"/>
    <w:rsid w:val="002B067B"/>
    <w:rsid w:val="002B0994"/>
    <w:rsid w:val="002B106B"/>
    <w:rsid w:val="002B1915"/>
    <w:rsid w:val="002B1D61"/>
    <w:rsid w:val="002B1E85"/>
    <w:rsid w:val="002B2141"/>
    <w:rsid w:val="002B27FD"/>
    <w:rsid w:val="002B28F9"/>
    <w:rsid w:val="002B2AD5"/>
    <w:rsid w:val="002B2D24"/>
    <w:rsid w:val="002B30D2"/>
    <w:rsid w:val="002B3163"/>
    <w:rsid w:val="002B3489"/>
    <w:rsid w:val="002B4416"/>
    <w:rsid w:val="002B4A4E"/>
    <w:rsid w:val="002B5148"/>
    <w:rsid w:val="002B5223"/>
    <w:rsid w:val="002B566F"/>
    <w:rsid w:val="002B5959"/>
    <w:rsid w:val="002B5967"/>
    <w:rsid w:val="002B5F55"/>
    <w:rsid w:val="002B61FF"/>
    <w:rsid w:val="002B6957"/>
    <w:rsid w:val="002B6B7F"/>
    <w:rsid w:val="002B6C36"/>
    <w:rsid w:val="002B6D0C"/>
    <w:rsid w:val="002B6DBA"/>
    <w:rsid w:val="002B7109"/>
    <w:rsid w:val="002B71BF"/>
    <w:rsid w:val="002B7254"/>
    <w:rsid w:val="002B73E3"/>
    <w:rsid w:val="002B7783"/>
    <w:rsid w:val="002B7B48"/>
    <w:rsid w:val="002B7C44"/>
    <w:rsid w:val="002C006F"/>
    <w:rsid w:val="002C05D8"/>
    <w:rsid w:val="002C0C6E"/>
    <w:rsid w:val="002C0E80"/>
    <w:rsid w:val="002C0F25"/>
    <w:rsid w:val="002C1132"/>
    <w:rsid w:val="002C18DE"/>
    <w:rsid w:val="002C1CEB"/>
    <w:rsid w:val="002C2A20"/>
    <w:rsid w:val="002C2A6A"/>
    <w:rsid w:val="002C2A9B"/>
    <w:rsid w:val="002C2D2F"/>
    <w:rsid w:val="002C2FAD"/>
    <w:rsid w:val="002C2FC9"/>
    <w:rsid w:val="002C3A4A"/>
    <w:rsid w:val="002C3A63"/>
    <w:rsid w:val="002C3F7D"/>
    <w:rsid w:val="002C4385"/>
    <w:rsid w:val="002C451B"/>
    <w:rsid w:val="002C4B5D"/>
    <w:rsid w:val="002C4FCB"/>
    <w:rsid w:val="002C56CC"/>
    <w:rsid w:val="002C5A7F"/>
    <w:rsid w:val="002C5B8E"/>
    <w:rsid w:val="002C6095"/>
    <w:rsid w:val="002C667A"/>
    <w:rsid w:val="002C6F8A"/>
    <w:rsid w:val="002C7754"/>
    <w:rsid w:val="002C7765"/>
    <w:rsid w:val="002C7A77"/>
    <w:rsid w:val="002C7C27"/>
    <w:rsid w:val="002D003A"/>
    <w:rsid w:val="002D038D"/>
    <w:rsid w:val="002D0444"/>
    <w:rsid w:val="002D0B4A"/>
    <w:rsid w:val="002D11CA"/>
    <w:rsid w:val="002D13D5"/>
    <w:rsid w:val="002D14C7"/>
    <w:rsid w:val="002D1CBD"/>
    <w:rsid w:val="002D2121"/>
    <w:rsid w:val="002D22F7"/>
    <w:rsid w:val="002D2610"/>
    <w:rsid w:val="002D27A9"/>
    <w:rsid w:val="002D27BA"/>
    <w:rsid w:val="002D27E0"/>
    <w:rsid w:val="002D2A72"/>
    <w:rsid w:val="002D2A95"/>
    <w:rsid w:val="002D2A97"/>
    <w:rsid w:val="002D2C1F"/>
    <w:rsid w:val="002D2CC7"/>
    <w:rsid w:val="002D319E"/>
    <w:rsid w:val="002D3AA2"/>
    <w:rsid w:val="002D3CAA"/>
    <w:rsid w:val="002D3FA7"/>
    <w:rsid w:val="002D41D4"/>
    <w:rsid w:val="002D44BB"/>
    <w:rsid w:val="002D4676"/>
    <w:rsid w:val="002D4CB1"/>
    <w:rsid w:val="002D4E26"/>
    <w:rsid w:val="002D4EAE"/>
    <w:rsid w:val="002D4F04"/>
    <w:rsid w:val="002D4FCE"/>
    <w:rsid w:val="002D506D"/>
    <w:rsid w:val="002D5274"/>
    <w:rsid w:val="002D5321"/>
    <w:rsid w:val="002D5712"/>
    <w:rsid w:val="002D5984"/>
    <w:rsid w:val="002D5DCC"/>
    <w:rsid w:val="002D6648"/>
    <w:rsid w:val="002D6CE6"/>
    <w:rsid w:val="002D6F6D"/>
    <w:rsid w:val="002D709D"/>
    <w:rsid w:val="002D7219"/>
    <w:rsid w:val="002D794F"/>
    <w:rsid w:val="002D7C7B"/>
    <w:rsid w:val="002D7DE6"/>
    <w:rsid w:val="002E093F"/>
    <w:rsid w:val="002E0D50"/>
    <w:rsid w:val="002E0F54"/>
    <w:rsid w:val="002E0FF1"/>
    <w:rsid w:val="002E1486"/>
    <w:rsid w:val="002E22D1"/>
    <w:rsid w:val="002E2427"/>
    <w:rsid w:val="002E270B"/>
    <w:rsid w:val="002E3255"/>
    <w:rsid w:val="002E3BFE"/>
    <w:rsid w:val="002E3F0F"/>
    <w:rsid w:val="002E4063"/>
    <w:rsid w:val="002E425E"/>
    <w:rsid w:val="002E4F18"/>
    <w:rsid w:val="002E5086"/>
    <w:rsid w:val="002E50BC"/>
    <w:rsid w:val="002E5247"/>
    <w:rsid w:val="002E53C9"/>
    <w:rsid w:val="002E5AFC"/>
    <w:rsid w:val="002E5BE4"/>
    <w:rsid w:val="002E5C56"/>
    <w:rsid w:val="002E5CBD"/>
    <w:rsid w:val="002E5CC6"/>
    <w:rsid w:val="002E6069"/>
    <w:rsid w:val="002E61B9"/>
    <w:rsid w:val="002E632C"/>
    <w:rsid w:val="002E6B10"/>
    <w:rsid w:val="002E6B6B"/>
    <w:rsid w:val="002E6ED4"/>
    <w:rsid w:val="002E749D"/>
    <w:rsid w:val="002E7984"/>
    <w:rsid w:val="002E79C1"/>
    <w:rsid w:val="002E7C79"/>
    <w:rsid w:val="002F038B"/>
    <w:rsid w:val="002F09CE"/>
    <w:rsid w:val="002F0A61"/>
    <w:rsid w:val="002F0B6A"/>
    <w:rsid w:val="002F0D2F"/>
    <w:rsid w:val="002F22F3"/>
    <w:rsid w:val="002F241B"/>
    <w:rsid w:val="002F34C7"/>
    <w:rsid w:val="002F3A26"/>
    <w:rsid w:val="002F3B81"/>
    <w:rsid w:val="002F3E5E"/>
    <w:rsid w:val="002F41E1"/>
    <w:rsid w:val="002F426A"/>
    <w:rsid w:val="002F455D"/>
    <w:rsid w:val="002F4582"/>
    <w:rsid w:val="002F45E9"/>
    <w:rsid w:val="002F4E73"/>
    <w:rsid w:val="002F51CA"/>
    <w:rsid w:val="002F547C"/>
    <w:rsid w:val="002F55F9"/>
    <w:rsid w:val="002F5677"/>
    <w:rsid w:val="002F598B"/>
    <w:rsid w:val="002F5BCD"/>
    <w:rsid w:val="002F5DDB"/>
    <w:rsid w:val="002F5FAB"/>
    <w:rsid w:val="002F6114"/>
    <w:rsid w:val="002F625D"/>
    <w:rsid w:val="002F661D"/>
    <w:rsid w:val="002F675D"/>
    <w:rsid w:val="002F6ABD"/>
    <w:rsid w:val="002F6DA8"/>
    <w:rsid w:val="002F789F"/>
    <w:rsid w:val="003002B4"/>
    <w:rsid w:val="0030073A"/>
    <w:rsid w:val="00300B56"/>
    <w:rsid w:val="0030114E"/>
    <w:rsid w:val="003011FC"/>
    <w:rsid w:val="00301E96"/>
    <w:rsid w:val="00302412"/>
    <w:rsid w:val="00302552"/>
    <w:rsid w:val="00302BB5"/>
    <w:rsid w:val="0030342B"/>
    <w:rsid w:val="003036B8"/>
    <w:rsid w:val="003039F0"/>
    <w:rsid w:val="00303E30"/>
    <w:rsid w:val="00303F2B"/>
    <w:rsid w:val="00303FF4"/>
    <w:rsid w:val="00304646"/>
    <w:rsid w:val="003048C8"/>
    <w:rsid w:val="00304E12"/>
    <w:rsid w:val="00304F41"/>
    <w:rsid w:val="003051DA"/>
    <w:rsid w:val="003055E9"/>
    <w:rsid w:val="003059C6"/>
    <w:rsid w:val="00305AF2"/>
    <w:rsid w:val="00305F14"/>
    <w:rsid w:val="00305FB3"/>
    <w:rsid w:val="0030602C"/>
    <w:rsid w:val="003061B7"/>
    <w:rsid w:val="00306583"/>
    <w:rsid w:val="0030682D"/>
    <w:rsid w:val="0030695E"/>
    <w:rsid w:val="003070D2"/>
    <w:rsid w:val="00307389"/>
    <w:rsid w:val="00307D3C"/>
    <w:rsid w:val="00310163"/>
    <w:rsid w:val="003104ED"/>
    <w:rsid w:val="00310876"/>
    <w:rsid w:val="003110C5"/>
    <w:rsid w:val="003112DA"/>
    <w:rsid w:val="0031136B"/>
    <w:rsid w:val="0031137C"/>
    <w:rsid w:val="00311A08"/>
    <w:rsid w:val="00311D91"/>
    <w:rsid w:val="00311E96"/>
    <w:rsid w:val="00312AD9"/>
    <w:rsid w:val="00313AD1"/>
    <w:rsid w:val="003142F8"/>
    <w:rsid w:val="003149A0"/>
    <w:rsid w:val="00314BC0"/>
    <w:rsid w:val="00314FAC"/>
    <w:rsid w:val="003155B0"/>
    <w:rsid w:val="00315C90"/>
    <w:rsid w:val="00316082"/>
    <w:rsid w:val="00316171"/>
    <w:rsid w:val="00316532"/>
    <w:rsid w:val="003165B2"/>
    <w:rsid w:val="0031682D"/>
    <w:rsid w:val="00316976"/>
    <w:rsid w:val="00316A88"/>
    <w:rsid w:val="00316B2B"/>
    <w:rsid w:val="00316B93"/>
    <w:rsid w:val="00316FB4"/>
    <w:rsid w:val="00317401"/>
    <w:rsid w:val="00320167"/>
    <w:rsid w:val="00320464"/>
    <w:rsid w:val="0032057B"/>
    <w:rsid w:val="003206E6"/>
    <w:rsid w:val="00320E50"/>
    <w:rsid w:val="00321947"/>
    <w:rsid w:val="00321DF5"/>
    <w:rsid w:val="00321EFB"/>
    <w:rsid w:val="00321FAB"/>
    <w:rsid w:val="00322110"/>
    <w:rsid w:val="003224D1"/>
    <w:rsid w:val="0032286D"/>
    <w:rsid w:val="00322E4C"/>
    <w:rsid w:val="00323125"/>
    <w:rsid w:val="003239EE"/>
    <w:rsid w:val="00323A20"/>
    <w:rsid w:val="003240A7"/>
    <w:rsid w:val="003241EB"/>
    <w:rsid w:val="0032476E"/>
    <w:rsid w:val="0032481A"/>
    <w:rsid w:val="003249D0"/>
    <w:rsid w:val="00324B98"/>
    <w:rsid w:val="00324E83"/>
    <w:rsid w:val="00324F48"/>
    <w:rsid w:val="00325069"/>
    <w:rsid w:val="003252BA"/>
    <w:rsid w:val="0032578E"/>
    <w:rsid w:val="00325867"/>
    <w:rsid w:val="00326199"/>
    <w:rsid w:val="00326502"/>
    <w:rsid w:val="00326D22"/>
    <w:rsid w:val="00327347"/>
    <w:rsid w:val="0032778A"/>
    <w:rsid w:val="0032795B"/>
    <w:rsid w:val="00327980"/>
    <w:rsid w:val="003300A2"/>
    <w:rsid w:val="00330123"/>
    <w:rsid w:val="003301A2"/>
    <w:rsid w:val="003301D2"/>
    <w:rsid w:val="00330B07"/>
    <w:rsid w:val="00330C66"/>
    <w:rsid w:val="00330F30"/>
    <w:rsid w:val="00331992"/>
    <w:rsid w:val="00331FF6"/>
    <w:rsid w:val="00332212"/>
    <w:rsid w:val="00332748"/>
    <w:rsid w:val="00332A9C"/>
    <w:rsid w:val="00332DC5"/>
    <w:rsid w:val="003331D6"/>
    <w:rsid w:val="00333328"/>
    <w:rsid w:val="00333A84"/>
    <w:rsid w:val="00333F2E"/>
    <w:rsid w:val="00334126"/>
    <w:rsid w:val="0033460B"/>
    <w:rsid w:val="00335096"/>
    <w:rsid w:val="00335747"/>
    <w:rsid w:val="00335B35"/>
    <w:rsid w:val="00335C54"/>
    <w:rsid w:val="00335CE3"/>
    <w:rsid w:val="00336744"/>
    <w:rsid w:val="00336B18"/>
    <w:rsid w:val="00336B92"/>
    <w:rsid w:val="00336C47"/>
    <w:rsid w:val="00336CFD"/>
    <w:rsid w:val="00336E56"/>
    <w:rsid w:val="003372CB"/>
    <w:rsid w:val="003373AA"/>
    <w:rsid w:val="00337569"/>
    <w:rsid w:val="003375FB"/>
    <w:rsid w:val="003377C7"/>
    <w:rsid w:val="00337F02"/>
    <w:rsid w:val="00340C23"/>
    <w:rsid w:val="00340D93"/>
    <w:rsid w:val="00340E17"/>
    <w:rsid w:val="00340FEB"/>
    <w:rsid w:val="00341020"/>
    <w:rsid w:val="00341192"/>
    <w:rsid w:val="003412BB"/>
    <w:rsid w:val="00341BED"/>
    <w:rsid w:val="00341C7B"/>
    <w:rsid w:val="00341F19"/>
    <w:rsid w:val="0034274B"/>
    <w:rsid w:val="003438A8"/>
    <w:rsid w:val="003439F0"/>
    <w:rsid w:val="00343BBD"/>
    <w:rsid w:val="00343C0C"/>
    <w:rsid w:val="00343DC2"/>
    <w:rsid w:val="00343E8C"/>
    <w:rsid w:val="003445E6"/>
    <w:rsid w:val="0034466A"/>
    <w:rsid w:val="00344759"/>
    <w:rsid w:val="003447CD"/>
    <w:rsid w:val="003453B4"/>
    <w:rsid w:val="003453CE"/>
    <w:rsid w:val="0034574D"/>
    <w:rsid w:val="00345D98"/>
    <w:rsid w:val="00345DEC"/>
    <w:rsid w:val="00346169"/>
    <w:rsid w:val="00346459"/>
    <w:rsid w:val="003466F0"/>
    <w:rsid w:val="00346991"/>
    <w:rsid w:val="00346F23"/>
    <w:rsid w:val="00347527"/>
    <w:rsid w:val="0034762C"/>
    <w:rsid w:val="00347F09"/>
    <w:rsid w:val="00350A10"/>
    <w:rsid w:val="00350C36"/>
    <w:rsid w:val="00350C4B"/>
    <w:rsid w:val="0035155B"/>
    <w:rsid w:val="00351D91"/>
    <w:rsid w:val="00352396"/>
    <w:rsid w:val="00352799"/>
    <w:rsid w:val="00352A87"/>
    <w:rsid w:val="00352D6A"/>
    <w:rsid w:val="0035363C"/>
    <w:rsid w:val="0035363E"/>
    <w:rsid w:val="00353A57"/>
    <w:rsid w:val="00354037"/>
    <w:rsid w:val="0035414D"/>
    <w:rsid w:val="003544F6"/>
    <w:rsid w:val="00355799"/>
    <w:rsid w:val="00355C92"/>
    <w:rsid w:val="00355F04"/>
    <w:rsid w:val="003565A3"/>
    <w:rsid w:val="003565E1"/>
    <w:rsid w:val="003565E4"/>
    <w:rsid w:val="0035669E"/>
    <w:rsid w:val="003569FF"/>
    <w:rsid w:val="00356C8B"/>
    <w:rsid w:val="00356CCF"/>
    <w:rsid w:val="00356D85"/>
    <w:rsid w:val="00356EB8"/>
    <w:rsid w:val="00356EEC"/>
    <w:rsid w:val="00356F4E"/>
    <w:rsid w:val="00356FA0"/>
    <w:rsid w:val="003571D5"/>
    <w:rsid w:val="0035723E"/>
    <w:rsid w:val="003572E1"/>
    <w:rsid w:val="0035739A"/>
    <w:rsid w:val="003576D0"/>
    <w:rsid w:val="00357ABC"/>
    <w:rsid w:val="00357CE5"/>
    <w:rsid w:val="00357E2B"/>
    <w:rsid w:val="0036003C"/>
    <w:rsid w:val="003600BA"/>
    <w:rsid w:val="00360209"/>
    <w:rsid w:val="003608AF"/>
    <w:rsid w:val="00360DC1"/>
    <w:rsid w:val="00360ED9"/>
    <w:rsid w:val="00361001"/>
    <w:rsid w:val="00361319"/>
    <w:rsid w:val="00361719"/>
    <w:rsid w:val="00361827"/>
    <w:rsid w:val="00361CB7"/>
    <w:rsid w:val="00362030"/>
    <w:rsid w:val="00362117"/>
    <w:rsid w:val="003621B8"/>
    <w:rsid w:val="00362230"/>
    <w:rsid w:val="00362548"/>
    <w:rsid w:val="00362BE7"/>
    <w:rsid w:val="003632E9"/>
    <w:rsid w:val="00363A98"/>
    <w:rsid w:val="00363CAD"/>
    <w:rsid w:val="00363EFB"/>
    <w:rsid w:val="003648F0"/>
    <w:rsid w:val="00364D3A"/>
    <w:rsid w:val="00364F43"/>
    <w:rsid w:val="003651A3"/>
    <w:rsid w:val="00365229"/>
    <w:rsid w:val="003653DE"/>
    <w:rsid w:val="003653EB"/>
    <w:rsid w:val="003654D9"/>
    <w:rsid w:val="00365506"/>
    <w:rsid w:val="00366520"/>
    <w:rsid w:val="003669E0"/>
    <w:rsid w:val="00366D7E"/>
    <w:rsid w:val="0036708F"/>
    <w:rsid w:val="003671A3"/>
    <w:rsid w:val="00367219"/>
    <w:rsid w:val="00367357"/>
    <w:rsid w:val="003673BB"/>
    <w:rsid w:val="00367B05"/>
    <w:rsid w:val="00370C57"/>
    <w:rsid w:val="00371478"/>
    <w:rsid w:val="00371980"/>
    <w:rsid w:val="00371A82"/>
    <w:rsid w:val="0037215A"/>
    <w:rsid w:val="00372166"/>
    <w:rsid w:val="00372454"/>
    <w:rsid w:val="003727DA"/>
    <w:rsid w:val="00372CAE"/>
    <w:rsid w:val="00372EA0"/>
    <w:rsid w:val="00373368"/>
    <w:rsid w:val="003737AE"/>
    <w:rsid w:val="00373D4C"/>
    <w:rsid w:val="003740A7"/>
    <w:rsid w:val="003745E7"/>
    <w:rsid w:val="00374745"/>
    <w:rsid w:val="00374A0F"/>
    <w:rsid w:val="00374B67"/>
    <w:rsid w:val="003750A5"/>
    <w:rsid w:val="0037518C"/>
    <w:rsid w:val="003751DB"/>
    <w:rsid w:val="003753C9"/>
    <w:rsid w:val="003761EF"/>
    <w:rsid w:val="003764BD"/>
    <w:rsid w:val="00376ACC"/>
    <w:rsid w:val="00376C4E"/>
    <w:rsid w:val="00376CBA"/>
    <w:rsid w:val="00376D54"/>
    <w:rsid w:val="00376EFC"/>
    <w:rsid w:val="00376F9C"/>
    <w:rsid w:val="0037722E"/>
    <w:rsid w:val="003772CF"/>
    <w:rsid w:val="003773A5"/>
    <w:rsid w:val="00377445"/>
    <w:rsid w:val="0037747B"/>
    <w:rsid w:val="00377862"/>
    <w:rsid w:val="00377A91"/>
    <w:rsid w:val="00377CC5"/>
    <w:rsid w:val="00377D36"/>
    <w:rsid w:val="00377DB2"/>
    <w:rsid w:val="00380453"/>
    <w:rsid w:val="00380609"/>
    <w:rsid w:val="003812A4"/>
    <w:rsid w:val="00381540"/>
    <w:rsid w:val="00381703"/>
    <w:rsid w:val="0038198B"/>
    <w:rsid w:val="00381A93"/>
    <w:rsid w:val="00381B11"/>
    <w:rsid w:val="00382331"/>
    <w:rsid w:val="003826E3"/>
    <w:rsid w:val="00382713"/>
    <w:rsid w:val="00382AB0"/>
    <w:rsid w:val="00383057"/>
    <w:rsid w:val="00383BC6"/>
    <w:rsid w:val="00383C92"/>
    <w:rsid w:val="00383D59"/>
    <w:rsid w:val="00383E13"/>
    <w:rsid w:val="003843C2"/>
    <w:rsid w:val="00384448"/>
    <w:rsid w:val="00384E8A"/>
    <w:rsid w:val="00384EEA"/>
    <w:rsid w:val="003856EE"/>
    <w:rsid w:val="003857E2"/>
    <w:rsid w:val="00385BD6"/>
    <w:rsid w:val="0038602A"/>
    <w:rsid w:val="00386C0B"/>
    <w:rsid w:val="00386CDA"/>
    <w:rsid w:val="0038731C"/>
    <w:rsid w:val="003875B0"/>
    <w:rsid w:val="003875C3"/>
    <w:rsid w:val="0038794E"/>
    <w:rsid w:val="00390163"/>
    <w:rsid w:val="003901DE"/>
    <w:rsid w:val="00390212"/>
    <w:rsid w:val="00390226"/>
    <w:rsid w:val="00390621"/>
    <w:rsid w:val="0039074C"/>
    <w:rsid w:val="003908F3"/>
    <w:rsid w:val="003914A4"/>
    <w:rsid w:val="00391597"/>
    <w:rsid w:val="003917C8"/>
    <w:rsid w:val="00391D51"/>
    <w:rsid w:val="00391F2F"/>
    <w:rsid w:val="00391F9B"/>
    <w:rsid w:val="003926D9"/>
    <w:rsid w:val="00392950"/>
    <w:rsid w:val="00393A05"/>
    <w:rsid w:val="003941C9"/>
    <w:rsid w:val="00395129"/>
    <w:rsid w:val="003953F0"/>
    <w:rsid w:val="003955B6"/>
    <w:rsid w:val="00396C85"/>
    <w:rsid w:val="00396DD0"/>
    <w:rsid w:val="003973F5"/>
    <w:rsid w:val="00397DD3"/>
    <w:rsid w:val="00397E6C"/>
    <w:rsid w:val="00397EDC"/>
    <w:rsid w:val="003A0535"/>
    <w:rsid w:val="003A0806"/>
    <w:rsid w:val="003A1138"/>
    <w:rsid w:val="003A12A7"/>
    <w:rsid w:val="003A1657"/>
    <w:rsid w:val="003A1A02"/>
    <w:rsid w:val="003A1BCF"/>
    <w:rsid w:val="003A1FED"/>
    <w:rsid w:val="003A20CC"/>
    <w:rsid w:val="003A2169"/>
    <w:rsid w:val="003A219A"/>
    <w:rsid w:val="003A253C"/>
    <w:rsid w:val="003A27BE"/>
    <w:rsid w:val="003A294C"/>
    <w:rsid w:val="003A2CC6"/>
    <w:rsid w:val="003A2E1C"/>
    <w:rsid w:val="003A306B"/>
    <w:rsid w:val="003A34DD"/>
    <w:rsid w:val="003A3894"/>
    <w:rsid w:val="003A3B2C"/>
    <w:rsid w:val="003A42C6"/>
    <w:rsid w:val="003A4A92"/>
    <w:rsid w:val="003A4B76"/>
    <w:rsid w:val="003A509E"/>
    <w:rsid w:val="003A5625"/>
    <w:rsid w:val="003A589F"/>
    <w:rsid w:val="003A5A74"/>
    <w:rsid w:val="003A5CF9"/>
    <w:rsid w:val="003A601F"/>
    <w:rsid w:val="003A60F0"/>
    <w:rsid w:val="003A6509"/>
    <w:rsid w:val="003A6626"/>
    <w:rsid w:val="003A761F"/>
    <w:rsid w:val="003A7B17"/>
    <w:rsid w:val="003A7B50"/>
    <w:rsid w:val="003A7C02"/>
    <w:rsid w:val="003A7C83"/>
    <w:rsid w:val="003B0056"/>
    <w:rsid w:val="003B0421"/>
    <w:rsid w:val="003B0BF6"/>
    <w:rsid w:val="003B0D54"/>
    <w:rsid w:val="003B0F9C"/>
    <w:rsid w:val="003B0FA7"/>
    <w:rsid w:val="003B124F"/>
    <w:rsid w:val="003B1A1C"/>
    <w:rsid w:val="003B1B7A"/>
    <w:rsid w:val="003B1BD5"/>
    <w:rsid w:val="003B1C71"/>
    <w:rsid w:val="003B248F"/>
    <w:rsid w:val="003B27A7"/>
    <w:rsid w:val="003B2C4E"/>
    <w:rsid w:val="003B2ECB"/>
    <w:rsid w:val="003B346C"/>
    <w:rsid w:val="003B348C"/>
    <w:rsid w:val="003B3767"/>
    <w:rsid w:val="003B3843"/>
    <w:rsid w:val="003B3A19"/>
    <w:rsid w:val="003B3AAB"/>
    <w:rsid w:val="003B3AE0"/>
    <w:rsid w:val="003B3AFA"/>
    <w:rsid w:val="003B3DAA"/>
    <w:rsid w:val="003B4029"/>
    <w:rsid w:val="003B40E4"/>
    <w:rsid w:val="003B440C"/>
    <w:rsid w:val="003B44E4"/>
    <w:rsid w:val="003B47C2"/>
    <w:rsid w:val="003B4BC9"/>
    <w:rsid w:val="003B4DAF"/>
    <w:rsid w:val="003B50A7"/>
    <w:rsid w:val="003B534B"/>
    <w:rsid w:val="003B53F9"/>
    <w:rsid w:val="003B5543"/>
    <w:rsid w:val="003B597E"/>
    <w:rsid w:val="003B68F2"/>
    <w:rsid w:val="003B6F8F"/>
    <w:rsid w:val="003B73E6"/>
    <w:rsid w:val="003B76AF"/>
    <w:rsid w:val="003B76F3"/>
    <w:rsid w:val="003B79E6"/>
    <w:rsid w:val="003B7E21"/>
    <w:rsid w:val="003C1833"/>
    <w:rsid w:val="003C1E59"/>
    <w:rsid w:val="003C205B"/>
    <w:rsid w:val="003C207E"/>
    <w:rsid w:val="003C20C2"/>
    <w:rsid w:val="003C2824"/>
    <w:rsid w:val="003C2DA3"/>
    <w:rsid w:val="003C325F"/>
    <w:rsid w:val="003C3337"/>
    <w:rsid w:val="003C3B4F"/>
    <w:rsid w:val="003C3E61"/>
    <w:rsid w:val="003C4596"/>
    <w:rsid w:val="003C46AC"/>
    <w:rsid w:val="003C4809"/>
    <w:rsid w:val="003C4D32"/>
    <w:rsid w:val="003C4DAC"/>
    <w:rsid w:val="003C4FEE"/>
    <w:rsid w:val="003C51F3"/>
    <w:rsid w:val="003C5624"/>
    <w:rsid w:val="003C56B6"/>
    <w:rsid w:val="003C5852"/>
    <w:rsid w:val="003C59F2"/>
    <w:rsid w:val="003C5BB3"/>
    <w:rsid w:val="003C5D74"/>
    <w:rsid w:val="003C6200"/>
    <w:rsid w:val="003C634A"/>
    <w:rsid w:val="003C672B"/>
    <w:rsid w:val="003C6CB3"/>
    <w:rsid w:val="003C6E0C"/>
    <w:rsid w:val="003C6E9B"/>
    <w:rsid w:val="003C6F2C"/>
    <w:rsid w:val="003C6F5C"/>
    <w:rsid w:val="003C7750"/>
    <w:rsid w:val="003D0369"/>
    <w:rsid w:val="003D03CF"/>
    <w:rsid w:val="003D0667"/>
    <w:rsid w:val="003D073B"/>
    <w:rsid w:val="003D0908"/>
    <w:rsid w:val="003D0F7F"/>
    <w:rsid w:val="003D1067"/>
    <w:rsid w:val="003D11B7"/>
    <w:rsid w:val="003D14B2"/>
    <w:rsid w:val="003D164E"/>
    <w:rsid w:val="003D1A0F"/>
    <w:rsid w:val="003D1A58"/>
    <w:rsid w:val="003D1C3C"/>
    <w:rsid w:val="003D1CE2"/>
    <w:rsid w:val="003D1D57"/>
    <w:rsid w:val="003D21A5"/>
    <w:rsid w:val="003D283C"/>
    <w:rsid w:val="003D294D"/>
    <w:rsid w:val="003D31F9"/>
    <w:rsid w:val="003D36D5"/>
    <w:rsid w:val="003D3C64"/>
    <w:rsid w:val="003D3DE9"/>
    <w:rsid w:val="003D3EE8"/>
    <w:rsid w:val="003D3F67"/>
    <w:rsid w:val="003D40A7"/>
    <w:rsid w:val="003D46BC"/>
    <w:rsid w:val="003D477F"/>
    <w:rsid w:val="003D4DF6"/>
    <w:rsid w:val="003D5045"/>
    <w:rsid w:val="003D55C9"/>
    <w:rsid w:val="003D5932"/>
    <w:rsid w:val="003D5C6F"/>
    <w:rsid w:val="003D625A"/>
    <w:rsid w:val="003D6390"/>
    <w:rsid w:val="003D63C4"/>
    <w:rsid w:val="003D6F86"/>
    <w:rsid w:val="003D72A8"/>
    <w:rsid w:val="003E05BF"/>
    <w:rsid w:val="003E06FC"/>
    <w:rsid w:val="003E075C"/>
    <w:rsid w:val="003E0E16"/>
    <w:rsid w:val="003E1147"/>
    <w:rsid w:val="003E1EFE"/>
    <w:rsid w:val="003E228F"/>
    <w:rsid w:val="003E263A"/>
    <w:rsid w:val="003E292A"/>
    <w:rsid w:val="003E3090"/>
    <w:rsid w:val="003E3C11"/>
    <w:rsid w:val="003E3DB7"/>
    <w:rsid w:val="003E4093"/>
    <w:rsid w:val="003E4359"/>
    <w:rsid w:val="003E4631"/>
    <w:rsid w:val="003E499E"/>
    <w:rsid w:val="003E4CC1"/>
    <w:rsid w:val="003E4F5F"/>
    <w:rsid w:val="003E55C2"/>
    <w:rsid w:val="003E5B81"/>
    <w:rsid w:val="003E681C"/>
    <w:rsid w:val="003E6A16"/>
    <w:rsid w:val="003E7B7C"/>
    <w:rsid w:val="003E7C97"/>
    <w:rsid w:val="003E7F34"/>
    <w:rsid w:val="003F0553"/>
    <w:rsid w:val="003F06D7"/>
    <w:rsid w:val="003F0EAE"/>
    <w:rsid w:val="003F12DE"/>
    <w:rsid w:val="003F183F"/>
    <w:rsid w:val="003F19A6"/>
    <w:rsid w:val="003F1F08"/>
    <w:rsid w:val="003F1FB2"/>
    <w:rsid w:val="003F25EE"/>
    <w:rsid w:val="003F2871"/>
    <w:rsid w:val="003F2A53"/>
    <w:rsid w:val="003F2B0C"/>
    <w:rsid w:val="003F365B"/>
    <w:rsid w:val="003F44B6"/>
    <w:rsid w:val="003F45D9"/>
    <w:rsid w:val="003F5149"/>
    <w:rsid w:val="003F52F2"/>
    <w:rsid w:val="003F605A"/>
    <w:rsid w:val="003F6299"/>
    <w:rsid w:val="003F6B07"/>
    <w:rsid w:val="003F6B20"/>
    <w:rsid w:val="003F7301"/>
    <w:rsid w:val="003F7476"/>
    <w:rsid w:val="003F747E"/>
    <w:rsid w:val="003F7D18"/>
    <w:rsid w:val="00400B7D"/>
    <w:rsid w:val="00400D68"/>
    <w:rsid w:val="00400FDB"/>
    <w:rsid w:val="00401741"/>
    <w:rsid w:val="00401902"/>
    <w:rsid w:val="00401BDE"/>
    <w:rsid w:val="00401ECB"/>
    <w:rsid w:val="00401F98"/>
    <w:rsid w:val="00402196"/>
    <w:rsid w:val="00402686"/>
    <w:rsid w:val="00402B78"/>
    <w:rsid w:val="00402C7B"/>
    <w:rsid w:val="00402CBD"/>
    <w:rsid w:val="00402DA9"/>
    <w:rsid w:val="00403069"/>
    <w:rsid w:val="00403070"/>
    <w:rsid w:val="00403246"/>
    <w:rsid w:val="004034AA"/>
    <w:rsid w:val="00403601"/>
    <w:rsid w:val="00403884"/>
    <w:rsid w:val="004041F0"/>
    <w:rsid w:val="004046DC"/>
    <w:rsid w:val="00404A0B"/>
    <w:rsid w:val="00404B53"/>
    <w:rsid w:val="00404F2C"/>
    <w:rsid w:val="004050E2"/>
    <w:rsid w:val="004052C0"/>
    <w:rsid w:val="00405374"/>
    <w:rsid w:val="004053CF"/>
    <w:rsid w:val="0040541C"/>
    <w:rsid w:val="00405488"/>
    <w:rsid w:val="004061BE"/>
    <w:rsid w:val="00406417"/>
    <w:rsid w:val="0040665C"/>
    <w:rsid w:val="004066C1"/>
    <w:rsid w:val="0040683A"/>
    <w:rsid w:val="00407171"/>
    <w:rsid w:val="004071E3"/>
    <w:rsid w:val="00410082"/>
    <w:rsid w:val="00410338"/>
    <w:rsid w:val="00410392"/>
    <w:rsid w:val="004103BF"/>
    <w:rsid w:val="00410924"/>
    <w:rsid w:val="004114DE"/>
    <w:rsid w:val="00411514"/>
    <w:rsid w:val="0041185D"/>
    <w:rsid w:val="00411879"/>
    <w:rsid w:val="004123D4"/>
    <w:rsid w:val="004123E9"/>
    <w:rsid w:val="00412462"/>
    <w:rsid w:val="00412D5B"/>
    <w:rsid w:val="0041351F"/>
    <w:rsid w:val="00413691"/>
    <w:rsid w:val="0041383B"/>
    <w:rsid w:val="00413F67"/>
    <w:rsid w:val="004142E2"/>
    <w:rsid w:val="00414386"/>
    <w:rsid w:val="004145E3"/>
    <w:rsid w:val="0041480F"/>
    <w:rsid w:val="00414CEB"/>
    <w:rsid w:val="004151B4"/>
    <w:rsid w:val="004155FC"/>
    <w:rsid w:val="004156E6"/>
    <w:rsid w:val="00415A63"/>
    <w:rsid w:val="00415AB0"/>
    <w:rsid w:val="00415AC0"/>
    <w:rsid w:val="00415E5B"/>
    <w:rsid w:val="00416004"/>
    <w:rsid w:val="00416A30"/>
    <w:rsid w:val="0041702E"/>
    <w:rsid w:val="0041709A"/>
    <w:rsid w:val="00417108"/>
    <w:rsid w:val="004171F1"/>
    <w:rsid w:val="00417EA6"/>
    <w:rsid w:val="00417FA7"/>
    <w:rsid w:val="0042022C"/>
    <w:rsid w:val="004202B3"/>
    <w:rsid w:val="004206F3"/>
    <w:rsid w:val="00420876"/>
    <w:rsid w:val="00420C64"/>
    <w:rsid w:val="00420D6D"/>
    <w:rsid w:val="00421889"/>
    <w:rsid w:val="004219BA"/>
    <w:rsid w:val="00421D17"/>
    <w:rsid w:val="00421E6F"/>
    <w:rsid w:val="00421F91"/>
    <w:rsid w:val="00422738"/>
    <w:rsid w:val="00422E6C"/>
    <w:rsid w:val="00423053"/>
    <w:rsid w:val="00423747"/>
    <w:rsid w:val="0042438F"/>
    <w:rsid w:val="00424518"/>
    <w:rsid w:val="00424739"/>
    <w:rsid w:val="00425853"/>
    <w:rsid w:val="004258AB"/>
    <w:rsid w:val="0042593D"/>
    <w:rsid w:val="00425F13"/>
    <w:rsid w:val="00426311"/>
    <w:rsid w:val="00426549"/>
    <w:rsid w:val="00426870"/>
    <w:rsid w:val="00426D66"/>
    <w:rsid w:val="00427434"/>
    <w:rsid w:val="00427722"/>
    <w:rsid w:val="00427C95"/>
    <w:rsid w:val="0043012E"/>
    <w:rsid w:val="0043032D"/>
    <w:rsid w:val="004308CC"/>
    <w:rsid w:val="00430A08"/>
    <w:rsid w:val="00430DC3"/>
    <w:rsid w:val="00430F44"/>
    <w:rsid w:val="00430FBB"/>
    <w:rsid w:val="00431558"/>
    <w:rsid w:val="0043197E"/>
    <w:rsid w:val="004322DA"/>
    <w:rsid w:val="00432383"/>
    <w:rsid w:val="00432CD9"/>
    <w:rsid w:val="00432DAB"/>
    <w:rsid w:val="00433B68"/>
    <w:rsid w:val="00433C49"/>
    <w:rsid w:val="00433E53"/>
    <w:rsid w:val="00434024"/>
    <w:rsid w:val="0043408E"/>
    <w:rsid w:val="004343B0"/>
    <w:rsid w:val="00435585"/>
    <w:rsid w:val="0043558B"/>
    <w:rsid w:val="004356F0"/>
    <w:rsid w:val="004358DB"/>
    <w:rsid w:val="00435953"/>
    <w:rsid w:val="00435D23"/>
    <w:rsid w:val="00435D7F"/>
    <w:rsid w:val="00435E9A"/>
    <w:rsid w:val="00436126"/>
    <w:rsid w:val="004362E6"/>
    <w:rsid w:val="0043653D"/>
    <w:rsid w:val="0043658E"/>
    <w:rsid w:val="00436DFF"/>
    <w:rsid w:val="00436E2D"/>
    <w:rsid w:val="00437A0E"/>
    <w:rsid w:val="00437A7E"/>
    <w:rsid w:val="00437B5F"/>
    <w:rsid w:val="00440027"/>
    <w:rsid w:val="0044030A"/>
    <w:rsid w:val="00440630"/>
    <w:rsid w:val="00440B59"/>
    <w:rsid w:val="00440EFB"/>
    <w:rsid w:val="004415E0"/>
    <w:rsid w:val="00441871"/>
    <w:rsid w:val="00441CD5"/>
    <w:rsid w:val="00442177"/>
    <w:rsid w:val="004422E6"/>
    <w:rsid w:val="00442551"/>
    <w:rsid w:val="004427B9"/>
    <w:rsid w:val="00442882"/>
    <w:rsid w:val="00442FF2"/>
    <w:rsid w:val="00443722"/>
    <w:rsid w:val="004443A3"/>
    <w:rsid w:val="004443E7"/>
    <w:rsid w:val="0044479C"/>
    <w:rsid w:val="004448A8"/>
    <w:rsid w:val="00444BA4"/>
    <w:rsid w:val="00444D23"/>
    <w:rsid w:val="00444DE7"/>
    <w:rsid w:val="00444EF5"/>
    <w:rsid w:val="00445253"/>
    <w:rsid w:val="00445616"/>
    <w:rsid w:val="00445674"/>
    <w:rsid w:val="00445FA3"/>
    <w:rsid w:val="0044610F"/>
    <w:rsid w:val="004461C7"/>
    <w:rsid w:val="00446249"/>
    <w:rsid w:val="004462B2"/>
    <w:rsid w:val="0044647C"/>
    <w:rsid w:val="004464FA"/>
    <w:rsid w:val="004469AB"/>
    <w:rsid w:val="00446A49"/>
    <w:rsid w:val="00446A9E"/>
    <w:rsid w:val="00446D67"/>
    <w:rsid w:val="00446F8C"/>
    <w:rsid w:val="004477B6"/>
    <w:rsid w:val="0044790F"/>
    <w:rsid w:val="00447BF3"/>
    <w:rsid w:val="00447FFA"/>
    <w:rsid w:val="0045019E"/>
    <w:rsid w:val="0045078B"/>
    <w:rsid w:val="00450824"/>
    <w:rsid w:val="00450A95"/>
    <w:rsid w:val="00450C60"/>
    <w:rsid w:val="00450E82"/>
    <w:rsid w:val="00450FDC"/>
    <w:rsid w:val="0045114A"/>
    <w:rsid w:val="00451BBD"/>
    <w:rsid w:val="00451D8C"/>
    <w:rsid w:val="00451DF6"/>
    <w:rsid w:val="00451F14"/>
    <w:rsid w:val="00452859"/>
    <w:rsid w:val="00452AED"/>
    <w:rsid w:val="00453402"/>
    <w:rsid w:val="00453429"/>
    <w:rsid w:val="004534F5"/>
    <w:rsid w:val="00453959"/>
    <w:rsid w:val="00453C3F"/>
    <w:rsid w:val="00453C5F"/>
    <w:rsid w:val="00453D3D"/>
    <w:rsid w:val="004540DF"/>
    <w:rsid w:val="004542EC"/>
    <w:rsid w:val="00454F42"/>
    <w:rsid w:val="0045544A"/>
    <w:rsid w:val="00455648"/>
    <w:rsid w:val="004559AF"/>
    <w:rsid w:val="00455C3E"/>
    <w:rsid w:val="00455FDB"/>
    <w:rsid w:val="0045611F"/>
    <w:rsid w:val="00456308"/>
    <w:rsid w:val="00456655"/>
    <w:rsid w:val="0045766A"/>
    <w:rsid w:val="00457712"/>
    <w:rsid w:val="00457889"/>
    <w:rsid w:val="00457B40"/>
    <w:rsid w:val="00457CBD"/>
    <w:rsid w:val="004600F1"/>
    <w:rsid w:val="0046020C"/>
    <w:rsid w:val="00460688"/>
    <w:rsid w:val="00460D95"/>
    <w:rsid w:val="00460DC1"/>
    <w:rsid w:val="0046187A"/>
    <w:rsid w:val="00461B13"/>
    <w:rsid w:val="004620A4"/>
    <w:rsid w:val="00462142"/>
    <w:rsid w:val="004623CD"/>
    <w:rsid w:val="004624AF"/>
    <w:rsid w:val="00462689"/>
    <w:rsid w:val="00462A90"/>
    <w:rsid w:val="00462D2B"/>
    <w:rsid w:val="00462D6C"/>
    <w:rsid w:val="0046482A"/>
    <w:rsid w:val="00464E6F"/>
    <w:rsid w:val="00465024"/>
    <w:rsid w:val="0046583E"/>
    <w:rsid w:val="00465F72"/>
    <w:rsid w:val="0046668B"/>
    <w:rsid w:val="004668AF"/>
    <w:rsid w:val="00466B1B"/>
    <w:rsid w:val="00466D89"/>
    <w:rsid w:val="00466DB6"/>
    <w:rsid w:val="00466F0C"/>
    <w:rsid w:val="00467816"/>
    <w:rsid w:val="00467D3C"/>
    <w:rsid w:val="00467FD8"/>
    <w:rsid w:val="004705A2"/>
    <w:rsid w:val="00470ED6"/>
    <w:rsid w:val="00471144"/>
    <w:rsid w:val="0047140E"/>
    <w:rsid w:val="0047201B"/>
    <w:rsid w:val="00472322"/>
    <w:rsid w:val="0047251E"/>
    <w:rsid w:val="004727EC"/>
    <w:rsid w:val="00472FD4"/>
    <w:rsid w:val="0047326C"/>
    <w:rsid w:val="00473503"/>
    <w:rsid w:val="004739A8"/>
    <w:rsid w:val="00473A77"/>
    <w:rsid w:val="00473DB7"/>
    <w:rsid w:val="00474042"/>
    <w:rsid w:val="004745A3"/>
    <w:rsid w:val="00474AA1"/>
    <w:rsid w:val="004751F4"/>
    <w:rsid w:val="004759B0"/>
    <w:rsid w:val="00475AF0"/>
    <w:rsid w:val="00475ED4"/>
    <w:rsid w:val="0047601B"/>
    <w:rsid w:val="00476CF9"/>
    <w:rsid w:val="00476F85"/>
    <w:rsid w:val="00477803"/>
    <w:rsid w:val="0047788D"/>
    <w:rsid w:val="00477DC9"/>
    <w:rsid w:val="004801A6"/>
    <w:rsid w:val="0048049E"/>
    <w:rsid w:val="00481327"/>
    <w:rsid w:val="004813A6"/>
    <w:rsid w:val="00481756"/>
    <w:rsid w:val="00481B52"/>
    <w:rsid w:val="00481E79"/>
    <w:rsid w:val="004820A6"/>
    <w:rsid w:val="00482330"/>
    <w:rsid w:val="00482351"/>
    <w:rsid w:val="004835E8"/>
    <w:rsid w:val="0048394C"/>
    <w:rsid w:val="00483A1D"/>
    <w:rsid w:val="00483AB7"/>
    <w:rsid w:val="00483DB1"/>
    <w:rsid w:val="00483EFE"/>
    <w:rsid w:val="00483FC4"/>
    <w:rsid w:val="00484236"/>
    <w:rsid w:val="0048450E"/>
    <w:rsid w:val="00484524"/>
    <w:rsid w:val="00484F8A"/>
    <w:rsid w:val="00485813"/>
    <w:rsid w:val="00485E8C"/>
    <w:rsid w:val="004861AE"/>
    <w:rsid w:val="00486407"/>
    <w:rsid w:val="0048661C"/>
    <w:rsid w:val="00486FC4"/>
    <w:rsid w:val="0048719C"/>
    <w:rsid w:val="004871D6"/>
    <w:rsid w:val="004874AB"/>
    <w:rsid w:val="00487AEE"/>
    <w:rsid w:val="00487C35"/>
    <w:rsid w:val="0049003C"/>
    <w:rsid w:val="004902EC"/>
    <w:rsid w:val="00490449"/>
    <w:rsid w:val="00490549"/>
    <w:rsid w:val="004905E5"/>
    <w:rsid w:val="004912C1"/>
    <w:rsid w:val="0049133B"/>
    <w:rsid w:val="004913D7"/>
    <w:rsid w:val="004916A2"/>
    <w:rsid w:val="00491845"/>
    <w:rsid w:val="00491E03"/>
    <w:rsid w:val="0049243F"/>
    <w:rsid w:val="00492492"/>
    <w:rsid w:val="004924E6"/>
    <w:rsid w:val="004925A8"/>
    <w:rsid w:val="0049286C"/>
    <w:rsid w:val="004928B6"/>
    <w:rsid w:val="004931FB"/>
    <w:rsid w:val="00493354"/>
    <w:rsid w:val="0049374C"/>
    <w:rsid w:val="00493779"/>
    <w:rsid w:val="00493827"/>
    <w:rsid w:val="00493918"/>
    <w:rsid w:val="00493CEA"/>
    <w:rsid w:val="00493F4A"/>
    <w:rsid w:val="0049512E"/>
    <w:rsid w:val="0049552A"/>
    <w:rsid w:val="004957F3"/>
    <w:rsid w:val="00495AF9"/>
    <w:rsid w:val="0049626F"/>
    <w:rsid w:val="004966A8"/>
    <w:rsid w:val="00496B2C"/>
    <w:rsid w:val="00497623"/>
    <w:rsid w:val="004978F8"/>
    <w:rsid w:val="004979C1"/>
    <w:rsid w:val="00497DA5"/>
    <w:rsid w:val="00497E39"/>
    <w:rsid w:val="00497FE3"/>
    <w:rsid w:val="004A02BC"/>
    <w:rsid w:val="004A02EF"/>
    <w:rsid w:val="004A09A3"/>
    <w:rsid w:val="004A102F"/>
    <w:rsid w:val="004A111E"/>
    <w:rsid w:val="004A156F"/>
    <w:rsid w:val="004A1BD8"/>
    <w:rsid w:val="004A26C3"/>
    <w:rsid w:val="004A2C47"/>
    <w:rsid w:val="004A32C1"/>
    <w:rsid w:val="004A3CA6"/>
    <w:rsid w:val="004A473A"/>
    <w:rsid w:val="004A4BC7"/>
    <w:rsid w:val="004A4E16"/>
    <w:rsid w:val="004A4F34"/>
    <w:rsid w:val="004A5461"/>
    <w:rsid w:val="004A5770"/>
    <w:rsid w:val="004A5CE3"/>
    <w:rsid w:val="004A6491"/>
    <w:rsid w:val="004A6F4C"/>
    <w:rsid w:val="004A714C"/>
    <w:rsid w:val="004A780D"/>
    <w:rsid w:val="004A7A82"/>
    <w:rsid w:val="004A7BDB"/>
    <w:rsid w:val="004B04A7"/>
    <w:rsid w:val="004B09E8"/>
    <w:rsid w:val="004B09F8"/>
    <w:rsid w:val="004B0CA9"/>
    <w:rsid w:val="004B0E8B"/>
    <w:rsid w:val="004B0F89"/>
    <w:rsid w:val="004B1333"/>
    <w:rsid w:val="004B1572"/>
    <w:rsid w:val="004B17DA"/>
    <w:rsid w:val="004B18A7"/>
    <w:rsid w:val="004B1914"/>
    <w:rsid w:val="004B1A53"/>
    <w:rsid w:val="004B238F"/>
    <w:rsid w:val="004B24E3"/>
    <w:rsid w:val="004B27FB"/>
    <w:rsid w:val="004B2E0B"/>
    <w:rsid w:val="004B304D"/>
    <w:rsid w:val="004B35D8"/>
    <w:rsid w:val="004B3792"/>
    <w:rsid w:val="004B3A03"/>
    <w:rsid w:val="004B3AB5"/>
    <w:rsid w:val="004B3F67"/>
    <w:rsid w:val="004B457B"/>
    <w:rsid w:val="004B4ABC"/>
    <w:rsid w:val="004B4EF8"/>
    <w:rsid w:val="004B50CD"/>
    <w:rsid w:val="004B51B0"/>
    <w:rsid w:val="004B52F1"/>
    <w:rsid w:val="004B610B"/>
    <w:rsid w:val="004B63F3"/>
    <w:rsid w:val="004B664F"/>
    <w:rsid w:val="004B690B"/>
    <w:rsid w:val="004B73A4"/>
    <w:rsid w:val="004C02B3"/>
    <w:rsid w:val="004C04EF"/>
    <w:rsid w:val="004C092F"/>
    <w:rsid w:val="004C0CC5"/>
    <w:rsid w:val="004C0E2D"/>
    <w:rsid w:val="004C1152"/>
    <w:rsid w:val="004C11C0"/>
    <w:rsid w:val="004C11DA"/>
    <w:rsid w:val="004C1777"/>
    <w:rsid w:val="004C1DB7"/>
    <w:rsid w:val="004C1F17"/>
    <w:rsid w:val="004C1FCE"/>
    <w:rsid w:val="004C2186"/>
    <w:rsid w:val="004C2F52"/>
    <w:rsid w:val="004C33C5"/>
    <w:rsid w:val="004C376A"/>
    <w:rsid w:val="004C3B24"/>
    <w:rsid w:val="004C3B9A"/>
    <w:rsid w:val="004C3F3C"/>
    <w:rsid w:val="004C4034"/>
    <w:rsid w:val="004C40E5"/>
    <w:rsid w:val="004C4195"/>
    <w:rsid w:val="004C41D1"/>
    <w:rsid w:val="004C430D"/>
    <w:rsid w:val="004C4CA3"/>
    <w:rsid w:val="004C50AA"/>
    <w:rsid w:val="004C5320"/>
    <w:rsid w:val="004C54C3"/>
    <w:rsid w:val="004C55EC"/>
    <w:rsid w:val="004C5783"/>
    <w:rsid w:val="004C593C"/>
    <w:rsid w:val="004C5A09"/>
    <w:rsid w:val="004C613B"/>
    <w:rsid w:val="004C61BD"/>
    <w:rsid w:val="004C66B4"/>
    <w:rsid w:val="004C6721"/>
    <w:rsid w:val="004C6807"/>
    <w:rsid w:val="004C6828"/>
    <w:rsid w:val="004C7A67"/>
    <w:rsid w:val="004C7AEC"/>
    <w:rsid w:val="004D0338"/>
    <w:rsid w:val="004D06E0"/>
    <w:rsid w:val="004D0725"/>
    <w:rsid w:val="004D0A4D"/>
    <w:rsid w:val="004D1246"/>
    <w:rsid w:val="004D1253"/>
    <w:rsid w:val="004D183B"/>
    <w:rsid w:val="004D18A5"/>
    <w:rsid w:val="004D1AE7"/>
    <w:rsid w:val="004D2027"/>
    <w:rsid w:val="004D20CA"/>
    <w:rsid w:val="004D2241"/>
    <w:rsid w:val="004D235E"/>
    <w:rsid w:val="004D2407"/>
    <w:rsid w:val="004D2483"/>
    <w:rsid w:val="004D2669"/>
    <w:rsid w:val="004D289D"/>
    <w:rsid w:val="004D298C"/>
    <w:rsid w:val="004D2CAE"/>
    <w:rsid w:val="004D329D"/>
    <w:rsid w:val="004D33FD"/>
    <w:rsid w:val="004D4060"/>
    <w:rsid w:val="004D4292"/>
    <w:rsid w:val="004D4CE5"/>
    <w:rsid w:val="004D4E4B"/>
    <w:rsid w:val="004D4EE4"/>
    <w:rsid w:val="004D5064"/>
    <w:rsid w:val="004D532D"/>
    <w:rsid w:val="004D5527"/>
    <w:rsid w:val="004D5808"/>
    <w:rsid w:val="004D61B9"/>
    <w:rsid w:val="004D63D1"/>
    <w:rsid w:val="004D6873"/>
    <w:rsid w:val="004D6948"/>
    <w:rsid w:val="004D6D2B"/>
    <w:rsid w:val="004D6D90"/>
    <w:rsid w:val="004D6F66"/>
    <w:rsid w:val="004D6FEF"/>
    <w:rsid w:val="004D73E2"/>
    <w:rsid w:val="004D7F3E"/>
    <w:rsid w:val="004E0211"/>
    <w:rsid w:val="004E0589"/>
    <w:rsid w:val="004E0664"/>
    <w:rsid w:val="004E0950"/>
    <w:rsid w:val="004E0EBB"/>
    <w:rsid w:val="004E0EF4"/>
    <w:rsid w:val="004E0F12"/>
    <w:rsid w:val="004E0F98"/>
    <w:rsid w:val="004E10B2"/>
    <w:rsid w:val="004E159E"/>
    <w:rsid w:val="004E1766"/>
    <w:rsid w:val="004E1BA1"/>
    <w:rsid w:val="004E1BC2"/>
    <w:rsid w:val="004E1D91"/>
    <w:rsid w:val="004E1EA3"/>
    <w:rsid w:val="004E20EF"/>
    <w:rsid w:val="004E255A"/>
    <w:rsid w:val="004E2C78"/>
    <w:rsid w:val="004E3147"/>
    <w:rsid w:val="004E31E3"/>
    <w:rsid w:val="004E3351"/>
    <w:rsid w:val="004E33E4"/>
    <w:rsid w:val="004E361A"/>
    <w:rsid w:val="004E37E6"/>
    <w:rsid w:val="004E38B1"/>
    <w:rsid w:val="004E3A5E"/>
    <w:rsid w:val="004E3C7B"/>
    <w:rsid w:val="004E3D52"/>
    <w:rsid w:val="004E44BE"/>
    <w:rsid w:val="004E4579"/>
    <w:rsid w:val="004E4588"/>
    <w:rsid w:val="004E5564"/>
    <w:rsid w:val="004E5895"/>
    <w:rsid w:val="004E6117"/>
    <w:rsid w:val="004E6409"/>
    <w:rsid w:val="004E68F7"/>
    <w:rsid w:val="004E6BA6"/>
    <w:rsid w:val="004E7761"/>
    <w:rsid w:val="004E7844"/>
    <w:rsid w:val="004E7912"/>
    <w:rsid w:val="004E7C24"/>
    <w:rsid w:val="004E7FC2"/>
    <w:rsid w:val="004F0366"/>
    <w:rsid w:val="004F03DA"/>
    <w:rsid w:val="004F08A4"/>
    <w:rsid w:val="004F0A5B"/>
    <w:rsid w:val="004F0A90"/>
    <w:rsid w:val="004F0B29"/>
    <w:rsid w:val="004F0ED4"/>
    <w:rsid w:val="004F1047"/>
    <w:rsid w:val="004F110E"/>
    <w:rsid w:val="004F13A6"/>
    <w:rsid w:val="004F1DD3"/>
    <w:rsid w:val="004F224C"/>
    <w:rsid w:val="004F2698"/>
    <w:rsid w:val="004F26AF"/>
    <w:rsid w:val="004F2846"/>
    <w:rsid w:val="004F28DA"/>
    <w:rsid w:val="004F2965"/>
    <w:rsid w:val="004F311B"/>
    <w:rsid w:val="004F3211"/>
    <w:rsid w:val="004F3A64"/>
    <w:rsid w:val="004F3C42"/>
    <w:rsid w:val="004F3C96"/>
    <w:rsid w:val="004F3FBA"/>
    <w:rsid w:val="004F413A"/>
    <w:rsid w:val="004F44C4"/>
    <w:rsid w:val="004F48AC"/>
    <w:rsid w:val="004F4CF2"/>
    <w:rsid w:val="004F4F7C"/>
    <w:rsid w:val="004F5278"/>
    <w:rsid w:val="004F5986"/>
    <w:rsid w:val="004F64A1"/>
    <w:rsid w:val="004F670A"/>
    <w:rsid w:val="004F691A"/>
    <w:rsid w:val="004F69B9"/>
    <w:rsid w:val="004F6B4C"/>
    <w:rsid w:val="004F70AB"/>
    <w:rsid w:val="004F7170"/>
    <w:rsid w:val="004F7429"/>
    <w:rsid w:val="00500580"/>
    <w:rsid w:val="00500758"/>
    <w:rsid w:val="00500848"/>
    <w:rsid w:val="00500A52"/>
    <w:rsid w:val="00500D55"/>
    <w:rsid w:val="00500DCA"/>
    <w:rsid w:val="00501100"/>
    <w:rsid w:val="00502411"/>
    <w:rsid w:val="00502747"/>
    <w:rsid w:val="005032C9"/>
    <w:rsid w:val="005032F2"/>
    <w:rsid w:val="00503340"/>
    <w:rsid w:val="00503A70"/>
    <w:rsid w:val="00503BBE"/>
    <w:rsid w:val="00503E10"/>
    <w:rsid w:val="00503F32"/>
    <w:rsid w:val="00503F89"/>
    <w:rsid w:val="00503FE0"/>
    <w:rsid w:val="005040F4"/>
    <w:rsid w:val="00504741"/>
    <w:rsid w:val="00504C30"/>
    <w:rsid w:val="00504E0E"/>
    <w:rsid w:val="005051CC"/>
    <w:rsid w:val="005053DE"/>
    <w:rsid w:val="00505781"/>
    <w:rsid w:val="00505988"/>
    <w:rsid w:val="00505A06"/>
    <w:rsid w:val="00505AA2"/>
    <w:rsid w:val="005061C4"/>
    <w:rsid w:val="00506AA8"/>
    <w:rsid w:val="00506C20"/>
    <w:rsid w:val="00506E53"/>
    <w:rsid w:val="005070A7"/>
    <w:rsid w:val="0050710B"/>
    <w:rsid w:val="005071DA"/>
    <w:rsid w:val="00507B48"/>
    <w:rsid w:val="00507E11"/>
    <w:rsid w:val="00510079"/>
    <w:rsid w:val="005101B3"/>
    <w:rsid w:val="005102B5"/>
    <w:rsid w:val="00510374"/>
    <w:rsid w:val="00510462"/>
    <w:rsid w:val="0051070C"/>
    <w:rsid w:val="00511194"/>
    <w:rsid w:val="00511754"/>
    <w:rsid w:val="0051183C"/>
    <w:rsid w:val="0051195A"/>
    <w:rsid w:val="00511AB0"/>
    <w:rsid w:val="00511B60"/>
    <w:rsid w:val="00511BA4"/>
    <w:rsid w:val="00511DE9"/>
    <w:rsid w:val="00511DED"/>
    <w:rsid w:val="00511F34"/>
    <w:rsid w:val="0051247F"/>
    <w:rsid w:val="005124E0"/>
    <w:rsid w:val="00512945"/>
    <w:rsid w:val="00512D7B"/>
    <w:rsid w:val="00513002"/>
    <w:rsid w:val="00513349"/>
    <w:rsid w:val="0051389D"/>
    <w:rsid w:val="005139B7"/>
    <w:rsid w:val="00513BF0"/>
    <w:rsid w:val="00513E61"/>
    <w:rsid w:val="00514943"/>
    <w:rsid w:val="00514A15"/>
    <w:rsid w:val="00514A1F"/>
    <w:rsid w:val="00514B49"/>
    <w:rsid w:val="00514B7B"/>
    <w:rsid w:val="00514C45"/>
    <w:rsid w:val="00514C55"/>
    <w:rsid w:val="00515140"/>
    <w:rsid w:val="005154DF"/>
    <w:rsid w:val="005154F9"/>
    <w:rsid w:val="00515D2D"/>
    <w:rsid w:val="00515E10"/>
    <w:rsid w:val="00516A6B"/>
    <w:rsid w:val="00516C16"/>
    <w:rsid w:val="00516D35"/>
    <w:rsid w:val="00516FF0"/>
    <w:rsid w:val="00517079"/>
    <w:rsid w:val="005170EC"/>
    <w:rsid w:val="0051730F"/>
    <w:rsid w:val="005173C2"/>
    <w:rsid w:val="00517AEE"/>
    <w:rsid w:val="00517F60"/>
    <w:rsid w:val="00521602"/>
    <w:rsid w:val="005219FE"/>
    <w:rsid w:val="00521DB3"/>
    <w:rsid w:val="00521FF7"/>
    <w:rsid w:val="00523042"/>
    <w:rsid w:val="00523F55"/>
    <w:rsid w:val="005240CB"/>
    <w:rsid w:val="005242CB"/>
    <w:rsid w:val="00524341"/>
    <w:rsid w:val="005245C3"/>
    <w:rsid w:val="0052466B"/>
    <w:rsid w:val="00524997"/>
    <w:rsid w:val="0052518A"/>
    <w:rsid w:val="00525244"/>
    <w:rsid w:val="0052544A"/>
    <w:rsid w:val="005256F8"/>
    <w:rsid w:val="00525725"/>
    <w:rsid w:val="0052588A"/>
    <w:rsid w:val="005259DB"/>
    <w:rsid w:val="00525E21"/>
    <w:rsid w:val="00526FD2"/>
    <w:rsid w:val="005276FB"/>
    <w:rsid w:val="00527796"/>
    <w:rsid w:val="005279EF"/>
    <w:rsid w:val="005304DD"/>
    <w:rsid w:val="005308CE"/>
    <w:rsid w:val="0053103F"/>
    <w:rsid w:val="005315DB"/>
    <w:rsid w:val="0053188E"/>
    <w:rsid w:val="0053194D"/>
    <w:rsid w:val="00531FAD"/>
    <w:rsid w:val="0053204E"/>
    <w:rsid w:val="005328C9"/>
    <w:rsid w:val="00532B3B"/>
    <w:rsid w:val="00532E23"/>
    <w:rsid w:val="0053356F"/>
    <w:rsid w:val="00533BC3"/>
    <w:rsid w:val="00533D8B"/>
    <w:rsid w:val="005343ED"/>
    <w:rsid w:val="00534580"/>
    <w:rsid w:val="005345C7"/>
    <w:rsid w:val="005351E6"/>
    <w:rsid w:val="005353B9"/>
    <w:rsid w:val="00535795"/>
    <w:rsid w:val="0053598D"/>
    <w:rsid w:val="00536F3D"/>
    <w:rsid w:val="005370B7"/>
    <w:rsid w:val="00537390"/>
    <w:rsid w:val="005373B3"/>
    <w:rsid w:val="005374EF"/>
    <w:rsid w:val="00537973"/>
    <w:rsid w:val="00537BAF"/>
    <w:rsid w:val="00537F4C"/>
    <w:rsid w:val="00540061"/>
    <w:rsid w:val="00540545"/>
    <w:rsid w:val="0054065E"/>
    <w:rsid w:val="0054077E"/>
    <w:rsid w:val="00540CA1"/>
    <w:rsid w:val="005410CF"/>
    <w:rsid w:val="005413F5"/>
    <w:rsid w:val="005415E4"/>
    <w:rsid w:val="00541A43"/>
    <w:rsid w:val="00541D73"/>
    <w:rsid w:val="005422CD"/>
    <w:rsid w:val="005423D3"/>
    <w:rsid w:val="005429ED"/>
    <w:rsid w:val="00543182"/>
    <w:rsid w:val="005432F4"/>
    <w:rsid w:val="00543767"/>
    <w:rsid w:val="005446C0"/>
    <w:rsid w:val="00544BC1"/>
    <w:rsid w:val="00545552"/>
    <w:rsid w:val="00545D5F"/>
    <w:rsid w:val="00546481"/>
    <w:rsid w:val="0054693F"/>
    <w:rsid w:val="00546A5E"/>
    <w:rsid w:val="00546D77"/>
    <w:rsid w:val="005475DC"/>
    <w:rsid w:val="0054771B"/>
    <w:rsid w:val="00547BE6"/>
    <w:rsid w:val="00547C2C"/>
    <w:rsid w:val="00547D86"/>
    <w:rsid w:val="00547EA8"/>
    <w:rsid w:val="005504AE"/>
    <w:rsid w:val="00550697"/>
    <w:rsid w:val="00550E01"/>
    <w:rsid w:val="00550F9A"/>
    <w:rsid w:val="0055102A"/>
    <w:rsid w:val="0055137D"/>
    <w:rsid w:val="00552202"/>
    <w:rsid w:val="005528DE"/>
    <w:rsid w:val="00552A71"/>
    <w:rsid w:val="00552ADD"/>
    <w:rsid w:val="00552B61"/>
    <w:rsid w:val="00552CE5"/>
    <w:rsid w:val="00552D80"/>
    <w:rsid w:val="00553204"/>
    <w:rsid w:val="00553C44"/>
    <w:rsid w:val="005545DB"/>
    <w:rsid w:val="00554ACD"/>
    <w:rsid w:val="00555590"/>
    <w:rsid w:val="00555A80"/>
    <w:rsid w:val="00555AAA"/>
    <w:rsid w:val="00555B4E"/>
    <w:rsid w:val="00555D9E"/>
    <w:rsid w:val="00556176"/>
    <w:rsid w:val="005562B3"/>
    <w:rsid w:val="00556306"/>
    <w:rsid w:val="0055634F"/>
    <w:rsid w:val="00556463"/>
    <w:rsid w:val="00556F9E"/>
    <w:rsid w:val="00557432"/>
    <w:rsid w:val="0055770C"/>
    <w:rsid w:val="005579FF"/>
    <w:rsid w:val="00557CDA"/>
    <w:rsid w:val="00557E15"/>
    <w:rsid w:val="00560382"/>
    <w:rsid w:val="005603D9"/>
    <w:rsid w:val="00560540"/>
    <w:rsid w:val="00560681"/>
    <w:rsid w:val="00560778"/>
    <w:rsid w:val="005607DC"/>
    <w:rsid w:val="00560B7B"/>
    <w:rsid w:val="00560CB3"/>
    <w:rsid w:val="0056170F"/>
    <w:rsid w:val="00561944"/>
    <w:rsid w:val="005620BB"/>
    <w:rsid w:val="00562269"/>
    <w:rsid w:val="00562332"/>
    <w:rsid w:val="005625C7"/>
    <w:rsid w:val="00562C28"/>
    <w:rsid w:val="00562E4E"/>
    <w:rsid w:val="00562E8A"/>
    <w:rsid w:val="00564081"/>
    <w:rsid w:val="005647C8"/>
    <w:rsid w:val="005647E8"/>
    <w:rsid w:val="00564B3F"/>
    <w:rsid w:val="00564D2E"/>
    <w:rsid w:val="00564D46"/>
    <w:rsid w:val="0056508C"/>
    <w:rsid w:val="005659DF"/>
    <w:rsid w:val="0056615D"/>
    <w:rsid w:val="005666CD"/>
    <w:rsid w:val="0056680A"/>
    <w:rsid w:val="00566C62"/>
    <w:rsid w:val="00567443"/>
    <w:rsid w:val="00567B0A"/>
    <w:rsid w:val="00567FB3"/>
    <w:rsid w:val="005701DF"/>
    <w:rsid w:val="00570428"/>
    <w:rsid w:val="005709B2"/>
    <w:rsid w:val="005712BC"/>
    <w:rsid w:val="005713D9"/>
    <w:rsid w:val="005715CB"/>
    <w:rsid w:val="0057174C"/>
    <w:rsid w:val="00571D3F"/>
    <w:rsid w:val="00571D92"/>
    <w:rsid w:val="00571DF1"/>
    <w:rsid w:val="005721FD"/>
    <w:rsid w:val="005725F3"/>
    <w:rsid w:val="00572C28"/>
    <w:rsid w:val="00572C42"/>
    <w:rsid w:val="0057397B"/>
    <w:rsid w:val="00573AEE"/>
    <w:rsid w:val="00574280"/>
    <w:rsid w:val="00574842"/>
    <w:rsid w:val="00574A2C"/>
    <w:rsid w:val="0057509B"/>
    <w:rsid w:val="00575107"/>
    <w:rsid w:val="0057531B"/>
    <w:rsid w:val="00575660"/>
    <w:rsid w:val="00575BDA"/>
    <w:rsid w:val="00576026"/>
    <w:rsid w:val="005763D6"/>
    <w:rsid w:val="005764BB"/>
    <w:rsid w:val="00576655"/>
    <w:rsid w:val="005769AD"/>
    <w:rsid w:val="005772D7"/>
    <w:rsid w:val="005778D1"/>
    <w:rsid w:val="0058006D"/>
    <w:rsid w:val="00580114"/>
    <w:rsid w:val="0058048E"/>
    <w:rsid w:val="00580625"/>
    <w:rsid w:val="00581882"/>
    <w:rsid w:val="00581CF8"/>
    <w:rsid w:val="0058284F"/>
    <w:rsid w:val="00582F91"/>
    <w:rsid w:val="00584523"/>
    <w:rsid w:val="00584642"/>
    <w:rsid w:val="00584868"/>
    <w:rsid w:val="00584FB9"/>
    <w:rsid w:val="00585232"/>
    <w:rsid w:val="0058553F"/>
    <w:rsid w:val="00585547"/>
    <w:rsid w:val="00585A83"/>
    <w:rsid w:val="00585AA4"/>
    <w:rsid w:val="00585C1B"/>
    <w:rsid w:val="0058615B"/>
    <w:rsid w:val="00586267"/>
    <w:rsid w:val="0058656C"/>
    <w:rsid w:val="00586778"/>
    <w:rsid w:val="00586BCA"/>
    <w:rsid w:val="005872E8"/>
    <w:rsid w:val="00587494"/>
    <w:rsid w:val="00587812"/>
    <w:rsid w:val="00587E70"/>
    <w:rsid w:val="00587FB2"/>
    <w:rsid w:val="00587FC4"/>
    <w:rsid w:val="00590497"/>
    <w:rsid w:val="005906CB"/>
    <w:rsid w:val="005906EE"/>
    <w:rsid w:val="0059070A"/>
    <w:rsid w:val="005907F2"/>
    <w:rsid w:val="00590A13"/>
    <w:rsid w:val="00590AD0"/>
    <w:rsid w:val="0059138A"/>
    <w:rsid w:val="00592338"/>
    <w:rsid w:val="00592814"/>
    <w:rsid w:val="00593254"/>
    <w:rsid w:val="00593F71"/>
    <w:rsid w:val="0059427E"/>
    <w:rsid w:val="00594970"/>
    <w:rsid w:val="00594D31"/>
    <w:rsid w:val="00594E44"/>
    <w:rsid w:val="005950D2"/>
    <w:rsid w:val="00595489"/>
    <w:rsid w:val="005954A6"/>
    <w:rsid w:val="00595914"/>
    <w:rsid w:val="00595A90"/>
    <w:rsid w:val="00595F0E"/>
    <w:rsid w:val="005962F8"/>
    <w:rsid w:val="00596501"/>
    <w:rsid w:val="005965F7"/>
    <w:rsid w:val="005968B7"/>
    <w:rsid w:val="00596D44"/>
    <w:rsid w:val="005975C7"/>
    <w:rsid w:val="00597957"/>
    <w:rsid w:val="00597C8C"/>
    <w:rsid w:val="00597E10"/>
    <w:rsid w:val="005A076B"/>
    <w:rsid w:val="005A0AF5"/>
    <w:rsid w:val="005A0BB5"/>
    <w:rsid w:val="005A0C2E"/>
    <w:rsid w:val="005A0C79"/>
    <w:rsid w:val="005A0E75"/>
    <w:rsid w:val="005A10D7"/>
    <w:rsid w:val="005A17E9"/>
    <w:rsid w:val="005A1837"/>
    <w:rsid w:val="005A190D"/>
    <w:rsid w:val="005A1AB2"/>
    <w:rsid w:val="005A1BF1"/>
    <w:rsid w:val="005A212A"/>
    <w:rsid w:val="005A2138"/>
    <w:rsid w:val="005A26E2"/>
    <w:rsid w:val="005A2BE9"/>
    <w:rsid w:val="005A2D9C"/>
    <w:rsid w:val="005A2E3E"/>
    <w:rsid w:val="005A35D5"/>
    <w:rsid w:val="005A3C56"/>
    <w:rsid w:val="005A41AF"/>
    <w:rsid w:val="005A41C3"/>
    <w:rsid w:val="005A4F3F"/>
    <w:rsid w:val="005A5354"/>
    <w:rsid w:val="005A5CB8"/>
    <w:rsid w:val="005A5D82"/>
    <w:rsid w:val="005A5D95"/>
    <w:rsid w:val="005A6079"/>
    <w:rsid w:val="005A6113"/>
    <w:rsid w:val="005A679B"/>
    <w:rsid w:val="005A6A83"/>
    <w:rsid w:val="005A6B85"/>
    <w:rsid w:val="005A6CF3"/>
    <w:rsid w:val="005A7204"/>
    <w:rsid w:val="005A785D"/>
    <w:rsid w:val="005A797B"/>
    <w:rsid w:val="005B0903"/>
    <w:rsid w:val="005B0E32"/>
    <w:rsid w:val="005B164D"/>
    <w:rsid w:val="005B168D"/>
    <w:rsid w:val="005B184B"/>
    <w:rsid w:val="005B1D71"/>
    <w:rsid w:val="005B1DFC"/>
    <w:rsid w:val="005B1E30"/>
    <w:rsid w:val="005B1EB7"/>
    <w:rsid w:val="005B2116"/>
    <w:rsid w:val="005B2339"/>
    <w:rsid w:val="005B2360"/>
    <w:rsid w:val="005B2730"/>
    <w:rsid w:val="005B2A24"/>
    <w:rsid w:val="005B2A43"/>
    <w:rsid w:val="005B2EE1"/>
    <w:rsid w:val="005B356C"/>
    <w:rsid w:val="005B36E2"/>
    <w:rsid w:val="005B3C26"/>
    <w:rsid w:val="005B3DB9"/>
    <w:rsid w:val="005B3EDD"/>
    <w:rsid w:val="005B433D"/>
    <w:rsid w:val="005B4728"/>
    <w:rsid w:val="005B4D65"/>
    <w:rsid w:val="005B4FB3"/>
    <w:rsid w:val="005B5022"/>
    <w:rsid w:val="005B54CA"/>
    <w:rsid w:val="005B613C"/>
    <w:rsid w:val="005B6431"/>
    <w:rsid w:val="005B6525"/>
    <w:rsid w:val="005B69EA"/>
    <w:rsid w:val="005B6B75"/>
    <w:rsid w:val="005B7222"/>
    <w:rsid w:val="005B7D79"/>
    <w:rsid w:val="005C086F"/>
    <w:rsid w:val="005C13B4"/>
    <w:rsid w:val="005C17C8"/>
    <w:rsid w:val="005C1A11"/>
    <w:rsid w:val="005C1C28"/>
    <w:rsid w:val="005C1C5D"/>
    <w:rsid w:val="005C1E89"/>
    <w:rsid w:val="005C22C0"/>
    <w:rsid w:val="005C2497"/>
    <w:rsid w:val="005C2C6A"/>
    <w:rsid w:val="005C2D43"/>
    <w:rsid w:val="005C3338"/>
    <w:rsid w:val="005C3487"/>
    <w:rsid w:val="005C37B1"/>
    <w:rsid w:val="005C3BCF"/>
    <w:rsid w:val="005C3DB1"/>
    <w:rsid w:val="005C4260"/>
    <w:rsid w:val="005C4710"/>
    <w:rsid w:val="005C48F4"/>
    <w:rsid w:val="005C4B19"/>
    <w:rsid w:val="005C4E1C"/>
    <w:rsid w:val="005C503A"/>
    <w:rsid w:val="005C54D2"/>
    <w:rsid w:val="005C5B76"/>
    <w:rsid w:val="005C5C12"/>
    <w:rsid w:val="005C5CAC"/>
    <w:rsid w:val="005C5FA8"/>
    <w:rsid w:val="005C6148"/>
    <w:rsid w:val="005C6186"/>
    <w:rsid w:val="005C632C"/>
    <w:rsid w:val="005C6388"/>
    <w:rsid w:val="005C6918"/>
    <w:rsid w:val="005C6EF0"/>
    <w:rsid w:val="005C7030"/>
    <w:rsid w:val="005C795B"/>
    <w:rsid w:val="005C79E3"/>
    <w:rsid w:val="005D0208"/>
    <w:rsid w:val="005D0348"/>
    <w:rsid w:val="005D0744"/>
    <w:rsid w:val="005D07F3"/>
    <w:rsid w:val="005D0E4D"/>
    <w:rsid w:val="005D0F8E"/>
    <w:rsid w:val="005D1DAF"/>
    <w:rsid w:val="005D20C1"/>
    <w:rsid w:val="005D25DA"/>
    <w:rsid w:val="005D261D"/>
    <w:rsid w:val="005D2820"/>
    <w:rsid w:val="005D2963"/>
    <w:rsid w:val="005D2FC9"/>
    <w:rsid w:val="005D304D"/>
    <w:rsid w:val="005D3098"/>
    <w:rsid w:val="005D33CE"/>
    <w:rsid w:val="005D3528"/>
    <w:rsid w:val="005D389F"/>
    <w:rsid w:val="005D38CE"/>
    <w:rsid w:val="005D3970"/>
    <w:rsid w:val="005D3C78"/>
    <w:rsid w:val="005D3C7F"/>
    <w:rsid w:val="005D418E"/>
    <w:rsid w:val="005D433A"/>
    <w:rsid w:val="005D4545"/>
    <w:rsid w:val="005D461A"/>
    <w:rsid w:val="005D5563"/>
    <w:rsid w:val="005D5A84"/>
    <w:rsid w:val="005D642D"/>
    <w:rsid w:val="005D6AC6"/>
    <w:rsid w:val="005D6BDA"/>
    <w:rsid w:val="005D6E01"/>
    <w:rsid w:val="005D7188"/>
    <w:rsid w:val="005D771E"/>
    <w:rsid w:val="005D77DD"/>
    <w:rsid w:val="005D7D8F"/>
    <w:rsid w:val="005E0232"/>
    <w:rsid w:val="005E035E"/>
    <w:rsid w:val="005E0885"/>
    <w:rsid w:val="005E0DD2"/>
    <w:rsid w:val="005E1042"/>
    <w:rsid w:val="005E123A"/>
    <w:rsid w:val="005E1860"/>
    <w:rsid w:val="005E187B"/>
    <w:rsid w:val="005E1A3A"/>
    <w:rsid w:val="005E1AB8"/>
    <w:rsid w:val="005E1D5C"/>
    <w:rsid w:val="005E1D9E"/>
    <w:rsid w:val="005E2303"/>
    <w:rsid w:val="005E276F"/>
    <w:rsid w:val="005E2BE8"/>
    <w:rsid w:val="005E30BE"/>
    <w:rsid w:val="005E35DA"/>
    <w:rsid w:val="005E38A8"/>
    <w:rsid w:val="005E38CA"/>
    <w:rsid w:val="005E400E"/>
    <w:rsid w:val="005E419B"/>
    <w:rsid w:val="005E503A"/>
    <w:rsid w:val="005E507B"/>
    <w:rsid w:val="005E514B"/>
    <w:rsid w:val="005E52FF"/>
    <w:rsid w:val="005E5718"/>
    <w:rsid w:val="005E5DF0"/>
    <w:rsid w:val="005E606C"/>
    <w:rsid w:val="005E6E21"/>
    <w:rsid w:val="005E6F00"/>
    <w:rsid w:val="005E723E"/>
    <w:rsid w:val="005E73E2"/>
    <w:rsid w:val="005E7440"/>
    <w:rsid w:val="005E75A6"/>
    <w:rsid w:val="005E774E"/>
    <w:rsid w:val="005E7C67"/>
    <w:rsid w:val="005E7C99"/>
    <w:rsid w:val="005F019A"/>
    <w:rsid w:val="005F0533"/>
    <w:rsid w:val="005F0C73"/>
    <w:rsid w:val="005F17E1"/>
    <w:rsid w:val="005F1B2D"/>
    <w:rsid w:val="005F1D29"/>
    <w:rsid w:val="005F2054"/>
    <w:rsid w:val="005F2428"/>
    <w:rsid w:val="005F27FC"/>
    <w:rsid w:val="005F297F"/>
    <w:rsid w:val="005F2CDC"/>
    <w:rsid w:val="005F3154"/>
    <w:rsid w:val="005F387A"/>
    <w:rsid w:val="005F3AA2"/>
    <w:rsid w:val="005F3BAB"/>
    <w:rsid w:val="005F4783"/>
    <w:rsid w:val="005F4793"/>
    <w:rsid w:val="005F49BB"/>
    <w:rsid w:val="005F4B0F"/>
    <w:rsid w:val="005F50B8"/>
    <w:rsid w:val="005F50F1"/>
    <w:rsid w:val="005F5666"/>
    <w:rsid w:val="005F65D4"/>
    <w:rsid w:val="005F67FC"/>
    <w:rsid w:val="005F6C4A"/>
    <w:rsid w:val="005F6CDB"/>
    <w:rsid w:val="005F6DBB"/>
    <w:rsid w:val="005F6E9C"/>
    <w:rsid w:val="005F75E7"/>
    <w:rsid w:val="005F7663"/>
    <w:rsid w:val="005F7C4E"/>
    <w:rsid w:val="00600049"/>
    <w:rsid w:val="006001ED"/>
    <w:rsid w:val="006003B0"/>
    <w:rsid w:val="00600B2C"/>
    <w:rsid w:val="00600D97"/>
    <w:rsid w:val="0060102A"/>
    <w:rsid w:val="0060135C"/>
    <w:rsid w:val="006015DA"/>
    <w:rsid w:val="006017BF"/>
    <w:rsid w:val="006017DD"/>
    <w:rsid w:val="006019F3"/>
    <w:rsid w:val="0060209C"/>
    <w:rsid w:val="006026D8"/>
    <w:rsid w:val="00602D46"/>
    <w:rsid w:val="006036C6"/>
    <w:rsid w:val="00603DC0"/>
    <w:rsid w:val="00603EB3"/>
    <w:rsid w:val="00603F82"/>
    <w:rsid w:val="006041FD"/>
    <w:rsid w:val="006044D7"/>
    <w:rsid w:val="00604520"/>
    <w:rsid w:val="00605168"/>
    <w:rsid w:val="00605731"/>
    <w:rsid w:val="00605848"/>
    <w:rsid w:val="00605A91"/>
    <w:rsid w:val="00605AB1"/>
    <w:rsid w:val="00606136"/>
    <w:rsid w:val="006062AC"/>
    <w:rsid w:val="0060636C"/>
    <w:rsid w:val="00606D55"/>
    <w:rsid w:val="00610179"/>
    <w:rsid w:val="006103F2"/>
    <w:rsid w:val="006104B3"/>
    <w:rsid w:val="006107E9"/>
    <w:rsid w:val="0061083F"/>
    <w:rsid w:val="00610E75"/>
    <w:rsid w:val="00611327"/>
    <w:rsid w:val="00611470"/>
    <w:rsid w:val="00611846"/>
    <w:rsid w:val="00611B80"/>
    <w:rsid w:val="00611CA4"/>
    <w:rsid w:val="00611F1E"/>
    <w:rsid w:val="00612219"/>
    <w:rsid w:val="00612809"/>
    <w:rsid w:val="00612A39"/>
    <w:rsid w:val="00612D8F"/>
    <w:rsid w:val="00612E09"/>
    <w:rsid w:val="00612E5A"/>
    <w:rsid w:val="00612EC9"/>
    <w:rsid w:val="0061350E"/>
    <w:rsid w:val="0061371D"/>
    <w:rsid w:val="00613827"/>
    <w:rsid w:val="0061405B"/>
    <w:rsid w:val="006141BA"/>
    <w:rsid w:val="006142AF"/>
    <w:rsid w:val="00614633"/>
    <w:rsid w:val="00614955"/>
    <w:rsid w:val="00614BE1"/>
    <w:rsid w:val="00614EA5"/>
    <w:rsid w:val="00615755"/>
    <w:rsid w:val="00615870"/>
    <w:rsid w:val="00616386"/>
    <w:rsid w:val="00616678"/>
    <w:rsid w:val="006167C0"/>
    <w:rsid w:val="00616B27"/>
    <w:rsid w:val="00616F18"/>
    <w:rsid w:val="006170FA"/>
    <w:rsid w:val="00617476"/>
    <w:rsid w:val="006178D1"/>
    <w:rsid w:val="006204D0"/>
    <w:rsid w:val="00620D9E"/>
    <w:rsid w:val="00621324"/>
    <w:rsid w:val="006213B8"/>
    <w:rsid w:val="00622420"/>
    <w:rsid w:val="00622675"/>
    <w:rsid w:val="00622747"/>
    <w:rsid w:val="00622B15"/>
    <w:rsid w:val="00622D5E"/>
    <w:rsid w:val="00622D6C"/>
    <w:rsid w:val="00622F83"/>
    <w:rsid w:val="00623195"/>
    <w:rsid w:val="006232D5"/>
    <w:rsid w:val="0062392A"/>
    <w:rsid w:val="00624453"/>
    <w:rsid w:val="00624780"/>
    <w:rsid w:val="006247AF"/>
    <w:rsid w:val="00624BB6"/>
    <w:rsid w:val="006251BF"/>
    <w:rsid w:val="00625352"/>
    <w:rsid w:val="0062554B"/>
    <w:rsid w:val="00625550"/>
    <w:rsid w:val="006255CE"/>
    <w:rsid w:val="00625914"/>
    <w:rsid w:val="0062597F"/>
    <w:rsid w:val="00625CBF"/>
    <w:rsid w:val="00626433"/>
    <w:rsid w:val="00626BFA"/>
    <w:rsid w:val="00626C05"/>
    <w:rsid w:val="00626C34"/>
    <w:rsid w:val="00627014"/>
    <w:rsid w:val="006270B3"/>
    <w:rsid w:val="00627384"/>
    <w:rsid w:val="0062750F"/>
    <w:rsid w:val="006276E1"/>
    <w:rsid w:val="00627705"/>
    <w:rsid w:val="006278CD"/>
    <w:rsid w:val="00630C06"/>
    <w:rsid w:val="006315AB"/>
    <w:rsid w:val="00631680"/>
    <w:rsid w:val="0063193C"/>
    <w:rsid w:val="00631BC8"/>
    <w:rsid w:val="00631C5C"/>
    <w:rsid w:val="00631FDF"/>
    <w:rsid w:val="0063202E"/>
    <w:rsid w:val="006320FC"/>
    <w:rsid w:val="006324D6"/>
    <w:rsid w:val="006329B2"/>
    <w:rsid w:val="00632A94"/>
    <w:rsid w:val="00632ADA"/>
    <w:rsid w:val="00632B7E"/>
    <w:rsid w:val="00632DDE"/>
    <w:rsid w:val="00632ECD"/>
    <w:rsid w:val="0063312F"/>
    <w:rsid w:val="00633272"/>
    <w:rsid w:val="0063454C"/>
    <w:rsid w:val="006347FB"/>
    <w:rsid w:val="00634EFA"/>
    <w:rsid w:val="00635246"/>
    <w:rsid w:val="006353EA"/>
    <w:rsid w:val="006357A5"/>
    <w:rsid w:val="0063582C"/>
    <w:rsid w:val="00635853"/>
    <w:rsid w:val="006360CC"/>
    <w:rsid w:val="006360FE"/>
    <w:rsid w:val="00636253"/>
    <w:rsid w:val="0063628C"/>
    <w:rsid w:val="00636367"/>
    <w:rsid w:val="00636540"/>
    <w:rsid w:val="00636632"/>
    <w:rsid w:val="006369E3"/>
    <w:rsid w:val="00636B72"/>
    <w:rsid w:val="00636B8C"/>
    <w:rsid w:val="00636E26"/>
    <w:rsid w:val="006370C3"/>
    <w:rsid w:val="00637422"/>
    <w:rsid w:val="0063743C"/>
    <w:rsid w:val="0063749C"/>
    <w:rsid w:val="00637605"/>
    <w:rsid w:val="0063765E"/>
    <w:rsid w:val="0064024D"/>
    <w:rsid w:val="0064033F"/>
    <w:rsid w:val="006403CE"/>
    <w:rsid w:val="00640580"/>
    <w:rsid w:val="006407DE"/>
    <w:rsid w:val="006408FA"/>
    <w:rsid w:val="0064107C"/>
    <w:rsid w:val="006415CC"/>
    <w:rsid w:val="00641DDB"/>
    <w:rsid w:val="00641E50"/>
    <w:rsid w:val="006420C9"/>
    <w:rsid w:val="0064253E"/>
    <w:rsid w:val="00642B7D"/>
    <w:rsid w:val="00642CDC"/>
    <w:rsid w:val="00642D34"/>
    <w:rsid w:val="006435EB"/>
    <w:rsid w:val="00643AE0"/>
    <w:rsid w:val="00643FB9"/>
    <w:rsid w:val="00644488"/>
    <w:rsid w:val="006452D3"/>
    <w:rsid w:val="006452EA"/>
    <w:rsid w:val="00645AA4"/>
    <w:rsid w:val="006462C2"/>
    <w:rsid w:val="006463FF"/>
    <w:rsid w:val="00646625"/>
    <w:rsid w:val="00646862"/>
    <w:rsid w:val="006470E3"/>
    <w:rsid w:val="006472DE"/>
    <w:rsid w:val="006474D8"/>
    <w:rsid w:val="00647539"/>
    <w:rsid w:val="006477EE"/>
    <w:rsid w:val="00647BDE"/>
    <w:rsid w:val="00647E03"/>
    <w:rsid w:val="00647E85"/>
    <w:rsid w:val="00647EAF"/>
    <w:rsid w:val="0065023A"/>
    <w:rsid w:val="00650646"/>
    <w:rsid w:val="006508DA"/>
    <w:rsid w:val="006509A7"/>
    <w:rsid w:val="00650B47"/>
    <w:rsid w:val="00650BA8"/>
    <w:rsid w:val="006515A8"/>
    <w:rsid w:val="006515C7"/>
    <w:rsid w:val="0065183A"/>
    <w:rsid w:val="00652AF6"/>
    <w:rsid w:val="00652B3D"/>
    <w:rsid w:val="00652CA3"/>
    <w:rsid w:val="00652D63"/>
    <w:rsid w:val="00652E6C"/>
    <w:rsid w:val="006530F6"/>
    <w:rsid w:val="00653801"/>
    <w:rsid w:val="00653DD4"/>
    <w:rsid w:val="00653EB4"/>
    <w:rsid w:val="006547CE"/>
    <w:rsid w:val="00654AA9"/>
    <w:rsid w:val="00655347"/>
    <w:rsid w:val="00655A2A"/>
    <w:rsid w:val="00655B1C"/>
    <w:rsid w:val="00655E3C"/>
    <w:rsid w:val="00655E9C"/>
    <w:rsid w:val="00656032"/>
    <w:rsid w:val="006562E3"/>
    <w:rsid w:val="00656597"/>
    <w:rsid w:val="00656CC1"/>
    <w:rsid w:val="00657A27"/>
    <w:rsid w:val="00657C80"/>
    <w:rsid w:val="00657E71"/>
    <w:rsid w:val="006605DC"/>
    <w:rsid w:val="00660E14"/>
    <w:rsid w:val="006611F2"/>
    <w:rsid w:val="00661261"/>
    <w:rsid w:val="00661276"/>
    <w:rsid w:val="00661466"/>
    <w:rsid w:val="006616C6"/>
    <w:rsid w:val="0066175E"/>
    <w:rsid w:val="006617D5"/>
    <w:rsid w:val="006621C3"/>
    <w:rsid w:val="00662C0D"/>
    <w:rsid w:val="0066303D"/>
    <w:rsid w:val="006632E3"/>
    <w:rsid w:val="006633DD"/>
    <w:rsid w:val="006637D4"/>
    <w:rsid w:val="00663A68"/>
    <w:rsid w:val="00663DAD"/>
    <w:rsid w:val="00663E33"/>
    <w:rsid w:val="006642C9"/>
    <w:rsid w:val="00664830"/>
    <w:rsid w:val="00664A89"/>
    <w:rsid w:val="00664CB8"/>
    <w:rsid w:val="00665199"/>
    <w:rsid w:val="00665B81"/>
    <w:rsid w:val="00665C1D"/>
    <w:rsid w:val="00665E0D"/>
    <w:rsid w:val="006660DD"/>
    <w:rsid w:val="006661D2"/>
    <w:rsid w:val="00666263"/>
    <w:rsid w:val="00666A31"/>
    <w:rsid w:val="00667AC4"/>
    <w:rsid w:val="00667CBB"/>
    <w:rsid w:val="00667E21"/>
    <w:rsid w:val="00667EDB"/>
    <w:rsid w:val="00670785"/>
    <w:rsid w:val="006708BC"/>
    <w:rsid w:val="0067113E"/>
    <w:rsid w:val="0067137B"/>
    <w:rsid w:val="006713C8"/>
    <w:rsid w:val="00671735"/>
    <w:rsid w:val="00671E15"/>
    <w:rsid w:val="006722C0"/>
    <w:rsid w:val="00672550"/>
    <w:rsid w:val="00673094"/>
    <w:rsid w:val="00673305"/>
    <w:rsid w:val="006738D5"/>
    <w:rsid w:val="00673C1F"/>
    <w:rsid w:val="00673F18"/>
    <w:rsid w:val="00673FCF"/>
    <w:rsid w:val="00674156"/>
    <w:rsid w:val="0067468F"/>
    <w:rsid w:val="006746F4"/>
    <w:rsid w:val="00674715"/>
    <w:rsid w:val="00675007"/>
    <w:rsid w:val="0067567A"/>
    <w:rsid w:val="006758E1"/>
    <w:rsid w:val="00675C95"/>
    <w:rsid w:val="0067604D"/>
    <w:rsid w:val="00676408"/>
    <w:rsid w:val="006765FC"/>
    <w:rsid w:val="0067677B"/>
    <w:rsid w:val="0068026F"/>
    <w:rsid w:val="00680CA6"/>
    <w:rsid w:val="00681120"/>
    <w:rsid w:val="00681259"/>
    <w:rsid w:val="006816E3"/>
    <w:rsid w:val="00681872"/>
    <w:rsid w:val="0068196C"/>
    <w:rsid w:val="00682401"/>
    <w:rsid w:val="006825AB"/>
    <w:rsid w:val="00682B8A"/>
    <w:rsid w:val="00682E26"/>
    <w:rsid w:val="00683015"/>
    <w:rsid w:val="006834E9"/>
    <w:rsid w:val="00683CCD"/>
    <w:rsid w:val="00683DC6"/>
    <w:rsid w:val="006844B5"/>
    <w:rsid w:val="00684537"/>
    <w:rsid w:val="006848FE"/>
    <w:rsid w:val="00684B43"/>
    <w:rsid w:val="00684B92"/>
    <w:rsid w:val="0068520F"/>
    <w:rsid w:val="00685505"/>
    <w:rsid w:val="0068579F"/>
    <w:rsid w:val="00685A9C"/>
    <w:rsid w:val="00685E47"/>
    <w:rsid w:val="0068616A"/>
    <w:rsid w:val="0068644D"/>
    <w:rsid w:val="00686659"/>
    <w:rsid w:val="00686C68"/>
    <w:rsid w:val="00687012"/>
    <w:rsid w:val="00687309"/>
    <w:rsid w:val="00687472"/>
    <w:rsid w:val="006877E8"/>
    <w:rsid w:val="00687970"/>
    <w:rsid w:val="006902C4"/>
    <w:rsid w:val="006903F3"/>
    <w:rsid w:val="00690848"/>
    <w:rsid w:val="006909C2"/>
    <w:rsid w:val="00690C37"/>
    <w:rsid w:val="00691655"/>
    <w:rsid w:val="006922E4"/>
    <w:rsid w:val="006925CC"/>
    <w:rsid w:val="00692665"/>
    <w:rsid w:val="006927D2"/>
    <w:rsid w:val="006927F8"/>
    <w:rsid w:val="0069284C"/>
    <w:rsid w:val="0069287C"/>
    <w:rsid w:val="00692A6B"/>
    <w:rsid w:val="00692C62"/>
    <w:rsid w:val="00692CB7"/>
    <w:rsid w:val="00693C86"/>
    <w:rsid w:val="00693DEE"/>
    <w:rsid w:val="0069423A"/>
    <w:rsid w:val="0069446B"/>
    <w:rsid w:val="00694652"/>
    <w:rsid w:val="00694729"/>
    <w:rsid w:val="00694E9F"/>
    <w:rsid w:val="00694F54"/>
    <w:rsid w:val="0069501C"/>
    <w:rsid w:val="006956AC"/>
    <w:rsid w:val="006957E9"/>
    <w:rsid w:val="0069589D"/>
    <w:rsid w:val="00695E8A"/>
    <w:rsid w:val="00696AEC"/>
    <w:rsid w:val="00696C39"/>
    <w:rsid w:val="0069700D"/>
    <w:rsid w:val="006973FC"/>
    <w:rsid w:val="006976CD"/>
    <w:rsid w:val="006A0045"/>
    <w:rsid w:val="006A01A2"/>
    <w:rsid w:val="006A0572"/>
    <w:rsid w:val="006A0915"/>
    <w:rsid w:val="006A095B"/>
    <w:rsid w:val="006A09C9"/>
    <w:rsid w:val="006A0A38"/>
    <w:rsid w:val="006A0EDF"/>
    <w:rsid w:val="006A1806"/>
    <w:rsid w:val="006A2149"/>
    <w:rsid w:val="006A2209"/>
    <w:rsid w:val="006A2357"/>
    <w:rsid w:val="006A2FF4"/>
    <w:rsid w:val="006A3582"/>
    <w:rsid w:val="006A3E63"/>
    <w:rsid w:val="006A3EE0"/>
    <w:rsid w:val="006A3EE5"/>
    <w:rsid w:val="006A40F8"/>
    <w:rsid w:val="006A43F1"/>
    <w:rsid w:val="006A47D7"/>
    <w:rsid w:val="006A48A2"/>
    <w:rsid w:val="006A4B92"/>
    <w:rsid w:val="006A4D52"/>
    <w:rsid w:val="006A4E47"/>
    <w:rsid w:val="006A4F7A"/>
    <w:rsid w:val="006A56E2"/>
    <w:rsid w:val="006A5934"/>
    <w:rsid w:val="006A5A3D"/>
    <w:rsid w:val="006A5B3C"/>
    <w:rsid w:val="006A61C6"/>
    <w:rsid w:val="006A61F0"/>
    <w:rsid w:val="006A684A"/>
    <w:rsid w:val="006A6872"/>
    <w:rsid w:val="006A68FC"/>
    <w:rsid w:val="006A6BB9"/>
    <w:rsid w:val="006A703B"/>
    <w:rsid w:val="006A715E"/>
    <w:rsid w:val="006A746B"/>
    <w:rsid w:val="006A7609"/>
    <w:rsid w:val="006A795A"/>
    <w:rsid w:val="006A7B91"/>
    <w:rsid w:val="006B0375"/>
    <w:rsid w:val="006B0811"/>
    <w:rsid w:val="006B09E3"/>
    <w:rsid w:val="006B0B6C"/>
    <w:rsid w:val="006B1034"/>
    <w:rsid w:val="006B1679"/>
    <w:rsid w:val="006B172C"/>
    <w:rsid w:val="006B17F1"/>
    <w:rsid w:val="006B1A1D"/>
    <w:rsid w:val="006B23C8"/>
    <w:rsid w:val="006B343B"/>
    <w:rsid w:val="006B34B0"/>
    <w:rsid w:val="006B3878"/>
    <w:rsid w:val="006B3C11"/>
    <w:rsid w:val="006B3D5B"/>
    <w:rsid w:val="006B3F35"/>
    <w:rsid w:val="006B41CD"/>
    <w:rsid w:val="006B4416"/>
    <w:rsid w:val="006B4479"/>
    <w:rsid w:val="006B45E6"/>
    <w:rsid w:val="006B481C"/>
    <w:rsid w:val="006B4D26"/>
    <w:rsid w:val="006B4FDE"/>
    <w:rsid w:val="006B4FE1"/>
    <w:rsid w:val="006B50CF"/>
    <w:rsid w:val="006B565A"/>
    <w:rsid w:val="006B5984"/>
    <w:rsid w:val="006B5DD0"/>
    <w:rsid w:val="006B6034"/>
    <w:rsid w:val="006B680A"/>
    <w:rsid w:val="006B6D0D"/>
    <w:rsid w:val="006B6F72"/>
    <w:rsid w:val="006B75BF"/>
    <w:rsid w:val="006B7664"/>
    <w:rsid w:val="006B76E1"/>
    <w:rsid w:val="006B7811"/>
    <w:rsid w:val="006B78E7"/>
    <w:rsid w:val="006C0454"/>
    <w:rsid w:val="006C072B"/>
    <w:rsid w:val="006C0EE3"/>
    <w:rsid w:val="006C1286"/>
    <w:rsid w:val="006C13A1"/>
    <w:rsid w:val="006C1558"/>
    <w:rsid w:val="006C17BA"/>
    <w:rsid w:val="006C17F3"/>
    <w:rsid w:val="006C1E35"/>
    <w:rsid w:val="006C1FE8"/>
    <w:rsid w:val="006C2241"/>
    <w:rsid w:val="006C2629"/>
    <w:rsid w:val="006C2A02"/>
    <w:rsid w:val="006C35F3"/>
    <w:rsid w:val="006C3971"/>
    <w:rsid w:val="006C4102"/>
    <w:rsid w:val="006C4594"/>
    <w:rsid w:val="006C47F9"/>
    <w:rsid w:val="006C495D"/>
    <w:rsid w:val="006C495F"/>
    <w:rsid w:val="006C4F8B"/>
    <w:rsid w:val="006C5035"/>
    <w:rsid w:val="006C5C98"/>
    <w:rsid w:val="006C5D59"/>
    <w:rsid w:val="006C5F6B"/>
    <w:rsid w:val="006C6614"/>
    <w:rsid w:val="006C66BD"/>
    <w:rsid w:val="006C68EC"/>
    <w:rsid w:val="006C6A8A"/>
    <w:rsid w:val="006C6B16"/>
    <w:rsid w:val="006C6BF6"/>
    <w:rsid w:val="006C6DC1"/>
    <w:rsid w:val="006C6FEB"/>
    <w:rsid w:val="006C7219"/>
    <w:rsid w:val="006C75A3"/>
    <w:rsid w:val="006C76DB"/>
    <w:rsid w:val="006D0312"/>
    <w:rsid w:val="006D0AEF"/>
    <w:rsid w:val="006D0E1D"/>
    <w:rsid w:val="006D0E86"/>
    <w:rsid w:val="006D104D"/>
    <w:rsid w:val="006D12D7"/>
    <w:rsid w:val="006D17A7"/>
    <w:rsid w:val="006D1A8A"/>
    <w:rsid w:val="006D1BEA"/>
    <w:rsid w:val="006D2156"/>
    <w:rsid w:val="006D2657"/>
    <w:rsid w:val="006D2B0A"/>
    <w:rsid w:val="006D2BA3"/>
    <w:rsid w:val="006D2FAB"/>
    <w:rsid w:val="006D33CA"/>
    <w:rsid w:val="006D3490"/>
    <w:rsid w:val="006D34CB"/>
    <w:rsid w:val="006D388D"/>
    <w:rsid w:val="006D3941"/>
    <w:rsid w:val="006D3F85"/>
    <w:rsid w:val="006D469B"/>
    <w:rsid w:val="006D519C"/>
    <w:rsid w:val="006D563E"/>
    <w:rsid w:val="006D5AB2"/>
    <w:rsid w:val="006D5B9C"/>
    <w:rsid w:val="006D61DE"/>
    <w:rsid w:val="006D6489"/>
    <w:rsid w:val="006D6540"/>
    <w:rsid w:val="006D674F"/>
    <w:rsid w:val="006D691C"/>
    <w:rsid w:val="006D6D60"/>
    <w:rsid w:val="006D709B"/>
    <w:rsid w:val="006D7B71"/>
    <w:rsid w:val="006D7F3C"/>
    <w:rsid w:val="006E0131"/>
    <w:rsid w:val="006E0A9E"/>
    <w:rsid w:val="006E122A"/>
    <w:rsid w:val="006E14CC"/>
    <w:rsid w:val="006E17CF"/>
    <w:rsid w:val="006E1894"/>
    <w:rsid w:val="006E19C6"/>
    <w:rsid w:val="006E1E5E"/>
    <w:rsid w:val="006E2272"/>
    <w:rsid w:val="006E2291"/>
    <w:rsid w:val="006E263B"/>
    <w:rsid w:val="006E286B"/>
    <w:rsid w:val="006E2C8F"/>
    <w:rsid w:val="006E3149"/>
    <w:rsid w:val="006E322B"/>
    <w:rsid w:val="006E3C1C"/>
    <w:rsid w:val="006E43D6"/>
    <w:rsid w:val="006E4B83"/>
    <w:rsid w:val="006E5756"/>
    <w:rsid w:val="006E577C"/>
    <w:rsid w:val="006E5D95"/>
    <w:rsid w:val="006E5E15"/>
    <w:rsid w:val="006E60D3"/>
    <w:rsid w:val="006E629D"/>
    <w:rsid w:val="006E64E1"/>
    <w:rsid w:val="006E658E"/>
    <w:rsid w:val="006E67EC"/>
    <w:rsid w:val="006E6FD5"/>
    <w:rsid w:val="006E7096"/>
    <w:rsid w:val="006E72BD"/>
    <w:rsid w:val="006E73EA"/>
    <w:rsid w:val="006E74FA"/>
    <w:rsid w:val="006E79D5"/>
    <w:rsid w:val="006E7C7A"/>
    <w:rsid w:val="006E7D06"/>
    <w:rsid w:val="006E7D1F"/>
    <w:rsid w:val="006F0543"/>
    <w:rsid w:val="006F06E0"/>
    <w:rsid w:val="006F07B4"/>
    <w:rsid w:val="006F0B06"/>
    <w:rsid w:val="006F1030"/>
    <w:rsid w:val="006F16B5"/>
    <w:rsid w:val="006F1CF3"/>
    <w:rsid w:val="006F1EB5"/>
    <w:rsid w:val="006F2250"/>
    <w:rsid w:val="006F2488"/>
    <w:rsid w:val="006F287B"/>
    <w:rsid w:val="006F29AE"/>
    <w:rsid w:val="006F2B45"/>
    <w:rsid w:val="006F2C12"/>
    <w:rsid w:val="006F30CA"/>
    <w:rsid w:val="006F3115"/>
    <w:rsid w:val="006F316E"/>
    <w:rsid w:val="006F3631"/>
    <w:rsid w:val="006F3A55"/>
    <w:rsid w:val="006F4040"/>
    <w:rsid w:val="006F4524"/>
    <w:rsid w:val="006F4B71"/>
    <w:rsid w:val="006F4C87"/>
    <w:rsid w:val="006F50A4"/>
    <w:rsid w:val="006F57E7"/>
    <w:rsid w:val="006F5AB3"/>
    <w:rsid w:val="006F5B7E"/>
    <w:rsid w:val="006F5C37"/>
    <w:rsid w:val="006F5D90"/>
    <w:rsid w:val="006F5FB3"/>
    <w:rsid w:val="006F61A9"/>
    <w:rsid w:val="006F621D"/>
    <w:rsid w:val="006F641E"/>
    <w:rsid w:val="006F655E"/>
    <w:rsid w:val="006F68D4"/>
    <w:rsid w:val="006F6E43"/>
    <w:rsid w:val="006F6FD0"/>
    <w:rsid w:val="006F7091"/>
    <w:rsid w:val="006F7131"/>
    <w:rsid w:val="006F7407"/>
    <w:rsid w:val="006F745C"/>
    <w:rsid w:val="006F7491"/>
    <w:rsid w:val="006F7866"/>
    <w:rsid w:val="006F7A02"/>
    <w:rsid w:val="006F7BF6"/>
    <w:rsid w:val="006F7DFE"/>
    <w:rsid w:val="006F7E7C"/>
    <w:rsid w:val="0070001F"/>
    <w:rsid w:val="007004C6"/>
    <w:rsid w:val="007004E7"/>
    <w:rsid w:val="00700957"/>
    <w:rsid w:val="00700EC0"/>
    <w:rsid w:val="00700FCD"/>
    <w:rsid w:val="00701683"/>
    <w:rsid w:val="007018F5"/>
    <w:rsid w:val="0070192B"/>
    <w:rsid w:val="00702655"/>
    <w:rsid w:val="00702698"/>
    <w:rsid w:val="00702D2C"/>
    <w:rsid w:val="00702DB5"/>
    <w:rsid w:val="00702E18"/>
    <w:rsid w:val="00703449"/>
    <w:rsid w:val="0070386F"/>
    <w:rsid w:val="00703884"/>
    <w:rsid w:val="00703891"/>
    <w:rsid w:val="00703B1A"/>
    <w:rsid w:val="00703C84"/>
    <w:rsid w:val="0070403C"/>
    <w:rsid w:val="00704073"/>
    <w:rsid w:val="0070421D"/>
    <w:rsid w:val="00704855"/>
    <w:rsid w:val="00704EA7"/>
    <w:rsid w:val="0070505D"/>
    <w:rsid w:val="0070519B"/>
    <w:rsid w:val="00705288"/>
    <w:rsid w:val="0070530B"/>
    <w:rsid w:val="007053BC"/>
    <w:rsid w:val="00705418"/>
    <w:rsid w:val="007057AD"/>
    <w:rsid w:val="0070597F"/>
    <w:rsid w:val="00705D34"/>
    <w:rsid w:val="00706B06"/>
    <w:rsid w:val="00706BF4"/>
    <w:rsid w:val="007070C2"/>
    <w:rsid w:val="00707822"/>
    <w:rsid w:val="00707863"/>
    <w:rsid w:val="00710ED4"/>
    <w:rsid w:val="00710EE8"/>
    <w:rsid w:val="0071119D"/>
    <w:rsid w:val="0071152A"/>
    <w:rsid w:val="007120D6"/>
    <w:rsid w:val="0071211E"/>
    <w:rsid w:val="007121A5"/>
    <w:rsid w:val="0071254A"/>
    <w:rsid w:val="00712984"/>
    <w:rsid w:val="00712C68"/>
    <w:rsid w:val="00712D78"/>
    <w:rsid w:val="0071306D"/>
    <w:rsid w:val="0071337B"/>
    <w:rsid w:val="0071368D"/>
    <w:rsid w:val="0071368F"/>
    <w:rsid w:val="00713A70"/>
    <w:rsid w:val="00713B02"/>
    <w:rsid w:val="0071430F"/>
    <w:rsid w:val="007145C5"/>
    <w:rsid w:val="00714FD9"/>
    <w:rsid w:val="00715146"/>
    <w:rsid w:val="007155BB"/>
    <w:rsid w:val="00715B3B"/>
    <w:rsid w:val="00715BF8"/>
    <w:rsid w:val="00715DB1"/>
    <w:rsid w:val="007166C1"/>
    <w:rsid w:val="00716C08"/>
    <w:rsid w:val="00717162"/>
    <w:rsid w:val="007172AC"/>
    <w:rsid w:val="00717AC5"/>
    <w:rsid w:val="00717AD5"/>
    <w:rsid w:val="00717F78"/>
    <w:rsid w:val="0072002F"/>
    <w:rsid w:val="00720040"/>
    <w:rsid w:val="00720970"/>
    <w:rsid w:val="00720A79"/>
    <w:rsid w:val="00720BD1"/>
    <w:rsid w:val="007214C8"/>
    <w:rsid w:val="007227F3"/>
    <w:rsid w:val="00722891"/>
    <w:rsid w:val="00722D0B"/>
    <w:rsid w:val="007232B9"/>
    <w:rsid w:val="007233BF"/>
    <w:rsid w:val="00723626"/>
    <w:rsid w:val="007237C0"/>
    <w:rsid w:val="00723B9B"/>
    <w:rsid w:val="00724878"/>
    <w:rsid w:val="00724943"/>
    <w:rsid w:val="00724B17"/>
    <w:rsid w:val="00725827"/>
    <w:rsid w:val="00725ABB"/>
    <w:rsid w:val="00725BC2"/>
    <w:rsid w:val="0072614F"/>
    <w:rsid w:val="007264CE"/>
    <w:rsid w:val="00726500"/>
    <w:rsid w:val="007267D5"/>
    <w:rsid w:val="00727225"/>
    <w:rsid w:val="00727300"/>
    <w:rsid w:val="00727A7E"/>
    <w:rsid w:val="00727E35"/>
    <w:rsid w:val="00727EBC"/>
    <w:rsid w:val="007301FF"/>
    <w:rsid w:val="007302EA"/>
    <w:rsid w:val="00730419"/>
    <w:rsid w:val="007306B0"/>
    <w:rsid w:val="0073087E"/>
    <w:rsid w:val="00730883"/>
    <w:rsid w:val="00730CE1"/>
    <w:rsid w:val="00730FCE"/>
    <w:rsid w:val="0073167A"/>
    <w:rsid w:val="0073193E"/>
    <w:rsid w:val="00731977"/>
    <w:rsid w:val="00732063"/>
    <w:rsid w:val="00732187"/>
    <w:rsid w:val="00732483"/>
    <w:rsid w:val="0073248F"/>
    <w:rsid w:val="00732544"/>
    <w:rsid w:val="00732663"/>
    <w:rsid w:val="007326D0"/>
    <w:rsid w:val="007327BE"/>
    <w:rsid w:val="00732A56"/>
    <w:rsid w:val="00732C76"/>
    <w:rsid w:val="00733289"/>
    <w:rsid w:val="00733413"/>
    <w:rsid w:val="0073372B"/>
    <w:rsid w:val="00733A52"/>
    <w:rsid w:val="00733FBF"/>
    <w:rsid w:val="007344CF"/>
    <w:rsid w:val="0073474E"/>
    <w:rsid w:val="00734E46"/>
    <w:rsid w:val="00735C53"/>
    <w:rsid w:val="007368FA"/>
    <w:rsid w:val="00736C5E"/>
    <w:rsid w:val="00736D02"/>
    <w:rsid w:val="00736DF8"/>
    <w:rsid w:val="00737177"/>
    <w:rsid w:val="00737458"/>
    <w:rsid w:val="00740085"/>
    <w:rsid w:val="007403E6"/>
    <w:rsid w:val="007407AD"/>
    <w:rsid w:val="007407BB"/>
    <w:rsid w:val="007407BE"/>
    <w:rsid w:val="00740814"/>
    <w:rsid w:val="00740FB3"/>
    <w:rsid w:val="0074135F"/>
    <w:rsid w:val="0074137E"/>
    <w:rsid w:val="00741DC1"/>
    <w:rsid w:val="00741F48"/>
    <w:rsid w:val="00742076"/>
    <w:rsid w:val="00742872"/>
    <w:rsid w:val="00742FD2"/>
    <w:rsid w:val="007436F3"/>
    <w:rsid w:val="00743C98"/>
    <w:rsid w:val="0074472C"/>
    <w:rsid w:val="0074474D"/>
    <w:rsid w:val="00744F53"/>
    <w:rsid w:val="00744FBA"/>
    <w:rsid w:val="00745356"/>
    <w:rsid w:val="00745B84"/>
    <w:rsid w:val="00745BB9"/>
    <w:rsid w:val="00746B01"/>
    <w:rsid w:val="00746C0A"/>
    <w:rsid w:val="00746C7E"/>
    <w:rsid w:val="00746CFF"/>
    <w:rsid w:val="00747000"/>
    <w:rsid w:val="00747511"/>
    <w:rsid w:val="0074772C"/>
    <w:rsid w:val="0074787F"/>
    <w:rsid w:val="00747993"/>
    <w:rsid w:val="00747F86"/>
    <w:rsid w:val="007500C1"/>
    <w:rsid w:val="00750808"/>
    <w:rsid w:val="00750A9D"/>
    <w:rsid w:val="00750BB3"/>
    <w:rsid w:val="00750E6B"/>
    <w:rsid w:val="00751180"/>
    <w:rsid w:val="007511FE"/>
    <w:rsid w:val="007514DC"/>
    <w:rsid w:val="0075181B"/>
    <w:rsid w:val="00751A2B"/>
    <w:rsid w:val="00751DFB"/>
    <w:rsid w:val="0075229E"/>
    <w:rsid w:val="00752665"/>
    <w:rsid w:val="00752A94"/>
    <w:rsid w:val="00752B0F"/>
    <w:rsid w:val="00752BD0"/>
    <w:rsid w:val="00753298"/>
    <w:rsid w:val="00753967"/>
    <w:rsid w:val="00753A0F"/>
    <w:rsid w:val="00753A8A"/>
    <w:rsid w:val="00753BAE"/>
    <w:rsid w:val="00753C0B"/>
    <w:rsid w:val="0075403D"/>
    <w:rsid w:val="007543A6"/>
    <w:rsid w:val="007549DF"/>
    <w:rsid w:val="00754AB1"/>
    <w:rsid w:val="00754FD7"/>
    <w:rsid w:val="007550C6"/>
    <w:rsid w:val="0075520A"/>
    <w:rsid w:val="00756155"/>
    <w:rsid w:val="0075691E"/>
    <w:rsid w:val="00757070"/>
    <w:rsid w:val="007575E3"/>
    <w:rsid w:val="00757BDC"/>
    <w:rsid w:val="00757D4A"/>
    <w:rsid w:val="00757ED0"/>
    <w:rsid w:val="00760420"/>
    <w:rsid w:val="00760F5B"/>
    <w:rsid w:val="00761134"/>
    <w:rsid w:val="00761366"/>
    <w:rsid w:val="007613BE"/>
    <w:rsid w:val="00761F94"/>
    <w:rsid w:val="00762043"/>
    <w:rsid w:val="00762103"/>
    <w:rsid w:val="0076231F"/>
    <w:rsid w:val="00763356"/>
    <w:rsid w:val="0076355B"/>
    <w:rsid w:val="0076360B"/>
    <w:rsid w:val="0076368C"/>
    <w:rsid w:val="007636E6"/>
    <w:rsid w:val="00763780"/>
    <w:rsid w:val="00763794"/>
    <w:rsid w:val="00763842"/>
    <w:rsid w:val="00763F11"/>
    <w:rsid w:val="007640AF"/>
    <w:rsid w:val="0076421A"/>
    <w:rsid w:val="00764946"/>
    <w:rsid w:val="007653D5"/>
    <w:rsid w:val="007656D9"/>
    <w:rsid w:val="007657AC"/>
    <w:rsid w:val="00765FC5"/>
    <w:rsid w:val="007667C6"/>
    <w:rsid w:val="00766827"/>
    <w:rsid w:val="00766DA5"/>
    <w:rsid w:val="00766F58"/>
    <w:rsid w:val="00766F84"/>
    <w:rsid w:val="0076724E"/>
    <w:rsid w:val="00767308"/>
    <w:rsid w:val="007673AF"/>
    <w:rsid w:val="007673F5"/>
    <w:rsid w:val="00767798"/>
    <w:rsid w:val="00767EE0"/>
    <w:rsid w:val="007702F2"/>
    <w:rsid w:val="007704B2"/>
    <w:rsid w:val="00770858"/>
    <w:rsid w:val="00770D30"/>
    <w:rsid w:val="007715D7"/>
    <w:rsid w:val="0077176F"/>
    <w:rsid w:val="00771F83"/>
    <w:rsid w:val="00771FEA"/>
    <w:rsid w:val="007720F7"/>
    <w:rsid w:val="0077210F"/>
    <w:rsid w:val="0077242C"/>
    <w:rsid w:val="0077260D"/>
    <w:rsid w:val="00772784"/>
    <w:rsid w:val="007728C5"/>
    <w:rsid w:val="00772D17"/>
    <w:rsid w:val="007738C8"/>
    <w:rsid w:val="0077400E"/>
    <w:rsid w:val="0077401E"/>
    <w:rsid w:val="00774E5C"/>
    <w:rsid w:val="00775151"/>
    <w:rsid w:val="007751A4"/>
    <w:rsid w:val="00775B26"/>
    <w:rsid w:val="00775CB6"/>
    <w:rsid w:val="00775DE4"/>
    <w:rsid w:val="00776012"/>
    <w:rsid w:val="007762F1"/>
    <w:rsid w:val="00776300"/>
    <w:rsid w:val="0077640D"/>
    <w:rsid w:val="007765AE"/>
    <w:rsid w:val="00776CED"/>
    <w:rsid w:val="007773B8"/>
    <w:rsid w:val="007773FE"/>
    <w:rsid w:val="0077788A"/>
    <w:rsid w:val="00777F28"/>
    <w:rsid w:val="00780208"/>
    <w:rsid w:val="00780E70"/>
    <w:rsid w:val="00780EAC"/>
    <w:rsid w:val="00780EB2"/>
    <w:rsid w:val="007819B1"/>
    <w:rsid w:val="007819E9"/>
    <w:rsid w:val="00781C92"/>
    <w:rsid w:val="00781E95"/>
    <w:rsid w:val="00781F95"/>
    <w:rsid w:val="007827AA"/>
    <w:rsid w:val="00782DA9"/>
    <w:rsid w:val="007832C1"/>
    <w:rsid w:val="007837BB"/>
    <w:rsid w:val="00784314"/>
    <w:rsid w:val="007847FD"/>
    <w:rsid w:val="00784966"/>
    <w:rsid w:val="00784A35"/>
    <w:rsid w:val="00784B80"/>
    <w:rsid w:val="007853F8"/>
    <w:rsid w:val="00785611"/>
    <w:rsid w:val="007858EA"/>
    <w:rsid w:val="00785E30"/>
    <w:rsid w:val="007861AC"/>
    <w:rsid w:val="0078765A"/>
    <w:rsid w:val="007879BD"/>
    <w:rsid w:val="00787F7F"/>
    <w:rsid w:val="00790124"/>
    <w:rsid w:val="00790391"/>
    <w:rsid w:val="0079067E"/>
    <w:rsid w:val="007906D7"/>
    <w:rsid w:val="00790736"/>
    <w:rsid w:val="00790950"/>
    <w:rsid w:val="00790A5A"/>
    <w:rsid w:val="00790DCA"/>
    <w:rsid w:val="00790F74"/>
    <w:rsid w:val="00790F97"/>
    <w:rsid w:val="0079103F"/>
    <w:rsid w:val="00791124"/>
    <w:rsid w:val="00791761"/>
    <w:rsid w:val="00791866"/>
    <w:rsid w:val="00791C71"/>
    <w:rsid w:val="00791D4B"/>
    <w:rsid w:val="007927A5"/>
    <w:rsid w:val="00792B5E"/>
    <w:rsid w:val="00792CC7"/>
    <w:rsid w:val="00792D5A"/>
    <w:rsid w:val="00792DE3"/>
    <w:rsid w:val="00792DF5"/>
    <w:rsid w:val="00792E5E"/>
    <w:rsid w:val="00792F0D"/>
    <w:rsid w:val="007932A7"/>
    <w:rsid w:val="007938AE"/>
    <w:rsid w:val="0079442F"/>
    <w:rsid w:val="007944A4"/>
    <w:rsid w:val="007947C2"/>
    <w:rsid w:val="00794963"/>
    <w:rsid w:val="00794D07"/>
    <w:rsid w:val="007951FD"/>
    <w:rsid w:val="0079525E"/>
    <w:rsid w:val="007957FE"/>
    <w:rsid w:val="00795B98"/>
    <w:rsid w:val="00796014"/>
    <w:rsid w:val="007966D8"/>
    <w:rsid w:val="00796B4E"/>
    <w:rsid w:val="00796C8B"/>
    <w:rsid w:val="00796D6C"/>
    <w:rsid w:val="00796EFE"/>
    <w:rsid w:val="00797250"/>
    <w:rsid w:val="00797304"/>
    <w:rsid w:val="00797572"/>
    <w:rsid w:val="00797C63"/>
    <w:rsid w:val="00797C90"/>
    <w:rsid w:val="00797CB2"/>
    <w:rsid w:val="007A0159"/>
    <w:rsid w:val="007A0ABD"/>
    <w:rsid w:val="007A0B9C"/>
    <w:rsid w:val="007A0E4D"/>
    <w:rsid w:val="007A1839"/>
    <w:rsid w:val="007A1EEC"/>
    <w:rsid w:val="007A20B5"/>
    <w:rsid w:val="007A29B8"/>
    <w:rsid w:val="007A3418"/>
    <w:rsid w:val="007A3445"/>
    <w:rsid w:val="007A3599"/>
    <w:rsid w:val="007A40EE"/>
    <w:rsid w:val="007A4290"/>
    <w:rsid w:val="007A454E"/>
    <w:rsid w:val="007A45FF"/>
    <w:rsid w:val="007A52B0"/>
    <w:rsid w:val="007A56CC"/>
    <w:rsid w:val="007A57EC"/>
    <w:rsid w:val="007A5BCB"/>
    <w:rsid w:val="007A5FF7"/>
    <w:rsid w:val="007A636E"/>
    <w:rsid w:val="007A6407"/>
    <w:rsid w:val="007A6529"/>
    <w:rsid w:val="007A6D22"/>
    <w:rsid w:val="007A6D3D"/>
    <w:rsid w:val="007A6E03"/>
    <w:rsid w:val="007A7175"/>
    <w:rsid w:val="007A72F2"/>
    <w:rsid w:val="007A7339"/>
    <w:rsid w:val="007A7541"/>
    <w:rsid w:val="007A77A9"/>
    <w:rsid w:val="007A7C7D"/>
    <w:rsid w:val="007A7F58"/>
    <w:rsid w:val="007B01E2"/>
    <w:rsid w:val="007B0861"/>
    <w:rsid w:val="007B0A3D"/>
    <w:rsid w:val="007B0AA1"/>
    <w:rsid w:val="007B0D0F"/>
    <w:rsid w:val="007B11E4"/>
    <w:rsid w:val="007B1450"/>
    <w:rsid w:val="007B1715"/>
    <w:rsid w:val="007B1B83"/>
    <w:rsid w:val="007B1DA5"/>
    <w:rsid w:val="007B217B"/>
    <w:rsid w:val="007B2410"/>
    <w:rsid w:val="007B27C3"/>
    <w:rsid w:val="007B27CF"/>
    <w:rsid w:val="007B28E0"/>
    <w:rsid w:val="007B2938"/>
    <w:rsid w:val="007B2BD0"/>
    <w:rsid w:val="007B2EDA"/>
    <w:rsid w:val="007B2F27"/>
    <w:rsid w:val="007B3309"/>
    <w:rsid w:val="007B3571"/>
    <w:rsid w:val="007B3719"/>
    <w:rsid w:val="007B399C"/>
    <w:rsid w:val="007B39D0"/>
    <w:rsid w:val="007B496B"/>
    <w:rsid w:val="007B49F1"/>
    <w:rsid w:val="007B4C64"/>
    <w:rsid w:val="007B634D"/>
    <w:rsid w:val="007B671C"/>
    <w:rsid w:val="007B6753"/>
    <w:rsid w:val="007B69AB"/>
    <w:rsid w:val="007B6D8B"/>
    <w:rsid w:val="007B6FF2"/>
    <w:rsid w:val="007B71CD"/>
    <w:rsid w:val="007B7789"/>
    <w:rsid w:val="007B7895"/>
    <w:rsid w:val="007B79AE"/>
    <w:rsid w:val="007B7DAE"/>
    <w:rsid w:val="007C0322"/>
    <w:rsid w:val="007C03EB"/>
    <w:rsid w:val="007C053A"/>
    <w:rsid w:val="007C0EA8"/>
    <w:rsid w:val="007C0FD7"/>
    <w:rsid w:val="007C1F3B"/>
    <w:rsid w:val="007C299B"/>
    <w:rsid w:val="007C29D9"/>
    <w:rsid w:val="007C29F8"/>
    <w:rsid w:val="007C317E"/>
    <w:rsid w:val="007C3223"/>
    <w:rsid w:val="007C3673"/>
    <w:rsid w:val="007C37EC"/>
    <w:rsid w:val="007C3925"/>
    <w:rsid w:val="007C45FB"/>
    <w:rsid w:val="007C4A8B"/>
    <w:rsid w:val="007C4B19"/>
    <w:rsid w:val="007C4B5C"/>
    <w:rsid w:val="007C4DFA"/>
    <w:rsid w:val="007C5540"/>
    <w:rsid w:val="007C57C9"/>
    <w:rsid w:val="007C57E9"/>
    <w:rsid w:val="007C5A33"/>
    <w:rsid w:val="007C5A92"/>
    <w:rsid w:val="007C6668"/>
    <w:rsid w:val="007C6731"/>
    <w:rsid w:val="007C6759"/>
    <w:rsid w:val="007C6A31"/>
    <w:rsid w:val="007C6ACD"/>
    <w:rsid w:val="007C6E9E"/>
    <w:rsid w:val="007C703A"/>
    <w:rsid w:val="007C7D65"/>
    <w:rsid w:val="007D013E"/>
    <w:rsid w:val="007D0223"/>
    <w:rsid w:val="007D0A51"/>
    <w:rsid w:val="007D0CA0"/>
    <w:rsid w:val="007D0DAF"/>
    <w:rsid w:val="007D0E15"/>
    <w:rsid w:val="007D1112"/>
    <w:rsid w:val="007D1C7A"/>
    <w:rsid w:val="007D266D"/>
    <w:rsid w:val="007D2714"/>
    <w:rsid w:val="007D2800"/>
    <w:rsid w:val="007D2A37"/>
    <w:rsid w:val="007D2AB9"/>
    <w:rsid w:val="007D2EF3"/>
    <w:rsid w:val="007D31A1"/>
    <w:rsid w:val="007D3458"/>
    <w:rsid w:val="007D3D4C"/>
    <w:rsid w:val="007D5078"/>
    <w:rsid w:val="007D552E"/>
    <w:rsid w:val="007D56C8"/>
    <w:rsid w:val="007D662B"/>
    <w:rsid w:val="007D6970"/>
    <w:rsid w:val="007D6EEF"/>
    <w:rsid w:val="007D721B"/>
    <w:rsid w:val="007D7510"/>
    <w:rsid w:val="007D75BA"/>
    <w:rsid w:val="007D7657"/>
    <w:rsid w:val="007D7FE3"/>
    <w:rsid w:val="007D7FEE"/>
    <w:rsid w:val="007E050A"/>
    <w:rsid w:val="007E05E5"/>
    <w:rsid w:val="007E07FB"/>
    <w:rsid w:val="007E0E16"/>
    <w:rsid w:val="007E0F89"/>
    <w:rsid w:val="007E161E"/>
    <w:rsid w:val="007E1ED9"/>
    <w:rsid w:val="007E211E"/>
    <w:rsid w:val="007E2344"/>
    <w:rsid w:val="007E25CF"/>
    <w:rsid w:val="007E27FE"/>
    <w:rsid w:val="007E2B43"/>
    <w:rsid w:val="007E2D68"/>
    <w:rsid w:val="007E2DD8"/>
    <w:rsid w:val="007E3A17"/>
    <w:rsid w:val="007E3A49"/>
    <w:rsid w:val="007E4082"/>
    <w:rsid w:val="007E43E8"/>
    <w:rsid w:val="007E4471"/>
    <w:rsid w:val="007E4641"/>
    <w:rsid w:val="007E4A72"/>
    <w:rsid w:val="007E50A9"/>
    <w:rsid w:val="007E52B3"/>
    <w:rsid w:val="007E540B"/>
    <w:rsid w:val="007E551F"/>
    <w:rsid w:val="007E5565"/>
    <w:rsid w:val="007E56D2"/>
    <w:rsid w:val="007E5ABA"/>
    <w:rsid w:val="007E5D05"/>
    <w:rsid w:val="007E6344"/>
    <w:rsid w:val="007E6757"/>
    <w:rsid w:val="007E6C3F"/>
    <w:rsid w:val="007E71A0"/>
    <w:rsid w:val="007E7579"/>
    <w:rsid w:val="007E7F1A"/>
    <w:rsid w:val="007F0AEE"/>
    <w:rsid w:val="007F0B6E"/>
    <w:rsid w:val="007F0F78"/>
    <w:rsid w:val="007F1019"/>
    <w:rsid w:val="007F1078"/>
    <w:rsid w:val="007F123B"/>
    <w:rsid w:val="007F1435"/>
    <w:rsid w:val="007F15DC"/>
    <w:rsid w:val="007F1C68"/>
    <w:rsid w:val="007F1E55"/>
    <w:rsid w:val="007F2052"/>
    <w:rsid w:val="007F2DA7"/>
    <w:rsid w:val="007F331F"/>
    <w:rsid w:val="007F3E0F"/>
    <w:rsid w:val="007F3E46"/>
    <w:rsid w:val="007F4293"/>
    <w:rsid w:val="007F42C9"/>
    <w:rsid w:val="007F455F"/>
    <w:rsid w:val="007F45DD"/>
    <w:rsid w:val="007F4BC1"/>
    <w:rsid w:val="007F4E51"/>
    <w:rsid w:val="007F515D"/>
    <w:rsid w:val="007F5411"/>
    <w:rsid w:val="007F5A7E"/>
    <w:rsid w:val="007F5CDA"/>
    <w:rsid w:val="007F5DD1"/>
    <w:rsid w:val="007F5E3C"/>
    <w:rsid w:val="007F6210"/>
    <w:rsid w:val="007F6533"/>
    <w:rsid w:val="007F759C"/>
    <w:rsid w:val="007F7821"/>
    <w:rsid w:val="007F7918"/>
    <w:rsid w:val="007F7CFE"/>
    <w:rsid w:val="007F7D88"/>
    <w:rsid w:val="0080001A"/>
    <w:rsid w:val="008007BC"/>
    <w:rsid w:val="00800801"/>
    <w:rsid w:val="008010DA"/>
    <w:rsid w:val="00801524"/>
    <w:rsid w:val="0080177A"/>
    <w:rsid w:val="00801E28"/>
    <w:rsid w:val="00802327"/>
    <w:rsid w:val="00802421"/>
    <w:rsid w:val="008028BB"/>
    <w:rsid w:val="008028BE"/>
    <w:rsid w:val="00803EC2"/>
    <w:rsid w:val="00803EE3"/>
    <w:rsid w:val="008045AF"/>
    <w:rsid w:val="00805617"/>
    <w:rsid w:val="00805696"/>
    <w:rsid w:val="00805A13"/>
    <w:rsid w:val="00805ADC"/>
    <w:rsid w:val="00805D32"/>
    <w:rsid w:val="00805DFD"/>
    <w:rsid w:val="008060F8"/>
    <w:rsid w:val="00806203"/>
    <w:rsid w:val="00806330"/>
    <w:rsid w:val="008066EA"/>
    <w:rsid w:val="00806D37"/>
    <w:rsid w:val="00806E94"/>
    <w:rsid w:val="00806FC7"/>
    <w:rsid w:val="0080744D"/>
    <w:rsid w:val="0080796E"/>
    <w:rsid w:val="00807C9D"/>
    <w:rsid w:val="00807DD1"/>
    <w:rsid w:val="00810082"/>
    <w:rsid w:val="00810112"/>
    <w:rsid w:val="00810C61"/>
    <w:rsid w:val="00810C96"/>
    <w:rsid w:val="008113A1"/>
    <w:rsid w:val="00811E0A"/>
    <w:rsid w:val="00812A16"/>
    <w:rsid w:val="00813A9D"/>
    <w:rsid w:val="00813BBA"/>
    <w:rsid w:val="00813F9E"/>
    <w:rsid w:val="00814012"/>
    <w:rsid w:val="008146FF"/>
    <w:rsid w:val="008148E8"/>
    <w:rsid w:val="00814996"/>
    <w:rsid w:val="00814B56"/>
    <w:rsid w:val="00814ED0"/>
    <w:rsid w:val="00814FA2"/>
    <w:rsid w:val="008153B6"/>
    <w:rsid w:val="0081542A"/>
    <w:rsid w:val="00815527"/>
    <w:rsid w:val="00815A45"/>
    <w:rsid w:val="00815C8C"/>
    <w:rsid w:val="00815CBD"/>
    <w:rsid w:val="00815E34"/>
    <w:rsid w:val="008162A1"/>
    <w:rsid w:val="008164DC"/>
    <w:rsid w:val="008165F7"/>
    <w:rsid w:val="008166B8"/>
    <w:rsid w:val="008166DC"/>
    <w:rsid w:val="00816AFF"/>
    <w:rsid w:val="00816C58"/>
    <w:rsid w:val="008201DE"/>
    <w:rsid w:val="008203B4"/>
    <w:rsid w:val="0082069C"/>
    <w:rsid w:val="00820955"/>
    <w:rsid w:val="00820CBC"/>
    <w:rsid w:val="00820EFD"/>
    <w:rsid w:val="00820FEB"/>
    <w:rsid w:val="0082126E"/>
    <w:rsid w:val="008212C7"/>
    <w:rsid w:val="00822471"/>
    <w:rsid w:val="008228D0"/>
    <w:rsid w:val="00823040"/>
    <w:rsid w:val="00823783"/>
    <w:rsid w:val="008241DE"/>
    <w:rsid w:val="00824DEB"/>
    <w:rsid w:val="00824E45"/>
    <w:rsid w:val="00824FDB"/>
    <w:rsid w:val="008257DC"/>
    <w:rsid w:val="00825D32"/>
    <w:rsid w:val="00825E10"/>
    <w:rsid w:val="0082606F"/>
    <w:rsid w:val="00827004"/>
    <w:rsid w:val="00827133"/>
    <w:rsid w:val="00827551"/>
    <w:rsid w:val="008275EF"/>
    <w:rsid w:val="00827BE6"/>
    <w:rsid w:val="00827C9A"/>
    <w:rsid w:val="00827E0B"/>
    <w:rsid w:val="0083026D"/>
    <w:rsid w:val="00830A63"/>
    <w:rsid w:val="00830C3D"/>
    <w:rsid w:val="00830D46"/>
    <w:rsid w:val="008310C2"/>
    <w:rsid w:val="00831BCA"/>
    <w:rsid w:val="008324AC"/>
    <w:rsid w:val="0083254B"/>
    <w:rsid w:val="008326BA"/>
    <w:rsid w:val="008326BB"/>
    <w:rsid w:val="008328B3"/>
    <w:rsid w:val="00832901"/>
    <w:rsid w:val="00832E19"/>
    <w:rsid w:val="00832E95"/>
    <w:rsid w:val="0083311B"/>
    <w:rsid w:val="00833308"/>
    <w:rsid w:val="00833AB1"/>
    <w:rsid w:val="00833C7A"/>
    <w:rsid w:val="00833D8F"/>
    <w:rsid w:val="0083452C"/>
    <w:rsid w:val="00834C8F"/>
    <w:rsid w:val="00834D95"/>
    <w:rsid w:val="0083543B"/>
    <w:rsid w:val="0083580A"/>
    <w:rsid w:val="00835954"/>
    <w:rsid w:val="00835B0D"/>
    <w:rsid w:val="0083621C"/>
    <w:rsid w:val="008362BA"/>
    <w:rsid w:val="008362F8"/>
    <w:rsid w:val="00836AD9"/>
    <w:rsid w:val="00836C55"/>
    <w:rsid w:val="00837580"/>
    <w:rsid w:val="00837938"/>
    <w:rsid w:val="00837BBA"/>
    <w:rsid w:val="00837DDF"/>
    <w:rsid w:val="00837E25"/>
    <w:rsid w:val="0084024D"/>
    <w:rsid w:val="00840485"/>
    <w:rsid w:val="00840786"/>
    <w:rsid w:val="0084081D"/>
    <w:rsid w:val="0084095F"/>
    <w:rsid w:val="00841081"/>
    <w:rsid w:val="008415CD"/>
    <w:rsid w:val="00841A60"/>
    <w:rsid w:val="00841A9A"/>
    <w:rsid w:val="00842715"/>
    <w:rsid w:val="008428F9"/>
    <w:rsid w:val="00842987"/>
    <w:rsid w:val="00842B56"/>
    <w:rsid w:val="00842E47"/>
    <w:rsid w:val="00842EAB"/>
    <w:rsid w:val="0084367A"/>
    <w:rsid w:val="00843839"/>
    <w:rsid w:val="00843B16"/>
    <w:rsid w:val="00843C84"/>
    <w:rsid w:val="00843CE8"/>
    <w:rsid w:val="00843F78"/>
    <w:rsid w:val="00844141"/>
    <w:rsid w:val="00844301"/>
    <w:rsid w:val="008444EB"/>
    <w:rsid w:val="00844682"/>
    <w:rsid w:val="0084491A"/>
    <w:rsid w:val="00844DA0"/>
    <w:rsid w:val="00844E11"/>
    <w:rsid w:val="0084523B"/>
    <w:rsid w:val="008453FA"/>
    <w:rsid w:val="00845B91"/>
    <w:rsid w:val="00845C72"/>
    <w:rsid w:val="00845D3C"/>
    <w:rsid w:val="00846378"/>
    <w:rsid w:val="00846583"/>
    <w:rsid w:val="008467AB"/>
    <w:rsid w:val="00846A24"/>
    <w:rsid w:val="00846AD8"/>
    <w:rsid w:val="00846B93"/>
    <w:rsid w:val="00846BEB"/>
    <w:rsid w:val="00846F3A"/>
    <w:rsid w:val="008474DD"/>
    <w:rsid w:val="00847512"/>
    <w:rsid w:val="00847674"/>
    <w:rsid w:val="00847686"/>
    <w:rsid w:val="00847930"/>
    <w:rsid w:val="00847A12"/>
    <w:rsid w:val="008501AE"/>
    <w:rsid w:val="008517FB"/>
    <w:rsid w:val="00851B85"/>
    <w:rsid w:val="00851C9A"/>
    <w:rsid w:val="00851EB9"/>
    <w:rsid w:val="008526BD"/>
    <w:rsid w:val="00852BCE"/>
    <w:rsid w:val="00852BDB"/>
    <w:rsid w:val="00852C34"/>
    <w:rsid w:val="00852D02"/>
    <w:rsid w:val="008531D4"/>
    <w:rsid w:val="00853610"/>
    <w:rsid w:val="00853834"/>
    <w:rsid w:val="0085390E"/>
    <w:rsid w:val="00853AD2"/>
    <w:rsid w:val="00853F3C"/>
    <w:rsid w:val="008546B0"/>
    <w:rsid w:val="00854E15"/>
    <w:rsid w:val="00856E54"/>
    <w:rsid w:val="008574AC"/>
    <w:rsid w:val="008578FA"/>
    <w:rsid w:val="0086008B"/>
    <w:rsid w:val="0086037B"/>
    <w:rsid w:val="008609FB"/>
    <w:rsid w:val="00860A1C"/>
    <w:rsid w:val="00861540"/>
    <w:rsid w:val="008617BA"/>
    <w:rsid w:val="008619C6"/>
    <w:rsid w:val="00862538"/>
    <w:rsid w:val="008629FF"/>
    <w:rsid w:val="00862CB0"/>
    <w:rsid w:val="00862CE4"/>
    <w:rsid w:val="0086313C"/>
    <w:rsid w:val="00863355"/>
    <w:rsid w:val="008634A2"/>
    <w:rsid w:val="00863954"/>
    <w:rsid w:val="00863B02"/>
    <w:rsid w:val="00863B55"/>
    <w:rsid w:val="0086496C"/>
    <w:rsid w:val="00864A96"/>
    <w:rsid w:val="008657F1"/>
    <w:rsid w:val="008659D5"/>
    <w:rsid w:val="00867184"/>
    <w:rsid w:val="0086736D"/>
    <w:rsid w:val="00867785"/>
    <w:rsid w:val="008679F3"/>
    <w:rsid w:val="008702EF"/>
    <w:rsid w:val="00870999"/>
    <w:rsid w:val="0087103A"/>
    <w:rsid w:val="00871276"/>
    <w:rsid w:val="008714AE"/>
    <w:rsid w:val="008715BE"/>
    <w:rsid w:val="00871683"/>
    <w:rsid w:val="00871B18"/>
    <w:rsid w:val="00871D81"/>
    <w:rsid w:val="00871D9D"/>
    <w:rsid w:val="00872CD7"/>
    <w:rsid w:val="008739D7"/>
    <w:rsid w:val="00874300"/>
    <w:rsid w:val="0087448F"/>
    <w:rsid w:val="00874846"/>
    <w:rsid w:val="00874C9B"/>
    <w:rsid w:val="00875857"/>
    <w:rsid w:val="00875A18"/>
    <w:rsid w:val="00875A37"/>
    <w:rsid w:val="00876112"/>
    <w:rsid w:val="00876439"/>
    <w:rsid w:val="008765B9"/>
    <w:rsid w:val="00876AB0"/>
    <w:rsid w:val="00876B08"/>
    <w:rsid w:val="00876B36"/>
    <w:rsid w:val="008774BC"/>
    <w:rsid w:val="00877C79"/>
    <w:rsid w:val="008802CB"/>
    <w:rsid w:val="0088049F"/>
    <w:rsid w:val="008808B3"/>
    <w:rsid w:val="008809AC"/>
    <w:rsid w:val="00881081"/>
    <w:rsid w:val="0088128A"/>
    <w:rsid w:val="008813CC"/>
    <w:rsid w:val="008816B9"/>
    <w:rsid w:val="00881A32"/>
    <w:rsid w:val="00881D0C"/>
    <w:rsid w:val="00882054"/>
    <w:rsid w:val="00882608"/>
    <w:rsid w:val="00883741"/>
    <w:rsid w:val="008837AB"/>
    <w:rsid w:val="00883A34"/>
    <w:rsid w:val="00883A8B"/>
    <w:rsid w:val="00883EFF"/>
    <w:rsid w:val="00883F06"/>
    <w:rsid w:val="008841CA"/>
    <w:rsid w:val="008842D4"/>
    <w:rsid w:val="008843A6"/>
    <w:rsid w:val="00884C8C"/>
    <w:rsid w:val="00884FF9"/>
    <w:rsid w:val="00885006"/>
    <w:rsid w:val="008855D3"/>
    <w:rsid w:val="00885B50"/>
    <w:rsid w:val="00885F55"/>
    <w:rsid w:val="00885FFA"/>
    <w:rsid w:val="0088649B"/>
    <w:rsid w:val="00887296"/>
    <w:rsid w:val="008874C2"/>
    <w:rsid w:val="008875C5"/>
    <w:rsid w:val="00887831"/>
    <w:rsid w:val="0088787A"/>
    <w:rsid w:val="00887D08"/>
    <w:rsid w:val="00887EAA"/>
    <w:rsid w:val="00890122"/>
    <w:rsid w:val="00890131"/>
    <w:rsid w:val="0089021D"/>
    <w:rsid w:val="0089058F"/>
    <w:rsid w:val="00890C6C"/>
    <w:rsid w:val="008913F1"/>
    <w:rsid w:val="00891555"/>
    <w:rsid w:val="008919BB"/>
    <w:rsid w:val="00891B9C"/>
    <w:rsid w:val="00891D51"/>
    <w:rsid w:val="00891E9A"/>
    <w:rsid w:val="00891ECB"/>
    <w:rsid w:val="008925D3"/>
    <w:rsid w:val="00892C41"/>
    <w:rsid w:val="00892E71"/>
    <w:rsid w:val="00892FD9"/>
    <w:rsid w:val="008932C6"/>
    <w:rsid w:val="00893381"/>
    <w:rsid w:val="008939BA"/>
    <w:rsid w:val="00893A02"/>
    <w:rsid w:val="00893A9A"/>
    <w:rsid w:val="00893ABB"/>
    <w:rsid w:val="00893D78"/>
    <w:rsid w:val="00893F6E"/>
    <w:rsid w:val="0089405E"/>
    <w:rsid w:val="008944E4"/>
    <w:rsid w:val="008945B3"/>
    <w:rsid w:val="00895108"/>
    <w:rsid w:val="0089544E"/>
    <w:rsid w:val="0089546E"/>
    <w:rsid w:val="00895772"/>
    <w:rsid w:val="00895956"/>
    <w:rsid w:val="00896320"/>
    <w:rsid w:val="008965C4"/>
    <w:rsid w:val="00896966"/>
    <w:rsid w:val="00896A17"/>
    <w:rsid w:val="00896CE6"/>
    <w:rsid w:val="0089713A"/>
    <w:rsid w:val="008971E9"/>
    <w:rsid w:val="0089755E"/>
    <w:rsid w:val="008979E5"/>
    <w:rsid w:val="008A015C"/>
    <w:rsid w:val="008A01CE"/>
    <w:rsid w:val="008A0DFF"/>
    <w:rsid w:val="008A0F61"/>
    <w:rsid w:val="008A13F5"/>
    <w:rsid w:val="008A17D2"/>
    <w:rsid w:val="008A1825"/>
    <w:rsid w:val="008A1B1E"/>
    <w:rsid w:val="008A1CFD"/>
    <w:rsid w:val="008A1F66"/>
    <w:rsid w:val="008A265B"/>
    <w:rsid w:val="008A2844"/>
    <w:rsid w:val="008A2CC8"/>
    <w:rsid w:val="008A36A3"/>
    <w:rsid w:val="008A3A40"/>
    <w:rsid w:val="008A3ACA"/>
    <w:rsid w:val="008A3BF2"/>
    <w:rsid w:val="008A3DB9"/>
    <w:rsid w:val="008A3F6F"/>
    <w:rsid w:val="008A4296"/>
    <w:rsid w:val="008A466A"/>
    <w:rsid w:val="008A4BB5"/>
    <w:rsid w:val="008A4CB0"/>
    <w:rsid w:val="008A4FBF"/>
    <w:rsid w:val="008A5285"/>
    <w:rsid w:val="008A53BE"/>
    <w:rsid w:val="008A57A3"/>
    <w:rsid w:val="008A591E"/>
    <w:rsid w:val="008A7074"/>
    <w:rsid w:val="008B02E3"/>
    <w:rsid w:val="008B032C"/>
    <w:rsid w:val="008B0858"/>
    <w:rsid w:val="008B0D6F"/>
    <w:rsid w:val="008B0F41"/>
    <w:rsid w:val="008B10F3"/>
    <w:rsid w:val="008B12C3"/>
    <w:rsid w:val="008B1954"/>
    <w:rsid w:val="008B19E8"/>
    <w:rsid w:val="008B28D2"/>
    <w:rsid w:val="008B29DB"/>
    <w:rsid w:val="008B2A6F"/>
    <w:rsid w:val="008B2C78"/>
    <w:rsid w:val="008B34BE"/>
    <w:rsid w:val="008B351A"/>
    <w:rsid w:val="008B3719"/>
    <w:rsid w:val="008B3773"/>
    <w:rsid w:val="008B37CA"/>
    <w:rsid w:val="008B38C4"/>
    <w:rsid w:val="008B4016"/>
    <w:rsid w:val="008B46A3"/>
    <w:rsid w:val="008B49C3"/>
    <w:rsid w:val="008B4B37"/>
    <w:rsid w:val="008B4B95"/>
    <w:rsid w:val="008B4D20"/>
    <w:rsid w:val="008B507D"/>
    <w:rsid w:val="008B5AB3"/>
    <w:rsid w:val="008B5C23"/>
    <w:rsid w:val="008B5CB4"/>
    <w:rsid w:val="008B5D82"/>
    <w:rsid w:val="008B623B"/>
    <w:rsid w:val="008B6364"/>
    <w:rsid w:val="008B65F0"/>
    <w:rsid w:val="008B6D27"/>
    <w:rsid w:val="008B6F6F"/>
    <w:rsid w:val="008B735F"/>
    <w:rsid w:val="008B7384"/>
    <w:rsid w:val="008B73E6"/>
    <w:rsid w:val="008B766C"/>
    <w:rsid w:val="008B7C57"/>
    <w:rsid w:val="008B7E13"/>
    <w:rsid w:val="008B7E44"/>
    <w:rsid w:val="008B7EE6"/>
    <w:rsid w:val="008C00A3"/>
    <w:rsid w:val="008C03D8"/>
    <w:rsid w:val="008C0738"/>
    <w:rsid w:val="008C078F"/>
    <w:rsid w:val="008C07B4"/>
    <w:rsid w:val="008C10B3"/>
    <w:rsid w:val="008C10F0"/>
    <w:rsid w:val="008C149E"/>
    <w:rsid w:val="008C1883"/>
    <w:rsid w:val="008C1DB3"/>
    <w:rsid w:val="008C2189"/>
    <w:rsid w:val="008C2436"/>
    <w:rsid w:val="008C2597"/>
    <w:rsid w:val="008C2B8C"/>
    <w:rsid w:val="008C32D9"/>
    <w:rsid w:val="008C3B79"/>
    <w:rsid w:val="008C3CB5"/>
    <w:rsid w:val="008C3D39"/>
    <w:rsid w:val="008C3E2A"/>
    <w:rsid w:val="008C500F"/>
    <w:rsid w:val="008C555C"/>
    <w:rsid w:val="008C585E"/>
    <w:rsid w:val="008C5D8C"/>
    <w:rsid w:val="008C5F94"/>
    <w:rsid w:val="008C642B"/>
    <w:rsid w:val="008C648B"/>
    <w:rsid w:val="008C6ACF"/>
    <w:rsid w:val="008C6E45"/>
    <w:rsid w:val="008C6EF1"/>
    <w:rsid w:val="008C71BE"/>
    <w:rsid w:val="008C7860"/>
    <w:rsid w:val="008C7B9D"/>
    <w:rsid w:val="008D0191"/>
    <w:rsid w:val="008D0C79"/>
    <w:rsid w:val="008D0D42"/>
    <w:rsid w:val="008D1017"/>
    <w:rsid w:val="008D19BA"/>
    <w:rsid w:val="008D19D7"/>
    <w:rsid w:val="008D1CAD"/>
    <w:rsid w:val="008D2082"/>
    <w:rsid w:val="008D21FD"/>
    <w:rsid w:val="008D2EE6"/>
    <w:rsid w:val="008D3300"/>
    <w:rsid w:val="008D361C"/>
    <w:rsid w:val="008D3637"/>
    <w:rsid w:val="008D3864"/>
    <w:rsid w:val="008D38EB"/>
    <w:rsid w:val="008D3BFF"/>
    <w:rsid w:val="008D41FF"/>
    <w:rsid w:val="008D42D0"/>
    <w:rsid w:val="008D457A"/>
    <w:rsid w:val="008D46A5"/>
    <w:rsid w:val="008D4EFC"/>
    <w:rsid w:val="008D4F95"/>
    <w:rsid w:val="008D50A7"/>
    <w:rsid w:val="008D5A7E"/>
    <w:rsid w:val="008D6189"/>
    <w:rsid w:val="008D652F"/>
    <w:rsid w:val="008D6579"/>
    <w:rsid w:val="008D6EF3"/>
    <w:rsid w:val="008D6F25"/>
    <w:rsid w:val="008D70CE"/>
    <w:rsid w:val="008D73E7"/>
    <w:rsid w:val="008D74F7"/>
    <w:rsid w:val="008D7588"/>
    <w:rsid w:val="008D7FF6"/>
    <w:rsid w:val="008E0646"/>
    <w:rsid w:val="008E0A8B"/>
    <w:rsid w:val="008E0AD1"/>
    <w:rsid w:val="008E0E09"/>
    <w:rsid w:val="008E10AA"/>
    <w:rsid w:val="008E1287"/>
    <w:rsid w:val="008E1881"/>
    <w:rsid w:val="008E1C64"/>
    <w:rsid w:val="008E2191"/>
    <w:rsid w:val="008E221B"/>
    <w:rsid w:val="008E27D0"/>
    <w:rsid w:val="008E281C"/>
    <w:rsid w:val="008E28F0"/>
    <w:rsid w:val="008E2CEB"/>
    <w:rsid w:val="008E2D1A"/>
    <w:rsid w:val="008E2FA7"/>
    <w:rsid w:val="008E304A"/>
    <w:rsid w:val="008E3569"/>
    <w:rsid w:val="008E4028"/>
    <w:rsid w:val="008E4375"/>
    <w:rsid w:val="008E44E0"/>
    <w:rsid w:val="008E44F4"/>
    <w:rsid w:val="008E4AC8"/>
    <w:rsid w:val="008E4BD9"/>
    <w:rsid w:val="008E5331"/>
    <w:rsid w:val="008E5861"/>
    <w:rsid w:val="008E58FE"/>
    <w:rsid w:val="008E5DF3"/>
    <w:rsid w:val="008E62E2"/>
    <w:rsid w:val="008E73B5"/>
    <w:rsid w:val="008E7CCD"/>
    <w:rsid w:val="008F069C"/>
    <w:rsid w:val="008F06D7"/>
    <w:rsid w:val="008F16CC"/>
    <w:rsid w:val="008F18A9"/>
    <w:rsid w:val="008F1929"/>
    <w:rsid w:val="008F1DC1"/>
    <w:rsid w:val="008F208C"/>
    <w:rsid w:val="008F24CA"/>
    <w:rsid w:val="008F2502"/>
    <w:rsid w:val="008F2705"/>
    <w:rsid w:val="008F2926"/>
    <w:rsid w:val="008F2EFB"/>
    <w:rsid w:val="008F3441"/>
    <w:rsid w:val="008F3975"/>
    <w:rsid w:val="008F424A"/>
    <w:rsid w:val="008F4A76"/>
    <w:rsid w:val="008F4C6A"/>
    <w:rsid w:val="008F4EED"/>
    <w:rsid w:val="008F541E"/>
    <w:rsid w:val="008F559A"/>
    <w:rsid w:val="008F59C4"/>
    <w:rsid w:val="008F59F3"/>
    <w:rsid w:val="008F6B2E"/>
    <w:rsid w:val="008F7042"/>
    <w:rsid w:val="008F70AC"/>
    <w:rsid w:val="008F735D"/>
    <w:rsid w:val="008F737F"/>
    <w:rsid w:val="008F780A"/>
    <w:rsid w:val="008F7A07"/>
    <w:rsid w:val="008F7E3C"/>
    <w:rsid w:val="0090008A"/>
    <w:rsid w:val="009000F5"/>
    <w:rsid w:val="009001B5"/>
    <w:rsid w:val="009002E5"/>
    <w:rsid w:val="009005F4"/>
    <w:rsid w:val="00900647"/>
    <w:rsid w:val="0090076D"/>
    <w:rsid w:val="00900F3A"/>
    <w:rsid w:val="0090107B"/>
    <w:rsid w:val="00901569"/>
    <w:rsid w:val="00901F2B"/>
    <w:rsid w:val="00902B34"/>
    <w:rsid w:val="00902C4A"/>
    <w:rsid w:val="00902F28"/>
    <w:rsid w:val="009030E9"/>
    <w:rsid w:val="0090389F"/>
    <w:rsid w:val="00903D49"/>
    <w:rsid w:val="00903FD0"/>
    <w:rsid w:val="00903FD4"/>
    <w:rsid w:val="0090561F"/>
    <w:rsid w:val="0090637E"/>
    <w:rsid w:val="009068A5"/>
    <w:rsid w:val="00906F40"/>
    <w:rsid w:val="00907501"/>
    <w:rsid w:val="00907773"/>
    <w:rsid w:val="009078E3"/>
    <w:rsid w:val="00907ACE"/>
    <w:rsid w:val="00907B3B"/>
    <w:rsid w:val="00907FFE"/>
    <w:rsid w:val="00910417"/>
    <w:rsid w:val="00910F7A"/>
    <w:rsid w:val="00911433"/>
    <w:rsid w:val="009114EA"/>
    <w:rsid w:val="00911B63"/>
    <w:rsid w:val="00911DE6"/>
    <w:rsid w:val="00912470"/>
    <w:rsid w:val="00912505"/>
    <w:rsid w:val="009125E5"/>
    <w:rsid w:val="00912643"/>
    <w:rsid w:val="009127EC"/>
    <w:rsid w:val="009128EC"/>
    <w:rsid w:val="00912968"/>
    <w:rsid w:val="00912B73"/>
    <w:rsid w:val="00912D48"/>
    <w:rsid w:val="00914DFB"/>
    <w:rsid w:val="00914E5E"/>
    <w:rsid w:val="00914F9B"/>
    <w:rsid w:val="009150B9"/>
    <w:rsid w:val="00915390"/>
    <w:rsid w:val="0091556A"/>
    <w:rsid w:val="009155D4"/>
    <w:rsid w:val="00915649"/>
    <w:rsid w:val="00915705"/>
    <w:rsid w:val="009163EC"/>
    <w:rsid w:val="00916AA1"/>
    <w:rsid w:val="00916B7F"/>
    <w:rsid w:val="00917032"/>
    <w:rsid w:val="0091714C"/>
    <w:rsid w:val="009172FB"/>
    <w:rsid w:val="009175BA"/>
    <w:rsid w:val="0091784C"/>
    <w:rsid w:val="009201F8"/>
    <w:rsid w:val="00920698"/>
    <w:rsid w:val="00920781"/>
    <w:rsid w:val="00920970"/>
    <w:rsid w:val="00920E33"/>
    <w:rsid w:val="009210EF"/>
    <w:rsid w:val="009213C8"/>
    <w:rsid w:val="00921960"/>
    <w:rsid w:val="00921CC1"/>
    <w:rsid w:val="00921D61"/>
    <w:rsid w:val="00921EA5"/>
    <w:rsid w:val="009224D1"/>
    <w:rsid w:val="009224E4"/>
    <w:rsid w:val="00922CA4"/>
    <w:rsid w:val="00922CB3"/>
    <w:rsid w:val="0092318C"/>
    <w:rsid w:val="0092380D"/>
    <w:rsid w:val="00923883"/>
    <w:rsid w:val="009245C7"/>
    <w:rsid w:val="00925244"/>
    <w:rsid w:val="009252FE"/>
    <w:rsid w:val="009258FB"/>
    <w:rsid w:val="00926147"/>
    <w:rsid w:val="00926F04"/>
    <w:rsid w:val="009274D2"/>
    <w:rsid w:val="009275F0"/>
    <w:rsid w:val="009278D2"/>
    <w:rsid w:val="009303CA"/>
    <w:rsid w:val="009305AC"/>
    <w:rsid w:val="00930CB6"/>
    <w:rsid w:val="00930F2D"/>
    <w:rsid w:val="00931165"/>
    <w:rsid w:val="00931370"/>
    <w:rsid w:val="009313BA"/>
    <w:rsid w:val="009323CA"/>
    <w:rsid w:val="00932507"/>
    <w:rsid w:val="00932DCF"/>
    <w:rsid w:val="00932EEB"/>
    <w:rsid w:val="00932F92"/>
    <w:rsid w:val="009332F3"/>
    <w:rsid w:val="00933A8E"/>
    <w:rsid w:val="00933C67"/>
    <w:rsid w:val="00934CE8"/>
    <w:rsid w:val="009351BF"/>
    <w:rsid w:val="009358C3"/>
    <w:rsid w:val="009359A6"/>
    <w:rsid w:val="00935C15"/>
    <w:rsid w:val="00935E4B"/>
    <w:rsid w:val="00935EB1"/>
    <w:rsid w:val="009364F2"/>
    <w:rsid w:val="00936CC7"/>
    <w:rsid w:val="0093713C"/>
    <w:rsid w:val="00937357"/>
    <w:rsid w:val="00937438"/>
    <w:rsid w:val="009404C8"/>
    <w:rsid w:val="00940D13"/>
    <w:rsid w:val="00940D17"/>
    <w:rsid w:val="00940E56"/>
    <w:rsid w:val="009414D7"/>
    <w:rsid w:val="009415A6"/>
    <w:rsid w:val="00941D28"/>
    <w:rsid w:val="00942300"/>
    <w:rsid w:val="0094293A"/>
    <w:rsid w:val="00942B81"/>
    <w:rsid w:val="00942E78"/>
    <w:rsid w:val="00943609"/>
    <w:rsid w:val="009438D8"/>
    <w:rsid w:val="009441C9"/>
    <w:rsid w:val="009442C2"/>
    <w:rsid w:val="0094443C"/>
    <w:rsid w:val="0094475F"/>
    <w:rsid w:val="009447B1"/>
    <w:rsid w:val="00944AD0"/>
    <w:rsid w:val="00944E80"/>
    <w:rsid w:val="00945044"/>
    <w:rsid w:val="00945607"/>
    <w:rsid w:val="00945C11"/>
    <w:rsid w:val="009463EC"/>
    <w:rsid w:val="0094661F"/>
    <w:rsid w:val="00946681"/>
    <w:rsid w:val="009467C9"/>
    <w:rsid w:val="00946E61"/>
    <w:rsid w:val="009472C3"/>
    <w:rsid w:val="00947919"/>
    <w:rsid w:val="00947AFC"/>
    <w:rsid w:val="00950420"/>
    <w:rsid w:val="00950640"/>
    <w:rsid w:val="0095095A"/>
    <w:rsid w:val="00950A97"/>
    <w:rsid w:val="00951197"/>
    <w:rsid w:val="009514C1"/>
    <w:rsid w:val="0095158B"/>
    <w:rsid w:val="009515E6"/>
    <w:rsid w:val="00951756"/>
    <w:rsid w:val="00951E91"/>
    <w:rsid w:val="009523EF"/>
    <w:rsid w:val="00952766"/>
    <w:rsid w:val="00952E22"/>
    <w:rsid w:val="009531B9"/>
    <w:rsid w:val="00953540"/>
    <w:rsid w:val="00953D2F"/>
    <w:rsid w:val="00953F7F"/>
    <w:rsid w:val="0095461D"/>
    <w:rsid w:val="0095486C"/>
    <w:rsid w:val="009549AC"/>
    <w:rsid w:val="00954BE5"/>
    <w:rsid w:val="009552CA"/>
    <w:rsid w:val="00955DA4"/>
    <w:rsid w:val="009569C6"/>
    <w:rsid w:val="00956ABA"/>
    <w:rsid w:val="00956BBB"/>
    <w:rsid w:val="00956DC5"/>
    <w:rsid w:val="00957459"/>
    <w:rsid w:val="009578CD"/>
    <w:rsid w:val="009578FC"/>
    <w:rsid w:val="00957D1F"/>
    <w:rsid w:val="00957D85"/>
    <w:rsid w:val="00957E30"/>
    <w:rsid w:val="0096019F"/>
    <w:rsid w:val="00960336"/>
    <w:rsid w:val="00960CCD"/>
    <w:rsid w:val="00961002"/>
    <w:rsid w:val="009610EC"/>
    <w:rsid w:val="009612AA"/>
    <w:rsid w:val="00961571"/>
    <w:rsid w:val="00961579"/>
    <w:rsid w:val="00962028"/>
    <w:rsid w:val="009620BD"/>
    <w:rsid w:val="009622BC"/>
    <w:rsid w:val="00962A5E"/>
    <w:rsid w:val="00962ABF"/>
    <w:rsid w:val="009634E6"/>
    <w:rsid w:val="0096368B"/>
    <w:rsid w:val="009639D4"/>
    <w:rsid w:val="00963AA2"/>
    <w:rsid w:val="00964438"/>
    <w:rsid w:val="0096483B"/>
    <w:rsid w:val="00964E03"/>
    <w:rsid w:val="00965267"/>
    <w:rsid w:val="009653F4"/>
    <w:rsid w:val="00965A21"/>
    <w:rsid w:val="00965C7A"/>
    <w:rsid w:val="00965F33"/>
    <w:rsid w:val="00965F82"/>
    <w:rsid w:val="00965F9A"/>
    <w:rsid w:val="009666B6"/>
    <w:rsid w:val="00966E10"/>
    <w:rsid w:val="00967014"/>
    <w:rsid w:val="0096705B"/>
    <w:rsid w:val="0096774C"/>
    <w:rsid w:val="00967A2A"/>
    <w:rsid w:val="00967AEF"/>
    <w:rsid w:val="00970126"/>
    <w:rsid w:val="00970645"/>
    <w:rsid w:val="00970B9C"/>
    <w:rsid w:val="00970C53"/>
    <w:rsid w:val="00970C7E"/>
    <w:rsid w:val="00970DE4"/>
    <w:rsid w:val="00970EC5"/>
    <w:rsid w:val="009711E2"/>
    <w:rsid w:val="00971299"/>
    <w:rsid w:val="00971833"/>
    <w:rsid w:val="00971ACA"/>
    <w:rsid w:val="00971AD1"/>
    <w:rsid w:val="00971FC1"/>
    <w:rsid w:val="009720DD"/>
    <w:rsid w:val="0097223D"/>
    <w:rsid w:val="009726D3"/>
    <w:rsid w:val="00972865"/>
    <w:rsid w:val="00972B4D"/>
    <w:rsid w:val="00973046"/>
    <w:rsid w:val="00973479"/>
    <w:rsid w:val="00973A01"/>
    <w:rsid w:val="00974023"/>
    <w:rsid w:val="009745ED"/>
    <w:rsid w:val="009748FB"/>
    <w:rsid w:val="00974A55"/>
    <w:rsid w:val="009750A4"/>
    <w:rsid w:val="0097551B"/>
    <w:rsid w:val="00975BD7"/>
    <w:rsid w:val="00976152"/>
    <w:rsid w:val="00976171"/>
    <w:rsid w:val="009762F4"/>
    <w:rsid w:val="009764FF"/>
    <w:rsid w:val="00976698"/>
    <w:rsid w:val="00976A74"/>
    <w:rsid w:val="00976DDD"/>
    <w:rsid w:val="0097740B"/>
    <w:rsid w:val="00977BAE"/>
    <w:rsid w:val="00980250"/>
    <w:rsid w:val="0098063D"/>
    <w:rsid w:val="00981A1B"/>
    <w:rsid w:val="0098218E"/>
    <w:rsid w:val="0098222C"/>
    <w:rsid w:val="00982378"/>
    <w:rsid w:val="0098265E"/>
    <w:rsid w:val="00982A23"/>
    <w:rsid w:val="00983389"/>
    <w:rsid w:val="00983804"/>
    <w:rsid w:val="00983819"/>
    <w:rsid w:val="00983EB7"/>
    <w:rsid w:val="00983EDF"/>
    <w:rsid w:val="00984CE6"/>
    <w:rsid w:val="00984F49"/>
    <w:rsid w:val="00985405"/>
    <w:rsid w:val="00985476"/>
    <w:rsid w:val="00985EC3"/>
    <w:rsid w:val="009865F2"/>
    <w:rsid w:val="00987429"/>
    <w:rsid w:val="00990424"/>
    <w:rsid w:val="009905F5"/>
    <w:rsid w:val="009908C8"/>
    <w:rsid w:val="00990AC1"/>
    <w:rsid w:val="00991476"/>
    <w:rsid w:val="0099199D"/>
    <w:rsid w:val="00991F9F"/>
    <w:rsid w:val="009923AE"/>
    <w:rsid w:val="0099249B"/>
    <w:rsid w:val="00992A08"/>
    <w:rsid w:val="00992E1F"/>
    <w:rsid w:val="00993013"/>
    <w:rsid w:val="00993150"/>
    <w:rsid w:val="00993364"/>
    <w:rsid w:val="009934D7"/>
    <w:rsid w:val="0099394E"/>
    <w:rsid w:val="00993AF2"/>
    <w:rsid w:val="00993F5D"/>
    <w:rsid w:val="00994031"/>
    <w:rsid w:val="00994356"/>
    <w:rsid w:val="00994490"/>
    <w:rsid w:val="0099538E"/>
    <w:rsid w:val="00995703"/>
    <w:rsid w:val="009957BA"/>
    <w:rsid w:val="009958DC"/>
    <w:rsid w:val="00995B5F"/>
    <w:rsid w:val="00995F29"/>
    <w:rsid w:val="009961D1"/>
    <w:rsid w:val="00996314"/>
    <w:rsid w:val="009967A1"/>
    <w:rsid w:val="00996DD8"/>
    <w:rsid w:val="00997C7E"/>
    <w:rsid w:val="009A0186"/>
    <w:rsid w:val="009A02FE"/>
    <w:rsid w:val="009A0316"/>
    <w:rsid w:val="009A0998"/>
    <w:rsid w:val="009A1023"/>
    <w:rsid w:val="009A163A"/>
    <w:rsid w:val="009A16EB"/>
    <w:rsid w:val="009A1762"/>
    <w:rsid w:val="009A1E9F"/>
    <w:rsid w:val="009A1F6F"/>
    <w:rsid w:val="009A22E2"/>
    <w:rsid w:val="009A252D"/>
    <w:rsid w:val="009A2656"/>
    <w:rsid w:val="009A2C8A"/>
    <w:rsid w:val="009A2F61"/>
    <w:rsid w:val="009A312C"/>
    <w:rsid w:val="009A3784"/>
    <w:rsid w:val="009A47A6"/>
    <w:rsid w:val="009A5443"/>
    <w:rsid w:val="009A54DA"/>
    <w:rsid w:val="009A5764"/>
    <w:rsid w:val="009A597C"/>
    <w:rsid w:val="009A5CD9"/>
    <w:rsid w:val="009A6421"/>
    <w:rsid w:val="009A65A3"/>
    <w:rsid w:val="009A6680"/>
    <w:rsid w:val="009A672C"/>
    <w:rsid w:val="009A6848"/>
    <w:rsid w:val="009A6C7B"/>
    <w:rsid w:val="009A7121"/>
    <w:rsid w:val="009A7AFB"/>
    <w:rsid w:val="009A7E4F"/>
    <w:rsid w:val="009B0126"/>
    <w:rsid w:val="009B053C"/>
    <w:rsid w:val="009B0618"/>
    <w:rsid w:val="009B1136"/>
    <w:rsid w:val="009B14FB"/>
    <w:rsid w:val="009B20C2"/>
    <w:rsid w:val="009B2113"/>
    <w:rsid w:val="009B2327"/>
    <w:rsid w:val="009B2908"/>
    <w:rsid w:val="009B29BC"/>
    <w:rsid w:val="009B2C0E"/>
    <w:rsid w:val="009B2F3E"/>
    <w:rsid w:val="009B2F7C"/>
    <w:rsid w:val="009B33EC"/>
    <w:rsid w:val="009B3519"/>
    <w:rsid w:val="009B3762"/>
    <w:rsid w:val="009B38BE"/>
    <w:rsid w:val="009B408E"/>
    <w:rsid w:val="009B44AC"/>
    <w:rsid w:val="009B49E7"/>
    <w:rsid w:val="009B54A0"/>
    <w:rsid w:val="009B64D7"/>
    <w:rsid w:val="009B64F8"/>
    <w:rsid w:val="009B6585"/>
    <w:rsid w:val="009B6682"/>
    <w:rsid w:val="009B6B47"/>
    <w:rsid w:val="009B6E62"/>
    <w:rsid w:val="009B6ECF"/>
    <w:rsid w:val="009B6F86"/>
    <w:rsid w:val="009B7225"/>
    <w:rsid w:val="009B724F"/>
    <w:rsid w:val="009B74FA"/>
    <w:rsid w:val="009B7507"/>
    <w:rsid w:val="009B770B"/>
    <w:rsid w:val="009B773C"/>
    <w:rsid w:val="009B77BC"/>
    <w:rsid w:val="009B7B30"/>
    <w:rsid w:val="009B7DC9"/>
    <w:rsid w:val="009C0304"/>
    <w:rsid w:val="009C0756"/>
    <w:rsid w:val="009C0D55"/>
    <w:rsid w:val="009C0DBC"/>
    <w:rsid w:val="009C1111"/>
    <w:rsid w:val="009C195E"/>
    <w:rsid w:val="009C1E13"/>
    <w:rsid w:val="009C20E1"/>
    <w:rsid w:val="009C2774"/>
    <w:rsid w:val="009C2FC2"/>
    <w:rsid w:val="009C378D"/>
    <w:rsid w:val="009C3AEF"/>
    <w:rsid w:val="009C3E7E"/>
    <w:rsid w:val="009C406D"/>
    <w:rsid w:val="009C40E6"/>
    <w:rsid w:val="009C4714"/>
    <w:rsid w:val="009C4934"/>
    <w:rsid w:val="009C4CC5"/>
    <w:rsid w:val="009C4EBA"/>
    <w:rsid w:val="009C4F5E"/>
    <w:rsid w:val="009C5359"/>
    <w:rsid w:val="009C540D"/>
    <w:rsid w:val="009C5538"/>
    <w:rsid w:val="009C58BF"/>
    <w:rsid w:val="009C5919"/>
    <w:rsid w:val="009C5962"/>
    <w:rsid w:val="009C5AAC"/>
    <w:rsid w:val="009C6025"/>
    <w:rsid w:val="009C6DF5"/>
    <w:rsid w:val="009C6E9B"/>
    <w:rsid w:val="009C6EE4"/>
    <w:rsid w:val="009C6EF5"/>
    <w:rsid w:val="009C7031"/>
    <w:rsid w:val="009C7939"/>
    <w:rsid w:val="009C7B23"/>
    <w:rsid w:val="009C7C91"/>
    <w:rsid w:val="009C7DC8"/>
    <w:rsid w:val="009D000B"/>
    <w:rsid w:val="009D02F8"/>
    <w:rsid w:val="009D044E"/>
    <w:rsid w:val="009D0C07"/>
    <w:rsid w:val="009D1004"/>
    <w:rsid w:val="009D194E"/>
    <w:rsid w:val="009D1A76"/>
    <w:rsid w:val="009D1CB8"/>
    <w:rsid w:val="009D1DD1"/>
    <w:rsid w:val="009D1E29"/>
    <w:rsid w:val="009D206D"/>
    <w:rsid w:val="009D2157"/>
    <w:rsid w:val="009D23CD"/>
    <w:rsid w:val="009D2D9C"/>
    <w:rsid w:val="009D3C7A"/>
    <w:rsid w:val="009D3CB8"/>
    <w:rsid w:val="009D4026"/>
    <w:rsid w:val="009D4207"/>
    <w:rsid w:val="009D4875"/>
    <w:rsid w:val="009D493B"/>
    <w:rsid w:val="009D4A1A"/>
    <w:rsid w:val="009D4A1E"/>
    <w:rsid w:val="009D4ADA"/>
    <w:rsid w:val="009D4B2C"/>
    <w:rsid w:val="009D4C3D"/>
    <w:rsid w:val="009D4DE2"/>
    <w:rsid w:val="009D4F95"/>
    <w:rsid w:val="009D4FFD"/>
    <w:rsid w:val="009D5193"/>
    <w:rsid w:val="009D5464"/>
    <w:rsid w:val="009D59F5"/>
    <w:rsid w:val="009D5A95"/>
    <w:rsid w:val="009D5BFA"/>
    <w:rsid w:val="009D5D09"/>
    <w:rsid w:val="009D64BD"/>
    <w:rsid w:val="009D7597"/>
    <w:rsid w:val="009D7735"/>
    <w:rsid w:val="009D7A46"/>
    <w:rsid w:val="009D7E6D"/>
    <w:rsid w:val="009D7F23"/>
    <w:rsid w:val="009D7FB9"/>
    <w:rsid w:val="009E0314"/>
    <w:rsid w:val="009E0729"/>
    <w:rsid w:val="009E0884"/>
    <w:rsid w:val="009E0927"/>
    <w:rsid w:val="009E1339"/>
    <w:rsid w:val="009E13B1"/>
    <w:rsid w:val="009E1AA5"/>
    <w:rsid w:val="009E1C7D"/>
    <w:rsid w:val="009E25DF"/>
    <w:rsid w:val="009E2A25"/>
    <w:rsid w:val="009E2B10"/>
    <w:rsid w:val="009E2BCB"/>
    <w:rsid w:val="009E2EA7"/>
    <w:rsid w:val="009E31B0"/>
    <w:rsid w:val="009E3626"/>
    <w:rsid w:val="009E36C0"/>
    <w:rsid w:val="009E394B"/>
    <w:rsid w:val="009E3A1F"/>
    <w:rsid w:val="009E3B64"/>
    <w:rsid w:val="009E3B68"/>
    <w:rsid w:val="009E3C33"/>
    <w:rsid w:val="009E3D97"/>
    <w:rsid w:val="009E4185"/>
    <w:rsid w:val="009E458D"/>
    <w:rsid w:val="009E4EA5"/>
    <w:rsid w:val="009E52CC"/>
    <w:rsid w:val="009E533C"/>
    <w:rsid w:val="009E59EA"/>
    <w:rsid w:val="009E5ABC"/>
    <w:rsid w:val="009E5CD1"/>
    <w:rsid w:val="009E5EA3"/>
    <w:rsid w:val="009E62EA"/>
    <w:rsid w:val="009E62F0"/>
    <w:rsid w:val="009E63EA"/>
    <w:rsid w:val="009E6654"/>
    <w:rsid w:val="009E67C2"/>
    <w:rsid w:val="009E6AB1"/>
    <w:rsid w:val="009E7543"/>
    <w:rsid w:val="009E7FF8"/>
    <w:rsid w:val="009F01CE"/>
    <w:rsid w:val="009F0389"/>
    <w:rsid w:val="009F0818"/>
    <w:rsid w:val="009F09E5"/>
    <w:rsid w:val="009F0B6F"/>
    <w:rsid w:val="009F0E52"/>
    <w:rsid w:val="009F0EB6"/>
    <w:rsid w:val="009F118C"/>
    <w:rsid w:val="009F1419"/>
    <w:rsid w:val="009F16B7"/>
    <w:rsid w:val="009F1AF1"/>
    <w:rsid w:val="009F20AF"/>
    <w:rsid w:val="009F2155"/>
    <w:rsid w:val="009F2325"/>
    <w:rsid w:val="009F2A04"/>
    <w:rsid w:val="009F2B56"/>
    <w:rsid w:val="009F2DAE"/>
    <w:rsid w:val="009F2E80"/>
    <w:rsid w:val="009F302F"/>
    <w:rsid w:val="009F35A7"/>
    <w:rsid w:val="009F3ADC"/>
    <w:rsid w:val="009F3B00"/>
    <w:rsid w:val="009F3BC4"/>
    <w:rsid w:val="009F3DF4"/>
    <w:rsid w:val="009F416B"/>
    <w:rsid w:val="009F4183"/>
    <w:rsid w:val="009F41B1"/>
    <w:rsid w:val="009F48A1"/>
    <w:rsid w:val="009F4C82"/>
    <w:rsid w:val="009F4CD8"/>
    <w:rsid w:val="009F548B"/>
    <w:rsid w:val="009F582F"/>
    <w:rsid w:val="009F7230"/>
    <w:rsid w:val="009F743B"/>
    <w:rsid w:val="009F74D1"/>
    <w:rsid w:val="009F7686"/>
    <w:rsid w:val="009F79D0"/>
    <w:rsid w:val="009F7C53"/>
    <w:rsid w:val="009F7F23"/>
    <w:rsid w:val="00A001F9"/>
    <w:rsid w:val="00A0069A"/>
    <w:rsid w:val="00A006A6"/>
    <w:rsid w:val="00A0080F"/>
    <w:rsid w:val="00A00C22"/>
    <w:rsid w:val="00A00D68"/>
    <w:rsid w:val="00A00DCF"/>
    <w:rsid w:val="00A011A8"/>
    <w:rsid w:val="00A024C9"/>
    <w:rsid w:val="00A02642"/>
    <w:rsid w:val="00A02B06"/>
    <w:rsid w:val="00A02C93"/>
    <w:rsid w:val="00A03244"/>
    <w:rsid w:val="00A034D2"/>
    <w:rsid w:val="00A0352D"/>
    <w:rsid w:val="00A035B6"/>
    <w:rsid w:val="00A038FE"/>
    <w:rsid w:val="00A03936"/>
    <w:rsid w:val="00A03AD5"/>
    <w:rsid w:val="00A03CF5"/>
    <w:rsid w:val="00A03F81"/>
    <w:rsid w:val="00A0418C"/>
    <w:rsid w:val="00A047A3"/>
    <w:rsid w:val="00A04842"/>
    <w:rsid w:val="00A04EFB"/>
    <w:rsid w:val="00A04F9E"/>
    <w:rsid w:val="00A04FA6"/>
    <w:rsid w:val="00A05A2A"/>
    <w:rsid w:val="00A068B6"/>
    <w:rsid w:val="00A06B47"/>
    <w:rsid w:val="00A071DD"/>
    <w:rsid w:val="00A0798D"/>
    <w:rsid w:val="00A07A9D"/>
    <w:rsid w:val="00A07B48"/>
    <w:rsid w:val="00A07C7D"/>
    <w:rsid w:val="00A07D0B"/>
    <w:rsid w:val="00A10125"/>
    <w:rsid w:val="00A1015A"/>
    <w:rsid w:val="00A101F6"/>
    <w:rsid w:val="00A104A3"/>
    <w:rsid w:val="00A104AD"/>
    <w:rsid w:val="00A104BF"/>
    <w:rsid w:val="00A104F7"/>
    <w:rsid w:val="00A10A8E"/>
    <w:rsid w:val="00A10EDF"/>
    <w:rsid w:val="00A110D7"/>
    <w:rsid w:val="00A11783"/>
    <w:rsid w:val="00A11F11"/>
    <w:rsid w:val="00A11FAC"/>
    <w:rsid w:val="00A12605"/>
    <w:rsid w:val="00A128D8"/>
    <w:rsid w:val="00A12B7F"/>
    <w:rsid w:val="00A12C17"/>
    <w:rsid w:val="00A13FEB"/>
    <w:rsid w:val="00A14616"/>
    <w:rsid w:val="00A14635"/>
    <w:rsid w:val="00A147CA"/>
    <w:rsid w:val="00A14B64"/>
    <w:rsid w:val="00A14C6E"/>
    <w:rsid w:val="00A14CF4"/>
    <w:rsid w:val="00A14FB8"/>
    <w:rsid w:val="00A15229"/>
    <w:rsid w:val="00A152C2"/>
    <w:rsid w:val="00A1533E"/>
    <w:rsid w:val="00A1542C"/>
    <w:rsid w:val="00A15435"/>
    <w:rsid w:val="00A154EB"/>
    <w:rsid w:val="00A15C30"/>
    <w:rsid w:val="00A15D92"/>
    <w:rsid w:val="00A16BAC"/>
    <w:rsid w:val="00A16C6C"/>
    <w:rsid w:val="00A16CA7"/>
    <w:rsid w:val="00A16D51"/>
    <w:rsid w:val="00A171EF"/>
    <w:rsid w:val="00A1729A"/>
    <w:rsid w:val="00A17952"/>
    <w:rsid w:val="00A17A3A"/>
    <w:rsid w:val="00A17C3B"/>
    <w:rsid w:val="00A20225"/>
    <w:rsid w:val="00A20327"/>
    <w:rsid w:val="00A20C5E"/>
    <w:rsid w:val="00A20CEF"/>
    <w:rsid w:val="00A21056"/>
    <w:rsid w:val="00A211BA"/>
    <w:rsid w:val="00A21520"/>
    <w:rsid w:val="00A2166B"/>
    <w:rsid w:val="00A219B7"/>
    <w:rsid w:val="00A21C85"/>
    <w:rsid w:val="00A21C88"/>
    <w:rsid w:val="00A224C7"/>
    <w:rsid w:val="00A225B3"/>
    <w:rsid w:val="00A23763"/>
    <w:rsid w:val="00A238E7"/>
    <w:rsid w:val="00A23A19"/>
    <w:rsid w:val="00A23D4D"/>
    <w:rsid w:val="00A240AD"/>
    <w:rsid w:val="00A2441F"/>
    <w:rsid w:val="00A247A3"/>
    <w:rsid w:val="00A25062"/>
    <w:rsid w:val="00A2522D"/>
    <w:rsid w:val="00A25233"/>
    <w:rsid w:val="00A25355"/>
    <w:rsid w:val="00A25520"/>
    <w:rsid w:val="00A255E1"/>
    <w:rsid w:val="00A2565C"/>
    <w:rsid w:val="00A25B67"/>
    <w:rsid w:val="00A25FAA"/>
    <w:rsid w:val="00A26392"/>
    <w:rsid w:val="00A26532"/>
    <w:rsid w:val="00A266F3"/>
    <w:rsid w:val="00A2670D"/>
    <w:rsid w:val="00A267D8"/>
    <w:rsid w:val="00A26AFC"/>
    <w:rsid w:val="00A2718A"/>
    <w:rsid w:val="00A271A5"/>
    <w:rsid w:val="00A272C9"/>
    <w:rsid w:val="00A275A3"/>
    <w:rsid w:val="00A27D49"/>
    <w:rsid w:val="00A27FF3"/>
    <w:rsid w:val="00A3089A"/>
    <w:rsid w:val="00A30A07"/>
    <w:rsid w:val="00A30ACB"/>
    <w:rsid w:val="00A30F9E"/>
    <w:rsid w:val="00A31247"/>
    <w:rsid w:val="00A312EA"/>
    <w:rsid w:val="00A31350"/>
    <w:rsid w:val="00A31850"/>
    <w:rsid w:val="00A31DE9"/>
    <w:rsid w:val="00A3252B"/>
    <w:rsid w:val="00A32DE9"/>
    <w:rsid w:val="00A32DFC"/>
    <w:rsid w:val="00A332E4"/>
    <w:rsid w:val="00A33584"/>
    <w:rsid w:val="00A33E4E"/>
    <w:rsid w:val="00A33E61"/>
    <w:rsid w:val="00A3413E"/>
    <w:rsid w:val="00A34B61"/>
    <w:rsid w:val="00A34D00"/>
    <w:rsid w:val="00A34EDD"/>
    <w:rsid w:val="00A35521"/>
    <w:rsid w:val="00A35818"/>
    <w:rsid w:val="00A35A08"/>
    <w:rsid w:val="00A3631B"/>
    <w:rsid w:val="00A3654D"/>
    <w:rsid w:val="00A369F9"/>
    <w:rsid w:val="00A36F09"/>
    <w:rsid w:val="00A37007"/>
    <w:rsid w:val="00A3744F"/>
    <w:rsid w:val="00A407B0"/>
    <w:rsid w:val="00A40A10"/>
    <w:rsid w:val="00A40D7F"/>
    <w:rsid w:val="00A41591"/>
    <w:rsid w:val="00A416D9"/>
    <w:rsid w:val="00A41A59"/>
    <w:rsid w:val="00A41AFF"/>
    <w:rsid w:val="00A41F5F"/>
    <w:rsid w:val="00A421AA"/>
    <w:rsid w:val="00A42309"/>
    <w:rsid w:val="00A42365"/>
    <w:rsid w:val="00A4237C"/>
    <w:rsid w:val="00A43026"/>
    <w:rsid w:val="00A4334B"/>
    <w:rsid w:val="00A43733"/>
    <w:rsid w:val="00A439C6"/>
    <w:rsid w:val="00A43F6E"/>
    <w:rsid w:val="00A441F2"/>
    <w:rsid w:val="00A444CD"/>
    <w:rsid w:val="00A4503F"/>
    <w:rsid w:val="00A450CC"/>
    <w:rsid w:val="00A46263"/>
    <w:rsid w:val="00A4637E"/>
    <w:rsid w:val="00A46690"/>
    <w:rsid w:val="00A467C1"/>
    <w:rsid w:val="00A46E1D"/>
    <w:rsid w:val="00A47207"/>
    <w:rsid w:val="00A476D2"/>
    <w:rsid w:val="00A47736"/>
    <w:rsid w:val="00A500D8"/>
    <w:rsid w:val="00A50731"/>
    <w:rsid w:val="00A5093E"/>
    <w:rsid w:val="00A50BD1"/>
    <w:rsid w:val="00A51084"/>
    <w:rsid w:val="00A5144D"/>
    <w:rsid w:val="00A5184E"/>
    <w:rsid w:val="00A51961"/>
    <w:rsid w:val="00A51D59"/>
    <w:rsid w:val="00A5221A"/>
    <w:rsid w:val="00A52421"/>
    <w:rsid w:val="00A52494"/>
    <w:rsid w:val="00A52E22"/>
    <w:rsid w:val="00A535F9"/>
    <w:rsid w:val="00A53A5E"/>
    <w:rsid w:val="00A53FB6"/>
    <w:rsid w:val="00A54108"/>
    <w:rsid w:val="00A54982"/>
    <w:rsid w:val="00A549E0"/>
    <w:rsid w:val="00A54C7C"/>
    <w:rsid w:val="00A5505A"/>
    <w:rsid w:val="00A559B9"/>
    <w:rsid w:val="00A560B6"/>
    <w:rsid w:val="00A5666B"/>
    <w:rsid w:val="00A5677A"/>
    <w:rsid w:val="00A5748F"/>
    <w:rsid w:val="00A574F3"/>
    <w:rsid w:val="00A57A7D"/>
    <w:rsid w:val="00A57D5C"/>
    <w:rsid w:val="00A57F00"/>
    <w:rsid w:val="00A60238"/>
    <w:rsid w:val="00A6031D"/>
    <w:rsid w:val="00A60401"/>
    <w:rsid w:val="00A60B19"/>
    <w:rsid w:val="00A60C7F"/>
    <w:rsid w:val="00A6117F"/>
    <w:rsid w:val="00A6159E"/>
    <w:rsid w:val="00A61864"/>
    <w:rsid w:val="00A61C22"/>
    <w:rsid w:val="00A61CDB"/>
    <w:rsid w:val="00A6207A"/>
    <w:rsid w:val="00A625E2"/>
    <w:rsid w:val="00A63194"/>
    <w:rsid w:val="00A6325B"/>
    <w:rsid w:val="00A632C2"/>
    <w:rsid w:val="00A6343C"/>
    <w:rsid w:val="00A63770"/>
    <w:rsid w:val="00A63B7E"/>
    <w:rsid w:val="00A647CD"/>
    <w:rsid w:val="00A64A5F"/>
    <w:rsid w:val="00A64A97"/>
    <w:rsid w:val="00A650A1"/>
    <w:rsid w:val="00A65B72"/>
    <w:rsid w:val="00A66118"/>
    <w:rsid w:val="00A66197"/>
    <w:rsid w:val="00A662B2"/>
    <w:rsid w:val="00A666E8"/>
    <w:rsid w:val="00A67260"/>
    <w:rsid w:val="00A67346"/>
    <w:rsid w:val="00A67619"/>
    <w:rsid w:val="00A700F5"/>
    <w:rsid w:val="00A701D9"/>
    <w:rsid w:val="00A702AD"/>
    <w:rsid w:val="00A70331"/>
    <w:rsid w:val="00A703DF"/>
    <w:rsid w:val="00A706A6"/>
    <w:rsid w:val="00A70769"/>
    <w:rsid w:val="00A70787"/>
    <w:rsid w:val="00A707FD"/>
    <w:rsid w:val="00A70EA9"/>
    <w:rsid w:val="00A715FA"/>
    <w:rsid w:val="00A7174F"/>
    <w:rsid w:val="00A71850"/>
    <w:rsid w:val="00A7216B"/>
    <w:rsid w:val="00A7238B"/>
    <w:rsid w:val="00A7243D"/>
    <w:rsid w:val="00A732AC"/>
    <w:rsid w:val="00A737E1"/>
    <w:rsid w:val="00A73D9E"/>
    <w:rsid w:val="00A73E14"/>
    <w:rsid w:val="00A73E7F"/>
    <w:rsid w:val="00A73E89"/>
    <w:rsid w:val="00A740BE"/>
    <w:rsid w:val="00A742B7"/>
    <w:rsid w:val="00A74B53"/>
    <w:rsid w:val="00A74B6C"/>
    <w:rsid w:val="00A74E73"/>
    <w:rsid w:val="00A74F9D"/>
    <w:rsid w:val="00A7580B"/>
    <w:rsid w:val="00A75899"/>
    <w:rsid w:val="00A75929"/>
    <w:rsid w:val="00A75BDF"/>
    <w:rsid w:val="00A763EF"/>
    <w:rsid w:val="00A767DE"/>
    <w:rsid w:val="00A76E81"/>
    <w:rsid w:val="00A77174"/>
    <w:rsid w:val="00A77A20"/>
    <w:rsid w:val="00A77EA6"/>
    <w:rsid w:val="00A80A33"/>
    <w:rsid w:val="00A810A9"/>
    <w:rsid w:val="00A81121"/>
    <w:rsid w:val="00A811DB"/>
    <w:rsid w:val="00A81516"/>
    <w:rsid w:val="00A826D8"/>
    <w:rsid w:val="00A82937"/>
    <w:rsid w:val="00A829E3"/>
    <w:rsid w:val="00A83032"/>
    <w:rsid w:val="00A83CD0"/>
    <w:rsid w:val="00A8424A"/>
    <w:rsid w:val="00A844C2"/>
    <w:rsid w:val="00A8457E"/>
    <w:rsid w:val="00A848B6"/>
    <w:rsid w:val="00A84B79"/>
    <w:rsid w:val="00A851C1"/>
    <w:rsid w:val="00A852F7"/>
    <w:rsid w:val="00A854EA"/>
    <w:rsid w:val="00A85669"/>
    <w:rsid w:val="00A85CB2"/>
    <w:rsid w:val="00A85CC1"/>
    <w:rsid w:val="00A85FD0"/>
    <w:rsid w:val="00A86251"/>
    <w:rsid w:val="00A869A6"/>
    <w:rsid w:val="00A86BF6"/>
    <w:rsid w:val="00A86E40"/>
    <w:rsid w:val="00A87196"/>
    <w:rsid w:val="00A87A76"/>
    <w:rsid w:val="00A87BCE"/>
    <w:rsid w:val="00A87C81"/>
    <w:rsid w:val="00A906F4"/>
    <w:rsid w:val="00A90A1E"/>
    <w:rsid w:val="00A90B1E"/>
    <w:rsid w:val="00A90C04"/>
    <w:rsid w:val="00A90C21"/>
    <w:rsid w:val="00A90D36"/>
    <w:rsid w:val="00A90E04"/>
    <w:rsid w:val="00A90E3E"/>
    <w:rsid w:val="00A90F47"/>
    <w:rsid w:val="00A91059"/>
    <w:rsid w:val="00A91084"/>
    <w:rsid w:val="00A91363"/>
    <w:rsid w:val="00A914BF"/>
    <w:rsid w:val="00A915BE"/>
    <w:rsid w:val="00A91A45"/>
    <w:rsid w:val="00A91CB3"/>
    <w:rsid w:val="00A920F8"/>
    <w:rsid w:val="00A92757"/>
    <w:rsid w:val="00A92F00"/>
    <w:rsid w:val="00A9314E"/>
    <w:rsid w:val="00A931C6"/>
    <w:rsid w:val="00A934E7"/>
    <w:rsid w:val="00A93517"/>
    <w:rsid w:val="00A9370B"/>
    <w:rsid w:val="00A939DB"/>
    <w:rsid w:val="00A93CCD"/>
    <w:rsid w:val="00A93E3C"/>
    <w:rsid w:val="00A93EBF"/>
    <w:rsid w:val="00A94A2D"/>
    <w:rsid w:val="00A94DAB"/>
    <w:rsid w:val="00A9518B"/>
    <w:rsid w:val="00A95268"/>
    <w:rsid w:val="00A95359"/>
    <w:rsid w:val="00A958F5"/>
    <w:rsid w:val="00A95EFA"/>
    <w:rsid w:val="00A96681"/>
    <w:rsid w:val="00A96A2B"/>
    <w:rsid w:val="00A96AA3"/>
    <w:rsid w:val="00A96BC6"/>
    <w:rsid w:val="00A972B0"/>
    <w:rsid w:val="00A975AD"/>
    <w:rsid w:val="00A9794C"/>
    <w:rsid w:val="00AA0096"/>
    <w:rsid w:val="00AA0178"/>
    <w:rsid w:val="00AA0409"/>
    <w:rsid w:val="00AA0453"/>
    <w:rsid w:val="00AA0736"/>
    <w:rsid w:val="00AA0F53"/>
    <w:rsid w:val="00AA14D3"/>
    <w:rsid w:val="00AA1ECA"/>
    <w:rsid w:val="00AA2311"/>
    <w:rsid w:val="00AA2858"/>
    <w:rsid w:val="00AA2A27"/>
    <w:rsid w:val="00AA2E76"/>
    <w:rsid w:val="00AA32D1"/>
    <w:rsid w:val="00AA3329"/>
    <w:rsid w:val="00AA34AD"/>
    <w:rsid w:val="00AA37FB"/>
    <w:rsid w:val="00AA39DA"/>
    <w:rsid w:val="00AA3A5B"/>
    <w:rsid w:val="00AA3A6E"/>
    <w:rsid w:val="00AA3BAF"/>
    <w:rsid w:val="00AA3F37"/>
    <w:rsid w:val="00AA3F97"/>
    <w:rsid w:val="00AA419D"/>
    <w:rsid w:val="00AA474F"/>
    <w:rsid w:val="00AA49B0"/>
    <w:rsid w:val="00AA49C0"/>
    <w:rsid w:val="00AA4A5D"/>
    <w:rsid w:val="00AA4AE2"/>
    <w:rsid w:val="00AA4AEF"/>
    <w:rsid w:val="00AA4BA9"/>
    <w:rsid w:val="00AA4C83"/>
    <w:rsid w:val="00AA53AA"/>
    <w:rsid w:val="00AA53D3"/>
    <w:rsid w:val="00AA5D41"/>
    <w:rsid w:val="00AA5EF6"/>
    <w:rsid w:val="00AA6205"/>
    <w:rsid w:val="00AA62CB"/>
    <w:rsid w:val="00AA63E8"/>
    <w:rsid w:val="00AA68EF"/>
    <w:rsid w:val="00AA6934"/>
    <w:rsid w:val="00AA69FE"/>
    <w:rsid w:val="00AA6AED"/>
    <w:rsid w:val="00AA6E44"/>
    <w:rsid w:val="00AA7027"/>
    <w:rsid w:val="00AA723B"/>
    <w:rsid w:val="00AA7A01"/>
    <w:rsid w:val="00AA7A80"/>
    <w:rsid w:val="00AB04AC"/>
    <w:rsid w:val="00AB0C76"/>
    <w:rsid w:val="00AB1153"/>
    <w:rsid w:val="00AB11CD"/>
    <w:rsid w:val="00AB1519"/>
    <w:rsid w:val="00AB17A6"/>
    <w:rsid w:val="00AB1BCE"/>
    <w:rsid w:val="00AB2035"/>
    <w:rsid w:val="00AB2113"/>
    <w:rsid w:val="00AB23F2"/>
    <w:rsid w:val="00AB276B"/>
    <w:rsid w:val="00AB2773"/>
    <w:rsid w:val="00AB27AB"/>
    <w:rsid w:val="00AB392C"/>
    <w:rsid w:val="00AB4448"/>
    <w:rsid w:val="00AB4471"/>
    <w:rsid w:val="00AB44E1"/>
    <w:rsid w:val="00AB4B79"/>
    <w:rsid w:val="00AB4DAA"/>
    <w:rsid w:val="00AB4FE5"/>
    <w:rsid w:val="00AB5B4A"/>
    <w:rsid w:val="00AB5DD8"/>
    <w:rsid w:val="00AB61C6"/>
    <w:rsid w:val="00AB6232"/>
    <w:rsid w:val="00AB6276"/>
    <w:rsid w:val="00AB64F1"/>
    <w:rsid w:val="00AB673B"/>
    <w:rsid w:val="00AB679D"/>
    <w:rsid w:val="00AB6A71"/>
    <w:rsid w:val="00AB74E0"/>
    <w:rsid w:val="00AB757A"/>
    <w:rsid w:val="00AB75A8"/>
    <w:rsid w:val="00AC0125"/>
    <w:rsid w:val="00AC078A"/>
    <w:rsid w:val="00AC0880"/>
    <w:rsid w:val="00AC0BBC"/>
    <w:rsid w:val="00AC1513"/>
    <w:rsid w:val="00AC1A15"/>
    <w:rsid w:val="00AC1EFD"/>
    <w:rsid w:val="00AC1F13"/>
    <w:rsid w:val="00AC21AB"/>
    <w:rsid w:val="00AC2A97"/>
    <w:rsid w:val="00AC2D0C"/>
    <w:rsid w:val="00AC2EE7"/>
    <w:rsid w:val="00AC2FDA"/>
    <w:rsid w:val="00AC3B05"/>
    <w:rsid w:val="00AC3FF8"/>
    <w:rsid w:val="00AC4EF5"/>
    <w:rsid w:val="00AC50C8"/>
    <w:rsid w:val="00AC51FE"/>
    <w:rsid w:val="00AC5552"/>
    <w:rsid w:val="00AC55FF"/>
    <w:rsid w:val="00AC5753"/>
    <w:rsid w:val="00AC5BC8"/>
    <w:rsid w:val="00AC60E2"/>
    <w:rsid w:val="00AC6205"/>
    <w:rsid w:val="00AC62ED"/>
    <w:rsid w:val="00AC6849"/>
    <w:rsid w:val="00AC6977"/>
    <w:rsid w:val="00AC6C30"/>
    <w:rsid w:val="00AC6EC9"/>
    <w:rsid w:val="00AC70F2"/>
    <w:rsid w:val="00AC752E"/>
    <w:rsid w:val="00AC759F"/>
    <w:rsid w:val="00AC777F"/>
    <w:rsid w:val="00AC77F9"/>
    <w:rsid w:val="00AC7C54"/>
    <w:rsid w:val="00AC7F09"/>
    <w:rsid w:val="00AD05FC"/>
    <w:rsid w:val="00AD08B1"/>
    <w:rsid w:val="00AD08F4"/>
    <w:rsid w:val="00AD11F9"/>
    <w:rsid w:val="00AD149D"/>
    <w:rsid w:val="00AD17E4"/>
    <w:rsid w:val="00AD1C22"/>
    <w:rsid w:val="00AD22D1"/>
    <w:rsid w:val="00AD22D3"/>
    <w:rsid w:val="00AD2509"/>
    <w:rsid w:val="00AD2549"/>
    <w:rsid w:val="00AD27CD"/>
    <w:rsid w:val="00AD296D"/>
    <w:rsid w:val="00AD2D6C"/>
    <w:rsid w:val="00AD2FDD"/>
    <w:rsid w:val="00AD32B5"/>
    <w:rsid w:val="00AD32DB"/>
    <w:rsid w:val="00AD35D9"/>
    <w:rsid w:val="00AD3BDA"/>
    <w:rsid w:val="00AD3BE6"/>
    <w:rsid w:val="00AD3E28"/>
    <w:rsid w:val="00AD4139"/>
    <w:rsid w:val="00AD42F0"/>
    <w:rsid w:val="00AD435A"/>
    <w:rsid w:val="00AD4586"/>
    <w:rsid w:val="00AD4D35"/>
    <w:rsid w:val="00AD4D40"/>
    <w:rsid w:val="00AD5294"/>
    <w:rsid w:val="00AD55EE"/>
    <w:rsid w:val="00AD5C25"/>
    <w:rsid w:val="00AD5DC7"/>
    <w:rsid w:val="00AD65C7"/>
    <w:rsid w:val="00AD6E65"/>
    <w:rsid w:val="00AD714F"/>
    <w:rsid w:val="00AD7202"/>
    <w:rsid w:val="00AD74EC"/>
    <w:rsid w:val="00AD7BC5"/>
    <w:rsid w:val="00AD7D7F"/>
    <w:rsid w:val="00AD7FC4"/>
    <w:rsid w:val="00AE0581"/>
    <w:rsid w:val="00AE0C4B"/>
    <w:rsid w:val="00AE0C6F"/>
    <w:rsid w:val="00AE0DC9"/>
    <w:rsid w:val="00AE0E89"/>
    <w:rsid w:val="00AE13AF"/>
    <w:rsid w:val="00AE13D5"/>
    <w:rsid w:val="00AE1744"/>
    <w:rsid w:val="00AE194B"/>
    <w:rsid w:val="00AE1B21"/>
    <w:rsid w:val="00AE2304"/>
    <w:rsid w:val="00AE25E2"/>
    <w:rsid w:val="00AE3842"/>
    <w:rsid w:val="00AE3C77"/>
    <w:rsid w:val="00AE3FC6"/>
    <w:rsid w:val="00AE41E1"/>
    <w:rsid w:val="00AE4A21"/>
    <w:rsid w:val="00AE4E0A"/>
    <w:rsid w:val="00AE55F8"/>
    <w:rsid w:val="00AE583D"/>
    <w:rsid w:val="00AE5D92"/>
    <w:rsid w:val="00AE5DF7"/>
    <w:rsid w:val="00AE66DC"/>
    <w:rsid w:val="00AE6763"/>
    <w:rsid w:val="00AE68D8"/>
    <w:rsid w:val="00AE6C7A"/>
    <w:rsid w:val="00AE703F"/>
    <w:rsid w:val="00AE71B2"/>
    <w:rsid w:val="00AE7520"/>
    <w:rsid w:val="00AE78FF"/>
    <w:rsid w:val="00AE7AFD"/>
    <w:rsid w:val="00AE7DF9"/>
    <w:rsid w:val="00AF03B9"/>
    <w:rsid w:val="00AF06F9"/>
    <w:rsid w:val="00AF08A7"/>
    <w:rsid w:val="00AF0B64"/>
    <w:rsid w:val="00AF0D80"/>
    <w:rsid w:val="00AF0DAA"/>
    <w:rsid w:val="00AF118E"/>
    <w:rsid w:val="00AF1204"/>
    <w:rsid w:val="00AF156C"/>
    <w:rsid w:val="00AF1AED"/>
    <w:rsid w:val="00AF1D8F"/>
    <w:rsid w:val="00AF243F"/>
    <w:rsid w:val="00AF264A"/>
    <w:rsid w:val="00AF27C2"/>
    <w:rsid w:val="00AF2B5F"/>
    <w:rsid w:val="00AF2C61"/>
    <w:rsid w:val="00AF3B02"/>
    <w:rsid w:val="00AF3F78"/>
    <w:rsid w:val="00AF3FC7"/>
    <w:rsid w:val="00AF401A"/>
    <w:rsid w:val="00AF43B5"/>
    <w:rsid w:val="00AF44BD"/>
    <w:rsid w:val="00AF458D"/>
    <w:rsid w:val="00AF45D8"/>
    <w:rsid w:val="00AF4965"/>
    <w:rsid w:val="00AF5334"/>
    <w:rsid w:val="00AF566D"/>
    <w:rsid w:val="00AF56ED"/>
    <w:rsid w:val="00AF5757"/>
    <w:rsid w:val="00AF5B81"/>
    <w:rsid w:val="00AF5ED4"/>
    <w:rsid w:val="00AF60ED"/>
    <w:rsid w:val="00AF634A"/>
    <w:rsid w:val="00AF655C"/>
    <w:rsid w:val="00AF6939"/>
    <w:rsid w:val="00AF6D99"/>
    <w:rsid w:val="00AF6EDC"/>
    <w:rsid w:val="00AF7680"/>
    <w:rsid w:val="00AF7973"/>
    <w:rsid w:val="00B00448"/>
    <w:rsid w:val="00B00634"/>
    <w:rsid w:val="00B006D4"/>
    <w:rsid w:val="00B00721"/>
    <w:rsid w:val="00B00C28"/>
    <w:rsid w:val="00B01243"/>
    <w:rsid w:val="00B01519"/>
    <w:rsid w:val="00B02096"/>
    <w:rsid w:val="00B022CA"/>
    <w:rsid w:val="00B0256C"/>
    <w:rsid w:val="00B02657"/>
    <w:rsid w:val="00B02959"/>
    <w:rsid w:val="00B030F5"/>
    <w:rsid w:val="00B03142"/>
    <w:rsid w:val="00B033E1"/>
    <w:rsid w:val="00B036EE"/>
    <w:rsid w:val="00B037E3"/>
    <w:rsid w:val="00B03BC4"/>
    <w:rsid w:val="00B03D3B"/>
    <w:rsid w:val="00B043E8"/>
    <w:rsid w:val="00B04804"/>
    <w:rsid w:val="00B048D6"/>
    <w:rsid w:val="00B04908"/>
    <w:rsid w:val="00B04EE3"/>
    <w:rsid w:val="00B05723"/>
    <w:rsid w:val="00B059CB"/>
    <w:rsid w:val="00B05FF6"/>
    <w:rsid w:val="00B060E0"/>
    <w:rsid w:val="00B066A0"/>
    <w:rsid w:val="00B06810"/>
    <w:rsid w:val="00B0681D"/>
    <w:rsid w:val="00B06947"/>
    <w:rsid w:val="00B06B7C"/>
    <w:rsid w:val="00B0700B"/>
    <w:rsid w:val="00B077F9"/>
    <w:rsid w:val="00B10047"/>
    <w:rsid w:val="00B100FE"/>
    <w:rsid w:val="00B10132"/>
    <w:rsid w:val="00B1033B"/>
    <w:rsid w:val="00B10488"/>
    <w:rsid w:val="00B10565"/>
    <w:rsid w:val="00B110CC"/>
    <w:rsid w:val="00B110D0"/>
    <w:rsid w:val="00B11673"/>
    <w:rsid w:val="00B119A9"/>
    <w:rsid w:val="00B11A0F"/>
    <w:rsid w:val="00B11ED2"/>
    <w:rsid w:val="00B123F6"/>
    <w:rsid w:val="00B127D4"/>
    <w:rsid w:val="00B12924"/>
    <w:rsid w:val="00B12ACE"/>
    <w:rsid w:val="00B12F2D"/>
    <w:rsid w:val="00B13114"/>
    <w:rsid w:val="00B13BA2"/>
    <w:rsid w:val="00B1407C"/>
    <w:rsid w:val="00B14143"/>
    <w:rsid w:val="00B148D4"/>
    <w:rsid w:val="00B14BB9"/>
    <w:rsid w:val="00B14E79"/>
    <w:rsid w:val="00B14F1C"/>
    <w:rsid w:val="00B14FF7"/>
    <w:rsid w:val="00B1500C"/>
    <w:rsid w:val="00B16193"/>
    <w:rsid w:val="00B16938"/>
    <w:rsid w:val="00B1739D"/>
    <w:rsid w:val="00B17C84"/>
    <w:rsid w:val="00B20125"/>
    <w:rsid w:val="00B205B5"/>
    <w:rsid w:val="00B207B8"/>
    <w:rsid w:val="00B207EB"/>
    <w:rsid w:val="00B20822"/>
    <w:rsid w:val="00B20BAF"/>
    <w:rsid w:val="00B20FE7"/>
    <w:rsid w:val="00B21824"/>
    <w:rsid w:val="00B220D5"/>
    <w:rsid w:val="00B22E0D"/>
    <w:rsid w:val="00B23248"/>
    <w:rsid w:val="00B236C9"/>
    <w:rsid w:val="00B23970"/>
    <w:rsid w:val="00B23D2B"/>
    <w:rsid w:val="00B24825"/>
    <w:rsid w:val="00B24BD9"/>
    <w:rsid w:val="00B24DBB"/>
    <w:rsid w:val="00B25108"/>
    <w:rsid w:val="00B25129"/>
    <w:rsid w:val="00B25A95"/>
    <w:rsid w:val="00B26057"/>
    <w:rsid w:val="00B261C1"/>
    <w:rsid w:val="00B26A4A"/>
    <w:rsid w:val="00B26C6F"/>
    <w:rsid w:val="00B27044"/>
    <w:rsid w:val="00B2704C"/>
    <w:rsid w:val="00B27106"/>
    <w:rsid w:val="00B27924"/>
    <w:rsid w:val="00B27AFF"/>
    <w:rsid w:val="00B27CA5"/>
    <w:rsid w:val="00B27EA1"/>
    <w:rsid w:val="00B30401"/>
    <w:rsid w:val="00B304A3"/>
    <w:rsid w:val="00B304EB"/>
    <w:rsid w:val="00B3066C"/>
    <w:rsid w:val="00B30849"/>
    <w:rsid w:val="00B308B5"/>
    <w:rsid w:val="00B31354"/>
    <w:rsid w:val="00B31378"/>
    <w:rsid w:val="00B31D75"/>
    <w:rsid w:val="00B31DC7"/>
    <w:rsid w:val="00B31F95"/>
    <w:rsid w:val="00B32184"/>
    <w:rsid w:val="00B3237D"/>
    <w:rsid w:val="00B32397"/>
    <w:rsid w:val="00B3256C"/>
    <w:rsid w:val="00B325DD"/>
    <w:rsid w:val="00B32622"/>
    <w:rsid w:val="00B32775"/>
    <w:rsid w:val="00B32C97"/>
    <w:rsid w:val="00B334BE"/>
    <w:rsid w:val="00B3362B"/>
    <w:rsid w:val="00B338C3"/>
    <w:rsid w:val="00B3410A"/>
    <w:rsid w:val="00B34288"/>
    <w:rsid w:val="00B34401"/>
    <w:rsid w:val="00B344FE"/>
    <w:rsid w:val="00B34835"/>
    <w:rsid w:val="00B34F4E"/>
    <w:rsid w:val="00B35010"/>
    <w:rsid w:val="00B3552B"/>
    <w:rsid w:val="00B35923"/>
    <w:rsid w:val="00B35931"/>
    <w:rsid w:val="00B359A9"/>
    <w:rsid w:val="00B35C72"/>
    <w:rsid w:val="00B35DB6"/>
    <w:rsid w:val="00B360CF"/>
    <w:rsid w:val="00B36372"/>
    <w:rsid w:val="00B363AE"/>
    <w:rsid w:val="00B36A75"/>
    <w:rsid w:val="00B36CAD"/>
    <w:rsid w:val="00B36CAE"/>
    <w:rsid w:val="00B36E67"/>
    <w:rsid w:val="00B3740B"/>
    <w:rsid w:val="00B377AE"/>
    <w:rsid w:val="00B37838"/>
    <w:rsid w:val="00B379E7"/>
    <w:rsid w:val="00B37D27"/>
    <w:rsid w:val="00B37D3E"/>
    <w:rsid w:val="00B401F9"/>
    <w:rsid w:val="00B40226"/>
    <w:rsid w:val="00B4035A"/>
    <w:rsid w:val="00B40945"/>
    <w:rsid w:val="00B41C8A"/>
    <w:rsid w:val="00B426D7"/>
    <w:rsid w:val="00B42CF9"/>
    <w:rsid w:val="00B42FBE"/>
    <w:rsid w:val="00B43425"/>
    <w:rsid w:val="00B4350F"/>
    <w:rsid w:val="00B438CC"/>
    <w:rsid w:val="00B43C5D"/>
    <w:rsid w:val="00B4402C"/>
    <w:rsid w:val="00B44280"/>
    <w:rsid w:val="00B447BF"/>
    <w:rsid w:val="00B447E8"/>
    <w:rsid w:val="00B44970"/>
    <w:rsid w:val="00B44B1F"/>
    <w:rsid w:val="00B44F24"/>
    <w:rsid w:val="00B452FD"/>
    <w:rsid w:val="00B45491"/>
    <w:rsid w:val="00B4592F"/>
    <w:rsid w:val="00B45951"/>
    <w:rsid w:val="00B45F6B"/>
    <w:rsid w:val="00B46496"/>
    <w:rsid w:val="00B46E80"/>
    <w:rsid w:val="00B46F08"/>
    <w:rsid w:val="00B46F20"/>
    <w:rsid w:val="00B4708D"/>
    <w:rsid w:val="00B47A73"/>
    <w:rsid w:val="00B47BF8"/>
    <w:rsid w:val="00B508DB"/>
    <w:rsid w:val="00B50CC7"/>
    <w:rsid w:val="00B50D0F"/>
    <w:rsid w:val="00B517D5"/>
    <w:rsid w:val="00B51970"/>
    <w:rsid w:val="00B51A57"/>
    <w:rsid w:val="00B51B54"/>
    <w:rsid w:val="00B51CA9"/>
    <w:rsid w:val="00B51CD8"/>
    <w:rsid w:val="00B51D3C"/>
    <w:rsid w:val="00B52044"/>
    <w:rsid w:val="00B52046"/>
    <w:rsid w:val="00B52160"/>
    <w:rsid w:val="00B52993"/>
    <w:rsid w:val="00B52D6C"/>
    <w:rsid w:val="00B5302C"/>
    <w:rsid w:val="00B533B6"/>
    <w:rsid w:val="00B53504"/>
    <w:rsid w:val="00B5368A"/>
    <w:rsid w:val="00B536AC"/>
    <w:rsid w:val="00B53807"/>
    <w:rsid w:val="00B53819"/>
    <w:rsid w:val="00B53B2D"/>
    <w:rsid w:val="00B5440C"/>
    <w:rsid w:val="00B5533E"/>
    <w:rsid w:val="00B554A3"/>
    <w:rsid w:val="00B556AA"/>
    <w:rsid w:val="00B55C52"/>
    <w:rsid w:val="00B56467"/>
    <w:rsid w:val="00B56D3B"/>
    <w:rsid w:val="00B56DE2"/>
    <w:rsid w:val="00B570A2"/>
    <w:rsid w:val="00B5761D"/>
    <w:rsid w:val="00B5792F"/>
    <w:rsid w:val="00B57D7B"/>
    <w:rsid w:val="00B57F02"/>
    <w:rsid w:val="00B6018C"/>
    <w:rsid w:val="00B605AA"/>
    <w:rsid w:val="00B608E8"/>
    <w:rsid w:val="00B6138C"/>
    <w:rsid w:val="00B61C50"/>
    <w:rsid w:val="00B61D64"/>
    <w:rsid w:val="00B620B1"/>
    <w:rsid w:val="00B627FC"/>
    <w:rsid w:val="00B63290"/>
    <w:rsid w:val="00B6335E"/>
    <w:rsid w:val="00B633A0"/>
    <w:rsid w:val="00B634F8"/>
    <w:rsid w:val="00B63760"/>
    <w:rsid w:val="00B63F6E"/>
    <w:rsid w:val="00B6439E"/>
    <w:rsid w:val="00B6477D"/>
    <w:rsid w:val="00B64C7B"/>
    <w:rsid w:val="00B64F94"/>
    <w:rsid w:val="00B654F3"/>
    <w:rsid w:val="00B658FF"/>
    <w:rsid w:val="00B669F3"/>
    <w:rsid w:val="00B66B1F"/>
    <w:rsid w:val="00B66BBF"/>
    <w:rsid w:val="00B66CC4"/>
    <w:rsid w:val="00B66EF6"/>
    <w:rsid w:val="00B67165"/>
    <w:rsid w:val="00B6742C"/>
    <w:rsid w:val="00B67A6B"/>
    <w:rsid w:val="00B67AAC"/>
    <w:rsid w:val="00B7024C"/>
    <w:rsid w:val="00B71205"/>
    <w:rsid w:val="00B71329"/>
    <w:rsid w:val="00B71B06"/>
    <w:rsid w:val="00B71C16"/>
    <w:rsid w:val="00B71F52"/>
    <w:rsid w:val="00B72574"/>
    <w:rsid w:val="00B72A8F"/>
    <w:rsid w:val="00B72FD0"/>
    <w:rsid w:val="00B73654"/>
    <w:rsid w:val="00B73888"/>
    <w:rsid w:val="00B73972"/>
    <w:rsid w:val="00B739B7"/>
    <w:rsid w:val="00B73BA1"/>
    <w:rsid w:val="00B74954"/>
    <w:rsid w:val="00B74AFD"/>
    <w:rsid w:val="00B74F2A"/>
    <w:rsid w:val="00B7533C"/>
    <w:rsid w:val="00B755BD"/>
    <w:rsid w:val="00B759E5"/>
    <w:rsid w:val="00B75A7E"/>
    <w:rsid w:val="00B75C5C"/>
    <w:rsid w:val="00B75D9C"/>
    <w:rsid w:val="00B75F66"/>
    <w:rsid w:val="00B75F76"/>
    <w:rsid w:val="00B75FFE"/>
    <w:rsid w:val="00B7605C"/>
    <w:rsid w:val="00B7628C"/>
    <w:rsid w:val="00B7669F"/>
    <w:rsid w:val="00B76767"/>
    <w:rsid w:val="00B768BC"/>
    <w:rsid w:val="00B76FB0"/>
    <w:rsid w:val="00B772B5"/>
    <w:rsid w:val="00B77EBB"/>
    <w:rsid w:val="00B803CF"/>
    <w:rsid w:val="00B80B71"/>
    <w:rsid w:val="00B80E8D"/>
    <w:rsid w:val="00B81174"/>
    <w:rsid w:val="00B8122E"/>
    <w:rsid w:val="00B8182D"/>
    <w:rsid w:val="00B8185C"/>
    <w:rsid w:val="00B82012"/>
    <w:rsid w:val="00B82183"/>
    <w:rsid w:val="00B82A5E"/>
    <w:rsid w:val="00B83506"/>
    <w:rsid w:val="00B8381B"/>
    <w:rsid w:val="00B83878"/>
    <w:rsid w:val="00B83A6B"/>
    <w:rsid w:val="00B83BBB"/>
    <w:rsid w:val="00B84DC1"/>
    <w:rsid w:val="00B8539C"/>
    <w:rsid w:val="00B85B0F"/>
    <w:rsid w:val="00B85CA3"/>
    <w:rsid w:val="00B86054"/>
    <w:rsid w:val="00B860F9"/>
    <w:rsid w:val="00B86476"/>
    <w:rsid w:val="00B86C22"/>
    <w:rsid w:val="00B86FE9"/>
    <w:rsid w:val="00B87032"/>
    <w:rsid w:val="00B8728E"/>
    <w:rsid w:val="00B8742A"/>
    <w:rsid w:val="00B87507"/>
    <w:rsid w:val="00B87A42"/>
    <w:rsid w:val="00B87CAD"/>
    <w:rsid w:val="00B87E3F"/>
    <w:rsid w:val="00B9025B"/>
    <w:rsid w:val="00B90759"/>
    <w:rsid w:val="00B90D30"/>
    <w:rsid w:val="00B91426"/>
    <w:rsid w:val="00B917B0"/>
    <w:rsid w:val="00B91EB7"/>
    <w:rsid w:val="00B91F55"/>
    <w:rsid w:val="00B92272"/>
    <w:rsid w:val="00B9243D"/>
    <w:rsid w:val="00B926CC"/>
    <w:rsid w:val="00B92756"/>
    <w:rsid w:val="00B92A41"/>
    <w:rsid w:val="00B93171"/>
    <w:rsid w:val="00B93498"/>
    <w:rsid w:val="00B934B3"/>
    <w:rsid w:val="00B939B6"/>
    <w:rsid w:val="00B9499E"/>
    <w:rsid w:val="00B94B80"/>
    <w:rsid w:val="00B94BD9"/>
    <w:rsid w:val="00B94BF8"/>
    <w:rsid w:val="00B94FA1"/>
    <w:rsid w:val="00B9568A"/>
    <w:rsid w:val="00B95711"/>
    <w:rsid w:val="00B958EE"/>
    <w:rsid w:val="00B95A52"/>
    <w:rsid w:val="00B95F48"/>
    <w:rsid w:val="00B96097"/>
    <w:rsid w:val="00B967FC"/>
    <w:rsid w:val="00B96B37"/>
    <w:rsid w:val="00B96C2D"/>
    <w:rsid w:val="00B96E5A"/>
    <w:rsid w:val="00B96FAD"/>
    <w:rsid w:val="00B979CC"/>
    <w:rsid w:val="00B97C69"/>
    <w:rsid w:val="00BA043C"/>
    <w:rsid w:val="00BA057A"/>
    <w:rsid w:val="00BA0596"/>
    <w:rsid w:val="00BA07D0"/>
    <w:rsid w:val="00BA0951"/>
    <w:rsid w:val="00BA0B75"/>
    <w:rsid w:val="00BA0E77"/>
    <w:rsid w:val="00BA0EC8"/>
    <w:rsid w:val="00BA1591"/>
    <w:rsid w:val="00BA1A16"/>
    <w:rsid w:val="00BA1A63"/>
    <w:rsid w:val="00BA1B54"/>
    <w:rsid w:val="00BA1D4C"/>
    <w:rsid w:val="00BA1F32"/>
    <w:rsid w:val="00BA28E0"/>
    <w:rsid w:val="00BA2ACD"/>
    <w:rsid w:val="00BA2D0B"/>
    <w:rsid w:val="00BA2F2C"/>
    <w:rsid w:val="00BA36E5"/>
    <w:rsid w:val="00BA38F9"/>
    <w:rsid w:val="00BA395A"/>
    <w:rsid w:val="00BA4146"/>
    <w:rsid w:val="00BA4312"/>
    <w:rsid w:val="00BA4339"/>
    <w:rsid w:val="00BA45AB"/>
    <w:rsid w:val="00BA49F9"/>
    <w:rsid w:val="00BA4BFC"/>
    <w:rsid w:val="00BA4E93"/>
    <w:rsid w:val="00BA57ED"/>
    <w:rsid w:val="00BA5972"/>
    <w:rsid w:val="00BA59B3"/>
    <w:rsid w:val="00BA5DE6"/>
    <w:rsid w:val="00BA621D"/>
    <w:rsid w:val="00BA63DE"/>
    <w:rsid w:val="00BA63E6"/>
    <w:rsid w:val="00BA65F9"/>
    <w:rsid w:val="00BA67ED"/>
    <w:rsid w:val="00BA6822"/>
    <w:rsid w:val="00BA6B94"/>
    <w:rsid w:val="00BA6D46"/>
    <w:rsid w:val="00BA6DC4"/>
    <w:rsid w:val="00BA6F06"/>
    <w:rsid w:val="00BA7B34"/>
    <w:rsid w:val="00BA7D91"/>
    <w:rsid w:val="00BB0373"/>
    <w:rsid w:val="00BB0A82"/>
    <w:rsid w:val="00BB0E79"/>
    <w:rsid w:val="00BB0F55"/>
    <w:rsid w:val="00BB13B9"/>
    <w:rsid w:val="00BB14AF"/>
    <w:rsid w:val="00BB1FB8"/>
    <w:rsid w:val="00BB2135"/>
    <w:rsid w:val="00BB2237"/>
    <w:rsid w:val="00BB2557"/>
    <w:rsid w:val="00BB2D79"/>
    <w:rsid w:val="00BB2F7D"/>
    <w:rsid w:val="00BB312E"/>
    <w:rsid w:val="00BB3755"/>
    <w:rsid w:val="00BB3791"/>
    <w:rsid w:val="00BB3A11"/>
    <w:rsid w:val="00BB4067"/>
    <w:rsid w:val="00BB41A8"/>
    <w:rsid w:val="00BB4621"/>
    <w:rsid w:val="00BB476C"/>
    <w:rsid w:val="00BB49BF"/>
    <w:rsid w:val="00BB545F"/>
    <w:rsid w:val="00BB5AB8"/>
    <w:rsid w:val="00BB5D9E"/>
    <w:rsid w:val="00BB5F3E"/>
    <w:rsid w:val="00BB6017"/>
    <w:rsid w:val="00BB6334"/>
    <w:rsid w:val="00BB6342"/>
    <w:rsid w:val="00BB63F7"/>
    <w:rsid w:val="00BB6AE3"/>
    <w:rsid w:val="00BB7384"/>
    <w:rsid w:val="00BB765E"/>
    <w:rsid w:val="00BB76BB"/>
    <w:rsid w:val="00BB7DDB"/>
    <w:rsid w:val="00BC03C7"/>
    <w:rsid w:val="00BC046B"/>
    <w:rsid w:val="00BC0698"/>
    <w:rsid w:val="00BC190B"/>
    <w:rsid w:val="00BC1E3E"/>
    <w:rsid w:val="00BC2AAD"/>
    <w:rsid w:val="00BC2B3A"/>
    <w:rsid w:val="00BC2CD8"/>
    <w:rsid w:val="00BC2DFA"/>
    <w:rsid w:val="00BC2EC4"/>
    <w:rsid w:val="00BC312F"/>
    <w:rsid w:val="00BC31F9"/>
    <w:rsid w:val="00BC3233"/>
    <w:rsid w:val="00BC40D7"/>
    <w:rsid w:val="00BC41A8"/>
    <w:rsid w:val="00BC428B"/>
    <w:rsid w:val="00BC4711"/>
    <w:rsid w:val="00BC4B4F"/>
    <w:rsid w:val="00BC4C4C"/>
    <w:rsid w:val="00BC4E5B"/>
    <w:rsid w:val="00BC50B6"/>
    <w:rsid w:val="00BC510A"/>
    <w:rsid w:val="00BC5D55"/>
    <w:rsid w:val="00BC5D83"/>
    <w:rsid w:val="00BC5E24"/>
    <w:rsid w:val="00BC5E61"/>
    <w:rsid w:val="00BC6043"/>
    <w:rsid w:val="00BC66B4"/>
    <w:rsid w:val="00BC6961"/>
    <w:rsid w:val="00BC6F31"/>
    <w:rsid w:val="00BC6F70"/>
    <w:rsid w:val="00BC79A9"/>
    <w:rsid w:val="00BC7C04"/>
    <w:rsid w:val="00BD0055"/>
    <w:rsid w:val="00BD009D"/>
    <w:rsid w:val="00BD0512"/>
    <w:rsid w:val="00BD061D"/>
    <w:rsid w:val="00BD0794"/>
    <w:rsid w:val="00BD200D"/>
    <w:rsid w:val="00BD2018"/>
    <w:rsid w:val="00BD206C"/>
    <w:rsid w:val="00BD2384"/>
    <w:rsid w:val="00BD26F5"/>
    <w:rsid w:val="00BD2B47"/>
    <w:rsid w:val="00BD2BCC"/>
    <w:rsid w:val="00BD2C2C"/>
    <w:rsid w:val="00BD2D65"/>
    <w:rsid w:val="00BD2DD5"/>
    <w:rsid w:val="00BD2F0E"/>
    <w:rsid w:val="00BD30C1"/>
    <w:rsid w:val="00BD3352"/>
    <w:rsid w:val="00BD3B40"/>
    <w:rsid w:val="00BD3BE2"/>
    <w:rsid w:val="00BD4487"/>
    <w:rsid w:val="00BD4CBC"/>
    <w:rsid w:val="00BD531C"/>
    <w:rsid w:val="00BD5E30"/>
    <w:rsid w:val="00BD603E"/>
    <w:rsid w:val="00BD6386"/>
    <w:rsid w:val="00BD64FC"/>
    <w:rsid w:val="00BD66C2"/>
    <w:rsid w:val="00BD6E23"/>
    <w:rsid w:val="00BD6F6E"/>
    <w:rsid w:val="00BD6FC4"/>
    <w:rsid w:val="00BD7323"/>
    <w:rsid w:val="00BD7650"/>
    <w:rsid w:val="00BE0445"/>
    <w:rsid w:val="00BE04FD"/>
    <w:rsid w:val="00BE07D0"/>
    <w:rsid w:val="00BE0A48"/>
    <w:rsid w:val="00BE0BF6"/>
    <w:rsid w:val="00BE1616"/>
    <w:rsid w:val="00BE17C3"/>
    <w:rsid w:val="00BE1B5C"/>
    <w:rsid w:val="00BE1B97"/>
    <w:rsid w:val="00BE20AA"/>
    <w:rsid w:val="00BE20BC"/>
    <w:rsid w:val="00BE2667"/>
    <w:rsid w:val="00BE272B"/>
    <w:rsid w:val="00BE2EB9"/>
    <w:rsid w:val="00BE2EF6"/>
    <w:rsid w:val="00BE312C"/>
    <w:rsid w:val="00BE3475"/>
    <w:rsid w:val="00BE38F4"/>
    <w:rsid w:val="00BE395E"/>
    <w:rsid w:val="00BE3B39"/>
    <w:rsid w:val="00BE42A2"/>
    <w:rsid w:val="00BE43BF"/>
    <w:rsid w:val="00BE4722"/>
    <w:rsid w:val="00BE4ACB"/>
    <w:rsid w:val="00BE4B7D"/>
    <w:rsid w:val="00BE4CEE"/>
    <w:rsid w:val="00BE4CF8"/>
    <w:rsid w:val="00BE519B"/>
    <w:rsid w:val="00BE53C9"/>
    <w:rsid w:val="00BE58A7"/>
    <w:rsid w:val="00BE5CCC"/>
    <w:rsid w:val="00BE6405"/>
    <w:rsid w:val="00BE6926"/>
    <w:rsid w:val="00BE6BDC"/>
    <w:rsid w:val="00BE74E5"/>
    <w:rsid w:val="00BF03C4"/>
    <w:rsid w:val="00BF0A5F"/>
    <w:rsid w:val="00BF0BF7"/>
    <w:rsid w:val="00BF0DE5"/>
    <w:rsid w:val="00BF170A"/>
    <w:rsid w:val="00BF1832"/>
    <w:rsid w:val="00BF18F1"/>
    <w:rsid w:val="00BF20FC"/>
    <w:rsid w:val="00BF2204"/>
    <w:rsid w:val="00BF2414"/>
    <w:rsid w:val="00BF2F4D"/>
    <w:rsid w:val="00BF32B6"/>
    <w:rsid w:val="00BF35A3"/>
    <w:rsid w:val="00BF3667"/>
    <w:rsid w:val="00BF3C1A"/>
    <w:rsid w:val="00BF403E"/>
    <w:rsid w:val="00BF423C"/>
    <w:rsid w:val="00BF4515"/>
    <w:rsid w:val="00BF49D6"/>
    <w:rsid w:val="00BF4D32"/>
    <w:rsid w:val="00BF4D4E"/>
    <w:rsid w:val="00BF4EAD"/>
    <w:rsid w:val="00BF4F20"/>
    <w:rsid w:val="00BF56F8"/>
    <w:rsid w:val="00BF6354"/>
    <w:rsid w:val="00BF640A"/>
    <w:rsid w:val="00BF68B3"/>
    <w:rsid w:val="00BF6AA5"/>
    <w:rsid w:val="00BF6C39"/>
    <w:rsid w:val="00BF6C5E"/>
    <w:rsid w:val="00BF6DC3"/>
    <w:rsid w:val="00BF7012"/>
    <w:rsid w:val="00BF72F7"/>
    <w:rsid w:val="00BF7917"/>
    <w:rsid w:val="00BF7D2F"/>
    <w:rsid w:val="00C00036"/>
    <w:rsid w:val="00C0037C"/>
    <w:rsid w:val="00C006EE"/>
    <w:rsid w:val="00C00845"/>
    <w:rsid w:val="00C00A60"/>
    <w:rsid w:val="00C0142E"/>
    <w:rsid w:val="00C01DD1"/>
    <w:rsid w:val="00C01E6A"/>
    <w:rsid w:val="00C01F2D"/>
    <w:rsid w:val="00C02315"/>
    <w:rsid w:val="00C0231D"/>
    <w:rsid w:val="00C02451"/>
    <w:rsid w:val="00C026C7"/>
    <w:rsid w:val="00C0307F"/>
    <w:rsid w:val="00C030FD"/>
    <w:rsid w:val="00C03D93"/>
    <w:rsid w:val="00C03FE9"/>
    <w:rsid w:val="00C046F7"/>
    <w:rsid w:val="00C04A7F"/>
    <w:rsid w:val="00C04ACB"/>
    <w:rsid w:val="00C04B12"/>
    <w:rsid w:val="00C04B7E"/>
    <w:rsid w:val="00C04E11"/>
    <w:rsid w:val="00C04EAD"/>
    <w:rsid w:val="00C053FF"/>
    <w:rsid w:val="00C05DB8"/>
    <w:rsid w:val="00C05F47"/>
    <w:rsid w:val="00C05F56"/>
    <w:rsid w:val="00C066D2"/>
    <w:rsid w:val="00C067A9"/>
    <w:rsid w:val="00C06CF1"/>
    <w:rsid w:val="00C06D9A"/>
    <w:rsid w:val="00C06EEA"/>
    <w:rsid w:val="00C06FB9"/>
    <w:rsid w:val="00C074AE"/>
    <w:rsid w:val="00C10029"/>
    <w:rsid w:val="00C1023C"/>
    <w:rsid w:val="00C106BE"/>
    <w:rsid w:val="00C108DE"/>
    <w:rsid w:val="00C10AF9"/>
    <w:rsid w:val="00C10CE7"/>
    <w:rsid w:val="00C10D74"/>
    <w:rsid w:val="00C111D5"/>
    <w:rsid w:val="00C113FD"/>
    <w:rsid w:val="00C116FE"/>
    <w:rsid w:val="00C1177B"/>
    <w:rsid w:val="00C117EB"/>
    <w:rsid w:val="00C12261"/>
    <w:rsid w:val="00C12615"/>
    <w:rsid w:val="00C128E1"/>
    <w:rsid w:val="00C12ED0"/>
    <w:rsid w:val="00C131DE"/>
    <w:rsid w:val="00C13366"/>
    <w:rsid w:val="00C13742"/>
    <w:rsid w:val="00C13BA6"/>
    <w:rsid w:val="00C14772"/>
    <w:rsid w:val="00C147D9"/>
    <w:rsid w:val="00C14A5F"/>
    <w:rsid w:val="00C14BBB"/>
    <w:rsid w:val="00C14C78"/>
    <w:rsid w:val="00C14DDE"/>
    <w:rsid w:val="00C1562D"/>
    <w:rsid w:val="00C1562E"/>
    <w:rsid w:val="00C15782"/>
    <w:rsid w:val="00C15AA5"/>
    <w:rsid w:val="00C15C21"/>
    <w:rsid w:val="00C15F13"/>
    <w:rsid w:val="00C1601A"/>
    <w:rsid w:val="00C16130"/>
    <w:rsid w:val="00C161F1"/>
    <w:rsid w:val="00C16269"/>
    <w:rsid w:val="00C16498"/>
    <w:rsid w:val="00C167BA"/>
    <w:rsid w:val="00C16DE1"/>
    <w:rsid w:val="00C174DF"/>
    <w:rsid w:val="00C174EE"/>
    <w:rsid w:val="00C1761A"/>
    <w:rsid w:val="00C17735"/>
    <w:rsid w:val="00C17762"/>
    <w:rsid w:val="00C17A2E"/>
    <w:rsid w:val="00C17A8D"/>
    <w:rsid w:val="00C17B3A"/>
    <w:rsid w:val="00C17C2A"/>
    <w:rsid w:val="00C202E2"/>
    <w:rsid w:val="00C203CD"/>
    <w:rsid w:val="00C20680"/>
    <w:rsid w:val="00C20C19"/>
    <w:rsid w:val="00C20C92"/>
    <w:rsid w:val="00C214F8"/>
    <w:rsid w:val="00C218AD"/>
    <w:rsid w:val="00C2227D"/>
    <w:rsid w:val="00C22942"/>
    <w:rsid w:val="00C22C2C"/>
    <w:rsid w:val="00C23C63"/>
    <w:rsid w:val="00C23DF1"/>
    <w:rsid w:val="00C23F6B"/>
    <w:rsid w:val="00C24007"/>
    <w:rsid w:val="00C2494D"/>
    <w:rsid w:val="00C24EDA"/>
    <w:rsid w:val="00C25867"/>
    <w:rsid w:val="00C25BE4"/>
    <w:rsid w:val="00C26192"/>
    <w:rsid w:val="00C263BC"/>
    <w:rsid w:val="00C26496"/>
    <w:rsid w:val="00C26BF1"/>
    <w:rsid w:val="00C27713"/>
    <w:rsid w:val="00C27AD7"/>
    <w:rsid w:val="00C27C4F"/>
    <w:rsid w:val="00C27C60"/>
    <w:rsid w:val="00C27FB2"/>
    <w:rsid w:val="00C301C9"/>
    <w:rsid w:val="00C30513"/>
    <w:rsid w:val="00C305E8"/>
    <w:rsid w:val="00C3070F"/>
    <w:rsid w:val="00C30793"/>
    <w:rsid w:val="00C3104C"/>
    <w:rsid w:val="00C3123F"/>
    <w:rsid w:val="00C31D22"/>
    <w:rsid w:val="00C31DB7"/>
    <w:rsid w:val="00C31FA5"/>
    <w:rsid w:val="00C32436"/>
    <w:rsid w:val="00C32E42"/>
    <w:rsid w:val="00C33459"/>
    <w:rsid w:val="00C334A7"/>
    <w:rsid w:val="00C33EE7"/>
    <w:rsid w:val="00C3458D"/>
    <w:rsid w:val="00C35447"/>
    <w:rsid w:val="00C35FD9"/>
    <w:rsid w:val="00C361CB"/>
    <w:rsid w:val="00C36221"/>
    <w:rsid w:val="00C36635"/>
    <w:rsid w:val="00C366B9"/>
    <w:rsid w:val="00C36924"/>
    <w:rsid w:val="00C36E22"/>
    <w:rsid w:val="00C36F1B"/>
    <w:rsid w:val="00C37ED2"/>
    <w:rsid w:val="00C37F44"/>
    <w:rsid w:val="00C40780"/>
    <w:rsid w:val="00C4093A"/>
    <w:rsid w:val="00C40B01"/>
    <w:rsid w:val="00C40E52"/>
    <w:rsid w:val="00C4115C"/>
    <w:rsid w:val="00C411B8"/>
    <w:rsid w:val="00C4122F"/>
    <w:rsid w:val="00C41503"/>
    <w:rsid w:val="00C41912"/>
    <w:rsid w:val="00C41B7E"/>
    <w:rsid w:val="00C41E94"/>
    <w:rsid w:val="00C420CB"/>
    <w:rsid w:val="00C42276"/>
    <w:rsid w:val="00C434B1"/>
    <w:rsid w:val="00C43631"/>
    <w:rsid w:val="00C43810"/>
    <w:rsid w:val="00C43B89"/>
    <w:rsid w:val="00C43BAD"/>
    <w:rsid w:val="00C43D4D"/>
    <w:rsid w:val="00C43EEE"/>
    <w:rsid w:val="00C440BA"/>
    <w:rsid w:val="00C4431D"/>
    <w:rsid w:val="00C44CBA"/>
    <w:rsid w:val="00C44EA2"/>
    <w:rsid w:val="00C459CA"/>
    <w:rsid w:val="00C46310"/>
    <w:rsid w:val="00C46379"/>
    <w:rsid w:val="00C4680B"/>
    <w:rsid w:val="00C46F1B"/>
    <w:rsid w:val="00C47557"/>
    <w:rsid w:val="00C47E41"/>
    <w:rsid w:val="00C47F19"/>
    <w:rsid w:val="00C504CB"/>
    <w:rsid w:val="00C50547"/>
    <w:rsid w:val="00C5091D"/>
    <w:rsid w:val="00C50A57"/>
    <w:rsid w:val="00C519D6"/>
    <w:rsid w:val="00C51D65"/>
    <w:rsid w:val="00C51DCC"/>
    <w:rsid w:val="00C51E9E"/>
    <w:rsid w:val="00C51FE3"/>
    <w:rsid w:val="00C52209"/>
    <w:rsid w:val="00C524D3"/>
    <w:rsid w:val="00C5310D"/>
    <w:rsid w:val="00C53265"/>
    <w:rsid w:val="00C538D0"/>
    <w:rsid w:val="00C53EED"/>
    <w:rsid w:val="00C542FF"/>
    <w:rsid w:val="00C544EA"/>
    <w:rsid w:val="00C546C6"/>
    <w:rsid w:val="00C54BA4"/>
    <w:rsid w:val="00C54D1D"/>
    <w:rsid w:val="00C55091"/>
    <w:rsid w:val="00C553C3"/>
    <w:rsid w:val="00C55532"/>
    <w:rsid w:val="00C55CAE"/>
    <w:rsid w:val="00C55D1D"/>
    <w:rsid w:val="00C5615D"/>
    <w:rsid w:val="00C564E7"/>
    <w:rsid w:val="00C56619"/>
    <w:rsid w:val="00C56CEF"/>
    <w:rsid w:val="00C57105"/>
    <w:rsid w:val="00C57247"/>
    <w:rsid w:val="00C5743F"/>
    <w:rsid w:val="00C574C1"/>
    <w:rsid w:val="00C609C7"/>
    <w:rsid w:val="00C60EA3"/>
    <w:rsid w:val="00C618C3"/>
    <w:rsid w:val="00C6191A"/>
    <w:rsid w:val="00C61945"/>
    <w:rsid w:val="00C6229C"/>
    <w:rsid w:val="00C62485"/>
    <w:rsid w:val="00C62A28"/>
    <w:rsid w:val="00C6313D"/>
    <w:rsid w:val="00C63341"/>
    <w:rsid w:val="00C633F6"/>
    <w:rsid w:val="00C63683"/>
    <w:rsid w:val="00C637B8"/>
    <w:rsid w:val="00C63843"/>
    <w:rsid w:val="00C63886"/>
    <w:rsid w:val="00C63DC4"/>
    <w:rsid w:val="00C64273"/>
    <w:rsid w:val="00C64432"/>
    <w:rsid w:val="00C649B8"/>
    <w:rsid w:val="00C64CE8"/>
    <w:rsid w:val="00C65F04"/>
    <w:rsid w:val="00C660E1"/>
    <w:rsid w:val="00C667C7"/>
    <w:rsid w:val="00C667FE"/>
    <w:rsid w:val="00C66ABD"/>
    <w:rsid w:val="00C66B57"/>
    <w:rsid w:val="00C66E03"/>
    <w:rsid w:val="00C66E1D"/>
    <w:rsid w:val="00C66E41"/>
    <w:rsid w:val="00C66F75"/>
    <w:rsid w:val="00C675AB"/>
    <w:rsid w:val="00C67665"/>
    <w:rsid w:val="00C6783E"/>
    <w:rsid w:val="00C6798D"/>
    <w:rsid w:val="00C70054"/>
    <w:rsid w:val="00C7038E"/>
    <w:rsid w:val="00C704BE"/>
    <w:rsid w:val="00C7076B"/>
    <w:rsid w:val="00C70784"/>
    <w:rsid w:val="00C70968"/>
    <w:rsid w:val="00C70DFC"/>
    <w:rsid w:val="00C713BA"/>
    <w:rsid w:val="00C71B01"/>
    <w:rsid w:val="00C71E97"/>
    <w:rsid w:val="00C72239"/>
    <w:rsid w:val="00C72557"/>
    <w:rsid w:val="00C7269D"/>
    <w:rsid w:val="00C728E9"/>
    <w:rsid w:val="00C72ABA"/>
    <w:rsid w:val="00C72B68"/>
    <w:rsid w:val="00C73786"/>
    <w:rsid w:val="00C738E5"/>
    <w:rsid w:val="00C73996"/>
    <w:rsid w:val="00C741CC"/>
    <w:rsid w:val="00C74434"/>
    <w:rsid w:val="00C745B0"/>
    <w:rsid w:val="00C74759"/>
    <w:rsid w:val="00C74ACD"/>
    <w:rsid w:val="00C74E41"/>
    <w:rsid w:val="00C74F7B"/>
    <w:rsid w:val="00C75071"/>
    <w:rsid w:val="00C7520F"/>
    <w:rsid w:val="00C75507"/>
    <w:rsid w:val="00C755C7"/>
    <w:rsid w:val="00C7561A"/>
    <w:rsid w:val="00C75621"/>
    <w:rsid w:val="00C757BD"/>
    <w:rsid w:val="00C75D60"/>
    <w:rsid w:val="00C760B1"/>
    <w:rsid w:val="00C7613F"/>
    <w:rsid w:val="00C7618B"/>
    <w:rsid w:val="00C762FD"/>
    <w:rsid w:val="00C76BE7"/>
    <w:rsid w:val="00C76FC7"/>
    <w:rsid w:val="00C77FD1"/>
    <w:rsid w:val="00C800BA"/>
    <w:rsid w:val="00C80138"/>
    <w:rsid w:val="00C8070A"/>
    <w:rsid w:val="00C8092D"/>
    <w:rsid w:val="00C80B82"/>
    <w:rsid w:val="00C80C20"/>
    <w:rsid w:val="00C81222"/>
    <w:rsid w:val="00C81597"/>
    <w:rsid w:val="00C815B7"/>
    <w:rsid w:val="00C8237D"/>
    <w:rsid w:val="00C824B3"/>
    <w:rsid w:val="00C82BBF"/>
    <w:rsid w:val="00C82EAA"/>
    <w:rsid w:val="00C82F7A"/>
    <w:rsid w:val="00C83AD1"/>
    <w:rsid w:val="00C83D19"/>
    <w:rsid w:val="00C84507"/>
    <w:rsid w:val="00C846D9"/>
    <w:rsid w:val="00C84C27"/>
    <w:rsid w:val="00C84D22"/>
    <w:rsid w:val="00C855DF"/>
    <w:rsid w:val="00C8562C"/>
    <w:rsid w:val="00C85669"/>
    <w:rsid w:val="00C8566B"/>
    <w:rsid w:val="00C85A8F"/>
    <w:rsid w:val="00C85C0D"/>
    <w:rsid w:val="00C85E18"/>
    <w:rsid w:val="00C86260"/>
    <w:rsid w:val="00C86758"/>
    <w:rsid w:val="00C86D06"/>
    <w:rsid w:val="00C876C3"/>
    <w:rsid w:val="00C87CE5"/>
    <w:rsid w:val="00C87FA0"/>
    <w:rsid w:val="00C90D4A"/>
    <w:rsid w:val="00C911E4"/>
    <w:rsid w:val="00C91670"/>
    <w:rsid w:val="00C91790"/>
    <w:rsid w:val="00C91C22"/>
    <w:rsid w:val="00C921C7"/>
    <w:rsid w:val="00C92575"/>
    <w:rsid w:val="00C92713"/>
    <w:rsid w:val="00C930C9"/>
    <w:rsid w:val="00C93C05"/>
    <w:rsid w:val="00C947EF"/>
    <w:rsid w:val="00C94E4A"/>
    <w:rsid w:val="00C951D9"/>
    <w:rsid w:val="00C959CB"/>
    <w:rsid w:val="00C95A18"/>
    <w:rsid w:val="00C95CA9"/>
    <w:rsid w:val="00C9600A"/>
    <w:rsid w:val="00C96617"/>
    <w:rsid w:val="00C9710A"/>
    <w:rsid w:val="00C971DE"/>
    <w:rsid w:val="00C97449"/>
    <w:rsid w:val="00C97632"/>
    <w:rsid w:val="00C97757"/>
    <w:rsid w:val="00C9775A"/>
    <w:rsid w:val="00C97789"/>
    <w:rsid w:val="00C977AF"/>
    <w:rsid w:val="00C97ED8"/>
    <w:rsid w:val="00C97EEC"/>
    <w:rsid w:val="00CA0547"/>
    <w:rsid w:val="00CA070B"/>
    <w:rsid w:val="00CA074E"/>
    <w:rsid w:val="00CA0979"/>
    <w:rsid w:val="00CA0B17"/>
    <w:rsid w:val="00CA0ECC"/>
    <w:rsid w:val="00CA1037"/>
    <w:rsid w:val="00CA176C"/>
    <w:rsid w:val="00CA1AF4"/>
    <w:rsid w:val="00CA1F8A"/>
    <w:rsid w:val="00CA223D"/>
    <w:rsid w:val="00CA27D6"/>
    <w:rsid w:val="00CA30B2"/>
    <w:rsid w:val="00CA34D7"/>
    <w:rsid w:val="00CA38C3"/>
    <w:rsid w:val="00CA38F4"/>
    <w:rsid w:val="00CA38FE"/>
    <w:rsid w:val="00CA3C48"/>
    <w:rsid w:val="00CA3CB7"/>
    <w:rsid w:val="00CA3E34"/>
    <w:rsid w:val="00CA3E79"/>
    <w:rsid w:val="00CA40B3"/>
    <w:rsid w:val="00CA44DD"/>
    <w:rsid w:val="00CA464D"/>
    <w:rsid w:val="00CA4731"/>
    <w:rsid w:val="00CA47C6"/>
    <w:rsid w:val="00CA4F2C"/>
    <w:rsid w:val="00CA4FE8"/>
    <w:rsid w:val="00CA5330"/>
    <w:rsid w:val="00CA56C2"/>
    <w:rsid w:val="00CA5749"/>
    <w:rsid w:val="00CA643C"/>
    <w:rsid w:val="00CA65E6"/>
    <w:rsid w:val="00CA676B"/>
    <w:rsid w:val="00CA6884"/>
    <w:rsid w:val="00CA6D3A"/>
    <w:rsid w:val="00CA6DB9"/>
    <w:rsid w:val="00CA71DC"/>
    <w:rsid w:val="00CA7488"/>
    <w:rsid w:val="00CA7B26"/>
    <w:rsid w:val="00CA7C92"/>
    <w:rsid w:val="00CB02D4"/>
    <w:rsid w:val="00CB0503"/>
    <w:rsid w:val="00CB0781"/>
    <w:rsid w:val="00CB1005"/>
    <w:rsid w:val="00CB11B7"/>
    <w:rsid w:val="00CB11F2"/>
    <w:rsid w:val="00CB1573"/>
    <w:rsid w:val="00CB1624"/>
    <w:rsid w:val="00CB1896"/>
    <w:rsid w:val="00CB19F5"/>
    <w:rsid w:val="00CB1CB3"/>
    <w:rsid w:val="00CB2119"/>
    <w:rsid w:val="00CB2211"/>
    <w:rsid w:val="00CB22A0"/>
    <w:rsid w:val="00CB22B1"/>
    <w:rsid w:val="00CB22E8"/>
    <w:rsid w:val="00CB246A"/>
    <w:rsid w:val="00CB273A"/>
    <w:rsid w:val="00CB28C2"/>
    <w:rsid w:val="00CB2BE0"/>
    <w:rsid w:val="00CB3599"/>
    <w:rsid w:val="00CB35C8"/>
    <w:rsid w:val="00CB3EF2"/>
    <w:rsid w:val="00CB40FA"/>
    <w:rsid w:val="00CB4299"/>
    <w:rsid w:val="00CB4402"/>
    <w:rsid w:val="00CB584D"/>
    <w:rsid w:val="00CB63EA"/>
    <w:rsid w:val="00CB641B"/>
    <w:rsid w:val="00CB65ED"/>
    <w:rsid w:val="00CB661A"/>
    <w:rsid w:val="00CB68BD"/>
    <w:rsid w:val="00CB6F28"/>
    <w:rsid w:val="00CB74C0"/>
    <w:rsid w:val="00CB798C"/>
    <w:rsid w:val="00CB7B34"/>
    <w:rsid w:val="00CC02D0"/>
    <w:rsid w:val="00CC0326"/>
    <w:rsid w:val="00CC0620"/>
    <w:rsid w:val="00CC06E3"/>
    <w:rsid w:val="00CC07B8"/>
    <w:rsid w:val="00CC0B6B"/>
    <w:rsid w:val="00CC0E90"/>
    <w:rsid w:val="00CC1006"/>
    <w:rsid w:val="00CC1936"/>
    <w:rsid w:val="00CC1F30"/>
    <w:rsid w:val="00CC2306"/>
    <w:rsid w:val="00CC2517"/>
    <w:rsid w:val="00CC286E"/>
    <w:rsid w:val="00CC28F2"/>
    <w:rsid w:val="00CC2E09"/>
    <w:rsid w:val="00CC2F09"/>
    <w:rsid w:val="00CC330E"/>
    <w:rsid w:val="00CC3498"/>
    <w:rsid w:val="00CC3626"/>
    <w:rsid w:val="00CC3B96"/>
    <w:rsid w:val="00CC3BB3"/>
    <w:rsid w:val="00CC43B0"/>
    <w:rsid w:val="00CC444E"/>
    <w:rsid w:val="00CC4F69"/>
    <w:rsid w:val="00CC58D3"/>
    <w:rsid w:val="00CC5CB7"/>
    <w:rsid w:val="00CC5E45"/>
    <w:rsid w:val="00CC6017"/>
    <w:rsid w:val="00CC6148"/>
    <w:rsid w:val="00CC62C6"/>
    <w:rsid w:val="00CC64B1"/>
    <w:rsid w:val="00CC696F"/>
    <w:rsid w:val="00CC6A98"/>
    <w:rsid w:val="00CC726F"/>
    <w:rsid w:val="00CC742C"/>
    <w:rsid w:val="00CC7856"/>
    <w:rsid w:val="00CC78EC"/>
    <w:rsid w:val="00CC79D7"/>
    <w:rsid w:val="00CC7BB1"/>
    <w:rsid w:val="00CD08AA"/>
    <w:rsid w:val="00CD08C2"/>
    <w:rsid w:val="00CD0C39"/>
    <w:rsid w:val="00CD14A6"/>
    <w:rsid w:val="00CD167E"/>
    <w:rsid w:val="00CD1B8A"/>
    <w:rsid w:val="00CD1E69"/>
    <w:rsid w:val="00CD20A3"/>
    <w:rsid w:val="00CD2583"/>
    <w:rsid w:val="00CD25E2"/>
    <w:rsid w:val="00CD27D3"/>
    <w:rsid w:val="00CD2E20"/>
    <w:rsid w:val="00CD346D"/>
    <w:rsid w:val="00CD37DE"/>
    <w:rsid w:val="00CD3CCE"/>
    <w:rsid w:val="00CD4132"/>
    <w:rsid w:val="00CD454B"/>
    <w:rsid w:val="00CD483B"/>
    <w:rsid w:val="00CD4C8E"/>
    <w:rsid w:val="00CD5010"/>
    <w:rsid w:val="00CD50D1"/>
    <w:rsid w:val="00CD547E"/>
    <w:rsid w:val="00CD65CD"/>
    <w:rsid w:val="00CD6A06"/>
    <w:rsid w:val="00CD756E"/>
    <w:rsid w:val="00CD76AF"/>
    <w:rsid w:val="00CD7A0C"/>
    <w:rsid w:val="00CD7A7D"/>
    <w:rsid w:val="00CD7FB8"/>
    <w:rsid w:val="00CE07FE"/>
    <w:rsid w:val="00CE0D06"/>
    <w:rsid w:val="00CE1485"/>
    <w:rsid w:val="00CE17D3"/>
    <w:rsid w:val="00CE1831"/>
    <w:rsid w:val="00CE19ED"/>
    <w:rsid w:val="00CE1B22"/>
    <w:rsid w:val="00CE1B35"/>
    <w:rsid w:val="00CE1BDC"/>
    <w:rsid w:val="00CE1C63"/>
    <w:rsid w:val="00CE2065"/>
    <w:rsid w:val="00CE2389"/>
    <w:rsid w:val="00CE2899"/>
    <w:rsid w:val="00CE2D25"/>
    <w:rsid w:val="00CE2D60"/>
    <w:rsid w:val="00CE30EB"/>
    <w:rsid w:val="00CE346C"/>
    <w:rsid w:val="00CE3742"/>
    <w:rsid w:val="00CE37B9"/>
    <w:rsid w:val="00CE384D"/>
    <w:rsid w:val="00CE39C5"/>
    <w:rsid w:val="00CE3A26"/>
    <w:rsid w:val="00CE3D52"/>
    <w:rsid w:val="00CE3D87"/>
    <w:rsid w:val="00CE4848"/>
    <w:rsid w:val="00CE4A41"/>
    <w:rsid w:val="00CE4EF1"/>
    <w:rsid w:val="00CE5305"/>
    <w:rsid w:val="00CE5517"/>
    <w:rsid w:val="00CE572A"/>
    <w:rsid w:val="00CE6199"/>
    <w:rsid w:val="00CE6DAD"/>
    <w:rsid w:val="00CE6F4A"/>
    <w:rsid w:val="00CE7BBC"/>
    <w:rsid w:val="00CF0083"/>
    <w:rsid w:val="00CF0AC9"/>
    <w:rsid w:val="00CF0C77"/>
    <w:rsid w:val="00CF0CAE"/>
    <w:rsid w:val="00CF0CC7"/>
    <w:rsid w:val="00CF0D2A"/>
    <w:rsid w:val="00CF14E8"/>
    <w:rsid w:val="00CF16B1"/>
    <w:rsid w:val="00CF1ACF"/>
    <w:rsid w:val="00CF204D"/>
    <w:rsid w:val="00CF22AC"/>
    <w:rsid w:val="00CF245A"/>
    <w:rsid w:val="00CF2543"/>
    <w:rsid w:val="00CF26F3"/>
    <w:rsid w:val="00CF295F"/>
    <w:rsid w:val="00CF2E28"/>
    <w:rsid w:val="00CF3096"/>
    <w:rsid w:val="00CF3488"/>
    <w:rsid w:val="00CF3759"/>
    <w:rsid w:val="00CF394C"/>
    <w:rsid w:val="00CF3A4E"/>
    <w:rsid w:val="00CF4C3E"/>
    <w:rsid w:val="00CF51D6"/>
    <w:rsid w:val="00CF5398"/>
    <w:rsid w:val="00CF559B"/>
    <w:rsid w:val="00CF5650"/>
    <w:rsid w:val="00CF5B36"/>
    <w:rsid w:val="00CF5CEC"/>
    <w:rsid w:val="00CF60D1"/>
    <w:rsid w:val="00CF6209"/>
    <w:rsid w:val="00CF65C0"/>
    <w:rsid w:val="00CF6B34"/>
    <w:rsid w:val="00CF6B63"/>
    <w:rsid w:val="00CF6E67"/>
    <w:rsid w:val="00CF7184"/>
    <w:rsid w:val="00CF72DD"/>
    <w:rsid w:val="00CF733C"/>
    <w:rsid w:val="00CF7419"/>
    <w:rsid w:val="00CF7505"/>
    <w:rsid w:val="00D0071D"/>
    <w:rsid w:val="00D00B1E"/>
    <w:rsid w:val="00D00C0B"/>
    <w:rsid w:val="00D00C65"/>
    <w:rsid w:val="00D00C72"/>
    <w:rsid w:val="00D00F0A"/>
    <w:rsid w:val="00D0144D"/>
    <w:rsid w:val="00D014E1"/>
    <w:rsid w:val="00D01A3D"/>
    <w:rsid w:val="00D01BF5"/>
    <w:rsid w:val="00D02065"/>
    <w:rsid w:val="00D020F8"/>
    <w:rsid w:val="00D021D6"/>
    <w:rsid w:val="00D02224"/>
    <w:rsid w:val="00D02396"/>
    <w:rsid w:val="00D0291C"/>
    <w:rsid w:val="00D029CB"/>
    <w:rsid w:val="00D0387C"/>
    <w:rsid w:val="00D03E19"/>
    <w:rsid w:val="00D03F73"/>
    <w:rsid w:val="00D03F9E"/>
    <w:rsid w:val="00D04EFA"/>
    <w:rsid w:val="00D05086"/>
    <w:rsid w:val="00D0519F"/>
    <w:rsid w:val="00D0603A"/>
    <w:rsid w:val="00D061D1"/>
    <w:rsid w:val="00D06525"/>
    <w:rsid w:val="00D067CF"/>
    <w:rsid w:val="00D067E4"/>
    <w:rsid w:val="00D06DBA"/>
    <w:rsid w:val="00D070EA"/>
    <w:rsid w:val="00D07159"/>
    <w:rsid w:val="00D07722"/>
    <w:rsid w:val="00D07963"/>
    <w:rsid w:val="00D07BCA"/>
    <w:rsid w:val="00D07D96"/>
    <w:rsid w:val="00D1021A"/>
    <w:rsid w:val="00D10288"/>
    <w:rsid w:val="00D103E1"/>
    <w:rsid w:val="00D10F5A"/>
    <w:rsid w:val="00D11432"/>
    <w:rsid w:val="00D11553"/>
    <w:rsid w:val="00D118D7"/>
    <w:rsid w:val="00D1191A"/>
    <w:rsid w:val="00D119F0"/>
    <w:rsid w:val="00D11C38"/>
    <w:rsid w:val="00D11E84"/>
    <w:rsid w:val="00D1228E"/>
    <w:rsid w:val="00D12441"/>
    <w:rsid w:val="00D124EA"/>
    <w:rsid w:val="00D125F6"/>
    <w:rsid w:val="00D12758"/>
    <w:rsid w:val="00D132F0"/>
    <w:rsid w:val="00D134B1"/>
    <w:rsid w:val="00D13640"/>
    <w:rsid w:val="00D13785"/>
    <w:rsid w:val="00D13ECF"/>
    <w:rsid w:val="00D140A0"/>
    <w:rsid w:val="00D140B7"/>
    <w:rsid w:val="00D141F5"/>
    <w:rsid w:val="00D1476F"/>
    <w:rsid w:val="00D14AD1"/>
    <w:rsid w:val="00D14CD0"/>
    <w:rsid w:val="00D14ECF"/>
    <w:rsid w:val="00D14F05"/>
    <w:rsid w:val="00D1532F"/>
    <w:rsid w:val="00D1546E"/>
    <w:rsid w:val="00D158C8"/>
    <w:rsid w:val="00D1593F"/>
    <w:rsid w:val="00D16358"/>
    <w:rsid w:val="00D16D43"/>
    <w:rsid w:val="00D16D71"/>
    <w:rsid w:val="00D1701F"/>
    <w:rsid w:val="00D177F6"/>
    <w:rsid w:val="00D2011F"/>
    <w:rsid w:val="00D203CD"/>
    <w:rsid w:val="00D20BC5"/>
    <w:rsid w:val="00D21105"/>
    <w:rsid w:val="00D21499"/>
    <w:rsid w:val="00D2150D"/>
    <w:rsid w:val="00D21927"/>
    <w:rsid w:val="00D21936"/>
    <w:rsid w:val="00D21D7A"/>
    <w:rsid w:val="00D21D9F"/>
    <w:rsid w:val="00D21E91"/>
    <w:rsid w:val="00D21F63"/>
    <w:rsid w:val="00D22052"/>
    <w:rsid w:val="00D22252"/>
    <w:rsid w:val="00D2226C"/>
    <w:rsid w:val="00D22444"/>
    <w:rsid w:val="00D22530"/>
    <w:rsid w:val="00D230CC"/>
    <w:rsid w:val="00D2336D"/>
    <w:rsid w:val="00D2339B"/>
    <w:rsid w:val="00D23F62"/>
    <w:rsid w:val="00D244F9"/>
    <w:rsid w:val="00D245C3"/>
    <w:rsid w:val="00D248BA"/>
    <w:rsid w:val="00D24D14"/>
    <w:rsid w:val="00D24DC8"/>
    <w:rsid w:val="00D25326"/>
    <w:rsid w:val="00D255A4"/>
    <w:rsid w:val="00D25B90"/>
    <w:rsid w:val="00D25DB4"/>
    <w:rsid w:val="00D25FD6"/>
    <w:rsid w:val="00D2606E"/>
    <w:rsid w:val="00D26D97"/>
    <w:rsid w:val="00D273A3"/>
    <w:rsid w:val="00D2746A"/>
    <w:rsid w:val="00D27762"/>
    <w:rsid w:val="00D2798F"/>
    <w:rsid w:val="00D27B95"/>
    <w:rsid w:val="00D27CE1"/>
    <w:rsid w:val="00D303AA"/>
    <w:rsid w:val="00D305CD"/>
    <w:rsid w:val="00D30DF9"/>
    <w:rsid w:val="00D310EE"/>
    <w:rsid w:val="00D314A8"/>
    <w:rsid w:val="00D31C2F"/>
    <w:rsid w:val="00D31EC3"/>
    <w:rsid w:val="00D31F39"/>
    <w:rsid w:val="00D32A04"/>
    <w:rsid w:val="00D32BF9"/>
    <w:rsid w:val="00D33683"/>
    <w:rsid w:val="00D34383"/>
    <w:rsid w:val="00D3438C"/>
    <w:rsid w:val="00D34422"/>
    <w:rsid w:val="00D34682"/>
    <w:rsid w:val="00D3494D"/>
    <w:rsid w:val="00D349E0"/>
    <w:rsid w:val="00D35450"/>
    <w:rsid w:val="00D35A66"/>
    <w:rsid w:val="00D35E40"/>
    <w:rsid w:val="00D35F45"/>
    <w:rsid w:val="00D36211"/>
    <w:rsid w:val="00D364B3"/>
    <w:rsid w:val="00D364D0"/>
    <w:rsid w:val="00D36743"/>
    <w:rsid w:val="00D36B78"/>
    <w:rsid w:val="00D36D2C"/>
    <w:rsid w:val="00D36E37"/>
    <w:rsid w:val="00D36EB9"/>
    <w:rsid w:val="00D37461"/>
    <w:rsid w:val="00D37898"/>
    <w:rsid w:val="00D37C29"/>
    <w:rsid w:val="00D40452"/>
    <w:rsid w:val="00D40579"/>
    <w:rsid w:val="00D405F5"/>
    <w:rsid w:val="00D40E30"/>
    <w:rsid w:val="00D4162E"/>
    <w:rsid w:val="00D420DC"/>
    <w:rsid w:val="00D42212"/>
    <w:rsid w:val="00D42312"/>
    <w:rsid w:val="00D423E1"/>
    <w:rsid w:val="00D429D7"/>
    <w:rsid w:val="00D43495"/>
    <w:rsid w:val="00D439A3"/>
    <w:rsid w:val="00D43CA5"/>
    <w:rsid w:val="00D43DAD"/>
    <w:rsid w:val="00D43DED"/>
    <w:rsid w:val="00D44057"/>
    <w:rsid w:val="00D44190"/>
    <w:rsid w:val="00D44BF7"/>
    <w:rsid w:val="00D44E34"/>
    <w:rsid w:val="00D45237"/>
    <w:rsid w:val="00D457E0"/>
    <w:rsid w:val="00D45ABC"/>
    <w:rsid w:val="00D461AB"/>
    <w:rsid w:val="00D465BB"/>
    <w:rsid w:val="00D46739"/>
    <w:rsid w:val="00D46C02"/>
    <w:rsid w:val="00D47723"/>
    <w:rsid w:val="00D477A8"/>
    <w:rsid w:val="00D50015"/>
    <w:rsid w:val="00D502EA"/>
    <w:rsid w:val="00D5040A"/>
    <w:rsid w:val="00D50742"/>
    <w:rsid w:val="00D50C94"/>
    <w:rsid w:val="00D51AC5"/>
    <w:rsid w:val="00D520AA"/>
    <w:rsid w:val="00D52270"/>
    <w:rsid w:val="00D52694"/>
    <w:rsid w:val="00D527AA"/>
    <w:rsid w:val="00D52D47"/>
    <w:rsid w:val="00D53170"/>
    <w:rsid w:val="00D53463"/>
    <w:rsid w:val="00D537B5"/>
    <w:rsid w:val="00D53884"/>
    <w:rsid w:val="00D53A4A"/>
    <w:rsid w:val="00D53ED0"/>
    <w:rsid w:val="00D53ED9"/>
    <w:rsid w:val="00D54159"/>
    <w:rsid w:val="00D54F4C"/>
    <w:rsid w:val="00D55013"/>
    <w:rsid w:val="00D550B0"/>
    <w:rsid w:val="00D55581"/>
    <w:rsid w:val="00D5572A"/>
    <w:rsid w:val="00D557E2"/>
    <w:rsid w:val="00D558C9"/>
    <w:rsid w:val="00D55FC8"/>
    <w:rsid w:val="00D5610B"/>
    <w:rsid w:val="00D563E3"/>
    <w:rsid w:val="00D56658"/>
    <w:rsid w:val="00D56978"/>
    <w:rsid w:val="00D56C73"/>
    <w:rsid w:val="00D56D4C"/>
    <w:rsid w:val="00D56E64"/>
    <w:rsid w:val="00D56EFF"/>
    <w:rsid w:val="00D56FB4"/>
    <w:rsid w:val="00D56FD9"/>
    <w:rsid w:val="00D570EF"/>
    <w:rsid w:val="00D5725A"/>
    <w:rsid w:val="00D573FB"/>
    <w:rsid w:val="00D57487"/>
    <w:rsid w:val="00D576EA"/>
    <w:rsid w:val="00D577F6"/>
    <w:rsid w:val="00D57B7A"/>
    <w:rsid w:val="00D600B4"/>
    <w:rsid w:val="00D6015F"/>
    <w:rsid w:val="00D6016E"/>
    <w:rsid w:val="00D6024B"/>
    <w:rsid w:val="00D6051C"/>
    <w:rsid w:val="00D616BD"/>
    <w:rsid w:val="00D61F70"/>
    <w:rsid w:val="00D622CB"/>
    <w:rsid w:val="00D62669"/>
    <w:rsid w:val="00D626AA"/>
    <w:rsid w:val="00D62806"/>
    <w:rsid w:val="00D62C54"/>
    <w:rsid w:val="00D62FFB"/>
    <w:rsid w:val="00D63254"/>
    <w:rsid w:val="00D63489"/>
    <w:rsid w:val="00D6357A"/>
    <w:rsid w:val="00D63C8E"/>
    <w:rsid w:val="00D63D05"/>
    <w:rsid w:val="00D64388"/>
    <w:rsid w:val="00D6458B"/>
    <w:rsid w:val="00D64CEF"/>
    <w:rsid w:val="00D64DFA"/>
    <w:rsid w:val="00D64FCC"/>
    <w:rsid w:val="00D65C3B"/>
    <w:rsid w:val="00D66008"/>
    <w:rsid w:val="00D6661B"/>
    <w:rsid w:val="00D66815"/>
    <w:rsid w:val="00D67024"/>
    <w:rsid w:val="00D672A4"/>
    <w:rsid w:val="00D675DF"/>
    <w:rsid w:val="00D676A1"/>
    <w:rsid w:val="00D6778F"/>
    <w:rsid w:val="00D67E17"/>
    <w:rsid w:val="00D70062"/>
    <w:rsid w:val="00D704DF"/>
    <w:rsid w:val="00D70504"/>
    <w:rsid w:val="00D70ADB"/>
    <w:rsid w:val="00D70FB0"/>
    <w:rsid w:val="00D71507"/>
    <w:rsid w:val="00D715B7"/>
    <w:rsid w:val="00D71653"/>
    <w:rsid w:val="00D716AB"/>
    <w:rsid w:val="00D7196E"/>
    <w:rsid w:val="00D72017"/>
    <w:rsid w:val="00D723FA"/>
    <w:rsid w:val="00D72422"/>
    <w:rsid w:val="00D72ADA"/>
    <w:rsid w:val="00D72B59"/>
    <w:rsid w:val="00D72C0C"/>
    <w:rsid w:val="00D72C23"/>
    <w:rsid w:val="00D72C4E"/>
    <w:rsid w:val="00D73C7A"/>
    <w:rsid w:val="00D73DFD"/>
    <w:rsid w:val="00D73E86"/>
    <w:rsid w:val="00D73F2B"/>
    <w:rsid w:val="00D74059"/>
    <w:rsid w:val="00D7410F"/>
    <w:rsid w:val="00D744CB"/>
    <w:rsid w:val="00D74A7C"/>
    <w:rsid w:val="00D74E2B"/>
    <w:rsid w:val="00D7530F"/>
    <w:rsid w:val="00D75CD5"/>
    <w:rsid w:val="00D75D72"/>
    <w:rsid w:val="00D76184"/>
    <w:rsid w:val="00D76ACF"/>
    <w:rsid w:val="00D772DA"/>
    <w:rsid w:val="00D7763D"/>
    <w:rsid w:val="00D778CF"/>
    <w:rsid w:val="00D77BB5"/>
    <w:rsid w:val="00D77C8D"/>
    <w:rsid w:val="00D77CD9"/>
    <w:rsid w:val="00D80298"/>
    <w:rsid w:val="00D80474"/>
    <w:rsid w:val="00D805D3"/>
    <w:rsid w:val="00D807C0"/>
    <w:rsid w:val="00D80C48"/>
    <w:rsid w:val="00D80CDD"/>
    <w:rsid w:val="00D817FE"/>
    <w:rsid w:val="00D8182B"/>
    <w:rsid w:val="00D81AE9"/>
    <w:rsid w:val="00D81E31"/>
    <w:rsid w:val="00D82020"/>
    <w:rsid w:val="00D82346"/>
    <w:rsid w:val="00D83111"/>
    <w:rsid w:val="00D83212"/>
    <w:rsid w:val="00D836B3"/>
    <w:rsid w:val="00D83819"/>
    <w:rsid w:val="00D83E7B"/>
    <w:rsid w:val="00D83F8E"/>
    <w:rsid w:val="00D843F6"/>
    <w:rsid w:val="00D84A1A"/>
    <w:rsid w:val="00D84CF6"/>
    <w:rsid w:val="00D84F1D"/>
    <w:rsid w:val="00D84F45"/>
    <w:rsid w:val="00D854B3"/>
    <w:rsid w:val="00D85550"/>
    <w:rsid w:val="00D8560B"/>
    <w:rsid w:val="00D85610"/>
    <w:rsid w:val="00D8576D"/>
    <w:rsid w:val="00D858C3"/>
    <w:rsid w:val="00D85AF4"/>
    <w:rsid w:val="00D85E6C"/>
    <w:rsid w:val="00D86205"/>
    <w:rsid w:val="00D863C0"/>
    <w:rsid w:val="00D863E3"/>
    <w:rsid w:val="00D864D9"/>
    <w:rsid w:val="00D8662A"/>
    <w:rsid w:val="00D86947"/>
    <w:rsid w:val="00D86FBE"/>
    <w:rsid w:val="00D873F2"/>
    <w:rsid w:val="00D87521"/>
    <w:rsid w:val="00D87B9E"/>
    <w:rsid w:val="00D87FD8"/>
    <w:rsid w:val="00D902BC"/>
    <w:rsid w:val="00D905C3"/>
    <w:rsid w:val="00D90795"/>
    <w:rsid w:val="00D90AD9"/>
    <w:rsid w:val="00D90CAE"/>
    <w:rsid w:val="00D91010"/>
    <w:rsid w:val="00D9169D"/>
    <w:rsid w:val="00D920C8"/>
    <w:rsid w:val="00D9255D"/>
    <w:rsid w:val="00D925DB"/>
    <w:rsid w:val="00D92C84"/>
    <w:rsid w:val="00D93455"/>
    <w:rsid w:val="00D934B2"/>
    <w:rsid w:val="00D936EB"/>
    <w:rsid w:val="00D938F5"/>
    <w:rsid w:val="00D93DEE"/>
    <w:rsid w:val="00D93F84"/>
    <w:rsid w:val="00D94073"/>
    <w:rsid w:val="00D94083"/>
    <w:rsid w:val="00D94097"/>
    <w:rsid w:val="00D9480D"/>
    <w:rsid w:val="00D94B21"/>
    <w:rsid w:val="00D94DC8"/>
    <w:rsid w:val="00D9539C"/>
    <w:rsid w:val="00D956E8"/>
    <w:rsid w:val="00D973A6"/>
    <w:rsid w:val="00D97424"/>
    <w:rsid w:val="00D9773F"/>
    <w:rsid w:val="00D9798D"/>
    <w:rsid w:val="00DA0924"/>
    <w:rsid w:val="00DA0A3D"/>
    <w:rsid w:val="00DA0E90"/>
    <w:rsid w:val="00DA19A7"/>
    <w:rsid w:val="00DA2069"/>
    <w:rsid w:val="00DA209D"/>
    <w:rsid w:val="00DA223A"/>
    <w:rsid w:val="00DA239A"/>
    <w:rsid w:val="00DA25C4"/>
    <w:rsid w:val="00DA2A1A"/>
    <w:rsid w:val="00DA2C5F"/>
    <w:rsid w:val="00DA302B"/>
    <w:rsid w:val="00DA3F63"/>
    <w:rsid w:val="00DA4082"/>
    <w:rsid w:val="00DA4230"/>
    <w:rsid w:val="00DA4269"/>
    <w:rsid w:val="00DA483B"/>
    <w:rsid w:val="00DA4A60"/>
    <w:rsid w:val="00DA4A7B"/>
    <w:rsid w:val="00DA4C73"/>
    <w:rsid w:val="00DA4E52"/>
    <w:rsid w:val="00DA5054"/>
    <w:rsid w:val="00DA50BF"/>
    <w:rsid w:val="00DA59D4"/>
    <w:rsid w:val="00DA5D16"/>
    <w:rsid w:val="00DA5D87"/>
    <w:rsid w:val="00DA6380"/>
    <w:rsid w:val="00DA643D"/>
    <w:rsid w:val="00DA6526"/>
    <w:rsid w:val="00DA674A"/>
    <w:rsid w:val="00DA6C81"/>
    <w:rsid w:val="00DA6EC8"/>
    <w:rsid w:val="00DA7461"/>
    <w:rsid w:val="00DA7A85"/>
    <w:rsid w:val="00DA7AA0"/>
    <w:rsid w:val="00DA7C72"/>
    <w:rsid w:val="00DA7D2D"/>
    <w:rsid w:val="00DA7F13"/>
    <w:rsid w:val="00DA7FC0"/>
    <w:rsid w:val="00DA7FCE"/>
    <w:rsid w:val="00DB00D5"/>
    <w:rsid w:val="00DB0146"/>
    <w:rsid w:val="00DB02CB"/>
    <w:rsid w:val="00DB0FED"/>
    <w:rsid w:val="00DB144B"/>
    <w:rsid w:val="00DB1603"/>
    <w:rsid w:val="00DB19E3"/>
    <w:rsid w:val="00DB1A5A"/>
    <w:rsid w:val="00DB1CA2"/>
    <w:rsid w:val="00DB23A5"/>
    <w:rsid w:val="00DB24F1"/>
    <w:rsid w:val="00DB3016"/>
    <w:rsid w:val="00DB38E8"/>
    <w:rsid w:val="00DB3F3D"/>
    <w:rsid w:val="00DB4165"/>
    <w:rsid w:val="00DB4288"/>
    <w:rsid w:val="00DB4343"/>
    <w:rsid w:val="00DB4647"/>
    <w:rsid w:val="00DB473F"/>
    <w:rsid w:val="00DB4C50"/>
    <w:rsid w:val="00DB4DC3"/>
    <w:rsid w:val="00DB522C"/>
    <w:rsid w:val="00DB5601"/>
    <w:rsid w:val="00DB56B5"/>
    <w:rsid w:val="00DB5A8F"/>
    <w:rsid w:val="00DB62E2"/>
    <w:rsid w:val="00DB63BE"/>
    <w:rsid w:val="00DB6ADA"/>
    <w:rsid w:val="00DB6CBA"/>
    <w:rsid w:val="00DB74FA"/>
    <w:rsid w:val="00DB7522"/>
    <w:rsid w:val="00DB78E8"/>
    <w:rsid w:val="00DB7A9E"/>
    <w:rsid w:val="00DB7AB2"/>
    <w:rsid w:val="00DB7B76"/>
    <w:rsid w:val="00DB7F60"/>
    <w:rsid w:val="00DC0342"/>
    <w:rsid w:val="00DC08BD"/>
    <w:rsid w:val="00DC0C03"/>
    <w:rsid w:val="00DC177B"/>
    <w:rsid w:val="00DC1CF6"/>
    <w:rsid w:val="00DC1E7C"/>
    <w:rsid w:val="00DC208C"/>
    <w:rsid w:val="00DC25DB"/>
    <w:rsid w:val="00DC2D00"/>
    <w:rsid w:val="00DC2D67"/>
    <w:rsid w:val="00DC3024"/>
    <w:rsid w:val="00DC31DD"/>
    <w:rsid w:val="00DC3A1B"/>
    <w:rsid w:val="00DC3C69"/>
    <w:rsid w:val="00DC41FD"/>
    <w:rsid w:val="00DC4A2F"/>
    <w:rsid w:val="00DC4BF4"/>
    <w:rsid w:val="00DC50C7"/>
    <w:rsid w:val="00DC511E"/>
    <w:rsid w:val="00DC517C"/>
    <w:rsid w:val="00DC52C6"/>
    <w:rsid w:val="00DC580D"/>
    <w:rsid w:val="00DC62EB"/>
    <w:rsid w:val="00DC63A6"/>
    <w:rsid w:val="00DC663C"/>
    <w:rsid w:val="00DC6807"/>
    <w:rsid w:val="00DC6ABA"/>
    <w:rsid w:val="00DC6DEC"/>
    <w:rsid w:val="00DC7041"/>
    <w:rsid w:val="00DC7124"/>
    <w:rsid w:val="00DC7188"/>
    <w:rsid w:val="00DC7CCD"/>
    <w:rsid w:val="00DC7F62"/>
    <w:rsid w:val="00DD0601"/>
    <w:rsid w:val="00DD078C"/>
    <w:rsid w:val="00DD111D"/>
    <w:rsid w:val="00DD1151"/>
    <w:rsid w:val="00DD1477"/>
    <w:rsid w:val="00DD153A"/>
    <w:rsid w:val="00DD1871"/>
    <w:rsid w:val="00DD199A"/>
    <w:rsid w:val="00DD1BE9"/>
    <w:rsid w:val="00DD1D84"/>
    <w:rsid w:val="00DD22B4"/>
    <w:rsid w:val="00DD247A"/>
    <w:rsid w:val="00DD2700"/>
    <w:rsid w:val="00DD28BC"/>
    <w:rsid w:val="00DD3009"/>
    <w:rsid w:val="00DD3491"/>
    <w:rsid w:val="00DD3742"/>
    <w:rsid w:val="00DD3870"/>
    <w:rsid w:val="00DD3916"/>
    <w:rsid w:val="00DD3971"/>
    <w:rsid w:val="00DD3C60"/>
    <w:rsid w:val="00DD3CAB"/>
    <w:rsid w:val="00DD3FB2"/>
    <w:rsid w:val="00DD4477"/>
    <w:rsid w:val="00DD4F5E"/>
    <w:rsid w:val="00DD5870"/>
    <w:rsid w:val="00DD58AE"/>
    <w:rsid w:val="00DD60D9"/>
    <w:rsid w:val="00DD6111"/>
    <w:rsid w:val="00DD672F"/>
    <w:rsid w:val="00DD673D"/>
    <w:rsid w:val="00DD6A55"/>
    <w:rsid w:val="00DD6A9F"/>
    <w:rsid w:val="00DD72D1"/>
    <w:rsid w:val="00DD7ABB"/>
    <w:rsid w:val="00DE0303"/>
    <w:rsid w:val="00DE070B"/>
    <w:rsid w:val="00DE0AD8"/>
    <w:rsid w:val="00DE0B67"/>
    <w:rsid w:val="00DE0E4F"/>
    <w:rsid w:val="00DE1045"/>
    <w:rsid w:val="00DE11C9"/>
    <w:rsid w:val="00DE161F"/>
    <w:rsid w:val="00DE1881"/>
    <w:rsid w:val="00DE2024"/>
    <w:rsid w:val="00DE2059"/>
    <w:rsid w:val="00DE22F7"/>
    <w:rsid w:val="00DE2680"/>
    <w:rsid w:val="00DE280F"/>
    <w:rsid w:val="00DE295E"/>
    <w:rsid w:val="00DE2A6A"/>
    <w:rsid w:val="00DE2FA9"/>
    <w:rsid w:val="00DE307C"/>
    <w:rsid w:val="00DE3AA9"/>
    <w:rsid w:val="00DE4865"/>
    <w:rsid w:val="00DE4909"/>
    <w:rsid w:val="00DE4E2C"/>
    <w:rsid w:val="00DE5264"/>
    <w:rsid w:val="00DE5CD2"/>
    <w:rsid w:val="00DE666D"/>
    <w:rsid w:val="00DE680A"/>
    <w:rsid w:val="00DE7280"/>
    <w:rsid w:val="00DE7393"/>
    <w:rsid w:val="00DE791A"/>
    <w:rsid w:val="00DE7AFA"/>
    <w:rsid w:val="00DE7B9F"/>
    <w:rsid w:val="00DE7C32"/>
    <w:rsid w:val="00DE7CE9"/>
    <w:rsid w:val="00DF04A8"/>
    <w:rsid w:val="00DF0655"/>
    <w:rsid w:val="00DF0AA7"/>
    <w:rsid w:val="00DF0F0B"/>
    <w:rsid w:val="00DF10DD"/>
    <w:rsid w:val="00DF15FC"/>
    <w:rsid w:val="00DF2B4D"/>
    <w:rsid w:val="00DF2C38"/>
    <w:rsid w:val="00DF2DD9"/>
    <w:rsid w:val="00DF2F40"/>
    <w:rsid w:val="00DF33CA"/>
    <w:rsid w:val="00DF3595"/>
    <w:rsid w:val="00DF35CF"/>
    <w:rsid w:val="00DF372F"/>
    <w:rsid w:val="00DF3755"/>
    <w:rsid w:val="00DF4296"/>
    <w:rsid w:val="00DF4565"/>
    <w:rsid w:val="00DF4607"/>
    <w:rsid w:val="00DF4BAA"/>
    <w:rsid w:val="00DF4DE8"/>
    <w:rsid w:val="00DF4F90"/>
    <w:rsid w:val="00DF4FB4"/>
    <w:rsid w:val="00DF574C"/>
    <w:rsid w:val="00DF5AF2"/>
    <w:rsid w:val="00DF5BEB"/>
    <w:rsid w:val="00DF5E26"/>
    <w:rsid w:val="00DF6300"/>
    <w:rsid w:val="00DF635B"/>
    <w:rsid w:val="00DF677E"/>
    <w:rsid w:val="00DF67CC"/>
    <w:rsid w:val="00DF67F8"/>
    <w:rsid w:val="00DF7040"/>
    <w:rsid w:val="00E00450"/>
    <w:rsid w:val="00E008BC"/>
    <w:rsid w:val="00E00B8C"/>
    <w:rsid w:val="00E00B90"/>
    <w:rsid w:val="00E00BB8"/>
    <w:rsid w:val="00E00D2B"/>
    <w:rsid w:val="00E011BE"/>
    <w:rsid w:val="00E0152C"/>
    <w:rsid w:val="00E0188D"/>
    <w:rsid w:val="00E019A2"/>
    <w:rsid w:val="00E019DA"/>
    <w:rsid w:val="00E01B7A"/>
    <w:rsid w:val="00E01EEB"/>
    <w:rsid w:val="00E01FE5"/>
    <w:rsid w:val="00E0215F"/>
    <w:rsid w:val="00E02770"/>
    <w:rsid w:val="00E02C8E"/>
    <w:rsid w:val="00E02D73"/>
    <w:rsid w:val="00E031C8"/>
    <w:rsid w:val="00E0461D"/>
    <w:rsid w:val="00E05013"/>
    <w:rsid w:val="00E063C9"/>
    <w:rsid w:val="00E0673E"/>
    <w:rsid w:val="00E067FD"/>
    <w:rsid w:val="00E071AD"/>
    <w:rsid w:val="00E07A78"/>
    <w:rsid w:val="00E07B5D"/>
    <w:rsid w:val="00E10716"/>
    <w:rsid w:val="00E10799"/>
    <w:rsid w:val="00E11140"/>
    <w:rsid w:val="00E111CF"/>
    <w:rsid w:val="00E111E3"/>
    <w:rsid w:val="00E11534"/>
    <w:rsid w:val="00E1194A"/>
    <w:rsid w:val="00E119A7"/>
    <w:rsid w:val="00E11A13"/>
    <w:rsid w:val="00E11BB4"/>
    <w:rsid w:val="00E11DA9"/>
    <w:rsid w:val="00E11E11"/>
    <w:rsid w:val="00E1250C"/>
    <w:rsid w:val="00E12629"/>
    <w:rsid w:val="00E12633"/>
    <w:rsid w:val="00E1291A"/>
    <w:rsid w:val="00E134F2"/>
    <w:rsid w:val="00E136C5"/>
    <w:rsid w:val="00E14071"/>
    <w:rsid w:val="00E149F3"/>
    <w:rsid w:val="00E15174"/>
    <w:rsid w:val="00E15184"/>
    <w:rsid w:val="00E15424"/>
    <w:rsid w:val="00E1592A"/>
    <w:rsid w:val="00E1595F"/>
    <w:rsid w:val="00E159EA"/>
    <w:rsid w:val="00E15B0D"/>
    <w:rsid w:val="00E15C52"/>
    <w:rsid w:val="00E15DD7"/>
    <w:rsid w:val="00E1625B"/>
    <w:rsid w:val="00E16348"/>
    <w:rsid w:val="00E1643E"/>
    <w:rsid w:val="00E169FC"/>
    <w:rsid w:val="00E16D77"/>
    <w:rsid w:val="00E16F4F"/>
    <w:rsid w:val="00E16F92"/>
    <w:rsid w:val="00E17009"/>
    <w:rsid w:val="00E170AB"/>
    <w:rsid w:val="00E172F2"/>
    <w:rsid w:val="00E174AA"/>
    <w:rsid w:val="00E177C8"/>
    <w:rsid w:val="00E17EFC"/>
    <w:rsid w:val="00E201B0"/>
    <w:rsid w:val="00E20833"/>
    <w:rsid w:val="00E20A57"/>
    <w:rsid w:val="00E21574"/>
    <w:rsid w:val="00E21A9D"/>
    <w:rsid w:val="00E21AA1"/>
    <w:rsid w:val="00E21CA3"/>
    <w:rsid w:val="00E21D77"/>
    <w:rsid w:val="00E21DB1"/>
    <w:rsid w:val="00E21F42"/>
    <w:rsid w:val="00E221FF"/>
    <w:rsid w:val="00E2260B"/>
    <w:rsid w:val="00E22689"/>
    <w:rsid w:val="00E22D3D"/>
    <w:rsid w:val="00E22FBE"/>
    <w:rsid w:val="00E231F8"/>
    <w:rsid w:val="00E23E18"/>
    <w:rsid w:val="00E240EC"/>
    <w:rsid w:val="00E24157"/>
    <w:rsid w:val="00E242F7"/>
    <w:rsid w:val="00E245FE"/>
    <w:rsid w:val="00E2468D"/>
    <w:rsid w:val="00E248D1"/>
    <w:rsid w:val="00E248F5"/>
    <w:rsid w:val="00E24B94"/>
    <w:rsid w:val="00E24BD9"/>
    <w:rsid w:val="00E24C19"/>
    <w:rsid w:val="00E24EC4"/>
    <w:rsid w:val="00E24F09"/>
    <w:rsid w:val="00E24FBC"/>
    <w:rsid w:val="00E2522B"/>
    <w:rsid w:val="00E2531C"/>
    <w:rsid w:val="00E253B0"/>
    <w:rsid w:val="00E2559F"/>
    <w:rsid w:val="00E26450"/>
    <w:rsid w:val="00E266EC"/>
    <w:rsid w:val="00E26DA6"/>
    <w:rsid w:val="00E2703E"/>
    <w:rsid w:val="00E270CE"/>
    <w:rsid w:val="00E27391"/>
    <w:rsid w:val="00E27A77"/>
    <w:rsid w:val="00E27AF4"/>
    <w:rsid w:val="00E30385"/>
    <w:rsid w:val="00E303CE"/>
    <w:rsid w:val="00E3052E"/>
    <w:rsid w:val="00E30BB7"/>
    <w:rsid w:val="00E30CF5"/>
    <w:rsid w:val="00E316E4"/>
    <w:rsid w:val="00E31748"/>
    <w:rsid w:val="00E31AC7"/>
    <w:rsid w:val="00E31EDF"/>
    <w:rsid w:val="00E321F2"/>
    <w:rsid w:val="00E326A6"/>
    <w:rsid w:val="00E32C4C"/>
    <w:rsid w:val="00E32C65"/>
    <w:rsid w:val="00E331B8"/>
    <w:rsid w:val="00E33283"/>
    <w:rsid w:val="00E33788"/>
    <w:rsid w:val="00E339B1"/>
    <w:rsid w:val="00E33BC4"/>
    <w:rsid w:val="00E33D21"/>
    <w:rsid w:val="00E34246"/>
    <w:rsid w:val="00E342D6"/>
    <w:rsid w:val="00E3461E"/>
    <w:rsid w:val="00E34E8C"/>
    <w:rsid w:val="00E354CD"/>
    <w:rsid w:val="00E35B0F"/>
    <w:rsid w:val="00E35DDA"/>
    <w:rsid w:val="00E35E19"/>
    <w:rsid w:val="00E3623A"/>
    <w:rsid w:val="00E36456"/>
    <w:rsid w:val="00E364DB"/>
    <w:rsid w:val="00E36865"/>
    <w:rsid w:val="00E36D73"/>
    <w:rsid w:val="00E37B9A"/>
    <w:rsid w:val="00E4049A"/>
    <w:rsid w:val="00E40818"/>
    <w:rsid w:val="00E40962"/>
    <w:rsid w:val="00E40A7C"/>
    <w:rsid w:val="00E40F94"/>
    <w:rsid w:val="00E410F0"/>
    <w:rsid w:val="00E417BA"/>
    <w:rsid w:val="00E41C13"/>
    <w:rsid w:val="00E41F65"/>
    <w:rsid w:val="00E4242F"/>
    <w:rsid w:val="00E424EB"/>
    <w:rsid w:val="00E425C1"/>
    <w:rsid w:val="00E42982"/>
    <w:rsid w:val="00E433D0"/>
    <w:rsid w:val="00E438C0"/>
    <w:rsid w:val="00E44983"/>
    <w:rsid w:val="00E44E02"/>
    <w:rsid w:val="00E451E6"/>
    <w:rsid w:val="00E45A79"/>
    <w:rsid w:val="00E45FAB"/>
    <w:rsid w:val="00E46312"/>
    <w:rsid w:val="00E46560"/>
    <w:rsid w:val="00E46D72"/>
    <w:rsid w:val="00E472EA"/>
    <w:rsid w:val="00E47449"/>
    <w:rsid w:val="00E47BBE"/>
    <w:rsid w:val="00E47E82"/>
    <w:rsid w:val="00E502F1"/>
    <w:rsid w:val="00E503BD"/>
    <w:rsid w:val="00E504C6"/>
    <w:rsid w:val="00E508A8"/>
    <w:rsid w:val="00E512C4"/>
    <w:rsid w:val="00E51652"/>
    <w:rsid w:val="00E51A70"/>
    <w:rsid w:val="00E51A80"/>
    <w:rsid w:val="00E51AC8"/>
    <w:rsid w:val="00E51E01"/>
    <w:rsid w:val="00E51FEB"/>
    <w:rsid w:val="00E521E1"/>
    <w:rsid w:val="00E523A9"/>
    <w:rsid w:val="00E528B9"/>
    <w:rsid w:val="00E52BB8"/>
    <w:rsid w:val="00E533DB"/>
    <w:rsid w:val="00E537C4"/>
    <w:rsid w:val="00E53EB7"/>
    <w:rsid w:val="00E53F38"/>
    <w:rsid w:val="00E53FF0"/>
    <w:rsid w:val="00E54876"/>
    <w:rsid w:val="00E5554C"/>
    <w:rsid w:val="00E55B47"/>
    <w:rsid w:val="00E56161"/>
    <w:rsid w:val="00E564BF"/>
    <w:rsid w:val="00E56EBB"/>
    <w:rsid w:val="00E5729E"/>
    <w:rsid w:val="00E577A7"/>
    <w:rsid w:val="00E57852"/>
    <w:rsid w:val="00E578FF"/>
    <w:rsid w:val="00E600E3"/>
    <w:rsid w:val="00E60212"/>
    <w:rsid w:val="00E60693"/>
    <w:rsid w:val="00E60958"/>
    <w:rsid w:val="00E60C6B"/>
    <w:rsid w:val="00E60F9B"/>
    <w:rsid w:val="00E6161C"/>
    <w:rsid w:val="00E61C89"/>
    <w:rsid w:val="00E62373"/>
    <w:rsid w:val="00E627C4"/>
    <w:rsid w:val="00E62B42"/>
    <w:rsid w:val="00E62CCF"/>
    <w:rsid w:val="00E62F0B"/>
    <w:rsid w:val="00E63232"/>
    <w:rsid w:val="00E63321"/>
    <w:rsid w:val="00E63625"/>
    <w:rsid w:val="00E63ADA"/>
    <w:rsid w:val="00E63F6C"/>
    <w:rsid w:val="00E643AA"/>
    <w:rsid w:val="00E64CBE"/>
    <w:rsid w:val="00E64DF5"/>
    <w:rsid w:val="00E65B8F"/>
    <w:rsid w:val="00E6621A"/>
    <w:rsid w:val="00E66775"/>
    <w:rsid w:val="00E66A9B"/>
    <w:rsid w:val="00E66E41"/>
    <w:rsid w:val="00E66E88"/>
    <w:rsid w:val="00E67675"/>
    <w:rsid w:val="00E67A31"/>
    <w:rsid w:val="00E67CBD"/>
    <w:rsid w:val="00E67F2C"/>
    <w:rsid w:val="00E704C3"/>
    <w:rsid w:val="00E705A6"/>
    <w:rsid w:val="00E70632"/>
    <w:rsid w:val="00E708BE"/>
    <w:rsid w:val="00E70D76"/>
    <w:rsid w:val="00E70DC6"/>
    <w:rsid w:val="00E71556"/>
    <w:rsid w:val="00E715CF"/>
    <w:rsid w:val="00E7178A"/>
    <w:rsid w:val="00E7195E"/>
    <w:rsid w:val="00E71C53"/>
    <w:rsid w:val="00E72721"/>
    <w:rsid w:val="00E72B2F"/>
    <w:rsid w:val="00E73255"/>
    <w:rsid w:val="00E7376B"/>
    <w:rsid w:val="00E73EB9"/>
    <w:rsid w:val="00E740B6"/>
    <w:rsid w:val="00E74248"/>
    <w:rsid w:val="00E74EA6"/>
    <w:rsid w:val="00E75056"/>
    <w:rsid w:val="00E75087"/>
    <w:rsid w:val="00E75137"/>
    <w:rsid w:val="00E756E9"/>
    <w:rsid w:val="00E75F7F"/>
    <w:rsid w:val="00E76709"/>
    <w:rsid w:val="00E768F8"/>
    <w:rsid w:val="00E76EC5"/>
    <w:rsid w:val="00E77099"/>
    <w:rsid w:val="00E77149"/>
    <w:rsid w:val="00E77304"/>
    <w:rsid w:val="00E778C5"/>
    <w:rsid w:val="00E77AB9"/>
    <w:rsid w:val="00E80F91"/>
    <w:rsid w:val="00E81085"/>
    <w:rsid w:val="00E81A1C"/>
    <w:rsid w:val="00E81B63"/>
    <w:rsid w:val="00E81F90"/>
    <w:rsid w:val="00E8203C"/>
    <w:rsid w:val="00E82175"/>
    <w:rsid w:val="00E826CE"/>
    <w:rsid w:val="00E82A60"/>
    <w:rsid w:val="00E82CB9"/>
    <w:rsid w:val="00E82ED5"/>
    <w:rsid w:val="00E83AA1"/>
    <w:rsid w:val="00E83C09"/>
    <w:rsid w:val="00E83C57"/>
    <w:rsid w:val="00E83E57"/>
    <w:rsid w:val="00E8477A"/>
    <w:rsid w:val="00E84C37"/>
    <w:rsid w:val="00E84C54"/>
    <w:rsid w:val="00E84D07"/>
    <w:rsid w:val="00E84F7C"/>
    <w:rsid w:val="00E84FDB"/>
    <w:rsid w:val="00E85069"/>
    <w:rsid w:val="00E857BF"/>
    <w:rsid w:val="00E857DB"/>
    <w:rsid w:val="00E85ACA"/>
    <w:rsid w:val="00E85C6B"/>
    <w:rsid w:val="00E85E43"/>
    <w:rsid w:val="00E85F74"/>
    <w:rsid w:val="00E862A5"/>
    <w:rsid w:val="00E86650"/>
    <w:rsid w:val="00E86CA2"/>
    <w:rsid w:val="00E87953"/>
    <w:rsid w:val="00E87B23"/>
    <w:rsid w:val="00E87B6C"/>
    <w:rsid w:val="00E87BA3"/>
    <w:rsid w:val="00E87C97"/>
    <w:rsid w:val="00E90502"/>
    <w:rsid w:val="00E90799"/>
    <w:rsid w:val="00E91036"/>
    <w:rsid w:val="00E914F4"/>
    <w:rsid w:val="00E91C58"/>
    <w:rsid w:val="00E921C9"/>
    <w:rsid w:val="00E92598"/>
    <w:rsid w:val="00E92768"/>
    <w:rsid w:val="00E92872"/>
    <w:rsid w:val="00E92875"/>
    <w:rsid w:val="00E92915"/>
    <w:rsid w:val="00E92D56"/>
    <w:rsid w:val="00E92E77"/>
    <w:rsid w:val="00E92E7F"/>
    <w:rsid w:val="00E937DB"/>
    <w:rsid w:val="00E93852"/>
    <w:rsid w:val="00E93AED"/>
    <w:rsid w:val="00E93B11"/>
    <w:rsid w:val="00E93B9B"/>
    <w:rsid w:val="00E94013"/>
    <w:rsid w:val="00E9482D"/>
    <w:rsid w:val="00E94C96"/>
    <w:rsid w:val="00E951A8"/>
    <w:rsid w:val="00E953E4"/>
    <w:rsid w:val="00E96408"/>
    <w:rsid w:val="00E966EB"/>
    <w:rsid w:val="00E96A7B"/>
    <w:rsid w:val="00E96B0B"/>
    <w:rsid w:val="00E96CB9"/>
    <w:rsid w:val="00E97286"/>
    <w:rsid w:val="00E972D5"/>
    <w:rsid w:val="00E977DD"/>
    <w:rsid w:val="00E97880"/>
    <w:rsid w:val="00E97EBD"/>
    <w:rsid w:val="00EA00E4"/>
    <w:rsid w:val="00EA0111"/>
    <w:rsid w:val="00EA078D"/>
    <w:rsid w:val="00EA086A"/>
    <w:rsid w:val="00EA0E03"/>
    <w:rsid w:val="00EA1182"/>
    <w:rsid w:val="00EA118A"/>
    <w:rsid w:val="00EA13A7"/>
    <w:rsid w:val="00EA17D6"/>
    <w:rsid w:val="00EA1CCC"/>
    <w:rsid w:val="00EA1EE8"/>
    <w:rsid w:val="00EA2056"/>
    <w:rsid w:val="00EA23F6"/>
    <w:rsid w:val="00EA24F9"/>
    <w:rsid w:val="00EA2711"/>
    <w:rsid w:val="00EA27C0"/>
    <w:rsid w:val="00EA2971"/>
    <w:rsid w:val="00EA3208"/>
    <w:rsid w:val="00EA3EC6"/>
    <w:rsid w:val="00EA3F28"/>
    <w:rsid w:val="00EA4DBB"/>
    <w:rsid w:val="00EA56C4"/>
    <w:rsid w:val="00EA633E"/>
    <w:rsid w:val="00EA6449"/>
    <w:rsid w:val="00EA64CF"/>
    <w:rsid w:val="00EA6729"/>
    <w:rsid w:val="00EA684A"/>
    <w:rsid w:val="00EA69E6"/>
    <w:rsid w:val="00EA6CD6"/>
    <w:rsid w:val="00EA71E6"/>
    <w:rsid w:val="00EA72E1"/>
    <w:rsid w:val="00EA7405"/>
    <w:rsid w:val="00EA74E0"/>
    <w:rsid w:val="00EA763A"/>
    <w:rsid w:val="00EA79ED"/>
    <w:rsid w:val="00EA7E18"/>
    <w:rsid w:val="00EB014A"/>
    <w:rsid w:val="00EB0237"/>
    <w:rsid w:val="00EB056B"/>
    <w:rsid w:val="00EB05BB"/>
    <w:rsid w:val="00EB0751"/>
    <w:rsid w:val="00EB0A28"/>
    <w:rsid w:val="00EB0A93"/>
    <w:rsid w:val="00EB1091"/>
    <w:rsid w:val="00EB10DF"/>
    <w:rsid w:val="00EB1216"/>
    <w:rsid w:val="00EB16CB"/>
    <w:rsid w:val="00EB16FC"/>
    <w:rsid w:val="00EB18C1"/>
    <w:rsid w:val="00EB195B"/>
    <w:rsid w:val="00EB23D3"/>
    <w:rsid w:val="00EB2985"/>
    <w:rsid w:val="00EB29FE"/>
    <w:rsid w:val="00EB2D8A"/>
    <w:rsid w:val="00EB2F2E"/>
    <w:rsid w:val="00EB30CF"/>
    <w:rsid w:val="00EB3C77"/>
    <w:rsid w:val="00EB435A"/>
    <w:rsid w:val="00EB4AE0"/>
    <w:rsid w:val="00EB4F35"/>
    <w:rsid w:val="00EB51CD"/>
    <w:rsid w:val="00EB5606"/>
    <w:rsid w:val="00EB57B2"/>
    <w:rsid w:val="00EB634A"/>
    <w:rsid w:val="00EB66AA"/>
    <w:rsid w:val="00EB66DD"/>
    <w:rsid w:val="00EB6766"/>
    <w:rsid w:val="00EB67AE"/>
    <w:rsid w:val="00EB6D5E"/>
    <w:rsid w:val="00EB71A8"/>
    <w:rsid w:val="00EB767A"/>
    <w:rsid w:val="00EB794B"/>
    <w:rsid w:val="00EB7B91"/>
    <w:rsid w:val="00EC0102"/>
    <w:rsid w:val="00EC0463"/>
    <w:rsid w:val="00EC05D0"/>
    <w:rsid w:val="00EC0F51"/>
    <w:rsid w:val="00EC1262"/>
    <w:rsid w:val="00EC142B"/>
    <w:rsid w:val="00EC15FC"/>
    <w:rsid w:val="00EC16CC"/>
    <w:rsid w:val="00EC1965"/>
    <w:rsid w:val="00EC1E0F"/>
    <w:rsid w:val="00EC262C"/>
    <w:rsid w:val="00EC28EC"/>
    <w:rsid w:val="00EC2FAB"/>
    <w:rsid w:val="00EC376D"/>
    <w:rsid w:val="00EC3B9A"/>
    <w:rsid w:val="00EC41C0"/>
    <w:rsid w:val="00EC430A"/>
    <w:rsid w:val="00EC4545"/>
    <w:rsid w:val="00EC455F"/>
    <w:rsid w:val="00EC474C"/>
    <w:rsid w:val="00EC48FD"/>
    <w:rsid w:val="00EC4AD5"/>
    <w:rsid w:val="00EC4BB9"/>
    <w:rsid w:val="00EC4C4C"/>
    <w:rsid w:val="00EC4F95"/>
    <w:rsid w:val="00EC50CE"/>
    <w:rsid w:val="00EC564A"/>
    <w:rsid w:val="00EC5B65"/>
    <w:rsid w:val="00EC5BAD"/>
    <w:rsid w:val="00EC6271"/>
    <w:rsid w:val="00EC62DB"/>
    <w:rsid w:val="00EC662A"/>
    <w:rsid w:val="00EC6BFB"/>
    <w:rsid w:val="00EC71E1"/>
    <w:rsid w:val="00EC720C"/>
    <w:rsid w:val="00EC7298"/>
    <w:rsid w:val="00EC73D8"/>
    <w:rsid w:val="00EC750E"/>
    <w:rsid w:val="00EC7B37"/>
    <w:rsid w:val="00EC7D2C"/>
    <w:rsid w:val="00EC7D84"/>
    <w:rsid w:val="00ED0218"/>
    <w:rsid w:val="00ED02CC"/>
    <w:rsid w:val="00ED0920"/>
    <w:rsid w:val="00ED0ACD"/>
    <w:rsid w:val="00ED0C43"/>
    <w:rsid w:val="00ED1266"/>
    <w:rsid w:val="00ED17E2"/>
    <w:rsid w:val="00ED1876"/>
    <w:rsid w:val="00ED1FFF"/>
    <w:rsid w:val="00ED2496"/>
    <w:rsid w:val="00ED2606"/>
    <w:rsid w:val="00ED31DC"/>
    <w:rsid w:val="00ED3FC7"/>
    <w:rsid w:val="00ED4411"/>
    <w:rsid w:val="00ED4BE2"/>
    <w:rsid w:val="00ED4C86"/>
    <w:rsid w:val="00ED5421"/>
    <w:rsid w:val="00ED5572"/>
    <w:rsid w:val="00ED5640"/>
    <w:rsid w:val="00ED5CEF"/>
    <w:rsid w:val="00ED60ED"/>
    <w:rsid w:val="00ED62B3"/>
    <w:rsid w:val="00ED6E7E"/>
    <w:rsid w:val="00ED734D"/>
    <w:rsid w:val="00ED75DC"/>
    <w:rsid w:val="00ED78CB"/>
    <w:rsid w:val="00ED7969"/>
    <w:rsid w:val="00ED7EC0"/>
    <w:rsid w:val="00EE0366"/>
    <w:rsid w:val="00EE03D3"/>
    <w:rsid w:val="00EE0503"/>
    <w:rsid w:val="00EE0607"/>
    <w:rsid w:val="00EE072E"/>
    <w:rsid w:val="00EE0861"/>
    <w:rsid w:val="00EE13CC"/>
    <w:rsid w:val="00EE15F8"/>
    <w:rsid w:val="00EE170F"/>
    <w:rsid w:val="00EE17B3"/>
    <w:rsid w:val="00EE1895"/>
    <w:rsid w:val="00EE1D50"/>
    <w:rsid w:val="00EE1DED"/>
    <w:rsid w:val="00EE1E1B"/>
    <w:rsid w:val="00EE227C"/>
    <w:rsid w:val="00EE22FD"/>
    <w:rsid w:val="00EE242C"/>
    <w:rsid w:val="00EE2839"/>
    <w:rsid w:val="00EE2F39"/>
    <w:rsid w:val="00EE3078"/>
    <w:rsid w:val="00EE3359"/>
    <w:rsid w:val="00EE335A"/>
    <w:rsid w:val="00EE3605"/>
    <w:rsid w:val="00EE36D6"/>
    <w:rsid w:val="00EE3F78"/>
    <w:rsid w:val="00EE4709"/>
    <w:rsid w:val="00EE4E6E"/>
    <w:rsid w:val="00EE5046"/>
    <w:rsid w:val="00EE568E"/>
    <w:rsid w:val="00EE5BD9"/>
    <w:rsid w:val="00EE61A0"/>
    <w:rsid w:val="00EE67DB"/>
    <w:rsid w:val="00EE7544"/>
    <w:rsid w:val="00EF048B"/>
    <w:rsid w:val="00EF06C2"/>
    <w:rsid w:val="00EF0847"/>
    <w:rsid w:val="00EF0945"/>
    <w:rsid w:val="00EF0D94"/>
    <w:rsid w:val="00EF0DE8"/>
    <w:rsid w:val="00EF0F94"/>
    <w:rsid w:val="00EF1351"/>
    <w:rsid w:val="00EF19B0"/>
    <w:rsid w:val="00EF1BD8"/>
    <w:rsid w:val="00EF23CA"/>
    <w:rsid w:val="00EF2508"/>
    <w:rsid w:val="00EF26B8"/>
    <w:rsid w:val="00EF2727"/>
    <w:rsid w:val="00EF28D0"/>
    <w:rsid w:val="00EF291D"/>
    <w:rsid w:val="00EF2A12"/>
    <w:rsid w:val="00EF2B3D"/>
    <w:rsid w:val="00EF2EA2"/>
    <w:rsid w:val="00EF31E2"/>
    <w:rsid w:val="00EF33B7"/>
    <w:rsid w:val="00EF35C8"/>
    <w:rsid w:val="00EF3680"/>
    <w:rsid w:val="00EF38DA"/>
    <w:rsid w:val="00EF3A18"/>
    <w:rsid w:val="00EF3D2B"/>
    <w:rsid w:val="00EF3F4B"/>
    <w:rsid w:val="00EF4AB1"/>
    <w:rsid w:val="00EF4EBB"/>
    <w:rsid w:val="00EF509D"/>
    <w:rsid w:val="00EF50E6"/>
    <w:rsid w:val="00EF51B3"/>
    <w:rsid w:val="00EF54DB"/>
    <w:rsid w:val="00EF556A"/>
    <w:rsid w:val="00EF5751"/>
    <w:rsid w:val="00EF5AC7"/>
    <w:rsid w:val="00EF5B76"/>
    <w:rsid w:val="00EF5D8F"/>
    <w:rsid w:val="00EF7029"/>
    <w:rsid w:val="00EF7100"/>
    <w:rsid w:val="00EF722D"/>
    <w:rsid w:val="00EF7A2A"/>
    <w:rsid w:val="00F0095B"/>
    <w:rsid w:val="00F0142F"/>
    <w:rsid w:val="00F0162F"/>
    <w:rsid w:val="00F01B3D"/>
    <w:rsid w:val="00F022AE"/>
    <w:rsid w:val="00F02714"/>
    <w:rsid w:val="00F02CF0"/>
    <w:rsid w:val="00F03158"/>
    <w:rsid w:val="00F03189"/>
    <w:rsid w:val="00F03B9C"/>
    <w:rsid w:val="00F03DE9"/>
    <w:rsid w:val="00F0493F"/>
    <w:rsid w:val="00F04F55"/>
    <w:rsid w:val="00F052F0"/>
    <w:rsid w:val="00F05626"/>
    <w:rsid w:val="00F05818"/>
    <w:rsid w:val="00F05D93"/>
    <w:rsid w:val="00F05F7A"/>
    <w:rsid w:val="00F063F8"/>
    <w:rsid w:val="00F06579"/>
    <w:rsid w:val="00F06B25"/>
    <w:rsid w:val="00F06B8D"/>
    <w:rsid w:val="00F0774D"/>
    <w:rsid w:val="00F07A21"/>
    <w:rsid w:val="00F10033"/>
    <w:rsid w:val="00F1030A"/>
    <w:rsid w:val="00F106F2"/>
    <w:rsid w:val="00F10E35"/>
    <w:rsid w:val="00F10EE8"/>
    <w:rsid w:val="00F1109F"/>
    <w:rsid w:val="00F11437"/>
    <w:rsid w:val="00F11670"/>
    <w:rsid w:val="00F11B84"/>
    <w:rsid w:val="00F11BB4"/>
    <w:rsid w:val="00F122C8"/>
    <w:rsid w:val="00F129B7"/>
    <w:rsid w:val="00F12D71"/>
    <w:rsid w:val="00F13DB4"/>
    <w:rsid w:val="00F1498B"/>
    <w:rsid w:val="00F14B49"/>
    <w:rsid w:val="00F14CF3"/>
    <w:rsid w:val="00F14EAD"/>
    <w:rsid w:val="00F14F9E"/>
    <w:rsid w:val="00F1501E"/>
    <w:rsid w:val="00F151F7"/>
    <w:rsid w:val="00F15668"/>
    <w:rsid w:val="00F15851"/>
    <w:rsid w:val="00F16559"/>
    <w:rsid w:val="00F165A6"/>
    <w:rsid w:val="00F1673D"/>
    <w:rsid w:val="00F16C18"/>
    <w:rsid w:val="00F16C3A"/>
    <w:rsid w:val="00F16C8C"/>
    <w:rsid w:val="00F16D53"/>
    <w:rsid w:val="00F171EE"/>
    <w:rsid w:val="00F173DC"/>
    <w:rsid w:val="00F1754D"/>
    <w:rsid w:val="00F176CE"/>
    <w:rsid w:val="00F202E8"/>
    <w:rsid w:val="00F2033F"/>
    <w:rsid w:val="00F20583"/>
    <w:rsid w:val="00F2143C"/>
    <w:rsid w:val="00F216A6"/>
    <w:rsid w:val="00F22F19"/>
    <w:rsid w:val="00F2380E"/>
    <w:rsid w:val="00F2391E"/>
    <w:rsid w:val="00F23EAD"/>
    <w:rsid w:val="00F24506"/>
    <w:rsid w:val="00F24637"/>
    <w:rsid w:val="00F249A0"/>
    <w:rsid w:val="00F24A00"/>
    <w:rsid w:val="00F25803"/>
    <w:rsid w:val="00F25872"/>
    <w:rsid w:val="00F25C84"/>
    <w:rsid w:val="00F25E62"/>
    <w:rsid w:val="00F260F0"/>
    <w:rsid w:val="00F2618C"/>
    <w:rsid w:val="00F263B0"/>
    <w:rsid w:val="00F26F24"/>
    <w:rsid w:val="00F26FEE"/>
    <w:rsid w:val="00F26FF8"/>
    <w:rsid w:val="00F27908"/>
    <w:rsid w:val="00F27D1D"/>
    <w:rsid w:val="00F30245"/>
    <w:rsid w:val="00F30D59"/>
    <w:rsid w:val="00F31200"/>
    <w:rsid w:val="00F314BA"/>
    <w:rsid w:val="00F31F12"/>
    <w:rsid w:val="00F328E4"/>
    <w:rsid w:val="00F32C57"/>
    <w:rsid w:val="00F32EE1"/>
    <w:rsid w:val="00F33DDB"/>
    <w:rsid w:val="00F33E04"/>
    <w:rsid w:val="00F343B2"/>
    <w:rsid w:val="00F34463"/>
    <w:rsid w:val="00F346DF"/>
    <w:rsid w:val="00F34906"/>
    <w:rsid w:val="00F34C18"/>
    <w:rsid w:val="00F356C3"/>
    <w:rsid w:val="00F35B62"/>
    <w:rsid w:val="00F35C2A"/>
    <w:rsid w:val="00F35DD0"/>
    <w:rsid w:val="00F365AC"/>
    <w:rsid w:val="00F368D3"/>
    <w:rsid w:val="00F36BE0"/>
    <w:rsid w:val="00F37461"/>
    <w:rsid w:val="00F37E94"/>
    <w:rsid w:val="00F405AF"/>
    <w:rsid w:val="00F4088D"/>
    <w:rsid w:val="00F40C73"/>
    <w:rsid w:val="00F411DA"/>
    <w:rsid w:val="00F41288"/>
    <w:rsid w:val="00F41C73"/>
    <w:rsid w:val="00F42072"/>
    <w:rsid w:val="00F42108"/>
    <w:rsid w:val="00F42512"/>
    <w:rsid w:val="00F427B5"/>
    <w:rsid w:val="00F429E2"/>
    <w:rsid w:val="00F42B55"/>
    <w:rsid w:val="00F42C40"/>
    <w:rsid w:val="00F42CCD"/>
    <w:rsid w:val="00F430DA"/>
    <w:rsid w:val="00F43196"/>
    <w:rsid w:val="00F43B2F"/>
    <w:rsid w:val="00F43CC7"/>
    <w:rsid w:val="00F43DC0"/>
    <w:rsid w:val="00F44252"/>
    <w:rsid w:val="00F44882"/>
    <w:rsid w:val="00F44ABF"/>
    <w:rsid w:val="00F44EED"/>
    <w:rsid w:val="00F44F5C"/>
    <w:rsid w:val="00F45051"/>
    <w:rsid w:val="00F458E8"/>
    <w:rsid w:val="00F45966"/>
    <w:rsid w:val="00F45B65"/>
    <w:rsid w:val="00F45BFB"/>
    <w:rsid w:val="00F46137"/>
    <w:rsid w:val="00F4625E"/>
    <w:rsid w:val="00F46635"/>
    <w:rsid w:val="00F46E6D"/>
    <w:rsid w:val="00F47997"/>
    <w:rsid w:val="00F47A07"/>
    <w:rsid w:val="00F47B36"/>
    <w:rsid w:val="00F47E64"/>
    <w:rsid w:val="00F47F4A"/>
    <w:rsid w:val="00F500BB"/>
    <w:rsid w:val="00F5041E"/>
    <w:rsid w:val="00F5047B"/>
    <w:rsid w:val="00F504F5"/>
    <w:rsid w:val="00F51172"/>
    <w:rsid w:val="00F5117D"/>
    <w:rsid w:val="00F51370"/>
    <w:rsid w:val="00F51403"/>
    <w:rsid w:val="00F515B7"/>
    <w:rsid w:val="00F52071"/>
    <w:rsid w:val="00F52978"/>
    <w:rsid w:val="00F53363"/>
    <w:rsid w:val="00F53637"/>
    <w:rsid w:val="00F53A4D"/>
    <w:rsid w:val="00F544F7"/>
    <w:rsid w:val="00F546A3"/>
    <w:rsid w:val="00F547F0"/>
    <w:rsid w:val="00F54CEE"/>
    <w:rsid w:val="00F54FA9"/>
    <w:rsid w:val="00F55087"/>
    <w:rsid w:val="00F55DC8"/>
    <w:rsid w:val="00F563B1"/>
    <w:rsid w:val="00F568B7"/>
    <w:rsid w:val="00F5702B"/>
    <w:rsid w:val="00F5726A"/>
    <w:rsid w:val="00F57441"/>
    <w:rsid w:val="00F57A56"/>
    <w:rsid w:val="00F57B54"/>
    <w:rsid w:val="00F57F5B"/>
    <w:rsid w:val="00F60057"/>
    <w:rsid w:val="00F609A0"/>
    <w:rsid w:val="00F60A30"/>
    <w:rsid w:val="00F60B89"/>
    <w:rsid w:val="00F60C5A"/>
    <w:rsid w:val="00F611EF"/>
    <w:rsid w:val="00F61547"/>
    <w:rsid w:val="00F615EB"/>
    <w:rsid w:val="00F6167F"/>
    <w:rsid w:val="00F61B8A"/>
    <w:rsid w:val="00F61BCF"/>
    <w:rsid w:val="00F61F30"/>
    <w:rsid w:val="00F62133"/>
    <w:rsid w:val="00F62753"/>
    <w:rsid w:val="00F62CBA"/>
    <w:rsid w:val="00F63094"/>
    <w:rsid w:val="00F6314F"/>
    <w:rsid w:val="00F633D5"/>
    <w:rsid w:val="00F635D3"/>
    <w:rsid w:val="00F6372C"/>
    <w:rsid w:val="00F63E98"/>
    <w:rsid w:val="00F63F07"/>
    <w:rsid w:val="00F6403C"/>
    <w:rsid w:val="00F64952"/>
    <w:rsid w:val="00F64AA9"/>
    <w:rsid w:val="00F64F58"/>
    <w:rsid w:val="00F651A6"/>
    <w:rsid w:val="00F65227"/>
    <w:rsid w:val="00F6570A"/>
    <w:rsid w:val="00F662B1"/>
    <w:rsid w:val="00F6637C"/>
    <w:rsid w:val="00F6663B"/>
    <w:rsid w:val="00F6694E"/>
    <w:rsid w:val="00F66A4B"/>
    <w:rsid w:val="00F66C4D"/>
    <w:rsid w:val="00F66D2C"/>
    <w:rsid w:val="00F66FFC"/>
    <w:rsid w:val="00F67052"/>
    <w:rsid w:val="00F6711A"/>
    <w:rsid w:val="00F671AD"/>
    <w:rsid w:val="00F67E5B"/>
    <w:rsid w:val="00F7000F"/>
    <w:rsid w:val="00F70572"/>
    <w:rsid w:val="00F70587"/>
    <w:rsid w:val="00F70A87"/>
    <w:rsid w:val="00F70D4A"/>
    <w:rsid w:val="00F7108E"/>
    <w:rsid w:val="00F7118C"/>
    <w:rsid w:val="00F71B42"/>
    <w:rsid w:val="00F72B27"/>
    <w:rsid w:val="00F72F9A"/>
    <w:rsid w:val="00F73429"/>
    <w:rsid w:val="00F74792"/>
    <w:rsid w:val="00F748AD"/>
    <w:rsid w:val="00F74931"/>
    <w:rsid w:val="00F74A04"/>
    <w:rsid w:val="00F74DFF"/>
    <w:rsid w:val="00F7518F"/>
    <w:rsid w:val="00F764E1"/>
    <w:rsid w:val="00F767F2"/>
    <w:rsid w:val="00F76966"/>
    <w:rsid w:val="00F76F1B"/>
    <w:rsid w:val="00F76FBC"/>
    <w:rsid w:val="00F7725A"/>
    <w:rsid w:val="00F803FA"/>
    <w:rsid w:val="00F806ED"/>
    <w:rsid w:val="00F8106C"/>
    <w:rsid w:val="00F81490"/>
    <w:rsid w:val="00F81556"/>
    <w:rsid w:val="00F8195A"/>
    <w:rsid w:val="00F81B08"/>
    <w:rsid w:val="00F820D1"/>
    <w:rsid w:val="00F82488"/>
    <w:rsid w:val="00F82BF1"/>
    <w:rsid w:val="00F82FD8"/>
    <w:rsid w:val="00F832D6"/>
    <w:rsid w:val="00F8371C"/>
    <w:rsid w:val="00F83FC3"/>
    <w:rsid w:val="00F84290"/>
    <w:rsid w:val="00F845FD"/>
    <w:rsid w:val="00F847C3"/>
    <w:rsid w:val="00F84B43"/>
    <w:rsid w:val="00F84CA4"/>
    <w:rsid w:val="00F84D3F"/>
    <w:rsid w:val="00F8504A"/>
    <w:rsid w:val="00F8593C"/>
    <w:rsid w:val="00F85A7D"/>
    <w:rsid w:val="00F85B46"/>
    <w:rsid w:val="00F85EBF"/>
    <w:rsid w:val="00F86182"/>
    <w:rsid w:val="00F861CD"/>
    <w:rsid w:val="00F86477"/>
    <w:rsid w:val="00F866AE"/>
    <w:rsid w:val="00F866C7"/>
    <w:rsid w:val="00F869BB"/>
    <w:rsid w:val="00F86F12"/>
    <w:rsid w:val="00F87B14"/>
    <w:rsid w:val="00F87B67"/>
    <w:rsid w:val="00F87F5A"/>
    <w:rsid w:val="00F90582"/>
    <w:rsid w:val="00F90E51"/>
    <w:rsid w:val="00F910A9"/>
    <w:rsid w:val="00F910AE"/>
    <w:rsid w:val="00F9131E"/>
    <w:rsid w:val="00F9197C"/>
    <w:rsid w:val="00F922BA"/>
    <w:rsid w:val="00F925C6"/>
    <w:rsid w:val="00F927F8"/>
    <w:rsid w:val="00F92A02"/>
    <w:rsid w:val="00F92CEF"/>
    <w:rsid w:val="00F93175"/>
    <w:rsid w:val="00F93360"/>
    <w:rsid w:val="00F93694"/>
    <w:rsid w:val="00F93A4F"/>
    <w:rsid w:val="00F93DD6"/>
    <w:rsid w:val="00F943FC"/>
    <w:rsid w:val="00F94AB9"/>
    <w:rsid w:val="00F94AC3"/>
    <w:rsid w:val="00F94B2B"/>
    <w:rsid w:val="00F94ECE"/>
    <w:rsid w:val="00F94F4D"/>
    <w:rsid w:val="00F94F76"/>
    <w:rsid w:val="00F955A6"/>
    <w:rsid w:val="00F95BAC"/>
    <w:rsid w:val="00F95E61"/>
    <w:rsid w:val="00F96339"/>
    <w:rsid w:val="00F96976"/>
    <w:rsid w:val="00F96AAC"/>
    <w:rsid w:val="00F96AD3"/>
    <w:rsid w:val="00F96C96"/>
    <w:rsid w:val="00F96FA7"/>
    <w:rsid w:val="00F97236"/>
    <w:rsid w:val="00F976DA"/>
    <w:rsid w:val="00F97964"/>
    <w:rsid w:val="00F97C24"/>
    <w:rsid w:val="00F97C2B"/>
    <w:rsid w:val="00F97EFD"/>
    <w:rsid w:val="00FA0269"/>
    <w:rsid w:val="00FA0A82"/>
    <w:rsid w:val="00FA0C67"/>
    <w:rsid w:val="00FA12B2"/>
    <w:rsid w:val="00FA1339"/>
    <w:rsid w:val="00FA137F"/>
    <w:rsid w:val="00FA14A8"/>
    <w:rsid w:val="00FA1865"/>
    <w:rsid w:val="00FA1ACB"/>
    <w:rsid w:val="00FA1CD3"/>
    <w:rsid w:val="00FA1DF8"/>
    <w:rsid w:val="00FA1F09"/>
    <w:rsid w:val="00FA1F22"/>
    <w:rsid w:val="00FA2109"/>
    <w:rsid w:val="00FA24DA"/>
    <w:rsid w:val="00FA2691"/>
    <w:rsid w:val="00FA28D1"/>
    <w:rsid w:val="00FA2933"/>
    <w:rsid w:val="00FA2A51"/>
    <w:rsid w:val="00FA2B08"/>
    <w:rsid w:val="00FA2F8F"/>
    <w:rsid w:val="00FA3151"/>
    <w:rsid w:val="00FA3293"/>
    <w:rsid w:val="00FA32D8"/>
    <w:rsid w:val="00FA3A6D"/>
    <w:rsid w:val="00FA3C15"/>
    <w:rsid w:val="00FA3EDE"/>
    <w:rsid w:val="00FA40A2"/>
    <w:rsid w:val="00FA4172"/>
    <w:rsid w:val="00FA4317"/>
    <w:rsid w:val="00FA4462"/>
    <w:rsid w:val="00FA44CE"/>
    <w:rsid w:val="00FA4573"/>
    <w:rsid w:val="00FA45D7"/>
    <w:rsid w:val="00FA4B51"/>
    <w:rsid w:val="00FA50F5"/>
    <w:rsid w:val="00FA5676"/>
    <w:rsid w:val="00FA57EC"/>
    <w:rsid w:val="00FA5AAF"/>
    <w:rsid w:val="00FA5ECD"/>
    <w:rsid w:val="00FA60E9"/>
    <w:rsid w:val="00FA628E"/>
    <w:rsid w:val="00FA676A"/>
    <w:rsid w:val="00FA6FD8"/>
    <w:rsid w:val="00FA7079"/>
    <w:rsid w:val="00FA7A2C"/>
    <w:rsid w:val="00FA7F3A"/>
    <w:rsid w:val="00FB0461"/>
    <w:rsid w:val="00FB0577"/>
    <w:rsid w:val="00FB0A2C"/>
    <w:rsid w:val="00FB0A47"/>
    <w:rsid w:val="00FB0E6D"/>
    <w:rsid w:val="00FB1005"/>
    <w:rsid w:val="00FB103D"/>
    <w:rsid w:val="00FB1119"/>
    <w:rsid w:val="00FB115B"/>
    <w:rsid w:val="00FB1213"/>
    <w:rsid w:val="00FB1270"/>
    <w:rsid w:val="00FB1291"/>
    <w:rsid w:val="00FB1849"/>
    <w:rsid w:val="00FB1A64"/>
    <w:rsid w:val="00FB1BDE"/>
    <w:rsid w:val="00FB1ECB"/>
    <w:rsid w:val="00FB220A"/>
    <w:rsid w:val="00FB2383"/>
    <w:rsid w:val="00FB2931"/>
    <w:rsid w:val="00FB29A1"/>
    <w:rsid w:val="00FB2F38"/>
    <w:rsid w:val="00FB314B"/>
    <w:rsid w:val="00FB33E2"/>
    <w:rsid w:val="00FB3474"/>
    <w:rsid w:val="00FB36E3"/>
    <w:rsid w:val="00FB3768"/>
    <w:rsid w:val="00FB3BC7"/>
    <w:rsid w:val="00FB52E1"/>
    <w:rsid w:val="00FB57B7"/>
    <w:rsid w:val="00FB5C44"/>
    <w:rsid w:val="00FB5F95"/>
    <w:rsid w:val="00FB6782"/>
    <w:rsid w:val="00FB7120"/>
    <w:rsid w:val="00FB71C5"/>
    <w:rsid w:val="00FB7A6A"/>
    <w:rsid w:val="00FB7BFC"/>
    <w:rsid w:val="00FB7E9B"/>
    <w:rsid w:val="00FC064B"/>
    <w:rsid w:val="00FC0ADF"/>
    <w:rsid w:val="00FC0AE2"/>
    <w:rsid w:val="00FC0CDF"/>
    <w:rsid w:val="00FC0EB8"/>
    <w:rsid w:val="00FC1027"/>
    <w:rsid w:val="00FC1D99"/>
    <w:rsid w:val="00FC1FDB"/>
    <w:rsid w:val="00FC2124"/>
    <w:rsid w:val="00FC29A7"/>
    <w:rsid w:val="00FC32ED"/>
    <w:rsid w:val="00FC3317"/>
    <w:rsid w:val="00FC36DD"/>
    <w:rsid w:val="00FC36F5"/>
    <w:rsid w:val="00FC3A9E"/>
    <w:rsid w:val="00FC3CCF"/>
    <w:rsid w:val="00FC4199"/>
    <w:rsid w:val="00FC4210"/>
    <w:rsid w:val="00FC447D"/>
    <w:rsid w:val="00FC4535"/>
    <w:rsid w:val="00FC4811"/>
    <w:rsid w:val="00FC486D"/>
    <w:rsid w:val="00FC4E18"/>
    <w:rsid w:val="00FC514F"/>
    <w:rsid w:val="00FC5246"/>
    <w:rsid w:val="00FC52FC"/>
    <w:rsid w:val="00FC65D4"/>
    <w:rsid w:val="00FC6653"/>
    <w:rsid w:val="00FC66EE"/>
    <w:rsid w:val="00FC6FB2"/>
    <w:rsid w:val="00FC7197"/>
    <w:rsid w:val="00FC7510"/>
    <w:rsid w:val="00FC76C6"/>
    <w:rsid w:val="00FC7ECC"/>
    <w:rsid w:val="00FC7FA5"/>
    <w:rsid w:val="00FD01B8"/>
    <w:rsid w:val="00FD02DD"/>
    <w:rsid w:val="00FD062A"/>
    <w:rsid w:val="00FD0B5F"/>
    <w:rsid w:val="00FD115C"/>
    <w:rsid w:val="00FD187F"/>
    <w:rsid w:val="00FD19C4"/>
    <w:rsid w:val="00FD1AE0"/>
    <w:rsid w:val="00FD1C21"/>
    <w:rsid w:val="00FD1CB5"/>
    <w:rsid w:val="00FD213C"/>
    <w:rsid w:val="00FD2362"/>
    <w:rsid w:val="00FD25C2"/>
    <w:rsid w:val="00FD2676"/>
    <w:rsid w:val="00FD26CE"/>
    <w:rsid w:val="00FD2B66"/>
    <w:rsid w:val="00FD31BB"/>
    <w:rsid w:val="00FD3406"/>
    <w:rsid w:val="00FD37AD"/>
    <w:rsid w:val="00FD39E4"/>
    <w:rsid w:val="00FD3CD8"/>
    <w:rsid w:val="00FD433E"/>
    <w:rsid w:val="00FD4459"/>
    <w:rsid w:val="00FD4861"/>
    <w:rsid w:val="00FD49BE"/>
    <w:rsid w:val="00FD4D58"/>
    <w:rsid w:val="00FD623A"/>
    <w:rsid w:val="00FD68C4"/>
    <w:rsid w:val="00FD6CEA"/>
    <w:rsid w:val="00FD724B"/>
    <w:rsid w:val="00FD7294"/>
    <w:rsid w:val="00FD72B4"/>
    <w:rsid w:val="00FD7652"/>
    <w:rsid w:val="00FD7933"/>
    <w:rsid w:val="00FD797D"/>
    <w:rsid w:val="00FE0280"/>
    <w:rsid w:val="00FE05BF"/>
    <w:rsid w:val="00FE07C0"/>
    <w:rsid w:val="00FE0BFE"/>
    <w:rsid w:val="00FE0CEA"/>
    <w:rsid w:val="00FE0FCF"/>
    <w:rsid w:val="00FE1091"/>
    <w:rsid w:val="00FE116C"/>
    <w:rsid w:val="00FE1274"/>
    <w:rsid w:val="00FE23F6"/>
    <w:rsid w:val="00FE2607"/>
    <w:rsid w:val="00FE263F"/>
    <w:rsid w:val="00FE2BBA"/>
    <w:rsid w:val="00FE364C"/>
    <w:rsid w:val="00FE3AEE"/>
    <w:rsid w:val="00FE3EF9"/>
    <w:rsid w:val="00FE3F60"/>
    <w:rsid w:val="00FE4324"/>
    <w:rsid w:val="00FE56F4"/>
    <w:rsid w:val="00FE5717"/>
    <w:rsid w:val="00FE5CCB"/>
    <w:rsid w:val="00FE5DCC"/>
    <w:rsid w:val="00FE6981"/>
    <w:rsid w:val="00FE6BEF"/>
    <w:rsid w:val="00FE6C67"/>
    <w:rsid w:val="00FE6FF7"/>
    <w:rsid w:val="00FE7042"/>
    <w:rsid w:val="00FE74DB"/>
    <w:rsid w:val="00FE7B90"/>
    <w:rsid w:val="00FE7ED4"/>
    <w:rsid w:val="00FF0215"/>
    <w:rsid w:val="00FF0684"/>
    <w:rsid w:val="00FF1067"/>
    <w:rsid w:val="00FF126B"/>
    <w:rsid w:val="00FF14E4"/>
    <w:rsid w:val="00FF15BC"/>
    <w:rsid w:val="00FF1BFB"/>
    <w:rsid w:val="00FF1C64"/>
    <w:rsid w:val="00FF2164"/>
    <w:rsid w:val="00FF2165"/>
    <w:rsid w:val="00FF2644"/>
    <w:rsid w:val="00FF29DD"/>
    <w:rsid w:val="00FF30D4"/>
    <w:rsid w:val="00FF3109"/>
    <w:rsid w:val="00FF36A8"/>
    <w:rsid w:val="00FF39EC"/>
    <w:rsid w:val="00FF3B66"/>
    <w:rsid w:val="00FF3D6C"/>
    <w:rsid w:val="00FF43D3"/>
    <w:rsid w:val="00FF477D"/>
    <w:rsid w:val="00FF4AF0"/>
    <w:rsid w:val="00FF4C20"/>
    <w:rsid w:val="00FF4C4D"/>
    <w:rsid w:val="00FF4D9D"/>
    <w:rsid w:val="00FF50BF"/>
    <w:rsid w:val="00FF52A1"/>
    <w:rsid w:val="00FF53F4"/>
    <w:rsid w:val="00FF5681"/>
    <w:rsid w:val="00FF5B5B"/>
    <w:rsid w:val="00FF6380"/>
    <w:rsid w:val="00FF65B6"/>
    <w:rsid w:val="00FF66AA"/>
    <w:rsid w:val="00FF70FF"/>
    <w:rsid w:val="00FF73CF"/>
    <w:rsid w:val="00FF77F4"/>
    <w:rsid w:val="00FF7D20"/>
    <w:rsid w:val="00FF7F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D5208BFE-70F8-4E16-87EF-C523F768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81"/>
    <w:rPr>
      <w:sz w:val="18"/>
      <w:lang w:val="es-ES" w:eastAsia="es-ES"/>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link w:val="Ttulo2Car"/>
    <w:qFormat/>
    <w:pPr>
      <w:keepNext/>
      <w:spacing w:line="360" w:lineRule="auto"/>
      <w:jc w:val="right"/>
      <w:outlineLvl w:val="1"/>
    </w:pPr>
    <w:rPr>
      <w:b/>
      <w:lang w:val="es-MX"/>
    </w:rPr>
  </w:style>
  <w:style w:type="paragraph" w:styleId="Ttulo3">
    <w:name w:val="heading 3"/>
    <w:basedOn w:val="Normal"/>
    <w:next w:val="Normal"/>
    <w:qFormat/>
    <w:pPr>
      <w:keepNext/>
      <w:tabs>
        <w:tab w:val="left" w:pos="0"/>
      </w:tabs>
      <w:autoSpaceDE w:val="0"/>
      <w:autoSpaceDN w:val="0"/>
      <w:adjustRightInd w:val="0"/>
      <w:jc w:val="center"/>
      <w:outlineLvl w:val="2"/>
    </w:pPr>
    <w:rPr>
      <w:rFonts w:ascii="Arial" w:hAnsi="Arial"/>
      <w:b/>
      <w:sz w:val="19"/>
      <w:lang w:val="es-AR"/>
    </w:rPr>
  </w:style>
  <w:style w:type="paragraph" w:styleId="Ttulo4">
    <w:name w:val="heading 4"/>
    <w:basedOn w:val="Normal"/>
    <w:next w:val="Normal"/>
    <w:qFormat/>
    <w:pPr>
      <w:keepNext/>
      <w:widowControl w:val="0"/>
      <w:tabs>
        <w:tab w:val="left" w:pos="0"/>
      </w:tabs>
      <w:ind w:firstLine="3600"/>
      <w:jc w:val="center"/>
      <w:outlineLvl w:val="3"/>
    </w:pPr>
    <w:rPr>
      <w:b/>
      <w:snapToGrid w:val="0"/>
      <w:sz w:val="27"/>
      <w:lang w:val="es-AR"/>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i/>
      <w:sz w:val="20"/>
    </w:rPr>
  </w:style>
  <w:style w:type="paragraph" w:styleId="Ttulo9">
    <w:name w:val="heading 9"/>
    <w:basedOn w:val="Normal"/>
    <w:next w:val="Normal"/>
    <w:qFormat/>
    <w:rsid w:val="002C2D2F"/>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center"/>
    </w:pPr>
    <w:rPr>
      <w:b/>
      <w:sz w:val="24"/>
    </w:rPr>
  </w:style>
  <w:style w:type="paragraph" w:styleId="Sangra2detindependiente">
    <w:name w:val="Body Text Indent 2"/>
    <w:basedOn w:val="Normal"/>
    <w:pPr>
      <w:ind w:left="360"/>
    </w:pPr>
  </w:style>
  <w:style w:type="paragraph" w:styleId="Ttulo">
    <w:name w:val="Title"/>
    <w:basedOn w:val="Normal"/>
    <w:link w:val="TtuloCar"/>
    <w:qFormat/>
    <w:pPr>
      <w:widowControl w:val="0"/>
      <w:tabs>
        <w:tab w:val="center" w:pos="4703"/>
      </w:tabs>
      <w:overflowPunct w:val="0"/>
      <w:autoSpaceDE w:val="0"/>
      <w:autoSpaceDN w:val="0"/>
      <w:adjustRightInd w:val="0"/>
      <w:jc w:val="center"/>
      <w:textAlignment w:val="baseline"/>
    </w:pPr>
    <w:rPr>
      <w:b/>
      <w:sz w:val="22"/>
      <w:lang w:val="es-ES_tradnl"/>
    </w:rPr>
  </w:style>
  <w:style w:type="paragraph" w:styleId="Textodebloque">
    <w:name w:val="Block Text"/>
    <w:basedOn w:val="Normal"/>
    <w:pPr>
      <w:spacing w:line="240" w:lineRule="atLeast"/>
      <w:ind w:left="360" w:right="3" w:hanging="360"/>
      <w:jc w:val="both"/>
    </w:pPr>
    <w:rPr>
      <w:color w:val="000000"/>
      <w:sz w:val="24"/>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2">
    <w:name w:val="Body Text 2"/>
    <w:basedOn w:val="Normal"/>
    <w:pPr>
      <w:spacing w:line="360" w:lineRule="auto"/>
      <w:jc w:val="both"/>
    </w:pPr>
    <w:rPr>
      <w:b/>
    </w:rPr>
  </w:style>
  <w:style w:type="paragraph" w:styleId="Textoindependiente3">
    <w:name w:val="Body Text 3"/>
    <w:basedOn w:val="Normal"/>
    <w:pPr>
      <w:spacing w:line="360" w:lineRule="auto"/>
      <w:jc w:val="center"/>
    </w:pPr>
    <w:rPr>
      <w:b/>
    </w:rPr>
  </w:style>
  <w:style w:type="paragraph" w:styleId="Sangradetextonormal">
    <w:name w:val="Body Text Indent"/>
    <w:basedOn w:val="Normal"/>
    <w:link w:val="SangradetextonormalCar"/>
    <w:pPr>
      <w:spacing w:line="360" w:lineRule="auto"/>
      <w:ind w:left="708"/>
      <w:jc w:val="both"/>
    </w:pPr>
  </w:style>
  <w:style w:type="paragraph" w:styleId="Sangra3detindependiente">
    <w:name w:val="Body Text Indent 3"/>
    <w:basedOn w:val="Normal"/>
    <w:pPr>
      <w:spacing w:line="360" w:lineRule="auto"/>
      <w:ind w:left="567" w:hanging="567"/>
      <w:jc w:val="both"/>
    </w:pPr>
  </w:style>
  <w:style w:type="character" w:styleId="Hipervnculo">
    <w:name w:val="Hyperlink"/>
    <w:rPr>
      <w:color w:val="0000FF"/>
      <w:u w:val="single"/>
    </w:rPr>
  </w:style>
  <w:style w:type="paragraph" w:styleId="Textodeglobo">
    <w:name w:val="Balloon Text"/>
    <w:basedOn w:val="Normal"/>
    <w:semiHidden/>
    <w:rsid w:val="00AA3BAF"/>
    <w:rPr>
      <w:rFonts w:ascii="Tahoma" w:hAnsi="Tahoma" w:cs="Tahoma"/>
      <w:sz w:val="16"/>
      <w:szCs w:val="16"/>
    </w:rPr>
  </w:style>
  <w:style w:type="paragraph" w:styleId="Mapadeldocumento">
    <w:name w:val="Document Map"/>
    <w:basedOn w:val="Normal"/>
    <w:semiHidden/>
    <w:rsid w:val="00500848"/>
    <w:pPr>
      <w:shd w:val="clear" w:color="auto" w:fill="000080"/>
    </w:pPr>
    <w:rPr>
      <w:rFonts w:ascii="Tahoma" w:hAnsi="Tahoma" w:cs="Tahoma"/>
      <w:sz w:val="20"/>
    </w:rPr>
  </w:style>
  <w:style w:type="character" w:customStyle="1" w:styleId="TtuloCar">
    <w:name w:val="Título Car"/>
    <w:link w:val="Ttulo"/>
    <w:rsid w:val="00104E07"/>
    <w:rPr>
      <w:b/>
      <w:sz w:val="22"/>
      <w:lang w:val="es-ES_tradnl" w:eastAsia="es-ES" w:bidi="ar-SA"/>
    </w:rPr>
  </w:style>
  <w:style w:type="paragraph" w:customStyle="1" w:styleId="Prrafodelista1">
    <w:name w:val="Párrafo de lista1"/>
    <w:basedOn w:val="Normal"/>
    <w:qFormat/>
    <w:rsid w:val="0000066E"/>
    <w:pPr>
      <w:ind w:left="720"/>
      <w:contextualSpacing/>
    </w:pPr>
    <w:rPr>
      <w:rFonts w:eastAsia="Calibri"/>
    </w:rPr>
  </w:style>
  <w:style w:type="character" w:customStyle="1" w:styleId="TitleChar">
    <w:name w:val="Title Char"/>
    <w:locked/>
    <w:rsid w:val="00446F8C"/>
    <w:rPr>
      <w:rFonts w:ascii="Times New Roman" w:hAnsi="Times New Roman" w:cs="Times New Roman"/>
      <w:b/>
      <w:sz w:val="20"/>
      <w:szCs w:val="20"/>
      <w:lang w:val="es-ES_tradnl" w:eastAsia="es-ES"/>
    </w:rPr>
  </w:style>
  <w:style w:type="paragraph" w:styleId="Prrafodelista">
    <w:name w:val="List Paragraph"/>
    <w:basedOn w:val="Normal"/>
    <w:uiPriority w:val="34"/>
    <w:qFormat/>
    <w:rsid w:val="00E86650"/>
    <w:pPr>
      <w:ind w:left="720"/>
      <w:contextualSpacing/>
    </w:pPr>
    <w:rPr>
      <w:sz w:val="20"/>
      <w:lang w:eastAsia="en-US"/>
    </w:rPr>
  </w:style>
  <w:style w:type="table" w:styleId="Tablaconcuadrcula">
    <w:name w:val="Table Grid"/>
    <w:basedOn w:val="Tablanormal"/>
    <w:rsid w:val="00200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5723E"/>
    <w:rPr>
      <w:i/>
      <w:iCs/>
    </w:rPr>
  </w:style>
  <w:style w:type="paragraph" w:customStyle="1" w:styleId="Texto">
    <w:name w:val="Texto"/>
    <w:basedOn w:val="Normal"/>
    <w:qFormat/>
    <w:rsid w:val="00B030F5"/>
    <w:pPr>
      <w:spacing w:after="120" w:line="276" w:lineRule="auto"/>
    </w:pPr>
    <w:rPr>
      <w:rFonts w:ascii="EYInterstate Light" w:hAnsi="EYInterstate Light"/>
      <w:szCs w:val="22"/>
      <w:lang w:val="en-US" w:eastAsia="es-AR"/>
    </w:rPr>
  </w:style>
  <w:style w:type="paragraph" w:styleId="NormalWeb">
    <w:name w:val="Normal (Web)"/>
    <w:basedOn w:val="Normal"/>
    <w:rsid w:val="00230213"/>
    <w:pPr>
      <w:spacing w:before="100" w:beforeAutospacing="1" w:after="100" w:afterAutospacing="1"/>
    </w:pPr>
    <w:rPr>
      <w:sz w:val="24"/>
      <w:szCs w:val="24"/>
    </w:rPr>
  </w:style>
  <w:style w:type="paragraph" w:styleId="Sinespaciado">
    <w:name w:val="No Spacing"/>
    <w:uiPriority w:val="1"/>
    <w:qFormat/>
    <w:rsid w:val="000310D6"/>
    <w:rPr>
      <w:rFonts w:ascii="Calibri" w:eastAsia="Calibri" w:hAnsi="Calibri"/>
      <w:sz w:val="22"/>
      <w:szCs w:val="22"/>
      <w:lang w:eastAsia="en-US"/>
    </w:rPr>
  </w:style>
  <w:style w:type="paragraph" w:customStyle="1" w:styleId="Textotabla">
    <w:name w:val="Texto tabla"/>
    <w:basedOn w:val="Normal"/>
    <w:rsid w:val="00D863E3"/>
    <w:pPr>
      <w:spacing w:beforeLines="20"/>
    </w:pPr>
    <w:rPr>
      <w:rFonts w:ascii="EYInterstate Light" w:eastAsia="Calibri" w:hAnsi="EYInterstate Light"/>
      <w:szCs w:val="18"/>
      <w:lang w:val="es-AR" w:eastAsia="es-AR"/>
    </w:rPr>
  </w:style>
  <w:style w:type="character" w:customStyle="1" w:styleId="EncabezadoCar">
    <w:name w:val="Encabezado Car"/>
    <w:link w:val="Encabezado"/>
    <w:uiPriority w:val="99"/>
    <w:rsid w:val="003544F6"/>
    <w:rPr>
      <w:sz w:val="18"/>
      <w:lang w:val="es-ES" w:eastAsia="es-ES"/>
    </w:rPr>
  </w:style>
  <w:style w:type="character" w:customStyle="1" w:styleId="PiedepginaCar">
    <w:name w:val="Pie de página Car"/>
    <w:link w:val="Piedepgina"/>
    <w:rsid w:val="009245C7"/>
    <w:rPr>
      <w:sz w:val="18"/>
      <w:lang w:val="es-ES" w:eastAsia="es-ES"/>
    </w:rPr>
  </w:style>
  <w:style w:type="character" w:customStyle="1" w:styleId="Ttulo2Car">
    <w:name w:val="Título 2 Car"/>
    <w:link w:val="Ttulo2"/>
    <w:rsid w:val="006320FC"/>
    <w:rPr>
      <w:b/>
      <w:sz w:val="18"/>
      <w:lang w:val="es-MX" w:eastAsia="es-ES"/>
    </w:rPr>
  </w:style>
  <w:style w:type="paragraph" w:customStyle="1" w:styleId="ListParagraph1">
    <w:name w:val="List Paragraph1"/>
    <w:basedOn w:val="Normal"/>
    <w:qFormat/>
    <w:rsid w:val="00C23C63"/>
    <w:pPr>
      <w:ind w:left="720"/>
      <w:contextualSpacing/>
    </w:pPr>
    <w:rPr>
      <w:rFonts w:eastAsia="Calibri"/>
    </w:rPr>
  </w:style>
  <w:style w:type="paragraph" w:styleId="Lista">
    <w:name w:val="List"/>
    <w:basedOn w:val="Normal"/>
    <w:rsid w:val="00A275A3"/>
    <w:pPr>
      <w:ind w:left="283" w:hanging="283"/>
      <w:contextualSpacing/>
    </w:pPr>
  </w:style>
  <w:style w:type="paragraph" w:styleId="Lista2">
    <w:name w:val="List 2"/>
    <w:basedOn w:val="Normal"/>
    <w:rsid w:val="00A275A3"/>
    <w:pPr>
      <w:ind w:left="566" w:hanging="283"/>
      <w:contextualSpacing/>
    </w:pPr>
  </w:style>
  <w:style w:type="paragraph" w:styleId="Saludo">
    <w:name w:val="Salutation"/>
    <w:basedOn w:val="Normal"/>
    <w:next w:val="Normal"/>
    <w:link w:val="SaludoCar"/>
    <w:rsid w:val="00A275A3"/>
  </w:style>
  <w:style w:type="character" w:customStyle="1" w:styleId="SaludoCar">
    <w:name w:val="Saludo Car"/>
    <w:basedOn w:val="Fuentedeprrafopredeter"/>
    <w:link w:val="Saludo"/>
    <w:rsid w:val="00A275A3"/>
    <w:rPr>
      <w:sz w:val="18"/>
      <w:lang w:val="es-ES" w:eastAsia="es-ES"/>
    </w:rPr>
  </w:style>
  <w:style w:type="paragraph" w:styleId="Listaconvietas">
    <w:name w:val="List Bullet"/>
    <w:basedOn w:val="Normal"/>
    <w:rsid w:val="00A275A3"/>
    <w:pPr>
      <w:numPr>
        <w:numId w:val="31"/>
      </w:numPr>
      <w:contextualSpacing/>
    </w:pPr>
  </w:style>
  <w:style w:type="paragraph" w:styleId="Listaconvietas2">
    <w:name w:val="List Bullet 2"/>
    <w:basedOn w:val="Normal"/>
    <w:rsid w:val="00A275A3"/>
    <w:pPr>
      <w:numPr>
        <w:numId w:val="32"/>
      </w:numPr>
      <w:contextualSpacing/>
    </w:pPr>
  </w:style>
  <w:style w:type="paragraph" w:styleId="Listaconvietas3">
    <w:name w:val="List Bullet 3"/>
    <w:basedOn w:val="Normal"/>
    <w:rsid w:val="00A275A3"/>
    <w:pPr>
      <w:numPr>
        <w:numId w:val="33"/>
      </w:numPr>
      <w:contextualSpacing/>
    </w:pPr>
  </w:style>
  <w:style w:type="paragraph" w:styleId="Continuarlista">
    <w:name w:val="List Continue"/>
    <w:basedOn w:val="Normal"/>
    <w:rsid w:val="00A275A3"/>
    <w:pPr>
      <w:spacing w:after="120"/>
      <w:ind w:left="283"/>
      <w:contextualSpacing/>
    </w:pPr>
  </w:style>
  <w:style w:type="paragraph" w:styleId="Continuarlista2">
    <w:name w:val="List Continue 2"/>
    <w:basedOn w:val="Normal"/>
    <w:rsid w:val="00A275A3"/>
    <w:pPr>
      <w:spacing w:after="120"/>
      <w:ind w:left="566"/>
      <w:contextualSpacing/>
    </w:pPr>
  </w:style>
  <w:style w:type="paragraph" w:customStyle="1" w:styleId="Lneadeasunto">
    <w:name w:val="Línea de asunto"/>
    <w:basedOn w:val="Normal"/>
    <w:rsid w:val="00A275A3"/>
  </w:style>
  <w:style w:type="paragraph" w:styleId="Textoindependienteprimerasangra">
    <w:name w:val="Body Text First Indent"/>
    <w:basedOn w:val="Textoindependiente"/>
    <w:link w:val="TextoindependienteprimerasangraCar"/>
    <w:rsid w:val="00A275A3"/>
    <w:pPr>
      <w:ind w:firstLine="360"/>
      <w:jc w:val="left"/>
    </w:pPr>
    <w:rPr>
      <w:b w:val="0"/>
      <w:sz w:val="18"/>
    </w:rPr>
  </w:style>
  <w:style w:type="character" w:customStyle="1" w:styleId="TextoindependienteCar">
    <w:name w:val="Texto independiente Car"/>
    <w:basedOn w:val="Fuentedeprrafopredeter"/>
    <w:link w:val="Textoindependiente"/>
    <w:rsid w:val="00A275A3"/>
    <w:rPr>
      <w:b/>
      <w:sz w:val="24"/>
      <w:lang w:val="es-ES" w:eastAsia="es-ES"/>
    </w:rPr>
  </w:style>
  <w:style w:type="character" w:customStyle="1" w:styleId="TextoindependienteprimerasangraCar">
    <w:name w:val="Texto independiente primera sangría Car"/>
    <w:basedOn w:val="TextoindependienteCar"/>
    <w:link w:val="Textoindependienteprimerasangra"/>
    <w:rsid w:val="00A275A3"/>
    <w:rPr>
      <w:b w:val="0"/>
      <w:sz w:val="18"/>
      <w:lang w:val="es-ES" w:eastAsia="es-ES"/>
    </w:rPr>
  </w:style>
  <w:style w:type="paragraph" w:styleId="Textoindependienteprimerasangra2">
    <w:name w:val="Body Text First Indent 2"/>
    <w:basedOn w:val="Sangradetextonormal"/>
    <w:link w:val="Textoindependienteprimerasangra2Car"/>
    <w:rsid w:val="00A275A3"/>
    <w:pPr>
      <w:spacing w:line="240" w:lineRule="auto"/>
      <w:ind w:left="360" w:firstLine="360"/>
      <w:jc w:val="left"/>
    </w:pPr>
  </w:style>
  <w:style w:type="character" w:customStyle="1" w:styleId="SangradetextonormalCar">
    <w:name w:val="Sangría de texto normal Car"/>
    <w:basedOn w:val="Fuentedeprrafopredeter"/>
    <w:link w:val="Sangradetextonormal"/>
    <w:rsid w:val="00A275A3"/>
    <w:rPr>
      <w:sz w:val="18"/>
      <w:lang w:val="es-ES" w:eastAsia="es-ES"/>
    </w:rPr>
  </w:style>
  <w:style w:type="character" w:customStyle="1" w:styleId="Textoindependienteprimerasangra2Car">
    <w:name w:val="Texto independiente primera sangría 2 Car"/>
    <w:basedOn w:val="SangradetextonormalCar"/>
    <w:link w:val="Textoindependienteprimerasangra2"/>
    <w:rsid w:val="00A275A3"/>
    <w:rPr>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015">
      <w:bodyDiv w:val="1"/>
      <w:marLeft w:val="0"/>
      <w:marRight w:val="0"/>
      <w:marTop w:val="0"/>
      <w:marBottom w:val="0"/>
      <w:divBdr>
        <w:top w:val="none" w:sz="0" w:space="0" w:color="auto"/>
        <w:left w:val="none" w:sz="0" w:space="0" w:color="auto"/>
        <w:bottom w:val="none" w:sz="0" w:space="0" w:color="auto"/>
        <w:right w:val="none" w:sz="0" w:space="0" w:color="auto"/>
      </w:divBdr>
    </w:div>
    <w:div w:id="30957797">
      <w:bodyDiv w:val="1"/>
      <w:marLeft w:val="0"/>
      <w:marRight w:val="0"/>
      <w:marTop w:val="0"/>
      <w:marBottom w:val="0"/>
      <w:divBdr>
        <w:top w:val="none" w:sz="0" w:space="0" w:color="auto"/>
        <w:left w:val="none" w:sz="0" w:space="0" w:color="auto"/>
        <w:bottom w:val="none" w:sz="0" w:space="0" w:color="auto"/>
        <w:right w:val="none" w:sz="0" w:space="0" w:color="auto"/>
      </w:divBdr>
    </w:div>
    <w:div w:id="127165147">
      <w:bodyDiv w:val="1"/>
      <w:marLeft w:val="0"/>
      <w:marRight w:val="0"/>
      <w:marTop w:val="0"/>
      <w:marBottom w:val="0"/>
      <w:divBdr>
        <w:top w:val="none" w:sz="0" w:space="0" w:color="auto"/>
        <w:left w:val="none" w:sz="0" w:space="0" w:color="auto"/>
        <w:bottom w:val="none" w:sz="0" w:space="0" w:color="auto"/>
        <w:right w:val="none" w:sz="0" w:space="0" w:color="auto"/>
      </w:divBdr>
    </w:div>
    <w:div w:id="139422936">
      <w:bodyDiv w:val="1"/>
      <w:marLeft w:val="0"/>
      <w:marRight w:val="0"/>
      <w:marTop w:val="0"/>
      <w:marBottom w:val="0"/>
      <w:divBdr>
        <w:top w:val="none" w:sz="0" w:space="0" w:color="auto"/>
        <w:left w:val="none" w:sz="0" w:space="0" w:color="auto"/>
        <w:bottom w:val="none" w:sz="0" w:space="0" w:color="auto"/>
        <w:right w:val="none" w:sz="0" w:space="0" w:color="auto"/>
      </w:divBdr>
    </w:div>
    <w:div w:id="159085700">
      <w:bodyDiv w:val="1"/>
      <w:marLeft w:val="0"/>
      <w:marRight w:val="0"/>
      <w:marTop w:val="0"/>
      <w:marBottom w:val="0"/>
      <w:divBdr>
        <w:top w:val="none" w:sz="0" w:space="0" w:color="auto"/>
        <w:left w:val="none" w:sz="0" w:space="0" w:color="auto"/>
        <w:bottom w:val="none" w:sz="0" w:space="0" w:color="auto"/>
        <w:right w:val="none" w:sz="0" w:space="0" w:color="auto"/>
      </w:divBdr>
    </w:div>
    <w:div w:id="161822637">
      <w:bodyDiv w:val="1"/>
      <w:marLeft w:val="0"/>
      <w:marRight w:val="0"/>
      <w:marTop w:val="0"/>
      <w:marBottom w:val="0"/>
      <w:divBdr>
        <w:top w:val="none" w:sz="0" w:space="0" w:color="auto"/>
        <w:left w:val="none" w:sz="0" w:space="0" w:color="auto"/>
        <w:bottom w:val="none" w:sz="0" w:space="0" w:color="auto"/>
        <w:right w:val="none" w:sz="0" w:space="0" w:color="auto"/>
      </w:divBdr>
    </w:div>
    <w:div w:id="178591947">
      <w:bodyDiv w:val="1"/>
      <w:marLeft w:val="0"/>
      <w:marRight w:val="0"/>
      <w:marTop w:val="0"/>
      <w:marBottom w:val="0"/>
      <w:divBdr>
        <w:top w:val="none" w:sz="0" w:space="0" w:color="auto"/>
        <w:left w:val="none" w:sz="0" w:space="0" w:color="auto"/>
        <w:bottom w:val="none" w:sz="0" w:space="0" w:color="auto"/>
        <w:right w:val="none" w:sz="0" w:space="0" w:color="auto"/>
      </w:divBdr>
    </w:div>
    <w:div w:id="195198217">
      <w:bodyDiv w:val="1"/>
      <w:marLeft w:val="0"/>
      <w:marRight w:val="0"/>
      <w:marTop w:val="0"/>
      <w:marBottom w:val="0"/>
      <w:divBdr>
        <w:top w:val="none" w:sz="0" w:space="0" w:color="auto"/>
        <w:left w:val="none" w:sz="0" w:space="0" w:color="auto"/>
        <w:bottom w:val="none" w:sz="0" w:space="0" w:color="auto"/>
        <w:right w:val="none" w:sz="0" w:space="0" w:color="auto"/>
      </w:divBdr>
    </w:div>
    <w:div w:id="232854776">
      <w:bodyDiv w:val="1"/>
      <w:marLeft w:val="0"/>
      <w:marRight w:val="0"/>
      <w:marTop w:val="0"/>
      <w:marBottom w:val="0"/>
      <w:divBdr>
        <w:top w:val="none" w:sz="0" w:space="0" w:color="auto"/>
        <w:left w:val="none" w:sz="0" w:space="0" w:color="auto"/>
        <w:bottom w:val="none" w:sz="0" w:space="0" w:color="auto"/>
        <w:right w:val="none" w:sz="0" w:space="0" w:color="auto"/>
      </w:divBdr>
    </w:div>
    <w:div w:id="267005745">
      <w:bodyDiv w:val="1"/>
      <w:marLeft w:val="0"/>
      <w:marRight w:val="0"/>
      <w:marTop w:val="0"/>
      <w:marBottom w:val="0"/>
      <w:divBdr>
        <w:top w:val="none" w:sz="0" w:space="0" w:color="auto"/>
        <w:left w:val="none" w:sz="0" w:space="0" w:color="auto"/>
        <w:bottom w:val="none" w:sz="0" w:space="0" w:color="auto"/>
        <w:right w:val="none" w:sz="0" w:space="0" w:color="auto"/>
      </w:divBdr>
    </w:div>
    <w:div w:id="304748393">
      <w:bodyDiv w:val="1"/>
      <w:marLeft w:val="0"/>
      <w:marRight w:val="0"/>
      <w:marTop w:val="0"/>
      <w:marBottom w:val="0"/>
      <w:divBdr>
        <w:top w:val="none" w:sz="0" w:space="0" w:color="auto"/>
        <w:left w:val="none" w:sz="0" w:space="0" w:color="auto"/>
        <w:bottom w:val="none" w:sz="0" w:space="0" w:color="auto"/>
        <w:right w:val="none" w:sz="0" w:space="0" w:color="auto"/>
      </w:divBdr>
    </w:div>
    <w:div w:id="322979100">
      <w:bodyDiv w:val="1"/>
      <w:marLeft w:val="0"/>
      <w:marRight w:val="0"/>
      <w:marTop w:val="0"/>
      <w:marBottom w:val="0"/>
      <w:divBdr>
        <w:top w:val="none" w:sz="0" w:space="0" w:color="auto"/>
        <w:left w:val="none" w:sz="0" w:space="0" w:color="auto"/>
        <w:bottom w:val="none" w:sz="0" w:space="0" w:color="auto"/>
        <w:right w:val="none" w:sz="0" w:space="0" w:color="auto"/>
      </w:divBdr>
    </w:div>
    <w:div w:id="329017763">
      <w:bodyDiv w:val="1"/>
      <w:marLeft w:val="0"/>
      <w:marRight w:val="0"/>
      <w:marTop w:val="0"/>
      <w:marBottom w:val="0"/>
      <w:divBdr>
        <w:top w:val="none" w:sz="0" w:space="0" w:color="auto"/>
        <w:left w:val="none" w:sz="0" w:space="0" w:color="auto"/>
        <w:bottom w:val="none" w:sz="0" w:space="0" w:color="auto"/>
        <w:right w:val="none" w:sz="0" w:space="0" w:color="auto"/>
      </w:divBdr>
    </w:div>
    <w:div w:id="329409372">
      <w:bodyDiv w:val="1"/>
      <w:marLeft w:val="0"/>
      <w:marRight w:val="0"/>
      <w:marTop w:val="0"/>
      <w:marBottom w:val="0"/>
      <w:divBdr>
        <w:top w:val="none" w:sz="0" w:space="0" w:color="auto"/>
        <w:left w:val="none" w:sz="0" w:space="0" w:color="auto"/>
        <w:bottom w:val="none" w:sz="0" w:space="0" w:color="auto"/>
        <w:right w:val="none" w:sz="0" w:space="0" w:color="auto"/>
      </w:divBdr>
    </w:div>
    <w:div w:id="345060137">
      <w:bodyDiv w:val="1"/>
      <w:marLeft w:val="0"/>
      <w:marRight w:val="0"/>
      <w:marTop w:val="0"/>
      <w:marBottom w:val="0"/>
      <w:divBdr>
        <w:top w:val="none" w:sz="0" w:space="0" w:color="auto"/>
        <w:left w:val="none" w:sz="0" w:space="0" w:color="auto"/>
        <w:bottom w:val="none" w:sz="0" w:space="0" w:color="auto"/>
        <w:right w:val="none" w:sz="0" w:space="0" w:color="auto"/>
      </w:divBdr>
    </w:div>
    <w:div w:id="366294607">
      <w:bodyDiv w:val="1"/>
      <w:marLeft w:val="0"/>
      <w:marRight w:val="0"/>
      <w:marTop w:val="0"/>
      <w:marBottom w:val="0"/>
      <w:divBdr>
        <w:top w:val="none" w:sz="0" w:space="0" w:color="auto"/>
        <w:left w:val="none" w:sz="0" w:space="0" w:color="auto"/>
        <w:bottom w:val="none" w:sz="0" w:space="0" w:color="auto"/>
        <w:right w:val="none" w:sz="0" w:space="0" w:color="auto"/>
      </w:divBdr>
    </w:div>
    <w:div w:id="369842880">
      <w:bodyDiv w:val="1"/>
      <w:marLeft w:val="0"/>
      <w:marRight w:val="0"/>
      <w:marTop w:val="0"/>
      <w:marBottom w:val="0"/>
      <w:divBdr>
        <w:top w:val="none" w:sz="0" w:space="0" w:color="auto"/>
        <w:left w:val="none" w:sz="0" w:space="0" w:color="auto"/>
        <w:bottom w:val="none" w:sz="0" w:space="0" w:color="auto"/>
        <w:right w:val="none" w:sz="0" w:space="0" w:color="auto"/>
      </w:divBdr>
    </w:div>
    <w:div w:id="375392308">
      <w:bodyDiv w:val="1"/>
      <w:marLeft w:val="0"/>
      <w:marRight w:val="0"/>
      <w:marTop w:val="0"/>
      <w:marBottom w:val="0"/>
      <w:divBdr>
        <w:top w:val="none" w:sz="0" w:space="0" w:color="auto"/>
        <w:left w:val="none" w:sz="0" w:space="0" w:color="auto"/>
        <w:bottom w:val="none" w:sz="0" w:space="0" w:color="auto"/>
        <w:right w:val="none" w:sz="0" w:space="0" w:color="auto"/>
      </w:divBdr>
    </w:div>
    <w:div w:id="381829125">
      <w:bodyDiv w:val="1"/>
      <w:marLeft w:val="0"/>
      <w:marRight w:val="0"/>
      <w:marTop w:val="0"/>
      <w:marBottom w:val="0"/>
      <w:divBdr>
        <w:top w:val="none" w:sz="0" w:space="0" w:color="auto"/>
        <w:left w:val="none" w:sz="0" w:space="0" w:color="auto"/>
        <w:bottom w:val="none" w:sz="0" w:space="0" w:color="auto"/>
        <w:right w:val="none" w:sz="0" w:space="0" w:color="auto"/>
      </w:divBdr>
    </w:div>
    <w:div w:id="385229731">
      <w:bodyDiv w:val="1"/>
      <w:marLeft w:val="0"/>
      <w:marRight w:val="0"/>
      <w:marTop w:val="0"/>
      <w:marBottom w:val="0"/>
      <w:divBdr>
        <w:top w:val="none" w:sz="0" w:space="0" w:color="auto"/>
        <w:left w:val="none" w:sz="0" w:space="0" w:color="auto"/>
        <w:bottom w:val="none" w:sz="0" w:space="0" w:color="auto"/>
        <w:right w:val="none" w:sz="0" w:space="0" w:color="auto"/>
      </w:divBdr>
    </w:div>
    <w:div w:id="402221103">
      <w:bodyDiv w:val="1"/>
      <w:marLeft w:val="0"/>
      <w:marRight w:val="0"/>
      <w:marTop w:val="0"/>
      <w:marBottom w:val="0"/>
      <w:divBdr>
        <w:top w:val="none" w:sz="0" w:space="0" w:color="auto"/>
        <w:left w:val="none" w:sz="0" w:space="0" w:color="auto"/>
        <w:bottom w:val="none" w:sz="0" w:space="0" w:color="auto"/>
        <w:right w:val="none" w:sz="0" w:space="0" w:color="auto"/>
      </w:divBdr>
    </w:div>
    <w:div w:id="421150132">
      <w:bodyDiv w:val="1"/>
      <w:marLeft w:val="0"/>
      <w:marRight w:val="0"/>
      <w:marTop w:val="0"/>
      <w:marBottom w:val="0"/>
      <w:divBdr>
        <w:top w:val="none" w:sz="0" w:space="0" w:color="auto"/>
        <w:left w:val="none" w:sz="0" w:space="0" w:color="auto"/>
        <w:bottom w:val="none" w:sz="0" w:space="0" w:color="auto"/>
        <w:right w:val="none" w:sz="0" w:space="0" w:color="auto"/>
      </w:divBdr>
    </w:div>
    <w:div w:id="421923271">
      <w:bodyDiv w:val="1"/>
      <w:marLeft w:val="0"/>
      <w:marRight w:val="0"/>
      <w:marTop w:val="0"/>
      <w:marBottom w:val="0"/>
      <w:divBdr>
        <w:top w:val="none" w:sz="0" w:space="0" w:color="auto"/>
        <w:left w:val="none" w:sz="0" w:space="0" w:color="auto"/>
        <w:bottom w:val="none" w:sz="0" w:space="0" w:color="auto"/>
        <w:right w:val="none" w:sz="0" w:space="0" w:color="auto"/>
      </w:divBdr>
    </w:div>
    <w:div w:id="462502963">
      <w:bodyDiv w:val="1"/>
      <w:marLeft w:val="0"/>
      <w:marRight w:val="0"/>
      <w:marTop w:val="0"/>
      <w:marBottom w:val="0"/>
      <w:divBdr>
        <w:top w:val="none" w:sz="0" w:space="0" w:color="auto"/>
        <w:left w:val="none" w:sz="0" w:space="0" w:color="auto"/>
        <w:bottom w:val="none" w:sz="0" w:space="0" w:color="auto"/>
        <w:right w:val="none" w:sz="0" w:space="0" w:color="auto"/>
      </w:divBdr>
    </w:div>
    <w:div w:id="469370082">
      <w:bodyDiv w:val="1"/>
      <w:marLeft w:val="0"/>
      <w:marRight w:val="0"/>
      <w:marTop w:val="0"/>
      <w:marBottom w:val="0"/>
      <w:divBdr>
        <w:top w:val="none" w:sz="0" w:space="0" w:color="auto"/>
        <w:left w:val="none" w:sz="0" w:space="0" w:color="auto"/>
        <w:bottom w:val="none" w:sz="0" w:space="0" w:color="auto"/>
        <w:right w:val="none" w:sz="0" w:space="0" w:color="auto"/>
      </w:divBdr>
    </w:div>
    <w:div w:id="481240831">
      <w:bodyDiv w:val="1"/>
      <w:marLeft w:val="0"/>
      <w:marRight w:val="0"/>
      <w:marTop w:val="0"/>
      <w:marBottom w:val="0"/>
      <w:divBdr>
        <w:top w:val="none" w:sz="0" w:space="0" w:color="auto"/>
        <w:left w:val="none" w:sz="0" w:space="0" w:color="auto"/>
        <w:bottom w:val="none" w:sz="0" w:space="0" w:color="auto"/>
        <w:right w:val="none" w:sz="0" w:space="0" w:color="auto"/>
      </w:divBdr>
    </w:div>
    <w:div w:id="515928416">
      <w:bodyDiv w:val="1"/>
      <w:marLeft w:val="0"/>
      <w:marRight w:val="0"/>
      <w:marTop w:val="0"/>
      <w:marBottom w:val="0"/>
      <w:divBdr>
        <w:top w:val="none" w:sz="0" w:space="0" w:color="auto"/>
        <w:left w:val="none" w:sz="0" w:space="0" w:color="auto"/>
        <w:bottom w:val="none" w:sz="0" w:space="0" w:color="auto"/>
        <w:right w:val="none" w:sz="0" w:space="0" w:color="auto"/>
      </w:divBdr>
    </w:div>
    <w:div w:id="560747489">
      <w:bodyDiv w:val="1"/>
      <w:marLeft w:val="0"/>
      <w:marRight w:val="0"/>
      <w:marTop w:val="0"/>
      <w:marBottom w:val="0"/>
      <w:divBdr>
        <w:top w:val="none" w:sz="0" w:space="0" w:color="auto"/>
        <w:left w:val="none" w:sz="0" w:space="0" w:color="auto"/>
        <w:bottom w:val="none" w:sz="0" w:space="0" w:color="auto"/>
        <w:right w:val="none" w:sz="0" w:space="0" w:color="auto"/>
      </w:divBdr>
    </w:div>
    <w:div w:id="575674519">
      <w:bodyDiv w:val="1"/>
      <w:marLeft w:val="0"/>
      <w:marRight w:val="0"/>
      <w:marTop w:val="0"/>
      <w:marBottom w:val="0"/>
      <w:divBdr>
        <w:top w:val="none" w:sz="0" w:space="0" w:color="auto"/>
        <w:left w:val="none" w:sz="0" w:space="0" w:color="auto"/>
        <w:bottom w:val="none" w:sz="0" w:space="0" w:color="auto"/>
        <w:right w:val="none" w:sz="0" w:space="0" w:color="auto"/>
      </w:divBdr>
    </w:div>
    <w:div w:id="577330683">
      <w:bodyDiv w:val="1"/>
      <w:marLeft w:val="0"/>
      <w:marRight w:val="0"/>
      <w:marTop w:val="0"/>
      <w:marBottom w:val="0"/>
      <w:divBdr>
        <w:top w:val="none" w:sz="0" w:space="0" w:color="auto"/>
        <w:left w:val="none" w:sz="0" w:space="0" w:color="auto"/>
        <w:bottom w:val="none" w:sz="0" w:space="0" w:color="auto"/>
        <w:right w:val="none" w:sz="0" w:space="0" w:color="auto"/>
      </w:divBdr>
    </w:div>
    <w:div w:id="654840654">
      <w:bodyDiv w:val="1"/>
      <w:marLeft w:val="0"/>
      <w:marRight w:val="0"/>
      <w:marTop w:val="0"/>
      <w:marBottom w:val="0"/>
      <w:divBdr>
        <w:top w:val="none" w:sz="0" w:space="0" w:color="auto"/>
        <w:left w:val="none" w:sz="0" w:space="0" w:color="auto"/>
        <w:bottom w:val="none" w:sz="0" w:space="0" w:color="auto"/>
        <w:right w:val="none" w:sz="0" w:space="0" w:color="auto"/>
      </w:divBdr>
    </w:div>
    <w:div w:id="660625862">
      <w:bodyDiv w:val="1"/>
      <w:marLeft w:val="0"/>
      <w:marRight w:val="0"/>
      <w:marTop w:val="0"/>
      <w:marBottom w:val="0"/>
      <w:divBdr>
        <w:top w:val="none" w:sz="0" w:space="0" w:color="auto"/>
        <w:left w:val="none" w:sz="0" w:space="0" w:color="auto"/>
        <w:bottom w:val="none" w:sz="0" w:space="0" w:color="auto"/>
        <w:right w:val="none" w:sz="0" w:space="0" w:color="auto"/>
      </w:divBdr>
    </w:div>
    <w:div w:id="680548091">
      <w:bodyDiv w:val="1"/>
      <w:marLeft w:val="0"/>
      <w:marRight w:val="0"/>
      <w:marTop w:val="0"/>
      <w:marBottom w:val="0"/>
      <w:divBdr>
        <w:top w:val="none" w:sz="0" w:space="0" w:color="auto"/>
        <w:left w:val="none" w:sz="0" w:space="0" w:color="auto"/>
        <w:bottom w:val="none" w:sz="0" w:space="0" w:color="auto"/>
        <w:right w:val="none" w:sz="0" w:space="0" w:color="auto"/>
      </w:divBdr>
    </w:div>
    <w:div w:id="686829153">
      <w:bodyDiv w:val="1"/>
      <w:marLeft w:val="0"/>
      <w:marRight w:val="0"/>
      <w:marTop w:val="0"/>
      <w:marBottom w:val="0"/>
      <w:divBdr>
        <w:top w:val="none" w:sz="0" w:space="0" w:color="auto"/>
        <w:left w:val="none" w:sz="0" w:space="0" w:color="auto"/>
        <w:bottom w:val="none" w:sz="0" w:space="0" w:color="auto"/>
        <w:right w:val="none" w:sz="0" w:space="0" w:color="auto"/>
      </w:divBdr>
    </w:div>
    <w:div w:id="728768899">
      <w:bodyDiv w:val="1"/>
      <w:marLeft w:val="0"/>
      <w:marRight w:val="0"/>
      <w:marTop w:val="0"/>
      <w:marBottom w:val="0"/>
      <w:divBdr>
        <w:top w:val="none" w:sz="0" w:space="0" w:color="auto"/>
        <w:left w:val="none" w:sz="0" w:space="0" w:color="auto"/>
        <w:bottom w:val="none" w:sz="0" w:space="0" w:color="auto"/>
        <w:right w:val="none" w:sz="0" w:space="0" w:color="auto"/>
      </w:divBdr>
    </w:div>
    <w:div w:id="837041718">
      <w:bodyDiv w:val="1"/>
      <w:marLeft w:val="0"/>
      <w:marRight w:val="0"/>
      <w:marTop w:val="0"/>
      <w:marBottom w:val="0"/>
      <w:divBdr>
        <w:top w:val="none" w:sz="0" w:space="0" w:color="auto"/>
        <w:left w:val="none" w:sz="0" w:space="0" w:color="auto"/>
        <w:bottom w:val="none" w:sz="0" w:space="0" w:color="auto"/>
        <w:right w:val="none" w:sz="0" w:space="0" w:color="auto"/>
      </w:divBdr>
    </w:div>
    <w:div w:id="912661747">
      <w:bodyDiv w:val="1"/>
      <w:marLeft w:val="0"/>
      <w:marRight w:val="0"/>
      <w:marTop w:val="0"/>
      <w:marBottom w:val="0"/>
      <w:divBdr>
        <w:top w:val="none" w:sz="0" w:space="0" w:color="auto"/>
        <w:left w:val="none" w:sz="0" w:space="0" w:color="auto"/>
        <w:bottom w:val="none" w:sz="0" w:space="0" w:color="auto"/>
        <w:right w:val="none" w:sz="0" w:space="0" w:color="auto"/>
      </w:divBdr>
    </w:div>
    <w:div w:id="943266087">
      <w:bodyDiv w:val="1"/>
      <w:marLeft w:val="0"/>
      <w:marRight w:val="0"/>
      <w:marTop w:val="0"/>
      <w:marBottom w:val="0"/>
      <w:divBdr>
        <w:top w:val="none" w:sz="0" w:space="0" w:color="auto"/>
        <w:left w:val="none" w:sz="0" w:space="0" w:color="auto"/>
        <w:bottom w:val="none" w:sz="0" w:space="0" w:color="auto"/>
        <w:right w:val="none" w:sz="0" w:space="0" w:color="auto"/>
      </w:divBdr>
    </w:div>
    <w:div w:id="976760056">
      <w:bodyDiv w:val="1"/>
      <w:marLeft w:val="0"/>
      <w:marRight w:val="0"/>
      <w:marTop w:val="0"/>
      <w:marBottom w:val="0"/>
      <w:divBdr>
        <w:top w:val="none" w:sz="0" w:space="0" w:color="auto"/>
        <w:left w:val="none" w:sz="0" w:space="0" w:color="auto"/>
        <w:bottom w:val="none" w:sz="0" w:space="0" w:color="auto"/>
        <w:right w:val="none" w:sz="0" w:space="0" w:color="auto"/>
      </w:divBdr>
    </w:div>
    <w:div w:id="989165068">
      <w:bodyDiv w:val="1"/>
      <w:marLeft w:val="0"/>
      <w:marRight w:val="0"/>
      <w:marTop w:val="0"/>
      <w:marBottom w:val="0"/>
      <w:divBdr>
        <w:top w:val="none" w:sz="0" w:space="0" w:color="auto"/>
        <w:left w:val="none" w:sz="0" w:space="0" w:color="auto"/>
        <w:bottom w:val="none" w:sz="0" w:space="0" w:color="auto"/>
        <w:right w:val="none" w:sz="0" w:space="0" w:color="auto"/>
      </w:divBdr>
    </w:div>
    <w:div w:id="1012949595">
      <w:bodyDiv w:val="1"/>
      <w:marLeft w:val="0"/>
      <w:marRight w:val="0"/>
      <w:marTop w:val="0"/>
      <w:marBottom w:val="0"/>
      <w:divBdr>
        <w:top w:val="none" w:sz="0" w:space="0" w:color="auto"/>
        <w:left w:val="none" w:sz="0" w:space="0" w:color="auto"/>
        <w:bottom w:val="none" w:sz="0" w:space="0" w:color="auto"/>
        <w:right w:val="none" w:sz="0" w:space="0" w:color="auto"/>
      </w:divBdr>
    </w:div>
    <w:div w:id="1054893419">
      <w:bodyDiv w:val="1"/>
      <w:marLeft w:val="0"/>
      <w:marRight w:val="0"/>
      <w:marTop w:val="0"/>
      <w:marBottom w:val="0"/>
      <w:divBdr>
        <w:top w:val="none" w:sz="0" w:space="0" w:color="auto"/>
        <w:left w:val="none" w:sz="0" w:space="0" w:color="auto"/>
        <w:bottom w:val="none" w:sz="0" w:space="0" w:color="auto"/>
        <w:right w:val="none" w:sz="0" w:space="0" w:color="auto"/>
      </w:divBdr>
    </w:div>
    <w:div w:id="1065101762">
      <w:bodyDiv w:val="1"/>
      <w:marLeft w:val="0"/>
      <w:marRight w:val="0"/>
      <w:marTop w:val="0"/>
      <w:marBottom w:val="0"/>
      <w:divBdr>
        <w:top w:val="none" w:sz="0" w:space="0" w:color="auto"/>
        <w:left w:val="none" w:sz="0" w:space="0" w:color="auto"/>
        <w:bottom w:val="none" w:sz="0" w:space="0" w:color="auto"/>
        <w:right w:val="none" w:sz="0" w:space="0" w:color="auto"/>
      </w:divBdr>
    </w:div>
    <w:div w:id="1093473394">
      <w:bodyDiv w:val="1"/>
      <w:marLeft w:val="0"/>
      <w:marRight w:val="0"/>
      <w:marTop w:val="0"/>
      <w:marBottom w:val="0"/>
      <w:divBdr>
        <w:top w:val="none" w:sz="0" w:space="0" w:color="auto"/>
        <w:left w:val="none" w:sz="0" w:space="0" w:color="auto"/>
        <w:bottom w:val="none" w:sz="0" w:space="0" w:color="auto"/>
        <w:right w:val="none" w:sz="0" w:space="0" w:color="auto"/>
      </w:divBdr>
    </w:div>
    <w:div w:id="1097402641">
      <w:bodyDiv w:val="1"/>
      <w:marLeft w:val="0"/>
      <w:marRight w:val="0"/>
      <w:marTop w:val="0"/>
      <w:marBottom w:val="0"/>
      <w:divBdr>
        <w:top w:val="none" w:sz="0" w:space="0" w:color="auto"/>
        <w:left w:val="none" w:sz="0" w:space="0" w:color="auto"/>
        <w:bottom w:val="none" w:sz="0" w:space="0" w:color="auto"/>
        <w:right w:val="none" w:sz="0" w:space="0" w:color="auto"/>
      </w:divBdr>
    </w:div>
    <w:div w:id="1125464787">
      <w:bodyDiv w:val="1"/>
      <w:marLeft w:val="0"/>
      <w:marRight w:val="0"/>
      <w:marTop w:val="0"/>
      <w:marBottom w:val="0"/>
      <w:divBdr>
        <w:top w:val="none" w:sz="0" w:space="0" w:color="auto"/>
        <w:left w:val="none" w:sz="0" w:space="0" w:color="auto"/>
        <w:bottom w:val="none" w:sz="0" w:space="0" w:color="auto"/>
        <w:right w:val="none" w:sz="0" w:space="0" w:color="auto"/>
      </w:divBdr>
    </w:div>
    <w:div w:id="1161315692">
      <w:bodyDiv w:val="1"/>
      <w:marLeft w:val="0"/>
      <w:marRight w:val="0"/>
      <w:marTop w:val="0"/>
      <w:marBottom w:val="0"/>
      <w:divBdr>
        <w:top w:val="none" w:sz="0" w:space="0" w:color="auto"/>
        <w:left w:val="none" w:sz="0" w:space="0" w:color="auto"/>
        <w:bottom w:val="none" w:sz="0" w:space="0" w:color="auto"/>
        <w:right w:val="none" w:sz="0" w:space="0" w:color="auto"/>
      </w:divBdr>
    </w:div>
    <w:div w:id="1164274818">
      <w:bodyDiv w:val="1"/>
      <w:marLeft w:val="0"/>
      <w:marRight w:val="0"/>
      <w:marTop w:val="0"/>
      <w:marBottom w:val="0"/>
      <w:divBdr>
        <w:top w:val="none" w:sz="0" w:space="0" w:color="auto"/>
        <w:left w:val="none" w:sz="0" w:space="0" w:color="auto"/>
        <w:bottom w:val="none" w:sz="0" w:space="0" w:color="auto"/>
        <w:right w:val="none" w:sz="0" w:space="0" w:color="auto"/>
      </w:divBdr>
    </w:div>
    <w:div w:id="1170486548">
      <w:bodyDiv w:val="1"/>
      <w:marLeft w:val="0"/>
      <w:marRight w:val="0"/>
      <w:marTop w:val="0"/>
      <w:marBottom w:val="0"/>
      <w:divBdr>
        <w:top w:val="none" w:sz="0" w:space="0" w:color="auto"/>
        <w:left w:val="none" w:sz="0" w:space="0" w:color="auto"/>
        <w:bottom w:val="none" w:sz="0" w:space="0" w:color="auto"/>
        <w:right w:val="none" w:sz="0" w:space="0" w:color="auto"/>
      </w:divBdr>
    </w:div>
    <w:div w:id="1193491152">
      <w:bodyDiv w:val="1"/>
      <w:marLeft w:val="0"/>
      <w:marRight w:val="0"/>
      <w:marTop w:val="0"/>
      <w:marBottom w:val="0"/>
      <w:divBdr>
        <w:top w:val="none" w:sz="0" w:space="0" w:color="auto"/>
        <w:left w:val="none" w:sz="0" w:space="0" w:color="auto"/>
        <w:bottom w:val="none" w:sz="0" w:space="0" w:color="auto"/>
        <w:right w:val="none" w:sz="0" w:space="0" w:color="auto"/>
      </w:divBdr>
    </w:div>
    <w:div w:id="1202279144">
      <w:bodyDiv w:val="1"/>
      <w:marLeft w:val="0"/>
      <w:marRight w:val="0"/>
      <w:marTop w:val="0"/>
      <w:marBottom w:val="0"/>
      <w:divBdr>
        <w:top w:val="none" w:sz="0" w:space="0" w:color="auto"/>
        <w:left w:val="none" w:sz="0" w:space="0" w:color="auto"/>
        <w:bottom w:val="none" w:sz="0" w:space="0" w:color="auto"/>
        <w:right w:val="none" w:sz="0" w:space="0" w:color="auto"/>
      </w:divBdr>
    </w:div>
    <w:div w:id="1208372150">
      <w:bodyDiv w:val="1"/>
      <w:marLeft w:val="0"/>
      <w:marRight w:val="0"/>
      <w:marTop w:val="0"/>
      <w:marBottom w:val="0"/>
      <w:divBdr>
        <w:top w:val="none" w:sz="0" w:space="0" w:color="auto"/>
        <w:left w:val="none" w:sz="0" w:space="0" w:color="auto"/>
        <w:bottom w:val="none" w:sz="0" w:space="0" w:color="auto"/>
        <w:right w:val="none" w:sz="0" w:space="0" w:color="auto"/>
      </w:divBdr>
    </w:div>
    <w:div w:id="1235578969">
      <w:bodyDiv w:val="1"/>
      <w:marLeft w:val="0"/>
      <w:marRight w:val="0"/>
      <w:marTop w:val="0"/>
      <w:marBottom w:val="0"/>
      <w:divBdr>
        <w:top w:val="none" w:sz="0" w:space="0" w:color="auto"/>
        <w:left w:val="none" w:sz="0" w:space="0" w:color="auto"/>
        <w:bottom w:val="none" w:sz="0" w:space="0" w:color="auto"/>
        <w:right w:val="none" w:sz="0" w:space="0" w:color="auto"/>
      </w:divBdr>
    </w:div>
    <w:div w:id="1304307120">
      <w:bodyDiv w:val="1"/>
      <w:marLeft w:val="0"/>
      <w:marRight w:val="0"/>
      <w:marTop w:val="0"/>
      <w:marBottom w:val="0"/>
      <w:divBdr>
        <w:top w:val="none" w:sz="0" w:space="0" w:color="auto"/>
        <w:left w:val="none" w:sz="0" w:space="0" w:color="auto"/>
        <w:bottom w:val="none" w:sz="0" w:space="0" w:color="auto"/>
        <w:right w:val="none" w:sz="0" w:space="0" w:color="auto"/>
      </w:divBdr>
    </w:div>
    <w:div w:id="1338775968">
      <w:bodyDiv w:val="1"/>
      <w:marLeft w:val="0"/>
      <w:marRight w:val="0"/>
      <w:marTop w:val="0"/>
      <w:marBottom w:val="0"/>
      <w:divBdr>
        <w:top w:val="none" w:sz="0" w:space="0" w:color="auto"/>
        <w:left w:val="none" w:sz="0" w:space="0" w:color="auto"/>
        <w:bottom w:val="none" w:sz="0" w:space="0" w:color="auto"/>
        <w:right w:val="none" w:sz="0" w:space="0" w:color="auto"/>
      </w:divBdr>
    </w:div>
    <w:div w:id="1339238755">
      <w:bodyDiv w:val="1"/>
      <w:marLeft w:val="0"/>
      <w:marRight w:val="0"/>
      <w:marTop w:val="0"/>
      <w:marBottom w:val="0"/>
      <w:divBdr>
        <w:top w:val="none" w:sz="0" w:space="0" w:color="auto"/>
        <w:left w:val="none" w:sz="0" w:space="0" w:color="auto"/>
        <w:bottom w:val="none" w:sz="0" w:space="0" w:color="auto"/>
        <w:right w:val="none" w:sz="0" w:space="0" w:color="auto"/>
      </w:divBdr>
    </w:div>
    <w:div w:id="1346445546">
      <w:bodyDiv w:val="1"/>
      <w:marLeft w:val="0"/>
      <w:marRight w:val="0"/>
      <w:marTop w:val="0"/>
      <w:marBottom w:val="0"/>
      <w:divBdr>
        <w:top w:val="none" w:sz="0" w:space="0" w:color="auto"/>
        <w:left w:val="none" w:sz="0" w:space="0" w:color="auto"/>
        <w:bottom w:val="none" w:sz="0" w:space="0" w:color="auto"/>
        <w:right w:val="none" w:sz="0" w:space="0" w:color="auto"/>
      </w:divBdr>
    </w:div>
    <w:div w:id="1352298910">
      <w:bodyDiv w:val="1"/>
      <w:marLeft w:val="0"/>
      <w:marRight w:val="0"/>
      <w:marTop w:val="0"/>
      <w:marBottom w:val="0"/>
      <w:divBdr>
        <w:top w:val="none" w:sz="0" w:space="0" w:color="auto"/>
        <w:left w:val="none" w:sz="0" w:space="0" w:color="auto"/>
        <w:bottom w:val="none" w:sz="0" w:space="0" w:color="auto"/>
        <w:right w:val="none" w:sz="0" w:space="0" w:color="auto"/>
      </w:divBdr>
    </w:div>
    <w:div w:id="1353532776">
      <w:bodyDiv w:val="1"/>
      <w:marLeft w:val="0"/>
      <w:marRight w:val="0"/>
      <w:marTop w:val="0"/>
      <w:marBottom w:val="0"/>
      <w:divBdr>
        <w:top w:val="none" w:sz="0" w:space="0" w:color="auto"/>
        <w:left w:val="none" w:sz="0" w:space="0" w:color="auto"/>
        <w:bottom w:val="none" w:sz="0" w:space="0" w:color="auto"/>
        <w:right w:val="none" w:sz="0" w:space="0" w:color="auto"/>
      </w:divBdr>
    </w:div>
    <w:div w:id="1357124195">
      <w:bodyDiv w:val="1"/>
      <w:marLeft w:val="0"/>
      <w:marRight w:val="0"/>
      <w:marTop w:val="0"/>
      <w:marBottom w:val="0"/>
      <w:divBdr>
        <w:top w:val="none" w:sz="0" w:space="0" w:color="auto"/>
        <w:left w:val="none" w:sz="0" w:space="0" w:color="auto"/>
        <w:bottom w:val="none" w:sz="0" w:space="0" w:color="auto"/>
        <w:right w:val="none" w:sz="0" w:space="0" w:color="auto"/>
      </w:divBdr>
    </w:div>
    <w:div w:id="1382900970">
      <w:bodyDiv w:val="1"/>
      <w:marLeft w:val="0"/>
      <w:marRight w:val="0"/>
      <w:marTop w:val="0"/>
      <w:marBottom w:val="0"/>
      <w:divBdr>
        <w:top w:val="none" w:sz="0" w:space="0" w:color="auto"/>
        <w:left w:val="none" w:sz="0" w:space="0" w:color="auto"/>
        <w:bottom w:val="none" w:sz="0" w:space="0" w:color="auto"/>
        <w:right w:val="none" w:sz="0" w:space="0" w:color="auto"/>
      </w:divBdr>
    </w:div>
    <w:div w:id="1396049298">
      <w:bodyDiv w:val="1"/>
      <w:marLeft w:val="0"/>
      <w:marRight w:val="0"/>
      <w:marTop w:val="0"/>
      <w:marBottom w:val="0"/>
      <w:divBdr>
        <w:top w:val="none" w:sz="0" w:space="0" w:color="auto"/>
        <w:left w:val="none" w:sz="0" w:space="0" w:color="auto"/>
        <w:bottom w:val="none" w:sz="0" w:space="0" w:color="auto"/>
        <w:right w:val="none" w:sz="0" w:space="0" w:color="auto"/>
      </w:divBdr>
    </w:div>
    <w:div w:id="1399939344">
      <w:bodyDiv w:val="1"/>
      <w:marLeft w:val="0"/>
      <w:marRight w:val="0"/>
      <w:marTop w:val="0"/>
      <w:marBottom w:val="0"/>
      <w:divBdr>
        <w:top w:val="none" w:sz="0" w:space="0" w:color="auto"/>
        <w:left w:val="none" w:sz="0" w:space="0" w:color="auto"/>
        <w:bottom w:val="none" w:sz="0" w:space="0" w:color="auto"/>
        <w:right w:val="none" w:sz="0" w:space="0" w:color="auto"/>
      </w:divBdr>
    </w:div>
    <w:div w:id="1501773111">
      <w:bodyDiv w:val="1"/>
      <w:marLeft w:val="0"/>
      <w:marRight w:val="0"/>
      <w:marTop w:val="0"/>
      <w:marBottom w:val="0"/>
      <w:divBdr>
        <w:top w:val="none" w:sz="0" w:space="0" w:color="auto"/>
        <w:left w:val="none" w:sz="0" w:space="0" w:color="auto"/>
        <w:bottom w:val="none" w:sz="0" w:space="0" w:color="auto"/>
        <w:right w:val="none" w:sz="0" w:space="0" w:color="auto"/>
      </w:divBdr>
    </w:div>
    <w:div w:id="1541551815">
      <w:bodyDiv w:val="1"/>
      <w:marLeft w:val="0"/>
      <w:marRight w:val="0"/>
      <w:marTop w:val="0"/>
      <w:marBottom w:val="0"/>
      <w:divBdr>
        <w:top w:val="none" w:sz="0" w:space="0" w:color="auto"/>
        <w:left w:val="none" w:sz="0" w:space="0" w:color="auto"/>
        <w:bottom w:val="none" w:sz="0" w:space="0" w:color="auto"/>
        <w:right w:val="none" w:sz="0" w:space="0" w:color="auto"/>
      </w:divBdr>
    </w:div>
    <w:div w:id="1543397526">
      <w:bodyDiv w:val="1"/>
      <w:marLeft w:val="0"/>
      <w:marRight w:val="0"/>
      <w:marTop w:val="0"/>
      <w:marBottom w:val="0"/>
      <w:divBdr>
        <w:top w:val="none" w:sz="0" w:space="0" w:color="auto"/>
        <w:left w:val="none" w:sz="0" w:space="0" w:color="auto"/>
        <w:bottom w:val="none" w:sz="0" w:space="0" w:color="auto"/>
        <w:right w:val="none" w:sz="0" w:space="0" w:color="auto"/>
      </w:divBdr>
    </w:div>
    <w:div w:id="1563172843">
      <w:bodyDiv w:val="1"/>
      <w:marLeft w:val="0"/>
      <w:marRight w:val="0"/>
      <w:marTop w:val="0"/>
      <w:marBottom w:val="0"/>
      <w:divBdr>
        <w:top w:val="none" w:sz="0" w:space="0" w:color="auto"/>
        <w:left w:val="none" w:sz="0" w:space="0" w:color="auto"/>
        <w:bottom w:val="none" w:sz="0" w:space="0" w:color="auto"/>
        <w:right w:val="none" w:sz="0" w:space="0" w:color="auto"/>
      </w:divBdr>
    </w:div>
    <w:div w:id="1572035545">
      <w:bodyDiv w:val="1"/>
      <w:marLeft w:val="0"/>
      <w:marRight w:val="0"/>
      <w:marTop w:val="0"/>
      <w:marBottom w:val="0"/>
      <w:divBdr>
        <w:top w:val="none" w:sz="0" w:space="0" w:color="auto"/>
        <w:left w:val="none" w:sz="0" w:space="0" w:color="auto"/>
        <w:bottom w:val="none" w:sz="0" w:space="0" w:color="auto"/>
        <w:right w:val="none" w:sz="0" w:space="0" w:color="auto"/>
      </w:divBdr>
    </w:div>
    <w:div w:id="1587762220">
      <w:bodyDiv w:val="1"/>
      <w:marLeft w:val="0"/>
      <w:marRight w:val="0"/>
      <w:marTop w:val="0"/>
      <w:marBottom w:val="0"/>
      <w:divBdr>
        <w:top w:val="none" w:sz="0" w:space="0" w:color="auto"/>
        <w:left w:val="none" w:sz="0" w:space="0" w:color="auto"/>
        <w:bottom w:val="none" w:sz="0" w:space="0" w:color="auto"/>
        <w:right w:val="none" w:sz="0" w:space="0" w:color="auto"/>
      </w:divBdr>
    </w:div>
    <w:div w:id="1590890178">
      <w:bodyDiv w:val="1"/>
      <w:marLeft w:val="0"/>
      <w:marRight w:val="0"/>
      <w:marTop w:val="0"/>
      <w:marBottom w:val="0"/>
      <w:divBdr>
        <w:top w:val="none" w:sz="0" w:space="0" w:color="auto"/>
        <w:left w:val="none" w:sz="0" w:space="0" w:color="auto"/>
        <w:bottom w:val="none" w:sz="0" w:space="0" w:color="auto"/>
        <w:right w:val="none" w:sz="0" w:space="0" w:color="auto"/>
      </w:divBdr>
    </w:div>
    <w:div w:id="1633251079">
      <w:bodyDiv w:val="1"/>
      <w:marLeft w:val="0"/>
      <w:marRight w:val="0"/>
      <w:marTop w:val="0"/>
      <w:marBottom w:val="0"/>
      <w:divBdr>
        <w:top w:val="none" w:sz="0" w:space="0" w:color="auto"/>
        <w:left w:val="none" w:sz="0" w:space="0" w:color="auto"/>
        <w:bottom w:val="none" w:sz="0" w:space="0" w:color="auto"/>
        <w:right w:val="none" w:sz="0" w:space="0" w:color="auto"/>
      </w:divBdr>
    </w:div>
    <w:div w:id="1655143121">
      <w:bodyDiv w:val="1"/>
      <w:marLeft w:val="0"/>
      <w:marRight w:val="0"/>
      <w:marTop w:val="0"/>
      <w:marBottom w:val="0"/>
      <w:divBdr>
        <w:top w:val="none" w:sz="0" w:space="0" w:color="auto"/>
        <w:left w:val="none" w:sz="0" w:space="0" w:color="auto"/>
        <w:bottom w:val="none" w:sz="0" w:space="0" w:color="auto"/>
        <w:right w:val="none" w:sz="0" w:space="0" w:color="auto"/>
      </w:divBdr>
    </w:div>
    <w:div w:id="1682849345">
      <w:bodyDiv w:val="1"/>
      <w:marLeft w:val="0"/>
      <w:marRight w:val="0"/>
      <w:marTop w:val="0"/>
      <w:marBottom w:val="0"/>
      <w:divBdr>
        <w:top w:val="none" w:sz="0" w:space="0" w:color="auto"/>
        <w:left w:val="none" w:sz="0" w:space="0" w:color="auto"/>
        <w:bottom w:val="none" w:sz="0" w:space="0" w:color="auto"/>
        <w:right w:val="none" w:sz="0" w:space="0" w:color="auto"/>
      </w:divBdr>
    </w:div>
    <w:div w:id="1709210918">
      <w:bodyDiv w:val="1"/>
      <w:marLeft w:val="0"/>
      <w:marRight w:val="0"/>
      <w:marTop w:val="0"/>
      <w:marBottom w:val="0"/>
      <w:divBdr>
        <w:top w:val="none" w:sz="0" w:space="0" w:color="auto"/>
        <w:left w:val="none" w:sz="0" w:space="0" w:color="auto"/>
        <w:bottom w:val="none" w:sz="0" w:space="0" w:color="auto"/>
        <w:right w:val="none" w:sz="0" w:space="0" w:color="auto"/>
      </w:divBdr>
    </w:div>
    <w:div w:id="1737511848">
      <w:bodyDiv w:val="1"/>
      <w:marLeft w:val="0"/>
      <w:marRight w:val="0"/>
      <w:marTop w:val="0"/>
      <w:marBottom w:val="0"/>
      <w:divBdr>
        <w:top w:val="none" w:sz="0" w:space="0" w:color="auto"/>
        <w:left w:val="none" w:sz="0" w:space="0" w:color="auto"/>
        <w:bottom w:val="none" w:sz="0" w:space="0" w:color="auto"/>
        <w:right w:val="none" w:sz="0" w:space="0" w:color="auto"/>
      </w:divBdr>
    </w:div>
    <w:div w:id="1756589341">
      <w:bodyDiv w:val="1"/>
      <w:marLeft w:val="0"/>
      <w:marRight w:val="0"/>
      <w:marTop w:val="0"/>
      <w:marBottom w:val="0"/>
      <w:divBdr>
        <w:top w:val="none" w:sz="0" w:space="0" w:color="auto"/>
        <w:left w:val="none" w:sz="0" w:space="0" w:color="auto"/>
        <w:bottom w:val="none" w:sz="0" w:space="0" w:color="auto"/>
        <w:right w:val="none" w:sz="0" w:space="0" w:color="auto"/>
      </w:divBdr>
    </w:div>
    <w:div w:id="1778521290">
      <w:bodyDiv w:val="1"/>
      <w:marLeft w:val="0"/>
      <w:marRight w:val="0"/>
      <w:marTop w:val="0"/>
      <w:marBottom w:val="0"/>
      <w:divBdr>
        <w:top w:val="none" w:sz="0" w:space="0" w:color="auto"/>
        <w:left w:val="none" w:sz="0" w:space="0" w:color="auto"/>
        <w:bottom w:val="none" w:sz="0" w:space="0" w:color="auto"/>
        <w:right w:val="none" w:sz="0" w:space="0" w:color="auto"/>
      </w:divBdr>
    </w:div>
    <w:div w:id="1913193773">
      <w:bodyDiv w:val="1"/>
      <w:marLeft w:val="0"/>
      <w:marRight w:val="0"/>
      <w:marTop w:val="0"/>
      <w:marBottom w:val="0"/>
      <w:divBdr>
        <w:top w:val="none" w:sz="0" w:space="0" w:color="auto"/>
        <w:left w:val="none" w:sz="0" w:space="0" w:color="auto"/>
        <w:bottom w:val="none" w:sz="0" w:space="0" w:color="auto"/>
        <w:right w:val="none" w:sz="0" w:space="0" w:color="auto"/>
      </w:divBdr>
    </w:div>
    <w:div w:id="1920169601">
      <w:bodyDiv w:val="1"/>
      <w:marLeft w:val="0"/>
      <w:marRight w:val="0"/>
      <w:marTop w:val="0"/>
      <w:marBottom w:val="0"/>
      <w:divBdr>
        <w:top w:val="none" w:sz="0" w:space="0" w:color="auto"/>
        <w:left w:val="none" w:sz="0" w:space="0" w:color="auto"/>
        <w:bottom w:val="none" w:sz="0" w:space="0" w:color="auto"/>
        <w:right w:val="none" w:sz="0" w:space="0" w:color="auto"/>
      </w:divBdr>
    </w:div>
    <w:div w:id="1940747176">
      <w:bodyDiv w:val="1"/>
      <w:marLeft w:val="0"/>
      <w:marRight w:val="0"/>
      <w:marTop w:val="0"/>
      <w:marBottom w:val="0"/>
      <w:divBdr>
        <w:top w:val="none" w:sz="0" w:space="0" w:color="auto"/>
        <w:left w:val="none" w:sz="0" w:space="0" w:color="auto"/>
        <w:bottom w:val="none" w:sz="0" w:space="0" w:color="auto"/>
        <w:right w:val="none" w:sz="0" w:space="0" w:color="auto"/>
      </w:divBdr>
    </w:div>
    <w:div w:id="1946499311">
      <w:bodyDiv w:val="1"/>
      <w:marLeft w:val="0"/>
      <w:marRight w:val="0"/>
      <w:marTop w:val="0"/>
      <w:marBottom w:val="0"/>
      <w:divBdr>
        <w:top w:val="none" w:sz="0" w:space="0" w:color="auto"/>
        <w:left w:val="none" w:sz="0" w:space="0" w:color="auto"/>
        <w:bottom w:val="none" w:sz="0" w:space="0" w:color="auto"/>
        <w:right w:val="none" w:sz="0" w:space="0" w:color="auto"/>
      </w:divBdr>
    </w:div>
    <w:div w:id="1953588789">
      <w:bodyDiv w:val="1"/>
      <w:marLeft w:val="0"/>
      <w:marRight w:val="0"/>
      <w:marTop w:val="0"/>
      <w:marBottom w:val="0"/>
      <w:divBdr>
        <w:top w:val="none" w:sz="0" w:space="0" w:color="auto"/>
        <w:left w:val="none" w:sz="0" w:space="0" w:color="auto"/>
        <w:bottom w:val="none" w:sz="0" w:space="0" w:color="auto"/>
        <w:right w:val="none" w:sz="0" w:space="0" w:color="auto"/>
      </w:divBdr>
    </w:div>
    <w:div w:id="1981420047">
      <w:bodyDiv w:val="1"/>
      <w:marLeft w:val="0"/>
      <w:marRight w:val="0"/>
      <w:marTop w:val="0"/>
      <w:marBottom w:val="0"/>
      <w:divBdr>
        <w:top w:val="none" w:sz="0" w:space="0" w:color="auto"/>
        <w:left w:val="none" w:sz="0" w:space="0" w:color="auto"/>
        <w:bottom w:val="none" w:sz="0" w:space="0" w:color="auto"/>
        <w:right w:val="none" w:sz="0" w:space="0" w:color="auto"/>
      </w:divBdr>
    </w:div>
    <w:div w:id="1998652707">
      <w:bodyDiv w:val="1"/>
      <w:marLeft w:val="0"/>
      <w:marRight w:val="0"/>
      <w:marTop w:val="0"/>
      <w:marBottom w:val="0"/>
      <w:divBdr>
        <w:top w:val="none" w:sz="0" w:space="0" w:color="auto"/>
        <w:left w:val="none" w:sz="0" w:space="0" w:color="auto"/>
        <w:bottom w:val="none" w:sz="0" w:space="0" w:color="auto"/>
        <w:right w:val="none" w:sz="0" w:space="0" w:color="auto"/>
      </w:divBdr>
    </w:div>
    <w:div w:id="2022657028">
      <w:bodyDiv w:val="1"/>
      <w:marLeft w:val="0"/>
      <w:marRight w:val="0"/>
      <w:marTop w:val="0"/>
      <w:marBottom w:val="0"/>
      <w:divBdr>
        <w:top w:val="none" w:sz="0" w:space="0" w:color="auto"/>
        <w:left w:val="none" w:sz="0" w:space="0" w:color="auto"/>
        <w:bottom w:val="none" w:sz="0" w:space="0" w:color="auto"/>
        <w:right w:val="none" w:sz="0" w:space="0" w:color="auto"/>
      </w:divBdr>
    </w:div>
    <w:div w:id="2024553784">
      <w:bodyDiv w:val="1"/>
      <w:marLeft w:val="0"/>
      <w:marRight w:val="0"/>
      <w:marTop w:val="0"/>
      <w:marBottom w:val="0"/>
      <w:divBdr>
        <w:top w:val="none" w:sz="0" w:space="0" w:color="auto"/>
        <w:left w:val="none" w:sz="0" w:space="0" w:color="auto"/>
        <w:bottom w:val="none" w:sz="0" w:space="0" w:color="auto"/>
        <w:right w:val="none" w:sz="0" w:space="0" w:color="auto"/>
      </w:divBdr>
    </w:div>
    <w:div w:id="2042242500">
      <w:bodyDiv w:val="1"/>
      <w:marLeft w:val="0"/>
      <w:marRight w:val="0"/>
      <w:marTop w:val="0"/>
      <w:marBottom w:val="0"/>
      <w:divBdr>
        <w:top w:val="none" w:sz="0" w:space="0" w:color="auto"/>
        <w:left w:val="none" w:sz="0" w:space="0" w:color="auto"/>
        <w:bottom w:val="none" w:sz="0" w:space="0" w:color="auto"/>
        <w:right w:val="none" w:sz="0" w:space="0" w:color="auto"/>
      </w:divBdr>
    </w:div>
    <w:div w:id="2113502235">
      <w:bodyDiv w:val="1"/>
      <w:marLeft w:val="0"/>
      <w:marRight w:val="0"/>
      <w:marTop w:val="0"/>
      <w:marBottom w:val="0"/>
      <w:divBdr>
        <w:top w:val="none" w:sz="0" w:space="0" w:color="auto"/>
        <w:left w:val="none" w:sz="0" w:space="0" w:color="auto"/>
        <w:bottom w:val="none" w:sz="0" w:space="0" w:color="auto"/>
        <w:right w:val="none" w:sz="0" w:space="0" w:color="auto"/>
      </w:divBdr>
    </w:div>
    <w:div w:id="2117866310">
      <w:bodyDiv w:val="1"/>
      <w:marLeft w:val="0"/>
      <w:marRight w:val="0"/>
      <w:marTop w:val="0"/>
      <w:marBottom w:val="0"/>
      <w:divBdr>
        <w:top w:val="none" w:sz="0" w:space="0" w:color="auto"/>
        <w:left w:val="none" w:sz="0" w:space="0" w:color="auto"/>
        <w:bottom w:val="none" w:sz="0" w:space="0" w:color="auto"/>
        <w:right w:val="none" w:sz="0" w:space="0" w:color="auto"/>
      </w:divBdr>
    </w:div>
    <w:div w:id="21328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ad.mirgor.com.ar\Tablada\Direcciones\Administracion%20y%20Finanzas\Balances\Balances%20CNV\Bce%201219\ELECTRONICA%20FAMAR\EF%20Armado%20EECC%2012-19%20V1.xlsx" TargetMode="External"/><Relationship Id="rId18" Type="http://schemas.openxmlformats.org/officeDocument/2006/relationships/image" Target="media/image6.emf"/><Relationship Id="rId26" Type="http://schemas.openxmlformats.org/officeDocument/2006/relationships/image" Target="media/image14.emf"/><Relationship Id="rId21" Type="http://schemas.openxmlformats.org/officeDocument/2006/relationships/image" Target="media/image9.emf"/><Relationship Id="rId34" Type="http://schemas.openxmlformats.org/officeDocument/2006/relationships/image" Target="media/image20.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5" Type="http://schemas.openxmlformats.org/officeDocument/2006/relationships/image" Target="media/image13.emf"/><Relationship Id="rId33" Type="http://schemas.openxmlformats.org/officeDocument/2006/relationships/image" Target="media/image19.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2.emf"/><Relationship Id="rId32" Type="http://schemas.openxmlformats.org/officeDocument/2006/relationships/image" Target="media/image18.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1.emf"/><Relationship Id="rId28" Type="http://schemas.openxmlformats.org/officeDocument/2006/relationships/image" Target="media/image15.emf"/><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image" Target="media/image10.emf"/><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image" Target="media/image21.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142E-1AEF-45FD-9BAA-AA5E7038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7908</Words>
  <Characters>42902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lpstr>
    </vt:vector>
  </TitlesOfParts>
  <Company>MIRGOR S.A.</Company>
  <LinksUpToDate>false</LinksUpToDate>
  <CharactersWithSpaces>50709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ANDREA FABIJANIC</dc:creator>
  <cp:keywords/>
  <dc:description/>
  <cp:lastModifiedBy>Gonzalez, Maricel</cp:lastModifiedBy>
  <cp:revision>3</cp:revision>
  <cp:lastPrinted>2020-03-06T10:56:00Z</cp:lastPrinted>
  <dcterms:created xsi:type="dcterms:W3CDTF">2020-04-20T14:48:00Z</dcterms:created>
  <dcterms:modified xsi:type="dcterms:W3CDTF">2020-04-20T14:50:00Z</dcterms:modified>
</cp:coreProperties>
</file>