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4E3E2" w14:textId="17EB720E" w:rsidR="00705AE2" w:rsidRPr="00EF3C35" w:rsidRDefault="00705AE2" w:rsidP="00705AE2">
      <w:pPr>
        <w:jc w:val="both"/>
        <w:rPr>
          <w:sz w:val="23"/>
          <w:szCs w:val="23"/>
        </w:rPr>
      </w:pPr>
      <w:r w:rsidRPr="00EF3C35">
        <w:rPr>
          <w:sz w:val="23"/>
          <w:szCs w:val="23"/>
        </w:rPr>
        <w:t>ACTA DE LA REUNIÓN DE LA COMISIÓN FISCALIZADORA QUE CONSIDERA LOS ESTADOS FINANCIEROS INTERMEDIOS AL 30-09-20</w:t>
      </w:r>
      <w:r w:rsidR="001D50F4" w:rsidRPr="00EF3C35">
        <w:rPr>
          <w:sz w:val="23"/>
          <w:szCs w:val="23"/>
        </w:rPr>
        <w:t>20</w:t>
      </w:r>
      <w:r w:rsidRPr="00EF3C35">
        <w:rPr>
          <w:sz w:val="23"/>
          <w:szCs w:val="23"/>
        </w:rPr>
        <w:t>.</w:t>
      </w:r>
    </w:p>
    <w:p w14:paraId="51273B3A" w14:textId="77777777" w:rsidR="00705AE2" w:rsidRPr="00EF3C35" w:rsidRDefault="00705AE2" w:rsidP="00705AE2">
      <w:pPr>
        <w:jc w:val="both"/>
        <w:rPr>
          <w:sz w:val="23"/>
          <w:szCs w:val="23"/>
        </w:rPr>
      </w:pPr>
    </w:p>
    <w:p w14:paraId="4ABFA348" w14:textId="02FB866A" w:rsidR="001D50F4" w:rsidRPr="00EF3C35" w:rsidRDefault="001D50F4" w:rsidP="001D50F4">
      <w:pPr>
        <w:jc w:val="both"/>
        <w:rPr>
          <w:sz w:val="23"/>
          <w:szCs w:val="23"/>
        </w:rPr>
      </w:pPr>
      <w:r w:rsidRPr="00EF3C35">
        <w:rPr>
          <w:sz w:val="23"/>
          <w:szCs w:val="23"/>
        </w:rPr>
        <w:t xml:space="preserve">En la Ciudad Autónoma de Buenos Aires, a los 9 días del mes de diciembre de 2020, siendo las </w:t>
      </w:r>
      <w:r w:rsidR="00B01BD9">
        <w:rPr>
          <w:sz w:val="23"/>
          <w:szCs w:val="23"/>
        </w:rPr>
        <w:t>8:00</w:t>
      </w:r>
      <w:r w:rsidRPr="00EF3C35">
        <w:rPr>
          <w:sz w:val="23"/>
          <w:szCs w:val="23"/>
        </w:rPr>
        <w:t xml:space="preserve"> horas, se reúne la Comisión Fiscalizadora de </w:t>
      </w:r>
      <w:proofErr w:type="spellStart"/>
      <w:r w:rsidRPr="00EF3C35">
        <w:rPr>
          <w:b/>
          <w:sz w:val="23"/>
          <w:szCs w:val="23"/>
        </w:rPr>
        <w:t>Agrofina</w:t>
      </w:r>
      <w:proofErr w:type="spellEnd"/>
      <w:r w:rsidRPr="00EF3C35">
        <w:rPr>
          <w:b/>
          <w:sz w:val="23"/>
          <w:szCs w:val="23"/>
        </w:rPr>
        <w:t xml:space="preserve"> S.A.</w:t>
      </w:r>
      <w:r w:rsidRPr="00EF3C35">
        <w:rPr>
          <w:sz w:val="23"/>
          <w:szCs w:val="23"/>
        </w:rPr>
        <w:t xml:space="preserve"> (la “</w:t>
      </w:r>
      <w:r w:rsidRPr="00EF3C35">
        <w:rPr>
          <w:sz w:val="23"/>
          <w:szCs w:val="23"/>
          <w:u w:val="single"/>
        </w:rPr>
        <w:t>Sociedad</w:t>
      </w:r>
      <w:r w:rsidRPr="00EF3C35">
        <w:rPr>
          <w:sz w:val="23"/>
          <w:szCs w:val="23"/>
        </w:rPr>
        <w:t>”). El Dr. Santiago Daireaux manifiesta que, debido a las restricciones de índole sanitaria vigentes al día de la fecha vinculadas con el “</w:t>
      </w:r>
      <w:r w:rsidRPr="00EF3C35">
        <w:rPr>
          <w:i/>
          <w:iCs/>
          <w:sz w:val="23"/>
          <w:szCs w:val="23"/>
        </w:rPr>
        <w:t>aislamiento social preventivo y obligatorio COVID-19</w:t>
      </w:r>
      <w:r w:rsidRPr="00EF3C35">
        <w:rPr>
          <w:sz w:val="23"/>
          <w:szCs w:val="23"/>
        </w:rPr>
        <w:t>” dispuesto por el Poder Ejecutivo Nacional mediante el DNU 297/20, el “</w:t>
      </w:r>
      <w:r w:rsidRPr="00EF3C35">
        <w:rPr>
          <w:i/>
          <w:iCs/>
          <w:sz w:val="23"/>
          <w:szCs w:val="23"/>
        </w:rPr>
        <w:t>distanciamiento social preventivo y obligatorio COVID-19</w:t>
      </w:r>
      <w:r w:rsidRPr="00EF3C35">
        <w:rPr>
          <w:sz w:val="23"/>
          <w:szCs w:val="23"/>
        </w:rPr>
        <w:t xml:space="preserve">” dispuesto por el Poder Ejecutivo Nacional mediante el DNU 875/20, su prórroga y normativa complementaria, y en atención a la Res. Gral. CNV 830/20, la presente reunión se realiza mediante el sistema de videoconferencia, con transmisión simultánea de sonido, imágenes y palabras, e informa que participan mediante </w:t>
      </w:r>
      <w:proofErr w:type="spellStart"/>
      <w:r w:rsidRPr="00EF3C35">
        <w:rPr>
          <w:sz w:val="23"/>
          <w:szCs w:val="23"/>
        </w:rPr>
        <w:t>videoteleconferencia</w:t>
      </w:r>
      <w:proofErr w:type="spellEnd"/>
      <w:r w:rsidRPr="00EF3C35">
        <w:rPr>
          <w:sz w:val="23"/>
          <w:szCs w:val="23"/>
        </w:rPr>
        <w:t xml:space="preserve"> los Dres. Santiago Daireaux, Pedro E. Aramburu y Guillermo E. </w:t>
      </w:r>
      <w:proofErr w:type="spellStart"/>
      <w:r w:rsidRPr="00EF3C35">
        <w:rPr>
          <w:sz w:val="23"/>
          <w:szCs w:val="23"/>
        </w:rPr>
        <w:t>Quiñoa</w:t>
      </w:r>
      <w:proofErr w:type="spellEnd"/>
      <w:r w:rsidRPr="00EF3C35">
        <w:rPr>
          <w:sz w:val="23"/>
          <w:szCs w:val="23"/>
        </w:rPr>
        <w:t>. Continua con el uso de la palabra el Dr. Daireaux, y expresa que la presente reunión tiene por objeto:</w:t>
      </w:r>
    </w:p>
    <w:p w14:paraId="3AC50CE0" w14:textId="77777777" w:rsidR="001D50F4" w:rsidRPr="00EF3C35" w:rsidRDefault="001D50F4" w:rsidP="00705AE2">
      <w:pPr>
        <w:jc w:val="both"/>
        <w:rPr>
          <w:sz w:val="23"/>
          <w:szCs w:val="23"/>
        </w:rPr>
      </w:pPr>
    </w:p>
    <w:p w14:paraId="69181003" w14:textId="7B97A9FE" w:rsidR="00705AE2" w:rsidRPr="00EF3C35" w:rsidRDefault="00400F9B" w:rsidP="000F56D0">
      <w:pPr>
        <w:numPr>
          <w:ilvl w:val="0"/>
          <w:numId w:val="18"/>
        </w:numPr>
        <w:ind w:left="0" w:firstLine="0"/>
        <w:jc w:val="both"/>
        <w:rPr>
          <w:sz w:val="23"/>
          <w:szCs w:val="23"/>
        </w:rPr>
      </w:pPr>
      <w:r w:rsidRPr="00EF3C35">
        <w:rPr>
          <w:b/>
          <w:sz w:val="23"/>
          <w:szCs w:val="23"/>
        </w:rPr>
        <w:t>Consideración de los estados financieros intermedios por el período de tres meses finalizado el 30 de septiembre de 2020 confeccionados de acuerdo con las normas de la Comisión Nacional de Valores (“</w:t>
      </w:r>
      <w:r w:rsidRPr="00EF3C35">
        <w:rPr>
          <w:b/>
          <w:sz w:val="23"/>
          <w:szCs w:val="23"/>
          <w:u w:val="single"/>
        </w:rPr>
        <w:t>CNV</w:t>
      </w:r>
      <w:r w:rsidRPr="00EF3C35">
        <w:rPr>
          <w:b/>
          <w:sz w:val="23"/>
          <w:szCs w:val="23"/>
        </w:rPr>
        <w:t xml:space="preserve">”). </w:t>
      </w:r>
      <w:bookmarkStart w:id="0" w:name="RANGE!A1:H74"/>
      <w:bookmarkEnd w:id="0"/>
      <w:r w:rsidR="00975C05" w:rsidRPr="00EF3C35">
        <w:rPr>
          <w:sz w:val="23"/>
          <w:szCs w:val="23"/>
        </w:rPr>
        <w:t>En relación con dichos estados financieros, el Dr. Daireaux manifiesta que se han realizado las revisiones que según la ley y reglamentos le corresponden al órgano de fiscalización, se ha reunido la documentación de respaldo necesaria y se obtuvieron las informaciones adecuadas por parte del directorio y de otras personas requeridas. Agrega que la referida información financiera, la reseña informativa y la información requerida por el artículo 63 del Reglamento de Listado de Bolsas y Mercados Argentinos S.A. y el art. 12 del capítulo III, título IV, de las normas de la CNV (N.T. 2013), contienen toda la información sobre hechos y circunstancias que las normas exigen que se incluyan. También manifiesta que se ha revisado el trabajo realizado por los auditores externos sobre dichos estados financieros y se ha obtenido de ellos la documentación pertinente a la tarea de control de la Comisión y los informes que emiten en el día de la fecha. Luego de analizar la documentación y los elementos mencionados, se resuelve por unanimidad: a) Facultar a sus miembros a participar de la reunión del directorio donde se analizarán los estados financieros mencionados anteriormente, b) Aprobar los informes de la Comisión Fiscalizadora sobre tales estados financieros, que se transcriben a continuación:</w:t>
      </w:r>
    </w:p>
    <w:p w14:paraId="31590F5C" w14:textId="77777777" w:rsidR="001F141F" w:rsidRDefault="001F141F" w:rsidP="001F141F">
      <w:pPr>
        <w:spacing w:line="-480" w:lineRule="auto"/>
        <w:jc w:val="center"/>
        <w:rPr>
          <w:b/>
          <w:snapToGrid w:val="0"/>
          <w:sz w:val="22"/>
          <w:szCs w:val="22"/>
          <w:u w:val="single"/>
          <w:lang w:val="es-ES_tradnl"/>
        </w:rPr>
      </w:pPr>
      <w:r>
        <w:rPr>
          <w:b/>
          <w:snapToGrid w:val="0"/>
          <w:sz w:val="22"/>
          <w:szCs w:val="22"/>
          <w:u w:val="single"/>
        </w:rPr>
        <w:t>INFORME DE LA COMISIÓN FISCALIZADORA</w:t>
      </w:r>
    </w:p>
    <w:p w14:paraId="40AF15F6" w14:textId="77777777" w:rsidR="001F141F" w:rsidRDefault="001F141F" w:rsidP="001F141F">
      <w:pPr>
        <w:rPr>
          <w:sz w:val="22"/>
          <w:szCs w:val="22"/>
          <w:lang w:val="es-AR" w:eastAsia="es-AR"/>
        </w:rPr>
      </w:pPr>
    </w:p>
    <w:p w14:paraId="149FD6EB" w14:textId="77777777" w:rsidR="001F141F" w:rsidRDefault="001F141F" w:rsidP="001F141F">
      <w:pPr>
        <w:tabs>
          <w:tab w:val="left" w:pos="567"/>
          <w:tab w:val="left" w:pos="1134"/>
          <w:tab w:val="left" w:pos="1843"/>
          <w:tab w:val="left" w:pos="2694"/>
        </w:tabs>
        <w:jc w:val="both"/>
        <w:rPr>
          <w:sz w:val="22"/>
          <w:szCs w:val="22"/>
          <w:lang w:val="es-MX"/>
        </w:rPr>
      </w:pPr>
      <w:r>
        <w:rPr>
          <w:sz w:val="22"/>
          <w:szCs w:val="22"/>
          <w:lang w:val="es-MX"/>
        </w:rPr>
        <w:t>Señores Accionistas de</w:t>
      </w:r>
    </w:p>
    <w:p w14:paraId="5304C219" w14:textId="77777777" w:rsidR="001F141F" w:rsidRDefault="001F141F" w:rsidP="001F141F">
      <w:pPr>
        <w:tabs>
          <w:tab w:val="left" w:pos="567"/>
          <w:tab w:val="left" w:pos="1134"/>
          <w:tab w:val="left" w:pos="1843"/>
          <w:tab w:val="left" w:pos="2694"/>
        </w:tabs>
        <w:jc w:val="both"/>
        <w:rPr>
          <w:b/>
          <w:sz w:val="22"/>
          <w:szCs w:val="22"/>
          <w:lang w:val="es-MX"/>
        </w:rPr>
      </w:pPr>
      <w:r>
        <w:rPr>
          <w:b/>
          <w:sz w:val="22"/>
          <w:szCs w:val="22"/>
          <w:lang w:val="es-MX"/>
        </w:rPr>
        <w:t>AGROFINA S.A.</w:t>
      </w:r>
    </w:p>
    <w:p w14:paraId="789712EB" w14:textId="77777777" w:rsidR="001F141F" w:rsidRDefault="001F141F" w:rsidP="001F141F">
      <w:pPr>
        <w:jc w:val="both"/>
        <w:rPr>
          <w:sz w:val="22"/>
          <w:szCs w:val="20"/>
          <w:lang w:val="es-AR"/>
        </w:rPr>
      </w:pPr>
      <w:r>
        <w:rPr>
          <w:sz w:val="22"/>
          <w:lang w:val="es-AR"/>
        </w:rPr>
        <w:t>Domicilio legal: Suipacha 1111 Piso 18°</w:t>
      </w:r>
    </w:p>
    <w:p w14:paraId="56BDB968" w14:textId="77777777" w:rsidR="001F141F" w:rsidRDefault="001F141F" w:rsidP="001F141F">
      <w:pPr>
        <w:jc w:val="both"/>
        <w:rPr>
          <w:sz w:val="22"/>
          <w:lang w:val="es-AR"/>
        </w:rPr>
      </w:pPr>
      <w:r>
        <w:rPr>
          <w:sz w:val="22"/>
          <w:lang w:val="es-AR"/>
        </w:rPr>
        <w:t>Ciudad Autónoma de Buenos Aires</w:t>
      </w:r>
    </w:p>
    <w:p w14:paraId="477EA452" w14:textId="77777777" w:rsidR="001F141F" w:rsidRDefault="001F141F" w:rsidP="001F141F">
      <w:pPr>
        <w:ind w:left="1440" w:hanging="1440"/>
        <w:jc w:val="both"/>
        <w:rPr>
          <w:sz w:val="22"/>
          <w:lang w:val="pt-BR"/>
        </w:rPr>
      </w:pPr>
      <w:r>
        <w:rPr>
          <w:sz w:val="22"/>
          <w:lang w:val="pt-BR"/>
        </w:rPr>
        <w:t>C.U.I.T. Nº: 30-59272454-1</w:t>
      </w:r>
    </w:p>
    <w:p w14:paraId="6072B9F3" w14:textId="77777777" w:rsidR="001F141F" w:rsidRDefault="001F141F" w:rsidP="001F141F">
      <w:pPr>
        <w:tabs>
          <w:tab w:val="left" w:pos="567"/>
          <w:tab w:val="left" w:pos="1134"/>
          <w:tab w:val="left" w:pos="1843"/>
          <w:tab w:val="left" w:pos="2694"/>
        </w:tabs>
        <w:jc w:val="both"/>
        <w:rPr>
          <w:b/>
          <w:sz w:val="22"/>
          <w:szCs w:val="22"/>
          <w:lang w:val="es-MX"/>
        </w:rPr>
      </w:pPr>
    </w:p>
    <w:p w14:paraId="2C548927" w14:textId="77777777" w:rsidR="001F141F" w:rsidRDefault="001F141F" w:rsidP="001F141F">
      <w:pPr>
        <w:tabs>
          <w:tab w:val="left" w:pos="567"/>
          <w:tab w:val="left" w:pos="1134"/>
          <w:tab w:val="left" w:pos="1843"/>
          <w:tab w:val="left" w:pos="2694"/>
        </w:tabs>
        <w:jc w:val="both"/>
        <w:rPr>
          <w:sz w:val="22"/>
          <w:szCs w:val="22"/>
          <w:lang w:val="es-MX"/>
        </w:rPr>
      </w:pPr>
      <w:r>
        <w:rPr>
          <w:sz w:val="22"/>
          <w:szCs w:val="22"/>
          <w:lang w:val="es-MX"/>
        </w:rPr>
        <w:t xml:space="preserve">En nuestro carácter de miembros de la Comisión Fiscalizadora de AGROFINA S.A. (la “Sociedad”), de acuerdo con lo dispuesto por las normas de la Ley General de Sociedades </w:t>
      </w:r>
      <w:proofErr w:type="spellStart"/>
      <w:r>
        <w:rPr>
          <w:sz w:val="22"/>
          <w:szCs w:val="22"/>
          <w:lang w:val="es-MX"/>
        </w:rPr>
        <w:t>N°</w:t>
      </w:r>
      <w:proofErr w:type="spellEnd"/>
      <w:r>
        <w:rPr>
          <w:sz w:val="22"/>
          <w:szCs w:val="22"/>
          <w:lang w:val="es-MX"/>
        </w:rPr>
        <w:t xml:space="preserve"> 19.550, hemos efectuado una revisión, con el alcance que se describe en el apartado 2., de los documentos detallados en el apartado 1. siguiente, referidos a esa Sociedad. </w:t>
      </w:r>
    </w:p>
    <w:p w14:paraId="421E69E5" w14:textId="77777777" w:rsidR="001F141F" w:rsidRDefault="001F141F" w:rsidP="001F141F">
      <w:pPr>
        <w:tabs>
          <w:tab w:val="left" w:pos="567"/>
          <w:tab w:val="left" w:pos="1134"/>
          <w:tab w:val="left" w:pos="1843"/>
          <w:tab w:val="left" w:pos="2694"/>
        </w:tabs>
        <w:jc w:val="both"/>
        <w:rPr>
          <w:sz w:val="22"/>
          <w:szCs w:val="22"/>
          <w:lang w:val="es-MX"/>
        </w:rPr>
      </w:pPr>
    </w:p>
    <w:p w14:paraId="23D15008" w14:textId="77777777" w:rsidR="001F141F" w:rsidRDefault="001F141F" w:rsidP="001F141F">
      <w:pPr>
        <w:tabs>
          <w:tab w:val="left" w:pos="567"/>
          <w:tab w:val="left" w:pos="1134"/>
          <w:tab w:val="left" w:pos="1843"/>
          <w:tab w:val="left" w:pos="2694"/>
        </w:tabs>
        <w:jc w:val="both"/>
        <w:rPr>
          <w:sz w:val="22"/>
          <w:szCs w:val="22"/>
          <w:lang w:val="es-MX"/>
        </w:rPr>
      </w:pPr>
      <w:r>
        <w:rPr>
          <w:sz w:val="22"/>
          <w:szCs w:val="22"/>
          <w:lang w:val="es-MX"/>
        </w:rPr>
        <w:t>La preparación y emisión de los documentos citados es una responsabilidad del Directorio de la Sociedad en ejercicio de sus funciones exclusivas. Nuestra responsabilidad es informar sobre dichos documentos en base al trabajo realizado con el alcance que se menciona en el apartado 2.</w:t>
      </w:r>
    </w:p>
    <w:p w14:paraId="2FF81494" w14:textId="77777777" w:rsidR="001F141F" w:rsidRDefault="001F141F" w:rsidP="001F141F">
      <w:pPr>
        <w:rPr>
          <w:sz w:val="22"/>
          <w:szCs w:val="22"/>
          <w:lang w:val="es-AR" w:eastAsia="es-AR"/>
        </w:rPr>
      </w:pPr>
    </w:p>
    <w:p w14:paraId="5B3A4B27" w14:textId="77777777" w:rsidR="001F141F" w:rsidRDefault="001F141F" w:rsidP="001F141F">
      <w:pPr>
        <w:widowControl w:val="0"/>
        <w:numPr>
          <w:ilvl w:val="0"/>
          <w:numId w:val="19"/>
        </w:numPr>
        <w:rPr>
          <w:b/>
          <w:sz w:val="22"/>
          <w:szCs w:val="22"/>
          <w:lang w:val="es-ES_tradnl" w:eastAsia="en-US"/>
        </w:rPr>
      </w:pPr>
      <w:r>
        <w:rPr>
          <w:b/>
          <w:sz w:val="22"/>
          <w:szCs w:val="22"/>
        </w:rPr>
        <w:t>DOCUMENTOS EXAMINADOS.</w:t>
      </w:r>
    </w:p>
    <w:p w14:paraId="66620BC1" w14:textId="77777777" w:rsidR="001F141F" w:rsidRDefault="001F141F" w:rsidP="001F141F">
      <w:pPr>
        <w:rPr>
          <w:b/>
          <w:bCs/>
          <w:sz w:val="22"/>
          <w:szCs w:val="22"/>
          <w:lang w:val="es-AR" w:eastAsia="es-AR"/>
        </w:rPr>
      </w:pPr>
    </w:p>
    <w:p w14:paraId="5A69DD3A" w14:textId="77777777" w:rsidR="001F141F" w:rsidRDefault="001F141F" w:rsidP="001F141F">
      <w:pPr>
        <w:widowControl w:val="0"/>
        <w:numPr>
          <w:ilvl w:val="1"/>
          <w:numId w:val="19"/>
        </w:numPr>
        <w:tabs>
          <w:tab w:val="left" w:pos="851"/>
        </w:tabs>
        <w:ind w:left="851" w:hanging="425"/>
        <w:jc w:val="both"/>
        <w:rPr>
          <w:bCs/>
          <w:sz w:val="22"/>
          <w:szCs w:val="22"/>
          <w:lang w:val="es-ES_tradnl" w:eastAsia="en-US"/>
        </w:rPr>
      </w:pPr>
      <w:r>
        <w:rPr>
          <w:bCs/>
          <w:sz w:val="22"/>
          <w:szCs w:val="22"/>
        </w:rPr>
        <w:t>Estado intermedio condensado de ganancias o pérdidas y otros resultados integrales por el período de tres meses finalizado el 30 de septiembre de 2020.</w:t>
      </w:r>
    </w:p>
    <w:p w14:paraId="2A58EC6A" w14:textId="77777777" w:rsidR="001F141F" w:rsidRDefault="001F141F" w:rsidP="001F141F">
      <w:pPr>
        <w:widowControl w:val="0"/>
        <w:numPr>
          <w:ilvl w:val="1"/>
          <w:numId w:val="19"/>
        </w:numPr>
        <w:tabs>
          <w:tab w:val="left" w:pos="851"/>
        </w:tabs>
        <w:jc w:val="both"/>
        <w:rPr>
          <w:bCs/>
          <w:sz w:val="22"/>
          <w:szCs w:val="22"/>
        </w:rPr>
      </w:pPr>
      <w:r>
        <w:rPr>
          <w:bCs/>
          <w:sz w:val="22"/>
          <w:szCs w:val="22"/>
        </w:rPr>
        <w:t>Estado intermedio condensado de situación financiera al 30 de septiembre de 2020.</w:t>
      </w:r>
    </w:p>
    <w:p w14:paraId="30725907" w14:textId="77777777" w:rsidR="001F141F" w:rsidRDefault="001F141F" w:rsidP="001F141F">
      <w:pPr>
        <w:widowControl w:val="0"/>
        <w:numPr>
          <w:ilvl w:val="1"/>
          <w:numId w:val="19"/>
        </w:numPr>
        <w:tabs>
          <w:tab w:val="left" w:pos="851"/>
        </w:tabs>
        <w:jc w:val="both"/>
        <w:rPr>
          <w:bCs/>
          <w:sz w:val="22"/>
          <w:szCs w:val="22"/>
        </w:rPr>
      </w:pPr>
      <w:r>
        <w:rPr>
          <w:bCs/>
          <w:sz w:val="22"/>
          <w:szCs w:val="22"/>
        </w:rPr>
        <w:t>Estado intermedio condensado de cambios en el patrimonio por el período de tres meses finalizado el 30 de septiembre de 2020.</w:t>
      </w:r>
    </w:p>
    <w:p w14:paraId="2DCE3610" w14:textId="77777777" w:rsidR="001F141F" w:rsidRDefault="001F141F" w:rsidP="001F141F">
      <w:pPr>
        <w:widowControl w:val="0"/>
        <w:numPr>
          <w:ilvl w:val="1"/>
          <w:numId w:val="19"/>
        </w:numPr>
        <w:tabs>
          <w:tab w:val="left" w:pos="851"/>
        </w:tabs>
        <w:jc w:val="both"/>
        <w:rPr>
          <w:bCs/>
          <w:sz w:val="22"/>
          <w:szCs w:val="22"/>
        </w:rPr>
      </w:pPr>
      <w:r>
        <w:rPr>
          <w:bCs/>
          <w:sz w:val="22"/>
          <w:szCs w:val="22"/>
        </w:rPr>
        <w:t>Estado intermedio condensado de flujo de efectivo por el período de tres meses finalizado el 30 de septiembre de 2020.</w:t>
      </w:r>
    </w:p>
    <w:p w14:paraId="5AFCD974" w14:textId="77777777" w:rsidR="001F141F" w:rsidRDefault="001F141F" w:rsidP="001F141F">
      <w:pPr>
        <w:widowControl w:val="0"/>
        <w:numPr>
          <w:ilvl w:val="1"/>
          <w:numId w:val="19"/>
        </w:numPr>
        <w:tabs>
          <w:tab w:val="left" w:pos="851"/>
        </w:tabs>
        <w:jc w:val="both"/>
        <w:rPr>
          <w:bCs/>
          <w:sz w:val="22"/>
          <w:szCs w:val="22"/>
        </w:rPr>
      </w:pPr>
      <w:r>
        <w:rPr>
          <w:bCs/>
          <w:sz w:val="22"/>
          <w:szCs w:val="22"/>
        </w:rPr>
        <w:t>Notas 1 a 27 a los estados financieros intermedios condensados correspondientes al período de tres meses finalizado el 30 de septiembre de 2020.</w:t>
      </w:r>
    </w:p>
    <w:p w14:paraId="312F2895" w14:textId="77777777" w:rsidR="001F141F" w:rsidRDefault="001F141F" w:rsidP="001F141F">
      <w:pPr>
        <w:widowControl w:val="0"/>
        <w:numPr>
          <w:ilvl w:val="1"/>
          <w:numId w:val="19"/>
        </w:numPr>
        <w:tabs>
          <w:tab w:val="left" w:pos="851"/>
        </w:tabs>
        <w:jc w:val="both"/>
        <w:rPr>
          <w:bCs/>
          <w:sz w:val="22"/>
          <w:szCs w:val="22"/>
        </w:rPr>
      </w:pPr>
      <w:r>
        <w:rPr>
          <w:bCs/>
          <w:sz w:val="22"/>
          <w:szCs w:val="22"/>
        </w:rPr>
        <w:t xml:space="preserve">Cifras y otra información, correspondientes al ejercicio económico finalizado el 30 de junio de 2020, y al período intermedio de tres meses finalizado el 30 de septiembre de 2019, </w:t>
      </w:r>
      <w:proofErr w:type="spellStart"/>
      <w:r>
        <w:rPr>
          <w:sz w:val="22"/>
          <w:szCs w:val="22"/>
        </w:rPr>
        <w:t>reexpresadas</w:t>
      </w:r>
      <w:proofErr w:type="spellEnd"/>
      <w:r>
        <w:rPr>
          <w:sz w:val="22"/>
          <w:szCs w:val="22"/>
        </w:rPr>
        <w:t xml:space="preserve"> en moneda constante del 30 de septiembre de 2020 de acuerdo con lo señalado en nota 2.3., que son parte integrante de los estados financieros intermedios condensados al 30 de septiembre de 2020</w:t>
      </w:r>
      <w:r>
        <w:rPr>
          <w:bCs/>
          <w:sz w:val="22"/>
          <w:szCs w:val="22"/>
        </w:rPr>
        <w:t>.</w:t>
      </w:r>
    </w:p>
    <w:p w14:paraId="7934B61D" w14:textId="77777777" w:rsidR="001F141F" w:rsidRDefault="001F141F" w:rsidP="001F141F">
      <w:pPr>
        <w:tabs>
          <w:tab w:val="left" w:pos="567"/>
          <w:tab w:val="left" w:pos="1134"/>
          <w:tab w:val="left" w:pos="1843"/>
          <w:tab w:val="left" w:pos="2694"/>
        </w:tabs>
        <w:ind w:left="426"/>
        <w:jc w:val="both"/>
        <w:rPr>
          <w:sz w:val="22"/>
          <w:szCs w:val="22"/>
        </w:rPr>
      </w:pPr>
    </w:p>
    <w:p w14:paraId="763B7C81" w14:textId="77777777" w:rsidR="001F141F" w:rsidRDefault="001F141F" w:rsidP="001F141F">
      <w:pPr>
        <w:tabs>
          <w:tab w:val="left" w:pos="567"/>
          <w:tab w:val="left" w:pos="1134"/>
          <w:tab w:val="left" w:pos="1843"/>
          <w:tab w:val="left" w:pos="2694"/>
        </w:tabs>
        <w:ind w:left="426"/>
        <w:jc w:val="both"/>
        <w:rPr>
          <w:sz w:val="22"/>
          <w:szCs w:val="22"/>
          <w:lang w:val="es-MX"/>
        </w:rPr>
      </w:pPr>
      <w:r>
        <w:rPr>
          <w:sz w:val="22"/>
          <w:szCs w:val="22"/>
          <w:lang w:val="es-MX"/>
        </w:rPr>
        <w:t>También analizamos el informe de revisión de estados financieros de períodos intermedios condensados de los auditores independientes, que revisaron los documentos mencionados en los puntos anteriores.</w:t>
      </w:r>
    </w:p>
    <w:p w14:paraId="6324585F" w14:textId="77777777" w:rsidR="001F141F" w:rsidRDefault="001F141F" w:rsidP="001F141F">
      <w:pPr>
        <w:tabs>
          <w:tab w:val="left" w:pos="567"/>
          <w:tab w:val="left" w:pos="1134"/>
          <w:tab w:val="left" w:pos="1843"/>
          <w:tab w:val="left" w:pos="2694"/>
        </w:tabs>
        <w:jc w:val="both"/>
        <w:rPr>
          <w:sz w:val="22"/>
          <w:szCs w:val="22"/>
          <w:lang w:val="es-MX"/>
        </w:rPr>
      </w:pPr>
    </w:p>
    <w:p w14:paraId="045F29EE" w14:textId="77777777" w:rsidR="001F141F" w:rsidRDefault="001F141F" w:rsidP="001F141F">
      <w:pPr>
        <w:widowControl w:val="0"/>
        <w:numPr>
          <w:ilvl w:val="0"/>
          <w:numId w:val="19"/>
        </w:numPr>
        <w:rPr>
          <w:b/>
          <w:sz w:val="22"/>
          <w:szCs w:val="22"/>
          <w:lang w:val="es-ES_tradnl"/>
        </w:rPr>
      </w:pPr>
      <w:r>
        <w:rPr>
          <w:b/>
          <w:sz w:val="22"/>
          <w:szCs w:val="22"/>
        </w:rPr>
        <w:lastRenderedPageBreak/>
        <w:t>ALCANCE DE LA REVISIÓN EFECTUADA.</w:t>
      </w:r>
    </w:p>
    <w:p w14:paraId="51D834C6" w14:textId="77777777" w:rsidR="001F141F" w:rsidRDefault="001F141F" w:rsidP="001F141F">
      <w:pPr>
        <w:ind w:left="426"/>
        <w:jc w:val="both"/>
        <w:rPr>
          <w:sz w:val="22"/>
          <w:szCs w:val="22"/>
        </w:rPr>
      </w:pPr>
    </w:p>
    <w:p w14:paraId="6E6D7B4D" w14:textId="77777777" w:rsidR="001F141F" w:rsidRDefault="001F141F" w:rsidP="001F141F">
      <w:pPr>
        <w:ind w:left="426"/>
        <w:jc w:val="both"/>
        <w:rPr>
          <w:sz w:val="22"/>
          <w:szCs w:val="22"/>
        </w:rPr>
      </w:pPr>
      <w:r>
        <w:rPr>
          <w:sz w:val="22"/>
          <w:szCs w:val="22"/>
        </w:rPr>
        <w:t xml:space="preserve">Nuestro trabajo fue realizado de acuerdo con las normas de sindicatura vigentes. Dichas normas requieren la verificación de la congruencia de los documentos e información revisados, con la información sobre las decisiones societarias expuestas en actas, y la adecuación de dichas decisiones a la Ley y los estatutos, en lo relativo a sus aspectos formales y documentales. </w:t>
      </w:r>
    </w:p>
    <w:p w14:paraId="79201DF9" w14:textId="77777777" w:rsidR="001F141F" w:rsidRDefault="001F141F" w:rsidP="001F141F">
      <w:pPr>
        <w:ind w:left="426"/>
        <w:jc w:val="both"/>
        <w:rPr>
          <w:sz w:val="22"/>
          <w:szCs w:val="22"/>
        </w:rPr>
      </w:pPr>
    </w:p>
    <w:p w14:paraId="602AD3F7" w14:textId="77777777" w:rsidR="001F141F" w:rsidRDefault="001F141F" w:rsidP="001F141F">
      <w:pPr>
        <w:ind w:left="426"/>
        <w:jc w:val="both"/>
        <w:rPr>
          <w:sz w:val="22"/>
          <w:szCs w:val="22"/>
        </w:rPr>
      </w:pPr>
      <w:r>
        <w:rPr>
          <w:sz w:val="22"/>
          <w:szCs w:val="22"/>
        </w:rPr>
        <w:t xml:space="preserve">Para realizar nuestra tarea profesional sobre los documentos detallados en el apartado 1., hemos efectuado una revisión del trabajo desarrollado por los auditores externos, </w:t>
      </w:r>
      <w:proofErr w:type="spellStart"/>
      <w:r>
        <w:rPr>
          <w:sz w:val="22"/>
          <w:szCs w:val="22"/>
        </w:rPr>
        <w:t>Pistrelli</w:t>
      </w:r>
      <w:proofErr w:type="spellEnd"/>
      <w:r>
        <w:rPr>
          <w:sz w:val="22"/>
          <w:szCs w:val="22"/>
        </w:rPr>
        <w:t xml:space="preserve">, Henry Martin y Asociados S.R.L, quienes emitieron con fecha 09 de diciembre de 2020 su informe de revisión de acuerdo con las Normas Internacionales de Encargos de Revisión (NIER) adoptadas por la Federación Argentina de Consejos Profesionales de Ciencias Económicas a través de la Resolución Técnica </w:t>
      </w:r>
      <w:proofErr w:type="spellStart"/>
      <w:r>
        <w:rPr>
          <w:sz w:val="22"/>
          <w:szCs w:val="22"/>
        </w:rPr>
        <w:t>N°</w:t>
      </w:r>
      <w:proofErr w:type="spellEnd"/>
      <w:r>
        <w:rPr>
          <w:sz w:val="22"/>
          <w:szCs w:val="22"/>
        </w:rPr>
        <w:t xml:space="preserve"> 33. Nuestra revisión incluyó la planificación del trabajo, la naturaleza, alcance y oportunidad de los procedimientos aplicados y de los resultados de la revisión efectuada por dichos auditores. En el informe que emitieron manifiestan que no encontraron ninguna circunstancia que pudiera indicar que los estados financieros no están preparados de acuerdo con las normas contables aplicables.</w:t>
      </w:r>
    </w:p>
    <w:p w14:paraId="661283F8" w14:textId="77777777" w:rsidR="001F141F" w:rsidRDefault="001F141F" w:rsidP="001F141F">
      <w:pPr>
        <w:ind w:left="426"/>
        <w:jc w:val="both"/>
        <w:rPr>
          <w:sz w:val="22"/>
          <w:szCs w:val="22"/>
        </w:rPr>
      </w:pPr>
    </w:p>
    <w:p w14:paraId="76F91E61" w14:textId="77777777" w:rsidR="001F141F" w:rsidRDefault="001F141F" w:rsidP="001F141F">
      <w:pPr>
        <w:ind w:left="426"/>
        <w:jc w:val="both"/>
        <w:rPr>
          <w:sz w:val="22"/>
          <w:szCs w:val="22"/>
        </w:rPr>
      </w:pPr>
      <w:r>
        <w:rPr>
          <w:sz w:val="22"/>
          <w:szCs w:val="22"/>
        </w:rPr>
        <w:t>Una revisión limitada consiste, básicamente, en revisiones conceptuales y analíticas. Incluye, asimismo, evaluar las normas contables utilizadas y, como parte de ellas, la razonabilidad de las estimaciones de significación hechas por el Directorio de la Sociedad y la presentación de los estados contables tomados en su conjunto.</w:t>
      </w:r>
    </w:p>
    <w:p w14:paraId="4E0F60E7" w14:textId="77777777" w:rsidR="001F141F" w:rsidRDefault="001F141F" w:rsidP="001F141F">
      <w:pPr>
        <w:ind w:left="426"/>
        <w:jc w:val="both"/>
        <w:rPr>
          <w:sz w:val="22"/>
          <w:szCs w:val="22"/>
        </w:rPr>
      </w:pPr>
    </w:p>
    <w:p w14:paraId="3F056CE3" w14:textId="77777777" w:rsidR="001F141F" w:rsidRDefault="001F141F" w:rsidP="001F141F">
      <w:pPr>
        <w:ind w:left="426"/>
        <w:jc w:val="both"/>
        <w:rPr>
          <w:sz w:val="22"/>
          <w:szCs w:val="22"/>
        </w:rPr>
      </w:pPr>
      <w:r>
        <w:rPr>
          <w:sz w:val="22"/>
          <w:szCs w:val="22"/>
        </w:rPr>
        <w:t>Dado que no es responsabilidad de la Comisión Fiscalizadora efectuar un control de gestión, la revisión no se extendió a los criterios y decisiones empresarias de las diversas áreas de la Sociedad, cuestiones que son de responsabilidad exclusiva del Directorio.</w:t>
      </w:r>
    </w:p>
    <w:p w14:paraId="4E2F1AAE" w14:textId="77777777" w:rsidR="001F141F" w:rsidRDefault="001F141F" w:rsidP="001F141F">
      <w:pPr>
        <w:ind w:left="426"/>
        <w:jc w:val="both"/>
        <w:rPr>
          <w:sz w:val="22"/>
          <w:szCs w:val="22"/>
        </w:rPr>
      </w:pPr>
    </w:p>
    <w:p w14:paraId="4CCDDB92" w14:textId="77777777" w:rsidR="001F141F" w:rsidRDefault="001F141F" w:rsidP="001F141F">
      <w:pPr>
        <w:widowControl w:val="0"/>
        <w:numPr>
          <w:ilvl w:val="0"/>
          <w:numId w:val="19"/>
        </w:numPr>
        <w:rPr>
          <w:b/>
          <w:sz w:val="22"/>
          <w:szCs w:val="22"/>
        </w:rPr>
      </w:pPr>
      <w:r>
        <w:rPr>
          <w:b/>
          <w:sz w:val="22"/>
          <w:szCs w:val="22"/>
        </w:rPr>
        <w:t>CONCLUSIONES.</w:t>
      </w:r>
    </w:p>
    <w:p w14:paraId="106D4024" w14:textId="77777777" w:rsidR="001F141F" w:rsidRDefault="001F141F" w:rsidP="001F141F">
      <w:pPr>
        <w:rPr>
          <w:sz w:val="22"/>
          <w:szCs w:val="22"/>
          <w:lang w:val="es-AR" w:eastAsia="es-AR"/>
        </w:rPr>
      </w:pPr>
    </w:p>
    <w:p w14:paraId="4A426D9C" w14:textId="77777777" w:rsidR="001F141F" w:rsidRDefault="001F141F" w:rsidP="001F141F">
      <w:pPr>
        <w:ind w:left="851" w:hanging="425"/>
        <w:jc w:val="both"/>
        <w:rPr>
          <w:sz w:val="22"/>
          <w:szCs w:val="22"/>
          <w:lang w:val="es-ES_tradnl" w:eastAsia="en-US"/>
        </w:rPr>
      </w:pPr>
      <w:r>
        <w:rPr>
          <w:sz w:val="22"/>
          <w:szCs w:val="22"/>
        </w:rPr>
        <w:t xml:space="preserve">3.1 </w:t>
      </w:r>
      <w:r>
        <w:rPr>
          <w:sz w:val="22"/>
          <w:szCs w:val="22"/>
        </w:rPr>
        <w:tab/>
        <w:t xml:space="preserve">Basados en nuestra revisión, con el alcance descripto en el apartado 2., no hemos tomado conocimiento de ninguna circunstancia que pudiera indicar que los estados financieros mencionados en el apartado 1., no están presentados, en sus aspectos significativos, de conformidad con la Norma Internacional de Contabilidad 34, y de acuerdo con las normas aplicables de la Ley General de Sociedades </w:t>
      </w:r>
      <w:proofErr w:type="spellStart"/>
      <w:r>
        <w:rPr>
          <w:sz w:val="22"/>
          <w:szCs w:val="22"/>
        </w:rPr>
        <w:t>N°</w:t>
      </w:r>
      <w:proofErr w:type="spellEnd"/>
      <w:r>
        <w:rPr>
          <w:sz w:val="22"/>
          <w:szCs w:val="22"/>
        </w:rPr>
        <w:t xml:space="preserve"> 19.550 y de la CNV.</w:t>
      </w:r>
    </w:p>
    <w:p w14:paraId="7173CCEA" w14:textId="77777777" w:rsidR="001F141F" w:rsidRDefault="001F141F" w:rsidP="001F141F">
      <w:pPr>
        <w:ind w:left="851" w:hanging="425"/>
        <w:jc w:val="both"/>
        <w:rPr>
          <w:sz w:val="22"/>
          <w:szCs w:val="22"/>
        </w:rPr>
      </w:pPr>
      <w:r>
        <w:rPr>
          <w:sz w:val="22"/>
          <w:szCs w:val="22"/>
        </w:rPr>
        <w:t xml:space="preserve">3.2 </w:t>
      </w:r>
      <w:r>
        <w:rPr>
          <w:sz w:val="22"/>
          <w:szCs w:val="22"/>
        </w:rPr>
        <w:tab/>
        <w:t>Las empresas que integran el Grupo aplican políticas de contabilización y auditoría dentro de los estándares de calidad aceptados y las tareas de auditoría se realizaron con independencia y objetividad.</w:t>
      </w:r>
    </w:p>
    <w:p w14:paraId="028925A5" w14:textId="77777777" w:rsidR="001F141F" w:rsidRDefault="001F141F" w:rsidP="001F141F">
      <w:pPr>
        <w:ind w:left="851" w:hanging="425"/>
        <w:jc w:val="both"/>
        <w:rPr>
          <w:sz w:val="22"/>
          <w:szCs w:val="22"/>
        </w:rPr>
      </w:pPr>
      <w:r>
        <w:rPr>
          <w:sz w:val="22"/>
          <w:szCs w:val="22"/>
        </w:rPr>
        <w:t xml:space="preserve">3.3 </w:t>
      </w:r>
      <w:r>
        <w:rPr>
          <w:sz w:val="22"/>
          <w:szCs w:val="22"/>
        </w:rPr>
        <w:tab/>
        <w:t>Los presentes Estados financieros intermedios condensados han sido preparados para su presentación ante la CNV, y</w:t>
      </w:r>
      <w:r>
        <w:t xml:space="preserve"> </w:t>
      </w:r>
      <w:r>
        <w:rPr>
          <w:sz w:val="22"/>
          <w:szCs w:val="22"/>
        </w:rPr>
        <w:t>se encuentran en proceso de transcripción en el libro Inventario y Balances de la Sociedad.</w:t>
      </w:r>
    </w:p>
    <w:p w14:paraId="6275EF80" w14:textId="77777777" w:rsidR="001F141F" w:rsidRDefault="001F141F" w:rsidP="001F141F">
      <w:pPr>
        <w:ind w:left="851" w:hanging="425"/>
        <w:jc w:val="both"/>
        <w:rPr>
          <w:sz w:val="22"/>
          <w:szCs w:val="22"/>
        </w:rPr>
      </w:pPr>
      <w:r>
        <w:rPr>
          <w:sz w:val="22"/>
          <w:szCs w:val="22"/>
        </w:rPr>
        <w:t xml:space="preserve">3.4 </w:t>
      </w:r>
      <w:r>
        <w:rPr>
          <w:sz w:val="22"/>
          <w:szCs w:val="22"/>
        </w:rPr>
        <w:tab/>
        <w:t>La Comisión Fiscalizadora ha dado cumplimiento a las obligaciones establecidas en el artículo 294 de la Ley General de Sociedades No. 19.550 y otras disposiciones de los organismos de control.</w:t>
      </w:r>
    </w:p>
    <w:p w14:paraId="6171E30F" w14:textId="77777777" w:rsidR="001F141F" w:rsidRDefault="001F141F" w:rsidP="001F141F">
      <w:pPr>
        <w:ind w:left="851" w:hanging="425"/>
        <w:jc w:val="both"/>
        <w:rPr>
          <w:sz w:val="22"/>
          <w:szCs w:val="22"/>
        </w:rPr>
      </w:pPr>
      <w:r>
        <w:rPr>
          <w:sz w:val="22"/>
          <w:szCs w:val="22"/>
        </w:rPr>
        <w:t xml:space="preserve">3.5 </w:t>
      </w:r>
      <w:r>
        <w:rPr>
          <w:sz w:val="22"/>
          <w:szCs w:val="22"/>
        </w:rPr>
        <w:tab/>
        <w:t>Los estados financieros mencionados en el apartado 1. surgen de los registros contables de la Sociedad llevados, en sus aspectos formales, de conformidad con las disposiciones legales vigentes, excepto por lo mencionado en la Nota 24.</w:t>
      </w:r>
    </w:p>
    <w:p w14:paraId="692093F5" w14:textId="77777777" w:rsidR="001F141F" w:rsidRDefault="001F141F" w:rsidP="001F141F">
      <w:pPr>
        <w:ind w:left="851" w:hanging="425"/>
        <w:jc w:val="both"/>
        <w:rPr>
          <w:sz w:val="22"/>
          <w:szCs w:val="22"/>
        </w:rPr>
      </w:pPr>
      <w:r>
        <w:rPr>
          <w:sz w:val="22"/>
          <w:szCs w:val="22"/>
        </w:rPr>
        <w:t xml:space="preserve">3.6 </w:t>
      </w:r>
      <w:r>
        <w:rPr>
          <w:sz w:val="22"/>
          <w:szCs w:val="22"/>
        </w:rPr>
        <w:tab/>
        <w:t>Los directores cumplen con las exigencias de mantener garantías por el desempeño de sus funciones.</w:t>
      </w:r>
    </w:p>
    <w:p w14:paraId="21D91238" w14:textId="77777777" w:rsidR="001F141F" w:rsidRDefault="001F141F" w:rsidP="001F141F">
      <w:pPr>
        <w:ind w:left="851" w:hanging="425"/>
        <w:jc w:val="both"/>
        <w:rPr>
          <w:sz w:val="22"/>
          <w:szCs w:val="22"/>
        </w:rPr>
      </w:pPr>
      <w:proofErr w:type="gramStart"/>
      <w:r>
        <w:rPr>
          <w:sz w:val="22"/>
          <w:szCs w:val="22"/>
        </w:rPr>
        <w:t>3.7  La</w:t>
      </w:r>
      <w:proofErr w:type="gramEnd"/>
      <w:r>
        <w:rPr>
          <w:sz w:val="22"/>
          <w:szCs w:val="22"/>
        </w:rPr>
        <w:t xml:space="preserve"> información contenida en la “Información adicional requerida por el artículo </w:t>
      </w:r>
      <w:proofErr w:type="spellStart"/>
      <w:r>
        <w:rPr>
          <w:sz w:val="22"/>
          <w:szCs w:val="22"/>
        </w:rPr>
        <w:t>N°</w:t>
      </w:r>
      <w:proofErr w:type="spellEnd"/>
      <w:r>
        <w:rPr>
          <w:sz w:val="22"/>
          <w:szCs w:val="22"/>
        </w:rPr>
        <w:t xml:space="preserve"> 12 del Capítulo III, Título IV, de las Normas (N.T. 2013) de la CNV”, es presentada por la Sociedad para cumplimentar las normas de la CNV. Dicha información, excepto por los datos indicados como "No cubiertos por el Informe de Revisión”, surge de los estados financieros mencionados en el apartado 1.</w:t>
      </w:r>
    </w:p>
    <w:p w14:paraId="1F9CBD9F" w14:textId="77777777" w:rsidR="001F141F" w:rsidRDefault="001F141F" w:rsidP="001F141F">
      <w:pPr>
        <w:ind w:left="851" w:hanging="425"/>
        <w:jc w:val="both"/>
        <w:rPr>
          <w:sz w:val="22"/>
          <w:szCs w:val="22"/>
        </w:rPr>
      </w:pPr>
      <w:proofErr w:type="gramStart"/>
      <w:r>
        <w:rPr>
          <w:sz w:val="22"/>
          <w:szCs w:val="22"/>
        </w:rPr>
        <w:t>3.8  Al</w:t>
      </w:r>
      <w:proofErr w:type="gramEnd"/>
      <w:r>
        <w:rPr>
          <w:sz w:val="22"/>
          <w:szCs w:val="22"/>
        </w:rPr>
        <w:t xml:space="preserve"> 30 de septiembre de 2020, la deuda devengada en concepto de aportes y contribuciones con destino al Sistema Integrado Previsional Argentino, que surge de los registros contables de la Sociedad, asciende a $ 8.442.496, no siendo exigible a esa fecha.</w:t>
      </w:r>
    </w:p>
    <w:p w14:paraId="5B2336FB" w14:textId="77777777" w:rsidR="001F141F" w:rsidRDefault="001F141F" w:rsidP="001F141F">
      <w:pPr>
        <w:ind w:left="851" w:hanging="425"/>
        <w:jc w:val="both"/>
        <w:rPr>
          <w:sz w:val="22"/>
          <w:szCs w:val="22"/>
        </w:rPr>
      </w:pPr>
    </w:p>
    <w:p w14:paraId="5256AFED" w14:textId="77777777" w:rsidR="001F141F" w:rsidRDefault="001F141F" w:rsidP="001F141F">
      <w:pPr>
        <w:widowControl w:val="0"/>
        <w:numPr>
          <w:ilvl w:val="0"/>
          <w:numId w:val="19"/>
        </w:numPr>
        <w:rPr>
          <w:b/>
          <w:sz w:val="22"/>
          <w:szCs w:val="22"/>
          <w:lang w:val="es-ES_tradnl"/>
        </w:rPr>
      </w:pPr>
      <w:r>
        <w:rPr>
          <w:b/>
          <w:sz w:val="22"/>
          <w:szCs w:val="22"/>
        </w:rPr>
        <w:t>ÉNFASIS SOBRE MARCO DE INFORMACIÓN FINANCIERA.</w:t>
      </w:r>
    </w:p>
    <w:p w14:paraId="62A8071D" w14:textId="77777777" w:rsidR="001F141F" w:rsidRDefault="001F141F" w:rsidP="001F141F">
      <w:pPr>
        <w:jc w:val="both"/>
        <w:rPr>
          <w:rFonts w:ascii="Verdana" w:eastAsia="Calibri" w:hAnsi="Verdana"/>
          <w:sz w:val="17"/>
          <w:szCs w:val="17"/>
          <w:lang w:val="es-AR"/>
        </w:rPr>
      </w:pPr>
    </w:p>
    <w:p w14:paraId="6325D294" w14:textId="77777777" w:rsidR="001F141F" w:rsidRDefault="001F141F" w:rsidP="001F141F">
      <w:pPr>
        <w:ind w:left="426"/>
        <w:jc w:val="both"/>
        <w:rPr>
          <w:sz w:val="22"/>
          <w:szCs w:val="22"/>
          <w:lang w:val="es-ES_tradnl"/>
        </w:rPr>
      </w:pPr>
      <w:r>
        <w:rPr>
          <w:sz w:val="22"/>
          <w:szCs w:val="22"/>
        </w:rPr>
        <w:t xml:space="preserve">Sin modificar nuestra conclusión, queremos enfatizar la información contenida en la nota 2.3. a los estados financieros adjuntos, en la cual la Sociedad manifiesta que las cifras en ellos expuestas, así como la información comparativa al 30 de junio de 2020 y al período de tres meses finalizado el 30 de septiembre de 2019, han sido </w:t>
      </w:r>
      <w:proofErr w:type="spellStart"/>
      <w:r>
        <w:rPr>
          <w:sz w:val="22"/>
          <w:szCs w:val="22"/>
        </w:rPr>
        <w:t>reexpresadas</w:t>
      </w:r>
      <w:proofErr w:type="spellEnd"/>
      <w:r>
        <w:rPr>
          <w:sz w:val="22"/>
          <w:szCs w:val="22"/>
        </w:rPr>
        <w:t xml:space="preserve"> en moneda constante del 30 de septiembre de 2020.</w:t>
      </w:r>
    </w:p>
    <w:p w14:paraId="3D0C58F3" w14:textId="77777777" w:rsidR="001F141F" w:rsidRDefault="001F141F" w:rsidP="001F141F">
      <w:pPr>
        <w:tabs>
          <w:tab w:val="left" w:pos="567"/>
          <w:tab w:val="left" w:pos="1134"/>
          <w:tab w:val="left" w:pos="1843"/>
          <w:tab w:val="left" w:pos="2694"/>
        </w:tabs>
        <w:jc w:val="both"/>
        <w:rPr>
          <w:sz w:val="22"/>
          <w:szCs w:val="22"/>
        </w:rPr>
      </w:pPr>
    </w:p>
    <w:p w14:paraId="1DBD2C4F" w14:textId="77777777" w:rsidR="001F141F" w:rsidRDefault="001F141F" w:rsidP="001F141F">
      <w:pPr>
        <w:tabs>
          <w:tab w:val="left" w:pos="567"/>
          <w:tab w:val="left" w:pos="1134"/>
          <w:tab w:val="left" w:pos="1843"/>
          <w:tab w:val="left" w:pos="2694"/>
        </w:tabs>
        <w:jc w:val="both"/>
        <w:rPr>
          <w:sz w:val="22"/>
          <w:szCs w:val="22"/>
          <w:lang w:val="es-MX"/>
        </w:rPr>
      </w:pPr>
      <w:r>
        <w:rPr>
          <w:sz w:val="22"/>
          <w:szCs w:val="22"/>
          <w:lang w:val="es-MX"/>
        </w:rPr>
        <w:t>Ciudad Autónoma de Buenos Aires, 09</w:t>
      </w:r>
      <w:r>
        <w:rPr>
          <w:sz w:val="22"/>
          <w:szCs w:val="22"/>
        </w:rPr>
        <w:t xml:space="preserve"> de diciembre de 2020</w:t>
      </w:r>
      <w:r>
        <w:rPr>
          <w:sz w:val="22"/>
          <w:szCs w:val="22"/>
          <w:lang w:val="es-MX"/>
        </w:rPr>
        <w:t>.</w:t>
      </w:r>
    </w:p>
    <w:p w14:paraId="7D5997DB" w14:textId="77777777" w:rsidR="001F141F" w:rsidRDefault="001F141F" w:rsidP="001F141F">
      <w:pPr>
        <w:tabs>
          <w:tab w:val="left" w:pos="567"/>
          <w:tab w:val="left" w:pos="1134"/>
          <w:tab w:val="left" w:pos="1843"/>
          <w:tab w:val="left" w:pos="2694"/>
        </w:tabs>
        <w:jc w:val="both"/>
        <w:rPr>
          <w:sz w:val="22"/>
          <w:szCs w:val="22"/>
          <w:lang w:val="es-MX"/>
        </w:rPr>
      </w:pPr>
    </w:p>
    <w:p w14:paraId="7736B225" w14:textId="77777777" w:rsidR="001F141F" w:rsidRDefault="001F141F" w:rsidP="001F141F">
      <w:pPr>
        <w:jc w:val="center"/>
        <w:rPr>
          <w:b/>
          <w:sz w:val="20"/>
          <w:szCs w:val="20"/>
          <w:lang w:val="pt-BR" w:eastAsia="x-none"/>
        </w:rPr>
      </w:pPr>
      <w:r>
        <w:rPr>
          <w:b/>
          <w:lang w:val="pt-BR" w:eastAsia="x-none"/>
        </w:rPr>
        <w:t xml:space="preserve">SANTIAGO DAIREAUX </w:t>
      </w:r>
    </w:p>
    <w:p w14:paraId="085D3340" w14:textId="77777777" w:rsidR="001F141F" w:rsidRDefault="001F141F" w:rsidP="001F141F">
      <w:pPr>
        <w:tabs>
          <w:tab w:val="center" w:pos="1560"/>
          <w:tab w:val="center" w:pos="5245"/>
          <w:tab w:val="center" w:pos="8222"/>
        </w:tabs>
        <w:jc w:val="center"/>
        <w:rPr>
          <w:lang w:val="pt-BR" w:eastAsia="en-US"/>
        </w:rPr>
      </w:pPr>
      <w:r>
        <w:rPr>
          <w:lang w:val="pt-BR"/>
        </w:rPr>
        <w:t xml:space="preserve">Por </w:t>
      </w:r>
      <w:proofErr w:type="spellStart"/>
      <w:r>
        <w:rPr>
          <w:lang w:val="pt-BR"/>
        </w:rPr>
        <w:t>Comisión</w:t>
      </w:r>
      <w:proofErr w:type="spellEnd"/>
      <w:r>
        <w:rPr>
          <w:lang w:val="pt-BR"/>
        </w:rPr>
        <w:t xml:space="preserve"> Fiscalizadora</w:t>
      </w:r>
    </w:p>
    <w:p w14:paraId="7A83D0D3" w14:textId="77777777" w:rsidR="001F141F" w:rsidRDefault="001F141F" w:rsidP="001F141F">
      <w:pPr>
        <w:tabs>
          <w:tab w:val="center" w:pos="1560"/>
          <w:tab w:val="center" w:pos="5245"/>
          <w:tab w:val="center" w:pos="8222"/>
        </w:tabs>
        <w:jc w:val="center"/>
        <w:rPr>
          <w:lang w:val="pt-BR"/>
        </w:rPr>
      </w:pPr>
      <w:proofErr w:type="spellStart"/>
      <w:r>
        <w:rPr>
          <w:lang w:val="pt-BR"/>
        </w:rPr>
        <w:t>Abogado</w:t>
      </w:r>
      <w:proofErr w:type="spellEnd"/>
    </w:p>
    <w:p w14:paraId="01B590A3" w14:textId="2DEF1FCC" w:rsidR="005360CF" w:rsidRPr="00EF3C35" w:rsidRDefault="001F141F" w:rsidP="001F141F">
      <w:pPr>
        <w:jc w:val="center"/>
        <w:rPr>
          <w:sz w:val="23"/>
          <w:szCs w:val="23"/>
        </w:rPr>
      </w:pPr>
      <w:r>
        <w:rPr>
          <w:lang w:val="pt-BR"/>
        </w:rPr>
        <w:t>C.P.A.C.F. Tomo 48- Folio 138</w:t>
      </w:r>
    </w:p>
    <w:p w14:paraId="2D7A7470" w14:textId="77777777" w:rsidR="00D82DBB" w:rsidRPr="00EF3C35" w:rsidRDefault="00D82DBB" w:rsidP="003E5D13">
      <w:pPr>
        <w:jc w:val="both"/>
        <w:rPr>
          <w:sz w:val="23"/>
          <w:szCs w:val="23"/>
          <w:lang w:val="es-MX"/>
        </w:rPr>
      </w:pPr>
    </w:p>
    <w:p w14:paraId="142A57F5" w14:textId="0997C02A" w:rsidR="00EF3C35" w:rsidRDefault="00EF3C35" w:rsidP="003E5D13">
      <w:pPr>
        <w:jc w:val="both"/>
        <w:rPr>
          <w:sz w:val="23"/>
          <w:szCs w:val="23"/>
        </w:rPr>
      </w:pPr>
      <w:r w:rsidRPr="00EF3C35">
        <w:rPr>
          <w:sz w:val="23"/>
          <w:szCs w:val="23"/>
        </w:rPr>
        <w:t>c</w:t>
      </w:r>
      <w:r w:rsidR="00D82DBB" w:rsidRPr="00EF3C35">
        <w:rPr>
          <w:sz w:val="23"/>
          <w:szCs w:val="23"/>
        </w:rPr>
        <w:t xml:space="preserve">) Facultar al Dr. </w:t>
      </w:r>
      <w:r w:rsidR="0004795B" w:rsidRPr="00EF3C35">
        <w:rPr>
          <w:sz w:val="23"/>
          <w:szCs w:val="23"/>
        </w:rPr>
        <w:t>Santiago Daireaux</w:t>
      </w:r>
      <w:r w:rsidR="00D82DBB" w:rsidRPr="00EF3C35">
        <w:rPr>
          <w:sz w:val="23"/>
          <w:szCs w:val="23"/>
        </w:rPr>
        <w:t xml:space="preserve"> a suscribir dichos informes en representación de la Comisión Fiscalizadora. </w:t>
      </w:r>
    </w:p>
    <w:p w14:paraId="1DB3B67E" w14:textId="77777777" w:rsidR="00EF3C35" w:rsidRPr="00EF3C35" w:rsidRDefault="00EF3C35" w:rsidP="003E5D13">
      <w:pPr>
        <w:jc w:val="both"/>
        <w:rPr>
          <w:sz w:val="23"/>
          <w:szCs w:val="23"/>
        </w:rPr>
      </w:pPr>
    </w:p>
    <w:p w14:paraId="4DD1C182" w14:textId="60263677" w:rsidR="00D82DBB" w:rsidRPr="00EF3C35" w:rsidRDefault="00D82DBB" w:rsidP="003E5D13">
      <w:pPr>
        <w:jc w:val="both"/>
        <w:rPr>
          <w:sz w:val="23"/>
          <w:szCs w:val="23"/>
        </w:rPr>
      </w:pPr>
      <w:r w:rsidRPr="00EF3C35">
        <w:rPr>
          <w:sz w:val="23"/>
          <w:szCs w:val="23"/>
        </w:rPr>
        <w:t>No habiendo más asuntos que tratar, se levanta la reunión siendo las</w:t>
      </w:r>
      <w:r w:rsidR="00EF3C35">
        <w:rPr>
          <w:sz w:val="23"/>
          <w:szCs w:val="23"/>
        </w:rPr>
        <w:t xml:space="preserve"> </w:t>
      </w:r>
      <w:r w:rsidR="00B01BD9">
        <w:rPr>
          <w:sz w:val="23"/>
          <w:szCs w:val="23"/>
        </w:rPr>
        <w:t>8:30</w:t>
      </w:r>
      <w:r w:rsidR="00EF3C35">
        <w:rPr>
          <w:sz w:val="23"/>
          <w:szCs w:val="23"/>
        </w:rPr>
        <w:t xml:space="preserve"> </w:t>
      </w:r>
      <w:r w:rsidRPr="00EF3C35">
        <w:rPr>
          <w:sz w:val="23"/>
          <w:szCs w:val="23"/>
        </w:rPr>
        <w:t>horas.</w:t>
      </w:r>
    </w:p>
    <w:p w14:paraId="37D8D97E" w14:textId="77777777" w:rsidR="0009402C" w:rsidRDefault="0009402C" w:rsidP="003E5D13">
      <w:pPr>
        <w:jc w:val="both"/>
      </w:pPr>
    </w:p>
    <w:p w14:paraId="58CED97F" w14:textId="36B19A8F" w:rsidR="009F4DBD" w:rsidRDefault="009F4DBD" w:rsidP="009F4DBD">
      <w:pPr>
        <w:widowControl w:val="0"/>
        <w:tabs>
          <w:tab w:val="left" w:pos="567"/>
          <w:tab w:val="left" w:pos="1134"/>
          <w:tab w:val="left" w:pos="1843"/>
          <w:tab w:val="left" w:pos="2694"/>
        </w:tabs>
        <w:jc w:val="both"/>
        <w:rPr>
          <w:b/>
          <w:bCs/>
          <w:snapToGrid w:val="0"/>
          <w:sz w:val="18"/>
          <w:szCs w:val="18"/>
        </w:rPr>
      </w:pPr>
      <w:r>
        <w:rPr>
          <w:b/>
          <w:bCs/>
          <w:sz w:val="18"/>
          <w:szCs w:val="18"/>
        </w:rPr>
        <w:t xml:space="preserve">FIRMADA POR LOS DRES. DAIREAUX SANTIAGO, ARAMBURU PEDRO EUGENIO Y QUIÑOA GUILLERMO EDUARDO, EN SU CALIDAD DE SINDICOS TITULARES DE LA COMISIÓN FISCALIZADORA. </w:t>
      </w:r>
      <w:r>
        <w:rPr>
          <w:b/>
          <w:snapToGrid w:val="0"/>
          <w:sz w:val="18"/>
          <w:szCs w:val="18"/>
        </w:rPr>
        <w:t xml:space="preserve">ES COPIA FIEL DEL ACTA DE COMISION FISCALIZADORA QUE CONSTA EN FOLIOS </w:t>
      </w:r>
      <w:r w:rsidR="00016A78">
        <w:rPr>
          <w:b/>
          <w:snapToGrid w:val="0"/>
          <w:sz w:val="18"/>
          <w:szCs w:val="18"/>
        </w:rPr>
        <w:t>173</w:t>
      </w:r>
      <w:r>
        <w:rPr>
          <w:b/>
          <w:snapToGrid w:val="0"/>
          <w:sz w:val="18"/>
          <w:szCs w:val="18"/>
        </w:rPr>
        <w:t xml:space="preserve"> </w:t>
      </w:r>
      <w:r w:rsidR="00487007">
        <w:rPr>
          <w:b/>
          <w:snapToGrid w:val="0"/>
          <w:sz w:val="18"/>
          <w:szCs w:val="18"/>
        </w:rPr>
        <w:t>A</w:t>
      </w:r>
      <w:r>
        <w:rPr>
          <w:b/>
          <w:snapToGrid w:val="0"/>
          <w:sz w:val="18"/>
          <w:szCs w:val="18"/>
        </w:rPr>
        <w:t xml:space="preserve"> </w:t>
      </w:r>
      <w:r w:rsidR="00016A78">
        <w:rPr>
          <w:b/>
          <w:snapToGrid w:val="0"/>
          <w:sz w:val="18"/>
          <w:szCs w:val="18"/>
        </w:rPr>
        <w:t>175</w:t>
      </w:r>
      <w:r>
        <w:rPr>
          <w:b/>
          <w:snapToGrid w:val="0"/>
          <w:sz w:val="18"/>
          <w:szCs w:val="18"/>
        </w:rPr>
        <w:t xml:space="preserve"> DEL LIBRO DE ACTAS DE COMISION FISCALIZADORA NRO. 1 DE AGROFINA S.A., RUBRICADO EL 11 DE SEPTIEMBRE DE 2013 BAJO EL NÚMERO 57125</w:t>
      </w:r>
      <w:r>
        <w:rPr>
          <w:b/>
          <w:bCs/>
          <w:snapToGrid w:val="0"/>
          <w:sz w:val="18"/>
          <w:szCs w:val="18"/>
        </w:rPr>
        <w:t>-13</w:t>
      </w:r>
    </w:p>
    <w:p w14:paraId="127AB63B" w14:textId="77777777" w:rsidR="009F4DBD" w:rsidRDefault="009F4DBD" w:rsidP="009F4DBD">
      <w:pPr>
        <w:widowControl w:val="0"/>
        <w:tabs>
          <w:tab w:val="left" w:pos="567"/>
          <w:tab w:val="left" w:pos="1134"/>
          <w:tab w:val="left" w:pos="1843"/>
          <w:tab w:val="left" w:pos="2694"/>
        </w:tabs>
        <w:jc w:val="both"/>
        <w:rPr>
          <w:b/>
          <w:bCs/>
          <w:snapToGrid w:val="0"/>
          <w:sz w:val="18"/>
          <w:szCs w:val="18"/>
        </w:rPr>
      </w:pPr>
    </w:p>
    <w:p w14:paraId="08ADA7CA" w14:textId="77777777" w:rsidR="009F4DBD" w:rsidRDefault="009F4DBD" w:rsidP="009F4DBD">
      <w:pPr>
        <w:widowControl w:val="0"/>
        <w:tabs>
          <w:tab w:val="left" w:pos="567"/>
          <w:tab w:val="left" w:pos="1134"/>
          <w:tab w:val="left" w:pos="1843"/>
          <w:tab w:val="left" w:pos="2694"/>
        </w:tabs>
        <w:jc w:val="both"/>
        <w:rPr>
          <w:b/>
          <w:bCs/>
          <w:snapToGrid w:val="0"/>
          <w:sz w:val="18"/>
          <w:szCs w:val="18"/>
        </w:rPr>
      </w:pPr>
    </w:p>
    <w:p w14:paraId="090AA643" w14:textId="77777777" w:rsidR="009F4DBD" w:rsidRDefault="009F4DBD" w:rsidP="009F4DBD">
      <w:pPr>
        <w:widowControl w:val="0"/>
        <w:tabs>
          <w:tab w:val="left" w:pos="567"/>
          <w:tab w:val="left" w:pos="1134"/>
          <w:tab w:val="left" w:pos="1843"/>
          <w:tab w:val="left" w:pos="2694"/>
        </w:tabs>
        <w:jc w:val="both"/>
        <w:rPr>
          <w:b/>
          <w:bCs/>
          <w:snapToGrid w:val="0"/>
          <w:sz w:val="18"/>
          <w:szCs w:val="18"/>
        </w:rPr>
      </w:pPr>
    </w:p>
    <w:p w14:paraId="7898FC74" w14:textId="77777777" w:rsidR="009F4DBD" w:rsidRDefault="009F4DBD" w:rsidP="009F4DBD">
      <w:pPr>
        <w:widowControl w:val="0"/>
        <w:tabs>
          <w:tab w:val="left" w:pos="567"/>
          <w:tab w:val="left" w:pos="1134"/>
          <w:tab w:val="left" w:pos="1843"/>
          <w:tab w:val="left" w:pos="2694"/>
        </w:tabs>
        <w:jc w:val="center"/>
        <w:rPr>
          <w:b/>
          <w:bCs/>
          <w:snapToGrid w:val="0"/>
          <w:sz w:val="18"/>
          <w:szCs w:val="18"/>
        </w:rPr>
      </w:pPr>
      <w:r>
        <w:rPr>
          <w:b/>
          <w:bCs/>
          <w:snapToGrid w:val="0"/>
          <w:sz w:val="18"/>
          <w:szCs w:val="18"/>
        </w:rPr>
        <w:t>_____________________________________</w:t>
      </w:r>
    </w:p>
    <w:p w14:paraId="2019DD1D" w14:textId="77777777" w:rsidR="009F4DBD" w:rsidRDefault="009F4DBD" w:rsidP="009F4DBD">
      <w:pPr>
        <w:widowControl w:val="0"/>
        <w:tabs>
          <w:tab w:val="left" w:pos="567"/>
          <w:tab w:val="left" w:pos="1134"/>
          <w:tab w:val="left" w:pos="1843"/>
          <w:tab w:val="left" w:pos="2694"/>
        </w:tabs>
        <w:jc w:val="center"/>
        <w:rPr>
          <w:bCs/>
          <w:snapToGrid w:val="0"/>
          <w:sz w:val="18"/>
          <w:szCs w:val="18"/>
        </w:rPr>
      </w:pPr>
      <w:r>
        <w:rPr>
          <w:bCs/>
          <w:snapToGrid w:val="0"/>
          <w:sz w:val="18"/>
          <w:szCs w:val="18"/>
        </w:rPr>
        <w:t>Dr. Santiago Daireaux</w:t>
      </w:r>
    </w:p>
    <w:p w14:paraId="1B445577" w14:textId="77777777" w:rsidR="009F4DBD" w:rsidRDefault="009F4DBD" w:rsidP="009F4DBD">
      <w:pPr>
        <w:jc w:val="center"/>
        <w:rPr>
          <w:i/>
          <w:sz w:val="18"/>
          <w:szCs w:val="18"/>
        </w:rPr>
      </w:pPr>
      <w:r>
        <w:rPr>
          <w:i/>
          <w:sz w:val="18"/>
          <w:szCs w:val="18"/>
        </w:rPr>
        <w:t>Síndico Titular de la Comisión Fiscalizadora</w:t>
      </w:r>
    </w:p>
    <w:p w14:paraId="278F64FD" w14:textId="77777777" w:rsidR="009F4DBD" w:rsidRDefault="009F4DBD" w:rsidP="009F4DBD">
      <w:pPr>
        <w:jc w:val="center"/>
      </w:pPr>
      <w:r>
        <w:rPr>
          <w:b/>
          <w:sz w:val="18"/>
          <w:szCs w:val="18"/>
        </w:rPr>
        <w:t>AGROFINA S.A.</w:t>
      </w:r>
    </w:p>
    <w:p w14:paraId="52C8088C" w14:textId="77777777" w:rsidR="00D82DBB" w:rsidRPr="0009402C" w:rsidRDefault="00D82DBB" w:rsidP="009F4DBD">
      <w:pPr>
        <w:jc w:val="both"/>
      </w:pPr>
    </w:p>
    <w:sectPr w:rsidR="00D82DBB" w:rsidRPr="0009402C" w:rsidSect="00487007">
      <w:pgSz w:w="12240" w:h="20160" w:code="5"/>
      <w:pgMar w:top="1418" w:right="900"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24245"/>
    <w:multiLevelType w:val="multilevel"/>
    <w:tmpl w:val="18BAF0CE"/>
    <w:lvl w:ilvl="0">
      <w:start w:val="1"/>
      <w:numFmt w:val="decimal"/>
      <w:lvlText w:val="%1."/>
      <w:lvlJc w:val="left"/>
      <w:pPr>
        <w:ind w:left="360" w:hanging="360"/>
      </w:pPr>
      <w:rPr>
        <w:rFonts w:cs="Times New Roman" w:hint="default"/>
        <w:b w:val="0"/>
      </w:rPr>
    </w:lvl>
    <w:lvl w:ilvl="1">
      <w:start w:val="1"/>
      <w:numFmt w:val="decimal"/>
      <w:lvlText w:val="%1.%2"/>
      <w:lvlJc w:val="left"/>
      <w:pPr>
        <w:ind w:left="785" w:hanging="360"/>
      </w:pPr>
      <w:rPr>
        <w:rFonts w:cs="Times New Roman" w:hint="default"/>
        <w:b w:val="0"/>
      </w:rPr>
    </w:lvl>
    <w:lvl w:ilvl="2">
      <w:start w:val="1"/>
      <w:numFmt w:val="decimal"/>
      <w:lvlText w:val="%1.%2.%3"/>
      <w:lvlJc w:val="left"/>
      <w:pPr>
        <w:ind w:left="1570" w:hanging="720"/>
      </w:pPr>
      <w:rPr>
        <w:rFonts w:cs="Times New Roman" w:hint="default"/>
        <w:b w:val="0"/>
      </w:rPr>
    </w:lvl>
    <w:lvl w:ilvl="3">
      <w:start w:val="1"/>
      <w:numFmt w:val="decimal"/>
      <w:lvlText w:val="%1.%2.%3.%4"/>
      <w:lvlJc w:val="left"/>
      <w:pPr>
        <w:ind w:left="1995" w:hanging="720"/>
      </w:pPr>
      <w:rPr>
        <w:rFonts w:cs="Times New Roman" w:hint="default"/>
        <w:b w:val="0"/>
      </w:rPr>
    </w:lvl>
    <w:lvl w:ilvl="4">
      <w:start w:val="1"/>
      <w:numFmt w:val="decimal"/>
      <w:lvlText w:val="%1.%2.%3.%4.%5"/>
      <w:lvlJc w:val="left"/>
      <w:pPr>
        <w:ind w:left="2780" w:hanging="1080"/>
      </w:pPr>
      <w:rPr>
        <w:rFonts w:cs="Times New Roman" w:hint="default"/>
        <w:b w:val="0"/>
      </w:rPr>
    </w:lvl>
    <w:lvl w:ilvl="5">
      <w:start w:val="1"/>
      <w:numFmt w:val="decimal"/>
      <w:lvlText w:val="%1.%2.%3.%4.%5.%6"/>
      <w:lvlJc w:val="left"/>
      <w:pPr>
        <w:ind w:left="3205" w:hanging="1080"/>
      </w:pPr>
      <w:rPr>
        <w:rFonts w:cs="Times New Roman" w:hint="default"/>
        <w:b w:val="0"/>
      </w:rPr>
    </w:lvl>
    <w:lvl w:ilvl="6">
      <w:start w:val="1"/>
      <w:numFmt w:val="decimal"/>
      <w:lvlText w:val="%1.%2.%3.%4.%5.%6.%7"/>
      <w:lvlJc w:val="left"/>
      <w:pPr>
        <w:ind w:left="3990" w:hanging="1440"/>
      </w:pPr>
      <w:rPr>
        <w:rFonts w:cs="Times New Roman" w:hint="default"/>
        <w:b w:val="0"/>
      </w:rPr>
    </w:lvl>
    <w:lvl w:ilvl="7">
      <w:start w:val="1"/>
      <w:numFmt w:val="decimal"/>
      <w:lvlText w:val="%1.%2.%3.%4.%5.%6.%7.%8"/>
      <w:lvlJc w:val="left"/>
      <w:pPr>
        <w:ind w:left="4415" w:hanging="1440"/>
      </w:pPr>
      <w:rPr>
        <w:rFonts w:cs="Times New Roman" w:hint="default"/>
        <w:b w:val="0"/>
      </w:rPr>
    </w:lvl>
    <w:lvl w:ilvl="8">
      <w:start w:val="1"/>
      <w:numFmt w:val="decimal"/>
      <w:lvlText w:val="%1.%2.%3.%4.%5.%6.%7.%8.%9"/>
      <w:lvlJc w:val="left"/>
      <w:pPr>
        <w:ind w:left="4840" w:hanging="1440"/>
      </w:pPr>
      <w:rPr>
        <w:rFonts w:cs="Times New Roman" w:hint="default"/>
        <w:b w:val="0"/>
      </w:rPr>
    </w:lvl>
  </w:abstractNum>
  <w:abstractNum w:abstractNumId="1" w15:restartNumberingAfterBreak="0">
    <w:nsid w:val="0CDD3202"/>
    <w:multiLevelType w:val="multilevel"/>
    <w:tmpl w:val="C45454DE"/>
    <w:lvl w:ilvl="0">
      <w:start w:val="1"/>
      <w:numFmt w:val="decimal"/>
      <w:lvlText w:val="%1."/>
      <w:lvlJc w:val="left"/>
      <w:pPr>
        <w:ind w:left="360" w:hanging="360"/>
      </w:pPr>
      <w:rPr>
        <w:rFonts w:cs="Times New Roman" w:hint="default"/>
        <w:b w:val="0"/>
      </w:rPr>
    </w:lvl>
    <w:lvl w:ilvl="1">
      <w:start w:val="1"/>
      <w:numFmt w:val="decimal"/>
      <w:lvlText w:val="%1.%2"/>
      <w:lvlJc w:val="left"/>
      <w:pPr>
        <w:ind w:left="785" w:hanging="360"/>
      </w:pPr>
      <w:rPr>
        <w:rFonts w:cs="Times New Roman" w:hint="default"/>
        <w:b w:val="0"/>
      </w:rPr>
    </w:lvl>
    <w:lvl w:ilvl="2">
      <w:start w:val="1"/>
      <w:numFmt w:val="decimal"/>
      <w:lvlText w:val="%1.%2.%3"/>
      <w:lvlJc w:val="left"/>
      <w:pPr>
        <w:ind w:left="1570" w:hanging="720"/>
      </w:pPr>
      <w:rPr>
        <w:rFonts w:cs="Times New Roman" w:hint="default"/>
        <w:b w:val="0"/>
      </w:rPr>
    </w:lvl>
    <w:lvl w:ilvl="3">
      <w:start w:val="1"/>
      <w:numFmt w:val="decimal"/>
      <w:lvlText w:val="%1.%2.%3.%4"/>
      <w:lvlJc w:val="left"/>
      <w:pPr>
        <w:ind w:left="1995" w:hanging="720"/>
      </w:pPr>
      <w:rPr>
        <w:rFonts w:cs="Times New Roman" w:hint="default"/>
        <w:b w:val="0"/>
      </w:rPr>
    </w:lvl>
    <w:lvl w:ilvl="4">
      <w:start w:val="1"/>
      <w:numFmt w:val="decimal"/>
      <w:lvlText w:val="%1.%2.%3.%4.%5"/>
      <w:lvlJc w:val="left"/>
      <w:pPr>
        <w:ind w:left="2780" w:hanging="1080"/>
      </w:pPr>
      <w:rPr>
        <w:rFonts w:cs="Times New Roman" w:hint="default"/>
        <w:b w:val="0"/>
      </w:rPr>
    </w:lvl>
    <w:lvl w:ilvl="5">
      <w:start w:val="1"/>
      <w:numFmt w:val="decimal"/>
      <w:lvlText w:val="%1.%2.%3.%4.%5.%6"/>
      <w:lvlJc w:val="left"/>
      <w:pPr>
        <w:ind w:left="3205" w:hanging="1080"/>
      </w:pPr>
      <w:rPr>
        <w:rFonts w:cs="Times New Roman" w:hint="default"/>
        <w:b w:val="0"/>
      </w:rPr>
    </w:lvl>
    <w:lvl w:ilvl="6">
      <w:start w:val="1"/>
      <w:numFmt w:val="decimal"/>
      <w:lvlText w:val="%1.%2.%3.%4.%5.%6.%7"/>
      <w:lvlJc w:val="left"/>
      <w:pPr>
        <w:ind w:left="3990" w:hanging="1440"/>
      </w:pPr>
      <w:rPr>
        <w:rFonts w:cs="Times New Roman" w:hint="default"/>
        <w:b w:val="0"/>
      </w:rPr>
    </w:lvl>
    <w:lvl w:ilvl="7">
      <w:start w:val="1"/>
      <w:numFmt w:val="decimal"/>
      <w:lvlText w:val="%1.%2.%3.%4.%5.%6.%7.%8"/>
      <w:lvlJc w:val="left"/>
      <w:pPr>
        <w:ind w:left="4415" w:hanging="1440"/>
      </w:pPr>
      <w:rPr>
        <w:rFonts w:cs="Times New Roman" w:hint="default"/>
        <w:b w:val="0"/>
      </w:rPr>
    </w:lvl>
    <w:lvl w:ilvl="8">
      <w:start w:val="1"/>
      <w:numFmt w:val="decimal"/>
      <w:lvlText w:val="%1.%2.%3.%4.%5.%6.%7.%8.%9"/>
      <w:lvlJc w:val="left"/>
      <w:pPr>
        <w:ind w:left="4840" w:hanging="1440"/>
      </w:pPr>
      <w:rPr>
        <w:rFonts w:cs="Times New Roman" w:hint="default"/>
        <w:b w:val="0"/>
      </w:rPr>
    </w:lvl>
  </w:abstractNum>
  <w:abstractNum w:abstractNumId="2" w15:restartNumberingAfterBreak="0">
    <w:nsid w:val="27663EAB"/>
    <w:multiLevelType w:val="singleLevel"/>
    <w:tmpl w:val="BEF69872"/>
    <w:lvl w:ilvl="0">
      <w:start w:val="1"/>
      <w:numFmt w:val="decimal"/>
      <w:lvlText w:val="%1"/>
      <w:lvlJc w:val="left"/>
      <w:pPr>
        <w:tabs>
          <w:tab w:val="num" w:pos="705"/>
        </w:tabs>
        <w:ind w:left="705" w:hanging="705"/>
      </w:pPr>
      <w:rPr>
        <w:rFonts w:cs="Times New Roman" w:hint="default"/>
      </w:rPr>
    </w:lvl>
  </w:abstractNum>
  <w:abstractNum w:abstractNumId="3" w15:restartNumberingAfterBreak="0">
    <w:nsid w:val="29282F22"/>
    <w:multiLevelType w:val="hybridMultilevel"/>
    <w:tmpl w:val="428A307E"/>
    <w:lvl w:ilvl="0" w:tplc="17B260AC">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4" w15:restartNumberingAfterBreak="0">
    <w:nsid w:val="31AA7CE5"/>
    <w:multiLevelType w:val="multilevel"/>
    <w:tmpl w:val="18BAF0CE"/>
    <w:lvl w:ilvl="0">
      <w:start w:val="1"/>
      <w:numFmt w:val="decimal"/>
      <w:lvlText w:val="%1."/>
      <w:lvlJc w:val="left"/>
      <w:pPr>
        <w:ind w:left="360" w:hanging="360"/>
      </w:pPr>
      <w:rPr>
        <w:rFonts w:cs="Times New Roman" w:hint="default"/>
        <w:b w:val="0"/>
      </w:rPr>
    </w:lvl>
    <w:lvl w:ilvl="1">
      <w:start w:val="1"/>
      <w:numFmt w:val="decimal"/>
      <w:lvlText w:val="%1.%2"/>
      <w:lvlJc w:val="left"/>
      <w:pPr>
        <w:ind w:left="785" w:hanging="360"/>
      </w:pPr>
      <w:rPr>
        <w:rFonts w:cs="Times New Roman" w:hint="default"/>
        <w:b w:val="0"/>
      </w:rPr>
    </w:lvl>
    <w:lvl w:ilvl="2">
      <w:start w:val="1"/>
      <w:numFmt w:val="decimal"/>
      <w:lvlText w:val="%1.%2.%3"/>
      <w:lvlJc w:val="left"/>
      <w:pPr>
        <w:ind w:left="1570" w:hanging="720"/>
      </w:pPr>
      <w:rPr>
        <w:rFonts w:cs="Times New Roman" w:hint="default"/>
        <w:b w:val="0"/>
      </w:rPr>
    </w:lvl>
    <w:lvl w:ilvl="3">
      <w:start w:val="1"/>
      <w:numFmt w:val="decimal"/>
      <w:lvlText w:val="%1.%2.%3.%4"/>
      <w:lvlJc w:val="left"/>
      <w:pPr>
        <w:ind w:left="1995" w:hanging="720"/>
      </w:pPr>
      <w:rPr>
        <w:rFonts w:cs="Times New Roman" w:hint="default"/>
        <w:b w:val="0"/>
      </w:rPr>
    </w:lvl>
    <w:lvl w:ilvl="4">
      <w:start w:val="1"/>
      <w:numFmt w:val="decimal"/>
      <w:lvlText w:val="%1.%2.%3.%4.%5"/>
      <w:lvlJc w:val="left"/>
      <w:pPr>
        <w:ind w:left="2780" w:hanging="1080"/>
      </w:pPr>
      <w:rPr>
        <w:rFonts w:cs="Times New Roman" w:hint="default"/>
        <w:b w:val="0"/>
      </w:rPr>
    </w:lvl>
    <w:lvl w:ilvl="5">
      <w:start w:val="1"/>
      <w:numFmt w:val="decimal"/>
      <w:lvlText w:val="%1.%2.%3.%4.%5.%6"/>
      <w:lvlJc w:val="left"/>
      <w:pPr>
        <w:ind w:left="3205" w:hanging="1080"/>
      </w:pPr>
      <w:rPr>
        <w:rFonts w:cs="Times New Roman" w:hint="default"/>
        <w:b w:val="0"/>
      </w:rPr>
    </w:lvl>
    <w:lvl w:ilvl="6">
      <w:start w:val="1"/>
      <w:numFmt w:val="decimal"/>
      <w:lvlText w:val="%1.%2.%3.%4.%5.%6.%7"/>
      <w:lvlJc w:val="left"/>
      <w:pPr>
        <w:ind w:left="3990" w:hanging="1440"/>
      </w:pPr>
      <w:rPr>
        <w:rFonts w:cs="Times New Roman" w:hint="default"/>
        <w:b w:val="0"/>
      </w:rPr>
    </w:lvl>
    <w:lvl w:ilvl="7">
      <w:start w:val="1"/>
      <w:numFmt w:val="decimal"/>
      <w:lvlText w:val="%1.%2.%3.%4.%5.%6.%7.%8"/>
      <w:lvlJc w:val="left"/>
      <w:pPr>
        <w:ind w:left="4415" w:hanging="1440"/>
      </w:pPr>
      <w:rPr>
        <w:rFonts w:cs="Times New Roman" w:hint="default"/>
        <w:b w:val="0"/>
      </w:rPr>
    </w:lvl>
    <w:lvl w:ilvl="8">
      <w:start w:val="1"/>
      <w:numFmt w:val="decimal"/>
      <w:lvlText w:val="%1.%2.%3.%4.%5.%6.%7.%8.%9"/>
      <w:lvlJc w:val="left"/>
      <w:pPr>
        <w:ind w:left="4840" w:hanging="1440"/>
      </w:pPr>
      <w:rPr>
        <w:rFonts w:cs="Times New Roman" w:hint="default"/>
        <w:b w:val="0"/>
      </w:rPr>
    </w:lvl>
  </w:abstractNum>
  <w:abstractNum w:abstractNumId="5" w15:restartNumberingAfterBreak="0">
    <w:nsid w:val="37102A5B"/>
    <w:multiLevelType w:val="hybridMultilevel"/>
    <w:tmpl w:val="B59A86D2"/>
    <w:lvl w:ilvl="0" w:tplc="B6CAD46C">
      <w:start w:val="1"/>
      <w:numFmt w:val="lowerLetter"/>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6" w15:restartNumberingAfterBreak="0">
    <w:nsid w:val="38A978A1"/>
    <w:multiLevelType w:val="multilevel"/>
    <w:tmpl w:val="BA48F7A0"/>
    <w:lvl w:ilvl="0">
      <w:start w:val="1"/>
      <w:numFmt w:val="decimal"/>
      <w:lvlText w:val="%1"/>
      <w:lvlJc w:val="left"/>
      <w:pPr>
        <w:ind w:left="786"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569" w:hanging="720"/>
      </w:pPr>
      <w:rPr>
        <w:rFonts w:cs="Times New Roman" w:hint="default"/>
      </w:rPr>
    </w:lvl>
    <w:lvl w:ilvl="4">
      <w:start w:val="1"/>
      <w:numFmt w:val="decimal"/>
      <w:isLgl/>
      <w:lvlText w:val="%1.%2.%3.%4.%5."/>
      <w:lvlJc w:val="left"/>
      <w:pPr>
        <w:ind w:left="2070" w:hanging="1080"/>
      </w:pPr>
      <w:rPr>
        <w:rFonts w:cs="Times New Roman" w:hint="default"/>
      </w:rPr>
    </w:lvl>
    <w:lvl w:ilvl="5">
      <w:start w:val="1"/>
      <w:numFmt w:val="decimal"/>
      <w:isLgl/>
      <w:lvlText w:val="%1.%2.%3.%4.%5.%6."/>
      <w:lvlJc w:val="left"/>
      <w:pPr>
        <w:ind w:left="2211" w:hanging="1080"/>
      </w:pPr>
      <w:rPr>
        <w:rFonts w:cs="Times New Roman" w:hint="default"/>
      </w:rPr>
    </w:lvl>
    <w:lvl w:ilvl="6">
      <w:start w:val="1"/>
      <w:numFmt w:val="decimal"/>
      <w:isLgl/>
      <w:lvlText w:val="%1.%2.%3.%4.%5.%6.%7."/>
      <w:lvlJc w:val="left"/>
      <w:pPr>
        <w:ind w:left="2712" w:hanging="1440"/>
      </w:pPr>
      <w:rPr>
        <w:rFonts w:cs="Times New Roman" w:hint="default"/>
      </w:rPr>
    </w:lvl>
    <w:lvl w:ilvl="7">
      <w:start w:val="1"/>
      <w:numFmt w:val="decimal"/>
      <w:isLgl/>
      <w:lvlText w:val="%1.%2.%3.%4.%5.%6.%7.%8."/>
      <w:lvlJc w:val="left"/>
      <w:pPr>
        <w:ind w:left="2853" w:hanging="1440"/>
      </w:pPr>
      <w:rPr>
        <w:rFonts w:cs="Times New Roman" w:hint="default"/>
      </w:rPr>
    </w:lvl>
    <w:lvl w:ilvl="8">
      <w:start w:val="1"/>
      <w:numFmt w:val="decimal"/>
      <w:isLgl/>
      <w:lvlText w:val="%1.%2.%3.%4.%5.%6.%7.%8.%9."/>
      <w:lvlJc w:val="left"/>
      <w:pPr>
        <w:ind w:left="3354" w:hanging="1800"/>
      </w:pPr>
      <w:rPr>
        <w:rFonts w:cs="Times New Roman" w:hint="default"/>
      </w:rPr>
    </w:lvl>
  </w:abstractNum>
  <w:abstractNum w:abstractNumId="7" w15:restartNumberingAfterBreak="0">
    <w:nsid w:val="43194541"/>
    <w:multiLevelType w:val="multilevel"/>
    <w:tmpl w:val="E16EFC4C"/>
    <w:lvl w:ilvl="0">
      <w:start w:val="1"/>
      <w:numFmt w:val="decimal"/>
      <w:lvlText w:val="%1."/>
      <w:lvlJc w:val="left"/>
      <w:pPr>
        <w:ind w:left="360" w:hanging="360"/>
      </w:pPr>
      <w:rPr>
        <w:rFonts w:cs="Times New Roman" w:hint="default"/>
        <w:b w:val="0"/>
      </w:rPr>
    </w:lvl>
    <w:lvl w:ilvl="1">
      <w:start w:val="1"/>
      <w:numFmt w:val="decimal"/>
      <w:lvlText w:val="%1.%2"/>
      <w:lvlJc w:val="left"/>
      <w:pPr>
        <w:ind w:left="785" w:hanging="360"/>
      </w:pPr>
      <w:rPr>
        <w:rFonts w:cs="Times New Roman" w:hint="default"/>
        <w:b w:val="0"/>
      </w:rPr>
    </w:lvl>
    <w:lvl w:ilvl="2">
      <w:start w:val="1"/>
      <w:numFmt w:val="decimal"/>
      <w:lvlText w:val="%1.%2.%3"/>
      <w:lvlJc w:val="left"/>
      <w:pPr>
        <w:ind w:left="1570" w:hanging="720"/>
      </w:pPr>
      <w:rPr>
        <w:rFonts w:cs="Times New Roman" w:hint="default"/>
        <w:b w:val="0"/>
      </w:rPr>
    </w:lvl>
    <w:lvl w:ilvl="3">
      <w:start w:val="1"/>
      <w:numFmt w:val="decimal"/>
      <w:lvlText w:val="%1.%2.%3.%4"/>
      <w:lvlJc w:val="left"/>
      <w:pPr>
        <w:ind w:left="1995" w:hanging="720"/>
      </w:pPr>
      <w:rPr>
        <w:rFonts w:cs="Times New Roman" w:hint="default"/>
        <w:b w:val="0"/>
      </w:rPr>
    </w:lvl>
    <w:lvl w:ilvl="4">
      <w:start w:val="1"/>
      <w:numFmt w:val="decimal"/>
      <w:lvlText w:val="%1.%2.%3.%4.%5"/>
      <w:lvlJc w:val="left"/>
      <w:pPr>
        <w:ind w:left="2780" w:hanging="1080"/>
      </w:pPr>
      <w:rPr>
        <w:rFonts w:cs="Times New Roman" w:hint="default"/>
        <w:b w:val="0"/>
      </w:rPr>
    </w:lvl>
    <w:lvl w:ilvl="5">
      <w:start w:val="1"/>
      <w:numFmt w:val="decimal"/>
      <w:lvlText w:val="%1.%2.%3.%4.%5.%6"/>
      <w:lvlJc w:val="left"/>
      <w:pPr>
        <w:ind w:left="3205" w:hanging="1080"/>
      </w:pPr>
      <w:rPr>
        <w:rFonts w:cs="Times New Roman" w:hint="default"/>
        <w:b w:val="0"/>
      </w:rPr>
    </w:lvl>
    <w:lvl w:ilvl="6">
      <w:start w:val="1"/>
      <w:numFmt w:val="decimal"/>
      <w:lvlText w:val="%1.%2.%3.%4.%5.%6.%7"/>
      <w:lvlJc w:val="left"/>
      <w:pPr>
        <w:ind w:left="3990" w:hanging="1440"/>
      </w:pPr>
      <w:rPr>
        <w:rFonts w:cs="Times New Roman" w:hint="default"/>
        <w:b w:val="0"/>
      </w:rPr>
    </w:lvl>
    <w:lvl w:ilvl="7">
      <w:start w:val="1"/>
      <w:numFmt w:val="decimal"/>
      <w:lvlText w:val="%1.%2.%3.%4.%5.%6.%7.%8"/>
      <w:lvlJc w:val="left"/>
      <w:pPr>
        <w:ind w:left="4415" w:hanging="1440"/>
      </w:pPr>
      <w:rPr>
        <w:rFonts w:cs="Times New Roman" w:hint="default"/>
        <w:b w:val="0"/>
      </w:rPr>
    </w:lvl>
    <w:lvl w:ilvl="8">
      <w:start w:val="1"/>
      <w:numFmt w:val="decimal"/>
      <w:lvlText w:val="%1.%2.%3.%4.%5.%6.%7.%8.%9"/>
      <w:lvlJc w:val="left"/>
      <w:pPr>
        <w:ind w:left="4840" w:hanging="1440"/>
      </w:pPr>
      <w:rPr>
        <w:rFonts w:cs="Times New Roman" w:hint="default"/>
        <w:b w:val="0"/>
      </w:rPr>
    </w:lvl>
  </w:abstractNum>
  <w:abstractNum w:abstractNumId="8" w15:restartNumberingAfterBreak="0">
    <w:nsid w:val="4B4141A3"/>
    <w:multiLevelType w:val="multilevel"/>
    <w:tmpl w:val="7B32AC7C"/>
    <w:lvl w:ilvl="0">
      <w:start w:val="1"/>
      <w:numFmt w:val="decimal"/>
      <w:lvlText w:val="%1."/>
      <w:lvlJc w:val="left"/>
      <w:pPr>
        <w:ind w:left="360" w:hanging="360"/>
      </w:pPr>
      <w:rPr>
        <w:rFonts w:cs="Times New Roman" w:hint="default"/>
        <w:b w:val="0"/>
      </w:rPr>
    </w:lvl>
    <w:lvl w:ilvl="1">
      <w:start w:val="1"/>
      <w:numFmt w:val="decimal"/>
      <w:lvlText w:val="%1.%2"/>
      <w:lvlJc w:val="left"/>
      <w:pPr>
        <w:ind w:left="785" w:hanging="360"/>
      </w:pPr>
      <w:rPr>
        <w:rFonts w:cs="Times New Roman" w:hint="default"/>
        <w:b w:val="0"/>
      </w:rPr>
    </w:lvl>
    <w:lvl w:ilvl="2">
      <w:start w:val="1"/>
      <w:numFmt w:val="decimal"/>
      <w:lvlText w:val="%1.%2.%3"/>
      <w:lvlJc w:val="left"/>
      <w:pPr>
        <w:ind w:left="1570" w:hanging="720"/>
      </w:pPr>
      <w:rPr>
        <w:rFonts w:cs="Times New Roman" w:hint="default"/>
        <w:b w:val="0"/>
      </w:rPr>
    </w:lvl>
    <w:lvl w:ilvl="3">
      <w:start w:val="1"/>
      <w:numFmt w:val="decimal"/>
      <w:lvlText w:val="%1.%2.%3.%4"/>
      <w:lvlJc w:val="left"/>
      <w:pPr>
        <w:ind w:left="1995" w:hanging="720"/>
      </w:pPr>
      <w:rPr>
        <w:rFonts w:cs="Times New Roman" w:hint="default"/>
        <w:b w:val="0"/>
      </w:rPr>
    </w:lvl>
    <w:lvl w:ilvl="4">
      <w:start w:val="1"/>
      <w:numFmt w:val="decimal"/>
      <w:lvlText w:val="%1.%2.%3.%4.%5"/>
      <w:lvlJc w:val="left"/>
      <w:pPr>
        <w:ind w:left="2780" w:hanging="1080"/>
      </w:pPr>
      <w:rPr>
        <w:rFonts w:cs="Times New Roman" w:hint="default"/>
        <w:b w:val="0"/>
      </w:rPr>
    </w:lvl>
    <w:lvl w:ilvl="5">
      <w:start w:val="1"/>
      <w:numFmt w:val="decimal"/>
      <w:lvlText w:val="%1.%2.%3.%4.%5.%6"/>
      <w:lvlJc w:val="left"/>
      <w:pPr>
        <w:ind w:left="3205" w:hanging="1080"/>
      </w:pPr>
      <w:rPr>
        <w:rFonts w:cs="Times New Roman" w:hint="default"/>
        <w:b w:val="0"/>
      </w:rPr>
    </w:lvl>
    <w:lvl w:ilvl="6">
      <w:start w:val="1"/>
      <w:numFmt w:val="decimal"/>
      <w:lvlText w:val="%1.%2.%3.%4.%5.%6.%7"/>
      <w:lvlJc w:val="left"/>
      <w:pPr>
        <w:ind w:left="3990" w:hanging="1440"/>
      </w:pPr>
      <w:rPr>
        <w:rFonts w:cs="Times New Roman" w:hint="default"/>
        <w:b w:val="0"/>
      </w:rPr>
    </w:lvl>
    <w:lvl w:ilvl="7">
      <w:start w:val="1"/>
      <w:numFmt w:val="decimal"/>
      <w:lvlText w:val="%1.%2.%3.%4.%5.%6.%7.%8"/>
      <w:lvlJc w:val="left"/>
      <w:pPr>
        <w:ind w:left="4415" w:hanging="1440"/>
      </w:pPr>
      <w:rPr>
        <w:rFonts w:cs="Times New Roman" w:hint="default"/>
        <w:b w:val="0"/>
      </w:rPr>
    </w:lvl>
    <w:lvl w:ilvl="8">
      <w:start w:val="1"/>
      <w:numFmt w:val="decimal"/>
      <w:lvlText w:val="%1.%2.%3.%4.%5.%6.%7.%8.%9"/>
      <w:lvlJc w:val="left"/>
      <w:pPr>
        <w:ind w:left="4840" w:hanging="1440"/>
      </w:pPr>
      <w:rPr>
        <w:rFonts w:cs="Times New Roman" w:hint="default"/>
        <w:b w:val="0"/>
      </w:rPr>
    </w:lvl>
  </w:abstractNum>
  <w:abstractNum w:abstractNumId="9" w15:restartNumberingAfterBreak="0">
    <w:nsid w:val="4C366D0C"/>
    <w:multiLevelType w:val="multilevel"/>
    <w:tmpl w:val="18BAF0CE"/>
    <w:lvl w:ilvl="0">
      <w:start w:val="1"/>
      <w:numFmt w:val="decimal"/>
      <w:lvlText w:val="%1."/>
      <w:lvlJc w:val="left"/>
      <w:pPr>
        <w:ind w:left="360" w:hanging="360"/>
      </w:pPr>
      <w:rPr>
        <w:rFonts w:cs="Times New Roman" w:hint="default"/>
        <w:b w:val="0"/>
      </w:rPr>
    </w:lvl>
    <w:lvl w:ilvl="1">
      <w:start w:val="1"/>
      <w:numFmt w:val="decimal"/>
      <w:lvlText w:val="%1.%2"/>
      <w:lvlJc w:val="left"/>
      <w:pPr>
        <w:ind w:left="785" w:hanging="360"/>
      </w:pPr>
      <w:rPr>
        <w:rFonts w:cs="Times New Roman" w:hint="default"/>
        <w:b w:val="0"/>
      </w:rPr>
    </w:lvl>
    <w:lvl w:ilvl="2">
      <w:start w:val="1"/>
      <w:numFmt w:val="decimal"/>
      <w:lvlText w:val="%1.%2.%3"/>
      <w:lvlJc w:val="left"/>
      <w:pPr>
        <w:ind w:left="1570" w:hanging="720"/>
      </w:pPr>
      <w:rPr>
        <w:rFonts w:cs="Times New Roman" w:hint="default"/>
        <w:b w:val="0"/>
      </w:rPr>
    </w:lvl>
    <w:lvl w:ilvl="3">
      <w:start w:val="1"/>
      <w:numFmt w:val="decimal"/>
      <w:lvlText w:val="%1.%2.%3.%4"/>
      <w:lvlJc w:val="left"/>
      <w:pPr>
        <w:ind w:left="1995" w:hanging="720"/>
      </w:pPr>
      <w:rPr>
        <w:rFonts w:cs="Times New Roman" w:hint="default"/>
        <w:b w:val="0"/>
      </w:rPr>
    </w:lvl>
    <w:lvl w:ilvl="4">
      <w:start w:val="1"/>
      <w:numFmt w:val="decimal"/>
      <w:lvlText w:val="%1.%2.%3.%4.%5"/>
      <w:lvlJc w:val="left"/>
      <w:pPr>
        <w:ind w:left="2780" w:hanging="1080"/>
      </w:pPr>
      <w:rPr>
        <w:rFonts w:cs="Times New Roman" w:hint="default"/>
        <w:b w:val="0"/>
      </w:rPr>
    </w:lvl>
    <w:lvl w:ilvl="5">
      <w:start w:val="1"/>
      <w:numFmt w:val="decimal"/>
      <w:lvlText w:val="%1.%2.%3.%4.%5.%6"/>
      <w:lvlJc w:val="left"/>
      <w:pPr>
        <w:ind w:left="3205" w:hanging="1080"/>
      </w:pPr>
      <w:rPr>
        <w:rFonts w:cs="Times New Roman" w:hint="default"/>
        <w:b w:val="0"/>
      </w:rPr>
    </w:lvl>
    <w:lvl w:ilvl="6">
      <w:start w:val="1"/>
      <w:numFmt w:val="decimal"/>
      <w:lvlText w:val="%1.%2.%3.%4.%5.%6.%7"/>
      <w:lvlJc w:val="left"/>
      <w:pPr>
        <w:ind w:left="3990" w:hanging="1440"/>
      </w:pPr>
      <w:rPr>
        <w:rFonts w:cs="Times New Roman" w:hint="default"/>
        <w:b w:val="0"/>
      </w:rPr>
    </w:lvl>
    <w:lvl w:ilvl="7">
      <w:start w:val="1"/>
      <w:numFmt w:val="decimal"/>
      <w:lvlText w:val="%1.%2.%3.%4.%5.%6.%7.%8"/>
      <w:lvlJc w:val="left"/>
      <w:pPr>
        <w:ind w:left="4415" w:hanging="1440"/>
      </w:pPr>
      <w:rPr>
        <w:rFonts w:cs="Times New Roman" w:hint="default"/>
        <w:b w:val="0"/>
      </w:rPr>
    </w:lvl>
    <w:lvl w:ilvl="8">
      <w:start w:val="1"/>
      <w:numFmt w:val="decimal"/>
      <w:lvlText w:val="%1.%2.%3.%4.%5.%6.%7.%8.%9"/>
      <w:lvlJc w:val="left"/>
      <w:pPr>
        <w:ind w:left="4840" w:hanging="1440"/>
      </w:pPr>
      <w:rPr>
        <w:rFonts w:cs="Times New Roman" w:hint="default"/>
        <w:b w:val="0"/>
      </w:rPr>
    </w:lvl>
  </w:abstractNum>
  <w:abstractNum w:abstractNumId="10" w15:restartNumberingAfterBreak="0">
    <w:nsid w:val="4E9D13CC"/>
    <w:multiLevelType w:val="multilevel"/>
    <w:tmpl w:val="BA48F7A0"/>
    <w:lvl w:ilvl="0">
      <w:start w:val="1"/>
      <w:numFmt w:val="decimal"/>
      <w:lvlText w:val="%1"/>
      <w:lvlJc w:val="left"/>
      <w:pPr>
        <w:ind w:left="786"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569" w:hanging="720"/>
      </w:pPr>
      <w:rPr>
        <w:rFonts w:cs="Times New Roman" w:hint="default"/>
      </w:rPr>
    </w:lvl>
    <w:lvl w:ilvl="4">
      <w:start w:val="1"/>
      <w:numFmt w:val="decimal"/>
      <w:isLgl/>
      <w:lvlText w:val="%1.%2.%3.%4.%5."/>
      <w:lvlJc w:val="left"/>
      <w:pPr>
        <w:ind w:left="2070" w:hanging="1080"/>
      </w:pPr>
      <w:rPr>
        <w:rFonts w:cs="Times New Roman" w:hint="default"/>
      </w:rPr>
    </w:lvl>
    <w:lvl w:ilvl="5">
      <w:start w:val="1"/>
      <w:numFmt w:val="decimal"/>
      <w:isLgl/>
      <w:lvlText w:val="%1.%2.%3.%4.%5.%6."/>
      <w:lvlJc w:val="left"/>
      <w:pPr>
        <w:ind w:left="2211" w:hanging="1080"/>
      </w:pPr>
      <w:rPr>
        <w:rFonts w:cs="Times New Roman" w:hint="default"/>
      </w:rPr>
    </w:lvl>
    <w:lvl w:ilvl="6">
      <w:start w:val="1"/>
      <w:numFmt w:val="decimal"/>
      <w:isLgl/>
      <w:lvlText w:val="%1.%2.%3.%4.%5.%6.%7."/>
      <w:lvlJc w:val="left"/>
      <w:pPr>
        <w:ind w:left="2712" w:hanging="1440"/>
      </w:pPr>
      <w:rPr>
        <w:rFonts w:cs="Times New Roman" w:hint="default"/>
      </w:rPr>
    </w:lvl>
    <w:lvl w:ilvl="7">
      <w:start w:val="1"/>
      <w:numFmt w:val="decimal"/>
      <w:isLgl/>
      <w:lvlText w:val="%1.%2.%3.%4.%5.%6.%7.%8."/>
      <w:lvlJc w:val="left"/>
      <w:pPr>
        <w:ind w:left="2853" w:hanging="1440"/>
      </w:pPr>
      <w:rPr>
        <w:rFonts w:cs="Times New Roman" w:hint="default"/>
      </w:rPr>
    </w:lvl>
    <w:lvl w:ilvl="8">
      <w:start w:val="1"/>
      <w:numFmt w:val="decimal"/>
      <w:isLgl/>
      <w:lvlText w:val="%1.%2.%3.%4.%5.%6.%7.%8.%9."/>
      <w:lvlJc w:val="left"/>
      <w:pPr>
        <w:ind w:left="3354" w:hanging="1800"/>
      </w:pPr>
      <w:rPr>
        <w:rFonts w:cs="Times New Roman" w:hint="default"/>
      </w:rPr>
    </w:lvl>
  </w:abstractNum>
  <w:abstractNum w:abstractNumId="11" w15:restartNumberingAfterBreak="0">
    <w:nsid w:val="53104968"/>
    <w:multiLevelType w:val="multilevel"/>
    <w:tmpl w:val="BA48F7A0"/>
    <w:lvl w:ilvl="0">
      <w:start w:val="1"/>
      <w:numFmt w:val="decimal"/>
      <w:lvlText w:val="%1"/>
      <w:lvlJc w:val="left"/>
      <w:pPr>
        <w:ind w:left="786"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569" w:hanging="720"/>
      </w:pPr>
      <w:rPr>
        <w:rFonts w:cs="Times New Roman" w:hint="default"/>
      </w:rPr>
    </w:lvl>
    <w:lvl w:ilvl="4">
      <w:start w:val="1"/>
      <w:numFmt w:val="decimal"/>
      <w:isLgl/>
      <w:lvlText w:val="%1.%2.%3.%4.%5."/>
      <w:lvlJc w:val="left"/>
      <w:pPr>
        <w:ind w:left="2070" w:hanging="1080"/>
      </w:pPr>
      <w:rPr>
        <w:rFonts w:cs="Times New Roman" w:hint="default"/>
      </w:rPr>
    </w:lvl>
    <w:lvl w:ilvl="5">
      <w:start w:val="1"/>
      <w:numFmt w:val="decimal"/>
      <w:isLgl/>
      <w:lvlText w:val="%1.%2.%3.%4.%5.%6."/>
      <w:lvlJc w:val="left"/>
      <w:pPr>
        <w:ind w:left="2211" w:hanging="1080"/>
      </w:pPr>
      <w:rPr>
        <w:rFonts w:cs="Times New Roman" w:hint="default"/>
      </w:rPr>
    </w:lvl>
    <w:lvl w:ilvl="6">
      <w:start w:val="1"/>
      <w:numFmt w:val="decimal"/>
      <w:isLgl/>
      <w:lvlText w:val="%1.%2.%3.%4.%5.%6.%7."/>
      <w:lvlJc w:val="left"/>
      <w:pPr>
        <w:ind w:left="2712" w:hanging="1440"/>
      </w:pPr>
      <w:rPr>
        <w:rFonts w:cs="Times New Roman" w:hint="default"/>
      </w:rPr>
    </w:lvl>
    <w:lvl w:ilvl="7">
      <w:start w:val="1"/>
      <w:numFmt w:val="decimal"/>
      <w:isLgl/>
      <w:lvlText w:val="%1.%2.%3.%4.%5.%6.%7.%8."/>
      <w:lvlJc w:val="left"/>
      <w:pPr>
        <w:ind w:left="2853" w:hanging="1440"/>
      </w:pPr>
      <w:rPr>
        <w:rFonts w:cs="Times New Roman" w:hint="default"/>
      </w:rPr>
    </w:lvl>
    <w:lvl w:ilvl="8">
      <w:start w:val="1"/>
      <w:numFmt w:val="decimal"/>
      <w:isLgl/>
      <w:lvlText w:val="%1.%2.%3.%4.%5.%6.%7.%8.%9."/>
      <w:lvlJc w:val="left"/>
      <w:pPr>
        <w:ind w:left="3354" w:hanging="1800"/>
      </w:pPr>
      <w:rPr>
        <w:rFonts w:cs="Times New Roman" w:hint="default"/>
      </w:rPr>
    </w:lvl>
  </w:abstractNum>
  <w:abstractNum w:abstractNumId="12" w15:restartNumberingAfterBreak="0">
    <w:nsid w:val="549D5968"/>
    <w:multiLevelType w:val="multilevel"/>
    <w:tmpl w:val="615C5C3A"/>
    <w:lvl w:ilvl="0">
      <w:start w:val="1"/>
      <w:numFmt w:val="decimal"/>
      <w:lvlText w:val="%1."/>
      <w:lvlJc w:val="left"/>
      <w:pPr>
        <w:ind w:left="360" w:hanging="360"/>
      </w:pPr>
      <w:rPr>
        <w:rFonts w:cs="Times New Roman" w:hint="default"/>
        <w:b w:val="0"/>
      </w:rPr>
    </w:lvl>
    <w:lvl w:ilvl="1">
      <w:start w:val="1"/>
      <w:numFmt w:val="decimal"/>
      <w:lvlText w:val="%1.%2"/>
      <w:lvlJc w:val="left"/>
      <w:pPr>
        <w:ind w:left="785" w:hanging="360"/>
      </w:pPr>
      <w:rPr>
        <w:rFonts w:cs="Times New Roman" w:hint="default"/>
        <w:b w:val="0"/>
      </w:rPr>
    </w:lvl>
    <w:lvl w:ilvl="2">
      <w:start w:val="1"/>
      <w:numFmt w:val="decimal"/>
      <w:lvlText w:val="%1.%2.%3"/>
      <w:lvlJc w:val="left"/>
      <w:pPr>
        <w:ind w:left="1570" w:hanging="720"/>
      </w:pPr>
      <w:rPr>
        <w:rFonts w:cs="Times New Roman" w:hint="default"/>
        <w:b w:val="0"/>
      </w:rPr>
    </w:lvl>
    <w:lvl w:ilvl="3">
      <w:start w:val="1"/>
      <w:numFmt w:val="decimal"/>
      <w:lvlText w:val="%1.%2.%3.%4"/>
      <w:lvlJc w:val="left"/>
      <w:pPr>
        <w:ind w:left="1995" w:hanging="720"/>
      </w:pPr>
      <w:rPr>
        <w:rFonts w:cs="Times New Roman" w:hint="default"/>
        <w:b w:val="0"/>
      </w:rPr>
    </w:lvl>
    <w:lvl w:ilvl="4">
      <w:start w:val="1"/>
      <w:numFmt w:val="decimal"/>
      <w:lvlText w:val="%1.%2.%3.%4.%5"/>
      <w:lvlJc w:val="left"/>
      <w:pPr>
        <w:ind w:left="2780" w:hanging="1080"/>
      </w:pPr>
      <w:rPr>
        <w:rFonts w:cs="Times New Roman" w:hint="default"/>
        <w:b w:val="0"/>
      </w:rPr>
    </w:lvl>
    <w:lvl w:ilvl="5">
      <w:start w:val="1"/>
      <w:numFmt w:val="decimal"/>
      <w:lvlText w:val="%1.%2.%3.%4.%5.%6"/>
      <w:lvlJc w:val="left"/>
      <w:pPr>
        <w:ind w:left="3205" w:hanging="1080"/>
      </w:pPr>
      <w:rPr>
        <w:rFonts w:cs="Times New Roman" w:hint="default"/>
        <w:b w:val="0"/>
      </w:rPr>
    </w:lvl>
    <w:lvl w:ilvl="6">
      <w:start w:val="1"/>
      <w:numFmt w:val="decimal"/>
      <w:lvlText w:val="%1.%2.%3.%4.%5.%6.%7"/>
      <w:lvlJc w:val="left"/>
      <w:pPr>
        <w:ind w:left="3990" w:hanging="1440"/>
      </w:pPr>
      <w:rPr>
        <w:rFonts w:cs="Times New Roman" w:hint="default"/>
        <w:b w:val="0"/>
      </w:rPr>
    </w:lvl>
    <w:lvl w:ilvl="7">
      <w:start w:val="1"/>
      <w:numFmt w:val="decimal"/>
      <w:lvlText w:val="%1.%2.%3.%4.%5.%6.%7.%8"/>
      <w:lvlJc w:val="left"/>
      <w:pPr>
        <w:ind w:left="4415" w:hanging="1440"/>
      </w:pPr>
      <w:rPr>
        <w:rFonts w:cs="Times New Roman" w:hint="default"/>
        <w:b w:val="0"/>
      </w:rPr>
    </w:lvl>
    <w:lvl w:ilvl="8">
      <w:start w:val="1"/>
      <w:numFmt w:val="decimal"/>
      <w:lvlText w:val="%1.%2.%3.%4.%5.%6.%7.%8.%9"/>
      <w:lvlJc w:val="left"/>
      <w:pPr>
        <w:ind w:left="4840" w:hanging="1440"/>
      </w:pPr>
      <w:rPr>
        <w:rFonts w:cs="Times New Roman" w:hint="default"/>
        <w:b w:val="0"/>
      </w:rPr>
    </w:lvl>
  </w:abstractNum>
  <w:abstractNum w:abstractNumId="13" w15:restartNumberingAfterBreak="0">
    <w:nsid w:val="5C5F6039"/>
    <w:multiLevelType w:val="multilevel"/>
    <w:tmpl w:val="2C0A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7BB35E1"/>
    <w:multiLevelType w:val="multilevel"/>
    <w:tmpl w:val="18BAF0CE"/>
    <w:lvl w:ilvl="0">
      <w:start w:val="1"/>
      <w:numFmt w:val="decimal"/>
      <w:lvlText w:val="%1."/>
      <w:lvlJc w:val="left"/>
      <w:pPr>
        <w:ind w:left="360" w:hanging="360"/>
      </w:pPr>
      <w:rPr>
        <w:rFonts w:cs="Times New Roman" w:hint="default"/>
        <w:b w:val="0"/>
      </w:rPr>
    </w:lvl>
    <w:lvl w:ilvl="1">
      <w:start w:val="1"/>
      <w:numFmt w:val="decimal"/>
      <w:lvlText w:val="%1.%2"/>
      <w:lvlJc w:val="left"/>
      <w:pPr>
        <w:ind w:left="785" w:hanging="360"/>
      </w:pPr>
      <w:rPr>
        <w:rFonts w:cs="Times New Roman" w:hint="default"/>
        <w:b w:val="0"/>
      </w:rPr>
    </w:lvl>
    <w:lvl w:ilvl="2">
      <w:start w:val="1"/>
      <w:numFmt w:val="decimal"/>
      <w:lvlText w:val="%1.%2.%3"/>
      <w:lvlJc w:val="left"/>
      <w:pPr>
        <w:ind w:left="1570" w:hanging="720"/>
      </w:pPr>
      <w:rPr>
        <w:rFonts w:cs="Times New Roman" w:hint="default"/>
        <w:b w:val="0"/>
      </w:rPr>
    </w:lvl>
    <w:lvl w:ilvl="3">
      <w:start w:val="1"/>
      <w:numFmt w:val="decimal"/>
      <w:lvlText w:val="%1.%2.%3.%4"/>
      <w:lvlJc w:val="left"/>
      <w:pPr>
        <w:ind w:left="1995" w:hanging="720"/>
      </w:pPr>
      <w:rPr>
        <w:rFonts w:cs="Times New Roman" w:hint="default"/>
        <w:b w:val="0"/>
      </w:rPr>
    </w:lvl>
    <w:lvl w:ilvl="4">
      <w:start w:val="1"/>
      <w:numFmt w:val="decimal"/>
      <w:lvlText w:val="%1.%2.%3.%4.%5"/>
      <w:lvlJc w:val="left"/>
      <w:pPr>
        <w:ind w:left="2780" w:hanging="1080"/>
      </w:pPr>
      <w:rPr>
        <w:rFonts w:cs="Times New Roman" w:hint="default"/>
        <w:b w:val="0"/>
      </w:rPr>
    </w:lvl>
    <w:lvl w:ilvl="5">
      <w:start w:val="1"/>
      <w:numFmt w:val="decimal"/>
      <w:lvlText w:val="%1.%2.%3.%4.%5.%6"/>
      <w:lvlJc w:val="left"/>
      <w:pPr>
        <w:ind w:left="3205" w:hanging="1080"/>
      </w:pPr>
      <w:rPr>
        <w:rFonts w:cs="Times New Roman" w:hint="default"/>
        <w:b w:val="0"/>
      </w:rPr>
    </w:lvl>
    <w:lvl w:ilvl="6">
      <w:start w:val="1"/>
      <w:numFmt w:val="decimal"/>
      <w:lvlText w:val="%1.%2.%3.%4.%5.%6.%7"/>
      <w:lvlJc w:val="left"/>
      <w:pPr>
        <w:ind w:left="3990" w:hanging="1440"/>
      </w:pPr>
      <w:rPr>
        <w:rFonts w:cs="Times New Roman" w:hint="default"/>
        <w:b w:val="0"/>
      </w:rPr>
    </w:lvl>
    <w:lvl w:ilvl="7">
      <w:start w:val="1"/>
      <w:numFmt w:val="decimal"/>
      <w:lvlText w:val="%1.%2.%3.%4.%5.%6.%7.%8"/>
      <w:lvlJc w:val="left"/>
      <w:pPr>
        <w:ind w:left="4415" w:hanging="1440"/>
      </w:pPr>
      <w:rPr>
        <w:rFonts w:cs="Times New Roman" w:hint="default"/>
        <w:b w:val="0"/>
      </w:rPr>
    </w:lvl>
    <w:lvl w:ilvl="8">
      <w:start w:val="1"/>
      <w:numFmt w:val="decimal"/>
      <w:lvlText w:val="%1.%2.%3.%4.%5.%6.%7.%8.%9"/>
      <w:lvlJc w:val="left"/>
      <w:pPr>
        <w:ind w:left="4840" w:hanging="1440"/>
      </w:pPr>
      <w:rPr>
        <w:rFonts w:cs="Times New Roman" w:hint="default"/>
        <w:b w:val="0"/>
      </w:rPr>
    </w:lvl>
  </w:abstractNum>
  <w:abstractNum w:abstractNumId="15" w15:restartNumberingAfterBreak="0">
    <w:nsid w:val="68432D8E"/>
    <w:multiLevelType w:val="multilevel"/>
    <w:tmpl w:val="063ECCDC"/>
    <w:lvl w:ilvl="0">
      <w:start w:val="1"/>
      <w:numFmt w:val="decimal"/>
      <w:lvlText w:val="%1."/>
      <w:lvlJc w:val="left"/>
      <w:pPr>
        <w:ind w:left="360" w:hanging="360"/>
      </w:pPr>
      <w:rPr>
        <w:rFonts w:cs="Times New Roman" w:hint="default"/>
        <w:b w:val="0"/>
      </w:rPr>
    </w:lvl>
    <w:lvl w:ilvl="1">
      <w:start w:val="1"/>
      <w:numFmt w:val="decimal"/>
      <w:lvlText w:val="%1.%2"/>
      <w:lvlJc w:val="left"/>
      <w:pPr>
        <w:ind w:left="785" w:hanging="360"/>
      </w:pPr>
      <w:rPr>
        <w:rFonts w:cs="Times New Roman" w:hint="default"/>
        <w:b w:val="0"/>
      </w:rPr>
    </w:lvl>
    <w:lvl w:ilvl="2">
      <w:start w:val="1"/>
      <w:numFmt w:val="decimal"/>
      <w:lvlText w:val="%1.%2.%3"/>
      <w:lvlJc w:val="left"/>
      <w:pPr>
        <w:ind w:left="1570" w:hanging="720"/>
      </w:pPr>
      <w:rPr>
        <w:rFonts w:cs="Times New Roman" w:hint="default"/>
        <w:b w:val="0"/>
      </w:rPr>
    </w:lvl>
    <w:lvl w:ilvl="3">
      <w:start w:val="1"/>
      <w:numFmt w:val="decimal"/>
      <w:lvlText w:val="%1.%2.%3.%4"/>
      <w:lvlJc w:val="left"/>
      <w:pPr>
        <w:ind w:left="1995" w:hanging="720"/>
      </w:pPr>
      <w:rPr>
        <w:rFonts w:cs="Times New Roman" w:hint="default"/>
        <w:b w:val="0"/>
      </w:rPr>
    </w:lvl>
    <w:lvl w:ilvl="4">
      <w:start w:val="1"/>
      <w:numFmt w:val="decimal"/>
      <w:lvlText w:val="%1.%2.%3.%4.%5"/>
      <w:lvlJc w:val="left"/>
      <w:pPr>
        <w:ind w:left="2780" w:hanging="1080"/>
      </w:pPr>
      <w:rPr>
        <w:rFonts w:cs="Times New Roman" w:hint="default"/>
        <w:b w:val="0"/>
      </w:rPr>
    </w:lvl>
    <w:lvl w:ilvl="5">
      <w:start w:val="1"/>
      <w:numFmt w:val="decimal"/>
      <w:lvlText w:val="%1.%2.%3.%4.%5.%6"/>
      <w:lvlJc w:val="left"/>
      <w:pPr>
        <w:ind w:left="3205" w:hanging="1080"/>
      </w:pPr>
      <w:rPr>
        <w:rFonts w:cs="Times New Roman" w:hint="default"/>
        <w:b w:val="0"/>
      </w:rPr>
    </w:lvl>
    <w:lvl w:ilvl="6">
      <w:start w:val="1"/>
      <w:numFmt w:val="decimal"/>
      <w:lvlText w:val="%1.%2.%3.%4.%5.%6.%7"/>
      <w:lvlJc w:val="left"/>
      <w:pPr>
        <w:ind w:left="3990" w:hanging="1440"/>
      </w:pPr>
      <w:rPr>
        <w:rFonts w:cs="Times New Roman" w:hint="default"/>
        <w:b w:val="0"/>
      </w:rPr>
    </w:lvl>
    <w:lvl w:ilvl="7">
      <w:start w:val="1"/>
      <w:numFmt w:val="decimal"/>
      <w:lvlText w:val="%1.%2.%3.%4.%5.%6.%7.%8"/>
      <w:lvlJc w:val="left"/>
      <w:pPr>
        <w:ind w:left="4415" w:hanging="1440"/>
      </w:pPr>
      <w:rPr>
        <w:rFonts w:cs="Times New Roman" w:hint="default"/>
        <w:b w:val="0"/>
      </w:rPr>
    </w:lvl>
    <w:lvl w:ilvl="8">
      <w:start w:val="1"/>
      <w:numFmt w:val="decimal"/>
      <w:lvlText w:val="%1.%2.%3.%4.%5.%6.%7.%8.%9"/>
      <w:lvlJc w:val="left"/>
      <w:pPr>
        <w:ind w:left="4840" w:hanging="1440"/>
      </w:pPr>
      <w:rPr>
        <w:rFonts w:cs="Times New Roman" w:hint="default"/>
        <w:b w:val="0"/>
      </w:rPr>
    </w:lvl>
  </w:abstractNum>
  <w:abstractNum w:abstractNumId="16" w15:restartNumberingAfterBreak="0">
    <w:nsid w:val="697C0AEB"/>
    <w:multiLevelType w:val="hybridMultilevel"/>
    <w:tmpl w:val="CC649C36"/>
    <w:lvl w:ilvl="0" w:tplc="0C5A329A">
      <w:start w:val="1"/>
      <w:numFmt w:val="decimal"/>
      <w:lvlText w:val="%1)"/>
      <w:lvlJc w:val="left"/>
      <w:pPr>
        <w:ind w:left="720" w:hanging="360"/>
      </w:pPr>
      <w:rPr>
        <w:rFonts w:hint="default"/>
        <w:b/>
        <w:sz w:val="23"/>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700843DD"/>
    <w:multiLevelType w:val="multilevel"/>
    <w:tmpl w:val="358CCD98"/>
    <w:lvl w:ilvl="0">
      <w:start w:val="1"/>
      <w:numFmt w:val="decimal"/>
      <w:lvlText w:val="%1"/>
      <w:lvlJc w:val="left"/>
      <w:pPr>
        <w:ind w:left="360" w:hanging="360"/>
      </w:pPr>
      <w:rPr>
        <w:rFonts w:cs="Times New Roman" w:hint="default"/>
        <w:b w:val="0"/>
      </w:rPr>
    </w:lvl>
    <w:lvl w:ilvl="1">
      <w:start w:val="1"/>
      <w:numFmt w:val="decimal"/>
      <w:lvlText w:val="%1.%2"/>
      <w:lvlJc w:val="left"/>
      <w:pPr>
        <w:ind w:left="785" w:hanging="360"/>
      </w:pPr>
      <w:rPr>
        <w:rFonts w:cs="Times New Roman" w:hint="default"/>
        <w:b w:val="0"/>
      </w:rPr>
    </w:lvl>
    <w:lvl w:ilvl="2">
      <w:start w:val="1"/>
      <w:numFmt w:val="decimal"/>
      <w:lvlText w:val="%1.%2.%3"/>
      <w:lvlJc w:val="left"/>
      <w:pPr>
        <w:ind w:left="1570" w:hanging="720"/>
      </w:pPr>
      <w:rPr>
        <w:rFonts w:cs="Times New Roman" w:hint="default"/>
        <w:b w:val="0"/>
      </w:rPr>
    </w:lvl>
    <w:lvl w:ilvl="3">
      <w:start w:val="1"/>
      <w:numFmt w:val="decimal"/>
      <w:lvlText w:val="%1.%2.%3.%4"/>
      <w:lvlJc w:val="left"/>
      <w:pPr>
        <w:ind w:left="1995" w:hanging="720"/>
      </w:pPr>
      <w:rPr>
        <w:rFonts w:cs="Times New Roman" w:hint="default"/>
        <w:b w:val="0"/>
      </w:rPr>
    </w:lvl>
    <w:lvl w:ilvl="4">
      <w:start w:val="1"/>
      <w:numFmt w:val="decimal"/>
      <w:lvlText w:val="%1.%2.%3.%4.%5"/>
      <w:lvlJc w:val="left"/>
      <w:pPr>
        <w:ind w:left="2780" w:hanging="1080"/>
      </w:pPr>
      <w:rPr>
        <w:rFonts w:cs="Times New Roman" w:hint="default"/>
        <w:b w:val="0"/>
      </w:rPr>
    </w:lvl>
    <w:lvl w:ilvl="5">
      <w:start w:val="1"/>
      <w:numFmt w:val="decimal"/>
      <w:lvlText w:val="%1.%2.%3.%4.%5.%6"/>
      <w:lvlJc w:val="left"/>
      <w:pPr>
        <w:ind w:left="3205" w:hanging="1080"/>
      </w:pPr>
      <w:rPr>
        <w:rFonts w:cs="Times New Roman" w:hint="default"/>
        <w:b w:val="0"/>
      </w:rPr>
    </w:lvl>
    <w:lvl w:ilvl="6">
      <w:start w:val="1"/>
      <w:numFmt w:val="decimal"/>
      <w:lvlText w:val="%1.%2.%3.%4.%5.%6.%7"/>
      <w:lvlJc w:val="left"/>
      <w:pPr>
        <w:ind w:left="3990" w:hanging="1440"/>
      </w:pPr>
      <w:rPr>
        <w:rFonts w:cs="Times New Roman" w:hint="default"/>
        <w:b w:val="0"/>
      </w:rPr>
    </w:lvl>
    <w:lvl w:ilvl="7">
      <w:start w:val="1"/>
      <w:numFmt w:val="decimal"/>
      <w:lvlText w:val="%1.%2.%3.%4.%5.%6.%7.%8"/>
      <w:lvlJc w:val="left"/>
      <w:pPr>
        <w:ind w:left="4415" w:hanging="1440"/>
      </w:pPr>
      <w:rPr>
        <w:rFonts w:cs="Times New Roman" w:hint="default"/>
        <w:b w:val="0"/>
      </w:rPr>
    </w:lvl>
    <w:lvl w:ilvl="8">
      <w:start w:val="1"/>
      <w:numFmt w:val="decimal"/>
      <w:lvlText w:val="%1.%2.%3.%4.%5.%6.%7.%8.%9"/>
      <w:lvlJc w:val="left"/>
      <w:pPr>
        <w:ind w:left="4840" w:hanging="1440"/>
      </w:pPr>
      <w:rPr>
        <w:rFonts w:cs="Times New Roman" w:hint="default"/>
        <w:b w:val="0"/>
      </w:rPr>
    </w:lvl>
  </w:abstractNum>
  <w:num w:numId="1">
    <w:abstractNumId w:val="2"/>
  </w:num>
  <w:num w:numId="2">
    <w:abstractNumId w:val="3"/>
  </w:num>
  <w:num w:numId="3">
    <w:abstractNumId w:val="5"/>
  </w:num>
  <w:num w:numId="4">
    <w:abstractNumId w:val="6"/>
  </w:num>
  <w:num w:numId="5">
    <w:abstractNumId w:val="10"/>
  </w:num>
  <w:num w:numId="6">
    <w:abstractNumId w:val="11"/>
  </w:num>
  <w:num w:numId="7">
    <w:abstractNumId w:val="13"/>
  </w:num>
  <w:num w:numId="8">
    <w:abstractNumId w:val="17"/>
  </w:num>
  <w:num w:numId="9">
    <w:abstractNumId w:val="0"/>
  </w:num>
  <w:num w:numId="10">
    <w:abstractNumId w:val="14"/>
  </w:num>
  <w:num w:numId="11">
    <w:abstractNumId w:val="12"/>
  </w:num>
  <w:num w:numId="12">
    <w:abstractNumId w:val="15"/>
  </w:num>
  <w:num w:numId="13">
    <w:abstractNumId w:val="7"/>
  </w:num>
  <w:num w:numId="14">
    <w:abstractNumId w:val="8"/>
  </w:num>
  <w:num w:numId="15">
    <w:abstractNumId w:val="1"/>
  </w:num>
  <w:num w:numId="16">
    <w:abstractNumId w:val="9"/>
  </w:num>
  <w:num w:numId="17">
    <w:abstractNumId w:val="4"/>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AR"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63"/>
  <w:displayHorizontalDrawingGridEvery w:val="2"/>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45DF"/>
    <w:rsid w:val="00004758"/>
    <w:rsid w:val="00016A78"/>
    <w:rsid w:val="0002732E"/>
    <w:rsid w:val="00031095"/>
    <w:rsid w:val="00031D47"/>
    <w:rsid w:val="00036DA6"/>
    <w:rsid w:val="000444CD"/>
    <w:rsid w:val="000449B7"/>
    <w:rsid w:val="0004795B"/>
    <w:rsid w:val="00054B20"/>
    <w:rsid w:val="0008041C"/>
    <w:rsid w:val="00084D62"/>
    <w:rsid w:val="000908E3"/>
    <w:rsid w:val="000916A3"/>
    <w:rsid w:val="0009402C"/>
    <w:rsid w:val="000B779D"/>
    <w:rsid w:val="000E3436"/>
    <w:rsid w:val="000F090C"/>
    <w:rsid w:val="00105B20"/>
    <w:rsid w:val="0010620B"/>
    <w:rsid w:val="00116FCF"/>
    <w:rsid w:val="00120B77"/>
    <w:rsid w:val="0012171F"/>
    <w:rsid w:val="001259A0"/>
    <w:rsid w:val="00131C1A"/>
    <w:rsid w:val="0013498F"/>
    <w:rsid w:val="0014164B"/>
    <w:rsid w:val="001633A7"/>
    <w:rsid w:val="00172BCA"/>
    <w:rsid w:val="001920AA"/>
    <w:rsid w:val="001B4C19"/>
    <w:rsid w:val="001B5D52"/>
    <w:rsid w:val="001B5E71"/>
    <w:rsid w:val="001C0ACD"/>
    <w:rsid w:val="001D50F4"/>
    <w:rsid w:val="001F04A8"/>
    <w:rsid w:val="001F141F"/>
    <w:rsid w:val="001F2077"/>
    <w:rsid w:val="00221ADC"/>
    <w:rsid w:val="002239BE"/>
    <w:rsid w:val="002251BA"/>
    <w:rsid w:val="00231E65"/>
    <w:rsid w:val="002320DE"/>
    <w:rsid w:val="00233DCD"/>
    <w:rsid w:val="0023485F"/>
    <w:rsid w:val="00237FE4"/>
    <w:rsid w:val="002414DE"/>
    <w:rsid w:val="00242BCF"/>
    <w:rsid w:val="00253071"/>
    <w:rsid w:val="00262695"/>
    <w:rsid w:val="00277756"/>
    <w:rsid w:val="002845DF"/>
    <w:rsid w:val="002B75F3"/>
    <w:rsid w:val="002C7808"/>
    <w:rsid w:val="002D3908"/>
    <w:rsid w:val="002E6DEC"/>
    <w:rsid w:val="002F4E40"/>
    <w:rsid w:val="002F7FBA"/>
    <w:rsid w:val="003104C1"/>
    <w:rsid w:val="003326AC"/>
    <w:rsid w:val="003505C5"/>
    <w:rsid w:val="00350E30"/>
    <w:rsid w:val="00356AAF"/>
    <w:rsid w:val="00361113"/>
    <w:rsid w:val="00367F90"/>
    <w:rsid w:val="00375858"/>
    <w:rsid w:val="00377088"/>
    <w:rsid w:val="003A210D"/>
    <w:rsid w:val="003B6C5E"/>
    <w:rsid w:val="003D35E2"/>
    <w:rsid w:val="003E1050"/>
    <w:rsid w:val="003E5D13"/>
    <w:rsid w:val="003F4E33"/>
    <w:rsid w:val="00400F9B"/>
    <w:rsid w:val="00413A6C"/>
    <w:rsid w:val="0042104A"/>
    <w:rsid w:val="0045058F"/>
    <w:rsid w:val="00457B5D"/>
    <w:rsid w:val="00464182"/>
    <w:rsid w:val="00467781"/>
    <w:rsid w:val="004720A1"/>
    <w:rsid w:val="00476D02"/>
    <w:rsid w:val="00477813"/>
    <w:rsid w:val="00487007"/>
    <w:rsid w:val="004A79FB"/>
    <w:rsid w:val="004B2922"/>
    <w:rsid w:val="004C302E"/>
    <w:rsid w:val="004C563E"/>
    <w:rsid w:val="00502196"/>
    <w:rsid w:val="00526A52"/>
    <w:rsid w:val="00534C3A"/>
    <w:rsid w:val="005360CF"/>
    <w:rsid w:val="005741FF"/>
    <w:rsid w:val="005749CC"/>
    <w:rsid w:val="005B128C"/>
    <w:rsid w:val="005B28C7"/>
    <w:rsid w:val="005B6923"/>
    <w:rsid w:val="005B763E"/>
    <w:rsid w:val="005E1A1E"/>
    <w:rsid w:val="005F1DE4"/>
    <w:rsid w:val="005F681A"/>
    <w:rsid w:val="00602242"/>
    <w:rsid w:val="0060415C"/>
    <w:rsid w:val="00622ADE"/>
    <w:rsid w:val="00626CD8"/>
    <w:rsid w:val="00643001"/>
    <w:rsid w:val="00656531"/>
    <w:rsid w:val="00663F10"/>
    <w:rsid w:val="00695A9D"/>
    <w:rsid w:val="006A5F0C"/>
    <w:rsid w:val="006B3C6C"/>
    <w:rsid w:val="006B73FF"/>
    <w:rsid w:val="006C13C2"/>
    <w:rsid w:val="006E3598"/>
    <w:rsid w:val="006F19EA"/>
    <w:rsid w:val="00701643"/>
    <w:rsid w:val="00705AE2"/>
    <w:rsid w:val="00720972"/>
    <w:rsid w:val="00732371"/>
    <w:rsid w:val="00732377"/>
    <w:rsid w:val="007472C7"/>
    <w:rsid w:val="00747B58"/>
    <w:rsid w:val="0075160B"/>
    <w:rsid w:val="0076380A"/>
    <w:rsid w:val="007646AE"/>
    <w:rsid w:val="00767113"/>
    <w:rsid w:val="00767534"/>
    <w:rsid w:val="00782B3F"/>
    <w:rsid w:val="00784037"/>
    <w:rsid w:val="0079585D"/>
    <w:rsid w:val="007B695B"/>
    <w:rsid w:val="007C0A83"/>
    <w:rsid w:val="007E39D1"/>
    <w:rsid w:val="007E7500"/>
    <w:rsid w:val="007F5AF4"/>
    <w:rsid w:val="007F7FDC"/>
    <w:rsid w:val="00800FBF"/>
    <w:rsid w:val="00803644"/>
    <w:rsid w:val="008206BD"/>
    <w:rsid w:val="0083051B"/>
    <w:rsid w:val="00843BE0"/>
    <w:rsid w:val="0085768A"/>
    <w:rsid w:val="00863FE5"/>
    <w:rsid w:val="00865F51"/>
    <w:rsid w:val="008864D3"/>
    <w:rsid w:val="00894F0D"/>
    <w:rsid w:val="008A1D6E"/>
    <w:rsid w:val="008A66FA"/>
    <w:rsid w:val="008C48DE"/>
    <w:rsid w:val="008D3B48"/>
    <w:rsid w:val="008E1CC5"/>
    <w:rsid w:val="008F1388"/>
    <w:rsid w:val="008F1657"/>
    <w:rsid w:val="008F4A52"/>
    <w:rsid w:val="00913511"/>
    <w:rsid w:val="00920B61"/>
    <w:rsid w:val="00920C3E"/>
    <w:rsid w:val="00922CF6"/>
    <w:rsid w:val="00925958"/>
    <w:rsid w:val="00926307"/>
    <w:rsid w:val="0092643A"/>
    <w:rsid w:val="009318D4"/>
    <w:rsid w:val="00936E63"/>
    <w:rsid w:val="009412A5"/>
    <w:rsid w:val="00943123"/>
    <w:rsid w:val="00946129"/>
    <w:rsid w:val="00951683"/>
    <w:rsid w:val="00960879"/>
    <w:rsid w:val="0096343D"/>
    <w:rsid w:val="00975C05"/>
    <w:rsid w:val="00987454"/>
    <w:rsid w:val="009A47DC"/>
    <w:rsid w:val="009A53B7"/>
    <w:rsid w:val="009A6AD3"/>
    <w:rsid w:val="009F4DBD"/>
    <w:rsid w:val="00A02E8A"/>
    <w:rsid w:val="00A10703"/>
    <w:rsid w:val="00A3572A"/>
    <w:rsid w:val="00A4797E"/>
    <w:rsid w:val="00A5568B"/>
    <w:rsid w:val="00A65B31"/>
    <w:rsid w:val="00A67A42"/>
    <w:rsid w:val="00A84922"/>
    <w:rsid w:val="00A86322"/>
    <w:rsid w:val="00A97759"/>
    <w:rsid w:val="00AA464A"/>
    <w:rsid w:val="00AB6BD1"/>
    <w:rsid w:val="00AC35EE"/>
    <w:rsid w:val="00AC6C12"/>
    <w:rsid w:val="00B01BD9"/>
    <w:rsid w:val="00B10037"/>
    <w:rsid w:val="00B447A0"/>
    <w:rsid w:val="00B94A29"/>
    <w:rsid w:val="00BC4298"/>
    <w:rsid w:val="00BC7FEC"/>
    <w:rsid w:val="00BD1492"/>
    <w:rsid w:val="00BE01DB"/>
    <w:rsid w:val="00BE05C8"/>
    <w:rsid w:val="00C02FEA"/>
    <w:rsid w:val="00C1739B"/>
    <w:rsid w:val="00C22E51"/>
    <w:rsid w:val="00C25A8D"/>
    <w:rsid w:val="00C2648C"/>
    <w:rsid w:val="00C3261A"/>
    <w:rsid w:val="00C43264"/>
    <w:rsid w:val="00C534BA"/>
    <w:rsid w:val="00C77124"/>
    <w:rsid w:val="00C81B0B"/>
    <w:rsid w:val="00C82E65"/>
    <w:rsid w:val="00C83112"/>
    <w:rsid w:val="00C84B99"/>
    <w:rsid w:val="00CA789A"/>
    <w:rsid w:val="00CB05FA"/>
    <w:rsid w:val="00CB4DC3"/>
    <w:rsid w:val="00CB5DA3"/>
    <w:rsid w:val="00CD49FB"/>
    <w:rsid w:val="00CD78DD"/>
    <w:rsid w:val="00CE79BA"/>
    <w:rsid w:val="00D05810"/>
    <w:rsid w:val="00D118C8"/>
    <w:rsid w:val="00D21731"/>
    <w:rsid w:val="00D23737"/>
    <w:rsid w:val="00D32BBE"/>
    <w:rsid w:val="00D3563D"/>
    <w:rsid w:val="00D36D71"/>
    <w:rsid w:val="00D436B3"/>
    <w:rsid w:val="00D437A8"/>
    <w:rsid w:val="00D503EF"/>
    <w:rsid w:val="00D56330"/>
    <w:rsid w:val="00D82DBB"/>
    <w:rsid w:val="00D95D9D"/>
    <w:rsid w:val="00DB546B"/>
    <w:rsid w:val="00DC6ECE"/>
    <w:rsid w:val="00DE54D1"/>
    <w:rsid w:val="00E01F76"/>
    <w:rsid w:val="00E053A9"/>
    <w:rsid w:val="00E06BB0"/>
    <w:rsid w:val="00E0731B"/>
    <w:rsid w:val="00E1647C"/>
    <w:rsid w:val="00E16A9D"/>
    <w:rsid w:val="00E20826"/>
    <w:rsid w:val="00E357FD"/>
    <w:rsid w:val="00E40B2B"/>
    <w:rsid w:val="00E56839"/>
    <w:rsid w:val="00E630CD"/>
    <w:rsid w:val="00E8370D"/>
    <w:rsid w:val="00E852B0"/>
    <w:rsid w:val="00E86080"/>
    <w:rsid w:val="00E96F59"/>
    <w:rsid w:val="00EC55C3"/>
    <w:rsid w:val="00ED170F"/>
    <w:rsid w:val="00ED1BA9"/>
    <w:rsid w:val="00EE1A0D"/>
    <w:rsid w:val="00EE4EFE"/>
    <w:rsid w:val="00EE63C6"/>
    <w:rsid w:val="00EF3C35"/>
    <w:rsid w:val="00F00C3D"/>
    <w:rsid w:val="00F27D25"/>
    <w:rsid w:val="00F336BE"/>
    <w:rsid w:val="00F40ED2"/>
    <w:rsid w:val="00F45082"/>
    <w:rsid w:val="00F564C5"/>
    <w:rsid w:val="00F72048"/>
    <w:rsid w:val="00F72631"/>
    <w:rsid w:val="00F7656A"/>
    <w:rsid w:val="00F86C79"/>
    <w:rsid w:val="00F941F2"/>
    <w:rsid w:val="00FA0150"/>
    <w:rsid w:val="00FB1D6B"/>
    <w:rsid w:val="00FC2BF1"/>
    <w:rsid w:val="00FC53C8"/>
    <w:rsid w:val="00FD5633"/>
    <w:rsid w:val="00FD5CEA"/>
    <w:rsid w:val="00FE1A4A"/>
    <w:rsid w:val="00FE3421"/>
    <w:rsid w:val="00FE7D4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0372B"/>
  <w15:docId w15:val="{E623A2DE-6DD1-4F97-A7FC-DB919F49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A52"/>
    <w:rPr>
      <w:sz w:val="24"/>
      <w:szCs w:val="24"/>
      <w:lang w:val="es-ES" w:eastAsia="es-ES"/>
    </w:rPr>
  </w:style>
  <w:style w:type="paragraph" w:styleId="Ttulo1">
    <w:name w:val="heading 1"/>
    <w:basedOn w:val="Normal"/>
    <w:next w:val="Normal"/>
    <w:link w:val="Ttulo1Car"/>
    <w:uiPriority w:val="99"/>
    <w:qFormat/>
    <w:rsid w:val="002C7808"/>
    <w:pPr>
      <w:keepNext/>
      <w:outlineLvl w:val="0"/>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5C7841"/>
    <w:rPr>
      <w:rFonts w:ascii="Cambria" w:eastAsia="Times New Roman" w:hAnsi="Cambria" w:cs="Times New Roman"/>
      <w:b/>
      <w:bCs/>
      <w:kern w:val="32"/>
      <w:sz w:val="32"/>
      <w:szCs w:val="32"/>
      <w:lang w:val="es-ES" w:eastAsia="es-ES"/>
    </w:rPr>
  </w:style>
  <w:style w:type="paragraph" w:styleId="Textodeglobo">
    <w:name w:val="Balloon Text"/>
    <w:basedOn w:val="Normal"/>
    <w:link w:val="TextodegloboCar"/>
    <w:uiPriority w:val="99"/>
    <w:semiHidden/>
    <w:rsid w:val="00803644"/>
    <w:rPr>
      <w:rFonts w:ascii="Tahoma" w:hAnsi="Tahoma" w:cs="Tahoma"/>
      <w:sz w:val="16"/>
      <w:szCs w:val="16"/>
    </w:rPr>
  </w:style>
  <w:style w:type="character" w:customStyle="1" w:styleId="TextodegloboCar">
    <w:name w:val="Texto de globo Car"/>
    <w:link w:val="Textodeglobo"/>
    <w:uiPriority w:val="99"/>
    <w:semiHidden/>
    <w:rsid w:val="005C7841"/>
    <w:rPr>
      <w:sz w:val="0"/>
      <w:szCs w:val="0"/>
      <w:lang w:val="es-ES" w:eastAsia="es-ES"/>
    </w:rPr>
  </w:style>
  <w:style w:type="character" w:styleId="Refdecomentario">
    <w:name w:val="annotation reference"/>
    <w:uiPriority w:val="99"/>
    <w:semiHidden/>
    <w:rsid w:val="00946129"/>
    <w:rPr>
      <w:rFonts w:cs="Times New Roman"/>
      <w:sz w:val="16"/>
    </w:rPr>
  </w:style>
  <w:style w:type="paragraph" w:styleId="Textocomentario">
    <w:name w:val="annotation text"/>
    <w:basedOn w:val="Normal"/>
    <w:link w:val="TextocomentarioCar"/>
    <w:uiPriority w:val="99"/>
    <w:semiHidden/>
    <w:rsid w:val="00946129"/>
    <w:rPr>
      <w:sz w:val="20"/>
      <w:szCs w:val="20"/>
    </w:rPr>
  </w:style>
  <w:style w:type="character" w:customStyle="1" w:styleId="TextocomentarioCar">
    <w:name w:val="Texto comentario Car"/>
    <w:link w:val="Textocomentario"/>
    <w:uiPriority w:val="99"/>
    <w:semiHidden/>
    <w:rsid w:val="005C7841"/>
    <w:rPr>
      <w:sz w:val="20"/>
      <w:szCs w:val="20"/>
      <w:lang w:val="es-ES" w:eastAsia="es-ES"/>
    </w:rPr>
  </w:style>
  <w:style w:type="paragraph" w:styleId="Asuntodelcomentario">
    <w:name w:val="annotation subject"/>
    <w:basedOn w:val="Textocomentario"/>
    <w:next w:val="Textocomentario"/>
    <w:link w:val="AsuntodelcomentarioCar"/>
    <w:uiPriority w:val="99"/>
    <w:semiHidden/>
    <w:rsid w:val="00946129"/>
    <w:rPr>
      <w:b/>
      <w:bCs/>
    </w:rPr>
  </w:style>
  <w:style w:type="character" w:customStyle="1" w:styleId="AsuntodelcomentarioCar">
    <w:name w:val="Asunto del comentario Car"/>
    <w:link w:val="Asuntodelcomentario"/>
    <w:uiPriority w:val="99"/>
    <w:semiHidden/>
    <w:rsid w:val="005C7841"/>
    <w:rPr>
      <w:b/>
      <w:bCs/>
      <w:sz w:val="20"/>
      <w:szCs w:val="20"/>
      <w:lang w:val="es-ES" w:eastAsia="es-ES"/>
    </w:rPr>
  </w:style>
  <w:style w:type="paragraph" w:customStyle="1" w:styleId="Puesto">
    <w:name w:val="Puesto"/>
    <w:basedOn w:val="Normal"/>
    <w:link w:val="PuestoCar"/>
    <w:uiPriority w:val="99"/>
    <w:qFormat/>
    <w:rsid w:val="00701643"/>
    <w:pPr>
      <w:widowControl w:val="0"/>
      <w:spacing w:line="-480" w:lineRule="auto"/>
      <w:jc w:val="center"/>
    </w:pPr>
    <w:rPr>
      <w:rFonts w:ascii="Times" w:hAnsi="Times"/>
      <w:b/>
      <w:sz w:val="28"/>
      <w:szCs w:val="20"/>
      <w:u w:val="single"/>
    </w:rPr>
  </w:style>
  <w:style w:type="character" w:customStyle="1" w:styleId="PuestoCar">
    <w:name w:val="Puesto Car"/>
    <w:link w:val="Puesto"/>
    <w:uiPriority w:val="99"/>
    <w:locked/>
    <w:rsid w:val="00701643"/>
    <w:rPr>
      <w:rFonts w:ascii="Times" w:hAnsi="Times"/>
      <w:b/>
      <w:snapToGrid w:val="0"/>
      <w:sz w:val="28"/>
      <w:u w:val="single"/>
      <w:lang w:val="es-ES" w:eastAsia="es-ES"/>
    </w:rPr>
  </w:style>
  <w:style w:type="paragraph" w:styleId="Textoindependiente">
    <w:name w:val="Body Text"/>
    <w:basedOn w:val="Normal"/>
    <w:link w:val="TextoindependienteCar"/>
    <w:uiPriority w:val="99"/>
    <w:rsid w:val="00FC53C8"/>
    <w:pPr>
      <w:jc w:val="both"/>
    </w:pPr>
    <w:rPr>
      <w:rFonts w:ascii="Arial" w:hAnsi="Arial"/>
      <w:szCs w:val="20"/>
      <w:lang w:eastAsia="en-US"/>
    </w:rPr>
  </w:style>
  <w:style w:type="character" w:customStyle="1" w:styleId="TextoindependienteCar">
    <w:name w:val="Texto independiente Car"/>
    <w:link w:val="Textoindependiente"/>
    <w:uiPriority w:val="99"/>
    <w:locked/>
    <w:rsid w:val="00FC53C8"/>
    <w:rPr>
      <w:rFonts w:ascii="Arial" w:hAnsi="Arial"/>
      <w:sz w:val="24"/>
      <w:lang w:val="es-ES" w:eastAsia="en-US"/>
    </w:rPr>
  </w:style>
  <w:style w:type="paragraph" w:styleId="Sangra3detindependiente">
    <w:name w:val="Body Text Indent 3"/>
    <w:basedOn w:val="Normal"/>
    <w:link w:val="Sangra3detindependienteCar"/>
    <w:uiPriority w:val="99"/>
    <w:rsid w:val="00E06BB0"/>
    <w:pPr>
      <w:spacing w:after="120"/>
      <w:ind w:left="283"/>
    </w:pPr>
    <w:rPr>
      <w:sz w:val="16"/>
      <w:szCs w:val="16"/>
    </w:rPr>
  </w:style>
  <w:style w:type="character" w:customStyle="1" w:styleId="Sangra3detindependienteCar">
    <w:name w:val="Sangría 3 de t. independiente Car"/>
    <w:link w:val="Sangra3detindependiente"/>
    <w:uiPriority w:val="99"/>
    <w:locked/>
    <w:rsid w:val="00E06BB0"/>
    <w:rPr>
      <w:sz w:val="16"/>
      <w:lang w:val="es-ES" w:eastAsia="es-ES"/>
    </w:rPr>
  </w:style>
  <w:style w:type="paragraph" w:styleId="Prrafodelista">
    <w:name w:val="List Paragraph"/>
    <w:basedOn w:val="Normal"/>
    <w:uiPriority w:val="99"/>
    <w:qFormat/>
    <w:rsid w:val="00F941F2"/>
    <w:pPr>
      <w:ind w:left="708"/>
    </w:pPr>
    <w:rPr>
      <w:sz w:val="20"/>
      <w:szCs w:val="20"/>
    </w:rPr>
  </w:style>
  <w:style w:type="paragraph" w:styleId="Textoindependiente2">
    <w:name w:val="Body Text 2"/>
    <w:basedOn w:val="Normal"/>
    <w:link w:val="Textoindependiente2Car"/>
    <w:uiPriority w:val="99"/>
    <w:rsid w:val="00476D02"/>
    <w:pPr>
      <w:spacing w:after="120" w:line="480" w:lineRule="auto"/>
    </w:pPr>
  </w:style>
  <w:style w:type="character" w:customStyle="1" w:styleId="Textoindependiente2Car">
    <w:name w:val="Texto independiente 2 Car"/>
    <w:link w:val="Textoindependiente2"/>
    <w:uiPriority w:val="99"/>
    <w:locked/>
    <w:rsid w:val="00476D02"/>
    <w:rPr>
      <w:sz w:val="24"/>
      <w:lang w:val="es-ES" w:eastAsia="es-ES"/>
    </w:rPr>
  </w:style>
  <w:style w:type="character" w:styleId="nfasissutil">
    <w:name w:val="Subtle Emphasis"/>
    <w:uiPriority w:val="19"/>
    <w:qFormat/>
    <w:rsid w:val="0009402C"/>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204196">
      <w:marLeft w:val="0"/>
      <w:marRight w:val="0"/>
      <w:marTop w:val="0"/>
      <w:marBottom w:val="0"/>
      <w:divBdr>
        <w:top w:val="none" w:sz="0" w:space="0" w:color="auto"/>
        <w:left w:val="none" w:sz="0" w:space="0" w:color="auto"/>
        <w:bottom w:val="none" w:sz="0" w:space="0" w:color="auto"/>
        <w:right w:val="none" w:sz="0" w:space="0" w:color="auto"/>
      </w:divBdr>
    </w:div>
    <w:div w:id="754204197">
      <w:marLeft w:val="0"/>
      <w:marRight w:val="0"/>
      <w:marTop w:val="0"/>
      <w:marBottom w:val="0"/>
      <w:divBdr>
        <w:top w:val="none" w:sz="0" w:space="0" w:color="auto"/>
        <w:left w:val="none" w:sz="0" w:space="0" w:color="auto"/>
        <w:bottom w:val="none" w:sz="0" w:space="0" w:color="auto"/>
        <w:right w:val="none" w:sz="0" w:space="0" w:color="auto"/>
      </w:divBdr>
    </w:div>
    <w:div w:id="864951775">
      <w:bodyDiv w:val="1"/>
      <w:marLeft w:val="0"/>
      <w:marRight w:val="0"/>
      <w:marTop w:val="0"/>
      <w:marBottom w:val="0"/>
      <w:divBdr>
        <w:top w:val="none" w:sz="0" w:space="0" w:color="auto"/>
        <w:left w:val="none" w:sz="0" w:space="0" w:color="auto"/>
        <w:bottom w:val="none" w:sz="0" w:space="0" w:color="auto"/>
        <w:right w:val="none" w:sz="0" w:space="0" w:color="auto"/>
      </w:divBdr>
    </w:div>
    <w:div w:id="162342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245694CD3D8D7468EC9F1EE9A0A77C5" ma:contentTypeVersion="" ma:contentTypeDescription="Crear nuevo documento." ma:contentTypeScope="" ma:versionID="1888cdcc6ed2d1042aa9763a6471be4b">
  <xsd:schema xmlns:xsd="http://www.w3.org/2001/XMLSchema" xmlns:xs="http://www.w3.org/2001/XMLSchema" xmlns:p="http://schemas.microsoft.com/office/2006/metadata/properties" xmlns:ns1="http://schemas.microsoft.com/sharepoint/v3" xmlns:ns2="326FF226-AC46-4F43-8CEA-3A40F65116F6" xmlns:ns3="b70f27f1-36c3-42a1-9d05-0e0691d86ec6" xmlns:ns4="326ff226-ac46-4f43-8cea-3a40f65116f6" targetNamespace="http://schemas.microsoft.com/office/2006/metadata/properties" ma:root="true" ma:fieldsID="fc5dc8e383cc7b3dac1443eac571af27" ns1:_="" ns2:_="" ns3:_="" ns4:_="">
    <xsd:import namespace="http://schemas.microsoft.com/sharepoint/v3"/>
    <xsd:import namespace="326FF226-AC46-4F43-8CEA-3A40F65116F6"/>
    <xsd:import namespace="b70f27f1-36c3-42a1-9d05-0e0691d86ec6"/>
    <xsd:import namespace="326ff226-ac46-4f43-8cea-3a40f65116f6"/>
    <xsd:element name="properties">
      <xsd:complexType>
        <xsd:sequence>
          <xsd:element name="documentManagement">
            <xsd:complexType>
              <xsd:all>
                <xsd:element ref="ns2:Audiencias_x0020_de_x0020_destino" minOccurs="0"/>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3" nillable="true" ma:displayName="Clasificación (0-5)" ma:decimals="2" ma:description="Valor promedio de todas las clasificaciones que se han enviado" ma:internalName="AverageRating" ma:readOnly="true">
      <xsd:simpleType>
        <xsd:restriction base="dms:Number"/>
      </xsd:simpleType>
    </xsd:element>
    <xsd:element name="RatingCount" ma:index="14" nillable="true" ma:displayName="Número de clasificaciones" ma:decimals="0" ma:description="Número de clasificaciones enviado" ma:internalName="RatingCount" ma:readOnly="true">
      <xsd:simpleType>
        <xsd:restriction base="dms:Number"/>
      </xsd:simpleType>
    </xsd:element>
    <xsd:element name="RatedBy" ma:index="15"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6" nillable="true" ma:displayName="Valoraciones de usuario" ma:description="Valoraciones de usuario para el elemento" ma:hidden="true" ma:internalName="Ratings">
      <xsd:simpleType>
        <xsd:restriction base="dms:Note"/>
      </xsd:simpleType>
    </xsd:element>
    <xsd:element name="LikesCount" ma:index="17" nillable="true" ma:displayName="Número de Me gusta" ma:internalName="LikesCount">
      <xsd:simpleType>
        <xsd:restriction base="dms:Unknown"/>
      </xsd:simpleType>
    </xsd:element>
    <xsd:element name="LikedBy" ma:index="18"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6FF226-AC46-4F43-8CEA-3A40F65116F6" elementFormDefault="qualified">
    <xsd:import namespace="http://schemas.microsoft.com/office/2006/documentManagement/types"/>
    <xsd:import namespace="http://schemas.microsoft.com/office/infopath/2007/PartnerControls"/>
    <xsd:element name="Audiencias_x0020_de_x0020_destino" ma:index="8" nillable="true" ma:displayName="Audiencias de destino" ma:internalName="Audiencias_x0020_de_x0020_destino">
      <xsd:simpleType>
        <xsd:restriction base="dms:Unknow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0f27f1-36c3-42a1-9d05-0e0691d86ec6"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6ff226-ac46-4f43-8cea-3a40f65116f6" elementFormDefault="qualified">
    <xsd:import namespace="http://schemas.microsoft.com/office/2006/documentManagement/types"/>
    <xsd:import namespace="http://schemas.microsoft.com/office/infopath/2007/PartnerControls"/>
    <xsd:element name="MediaServiceAutoTags" ma:index="20" nillable="true" ma:displayName="MediaServiceAutoTags" ma:description="" ma:internalName="MediaServiceAutoTags"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Audiencias_x0020_de_x0020_destino xmlns="326FF226-AC46-4F43-8CEA-3A40F65116F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7FB93EED-0447-4EAF-95CE-6AF7122151D4}"/>
</file>

<file path=customXml/itemProps2.xml><?xml version="1.0" encoding="utf-8"?>
<ds:datastoreItem xmlns:ds="http://schemas.openxmlformats.org/officeDocument/2006/customXml" ds:itemID="{1500804E-557A-47F8-910A-2B6F11B1F687}"/>
</file>

<file path=customXml/itemProps3.xml><?xml version="1.0" encoding="utf-8"?>
<ds:datastoreItem xmlns:ds="http://schemas.openxmlformats.org/officeDocument/2006/customXml" ds:itemID="{BDA2FF10-6BA4-4829-A399-B0D08356071A}"/>
</file>

<file path=docProps/app.xml><?xml version="1.0" encoding="utf-8"?>
<Properties xmlns="http://schemas.openxmlformats.org/officeDocument/2006/extended-properties" xmlns:vt="http://schemas.openxmlformats.org/officeDocument/2006/docPropsVTypes">
  <Template>Normal</Template>
  <TotalTime>2</TotalTime>
  <Pages>3</Pages>
  <Words>1519</Words>
  <Characters>8360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En la ciudad de Buenos Aires, a los 1 días del mes de octubre de 2007, se reúnen en la sede social de Los Grobo Agropecuaria S</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Buenos Aires, a los 1 días del mes de octubre de 2007, se reúnen en la sede social de Los Grobo Agropecuaria S</dc:title>
  <dc:subject/>
  <dc:creator>win98</dc:creator>
  <cp:keywords/>
  <dc:description/>
  <cp:lastModifiedBy>Lucas Divito</cp:lastModifiedBy>
  <cp:revision>6</cp:revision>
  <cp:lastPrinted>2017-02-10T21:40:00Z</cp:lastPrinted>
  <dcterms:created xsi:type="dcterms:W3CDTF">2020-12-09T15:47:00Z</dcterms:created>
  <dcterms:modified xsi:type="dcterms:W3CDTF">2020-12-09T15:49:00Z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0x0101002245694CD3D8D7468EC9F1EE9A0A77C5</vt:lpwstr>
  </property>
</Properties>
</file>