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F94B6" w14:textId="4083BD2D" w:rsidR="001C1BEE" w:rsidRDefault="414D11BF" w:rsidP="00A869E4">
      <w:pPr>
        <w:spacing w:after="0" w:line="240" w:lineRule="auto"/>
        <w:jc w:val="both"/>
        <w:rPr>
          <w:rFonts w:ascii="Times New Roman" w:eastAsia="Times New Roman" w:hAnsi="Times New Roman" w:cs="Times New Roman"/>
          <w:b/>
          <w:bCs/>
          <w:u w:val="single"/>
        </w:rPr>
      </w:pPr>
      <w:r w:rsidRPr="00FD7C74">
        <w:rPr>
          <w:rFonts w:ascii="Times New Roman" w:eastAsia="Times New Roman" w:hAnsi="Times New Roman" w:cs="Times New Roman"/>
          <w:b/>
          <w:bCs/>
          <w:u w:val="single"/>
        </w:rPr>
        <w:t>ACTA DE DIRECTORIO</w:t>
      </w:r>
    </w:p>
    <w:p w14:paraId="18FD45D6" w14:textId="77777777" w:rsidR="00A869E4" w:rsidRPr="00FD7C74" w:rsidRDefault="00A869E4" w:rsidP="004A000B">
      <w:pPr>
        <w:spacing w:after="0" w:line="240" w:lineRule="auto"/>
        <w:jc w:val="both"/>
        <w:rPr>
          <w:rFonts w:ascii="Times New Roman" w:hAnsi="Times New Roman" w:cs="Times New Roman"/>
          <w:b/>
          <w:bCs/>
          <w:u w:val="single"/>
        </w:rPr>
      </w:pPr>
    </w:p>
    <w:p w14:paraId="0B5A04E3" w14:textId="67DFE609" w:rsidR="00A869E4" w:rsidRPr="004A000B" w:rsidRDefault="00A869E4" w:rsidP="004A000B">
      <w:pPr>
        <w:spacing w:after="0" w:line="240" w:lineRule="auto"/>
        <w:jc w:val="both"/>
        <w:rPr>
          <w:rFonts w:ascii="Times New Roman" w:hAnsi="Times New Roman" w:cs="Times New Roman"/>
          <w:szCs w:val="24"/>
        </w:rPr>
      </w:pPr>
      <w:r w:rsidRPr="004A000B">
        <w:rPr>
          <w:rFonts w:ascii="Times New Roman" w:hAnsi="Times New Roman" w:cs="Times New Roman"/>
          <w:szCs w:val="24"/>
        </w:rPr>
        <w:t xml:space="preserve">En la Ciudad Autónoma de Buenos Aires, a los </w:t>
      </w:r>
      <w:r w:rsidR="004A000B">
        <w:rPr>
          <w:rFonts w:ascii="Times New Roman" w:hAnsi="Times New Roman" w:cs="Times New Roman"/>
          <w:szCs w:val="24"/>
        </w:rPr>
        <w:t>2</w:t>
      </w:r>
      <w:r w:rsidRPr="004A000B">
        <w:rPr>
          <w:rFonts w:ascii="Times New Roman" w:hAnsi="Times New Roman" w:cs="Times New Roman"/>
          <w:szCs w:val="24"/>
        </w:rPr>
        <w:t xml:space="preserve"> días del mes de </w:t>
      </w:r>
      <w:r w:rsidR="004A000B">
        <w:rPr>
          <w:rFonts w:ascii="Times New Roman" w:hAnsi="Times New Roman" w:cs="Times New Roman"/>
          <w:szCs w:val="24"/>
        </w:rPr>
        <w:t>noviem</w:t>
      </w:r>
      <w:r w:rsidRPr="004A000B">
        <w:rPr>
          <w:rFonts w:ascii="Times New Roman" w:hAnsi="Times New Roman" w:cs="Times New Roman"/>
          <w:szCs w:val="24"/>
        </w:rPr>
        <w:t xml:space="preserve">bre de 2022, siendo las 9:00 horas, se reúne el Directorio de </w:t>
      </w:r>
      <w:r w:rsidRPr="004A000B">
        <w:rPr>
          <w:rFonts w:ascii="Times New Roman" w:hAnsi="Times New Roman" w:cs="Times New Roman"/>
          <w:b/>
          <w:bCs/>
          <w:szCs w:val="24"/>
        </w:rPr>
        <w:t xml:space="preserve">Agrofina S.A. </w:t>
      </w:r>
      <w:r w:rsidRPr="004A000B">
        <w:rPr>
          <w:rFonts w:ascii="Times New Roman" w:hAnsi="Times New Roman" w:cs="Times New Roman"/>
          <w:szCs w:val="24"/>
        </w:rPr>
        <w:t>(la “Sociedad”) en su sede social sita en Suipacha 1111 Piso 18°. Preside la reunión el Sr. Presidente del Directorio, Santiago Cotter. El Sr. Presidente deja constancia que la presente se celebra en los términos del artículo 12 del Estatuto Social, que posibilita la realización de reuniones de directorio mediante el sistema de videoconferencia y/o por otro medio de transmisión simultánea de sonido, imágenes y palabras, e informa que participan mediante videoteleconferencia -con transmisión simultánea de sonido, imágenes y palabras- el Sr. Presidente Santiago Cotter, el Sr. Vicepresidente Rosendo Grobocopatel y se encuentran presentes los síndicos titulares de la Comisión Fiscalizadora, los Dres. Santiago Daireaux y P. Eugenio Aramburu. En consecuencia, el Sr. Presidente señala que existe quórum suficiente para celebrar esta reunión a fin de considerar el siguiente temario:</w:t>
      </w:r>
    </w:p>
    <w:p w14:paraId="35AAD0C9" w14:textId="77777777" w:rsidR="00A869E4" w:rsidRPr="00FD7C74" w:rsidRDefault="00A869E4" w:rsidP="004A000B">
      <w:pPr>
        <w:spacing w:after="0" w:line="240" w:lineRule="auto"/>
        <w:jc w:val="both"/>
        <w:rPr>
          <w:rFonts w:ascii="Times New Roman" w:eastAsia="Times New Roman" w:hAnsi="Times New Roman" w:cs="Times New Roman"/>
        </w:rPr>
      </w:pPr>
    </w:p>
    <w:p w14:paraId="5CAA1485" w14:textId="77777777" w:rsidR="00684F03" w:rsidRDefault="004D2E9A" w:rsidP="004A000B">
      <w:pPr>
        <w:pStyle w:val="paragraph"/>
        <w:spacing w:before="0" w:beforeAutospacing="0" w:after="0" w:afterAutospacing="0"/>
        <w:jc w:val="both"/>
        <w:textAlignment w:val="baseline"/>
        <w:rPr>
          <w:rStyle w:val="normaltextrun"/>
          <w:rFonts w:asciiTheme="minorHAnsi" w:eastAsiaTheme="minorHAnsi" w:hAnsiTheme="minorHAnsi" w:cstheme="minorBidi"/>
          <w:sz w:val="22"/>
          <w:szCs w:val="22"/>
          <w:lang w:val="es-ES" w:eastAsia="en-US"/>
        </w:rPr>
      </w:pPr>
      <w:r w:rsidRPr="1EC6998A">
        <w:rPr>
          <w:rStyle w:val="normaltextrun"/>
          <w:b/>
          <w:bCs/>
          <w:sz w:val="22"/>
          <w:szCs w:val="22"/>
          <w:u w:val="single"/>
        </w:rPr>
        <w:t xml:space="preserve">1) </w:t>
      </w:r>
      <w:r w:rsidR="00615276" w:rsidRPr="1EC6998A">
        <w:rPr>
          <w:rStyle w:val="normaltextrun"/>
          <w:b/>
          <w:bCs/>
          <w:sz w:val="22"/>
          <w:szCs w:val="22"/>
          <w:u w:val="single"/>
        </w:rPr>
        <w:t>Consideración de la emisión por parte de la Sociedad de una o más clases de obligaciones negociables bajo el programa global de emisión de obligaciones negociables simples, no convertibles en acciones por un valor nominal de hasta U$S80.000.000 (Dólares Estadounidenses ochenta millones) (o su equivalente en otras monedas y/o unidades de valor) (el “Programa”).</w:t>
      </w:r>
      <w:r w:rsidR="00DC3E04" w:rsidRPr="1EC6998A">
        <w:rPr>
          <w:rStyle w:val="normaltextrun"/>
          <w:sz w:val="22"/>
          <w:szCs w:val="22"/>
        </w:rPr>
        <w:t xml:space="preserve"> </w:t>
      </w:r>
      <w:r w:rsidR="00615276" w:rsidRPr="1EC6998A">
        <w:rPr>
          <w:rStyle w:val="normaltextrun"/>
          <w:sz w:val="22"/>
          <w:szCs w:val="22"/>
        </w:rPr>
        <w:t>El Sr. Presidente expresa que, como es de conocimiento de los Sres. Directores, la Asamblea de Accionistas de la Sociedad celebrada el 13 de febrero de 2015, aprobó la creación del Programa, por un monto nominal máximo en circulación que no excedería de U$S60.000.000 (Dólares Estadounidenses sesenta millones) (o su equivalente en otras monedas), cuyos términos y condiciones fueran fijados por el Directorio de la Sociedad en su reunión de fecha 13 de febrero de 2015. Continúa en uso de la palabra el Sr. Presidente y expresa que, el Programa fue aprobado por el Directorio de la Comisión Nacional de Valores (la “</w:t>
      </w:r>
      <w:r w:rsidR="00615276" w:rsidRPr="1EC6998A">
        <w:rPr>
          <w:rStyle w:val="normaltextrun"/>
          <w:sz w:val="22"/>
          <w:szCs w:val="22"/>
          <w:u w:val="single"/>
        </w:rPr>
        <w:t>CNV</w:t>
      </w:r>
      <w:r w:rsidR="00615276" w:rsidRPr="1EC6998A">
        <w:rPr>
          <w:rStyle w:val="normaltextrun"/>
          <w:sz w:val="22"/>
          <w:szCs w:val="22"/>
        </w:rPr>
        <w:t xml:space="preserve">”) mediante dictado de la Resolución N° 17.749 de fecha 30 de julio de 2015. Posteriormente, con fecha 27 de abril de 2018 mediante Asamblea de Accionistas se decidió la modificación de ciertos términos y condiciones del Programa y el aumento del monto del Programa a U$S 80.000.000 (Dólares Estadounidenses ochenta millones). Finalmente, la prórroga de vigencia del Programa, la modificación de términos y condiciones, así como la renovación de facultades delegadas en el Directorio en relación con el Programa por un plazo de 5 años o el mayor plazo permitido por la normativa vigente fueron resueltas en la Asamblea General Ordinaria y Extraordinaria de accionistas de la Sociedad fecha 29 de octubre de 2019 y por reunión de este Directorio de fecha 22 de junio de 2020. </w:t>
      </w:r>
    </w:p>
    <w:p w14:paraId="2510C225" w14:textId="421CA238" w:rsidR="00615276" w:rsidRDefault="00615276" w:rsidP="00A869E4">
      <w:pPr>
        <w:pStyle w:val="paragraph"/>
        <w:spacing w:before="0" w:beforeAutospacing="0" w:after="0" w:afterAutospacing="0"/>
        <w:jc w:val="both"/>
        <w:textAlignment w:val="baseline"/>
        <w:rPr>
          <w:rStyle w:val="eop"/>
          <w:sz w:val="22"/>
          <w:szCs w:val="22"/>
        </w:rPr>
      </w:pPr>
      <w:r w:rsidRPr="00FD7C74">
        <w:rPr>
          <w:rStyle w:val="normaltextrun"/>
          <w:sz w:val="22"/>
          <w:szCs w:val="22"/>
        </w:rPr>
        <w:t xml:space="preserve">El Sr. Presidente expresa que, en virtud de todo lo expuesto y teniendo en consideración las condiciones actuales del mercado, sería conveniente para la Sociedad recurrir al mercado de capitales para obtener financiamiento mediante la emisión de una o más clases de obligaciones negociables por hasta el monto máximo en conjunto de </w:t>
      </w:r>
      <w:r w:rsidR="0020343D" w:rsidRPr="00F31500">
        <w:rPr>
          <w:rStyle w:val="normaltextrun"/>
          <w:sz w:val="22"/>
          <w:szCs w:val="22"/>
        </w:rPr>
        <w:t xml:space="preserve">U$S </w:t>
      </w:r>
      <w:r w:rsidR="0020343D" w:rsidRPr="004A000B">
        <w:rPr>
          <w:rStyle w:val="normaltextrun"/>
          <w:sz w:val="22"/>
          <w:szCs w:val="22"/>
        </w:rPr>
        <w:t>2</w:t>
      </w:r>
      <w:r w:rsidR="006D1166" w:rsidRPr="004A000B">
        <w:rPr>
          <w:rStyle w:val="normaltextrun"/>
          <w:sz w:val="22"/>
          <w:szCs w:val="22"/>
        </w:rPr>
        <w:t>5</w:t>
      </w:r>
      <w:r w:rsidR="0020343D" w:rsidRPr="004A000B">
        <w:rPr>
          <w:rStyle w:val="normaltextrun"/>
          <w:sz w:val="22"/>
          <w:szCs w:val="22"/>
        </w:rPr>
        <w:t>.000.000 (Dólares Estadounidenses veint</w:t>
      </w:r>
      <w:r w:rsidR="004A000B" w:rsidRPr="004A000B">
        <w:rPr>
          <w:rStyle w:val="normaltextrun"/>
          <w:sz w:val="22"/>
          <w:szCs w:val="22"/>
        </w:rPr>
        <w:t xml:space="preserve">icinco </w:t>
      </w:r>
      <w:r w:rsidR="0020343D" w:rsidRPr="004A000B">
        <w:rPr>
          <w:rStyle w:val="normaltextrun"/>
          <w:sz w:val="22"/>
          <w:szCs w:val="22"/>
        </w:rPr>
        <w:t>millones)</w:t>
      </w:r>
      <w:r w:rsidRPr="004A000B">
        <w:rPr>
          <w:rStyle w:val="normaltextrun"/>
          <w:sz w:val="22"/>
          <w:szCs w:val="22"/>
        </w:rPr>
        <w:t xml:space="preserve"> (o su equivalente en otras monedas y/o unidades de valor) (el “</w:t>
      </w:r>
      <w:r w:rsidRPr="004A000B">
        <w:rPr>
          <w:rStyle w:val="normaltextrun"/>
          <w:sz w:val="22"/>
          <w:szCs w:val="22"/>
          <w:u w:val="single"/>
        </w:rPr>
        <w:t>Monto Máximo</w:t>
      </w:r>
      <w:r w:rsidRPr="004A000B">
        <w:rPr>
          <w:rStyle w:val="normaltextrun"/>
          <w:sz w:val="22"/>
          <w:szCs w:val="22"/>
        </w:rPr>
        <w:t>” y las “</w:t>
      </w:r>
      <w:r w:rsidRPr="004A000B">
        <w:rPr>
          <w:rStyle w:val="normaltextrun"/>
          <w:sz w:val="22"/>
          <w:szCs w:val="22"/>
          <w:u w:val="single"/>
        </w:rPr>
        <w:t>Obligaciones Negociables</w:t>
      </w:r>
      <w:r w:rsidRPr="004A000B">
        <w:rPr>
          <w:rStyle w:val="normaltextrun"/>
          <w:sz w:val="22"/>
          <w:szCs w:val="22"/>
        </w:rPr>
        <w:t>”, respectivamente)</w:t>
      </w:r>
      <w:r w:rsidR="00D25DD9" w:rsidRPr="004A000B">
        <w:rPr>
          <w:rStyle w:val="normaltextrun"/>
          <w:sz w:val="22"/>
          <w:szCs w:val="22"/>
        </w:rPr>
        <w:t xml:space="preserve">. </w:t>
      </w:r>
      <w:r w:rsidRPr="004A000B">
        <w:rPr>
          <w:rStyle w:val="normaltextrun"/>
          <w:sz w:val="22"/>
          <w:szCs w:val="22"/>
        </w:rPr>
        <w:t>A continuación, el Señor Presidente procede a resumir brevemente los términos y condiciones generales de las Obligaciones Negociables, conforme se encuentran detallados en el correspondiente suplemento de precio preliminar, el cual ha sido previamente distribuido entre los señores Directores (el “</w:t>
      </w:r>
      <w:r w:rsidRPr="004A000B">
        <w:rPr>
          <w:rStyle w:val="normaltextrun"/>
          <w:sz w:val="22"/>
          <w:szCs w:val="22"/>
          <w:u w:val="single"/>
        </w:rPr>
        <w:t>Suplemento de Precio Preliminar</w:t>
      </w:r>
      <w:r w:rsidRPr="004A000B">
        <w:rPr>
          <w:rStyle w:val="normaltextrun"/>
          <w:sz w:val="22"/>
          <w:szCs w:val="22"/>
        </w:rPr>
        <w:t xml:space="preserve">”), y los que podrán ser determinados y/o modificados total o parcialmente por cualesquiera de los Subdelegados, de acuerdo con lo que se resuelva en el siguiente punto del Orden del Día, y de conformidad con los términos y condiciones detallados en el Programa: </w:t>
      </w:r>
      <w:r w:rsidRPr="004A000B">
        <w:rPr>
          <w:rStyle w:val="normaltextrun"/>
          <w:b/>
          <w:bCs/>
          <w:sz w:val="22"/>
          <w:szCs w:val="22"/>
        </w:rPr>
        <w:t>Títulos a ser Emitidos</w:t>
      </w:r>
      <w:r w:rsidRPr="004A000B">
        <w:rPr>
          <w:rStyle w:val="normaltextrun"/>
          <w:sz w:val="22"/>
          <w:szCs w:val="22"/>
        </w:rPr>
        <w:t xml:space="preserve">: Obligaciones Negociables. </w:t>
      </w:r>
      <w:r w:rsidRPr="004A000B">
        <w:rPr>
          <w:rStyle w:val="normaltextrun"/>
          <w:b/>
          <w:bCs/>
          <w:sz w:val="22"/>
          <w:szCs w:val="22"/>
        </w:rPr>
        <w:t>Clases y/o Series: </w:t>
      </w:r>
      <w:r w:rsidRPr="004A000B">
        <w:rPr>
          <w:rStyle w:val="normaltextrun"/>
          <w:sz w:val="22"/>
          <w:szCs w:val="22"/>
        </w:rPr>
        <w:t>podrán emitirse la cantidad de clases y/o series que se determine en el Suplemento de Precio (las “</w:t>
      </w:r>
      <w:r w:rsidRPr="004A000B">
        <w:rPr>
          <w:rStyle w:val="normaltextrun"/>
          <w:sz w:val="22"/>
          <w:szCs w:val="22"/>
          <w:u w:val="single"/>
        </w:rPr>
        <w:t>Clases</w:t>
      </w:r>
      <w:r w:rsidRPr="004A000B">
        <w:rPr>
          <w:rStyle w:val="normaltextrun"/>
          <w:sz w:val="22"/>
          <w:szCs w:val="22"/>
        </w:rPr>
        <w:t>” y/o “</w:t>
      </w:r>
      <w:r w:rsidRPr="004A000B">
        <w:rPr>
          <w:rStyle w:val="normaltextrun"/>
          <w:sz w:val="22"/>
          <w:szCs w:val="22"/>
          <w:u w:val="single"/>
        </w:rPr>
        <w:t>Series</w:t>
      </w:r>
      <w:r w:rsidRPr="004A000B">
        <w:rPr>
          <w:rStyle w:val="normaltextrun"/>
          <w:sz w:val="22"/>
          <w:szCs w:val="22"/>
        </w:rPr>
        <w:t xml:space="preserve">”), con facultad de re-emisión de las Obligaciones Negociables o cualquiera de sus series. </w:t>
      </w:r>
      <w:r w:rsidRPr="004A000B">
        <w:rPr>
          <w:rStyle w:val="normaltextrun"/>
          <w:b/>
          <w:bCs/>
          <w:sz w:val="22"/>
          <w:szCs w:val="22"/>
        </w:rPr>
        <w:t>Monto de la Emisión:</w:t>
      </w:r>
      <w:r w:rsidRPr="004A000B">
        <w:rPr>
          <w:rStyle w:val="normaltextrun"/>
          <w:sz w:val="22"/>
          <w:szCs w:val="22"/>
        </w:rPr>
        <w:t xml:space="preserve"> </w:t>
      </w:r>
      <w:r w:rsidRPr="004A000B">
        <w:rPr>
          <w:rStyle w:val="normaltextrun"/>
          <w:sz w:val="22"/>
          <w:szCs w:val="22"/>
          <w:lang w:val="es-ES"/>
        </w:rPr>
        <w:t>el valor nominal global total de las Obligaciones Negociables no podrá superar</w:t>
      </w:r>
      <w:r w:rsidRPr="004A000B">
        <w:rPr>
          <w:rStyle w:val="normaltextrun"/>
          <w:sz w:val="22"/>
          <w:szCs w:val="22"/>
        </w:rPr>
        <w:t xml:space="preserve"> el monto máximo en conjunto el Monto Máximo de U$S </w:t>
      </w:r>
      <w:r w:rsidR="00F31500" w:rsidRPr="004A000B">
        <w:rPr>
          <w:rStyle w:val="normaltextrun"/>
          <w:sz w:val="22"/>
          <w:szCs w:val="22"/>
        </w:rPr>
        <w:t>2</w:t>
      </w:r>
      <w:r w:rsidR="006D1166" w:rsidRPr="004A000B">
        <w:rPr>
          <w:rStyle w:val="normaltextrun"/>
          <w:sz w:val="22"/>
          <w:szCs w:val="22"/>
        </w:rPr>
        <w:t>5</w:t>
      </w:r>
      <w:r w:rsidR="00F31500" w:rsidRPr="004A000B">
        <w:rPr>
          <w:rStyle w:val="normaltextrun"/>
          <w:sz w:val="22"/>
          <w:szCs w:val="22"/>
        </w:rPr>
        <w:t>.000.000 (Dólares Estadounidenses veint</w:t>
      </w:r>
      <w:r w:rsidR="004A000B" w:rsidRPr="004A000B">
        <w:rPr>
          <w:rStyle w:val="normaltextrun"/>
          <w:sz w:val="22"/>
          <w:szCs w:val="22"/>
        </w:rPr>
        <w:t>icinco</w:t>
      </w:r>
      <w:r w:rsidR="00F31500" w:rsidRPr="004A000B">
        <w:rPr>
          <w:rStyle w:val="normaltextrun"/>
          <w:sz w:val="22"/>
          <w:szCs w:val="22"/>
        </w:rPr>
        <w:t xml:space="preserve"> millones) </w:t>
      </w:r>
      <w:r w:rsidRPr="004A000B">
        <w:rPr>
          <w:rStyle w:val="normaltextrun"/>
          <w:sz w:val="22"/>
          <w:szCs w:val="22"/>
        </w:rPr>
        <w:t>(o</w:t>
      </w:r>
      <w:r w:rsidRPr="00F31500">
        <w:rPr>
          <w:rStyle w:val="normaltextrun"/>
          <w:sz w:val="22"/>
          <w:szCs w:val="22"/>
        </w:rPr>
        <w:t xml:space="preserve"> su equivalente en otras monedas y/o unidades de valor</w:t>
      </w:r>
      <w:r w:rsidRPr="00FD7C74">
        <w:rPr>
          <w:rStyle w:val="normaltextrun"/>
          <w:sz w:val="22"/>
          <w:szCs w:val="22"/>
        </w:rPr>
        <w:t>)</w:t>
      </w:r>
      <w:r w:rsidRPr="00FD7C74">
        <w:rPr>
          <w:rStyle w:val="normaltextrun"/>
          <w:sz w:val="22"/>
          <w:szCs w:val="22"/>
          <w:lang w:val="es-ES"/>
        </w:rPr>
        <w:t>, o el monto que oportunamente determinen los Subdelegados</w:t>
      </w:r>
      <w:r w:rsidRPr="00FD7C74">
        <w:rPr>
          <w:rStyle w:val="normaltextrun"/>
          <w:sz w:val="22"/>
          <w:szCs w:val="22"/>
        </w:rPr>
        <w:t xml:space="preserve">, </w:t>
      </w:r>
      <w:r w:rsidRPr="00FD7C74">
        <w:rPr>
          <w:rStyle w:val="normaltextrun"/>
          <w:sz w:val="22"/>
          <w:szCs w:val="22"/>
          <w:lang w:val="es-ES"/>
        </w:rPr>
        <w:t xml:space="preserve">o conforme se determine en el Suplemento de Precio. Podrán establecerse montos de referencia para cada una de las Clases y/o Series. </w:t>
      </w:r>
      <w:r w:rsidRPr="00FD7C74">
        <w:rPr>
          <w:rStyle w:val="normaltextrun"/>
          <w:b/>
          <w:bCs/>
          <w:sz w:val="22"/>
          <w:szCs w:val="22"/>
        </w:rPr>
        <w:t>Oferta</w:t>
      </w:r>
      <w:r w:rsidRPr="00FD7C74">
        <w:rPr>
          <w:rStyle w:val="normaltextrun"/>
          <w:sz w:val="22"/>
          <w:szCs w:val="22"/>
        </w:rPr>
        <w:t>: las Obligaciones Negociables serán ofrecidas en la República Argentina en el marco de la Ley N° 26.831 (con sus modificatorias y complementarias, la “</w:t>
      </w:r>
      <w:r w:rsidRPr="00FD7C74">
        <w:rPr>
          <w:rStyle w:val="normaltextrun"/>
          <w:sz w:val="22"/>
          <w:szCs w:val="22"/>
          <w:u w:val="single"/>
        </w:rPr>
        <w:t>Ley de Mercado de Capitales</w:t>
      </w:r>
      <w:r w:rsidRPr="00FD7C74">
        <w:rPr>
          <w:rStyle w:val="normaltextrun"/>
          <w:sz w:val="22"/>
          <w:szCs w:val="22"/>
        </w:rPr>
        <w:t>”), la Ley N° 23.576 (con sus modificatorias y complementarias, la “</w:t>
      </w:r>
      <w:r w:rsidRPr="00FD7C74">
        <w:rPr>
          <w:rStyle w:val="normaltextrun"/>
          <w:sz w:val="22"/>
          <w:szCs w:val="22"/>
          <w:u w:val="single"/>
        </w:rPr>
        <w:t>Ley de Obligaciones Negociables</w:t>
      </w:r>
      <w:r w:rsidRPr="00FD7C74">
        <w:rPr>
          <w:rStyle w:val="normaltextrun"/>
          <w:sz w:val="22"/>
          <w:szCs w:val="22"/>
        </w:rPr>
        <w:t xml:space="preserve">”) y demás normativa aplicable o conforme se determine en el Suplemento de Precio. </w:t>
      </w:r>
      <w:r w:rsidRPr="00FD7C74">
        <w:rPr>
          <w:rStyle w:val="normaltextrun"/>
          <w:b/>
          <w:bCs/>
          <w:sz w:val="22"/>
          <w:szCs w:val="22"/>
        </w:rPr>
        <w:t>Organizador</w:t>
      </w:r>
      <w:r w:rsidRPr="00FD7C74">
        <w:rPr>
          <w:rStyle w:val="normaltextrun"/>
          <w:sz w:val="22"/>
          <w:szCs w:val="22"/>
        </w:rPr>
        <w:t xml:space="preserve"> </w:t>
      </w:r>
      <w:r w:rsidRPr="00FD7C74">
        <w:rPr>
          <w:rStyle w:val="normaltextrun"/>
          <w:b/>
          <w:bCs/>
          <w:sz w:val="22"/>
          <w:szCs w:val="22"/>
        </w:rPr>
        <w:t>y/o Colocador</w:t>
      </w:r>
      <w:r w:rsidRPr="00FD7C74">
        <w:rPr>
          <w:rStyle w:val="normaltextrun"/>
          <w:sz w:val="22"/>
          <w:szCs w:val="22"/>
        </w:rPr>
        <w:t xml:space="preserve">: </w:t>
      </w:r>
      <w:r w:rsidR="0055571C">
        <w:rPr>
          <w:rStyle w:val="normaltextrun"/>
          <w:sz w:val="22"/>
          <w:szCs w:val="22"/>
        </w:rPr>
        <w:t>serán aquellos</w:t>
      </w:r>
      <w:r w:rsidRPr="00FD7C74">
        <w:rPr>
          <w:rStyle w:val="normaltextrun"/>
          <w:sz w:val="22"/>
          <w:szCs w:val="22"/>
        </w:rPr>
        <w:t xml:space="preserve"> que la Sociedad designe a tal efecto y/o se indiquen en el Suplemento de Precio y/o en un aviso complementario al Suplemento de Precio. </w:t>
      </w:r>
      <w:r w:rsidRPr="00FD7C74">
        <w:rPr>
          <w:rStyle w:val="normaltextrun"/>
          <w:b/>
          <w:bCs/>
          <w:sz w:val="22"/>
          <w:szCs w:val="22"/>
        </w:rPr>
        <w:t>Subcolocadores</w:t>
      </w:r>
      <w:r w:rsidRPr="00FD7C74">
        <w:rPr>
          <w:rStyle w:val="normaltextrun"/>
          <w:sz w:val="22"/>
          <w:szCs w:val="22"/>
        </w:rPr>
        <w:t xml:space="preserve">: podrán </w:t>
      </w:r>
      <w:r w:rsidR="0055571C">
        <w:rPr>
          <w:rStyle w:val="normaltextrun"/>
          <w:sz w:val="22"/>
          <w:szCs w:val="22"/>
        </w:rPr>
        <w:t>designarse</w:t>
      </w:r>
      <w:r w:rsidRPr="00FD7C74">
        <w:rPr>
          <w:rStyle w:val="normaltextrun"/>
          <w:sz w:val="22"/>
          <w:szCs w:val="22"/>
        </w:rPr>
        <w:t xml:space="preserve"> subcolocadores, conforme se indique en el Suplemento de Precio. </w:t>
      </w:r>
      <w:r w:rsidRPr="00FD7C74">
        <w:rPr>
          <w:rStyle w:val="normaltextrun"/>
          <w:b/>
          <w:bCs/>
          <w:sz w:val="22"/>
          <w:szCs w:val="22"/>
        </w:rPr>
        <w:t>Liquidación</w:t>
      </w:r>
      <w:r w:rsidRPr="00FD7C74">
        <w:rPr>
          <w:rStyle w:val="normaltextrun"/>
          <w:sz w:val="22"/>
          <w:szCs w:val="22"/>
        </w:rPr>
        <w:t>: la liquidación de las Obligaciones Negociables se realizará a través del sistema MAE</w:t>
      </w:r>
      <w:r w:rsidR="0055571C">
        <w:rPr>
          <w:rStyle w:val="normaltextrun"/>
          <w:sz w:val="22"/>
          <w:szCs w:val="22"/>
        </w:rPr>
        <w:t>-</w:t>
      </w:r>
      <w:r w:rsidRPr="00FD7C74">
        <w:rPr>
          <w:rStyle w:val="normaltextrun"/>
          <w:sz w:val="22"/>
          <w:szCs w:val="22"/>
        </w:rPr>
        <w:t xml:space="preserve">Clear S.A. y/o del modo que se determine en el Suplemento de Precio. </w:t>
      </w:r>
      <w:r w:rsidRPr="00FD7C74">
        <w:rPr>
          <w:rStyle w:val="normaltextrun"/>
          <w:b/>
          <w:bCs/>
          <w:sz w:val="22"/>
          <w:szCs w:val="22"/>
        </w:rPr>
        <w:t>Descripción</w:t>
      </w:r>
      <w:r w:rsidRPr="00FD7C74">
        <w:rPr>
          <w:rStyle w:val="normaltextrun"/>
          <w:sz w:val="22"/>
          <w:szCs w:val="22"/>
        </w:rPr>
        <w:t xml:space="preserve">: las Obligaciones Negociables serán obligaciones negociables simples, no convertibles en acciones. </w:t>
      </w:r>
      <w:r w:rsidRPr="00FD7C74">
        <w:rPr>
          <w:rStyle w:val="normaltextrun"/>
          <w:b/>
          <w:bCs/>
          <w:sz w:val="22"/>
          <w:szCs w:val="22"/>
        </w:rPr>
        <w:t>Sistema de Colocación</w:t>
      </w:r>
      <w:r w:rsidRPr="00FD7C74">
        <w:rPr>
          <w:rStyle w:val="normaltextrun"/>
          <w:sz w:val="22"/>
          <w:szCs w:val="22"/>
        </w:rPr>
        <w:t>: la colocación primaria de las Obligaciones Negociables podrá realizarse mediante subasta pública con posibilidad de participación de todos los interesados (“</w:t>
      </w:r>
      <w:r w:rsidRPr="00FD7C74">
        <w:rPr>
          <w:rStyle w:val="normaltextrun"/>
          <w:sz w:val="22"/>
          <w:szCs w:val="22"/>
          <w:u w:val="single"/>
        </w:rPr>
        <w:t>Subasta Pública</w:t>
      </w:r>
      <w:r w:rsidRPr="00FD7C74">
        <w:rPr>
          <w:rStyle w:val="normaltextrun"/>
          <w:sz w:val="22"/>
          <w:szCs w:val="22"/>
        </w:rPr>
        <w:t>”) en la modalidad que se indique en el Suplemento de Precio, a través del módulo de licitaciones del sistema informático SIOPEL del Mercado Abierto Electrónico S.A. (el “</w:t>
      </w:r>
      <w:r w:rsidRPr="00FD7C74">
        <w:rPr>
          <w:rStyle w:val="normaltextrun"/>
          <w:sz w:val="22"/>
          <w:szCs w:val="22"/>
          <w:u w:val="single"/>
        </w:rPr>
        <w:t>MAE</w:t>
      </w:r>
      <w:r w:rsidRPr="00FD7C74">
        <w:rPr>
          <w:rStyle w:val="normaltextrun"/>
          <w:sz w:val="22"/>
          <w:szCs w:val="22"/>
        </w:rPr>
        <w:t xml:space="preserve">”), o conforme cualquier otro procedimiento que se indique en el Suplemento de Precio. </w:t>
      </w:r>
      <w:r w:rsidRPr="00FD7C74">
        <w:rPr>
          <w:rStyle w:val="normaltextrun"/>
          <w:b/>
          <w:bCs/>
          <w:sz w:val="22"/>
          <w:szCs w:val="22"/>
        </w:rPr>
        <w:t>Forma</w:t>
      </w:r>
      <w:r w:rsidRPr="00FD7C74">
        <w:rPr>
          <w:rStyle w:val="normaltextrun"/>
          <w:sz w:val="22"/>
          <w:szCs w:val="22"/>
        </w:rPr>
        <w:t>: las Obligaciones Negociables podrán estar representadas bajo la forma de certificado global a ser depositado en el sistema de depósito colectivo llevado por Caja de Valores S.A. (la “</w:t>
      </w:r>
      <w:r w:rsidRPr="00FD7C74">
        <w:rPr>
          <w:rStyle w:val="normaltextrun"/>
          <w:sz w:val="22"/>
          <w:szCs w:val="22"/>
          <w:u w:val="single"/>
        </w:rPr>
        <w:t>Caja de Valores</w:t>
      </w:r>
      <w:r w:rsidRPr="00FD7C74">
        <w:rPr>
          <w:rStyle w:val="normaltextrun"/>
          <w:sz w:val="22"/>
          <w:szCs w:val="22"/>
        </w:rPr>
        <w:t>”), o en la forma que se determine en el Suplemento de Precio.</w:t>
      </w:r>
      <w:r w:rsidRPr="00FD7C74">
        <w:rPr>
          <w:rStyle w:val="normaltextrun"/>
          <w:b/>
          <w:bCs/>
          <w:sz w:val="22"/>
          <w:szCs w:val="22"/>
        </w:rPr>
        <w:t xml:space="preserve"> Moneda</w:t>
      </w:r>
      <w:r w:rsidRPr="00FD7C74">
        <w:rPr>
          <w:rStyle w:val="normaltextrun"/>
          <w:sz w:val="22"/>
          <w:szCs w:val="22"/>
        </w:rPr>
        <w:t xml:space="preserve">: las Obligaciones Negociables podrán estar denominadas en Dólares Estadounidenses y/o </w:t>
      </w:r>
      <w:r w:rsidR="002A24CC">
        <w:rPr>
          <w:rStyle w:val="normaltextrun"/>
          <w:sz w:val="22"/>
          <w:szCs w:val="22"/>
        </w:rPr>
        <w:t xml:space="preserve">en Pesos y/o </w:t>
      </w:r>
      <w:r w:rsidRPr="00FD7C74">
        <w:rPr>
          <w:rStyle w:val="normaltextrun"/>
          <w:sz w:val="22"/>
          <w:szCs w:val="22"/>
        </w:rPr>
        <w:t xml:space="preserve">en otras monedas y/o unidades de valor, conforme se determine en el Suplemento de Precio. </w:t>
      </w:r>
      <w:r w:rsidRPr="00FD7C74">
        <w:rPr>
          <w:rStyle w:val="normaltextrun"/>
          <w:b/>
          <w:bCs/>
          <w:sz w:val="22"/>
          <w:szCs w:val="22"/>
        </w:rPr>
        <w:t>Fecha de Emisión</w:t>
      </w:r>
      <w:r w:rsidRPr="00FD7C74">
        <w:rPr>
          <w:rStyle w:val="normaltextrun"/>
          <w:sz w:val="22"/>
          <w:szCs w:val="22"/>
        </w:rPr>
        <w:t xml:space="preserve">: será determinada conforme se indique en el Suplemento de Precio. </w:t>
      </w:r>
      <w:r w:rsidR="2EA0C755" w:rsidRPr="7B0D5669">
        <w:rPr>
          <w:rStyle w:val="normaltextrun"/>
          <w:b/>
          <w:bCs/>
          <w:sz w:val="22"/>
          <w:szCs w:val="22"/>
        </w:rPr>
        <w:t>Integración</w:t>
      </w:r>
      <w:r w:rsidR="2EA0C755" w:rsidRPr="00FD7C74">
        <w:rPr>
          <w:rStyle w:val="normaltextrun"/>
          <w:sz w:val="22"/>
          <w:szCs w:val="22"/>
        </w:rPr>
        <w:t xml:space="preserve">: </w:t>
      </w:r>
      <w:r w:rsidR="2EA0C755" w:rsidRPr="7B0D5669">
        <w:rPr>
          <w:color w:val="000000" w:themeColor="text1"/>
          <w:sz w:val="22"/>
          <w:szCs w:val="22"/>
        </w:rPr>
        <w:t xml:space="preserve">las Obligaciones Negociables podrán ser integradas en efectivo y/o en especie, conforme se determine en el Suplemento de </w:t>
      </w:r>
      <w:r w:rsidR="2EA0C755" w:rsidRPr="7B0D5669">
        <w:rPr>
          <w:color w:val="000000" w:themeColor="text1"/>
          <w:sz w:val="22"/>
          <w:szCs w:val="22"/>
        </w:rPr>
        <w:lastRenderedPageBreak/>
        <w:t>Precio aplicable.</w:t>
      </w:r>
      <w:r w:rsidR="2EA0C755" w:rsidRPr="7B0D5669">
        <w:t xml:space="preserve"> </w:t>
      </w:r>
      <w:r w:rsidRPr="00FD7C74">
        <w:rPr>
          <w:rStyle w:val="normaltextrun"/>
          <w:b/>
          <w:bCs/>
          <w:sz w:val="22"/>
          <w:szCs w:val="22"/>
        </w:rPr>
        <w:t>Fecha de Vencimiento</w:t>
      </w:r>
      <w:r w:rsidRPr="00FD7C74">
        <w:rPr>
          <w:rStyle w:val="normaltextrun"/>
          <w:sz w:val="22"/>
          <w:szCs w:val="22"/>
        </w:rPr>
        <w:t xml:space="preserve">: Las Obligaciones Negociables vencerán en el plazo de hasta </w:t>
      </w:r>
      <w:r w:rsidR="00F31500" w:rsidRPr="004A000B">
        <w:rPr>
          <w:rStyle w:val="normaltextrun"/>
          <w:sz w:val="22"/>
          <w:szCs w:val="22"/>
        </w:rPr>
        <w:t>36</w:t>
      </w:r>
      <w:r w:rsidR="00F31500" w:rsidRPr="00FD7C74">
        <w:rPr>
          <w:rStyle w:val="normaltextrun"/>
          <w:sz w:val="22"/>
          <w:szCs w:val="22"/>
        </w:rPr>
        <w:t xml:space="preserve"> </w:t>
      </w:r>
      <w:r w:rsidRPr="00FD7C74">
        <w:rPr>
          <w:rStyle w:val="normaltextrun"/>
          <w:sz w:val="22"/>
          <w:szCs w:val="22"/>
        </w:rPr>
        <w:t xml:space="preserve">meses o el plazo mayor o menor que se determine en el Suplemento de Precio. </w:t>
      </w:r>
      <w:r w:rsidRPr="00FD7C74">
        <w:rPr>
          <w:rStyle w:val="normaltextrun"/>
          <w:b/>
          <w:bCs/>
          <w:sz w:val="22"/>
          <w:szCs w:val="22"/>
        </w:rPr>
        <w:t>Precio de Suscripción</w:t>
      </w:r>
      <w:r w:rsidRPr="00FD7C74">
        <w:rPr>
          <w:rStyle w:val="normaltextrun"/>
          <w:sz w:val="22"/>
          <w:szCs w:val="22"/>
        </w:rPr>
        <w:t xml:space="preserve">: las Obligaciones Negociables serán emitidas al 100% de su valor nominal o a un precio que será determinado una vez finalizado el procedimiento de colocación, conforme ello se establezca en el Suplemento de Precio. </w:t>
      </w:r>
      <w:r w:rsidRPr="00FD7C74">
        <w:rPr>
          <w:rStyle w:val="normaltextrun"/>
          <w:b/>
          <w:bCs/>
          <w:sz w:val="22"/>
          <w:szCs w:val="22"/>
        </w:rPr>
        <w:t>Intereses:</w:t>
      </w:r>
      <w:r w:rsidRPr="00FD7C74">
        <w:rPr>
          <w:rStyle w:val="normaltextrun"/>
          <w:sz w:val="22"/>
          <w:szCs w:val="22"/>
        </w:rPr>
        <w:t xml:space="preserve"> Las Obligaciones Negociables podrán devengar intereses a una tasa de interés variable, o a una tasa fija nominal anual, o mixta, o no devengar interés alguno, todo ello conforme se determine en el Suplemento de Precio. </w:t>
      </w:r>
      <w:r w:rsidRPr="00FD7C74">
        <w:rPr>
          <w:rStyle w:val="normaltextrun"/>
          <w:b/>
          <w:bCs/>
          <w:sz w:val="22"/>
          <w:szCs w:val="22"/>
        </w:rPr>
        <w:t>Pagos</w:t>
      </w:r>
      <w:r w:rsidRPr="00FD7C74">
        <w:rPr>
          <w:rStyle w:val="normaltextrun"/>
          <w:sz w:val="22"/>
          <w:szCs w:val="22"/>
        </w:rPr>
        <w:t xml:space="preserve">: todos los pagos serán efectuados por la Sociedad, en la República Argentina, a través de Caja de Valores S.A., o conforme se indique en el Suplemento de Precio. </w:t>
      </w:r>
      <w:r w:rsidRPr="00FD7C74">
        <w:rPr>
          <w:rStyle w:val="normaltextrun"/>
          <w:b/>
          <w:bCs/>
          <w:sz w:val="22"/>
          <w:szCs w:val="22"/>
        </w:rPr>
        <w:t>Amortización</w:t>
      </w:r>
      <w:r w:rsidRPr="00FD7C74">
        <w:rPr>
          <w:rStyle w:val="normaltextrun"/>
          <w:sz w:val="22"/>
          <w:szCs w:val="22"/>
        </w:rPr>
        <w:t xml:space="preserve">: El capital de las Obligaciones Negociables será pagadero del modo que se determine en el Suplemento de Precio. </w:t>
      </w:r>
      <w:r w:rsidRPr="00FD7C74">
        <w:rPr>
          <w:rStyle w:val="normaltextrun"/>
          <w:b/>
          <w:bCs/>
          <w:sz w:val="22"/>
          <w:szCs w:val="22"/>
        </w:rPr>
        <w:t>Monto Mínimo de Suscripción y Unidad Mínima de Negociación</w:t>
      </w:r>
      <w:r w:rsidRPr="00FD7C74">
        <w:rPr>
          <w:rStyle w:val="normaltextrun"/>
          <w:sz w:val="22"/>
          <w:szCs w:val="22"/>
        </w:rPr>
        <w:t xml:space="preserve">: El monto mínimo de suscripción y la unidad mínima de negociación de las Obligaciones Negociables serán determinados en el Suplemento de Precio. </w:t>
      </w:r>
      <w:r w:rsidRPr="00FD7C74">
        <w:rPr>
          <w:rStyle w:val="normaltextrun"/>
          <w:b/>
          <w:bCs/>
          <w:sz w:val="22"/>
          <w:szCs w:val="22"/>
        </w:rPr>
        <w:t>Garantías</w:t>
      </w:r>
      <w:r w:rsidRPr="00FD7C74">
        <w:rPr>
          <w:rStyle w:val="normaltextrun"/>
          <w:sz w:val="22"/>
          <w:szCs w:val="22"/>
        </w:rPr>
        <w:t xml:space="preserve">: las Obligaciones Negociables no gozarán de otra garantía que la común sobre el patrimonio de la Emisora, salvo que se especifique de otro modo en el Suplemento de Precio. </w:t>
      </w:r>
      <w:r w:rsidRPr="00FD7C74">
        <w:rPr>
          <w:rStyle w:val="normaltextrun"/>
          <w:b/>
          <w:bCs/>
          <w:sz w:val="22"/>
          <w:szCs w:val="22"/>
        </w:rPr>
        <w:t>Uso de los Fondos</w:t>
      </w:r>
      <w:r w:rsidRPr="00FD7C74">
        <w:rPr>
          <w:rStyle w:val="normaltextrun"/>
          <w:sz w:val="22"/>
          <w:szCs w:val="22"/>
        </w:rPr>
        <w:t>: los fondos netos provenientes de la colocación de las Obligaciones Negociables serán utilizados conforme se especifique en el Suplemento de Precio, de conformidad a lo previsto en el artículo 36 de la Ley de Obligaciones Negociables</w:t>
      </w:r>
      <w:r w:rsidR="00BC251F" w:rsidRPr="00FD7C74">
        <w:rPr>
          <w:rStyle w:val="normaltextrun"/>
          <w:sz w:val="22"/>
          <w:szCs w:val="22"/>
        </w:rPr>
        <w:t xml:space="preserve">. </w:t>
      </w:r>
      <w:r w:rsidRPr="00FD7C74">
        <w:rPr>
          <w:rStyle w:val="normaltextrun"/>
          <w:b/>
          <w:bCs/>
          <w:sz w:val="22"/>
          <w:szCs w:val="22"/>
        </w:rPr>
        <w:t>Listado y Negociación</w:t>
      </w:r>
      <w:r w:rsidRPr="00FD7C74">
        <w:rPr>
          <w:rStyle w:val="normaltextrun"/>
          <w:sz w:val="22"/>
          <w:szCs w:val="22"/>
        </w:rPr>
        <w:t>: las Obligaciones Negociables podrán ser listadas y/o negociadas en Bolsas y Mercados Argentinos S.A. (“</w:t>
      </w:r>
      <w:r w:rsidRPr="00FD7C74">
        <w:rPr>
          <w:rStyle w:val="normaltextrun"/>
          <w:sz w:val="22"/>
          <w:szCs w:val="22"/>
          <w:u w:val="single"/>
        </w:rPr>
        <w:t>BYMA</w:t>
      </w:r>
      <w:r w:rsidRPr="00FD7C74">
        <w:rPr>
          <w:rStyle w:val="normaltextrun"/>
          <w:sz w:val="22"/>
          <w:szCs w:val="22"/>
        </w:rPr>
        <w:t xml:space="preserve">”) y/o en el MAE, respectivamente, sujeto a la autorización que otorguen dichas entidades, así como también en cualquier mercado autorizado a operar en la República. </w:t>
      </w:r>
      <w:r w:rsidRPr="00FD7C74">
        <w:rPr>
          <w:rStyle w:val="normaltextrun"/>
          <w:b/>
          <w:bCs/>
          <w:sz w:val="22"/>
          <w:szCs w:val="22"/>
        </w:rPr>
        <w:t>Período de Difusión Pública y de Subasta Pública</w:t>
      </w:r>
      <w:r w:rsidRPr="00FD7C74">
        <w:rPr>
          <w:rStyle w:val="normaltextrun"/>
          <w:sz w:val="22"/>
          <w:szCs w:val="22"/>
        </w:rPr>
        <w:t xml:space="preserve">: El período de Difusión Pública y de Subasta Pública tendrá la duración que se determine en el Suplemento de Precio, en cumplimiento con la normativa aplicable, pudiendo ambos plazos ser ampliados, reducidos, interrumpidos o prorrogados por la Emisora, o conforme se especifique en Suplemento de Precio. </w:t>
      </w:r>
      <w:r w:rsidRPr="00FD7C74">
        <w:rPr>
          <w:rStyle w:val="normaltextrun"/>
          <w:b/>
          <w:bCs/>
          <w:sz w:val="22"/>
          <w:szCs w:val="22"/>
        </w:rPr>
        <w:t>Calificación de Riesgo</w:t>
      </w:r>
      <w:r w:rsidRPr="00FD7C74">
        <w:rPr>
          <w:rStyle w:val="normaltextrun"/>
          <w:sz w:val="22"/>
          <w:szCs w:val="22"/>
        </w:rPr>
        <w:t xml:space="preserve">: las Obligaciones Negociables podrán contar con calificación de riesgo, conforme se indique en el Suplemento de Precio. Sometido a consideración del Directorio lo hasta aquí expuesto por el Sr. Presidente, luego de un prolongado intercambio de ideas y de finalizado el análisis de la documentación distribuida entre los presentes, se </w:t>
      </w:r>
      <w:r w:rsidRPr="00FD7C74">
        <w:rPr>
          <w:rStyle w:val="normaltextrun"/>
          <w:b/>
          <w:bCs/>
          <w:sz w:val="22"/>
          <w:szCs w:val="22"/>
          <w:u w:val="single"/>
        </w:rPr>
        <w:t>RESUELVE</w:t>
      </w:r>
      <w:r w:rsidRPr="00FD7C74">
        <w:rPr>
          <w:rStyle w:val="normaltextrun"/>
          <w:sz w:val="22"/>
          <w:szCs w:val="22"/>
        </w:rPr>
        <w:t xml:space="preserve">: </w:t>
      </w:r>
      <w:r w:rsidRPr="00FD7C74">
        <w:rPr>
          <w:rStyle w:val="normaltextrun"/>
          <w:b/>
          <w:bCs/>
          <w:sz w:val="22"/>
          <w:szCs w:val="22"/>
        </w:rPr>
        <w:t>(i)</w:t>
      </w:r>
      <w:r w:rsidRPr="00FD7C74">
        <w:rPr>
          <w:rStyle w:val="normaltextrun"/>
          <w:sz w:val="22"/>
          <w:szCs w:val="22"/>
        </w:rPr>
        <w:t xml:space="preserve"> Aprobar la emisión de las Obligaciones Negociables en una o más Clases y/o Series bajo el Programa en los términos reseñados precedentemente; </w:t>
      </w:r>
      <w:r w:rsidRPr="00FD7C74">
        <w:rPr>
          <w:rStyle w:val="normaltextrun"/>
          <w:b/>
          <w:bCs/>
          <w:sz w:val="22"/>
          <w:szCs w:val="22"/>
        </w:rPr>
        <w:t>(ii)</w:t>
      </w:r>
      <w:r w:rsidRPr="00FD7C74">
        <w:rPr>
          <w:rStyle w:val="normaltextrun"/>
          <w:sz w:val="22"/>
          <w:szCs w:val="22"/>
        </w:rPr>
        <w:t xml:space="preserve"> Aprobar el Suplemento de Precio Preliminar; y </w:t>
      </w:r>
      <w:r w:rsidRPr="00FD7C74">
        <w:rPr>
          <w:rStyle w:val="normaltextrun"/>
          <w:b/>
          <w:bCs/>
          <w:sz w:val="22"/>
          <w:szCs w:val="22"/>
        </w:rPr>
        <w:t>(iii)</w:t>
      </w:r>
      <w:r w:rsidRPr="00FD7C74">
        <w:rPr>
          <w:rStyle w:val="normaltextrun"/>
          <w:sz w:val="22"/>
          <w:szCs w:val="22"/>
        </w:rPr>
        <w:t xml:space="preserve"> Aprobar la suscripción de los documentos necesarios para instrumentar la emisión de las Obligaciones Negociables, para obtener la autorización de oferta pública, listado y/o negociación de las Obligaciones Negociables. </w:t>
      </w:r>
      <w:r w:rsidRPr="00FD7C74">
        <w:rPr>
          <w:rStyle w:val="normaltextrun"/>
          <w:sz w:val="22"/>
          <w:szCs w:val="22"/>
          <w:lang w:val="es-MX"/>
        </w:rPr>
        <w:t>Se aprueban por unanimidad los puntos mencionados anteriormente y la moción del Sr. Presidente. Acto seguido se pone a consideración de los presentes el Segundo Punto del Orden del Día.</w:t>
      </w:r>
      <w:r w:rsidRPr="00FD7C74">
        <w:rPr>
          <w:rStyle w:val="eop"/>
          <w:sz w:val="22"/>
          <w:szCs w:val="22"/>
        </w:rPr>
        <w:t> </w:t>
      </w:r>
    </w:p>
    <w:p w14:paraId="457691E7" w14:textId="77777777" w:rsidR="00A869E4" w:rsidRPr="00FD7C74" w:rsidRDefault="00A869E4" w:rsidP="004A000B">
      <w:pPr>
        <w:pStyle w:val="paragraph"/>
        <w:spacing w:before="0" w:beforeAutospacing="0" w:after="0" w:afterAutospacing="0"/>
        <w:jc w:val="both"/>
        <w:textAlignment w:val="baseline"/>
        <w:rPr>
          <w:sz w:val="22"/>
          <w:szCs w:val="22"/>
        </w:rPr>
      </w:pPr>
    </w:p>
    <w:p w14:paraId="69A3DEF6" w14:textId="51C8761D" w:rsidR="00E65BCB" w:rsidRDefault="00E65BCB" w:rsidP="00A869E4">
      <w:pPr>
        <w:spacing w:after="0" w:line="240" w:lineRule="auto"/>
        <w:jc w:val="both"/>
        <w:rPr>
          <w:rFonts w:ascii="Times New Roman" w:eastAsia="Times New Roman" w:hAnsi="Times New Roman" w:cs="Times New Roman"/>
        </w:rPr>
      </w:pPr>
      <w:r w:rsidRPr="1EC6998A">
        <w:rPr>
          <w:rFonts w:ascii="Times New Roman" w:eastAsia="Times New Roman" w:hAnsi="Times New Roman" w:cs="Times New Roman"/>
          <w:b/>
          <w:bCs/>
        </w:rPr>
        <w:t xml:space="preserve">2) </w:t>
      </w:r>
      <w:r w:rsidRPr="1EC6998A">
        <w:rPr>
          <w:rFonts w:ascii="Times New Roman" w:eastAsia="Times New Roman" w:hAnsi="Times New Roman" w:cs="Times New Roman"/>
          <w:b/>
          <w:bCs/>
          <w:u w:val="single"/>
        </w:rPr>
        <w:t>Subdelegación de Facultades</w:t>
      </w:r>
      <w:r w:rsidRPr="1EC6998A">
        <w:rPr>
          <w:rFonts w:ascii="Times New Roman" w:eastAsia="Times New Roman" w:hAnsi="Times New Roman" w:cs="Times New Roman"/>
          <w:b/>
          <w:bCs/>
          <w:u w:val="single"/>
          <w:lang w:val="es-MX"/>
        </w:rPr>
        <w:t>.</w:t>
      </w:r>
      <w:r w:rsidRPr="00FD7C74">
        <w:rPr>
          <w:rFonts w:ascii="Times New Roman" w:eastAsia="Times New Roman" w:hAnsi="Times New Roman" w:cs="Times New Roman"/>
          <w:lang w:val="es-MX"/>
        </w:rPr>
        <w:t xml:space="preserve"> Toma la palabra </w:t>
      </w:r>
      <w:r w:rsidRPr="1EC6998A">
        <w:rPr>
          <w:rFonts w:ascii="Times New Roman" w:eastAsia="Times New Roman" w:hAnsi="Times New Roman" w:cs="Times New Roman"/>
        </w:rPr>
        <w:t xml:space="preserve">el Sr. Presidente y mociona para que se proceda a subdelegar en los </w:t>
      </w:r>
      <w:r w:rsidR="00251469" w:rsidRPr="004A000B">
        <w:rPr>
          <w:rFonts w:ascii="Times New Roman" w:eastAsia="Times New Roman" w:hAnsi="Times New Roman" w:cs="Times New Roman"/>
        </w:rPr>
        <w:t xml:space="preserve">Sres. Santiago </w:t>
      </w:r>
      <w:r w:rsidR="00B92DB9" w:rsidRPr="004A000B">
        <w:rPr>
          <w:rFonts w:ascii="Times New Roman" w:eastAsia="Times New Roman" w:hAnsi="Times New Roman" w:cs="Times New Roman"/>
        </w:rPr>
        <w:t>Cotter</w:t>
      </w:r>
      <w:r w:rsidR="00251469" w:rsidRPr="004A000B">
        <w:rPr>
          <w:rFonts w:ascii="Times New Roman" w:eastAsia="Times New Roman" w:hAnsi="Times New Roman" w:cs="Times New Roman"/>
        </w:rPr>
        <w:t>,</w:t>
      </w:r>
      <w:r w:rsidR="00B92DB9" w:rsidRPr="004A000B">
        <w:rPr>
          <w:rFonts w:ascii="Times New Roman" w:eastAsia="Times New Roman" w:hAnsi="Times New Roman" w:cs="Times New Roman"/>
        </w:rPr>
        <w:t xml:space="preserve"> R</w:t>
      </w:r>
      <w:r w:rsidR="00891F2A" w:rsidRPr="004A000B">
        <w:rPr>
          <w:rFonts w:ascii="Times New Roman" w:eastAsia="Times New Roman" w:hAnsi="Times New Roman" w:cs="Times New Roman"/>
        </w:rPr>
        <w:t xml:space="preserve">osendo José Grobocopatel y </w:t>
      </w:r>
      <w:r w:rsidR="00891F2A" w:rsidRPr="004A000B" w:rsidDel="00B92DB9">
        <w:rPr>
          <w:rFonts w:ascii="Times New Roman" w:eastAsia="Times New Roman" w:hAnsi="Times New Roman" w:cs="Times New Roman"/>
        </w:rPr>
        <w:t>Alejandro Alfredo Sorgentini</w:t>
      </w:r>
      <w:r w:rsidRPr="1EC6998A">
        <w:rPr>
          <w:rFonts w:ascii="Times New Roman" w:eastAsia="Times New Roman" w:hAnsi="Times New Roman" w:cs="Times New Roman"/>
        </w:rPr>
        <w:t xml:space="preserve"> las facultades para que actuando indistintamente cualesquiera de ellos: </w:t>
      </w:r>
      <w:r w:rsidRPr="1EC6998A">
        <w:rPr>
          <w:rFonts w:ascii="Times New Roman" w:eastAsia="Times New Roman" w:hAnsi="Times New Roman" w:cs="Times New Roman"/>
          <w:b/>
          <w:bCs/>
        </w:rPr>
        <w:t>(a)</w:t>
      </w:r>
      <w:r w:rsidRPr="1EC6998A">
        <w:rPr>
          <w:rFonts w:ascii="Times New Roman" w:eastAsia="Times New Roman" w:hAnsi="Times New Roman" w:cs="Times New Roman"/>
        </w:rPr>
        <w:t xml:space="preserve"> modifique la información del Suplemento de Precio cuya actualización se aprueba bajo la presente, solicite la aprobación del Suplemento de Precio, sin limitación, </w:t>
      </w:r>
      <w:r w:rsidRPr="1EC6998A">
        <w:rPr>
          <w:rFonts w:ascii="Times New Roman" w:eastAsia="Times New Roman" w:hAnsi="Times New Roman" w:cs="Times New Roman"/>
          <w:b/>
          <w:bCs/>
        </w:rPr>
        <w:t>(b)</w:t>
      </w:r>
      <w:r w:rsidRPr="1EC6998A">
        <w:rPr>
          <w:rFonts w:ascii="Times New Roman" w:eastAsia="Times New Roman" w:hAnsi="Times New Roman" w:cs="Times New Roman"/>
        </w:rPr>
        <w:t xml:space="preserve"> negocie y apruebe los restantes términos y condiciones de la emisión de las Obligaciones Negociables, modifique los términos y condiciones aprobados bajo la presente (incluyendo, sin limitación, las Clases y/o Series a ser emitidas, el monto de emisión, el valor nominal a emitir, el valor nominal de referencia a ser ofrecido por cada Clase o Serie -de así decidirse-, los organizadores, los colocadores, los subcolocadores, la moneda de emisión, el precio de emisión, la forma y plazos de amortización, la fecha de vencimiento, el tipo y la tasa de interés, garantías, el destino de los fondos obtenidos de la colocación, el sistema de colocación, la duración del período de Difusión Pública y el período de Subasta Pública, la decisión de que las Obligaciones Negociables cuenten o no con una o más calificaciones de riesgo, la designación del Agente de Liquidación, entre otros); </w:t>
      </w:r>
      <w:r w:rsidRPr="1EC6998A">
        <w:rPr>
          <w:rFonts w:ascii="Times New Roman" w:eastAsia="Times New Roman" w:hAnsi="Times New Roman" w:cs="Times New Roman"/>
          <w:b/>
          <w:bCs/>
        </w:rPr>
        <w:t xml:space="preserve">(c) </w:t>
      </w:r>
      <w:r w:rsidRPr="1EC6998A">
        <w:rPr>
          <w:rFonts w:ascii="Times New Roman" w:eastAsia="Times New Roman" w:hAnsi="Times New Roman" w:cs="Times New Roman"/>
        </w:rPr>
        <w:t xml:space="preserve">modifique todos aquellos términos y condiciones que sean necesarios o convenientes conforme a lo que eventualmente requiera la Comisión Nacional de Valores, y/o BYMA y/o el MAE o aquellos mercados donde las Obligaciones Negociables se listen y negocien, la Caja de Valores S.A., y cualquier otra institución ante la cual oportunamente se solicite algún tipo de autorización relacionada con las Obligaciones Negociables, con todas las facultades para proponer y/o realizar modificaciones a dichos términos y condiciones y aceptar, incluir, aprobar y/o impugnar las que soliciten, en su caso dichas entidades; </w:t>
      </w:r>
      <w:r w:rsidRPr="1EC6998A">
        <w:rPr>
          <w:rFonts w:ascii="Times New Roman" w:eastAsia="Times New Roman" w:hAnsi="Times New Roman" w:cs="Times New Roman"/>
          <w:b/>
          <w:bCs/>
        </w:rPr>
        <w:t>(d)</w:t>
      </w:r>
      <w:r w:rsidRPr="1EC6998A">
        <w:rPr>
          <w:rFonts w:ascii="Times New Roman" w:eastAsia="Times New Roman" w:hAnsi="Times New Roman" w:cs="Times New Roman"/>
        </w:rPr>
        <w:t xml:space="preserve"> firme, negocie, celebre, modifique y deje sin efecto todos aquellos contratos, reglamentos, acuerdos y documentos necesarios para la emisión, colocación, calificación, custodia y pago de las Obligaciones Negociables; como así también los documentos necesarios para materializar la garantía (contrato de fideicomiso, cesión, notas, prenda sobre cuenta bancaria, entre otros), con las más amplias facultades a tales efectos, entendiéndose que la enumeración precedente es meramente enunciativa. Tras una breve deliberación, se </w:t>
      </w:r>
      <w:r w:rsidRPr="1EC6998A">
        <w:rPr>
          <w:rFonts w:ascii="Times New Roman" w:eastAsia="Times New Roman" w:hAnsi="Times New Roman" w:cs="Times New Roman"/>
          <w:b/>
          <w:bCs/>
          <w:u w:val="single"/>
        </w:rPr>
        <w:t>RESUELVE</w:t>
      </w:r>
      <w:r w:rsidRPr="1EC6998A">
        <w:rPr>
          <w:rFonts w:ascii="Times New Roman" w:eastAsia="Times New Roman" w:hAnsi="Times New Roman" w:cs="Times New Roman"/>
        </w:rPr>
        <w:t xml:space="preserve"> aprobar por unanimidad la moción del Sr. Presidente. A continuación, se pone a consideración de los presentes el tercer y último punto del Orden del Día.</w:t>
      </w:r>
    </w:p>
    <w:p w14:paraId="77A6258F" w14:textId="77777777" w:rsidR="00A869E4" w:rsidRPr="00FD7C74" w:rsidRDefault="00A869E4" w:rsidP="004A000B">
      <w:pPr>
        <w:spacing w:after="0" w:line="240" w:lineRule="auto"/>
        <w:jc w:val="both"/>
        <w:rPr>
          <w:rFonts w:ascii="Times New Roman" w:eastAsia="Times New Roman" w:hAnsi="Times New Roman" w:cs="Times New Roman"/>
        </w:rPr>
      </w:pPr>
    </w:p>
    <w:p w14:paraId="7D786F07" w14:textId="2CD843F8" w:rsidR="00E65BCB" w:rsidRDefault="00E65BCB" w:rsidP="00A869E4">
      <w:pPr>
        <w:spacing w:after="0" w:line="240" w:lineRule="auto"/>
        <w:jc w:val="both"/>
        <w:rPr>
          <w:rFonts w:ascii="Times New Roman" w:eastAsia="Times New Roman" w:hAnsi="Times New Roman" w:cs="Times New Roman"/>
        </w:rPr>
      </w:pPr>
      <w:r w:rsidRPr="5FF904EE">
        <w:rPr>
          <w:rFonts w:ascii="Times New Roman" w:eastAsia="Times New Roman" w:hAnsi="Times New Roman" w:cs="Times New Roman"/>
          <w:b/>
          <w:bCs/>
          <w:u w:val="single"/>
          <w:lang w:val="es-MX"/>
        </w:rPr>
        <w:t xml:space="preserve">3) </w:t>
      </w:r>
      <w:r w:rsidRPr="5FF904EE">
        <w:rPr>
          <w:rFonts w:ascii="Times New Roman" w:eastAsia="Times New Roman" w:hAnsi="Times New Roman" w:cs="Times New Roman"/>
          <w:b/>
          <w:bCs/>
          <w:u w:val="single"/>
        </w:rPr>
        <w:t>Autorizaciones:</w:t>
      </w:r>
      <w:r w:rsidRPr="5FF904EE">
        <w:rPr>
          <w:rFonts w:ascii="Times New Roman" w:eastAsia="Times New Roman" w:hAnsi="Times New Roman" w:cs="Times New Roman"/>
        </w:rPr>
        <w:t xml:space="preserve"> El Sr. Presidente manifiesta que, a los fines de obtener las autorizaciones necesarias para instrumentar las decisiones de este Directorio, resulta conveniente, y mociona para que así sea, autorizar y designar a </w:t>
      </w:r>
      <w:r w:rsidR="00A869E4">
        <w:rPr>
          <w:rFonts w:ascii="Times New Roman" w:eastAsia="Times New Roman" w:hAnsi="Times New Roman" w:cs="Times New Roman"/>
        </w:rPr>
        <w:t xml:space="preserve">Pablo de Pellegrin, Diego V. Ales Gandolfo, Carlos Rodriguez Cuevas, </w:t>
      </w:r>
      <w:r w:rsidR="006D1166">
        <w:rPr>
          <w:rFonts w:ascii="Times New Roman" w:eastAsia="Times New Roman" w:hAnsi="Times New Roman" w:cs="Times New Roman"/>
        </w:rPr>
        <w:t xml:space="preserve">Ileana D. Franquez, Lucas E. Divito, </w:t>
      </w:r>
      <w:r w:rsidRPr="5FF904EE">
        <w:rPr>
          <w:rFonts w:ascii="Times New Roman" w:eastAsia="Times New Roman" w:hAnsi="Times New Roman" w:cs="Times New Roman"/>
        </w:rPr>
        <w:t xml:space="preserve">Luciana Denegri, María Victoria Pavani, </w:t>
      </w:r>
      <w:r w:rsidR="00FA6330" w:rsidRPr="5FF904EE">
        <w:rPr>
          <w:rFonts w:ascii="Times New Roman" w:eastAsia="Times New Roman" w:hAnsi="Times New Roman" w:cs="Times New Roman"/>
        </w:rPr>
        <w:t xml:space="preserve">Pablo Ignacio Godoy, María Inés Cappelletti, </w:t>
      </w:r>
      <w:r w:rsidRPr="5FF904EE">
        <w:rPr>
          <w:rFonts w:ascii="Times New Roman" w:eastAsia="Times New Roman" w:hAnsi="Times New Roman" w:cs="Times New Roman"/>
        </w:rPr>
        <w:t xml:space="preserve">Julián Ojeda, </w:t>
      </w:r>
      <w:r w:rsidR="00FA6330" w:rsidRPr="5FF904EE">
        <w:rPr>
          <w:rFonts w:ascii="Times New Roman" w:eastAsia="Times New Roman" w:hAnsi="Times New Roman" w:cs="Times New Roman"/>
        </w:rPr>
        <w:t xml:space="preserve">Tomás Cappellini, </w:t>
      </w:r>
      <w:r w:rsidRPr="5FF904EE">
        <w:rPr>
          <w:rFonts w:ascii="Times New Roman" w:eastAsia="Times New Roman" w:hAnsi="Times New Roman" w:cs="Times New Roman"/>
        </w:rPr>
        <w:t>María Belén Tschudy</w:t>
      </w:r>
      <w:r w:rsidR="00FA6330" w:rsidRPr="5FF904EE">
        <w:rPr>
          <w:rFonts w:ascii="Times New Roman" w:eastAsia="Times New Roman" w:hAnsi="Times New Roman" w:cs="Times New Roman"/>
        </w:rPr>
        <w:t xml:space="preserve"> </w:t>
      </w:r>
      <w:r w:rsidRPr="5FF904EE">
        <w:rPr>
          <w:rFonts w:ascii="Times New Roman" w:eastAsia="Times New Roman" w:hAnsi="Times New Roman" w:cs="Times New Roman"/>
        </w:rPr>
        <w:t xml:space="preserve">y/o a quienes ellos designen para efectuar todos los trámites, presentaciones, notificaciones y demás actos que fueran necesarios ante la CNV, el MAE, BYMA, y demás organismos y/o entidades involucradas que oportunamente se determinen, con el objeto de efectuar los trámites que sean necesarios. A tal efecto, los nombrados y/o las personas que pueda designar el Directorio quedan facultados para presentar solicitudes, aceptar y proponer las modificaciones que el organismo de contralor respectivo considere necesarias, firmar documentos, presentar peticiones, contestaciones, </w:t>
      </w:r>
      <w:r w:rsidRPr="5FF904EE">
        <w:rPr>
          <w:rFonts w:ascii="Times New Roman" w:eastAsia="Times New Roman" w:hAnsi="Times New Roman" w:cs="Times New Roman"/>
        </w:rPr>
        <w:lastRenderedPageBreak/>
        <w:t xml:space="preserve">formularios, documentos, notas y otros escritos, apelar o desistir de ese derecho, efectuar desgloses, contestar vistas o traslados y, en general, realizar todos los trámites y diligencias que sean necesarios para el cumplimiento de los fines resueltos, contando asimismo con todas aquellas facultades que no hayan sido expresamente delegadas precedentemente y que resulten necesarias o convenientes para la Sociedad a tales fines. Tras una breve deliberación, se </w:t>
      </w:r>
      <w:r w:rsidRPr="5FF904EE">
        <w:rPr>
          <w:rFonts w:ascii="Times New Roman" w:eastAsia="Times New Roman" w:hAnsi="Times New Roman" w:cs="Times New Roman"/>
          <w:b/>
          <w:bCs/>
          <w:u w:val="single"/>
        </w:rPr>
        <w:t>RESUELVE</w:t>
      </w:r>
      <w:r w:rsidRPr="5FF904EE">
        <w:rPr>
          <w:rFonts w:ascii="Times New Roman" w:eastAsia="Times New Roman" w:hAnsi="Times New Roman" w:cs="Times New Roman"/>
        </w:rPr>
        <w:t xml:space="preserve"> aprobar por unanimidad la moción del Sr. Presidente.</w:t>
      </w:r>
    </w:p>
    <w:p w14:paraId="68C0A09C" w14:textId="77777777" w:rsidR="00A869E4" w:rsidRPr="00FD7C74" w:rsidRDefault="00A869E4" w:rsidP="004A000B">
      <w:pPr>
        <w:spacing w:after="0" w:line="240" w:lineRule="auto"/>
        <w:jc w:val="both"/>
        <w:rPr>
          <w:rFonts w:ascii="Times New Roman" w:eastAsia="Times New Roman" w:hAnsi="Times New Roman" w:cs="Times New Roman"/>
        </w:rPr>
      </w:pPr>
    </w:p>
    <w:p w14:paraId="76F2B58D" w14:textId="3EDE5250" w:rsidR="00E65BCB" w:rsidRDefault="00E65BCB" w:rsidP="00A869E4">
      <w:pPr>
        <w:spacing w:after="0" w:line="240" w:lineRule="auto"/>
        <w:jc w:val="both"/>
        <w:rPr>
          <w:rFonts w:ascii="Times New Roman" w:eastAsia="Times New Roman" w:hAnsi="Times New Roman" w:cs="Times New Roman"/>
          <w:lang w:val="es-MX"/>
        </w:rPr>
      </w:pPr>
      <w:r w:rsidRPr="00FD7C74">
        <w:rPr>
          <w:rFonts w:ascii="Times New Roman" w:eastAsia="Times New Roman" w:hAnsi="Times New Roman" w:cs="Times New Roman"/>
          <w:lang w:val="es-MX"/>
        </w:rPr>
        <w:t xml:space="preserve">Los miembros de la Comisión Fiscalizadora dejan constancia acerca de la regularidad de las decisiones adoptadas. No habiendo más asuntos que tratar, se cierra la reunión siendo las </w:t>
      </w:r>
      <w:r w:rsidR="00A869E4">
        <w:rPr>
          <w:rFonts w:ascii="Times New Roman" w:eastAsia="Times New Roman" w:hAnsi="Times New Roman" w:cs="Times New Roman"/>
          <w:lang w:val="es-MX"/>
        </w:rPr>
        <w:t>9:30</w:t>
      </w:r>
      <w:r w:rsidR="00A869E4" w:rsidRPr="00FD7C74">
        <w:rPr>
          <w:rFonts w:ascii="Times New Roman" w:eastAsia="Times New Roman" w:hAnsi="Times New Roman" w:cs="Times New Roman"/>
          <w:lang w:val="es-MX"/>
        </w:rPr>
        <w:t xml:space="preserve"> </w:t>
      </w:r>
      <w:r w:rsidRPr="00FD7C74">
        <w:rPr>
          <w:rFonts w:ascii="Times New Roman" w:eastAsia="Times New Roman" w:hAnsi="Times New Roman" w:cs="Times New Roman"/>
          <w:lang w:val="es-MX"/>
        </w:rPr>
        <w:t>horas.</w:t>
      </w:r>
    </w:p>
    <w:p w14:paraId="3794AFE0" w14:textId="5E2BE303" w:rsidR="00A869E4" w:rsidRDefault="00A869E4" w:rsidP="00A869E4">
      <w:pPr>
        <w:spacing w:after="0" w:line="240" w:lineRule="auto"/>
        <w:jc w:val="both"/>
        <w:rPr>
          <w:rFonts w:ascii="Times New Roman" w:eastAsia="Times New Roman" w:hAnsi="Times New Roman" w:cs="Times New Roman"/>
          <w:lang w:val="es-MX"/>
        </w:rPr>
      </w:pPr>
    </w:p>
    <w:p w14:paraId="1833F444" w14:textId="3D673154" w:rsidR="003857E2" w:rsidRPr="00BA1BDE" w:rsidRDefault="003857E2" w:rsidP="003857E2">
      <w:pPr>
        <w:spacing w:after="0" w:line="240" w:lineRule="auto"/>
        <w:ind w:left="2" w:hanging="2"/>
        <w:jc w:val="both"/>
        <w:rPr>
          <w:rFonts w:ascii="Times New Roman" w:hAnsi="Times New Roman"/>
          <w:b/>
          <w:bCs/>
        </w:rPr>
      </w:pPr>
      <w:r w:rsidRPr="00BA1BDE">
        <w:rPr>
          <w:rFonts w:ascii="Times New Roman" w:hAnsi="Times New Roman"/>
          <w:b/>
          <w:bCs/>
        </w:rPr>
        <w:t xml:space="preserve">FIRMADA POR EL SR. COTTER SANTIAGO EN SU CALIDAD DE DIRECTOR TITULAR Y PRESIDENTE; Y LOS DRES. DAIREAUX SANTIAGO Y ARAMBURU PEDRO EUGENIO EN SU CALIDAD DE SINDICOS TITULARES DE LA COMISIÓN FISCALIZADORA. </w:t>
      </w:r>
      <w:r w:rsidRPr="00BA1BDE">
        <w:rPr>
          <w:rFonts w:ascii="Times New Roman" w:hAnsi="Times New Roman"/>
          <w:b/>
        </w:rPr>
        <w:t>ES COPIA FIEL DEL ACTA DE DIRECTORIO QUE CONSTA EN FOLIO</w:t>
      </w:r>
      <w:r>
        <w:rPr>
          <w:rFonts w:ascii="Times New Roman" w:hAnsi="Times New Roman"/>
          <w:b/>
        </w:rPr>
        <w:t>S</w:t>
      </w:r>
      <w:r w:rsidRPr="00BA1BDE">
        <w:rPr>
          <w:rFonts w:ascii="Times New Roman" w:hAnsi="Times New Roman"/>
          <w:b/>
        </w:rPr>
        <w:t xml:space="preserve"> </w:t>
      </w:r>
      <w:r w:rsidR="003413BC">
        <w:rPr>
          <w:rFonts w:ascii="Times New Roman" w:hAnsi="Times New Roman"/>
          <w:b/>
        </w:rPr>
        <w:t>203</w:t>
      </w:r>
      <w:r>
        <w:rPr>
          <w:rFonts w:ascii="Times New Roman" w:hAnsi="Times New Roman"/>
          <w:b/>
        </w:rPr>
        <w:t xml:space="preserve"> A </w:t>
      </w:r>
      <w:r w:rsidR="003413BC">
        <w:rPr>
          <w:rFonts w:ascii="Times New Roman" w:hAnsi="Times New Roman"/>
          <w:b/>
        </w:rPr>
        <w:t>205</w:t>
      </w:r>
      <w:r w:rsidRPr="00BA1BDE">
        <w:rPr>
          <w:rFonts w:ascii="Times New Roman" w:hAnsi="Times New Roman"/>
          <w:b/>
        </w:rPr>
        <w:t>, DEL LIBRO DE ACTAS DE DIRECTORIO NRO. 7 DE AGROFINA S.A., RUBRICADO EL 27 DE MARZO DE 2018 BAJO EL NÚMERO 16272</w:t>
      </w:r>
      <w:r w:rsidRPr="00BA1BDE">
        <w:rPr>
          <w:rFonts w:ascii="Times New Roman" w:hAnsi="Times New Roman"/>
          <w:b/>
          <w:bCs/>
        </w:rPr>
        <w:t>-18</w:t>
      </w:r>
    </w:p>
    <w:p w14:paraId="1C2E9B10" w14:textId="77777777" w:rsidR="003857E2" w:rsidRPr="00BA1BDE" w:rsidRDefault="003857E2" w:rsidP="003857E2">
      <w:pPr>
        <w:spacing w:after="0" w:line="240" w:lineRule="auto"/>
        <w:jc w:val="both"/>
        <w:rPr>
          <w:rFonts w:ascii="Times New Roman" w:hAnsi="Times New Roman"/>
          <w:b/>
          <w:bCs/>
        </w:rPr>
      </w:pPr>
    </w:p>
    <w:p w14:paraId="42FF7DCB" w14:textId="77777777" w:rsidR="003857E2" w:rsidRPr="00BA1BDE" w:rsidRDefault="003857E2" w:rsidP="003857E2">
      <w:pPr>
        <w:spacing w:after="0" w:line="240" w:lineRule="auto"/>
        <w:jc w:val="both"/>
        <w:rPr>
          <w:rFonts w:ascii="Times New Roman" w:hAnsi="Times New Roman"/>
          <w:b/>
          <w:bCs/>
        </w:rPr>
      </w:pPr>
    </w:p>
    <w:p w14:paraId="5E89AB70" w14:textId="77777777" w:rsidR="003857E2" w:rsidRPr="00BA1BDE" w:rsidRDefault="003857E2" w:rsidP="003857E2">
      <w:pPr>
        <w:spacing w:after="0" w:line="240" w:lineRule="auto"/>
        <w:jc w:val="center"/>
        <w:rPr>
          <w:rFonts w:ascii="Times New Roman" w:hAnsi="Times New Roman"/>
          <w:b/>
          <w:bCs/>
        </w:rPr>
      </w:pPr>
      <w:r w:rsidRPr="00BA1BDE">
        <w:rPr>
          <w:rFonts w:ascii="Times New Roman" w:hAnsi="Times New Roman"/>
          <w:b/>
          <w:bCs/>
        </w:rPr>
        <w:t>________________</w:t>
      </w:r>
    </w:p>
    <w:p w14:paraId="6282C798" w14:textId="77777777" w:rsidR="003857E2" w:rsidRPr="00BA1BDE" w:rsidRDefault="003857E2" w:rsidP="003857E2">
      <w:pPr>
        <w:spacing w:after="0" w:line="240" w:lineRule="auto"/>
        <w:jc w:val="center"/>
        <w:rPr>
          <w:rFonts w:ascii="Times New Roman" w:hAnsi="Times New Roman"/>
        </w:rPr>
      </w:pPr>
      <w:r w:rsidRPr="00BA1BDE">
        <w:rPr>
          <w:rFonts w:ascii="Times New Roman" w:hAnsi="Times New Roman"/>
        </w:rPr>
        <w:t>Santiago Cotter</w:t>
      </w:r>
    </w:p>
    <w:p w14:paraId="4E2FFF3D" w14:textId="77777777" w:rsidR="003857E2" w:rsidRPr="00BA1BDE" w:rsidRDefault="003857E2" w:rsidP="003857E2">
      <w:pPr>
        <w:spacing w:after="0" w:line="240" w:lineRule="auto"/>
        <w:jc w:val="center"/>
        <w:rPr>
          <w:rFonts w:ascii="Times New Roman" w:hAnsi="Times New Roman"/>
          <w:i/>
          <w:iCs/>
        </w:rPr>
      </w:pPr>
      <w:r w:rsidRPr="00BA1BDE">
        <w:rPr>
          <w:rFonts w:ascii="Times New Roman" w:hAnsi="Times New Roman"/>
          <w:i/>
          <w:iCs/>
        </w:rPr>
        <w:t>Presidente</w:t>
      </w:r>
    </w:p>
    <w:p w14:paraId="225FAC04" w14:textId="77777777" w:rsidR="003857E2" w:rsidRPr="00E91E2D" w:rsidRDefault="003857E2" w:rsidP="003857E2">
      <w:pPr>
        <w:autoSpaceDE w:val="0"/>
        <w:autoSpaceDN w:val="0"/>
        <w:adjustRightInd w:val="0"/>
        <w:spacing w:after="0" w:line="240" w:lineRule="auto"/>
        <w:jc w:val="center"/>
        <w:rPr>
          <w:rFonts w:ascii="Times New Roman" w:hAnsi="Times New Roman"/>
          <w:sz w:val="16"/>
          <w:szCs w:val="16"/>
          <w:lang w:val="pt-BR"/>
        </w:rPr>
      </w:pPr>
      <w:r w:rsidRPr="00BA1BDE">
        <w:rPr>
          <w:rFonts w:ascii="Times New Roman" w:hAnsi="Times New Roman"/>
          <w:b/>
          <w:bCs/>
        </w:rPr>
        <w:t>Agrofina S.A.</w:t>
      </w:r>
    </w:p>
    <w:p w14:paraId="3E0BED79" w14:textId="00C897A9" w:rsidR="001D531D" w:rsidRPr="00FD7C74" w:rsidRDefault="001D531D" w:rsidP="004D2E9A">
      <w:pPr>
        <w:jc w:val="both"/>
        <w:rPr>
          <w:rFonts w:ascii="Times New Roman" w:eastAsia="Times New Roman" w:hAnsi="Times New Roman" w:cs="Times New Roman"/>
          <w:lang w:val="pt-BR"/>
        </w:rPr>
      </w:pPr>
    </w:p>
    <w:sectPr w:rsidR="001D531D" w:rsidRPr="00FD7C74" w:rsidSect="00494BE3">
      <w:pgSz w:w="12240" w:h="20160" w:code="5"/>
      <w:pgMar w:top="1418" w:right="1361" w:bottom="1418"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A0439" w14:textId="77777777" w:rsidR="00D37F2E" w:rsidRDefault="00D37F2E" w:rsidP="00F14B0E">
      <w:pPr>
        <w:spacing w:after="0" w:line="240" w:lineRule="auto"/>
      </w:pPr>
      <w:r>
        <w:separator/>
      </w:r>
    </w:p>
  </w:endnote>
  <w:endnote w:type="continuationSeparator" w:id="0">
    <w:p w14:paraId="13C583A5" w14:textId="77777777" w:rsidR="00D37F2E" w:rsidRDefault="00D37F2E" w:rsidP="00F14B0E">
      <w:pPr>
        <w:spacing w:after="0" w:line="240" w:lineRule="auto"/>
      </w:pPr>
      <w:r>
        <w:continuationSeparator/>
      </w:r>
    </w:p>
  </w:endnote>
  <w:endnote w:type="continuationNotice" w:id="1">
    <w:p w14:paraId="1D0FB321" w14:textId="77777777" w:rsidR="00D37F2E" w:rsidRDefault="00D37F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1AEE2" w14:textId="77777777" w:rsidR="00D37F2E" w:rsidRDefault="00D37F2E" w:rsidP="00F14B0E">
      <w:pPr>
        <w:spacing w:after="0" w:line="240" w:lineRule="auto"/>
      </w:pPr>
      <w:r>
        <w:separator/>
      </w:r>
    </w:p>
  </w:footnote>
  <w:footnote w:type="continuationSeparator" w:id="0">
    <w:p w14:paraId="1FDFAE1A" w14:textId="77777777" w:rsidR="00D37F2E" w:rsidRDefault="00D37F2E" w:rsidP="00F14B0E">
      <w:pPr>
        <w:spacing w:after="0" w:line="240" w:lineRule="auto"/>
      </w:pPr>
      <w:r>
        <w:continuationSeparator/>
      </w:r>
    </w:p>
  </w:footnote>
  <w:footnote w:type="continuationNotice" w:id="1">
    <w:p w14:paraId="64867244" w14:textId="77777777" w:rsidR="00D37F2E" w:rsidRDefault="00D37F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4CD"/>
    <w:multiLevelType w:val="hybridMultilevel"/>
    <w:tmpl w:val="2C6C74A4"/>
    <w:lvl w:ilvl="0" w:tplc="0E5889AC">
      <w:start w:val="1"/>
      <w:numFmt w:val="decimal"/>
      <w:lvlText w:val="%1)"/>
      <w:lvlJc w:val="left"/>
      <w:pPr>
        <w:ind w:left="720" w:hanging="360"/>
      </w:pPr>
      <w:rPr>
        <w:rFonts w:hint="default"/>
        <w:b/>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24072D6"/>
    <w:multiLevelType w:val="hybridMultilevel"/>
    <w:tmpl w:val="8A8EDB4C"/>
    <w:lvl w:ilvl="0" w:tplc="A2E01A34">
      <w:start w:val="1"/>
      <w:numFmt w:val="decimal"/>
      <w:lvlText w:val="%1)"/>
      <w:lvlJc w:val="left"/>
      <w:pPr>
        <w:ind w:left="720" w:hanging="360"/>
      </w:pPr>
      <w:rPr>
        <w:rFonts w:hint="default"/>
        <w:b/>
        <w:color w:val="auto"/>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5C4313C"/>
    <w:multiLevelType w:val="hybridMultilevel"/>
    <w:tmpl w:val="4768C7FE"/>
    <w:lvl w:ilvl="0" w:tplc="DAA6BFF2">
      <w:start w:val="1"/>
      <w:numFmt w:val="decimal"/>
      <w:lvlText w:val="%1)"/>
      <w:lvlJc w:val="left"/>
      <w:pPr>
        <w:ind w:left="720" w:hanging="360"/>
      </w:pPr>
      <w:rPr>
        <w:rFonts w:hint="default"/>
        <w:b/>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D2B3906"/>
    <w:multiLevelType w:val="hybridMultilevel"/>
    <w:tmpl w:val="574C5148"/>
    <w:lvl w:ilvl="0" w:tplc="E0D87502">
      <w:start w:val="1"/>
      <w:numFmt w:val="decimal"/>
      <w:lvlText w:val="%1)"/>
      <w:lvlJc w:val="left"/>
      <w:pPr>
        <w:ind w:left="720" w:hanging="360"/>
      </w:pPr>
      <w:rPr>
        <w:rFonts w:ascii="Times New Roman" w:hAnsi="Times New Roman" w:cs="Times New Roman" w:hint="default"/>
        <w:b/>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5195818"/>
    <w:multiLevelType w:val="hybridMultilevel"/>
    <w:tmpl w:val="E0A22D86"/>
    <w:lvl w:ilvl="0" w:tplc="637E711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F191561"/>
    <w:multiLevelType w:val="hybridMultilevel"/>
    <w:tmpl w:val="57CC80C0"/>
    <w:lvl w:ilvl="0" w:tplc="F8C2F57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1471EE2"/>
    <w:multiLevelType w:val="hybridMultilevel"/>
    <w:tmpl w:val="8EA6D832"/>
    <w:lvl w:ilvl="0" w:tplc="0908FA08">
      <w:start w:val="1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5512DA2"/>
    <w:multiLevelType w:val="hybridMultilevel"/>
    <w:tmpl w:val="D39EF118"/>
    <w:lvl w:ilvl="0" w:tplc="CDE6719C">
      <w:start w:val="1"/>
      <w:numFmt w:val="decimal"/>
      <w:lvlText w:val="%1)"/>
      <w:lvlJc w:val="left"/>
      <w:pPr>
        <w:ind w:left="720" w:hanging="360"/>
      </w:pPr>
      <w:rPr>
        <w:rFonts w:ascii="Times New Roman" w:hAnsi="Times New Roman" w:cs="Times New Roman" w:hint="default"/>
        <w:b/>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9B3105D"/>
    <w:multiLevelType w:val="hybridMultilevel"/>
    <w:tmpl w:val="4A667E96"/>
    <w:lvl w:ilvl="0" w:tplc="5FC4806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6"/>
  </w:num>
  <w:num w:numId="5">
    <w:abstractNumId w:val="8"/>
  </w:num>
  <w:num w:numId="6">
    <w:abstractNumId w:val="5"/>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9E167E3"/>
    <w:rsid w:val="00034317"/>
    <w:rsid w:val="00066CB4"/>
    <w:rsid w:val="00084E3C"/>
    <w:rsid w:val="000A57CE"/>
    <w:rsid w:val="000B27B9"/>
    <w:rsid w:val="000C7F30"/>
    <w:rsid w:val="000E6062"/>
    <w:rsid w:val="001362C7"/>
    <w:rsid w:val="00176278"/>
    <w:rsid w:val="00195D66"/>
    <w:rsid w:val="001A4D30"/>
    <w:rsid w:val="001B385C"/>
    <w:rsid w:val="001C1BEE"/>
    <w:rsid w:val="001D531D"/>
    <w:rsid w:val="001D682A"/>
    <w:rsid w:val="001E0863"/>
    <w:rsid w:val="0020343D"/>
    <w:rsid w:val="00251469"/>
    <w:rsid w:val="002A24CC"/>
    <w:rsid w:val="002E16AB"/>
    <w:rsid w:val="002E36C6"/>
    <w:rsid w:val="002E76B5"/>
    <w:rsid w:val="003225A6"/>
    <w:rsid w:val="003413BC"/>
    <w:rsid w:val="00370323"/>
    <w:rsid w:val="00372087"/>
    <w:rsid w:val="003857E2"/>
    <w:rsid w:val="00395CD0"/>
    <w:rsid w:val="003C75E9"/>
    <w:rsid w:val="003E223E"/>
    <w:rsid w:val="003F5736"/>
    <w:rsid w:val="00444DF8"/>
    <w:rsid w:val="00464635"/>
    <w:rsid w:val="00494BE3"/>
    <w:rsid w:val="004A000B"/>
    <w:rsid w:val="004B1714"/>
    <w:rsid w:val="004B7803"/>
    <w:rsid w:val="004C5448"/>
    <w:rsid w:val="004D13A5"/>
    <w:rsid w:val="004D2E9A"/>
    <w:rsid w:val="004F7F2E"/>
    <w:rsid w:val="00507A71"/>
    <w:rsid w:val="0051360F"/>
    <w:rsid w:val="00516D7D"/>
    <w:rsid w:val="00516E44"/>
    <w:rsid w:val="0055571C"/>
    <w:rsid w:val="005A6501"/>
    <w:rsid w:val="005B72EE"/>
    <w:rsid w:val="005D5116"/>
    <w:rsid w:val="006010C7"/>
    <w:rsid w:val="00604C82"/>
    <w:rsid w:val="00615276"/>
    <w:rsid w:val="00633537"/>
    <w:rsid w:val="006705B9"/>
    <w:rsid w:val="00684F03"/>
    <w:rsid w:val="00685AFF"/>
    <w:rsid w:val="006971B2"/>
    <w:rsid w:val="006B4BB4"/>
    <w:rsid w:val="006D1166"/>
    <w:rsid w:val="007127F3"/>
    <w:rsid w:val="007140B0"/>
    <w:rsid w:val="00724F94"/>
    <w:rsid w:val="00762A6B"/>
    <w:rsid w:val="007A1B7D"/>
    <w:rsid w:val="007A21AF"/>
    <w:rsid w:val="007B59DE"/>
    <w:rsid w:val="007C47FC"/>
    <w:rsid w:val="007D3A73"/>
    <w:rsid w:val="00800234"/>
    <w:rsid w:val="00823292"/>
    <w:rsid w:val="00857FBD"/>
    <w:rsid w:val="008738B6"/>
    <w:rsid w:val="00891F2A"/>
    <w:rsid w:val="008B23D5"/>
    <w:rsid w:val="008F7D09"/>
    <w:rsid w:val="00931C7E"/>
    <w:rsid w:val="009341FB"/>
    <w:rsid w:val="00966359"/>
    <w:rsid w:val="00985274"/>
    <w:rsid w:val="009B2B39"/>
    <w:rsid w:val="009B4D06"/>
    <w:rsid w:val="009F3523"/>
    <w:rsid w:val="00A72A9A"/>
    <w:rsid w:val="00A869E4"/>
    <w:rsid w:val="00A922DB"/>
    <w:rsid w:val="00AE0599"/>
    <w:rsid w:val="00B02895"/>
    <w:rsid w:val="00B13AE0"/>
    <w:rsid w:val="00B426F5"/>
    <w:rsid w:val="00B76941"/>
    <w:rsid w:val="00B835FD"/>
    <w:rsid w:val="00B92DB9"/>
    <w:rsid w:val="00BA4B1E"/>
    <w:rsid w:val="00BC251F"/>
    <w:rsid w:val="00BF5933"/>
    <w:rsid w:val="00C40AD0"/>
    <w:rsid w:val="00C5388F"/>
    <w:rsid w:val="00C63CA4"/>
    <w:rsid w:val="00C853F5"/>
    <w:rsid w:val="00C87B28"/>
    <w:rsid w:val="00CA722B"/>
    <w:rsid w:val="00CE48F6"/>
    <w:rsid w:val="00D044C2"/>
    <w:rsid w:val="00D06898"/>
    <w:rsid w:val="00D118C9"/>
    <w:rsid w:val="00D25DD9"/>
    <w:rsid w:val="00D37F2E"/>
    <w:rsid w:val="00D43F16"/>
    <w:rsid w:val="00D56633"/>
    <w:rsid w:val="00D77174"/>
    <w:rsid w:val="00DC3E04"/>
    <w:rsid w:val="00DF0166"/>
    <w:rsid w:val="00DF030D"/>
    <w:rsid w:val="00E13431"/>
    <w:rsid w:val="00E363D8"/>
    <w:rsid w:val="00E51987"/>
    <w:rsid w:val="00E65BCB"/>
    <w:rsid w:val="00E815D9"/>
    <w:rsid w:val="00ED30D0"/>
    <w:rsid w:val="00EE2FCE"/>
    <w:rsid w:val="00F0248C"/>
    <w:rsid w:val="00F04C7D"/>
    <w:rsid w:val="00F1005D"/>
    <w:rsid w:val="00F14B0E"/>
    <w:rsid w:val="00F273C6"/>
    <w:rsid w:val="00F31500"/>
    <w:rsid w:val="00F81737"/>
    <w:rsid w:val="00F833FA"/>
    <w:rsid w:val="00FA6330"/>
    <w:rsid w:val="00FB3587"/>
    <w:rsid w:val="00FD3DA9"/>
    <w:rsid w:val="00FD7C74"/>
    <w:rsid w:val="00FE76F8"/>
    <w:rsid w:val="00FF0ACF"/>
    <w:rsid w:val="02755463"/>
    <w:rsid w:val="0281CF15"/>
    <w:rsid w:val="0358AC00"/>
    <w:rsid w:val="04C2B0AE"/>
    <w:rsid w:val="04EE1C3F"/>
    <w:rsid w:val="05E58937"/>
    <w:rsid w:val="06D560B1"/>
    <w:rsid w:val="0791E5F5"/>
    <w:rsid w:val="081A1B73"/>
    <w:rsid w:val="0862283B"/>
    <w:rsid w:val="0921FF10"/>
    <w:rsid w:val="0A14F9DC"/>
    <w:rsid w:val="0B5F0420"/>
    <w:rsid w:val="0DE7FF1C"/>
    <w:rsid w:val="0F76F79A"/>
    <w:rsid w:val="0F7A5C5A"/>
    <w:rsid w:val="1181FFD0"/>
    <w:rsid w:val="11979714"/>
    <w:rsid w:val="1209A2D6"/>
    <w:rsid w:val="12DC1643"/>
    <w:rsid w:val="12EB6319"/>
    <w:rsid w:val="1301989A"/>
    <w:rsid w:val="15334FB8"/>
    <w:rsid w:val="172EC300"/>
    <w:rsid w:val="17810B22"/>
    <w:rsid w:val="17835331"/>
    <w:rsid w:val="17BED43C"/>
    <w:rsid w:val="17CB7FB9"/>
    <w:rsid w:val="184C93AA"/>
    <w:rsid w:val="18761D11"/>
    <w:rsid w:val="1AB2991F"/>
    <w:rsid w:val="1D06BF48"/>
    <w:rsid w:val="1D2AFC00"/>
    <w:rsid w:val="1D444902"/>
    <w:rsid w:val="1D81A80A"/>
    <w:rsid w:val="1D919366"/>
    <w:rsid w:val="1DDAD9CB"/>
    <w:rsid w:val="1E3DE7EA"/>
    <w:rsid w:val="1EC6998A"/>
    <w:rsid w:val="1EFE83E6"/>
    <w:rsid w:val="20F527D5"/>
    <w:rsid w:val="24E357D7"/>
    <w:rsid w:val="2512AA42"/>
    <w:rsid w:val="25549D0D"/>
    <w:rsid w:val="26598005"/>
    <w:rsid w:val="2663C747"/>
    <w:rsid w:val="2667CDEE"/>
    <w:rsid w:val="26BC76E2"/>
    <w:rsid w:val="28445376"/>
    <w:rsid w:val="293D34E2"/>
    <w:rsid w:val="2C19A076"/>
    <w:rsid w:val="2CE2FBC6"/>
    <w:rsid w:val="2CFACCED"/>
    <w:rsid w:val="2CFBBB1C"/>
    <w:rsid w:val="2DC5B81C"/>
    <w:rsid w:val="2EA0C755"/>
    <w:rsid w:val="2F69292C"/>
    <w:rsid w:val="30FFF5D9"/>
    <w:rsid w:val="31979CF7"/>
    <w:rsid w:val="32467E34"/>
    <w:rsid w:val="331F7C6F"/>
    <w:rsid w:val="333114DA"/>
    <w:rsid w:val="33B47C29"/>
    <w:rsid w:val="3577147B"/>
    <w:rsid w:val="38457914"/>
    <w:rsid w:val="38553F54"/>
    <w:rsid w:val="38A9993B"/>
    <w:rsid w:val="39833AA3"/>
    <w:rsid w:val="39A1BC7B"/>
    <w:rsid w:val="39E167E3"/>
    <w:rsid w:val="39F6A1B3"/>
    <w:rsid w:val="3A8A2D65"/>
    <w:rsid w:val="3AED7597"/>
    <w:rsid w:val="3B252979"/>
    <w:rsid w:val="3C620DA3"/>
    <w:rsid w:val="3CEC912C"/>
    <w:rsid w:val="3DA93934"/>
    <w:rsid w:val="3E37A396"/>
    <w:rsid w:val="3F20B010"/>
    <w:rsid w:val="3F6065BF"/>
    <w:rsid w:val="3FE691EC"/>
    <w:rsid w:val="40F52FCB"/>
    <w:rsid w:val="40FB67ED"/>
    <w:rsid w:val="414D11BF"/>
    <w:rsid w:val="41880E14"/>
    <w:rsid w:val="4193AF06"/>
    <w:rsid w:val="42225A18"/>
    <w:rsid w:val="42799CEB"/>
    <w:rsid w:val="42B9D78A"/>
    <w:rsid w:val="4333D403"/>
    <w:rsid w:val="435483A4"/>
    <w:rsid w:val="4637CAD8"/>
    <w:rsid w:val="46437571"/>
    <w:rsid w:val="46F6195B"/>
    <w:rsid w:val="474259A8"/>
    <w:rsid w:val="479092B9"/>
    <w:rsid w:val="48E01176"/>
    <w:rsid w:val="496B3847"/>
    <w:rsid w:val="497F6A56"/>
    <w:rsid w:val="4A1AED06"/>
    <w:rsid w:val="4B7A8259"/>
    <w:rsid w:val="4BA6A812"/>
    <w:rsid w:val="4C5C285D"/>
    <w:rsid w:val="4CAE5C59"/>
    <w:rsid w:val="4DA73A69"/>
    <w:rsid w:val="4EEE5E29"/>
    <w:rsid w:val="51117668"/>
    <w:rsid w:val="51907074"/>
    <w:rsid w:val="52E5FB88"/>
    <w:rsid w:val="53358AF7"/>
    <w:rsid w:val="534C31EE"/>
    <w:rsid w:val="54E4F6C2"/>
    <w:rsid w:val="558734C3"/>
    <w:rsid w:val="55F0F107"/>
    <w:rsid w:val="56CF526C"/>
    <w:rsid w:val="578CC168"/>
    <w:rsid w:val="588617D0"/>
    <w:rsid w:val="58B71543"/>
    <w:rsid w:val="59A134FE"/>
    <w:rsid w:val="59B13149"/>
    <w:rsid w:val="59B7E8E0"/>
    <w:rsid w:val="5A5BB072"/>
    <w:rsid w:val="5AF10D6D"/>
    <w:rsid w:val="5B374560"/>
    <w:rsid w:val="5B40639D"/>
    <w:rsid w:val="5BA2C38F"/>
    <w:rsid w:val="5D57300A"/>
    <w:rsid w:val="5E78045F"/>
    <w:rsid w:val="5EBC334B"/>
    <w:rsid w:val="5EECAE34"/>
    <w:rsid w:val="5F1C7122"/>
    <w:rsid w:val="5FF904EE"/>
    <w:rsid w:val="6005FE80"/>
    <w:rsid w:val="60A08682"/>
    <w:rsid w:val="614EF8A4"/>
    <w:rsid w:val="61D7DD46"/>
    <w:rsid w:val="620BCD2A"/>
    <w:rsid w:val="628FC94A"/>
    <w:rsid w:val="643F3875"/>
    <w:rsid w:val="647630A0"/>
    <w:rsid w:val="6478D63D"/>
    <w:rsid w:val="64B28DAC"/>
    <w:rsid w:val="64B46EE2"/>
    <w:rsid w:val="64DD917C"/>
    <w:rsid w:val="65BE3C0B"/>
    <w:rsid w:val="65DB08D6"/>
    <w:rsid w:val="663D1535"/>
    <w:rsid w:val="67C6FA0A"/>
    <w:rsid w:val="67EE316C"/>
    <w:rsid w:val="680D95B6"/>
    <w:rsid w:val="683804C4"/>
    <w:rsid w:val="6929EF16"/>
    <w:rsid w:val="6970EB00"/>
    <w:rsid w:val="6A5F23C9"/>
    <w:rsid w:val="6AA1EFA9"/>
    <w:rsid w:val="6AA747E2"/>
    <w:rsid w:val="6AB176B8"/>
    <w:rsid w:val="6B23BE2B"/>
    <w:rsid w:val="6B6A8F03"/>
    <w:rsid w:val="6B6CD64B"/>
    <w:rsid w:val="6C9D1A94"/>
    <w:rsid w:val="6D675F7C"/>
    <w:rsid w:val="6DDDA55D"/>
    <w:rsid w:val="6E5B5EED"/>
    <w:rsid w:val="703607F8"/>
    <w:rsid w:val="7089897D"/>
    <w:rsid w:val="72510D51"/>
    <w:rsid w:val="72D45D02"/>
    <w:rsid w:val="72E7ED4F"/>
    <w:rsid w:val="7349C3BE"/>
    <w:rsid w:val="738FBB1D"/>
    <w:rsid w:val="73FD9579"/>
    <w:rsid w:val="740B57AA"/>
    <w:rsid w:val="74393A2C"/>
    <w:rsid w:val="75A7280B"/>
    <w:rsid w:val="765722FF"/>
    <w:rsid w:val="76B6699C"/>
    <w:rsid w:val="77364721"/>
    <w:rsid w:val="79677152"/>
    <w:rsid w:val="7B0D5669"/>
    <w:rsid w:val="7C489065"/>
    <w:rsid w:val="7C4D8FBF"/>
    <w:rsid w:val="7C6E0CF6"/>
    <w:rsid w:val="7E347850"/>
    <w:rsid w:val="7E558DE3"/>
    <w:rsid w:val="7EC57FFB"/>
    <w:rsid w:val="7EF7757C"/>
    <w:rsid w:val="7F183205"/>
    <w:rsid w:val="7FF15F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7ACE"/>
  <w15:docId w15:val="{A987F067-8DA3-4191-AA14-7D26844E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1A4D30"/>
    <w:pPr>
      <w:spacing w:line="240" w:lineRule="auto"/>
    </w:pPr>
    <w:rPr>
      <w:sz w:val="20"/>
      <w:szCs w:val="20"/>
    </w:rPr>
  </w:style>
  <w:style w:type="character" w:customStyle="1" w:styleId="TextocomentarioCar">
    <w:name w:val="Texto comentario Car"/>
    <w:basedOn w:val="Fuentedeprrafopredeter"/>
    <w:link w:val="Textocomentario"/>
    <w:uiPriority w:val="99"/>
    <w:rsid w:val="001A4D30"/>
    <w:rPr>
      <w:sz w:val="20"/>
      <w:szCs w:val="20"/>
    </w:rPr>
  </w:style>
  <w:style w:type="character" w:styleId="Refdecomentario">
    <w:name w:val="annotation reference"/>
    <w:basedOn w:val="Fuentedeprrafopredeter"/>
    <w:uiPriority w:val="99"/>
    <w:semiHidden/>
    <w:unhideWhenUsed/>
    <w:rsid w:val="001A4D30"/>
    <w:rPr>
      <w:sz w:val="16"/>
      <w:szCs w:val="16"/>
    </w:rPr>
  </w:style>
  <w:style w:type="paragraph" w:styleId="Textodeglobo">
    <w:name w:val="Balloon Text"/>
    <w:basedOn w:val="Normal"/>
    <w:link w:val="TextodegloboCar"/>
    <w:uiPriority w:val="99"/>
    <w:semiHidden/>
    <w:unhideWhenUsed/>
    <w:rsid w:val="00F14B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4B0E"/>
    <w:rPr>
      <w:rFonts w:ascii="Segoe UI" w:hAnsi="Segoe UI" w:cs="Segoe UI"/>
      <w:sz w:val="18"/>
      <w:szCs w:val="18"/>
    </w:rPr>
  </w:style>
  <w:style w:type="paragraph" w:styleId="Textonotapie">
    <w:name w:val="footnote text"/>
    <w:basedOn w:val="Normal"/>
    <w:link w:val="TextonotapieCar"/>
    <w:uiPriority w:val="99"/>
    <w:semiHidden/>
    <w:unhideWhenUsed/>
    <w:rsid w:val="00F14B0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4B0E"/>
    <w:rPr>
      <w:sz w:val="20"/>
      <w:szCs w:val="20"/>
    </w:rPr>
  </w:style>
  <w:style w:type="character" w:styleId="Refdenotaalpie">
    <w:name w:val="footnote reference"/>
    <w:basedOn w:val="Fuentedeprrafopredeter"/>
    <w:uiPriority w:val="99"/>
    <w:semiHidden/>
    <w:unhideWhenUsed/>
    <w:rsid w:val="00F14B0E"/>
    <w:rPr>
      <w:vertAlign w:val="superscript"/>
    </w:rPr>
  </w:style>
  <w:style w:type="character" w:customStyle="1" w:styleId="normaltextrun">
    <w:name w:val="normaltextrun"/>
    <w:basedOn w:val="Fuentedeprrafopredeter"/>
    <w:rsid w:val="000E6062"/>
  </w:style>
  <w:style w:type="paragraph" w:styleId="Encabezado">
    <w:name w:val="header"/>
    <w:basedOn w:val="Normal"/>
    <w:link w:val="EncabezadoCar"/>
    <w:uiPriority w:val="99"/>
    <w:unhideWhenUsed/>
    <w:rsid w:val="00DF01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0166"/>
  </w:style>
  <w:style w:type="paragraph" w:styleId="Piedepgina">
    <w:name w:val="footer"/>
    <w:basedOn w:val="Normal"/>
    <w:link w:val="PiedepginaCar"/>
    <w:uiPriority w:val="99"/>
    <w:unhideWhenUsed/>
    <w:rsid w:val="00DF01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0166"/>
  </w:style>
  <w:style w:type="paragraph" w:styleId="Revisin">
    <w:name w:val="Revision"/>
    <w:hidden/>
    <w:uiPriority w:val="99"/>
    <w:semiHidden/>
    <w:rsid w:val="00F1005D"/>
    <w:pPr>
      <w:spacing w:after="0" w:line="240" w:lineRule="auto"/>
    </w:pPr>
  </w:style>
  <w:style w:type="paragraph" w:styleId="Prrafodelista">
    <w:name w:val="List Paragraph"/>
    <w:basedOn w:val="Normal"/>
    <w:uiPriority w:val="34"/>
    <w:qFormat/>
    <w:rsid w:val="00E65BCB"/>
    <w:pPr>
      <w:ind w:left="720"/>
      <w:contextualSpacing/>
    </w:pPr>
  </w:style>
  <w:style w:type="paragraph" w:customStyle="1" w:styleId="paragraph">
    <w:name w:val="paragraph"/>
    <w:basedOn w:val="Normal"/>
    <w:rsid w:val="00615276"/>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eop">
    <w:name w:val="eop"/>
    <w:basedOn w:val="Fuentedeprrafopredeter"/>
    <w:rsid w:val="00615276"/>
  </w:style>
  <w:style w:type="character" w:customStyle="1" w:styleId="superscript">
    <w:name w:val="superscript"/>
    <w:basedOn w:val="Fuentedeprrafopredeter"/>
    <w:rsid w:val="00615276"/>
  </w:style>
  <w:style w:type="paragraph" w:styleId="Asuntodelcomentario">
    <w:name w:val="annotation subject"/>
    <w:basedOn w:val="Textocomentario"/>
    <w:next w:val="Textocomentario"/>
    <w:link w:val="AsuntodelcomentarioCar"/>
    <w:uiPriority w:val="99"/>
    <w:semiHidden/>
    <w:unhideWhenUsed/>
    <w:rsid w:val="009341FB"/>
    <w:rPr>
      <w:b/>
      <w:bCs/>
    </w:rPr>
  </w:style>
  <w:style w:type="character" w:customStyle="1" w:styleId="AsuntodelcomentarioCar">
    <w:name w:val="Asunto del comentario Car"/>
    <w:basedOn w:val="TextocomentarioCar"/>
    <w:link w:val="Asuntodelcomentario"/>
    <w:uiPriority w:val="99"/>
    <w:semiHidden/>
    <w:rsid w:val="009341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72345">
      <w:bodyDiv w:val="1"/>
      <w:marLeft w:val="0"/>
      <w:marRight w:val="0"/>
      <w:marTop w:val="0"/>
      <w:marBottom w:val="0"/>
      <w:divBdr>
        <w:top w:val="none" w:sz="0" w:space="0" w:color="auto"/>
        <w:left w:val="none" w:sz="0" w:space="0" w:color="auto"/>
        <w:bottom w:val="none" w:sz="0" w:space="0" w:color="auto"/>
        <w:right w:val="none" w:sz="0" w:space="0" w:color="auto"/>
      </w:divBdr>
      <w:divsChild>
        <w:div w:id="968778415">
          <w:marLeft w:val="0"/>
          <w:marRight w:val="0"/>
          <w:marTop w:val="0"/>
          <w:marBottom w:val="0"/>
          <w:divBdr>
            <w:top w:val="none" w:sz="0" w:space="0" w:color="auto"/>
            <w:left w:val="none" w:sz="0" w:space="0" w:color="auto"/>
            <w:bottom w:val="none" w:sz="0" w:space="0" w:color="auto"/>
            <w:right w:val="none" w:sz="0" w:space="0" w:color="auto"/>
          </w:divBdr>
        </w:div>
        <w:div w:id="1817449118">
          <w:marLeft w:val="0"/>
          <w:marRight w:val="0"/>
          <w:marTop w:val="0"/>
          <w:marBottom w:val="0"/>
          <w:divBdr>
            <w:top w:val="none" w:sz="0" w:space="0" w:color="auto"/>
            <w:left w:val="none" w:sz="0" w:space="0" w:color="auto"/>
            <w:bottom w:val="none" w:sz="0" w:space="0" w:color="auto"/>
            <w:right w:val="none" w:sz="0" w:space="0" w:color="auto"/>
          </w:divBdr>
        </w:div>
        <w:div w:id="1274559569">
          <w:marLeft w:val="0"/>
          <w:marRight w:val="0"/>
          <w:marTop w:val="0"/>
          <w:marBottom w:val="0"/>
          <w:divBdr>
            <w:top w:val="none" w:sz="0" w:space="0" w:color="auto"/>
            <w:left w:val="none" w:sz="0" w:space="0" w:color="auto"/>
            <w:bottom w:val="none" w:sz="0" w:space="0" w:color="auto"/>
            <w:right w:val="none" w:sz="0" w:space="0" w:color="auto"/>
          </w:divBdr>
        </w:div>
      </w:divsChild>
    </w:div>
    <w:div w:id="995376937">
      <w:bodyDiv w:val="1"/>
      <w:marLeft w:val="0"/>
      <w:marRight w:val="0"/>
      <w:marTop w:val="0"/>
      <w:marBottom w:val="0"/>
      <w:divBdr>
        <w:top w:val="none" w:sz="0" w:space="0" w:color="auto"/>
        <w:left w:val="none" w:sz="0" w:space="0" w:color="auto"/>
        <w:bottom w:val="none" w:sz="0" w:space="0" w:color="auto"/>
        <w:right w:val="none" w:sz="0" w:space="0" w:color="auto"/>
      </w:divBdr>
    </w:div>
    <w:div w:id="146002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fd6dc7-2d01-4d38-9854-4db86d9057e2">
      <Terms xmlns="http://schemas.microsoft.com/office/infopath/2007/PartnerControls"/>
    </lcf76f155ced4ddcb4097134ff3c332f>
    <TaxCatchAll xmlns="d1e8d9fc-c8b4-48aa-959e-ad80febfb1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79C21EE81AB7B40861247318B0686B5" ma:contentTypeVersion="13" ma:contentTypeDescription="Crear nuevo documento." ma:contentTypeScope="" ma:versionID="102893603d76d46f186d9fcc644b94b4">
  <xsd:schema xmlns:xsd="http://www.w3.org/2001/XMLSchema" xmlns:xs="http://www.w3.org/2001/XMLSchema" xmlns:p="http://schemas.microsoft.com/office/2006/metadata/properties" xmlns:ns2="f8fd6dc7-2d01-4d38-9854-4db86d9057e2" xmlns:ns3="d1e8d9fc-c8b4-48aa-959e-ad80febfb106" targetNamespace="http://schemas.microsoft.com/office/2006/metadata/properties" ma:root="true" ma:fieldsID="a7efeabee277091136f3a87a4b187d49" ns2:_="" ns3:_="">
    <xsd:import namespace="f8fd6dc7-2d01-4d38-9854-4db86d9057e2"/>
    <xsd:import namespace="d1e8d9fc-c8b4-48aa-959e-ad80febfb1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d6dc7-2d01-4d38-9854-4db86d905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1be1d658-6484-42b1-a040-5542837f68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e8d9fc-c8b4-48aa-959e-ad80febfb106"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83ad5a92-c607-43de-8622-73ab46b9d198}" ma:internalName="TaxCatchAll" ma:showField="CatchAllData" ma:web="d1e8d9fc-c8b4-48aa-959e-ad80febfb1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EE9A46-F1DB-4E31-9220-67D66D63E55A}">
  <ds:schemaRefs>
    <ds:schemaRef ds:uri="http://schemas.openxmlformats.org/officeDocument/2006/bibliography"/>
  </ds:schemaRefs>
</ds:datastoreItem>
</file>

<file path=customXml/itemProps2.xml><?xml version="1.0" encoding="utf-8"?>
<ds:datastoreItem xmlns:ds="http://schemas.openxmlformats.org/officeDocument/2006/customXml" ds:itemID="{B1F7CF26-3258-475E-B8EE-9934CFBAFB91}">
  <ds:schemaRefs>
    <ds:schemaRef ds:uri="http://schemas.microsoft.com/office/2006/metadata/properties"/>
    <ds:schemaRef ds:uri="http://schemas.microsoft.com/office/infopath/2007/PartnerControls"/>
    <ds:schemaRef ds:uri="f8fd6dc7-2d01-4d38-9854-4db86d9057e2"/>
    <ds:schemaRef ds:uri="d1e8d9fc-c8b4-48aa-959e-ad80febfb106"/>
  </ds:schemaRefs>
</ds:datastoreItem>
</file>

<file path=customXml/itemProps3.xml><?xml version="1.0" encoding="utf-8"?>
<ds:datastoreItem xmlns:ds="http://schemas.openxmlformats.org/officeDocument/2006/customXml" ds:itemID="{F42BD272-6408-407E-AE39-2FD90C590D1E}">
  <ds:schemaRefs>
    <ds:schemaRef ds:uri="http://schemas.microsoft.com/sharepoint/v3/contenttype/forms"/>
  </ds:schemaRefs>
</ds:datastoreItem>
</file>

<file path=customXml/itemProps4.xml><?xml version="1.0" encoding="utf-8"?>
<ds:datastoreItem xmlns:ds="http://schemas.openxmlformats.org/officeDocument/2006/customXml" ds:itemID="{4C7E9FFB-FA4D-4C83-B8E3-5416C814E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d6dc7-2d01-4d38-9854-4db86d9057e2"/>
    <ds:schemaRef ds:uri="d1e8d9fc-c8b4-48aa-959e-ad80febfb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2273</Words>
  <Characters>12505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Belén Tschudy</dc:creator>
  <cp:keywords/>
  <dc:description/>
  <cp:lastModifiedBy>Lucas Divito</cp:lastModifiedBy>
  <cp:revision>3</cp:revision>
  <dcterms:created xsi:type="dcterms:W3CDTF">2022-11-02T20:33:00Z</dcterms:created>
  <dcterms:modified xsi:type="dcterms:W3CDTF">2022-11-02T20:36:00Z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0x010100A79C21EE81AB7B40861247318B0686B5</vt:lpwstr>
  </property>
  <property fmtid="{D5CDD505-2E9C-101B-9397-08002B2CF9AE}" pid="3" name="MediaServiceImageTags">
    <vt:lpwstr/>
  </property>
</Properties>
</file>