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E2B" w:rsidRDefault="00134E2B" w:rsidP="00134E2B">
      <w:pPr>
        <w:jc w:val="center"/>
        <w:rPr>
          <w:sz w:val="20"/>
          <w:lang w:val="en-US"/>
        </w:rPr>
      </w:pP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</w:p>
    <w:p w:rsidR="00134E2B" w:rsidRDefault="00134E2B" w:rsidP="00134E2B">
      <w:pPr>
        <w:ind w:left="4248" w:firstLine="708"/>
        <w:jc w:val="right"/>
      </w:pPr>
      <w:r>
        <w:t xml:space="preserve">Buenos Aires, </w:t>
      </w:r>
      <w:r w:rsidR="00006365">
        <w:t>1</w:t>
      </w:r>
      <w:r w:rsidR="00403CBA">
        <w:t>9</w:t>
      </w:r>
      <w:r w:rsidR="00006365">
        <w:t xml:space="preserve"> de </w:t>
      </w:r>
      <w:proofErr w:type="gramStart"/>
      <w:r w:rsidR="00403CBA">
        <w:t>Marzo</w:t>
      </w:r>
      <w:proofErr w:type="gramEnd"/>
      <w:r w:rsidR="00006365">
        <w:t xml:space="preserve"> de 2019</w:t>
      </w:r>
    </w:p>
    <w:p w:rsidR="00134E2B" w:rsidRDefault="00134E2B" w:rsidP="00134E2B">
      <w:pPr>
        <w:pStyle w:val="InsideAddress"/>
        <w:rPr>
          <w:rFonts w:ascii="Times New Roman" w:hAnsi="Times New Roman"/>
          <w:b/>
          <w:spacing w:val="0"/>
          <w:sz w:val="24"/>
          <w:lang w:val="es-AR"/>
        </w:rPr>
      </w:pPr>
    </w:p>
    <w:p w:rsidR="00134E2B" w:rsidRPr="004060D2" w:rsidRDefault="00134E2B" w:rsidP="00134E2B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  <w:r w:rsidRPr="004060D2">
        <w:rPr>
          <w:b/>
          <w:bCs/>
          <w:i/>
          <w:iCs/>
          <w:color w:val="000000"/>
        </w:rPr>
        <w:t>Comisión Nacional de Valores</w:t>
      </w:r>
    </w:p>
    <w:p w:rsidR="00134E2B" w:rsidRPr="002D30CC" w:rsidRDefault="00134E2B" w:rsidP="00134E2B">
      <w:pPr>
        <w:widowControl w:val="0"/>
        <w:tabs>
          <w:tab w:val="left" w:pos="90"/>
        </w:tabs>
        <w:autoSpaceDE w:val="0"/>
        <w:autoSpaceDN w:val="0"/>
        <w:adjustRightInd w:val="0"/>
        <w:spacing w:before="29"/>
        <w:rPr>
          <w:b/>
          <w:bCs/>
          <w:i/>
          <w:iCs/>
          <w:color w:val="000000"/>
          <w:sz w:val="28"/>
          <w:szCs w:val="28"/>
        </w:rPr>
      </w:pPr>
      <w:r w:rsidRPr="004060D2">
        <w:rPr>
          <w:b/>
          <w:bCs/>
          <w:i/>
          <w:iCs/>
          <w:color w:val="000000"/>
        </w:rPr>
        <w:t xml:space="preserve">Gerencia de Emisoras </w:t>
      </w:r>
      <w:proofErr w:type="spellStart"/>
      <w:r w:rsidRPr="004060D2">
        <w:rPr>
          <w:b/>
          <w:bCs/>
          <w:i/>
          <w:iCs/>
          <w:color w:val="000000"/>
        </w:rPr>
        <w:t>Attn</w:t>
      </w:r>
      <w:proofErr w:type="spellEnd"/>
      <w:r w:rsidRPr="004060D2">
        <w:rPr>
          <w:b/>
          <w:bCs/>
          <w:i/>
          <w:iCs/>
          <w:color w:val="000000"/>
        </w:rPr>
        <w:t xml:space="preserve">. </w:t>
      </w:r>
      <w:r w:rsidRPr="002D30CC">
        <w:rPr>
          <w:b/>
          <w:bCs/>
          <w:i/>
          <w:iCs/>
          <w:color w:val="000000"/>
        </w:rPr>
        <w:t xml:space="preserve">Carlos </w:t>
      </w:r>
      <w:proofErr w:type="spellStart"/>
      <w:r w:rsidRPr="002D30CC">
        <w:rPr>
          <w:b/>
          <w:bCs/>
          <w:i/>
          <w:iCs/>
          <w:color w:val="000000"/>
        </w:rPr>
        <w:t>Bertani</w:t>
      </w:r>
      <w:proofErr w:type="spellEnd"/>
    </w:p>
    <w:p w:rsidR="00134E2B" w:rsidRDefault="00134E2B" w:rsidP="00134E2B">
      <w:pPr>
        <w:widowControl w:val="0"/>
        <w:tabs>
          <w:tab w:val="left" w:pos="90"/>
        </w:tabs>
        <w:autoSpaceDE w:val="0"/>
        <w:autoSpaceDN w:val="0"/>
        <w:adjustRightInd w:val="0"/>
        <w:spacing w:before="52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u w:val="single"/>
        </w:rPr>
        <w:t>Presente</w:t>
      </w:r>
    </w:p>
    <w:p w:rsidR="00134E2B" w:rsidRPr="00A35170" w:rsidRDefault="00134E2B" w:rsidP="00134E2B">
      <w:pPr>
        <w:pStyle w:val="InsideAddress"/>
        <w:rPr>
          <w:rFonts w:ascii="Times New Roman" w:hAnsi="Times New Roman"/>
          <w:i/>
          <w:lang w:val="es-AR"/>
        </w:rPr>
      </w:pPr>
    </w:p>
    <w:p w:rsidR="00134E2B" w:rsidRPr="00A35170" w:rsidRDefault="00134E2B" w:rsidP="00134E2B">
      <w:pPr>
        <w:pStyle w:val="InsideAddress"/>
        <w:rPr>
          <w:rFonts w:ascii="Times New Roman" w:hAnsi="Times New Roman"/>
          <w:i/>
          <w:lang w:val="es-AR"/>
        </w:rPr>
      </w:pPr>
    </w:p>
    <w:p w:rsidR="00403CBA" w:rsidRPr="00403CBA" w:rsidRDefault="00403CBA" w:rsidP="00403CBA">
      <w:pPr>
        <w:spacing w:line="220" w:lineRule="atLeast"/>
        <w:jc w:val="center"/>
        <w:rPr>
          <w:b/>
          <w:spacing w:val="-5"/>
          <w:sz w:val="22"/>
          <w:szCs w:val="22"/>
          <w:u w:val="single"/>
        </w:rPr>
      </w:pPr>
      <w:r w:rsidRPr="00403CBA">
        <w:rPr>
          <w:b/>
          <w:spacing w:val="-5"/>
          <w:sz w:val="22"/>
          <w:szCs w:val="22"/>
          <w:u w:val="single"/>
        </w:rPr>
        <w:t>INFORMACION SOBRE CEDEARS</w:t>
      </w:r>
    </w:p>
    <w:p w:rsidR="00403CBA" w:rsidRPr="00403CBA" w:rsidRDefault="00403CBA" w:rsidP="00403CBA">
      <w:pPr>
        <w:spacing w:line="220" w:lineRule="atLeast"/>
        <w:jc w:val="center"/>
        <w:rPr>
          <w:b/>
          <w:spacing w:val="-5"/>
          <w:sz w:val="22"/>
          <w:szCs w:val="22"/>
          <w:u w:val="single"/>
        </w:rPr>
      </w:pPr>
    </w:p>
    <w:p w:rsidR="00403CBA" w:rsidRPr="00403CBA" w:rsidRDefault="00403CBA" w:rsidP="00403CBA">
      <w:pPr>
        <w:rPr>
          <w:rFonts w:ascii="Arial" w:hAnsi="Arial" w:cs="Arial"/>
          <w:b/>
          <w:bCs/>
        </w:rPr>
      </w:pPr>
    </w:p>
    <w:p w:rsidR="00403CBA" w:rsidRPr="00403CBA" w:rsidRDefault="00403CBA" w:rsidP="00403CBA">
      <w:pPr>
        <w:rPr>
          <w:rFonts w:ascii="Arial" w:hAnsi="Arial" w:cs="Arial"/>
          <w:b/>
          <w:sz w:val="20"/>
        </w:rPr>
      </w:pPr>
      <w:r w:rsidRPr="00403CBA">
        <w:rPr>
          <w:rFonts w:ascii="Arial" w:hAnsi="Arial" w:cs="Arial"/>
          <w:b/>
          <w:bCs/>
          <w:sz w:val="20"/>
        </w:rPr>
        <w:t xml:space="preserve">DOWDUPONT INC- </w:t>
      </w:r>
      <w:r w:rsidRPr="00403CBA">
        <w:rPr>
          <w:rFonts w:ascii="Arial" w:hAnsi="Arial" w:cs="Arial"/>
          <w:b/>
          <w:i/>
          <w:sz w:val="20"/>
        </w:rPr>
        <w:t xml:space="preserve">Cód. 8018 – </w:t>
      </w:r>
      <w:r w:rsidRPr="00403CBA">
        <w:rPr>
          <w:rFonts w:ascii="Arial" w:hAnsi="Arial" w:cs="Arial"/>
          <w:b/>
          <w:sz w:val="20"/>
        </w:rPr>
        <w:t>ARDEUT110145</w:t>
      </w:r>
    </w:p>
    <w:p w:rsidR="00403CBA" w:rsidRPr="00403CBA" w:rsidRDefault="00403CBA" w:rsidP="00403CBA">
      <w:pPr>
        <w:pBdr>
          <w:bottom w:val="single" w:sz="6" w:space="1" w:color="auto"/>
        </w:pBdr>
        <w:spacing w:line="220" w:lineRule="atLeast"/>
        <w:rPr>
          <w:b/>
          <w:spacing w:val="-5"/>
          <w:sz w:val="22"/>
          <w:szCs w:val="22"/>
        </w:rPr>
      </w:pPr>
    </w:p>
    <w:p w:rsidR="00403CBA" w:rsidRPr="00403CBA" w:rsidRDefault="00403CBA" w:rsidP="00403CBA">
      <w:pPr>
        <w:spacing w:after="120"/>
        <w:jc w:val="both"/>
        <w:rPr>
          <w:b/>
          <w:szCs w:val="24"/>
        </w:rPr>
      </w:pPr>
    </w:p>
    <w:p w:rsidR="00403CBA" w:rsidRPr="00403CBA" w:rsidRDefault="00403CBA" w:rsidP="00403CBA">
      <w:pPr>
        <w:spacing w:after="120"/>
        <w:jc w:val="both"/>
        <w:rPr>
          <w:szCs w:val="24"/>
          <w:lang w:val="es-ES_tradnl"/>
        </w:rPr>
      </w:pPr>
      <w:r w:rsidRPr="00403CBA">
        <w:rPr>
          <w:b/>
          <w:szCs w:val="24"/>
          <w:lang w:val="es-ES_tradnl"/>
        </w:rPr>
        <w:t>BANCO COMAFI S.A</w:t>
      </w:r>
      <w:r w:rsidRPr="00403CBA">
        <w:rPr>
          <w:szCs w:val="24"/>
          <w:lang w:val="es-ES_tradnl"/>
        </w:rPr>
        <w:t xml:space="preserve">. en su carácter de emisor del programa de </w:t>
      </w:r>
      <w:r w:rsidRPr="00403CBA">
        <w:rPr>
          <w:b/>
          <w:szCs w:val="24"/>
          <w:lang w:val="es-ES_tradnl"/>
        </w:rPr>
        <w:t>CEDEAR de DOWDUPONT INC.– Cód. 8018</w:t>
      </w:r>
      <w:r w:rsidRPr="00403CBA">
        <w:rPr>
          <w:szCs w:val="24"/>
          <w:lang w:val="es-ES_tradnl"/>
        </w:rPr>
        <w:t xml:space="preserve"> –, informa a Ud. que la mencionada empresa ha anunciado que hará finalmente efectivo el desprendimiento (“spin off”) de su división de materiales científicos, la cual se convertirá en la nueva </w:t>
      </w:r>
      <w:r w:rsidRPr="00403CBA">
        <w:rPr>
          <w:b/>
          <w:szCs w:val="24"/>
          <w:lang w:val="es-ES_tradnl"/>
        </w:rPr>
        <w:t>DOW INC (ISIN US2605571031)</w:t>
      </w:r>
      <w:r w:rsidRPr="00403CBA">
        <w:rPr>
          <w:szCs w:val="24"/>
          <w:lang w:val="es-ES_tradnl"/>
        </w:rPr>
        <w:t xml:space="preserve"> a partir del 01 de </w:t>
      </w:r>
      <w:proofErr w:type="gramStart"/>
      <w:r w:rsidRPr="00403CBA">
        <w:rPr>
          <w:szCs w:val="24"/>
          <w:lang w:val="es-ES_tradnl"/>
        </w:rPr>
        <w:t>Abril</w:t>
      </w:r>
      <w:proofErr w:type="gramEnd"/>
      <w:r w:rsidRPr="00403CBA">
        <w:rPr>
          <w:szCs w:val="24"/>
          <w:lang w:val="es-ES_tradnl"/>
        </w:rPr>
        <w:t xml:space="preserve"> de 2019. Este Spin Off es parte de un </w:t>
      </w:r>
      <w:r w:rsidRPr="00403CBA">
        <w:rPr>
          <w:szCs w:val="24"/>
        </w:rPr>
        <w:t xml:space="preserve">proceso de reorganización y realineamientos, denominado plan de “separación” donde </w:t>
      </w:r>
      <w:r w:rsidRPr="00403CBA">
        <w:rPr>
          <w:b/>
          <w:szCs w:val="24"/>
        </w:rPr>
        <w:t>DOWDUPONT INC. (ISIN US26078J1007)</w:t>
      </w:r>
      <w:r w:rsidRPr="00403CBA">
        <w:rPr>
          <w:szCs w:val="24"/>
        </w:rPr>
        <w:t xml:space="preserve"> planea separarse en tres compañías, independientes, públicas y comerciables, donde todo lo referido al negocio del material científico será llevado a cabo por </w:t>
      </w:r>
      <w:r w:rsidRPr="00403CBA">
        <w:rPr>
          <w:b/>
          <w:szCs w:val="24"/>
        </w:rPr>
        <w:t xml:space="preserve">DOW INC </w:t>
      </w:r>
      <w:r w:rsidRPr="00403CBA">
        <w:rPr>
          <w:b/>
          <w:szCs w:val="24"/>
          <w:lang w:val="es-ES_tradnl"/>
        </w:rPr>
        <w:t>(ISIN US2605571031)</w:t>
      </w:r>
      <w:r w:rsidRPr="00403CBA">
        <w:rPr>
          <w:szCs w:val="24"/>
          <w:lang w:val="es-ES_tradnl"/>
        </w:rPr>
        <w:t xml:space="preserve"> y todo lo referido en el negocio de la agricultura será llevado a cabo por </w:t>
      </w:r>
      <w:r w:rsidRPr="00403CBA">
        <w:rPr>
          <w:b/>
          <w:szCs w:val="24"/>
          <w:lang w:val="es-ES_tradnl"/>
        </w:rPr>
        <w:t>CORTEVA INC (ISIN TBA).</w:t>
      </w:r>
    </w:p>
    <w:p w:rsidR="00403CBA" w:rsidRPr="00403CBA" w:rsidRDefault="00403CBA" w:rsidP="00403CBA">
      <w:pPr>
        <w:spacing w:after="120"/>
        <w:jc w:val="both"/>
        <w:rPr>
          <w:szCs w:val="24"/>
        </w:rPr>
      </w:pPr>
      <w:r w:rsidRPr="00403CBA">
        <w:rPr>
          <w:szCs w:val="24"/>
          <w:lang w:val="es-ES_tradnl"/>
        </w:rPr>
        <w:t xml:space="preserve">Se espera que el día 01/04/2019 los tenedores de </w:t>
      </w:r>
      <w:r w:rsidRPr="00403CBA">
        <w:rPr>
          <w:b/>
          <w:szCs w:val="24"/>
        </w:rPr>
        <w:t>DOWDUPONT INC. (ISIN US26078J1007)</w:t>
      </w:r>
      <w:r w:rsidRPr="00403CBA">
        <w:rPr>
          <w:szCs w:val="24"/>
        </w:rPr>
        <w:t xml:space="preserve"> recibirán 1 acción ordinaria de </w:t>
      </w:r>
      <w:r w:rsidRPr="00403CBA">
        <w:rPr>
          <w:b/>
          <w:szCs w:val="24"/>
        </w:rPr>
        <w:t xml:space="preserve">DOW INC </w:t>
      </w:r>
      <w:r w:rsidRPr="00403CBA">
        <w:rPr>
          <w:b/>
          <w:szCs w:val="24"/>
          <w:lang w:val="es-ES_tradnl"/>
        </w:rPr>
        <w:t>(ISIN US2605571031)</w:t>
      </w:r>
      <w:r w:rsidRPr="00403CBA">
        <w:rPr>
          <w:szCs w:val="24"/>
          <w:lang w:val="es-ES_tradnl"/>
        </w:rPr>
        <w:t xml:space="preserve"> por cada 3 acciones en tenencia de </w:t>
      </w:r>
      <w:r w:rsidRPr="00403CBA">
        <w:rPr>
          <w:b/>
          <w:szCs w:val="24"/>
        </w:rPr>
        <w:t>DOWDUPONT INC. (ISIN US26078J1007)</w:t>
      </w:r>
      <w:r w:rsidRPr="00403CBA">
        <w:rPr>
          <w:szCs w:val="24"/>
        </w:rPr>
        <w:t xml:space="preserve"> </w:t>
      </w:r>
      <w:r w:rsidRPr="00403CBA">
        <w:rPr>
          <w:szCs w:val="24"/>
          <w:lang w:val="es-ES_tradnl"/>
        </w:rPr>
        <w:t xml:space="preserve">al </w:t>
      </w:r>
      <w:proofErr w:type="spellStart"/>
      <w:r w:rsidRPr="00403CBA">
        <w:rPr>
          <w:szCs w:val="24"/>
          <w:lang w:val="es-ES_tradnl"/>
        </w:rPr>
        <w:t>record</w:t>
      </w:r>
      <w:proofErr w:type="spellEnd"/>
      <w:r w:rsidRPr="00403CBA">
        <w:rPr>
          <w:szCs w:val="24"/>
          <w:lang w:val="es-ES_tradnl"/>
        </w:rPr>
        <w:t xml:space="preserve"> date (21/03/2019). En caso de que se produzcan fracciones, éstas se liquidaran vía cash in </w:t>
      </w:r>
      <w:proofErr w:type="spellStart"/>
      <w:r w:rsidRPr="00403CBA">
        <w:rPr>
          <w:szCs w:val="24"/>
          <w:lang w:val="es-ES_tradnl"/>
        </w:rPr>
        <w:t>lieu</w:t>
      </w:r>
      <w:proofErr w:type="spellEnd"/>
      <w:r w:rsidRPr="00403CBA">
        <w:rPr>
          <w:szCs w:val="24"/>
          <w:lang w:val="es-ES_tradnl"/>
        </w:rPr>
        <w:t xml:space="preserve">, a un ratio y fecha a determinar. </w:t>
      </w:r>
    </w:p>
    <w:p w:rsidR="00403CBA" w:rsidRPr="00403CBA" w:rsidRDefault="00403CBA" w:rsidP="00403CBA">
      <w:pPr>
        <w:spacing w:after="120"/>
        <w:jc w:val="both"/>
        <w:rPr>
          <w:b/>
          <w:i/>
          <w:szCs w:val="24"/>
          <w:lang w:val="es-ES_tradnl"/>
        </w:rPr>
      </w:pPr>
      <w:r w:rsidRPr="00403CBA">
        <w:rPr>
          <w:szCs w:val="24"/>
          <w:lang w:val="es-ES_tradnl"/>
        </w:rPr>
        <w:t xml:space="preserve">Se informa al público inversor que el evento contará con un </w:t>
      </w:r>
      <w:proofErr w:type="spellStart"/>
      <w:r w:rsidRPr="00403CBA">
        <w:rPr>
          <w:b/>
          <w:i/>
          <w:szCs w:val="24"/>
          <w:lang w:val="es-ES_tradnl"/>
        </w:rPr>
        <w:t>interim</w:t>
      </w:r>
      <w:proofErr w:type="spellEnd"/>
      <w:r w:rsidRPr="00403CBA">
        <w:rPr>
          <w:b/>
          <w:i/>
          <w:szCs w:val="24"/>
          <w:lang w:val="es-ES_tradnl"/>
        </w:rPr>
        <w:t xml:space="preserve"> </w:t>
      </w:r>
      <w:proofErr w:type="spellStart"/>
      <w:r w:rsidRPr="00403CBA">
        <w:rPr>
          <w:b/>
          <w:i/>
          <w:szCs w:val="24"/>
          <w:lang w:val="es-ES_tradnl"/>
        </w:rPr>
        <w:t>period</w:t>
      </w:r>
      <w:proofErr w:type="spellEnd"/>
      <w:r w:rsidRPr="00403CBA">
        <w:rPr>
          <w:szCs w:val="24"/>
          <w:lang w:val="es-ES_tradnl"/>
        </w:rPr>
        <w:t xml:space="preserve">, entre las fechas 20/03/2019 al 01/04/2019, donde </w:t>
      </w:r>
      <w:r w:rsidRPr="00403CBA">
        <w:rPr>
          <w:szCs w:val="24"/>
        </w:rPr>
        <w:t xml:space="preserve">DOWDUPONT INC. (ISIN US26078J1007) contará con 2 mercados negociables en el NYSE. El primero, se denominará “regular </w:t>
      </w:r>
      <w:proofErr w:type="spellStart"/>
      <w:r w:rsidRPr="00403CBA">
        <w:rPr>
          <w:szCs w:val="24"/>
        </w:rPr>
        <w:t>way</w:t>
      </w:r>
      <w:proofErr w:type="spellEnd"/>
      <w:r w:rsidRPr="00403CBA">
        <w:rPr>
          <w:szCs w:val="24"/>
        </w:rPr>
        <w:t xml:space="preserve">” </w:t>
      </w:r>
      <w:proofErr w:type="spellStart"/>
      <w:r w:rsidRPr="00403CBA">
        <w:rPr>
          <w:szCs w:val="24"/>
        </w:rPr>
        <w:t>market</w:t>
      </w:r>
      <w:proofErr w:type="spellEnd"/>
      <w:r w:rsidRPr="00403CBA">
        <w:rPr>
          <w:szCs w:val="24"/>
        </w:rPr>
        <w:t xml:space="preserve">, el cual se negociará bajo el </w:t>
      </w:r>
      <w:proofErr w:type="spellStart"/>
      <w:r w:rsidRPr="00403CBA">
        <w:rPr>
          <w:szCs w:val="24"/>
        </w:rPr>
        <w:t>ticker</w:t>
      </w:r>
      <w:proofErr w:type="spellEnd"/>
      <w:r w:rsidRPr="00403CBA">
        <w:rPr>
          <w:szCs w:val="24"/>
        </w:rPr>
        <w:t xml:space="preserve"> symbol </w:t>
      </w:r>
      <w:r w:rsidRPr="00403CBA">
        <w:rPr>
          <w:b/>
          <w:szCs w:val="24"/>
        </w:rPr>
        <w:t>“DWDP”</w:t>
      </w:r>
      <w:r w:rsidRPr="00403CBA">
        <w:rPr>
          <w:szCs w:val="24"/>
        </w:rPr>
        <w:t xml:space="preserve"> donde la acción de DWDP (ISIN US26078J1007) se estará negociando junto al derecho a recibir DOW INC (</w:t>
      </w:r>
      <w:r w:rsidRPr="00403CBA">
        <w:rPr>
          <w:szCs w:val="24"/>
          <w:lang w:val="es-ES_tradnl"/>
        </w:rPr>
        <w:t>ISIN US2605571031</w:t>
      </w:r>
      <w:r w:rsidRPr="00403CBA">
        <w:rPr>
          <w:szCs w:val="24"/>
        </w:rPr>
        <w:t xml:space="preserve">). El Segundo, se denominará “ex </w:t>
      </w:r>
      <w:proofErr w:type="spellStart"/>
      <w:r w:rsidRPr="00403CBA">
        <w:rPr>
          <w:szCs w:val="24"/>
        </w:rPr>
        <w:t>distribution</w:t>
      </w:r>
      <w:proofErr w:type="spellEnd"/>
      <w:r w:rsidRPr="00403CBA">
        <w:rPr>
          <w:szCs w:val="24"/>
        </w:rPr>
        <w:t xml:space="preserve"> </w:t>
      </w:r>
      <w:proofErr w:type="spellStart"/>
      <w:r w:rsidRPr="00403CBA">
        <w:rPr>
          <w:szCs w:val="24"/>
        </w:rPr>
        <w:t>market</w:t>
      </w:r>
      <w:proofErr w:type="spellEnd"/>
      <w:r w:rsidRPr="00403CBA">
        <w:rPr>
          <w:szCs w:val="24"/>
        </w:rPr>
        <w:t xml:space="preserve">”, el cual se negociará bajo el </w:t>
      </w:r>
      <w:proofErr w:type="spellStart"/>
      <w:r w:rsidRPr="00403CBA">
        <w:rPr>
          <w:szCs w:val="24"/>
        </w:rPr>
        <w:t>ticker</w:t>
      </w:r>
      <w:proofErr w:type="spellEnd"/>
      <w:r w:rsidRPr="00403CBA">
        <w:rPr>
          <w:szCs w:val="24"/>
        </w:rPr>
        <w:t xml:space="preserve"> symbol </w:t>
      </w:r>
      <w:r w:rsidRPr="00403CBA">
        <w:rPr>
          <w:b/>
          <w:szCs w:val="24"/>
        </w:rPr>
        <w:t>“DWDP WI”</w:t>
      </w:r>
      <w:r w:rsidRPr="00403CBA">
        <w:rPr>
          <w:szCs w:val="24"/>
        </w:rPr>
        <w:t>, donde las acciones de DOWDUPONT INC se negociarán sin el derecho a recibir DOW INC (</w:t>
      </w:r>
      <w:r w:rsidRPr="00403CBA">
        <w:rPr>
          <w:szCs w:val="24"/>
          <w:lang w:val="es-ES_tradnl"/>
        </w:rPr>
        <w:t>ISIN US2605571031</w:t>
      </w:r>
      <w:r w:rsidRPr="00403CBA">
        <w:rPr>
          <w:szCs w:val="24"/>
        </w:rPr>
        <w:t xml:space="preserve">). Si los tenedores negocian sus tenencias en este periodo, estarán sujetos a estas condiciones. Banco </w:t>
      </w:r>
      <w:proofErr w:type="spellStart"/>
      <w:r w:rsidRPr="00403CBA">
        <w:rPr>
          <w:szCs w:val="24"/>
        </w:rPr>
        <w:t>Comafi</w:t>
      </w:r>
      <w:proofErr w:type="spellEnd"/>
      <w:r w:rsidRPr="00403CBA">
        <w:rPr>
          <w:szCs w:val="24"/>
        </w:rPr>
        <w:t xml:space="preserve"> S.A. no proveerá esta posibilidad por lo que el </w:t>
      </w:r>
      <w:proofErr w:type="spellStart"/>
      <w:r w:rsidRPr="00403CBA">
        <w:rPr>
          <w:szCs w:val="24"/>
        </w:rPr>
        <w:t>publico</w:t>
      </w:r>
      <w:proofErr w:type="spellEnd"/>
      <w:r w:rsidRPr="00403CBA">
        <w:rPr>
          <w:szCs w:val="24"/>
        </w:rPr>
        <w:t xml:space="preserve"> inversor deberá tener en consideración el </w:t>
      </w:r>
      <w:r w:rsidRPr="00403CBA">
        <w:rPr>
          <w:b/>
          <w:i/>
          <w:szCs w:val="24"/>
          <w:lang w:val="es-ES_tradnl"/>
        </w:rPr>
        <w:t>“</w:t>
      </w:r>
      <w:proofErr w:type="spellStart"/>
      <w:r w:rsidRPr="00403CBA">
        <w:rPr>
          <w:b/>
          <w:i/>
          <w:szCs w:val="24"/>
          <w:lang w:val="es-ES_tradnl"/>
        </w:rPr>
        <w:t>interim</w:t>
      </w:r>
      <w:proofErr w:type="spellEnd"/>
      <w:r w:rsidRPr="00403CBA">
        <w:rPr>
          <w:b/>
          <w:i/>
          <w:szCs w:val="24"/>
          <w:lang w:val="es-ES_tradnl"/>
        </w:rPr>
        <w:t xml:space="preserve"> </w:t>
      </w:r>
      <w:proofErr w:type="spellStart"/>
      <w:r w:rsidRPr="00403CBA">
        <w:rPr>
          <w:b/>
          <w:i/>
          <w:szCs w:val="24"/>
          <w:lang w:val="es-ES_tradnl"/>
        </w:rPr>
        <w:t>period</w:t>
      </w:r>
      <w:proofErr w:type="spellEnd"/>
      <w:r w:rsidRPr="00403CBA">
        <w:rPr>
          <w:b/>
          <w:i/>
          <w:szCs w:val="24"/>
          <w:lang w:val="es-ES_tradnl"/>
        </w:rPr>
        <w:t>”.</w:t>
      </w:r>
    </w:p>
    <w:p w:rsidR="00403CBA" w:rsidRPr="00403CBA" w:rsidRDefault="00403CBA" w:rsidP="00403CBA">
      <w:pPr>
        <w:spacing w:after="120"/>
        <w:jc w:val="both"/>
        <w:rPr>
          <w:szCs w:val="24"/>
        </w:rPr>
      </w:pPr>
    </w:p>
    <w:p w:rsidR="00403CBA" w:rsidRPr="00403CBA" w:rsidRDefault="00403CBA" w:rsidP="00403CBA">
      <w:pPr>
        <w:spacing w:after="120"/>
        <w:jc w:val="both"/>
        <w:rPr>
          <w:szCs w:val="24"/>
        </w:rPr>
      </w:pPr>
    </w:p>
    <w:p w:rsidR="00403CBA" w:rsidRPr="00403CBA" w:rsidRDefault="00403CBA" w:rsidP="00403CBA">
      <w:pPr>
        <w:spacing w:after="120"/>
        <w:jc w:val="both"/>
        <w:rPr>
          <w:szCs w:val="24"/>
        </w:rPr>
      </w:pPr>
    </w:p>
    <w:p w:rsidR="00403CBA" w:rsidRPr="00403CBA" w:rsidRDefault="00403CBA" w:rsidP="00403CBA">
      <w:pPr>
        <w:spacing w:after="120"/>
        <w:jc w:val="both"/>
        <w:rPr>
          <w:szCs w:val="24"/>
        </w:rPr>
      </w:pPr>
    </w:p>
    <w:p w:rsidR="00403CBA" w:rsidRPr="00403CBA" w:rsidRDefault="00403CBA" w:rsidP="00403CBA">
      <w:pPr>
        <w:spacing w:after="120"/>
        <w:jc w:val="both"/>
        <w:rPr>
          <w:szCs w:val="24"/>
        </w:rPr>
      </w:pPr>
      <w:r w:rsidRPr="00403CBA">
        <w:rPr>
          <w:szCs w:val="24"/>
        </w:rPr>
        <w:t xml:space="preserve">En adición al SPIN OFF, la junta directiva de </w:t>
      </w:r>
      <w:r w:rsidRPr="00403CBA">
        <w:rPr>
          <w:b/>
          <w:szCs w:val="24"/>
        </w:rPr>
        <w:t>DOWDUPONT INC. (ISIN US26078J1007)</w:t>
      </w:r>
      <w:r w:rsidRPr="00403CBA">
        <w:rPr>
          <w:szCs w:val="24"/>
        </w:rPr>
        <w:t xml:space="preserve"> estaría declarando un dividendo pro rata de todas las acciones ordinarias en circulación de </w:t>
      </w:r>
      <w:r w:rsidRPr="00403CBA">
        <w:rPr>
          <w:b/>
          <w:szCs w:val="24"/>
        </w:rPr>
        <w:t>DOW INC</w:t>
      </w:r>
      <w:r w:rsidRPr="00403CBA">
        <w:rPr>
          <w:szCs w:val="24"/>
        </w:rPr>
        <w:t xml:space="preserve">. Se espera que el dividendo se pague el 02/04/2019 a los tenedores de </w:t>
      </w:r>
      <w:r w:rsidRPr="00403CBA">
        <w:rPr>
          <w:b/>
          <w:szCs w:val="24"/>
        </w:rPr>
        <w:t>DOWDUPONT INC. (ISIN US26078J1007)</w:t>
      </w:r>
      <w:r w:rsidRPr="00403CBA">
        <w:rPr>
          <w:szCs w:val="24"/>
        </w:rPr>
        <w:t xml:space="preserve"> a un </w:t>
      </w:r>
      <w:proofErr w:type="spellStart"/>
      <w:r w:rsidRPr="00403CBA">
        <w:rPr>
          <w:szCs w:val="24"/>
        </w:rPr>
        <w:t>record</w:t>
      </w:r>
      <w:proofErr w:type="spellEnd"/>
      <w:r w:rsidRPr="00403CBA">
        <w:rPr>
          <w:szCs w:val="24"/>
        </w:rPr>
        <w:t xml:space="preserve"> date del 21/03/2019. </w:t>
      </w:r>
    </w:p>
    <w:p w:rsidR="00403CBA" w:rsidRPr="00403CBA" w:rsidRDefault="00403CBA" w:rsidP="00403CBA">
      <w:pPr>
        <w:spacing w:after="120"/>
        <w:jc w:val="both"/>
        <w:rPr>
          <w:szCs w:val="24"/>
          <w:lang w:val="es-ES_tradnl"/>
        </w:rPr>
      </w:pPr>
      <w:r w:rsidRPr="00403CBA">
        <w:rPr>
          <w:szCs w:val="24"/>
          <w:lang w:val="es-ES_tradnl"/>
        </w:rPr>
        <w:t xml:space="preserve">El Spin off está catalogado como </w:t>
      </w:r>
      <w:proofErr w:type="spellStart"/>
      <w:r w:rsidRPr="00403CBA">
        <w:rPr>
          <w:szCs w:val="24"/>
          <w:lang w:val="es-ES_tradnl"/>
        </w:rPr>
        <w:t>Tax</w:t>
      </w:r>
      <w:proofErr w:type="spellEnd"/>
      <w:r w:rsidRPr="00403CBA">
        <w:rPr>
          <w:szCs w:val="24"/>
          <w:lang w:val="es-ES_tradnl"/>
        </w:rPr>
        <w:t xml:space="preserve">-Free, no así el dividendo informado en el párrafo anterior. </w:t>
      </w:r>
    </w:p>
    <w:p w:rsidR="00403CBA" w:rsidRPr="00403CBA" w:rsidRDefault="00403CBA" w:rsidP="00403CBA">
      <w:pPr>
        <w:spacing w:line="220" w:lineRule="atLeast"/>
        <w:jc w:val="both"/>
        <w:rPr>
          <w:szCs w:val="24"/>
        </w:rPr>
      </w:pPr>
    </w:p>
    <w:p w:rsidR="00403CBA" w:rsidRPr="00403CBA" w:rsidRDefault="00403CBA" w:rsidP="00403CBA">
      <w:pPr>
        <w:spacing w:line="220" w:lineRule="atLeast"/>
        <w:jc w:val="both"/>
        <w:rPr>
          <w:szCs w:val="24"/>
          <w:lang w:val="es-MX"/>
        </w:rPr>
      </w:pPr>
      <w:r w:rsidRPr="00403CBA">
        <w:rPr>
          <w:szCs w:val="24"/>
          <w:lang w:val="es-MX"/>
        </w:rPr>
        <w:t xml:space="preserve">Al momento de recibir las acciones correspondientes de </w:t>
      </w:r>
      <w:r w:rsidRPr="00403CBA">
        <w:rPr>
          <w:rFonts w:ascii="Arial" w:hAnsi="Arial"/>
          <w:b/>
          <w:spacing w:val="-5"/>
          <w:szCs w:val="24"/>
        </w:rPr>
        <w:t>DOW INC (ISIN US2605571031)</w:t>
      </w:r>
      <w:r w:rsidRPr="00403CBA">
        <w:rPr>
          <w:szCs w:val="24"/>
          <w:lang w:val="es-MX"/>
        </w:rPr>
        <w:t xml:space="preserve">, Banco </w:t>
      </w:r>
      <w:proofErr w:type="spellStart"/>
      <w:r w:rsidRPr="00403CBA">
        <w:rPr>
          <w:szCs w:val="24"/>
          <w:lang w:val="es-MX"/>
        </w:rPr>
        <w:t>Comafi</w:t>
      </w:r>
      <w:proofErr w:type="spellEnd"/>
      <w:r w:rsidRPr="00403CBA">
        <w:rPr>
          <w:szCs w:val="24"/>
          <w:lang w:val="es-MX"/>
        </w:rPr>
        <w:t xml:space="preserve"> S.A. brindará 2 opciones:</w:t>
      </w:r>
    </w:p>
    <w:p w:rsidR="00403CBA" w:rsidRPr="00403CBA" w:rsidRDefault="00403CBA" w:rsidP="00403CBA">
      <w:pPr>
        <w:spacing w:line="220" w:lineRule="atLeast"/>
        <w:jc w:val="both"/>
        <w:rPr>
          <w:szCs w:val="24"/>
          <w:lang w:val="es-MX"/>
        </w:rPr>
      </w:pPr>
    </w:p>
    <w:p w:rsidR="00403CBA" w:rsidRPr="00403CBA" w:rsidRDefault="00403CBA" w:rsidP="00403CBA">
      <w:pPr>
        <w:spacing w:line="220" w:lineRule="atLeast"/>
        <w:jc w:val="both"/>
        <w:rPr>
          <w:spacing w:val="-5"/>
          <w:szCs w:val="24"/>
        </w:rPr>
      </w:pPr>
      <w:r w:rsidRPr="00403CBA">
        <w:rPr>
          <w:spacing w:val="-5"/>
          <w:szCs w:val="24"/>
          <w:u w:val="single"/>
        </w:rPr>
        <w:t>Opción 1 (Efectivo- Default):</w:t>
      </w:r>
      <w:r w:rsidRPr="00403CBA">
        <w:rPr>
          <w:spacing w:val="-5"/>
          <w:szCs w:val="24"/>
        </w:rPr>
        <w:t xml:space="preserve"> Se procederá a la venta de las acciones de </w:t>
      </w:r>
      <w:r w:rsidRPr="00403CBA">
        <w:rPr>
          <w:rFonts w:ascii="Arial" w:hAnsi="Arial"/>
          <w:b/>
          <w:spacing w:val="-5"/>
          <w:szCs w:val="24"/>
        </w:rPr>
        <w:t>DOW INC (ISIN US2605571031)</w:t>
      </w:r>
      <w:r w:rsidRPr="00403CBA">
        <w:rPr>
          <w:spacing w:val="-5"/>
          <w:szCs w:val="24"/>
        </w:rPr>
        <w:t xml:space="preserve"> recibidas, a un precio y fecha a determinar.</w:t>
      </w:r>
    </w:p>
    <w:p w:rsidR="00403CBA" w:rsidRPr="00403CBA" w:rsidRDefault="00403CBA" w:rsidP="00403CBA">
      <w:pPr>
        <w:spacing w:line="220" w:lineRule="atLeast"/>
        <w:jc w:val="both"/>
        <w:rPr>
          <w:spacing w:val="-5"/>
          <w:szCs w:val="24"/>
        </w:rPr>
      </w:pPr>
    </w:p>
    <w:p w:rsidR="00403CBA" w:rsidRPr="00403CBA" w:rsidRDefault="00403CBA" w:rsidP="00403CBA">
      <w:pPr>
        <w:spacing w:line="220" w:lineRule="atLeast"/>
        <w:jc w:val="both"/>
        <w:rPr>
          <w:szCs w:val="24"/>
          <w:lang w:val="es-MX"/>
        </w:rPr>
      </w:pPr>
      <w:r w:rsidRPr="00403CBA">
        <w:rPr>
          <w:spacing w:val="-5"/>
          <w:szCs w:val="24"/>
          <w:u w:val="single"/>
        </w:rPr>
        <w:t>Opción 2 (SHS):</w:t>
      </w:r>
      <w:r w:rsidRPr="00403CBA">
        <w:rPr>
          <w:spacing w:val="-5"/>
          <w:szCs w:val="24"/>
        </w:rPr>
        <w:t xml:space="preserve"> Los tenedores tendrán derecho a recibir las acciones de </w:t>
      </w:r>
      <w:r w:rsidRPr="00403CBA">
        <w:rPr>
          <w:rFonts w:ascii="Arial" w:hAnsi="Arial"/>
          <w:b/>
          <w:spacing w:val="-5"/>
          <w:szCs w:val="24"/>
        </w:rPr>
        <w:t>DOW INC (ISIN US2605571031)</w:t>
      </w:r>
      <w:r w:rsidRPr="00403CBA">
        <w:rPr>
          <w:szCs w:val="24"/>
          <w:lang w:val="es-MX"/>
        </w:rPr>
        <w:t xml:space="preserve"> en un DTC y Subcuenta a especificar. </w:t>
      </w:r>
    </w:p>
    <w:p w:rsidR="00403CBA" w:rsidRPr="00403CBA" w:rsidRDefault="00403CBA" w:rsidP="00403CBA">
      <w:pPr>
        <w:spacing w:line="220" w:lineRule="atLeast"/>
        <w:jc w:val="both"/>
        <w:rPr>
          <w:szCs w:val="24"/>
          <w:lang w:val="es-MX"/>
        </w:rPr>
      </w:pPr>
    </w:p>
    <w:p w:rsidR="00403CBA" w:rsidRPr="00403CBA" w:rsidRDefault="00403CBA" w:rsidP="00403CBA">
      <w:pPr>
        <w:spacing w:line="220" w:lineRule="atLeast"/>
        <w:jc w:val="both"/>
        <w:rPr>
          <w:spacing w:val="-5"/>
          <w:szCs w:val="24"/>
        </w:rPr>
      </w:pPr>
      <w:r w:rsidRPr="00403CBA">
        <w:rPr>
          <w:spacing w:val="-5"/>
          <w:szCs w:val="24"/>
        </w:rPr>
        <w:t xml:space="preserve">En caso de optar por la opción 2, el tenedor del </w:t>
      </w:r>
      <w:bookmarkStart w:id="0" w:name="_Hlk3823247"/>
      <w:r w:rsidRPr="00403CBA">
        <w:rPr>
          <w:b/>
          <w:spacing w:val="-5"/>
          <w:szCs w:val="24"/>
        </w:rPr>
        <w:t xml:space="preserve">CEDEAR </w:t>
      </w:r>
      <w:r w:rsidRPr="00403CBA">
        <w:rPr>
          <w:rFonts w:ascii="Arial" w:hAnsi="Arial"/>
          <w:b/>
          <w:spacing w:val="-5"/>
          <w:szCs w:val="24"/>
        </w:rPr>
        <w:t>DOWDUPONT INC</w:t>
      </w:r>
      <w:r w:rsidRPr="00403CBA">
        <w:rPr>
          <w:b/>
          <w:spacing w:val="-5"/>
          <w:szCs w:val="24"/>
        </w:rPr>
        <w:t>.–ISIN ARDEUT110145</w:t>
      </w:r>
      <w:bookmarkEnd w:id="0"/>
      <w:r w:rsidRPr="00403CBA">
        <w:rPr>
          <w:rFonts w:ascii="Arial" w:hAnsi="Arial"/>
          <w:b/>
          <w:spacing w:val="-5"/>
          <w:szCs w:val="24"/>
        </w:rPr>
        <w:t>.– Cód. 8018</w:t>
      </w:r>
      <w:r w:rsidRPr="00403CBA">
        <w:rPr>
          <w:spacing w:val="-5"/>
          <w:szCs w:val="24"/>
        </w:rPr>
        <w:t xml:space="preserve"> deberá instruirlo mediante una nota firmada en original por sus apoderados correspondientes en sus instituciones, certificada, y enviarla a Banco </w:t>
      </w:r>
      <w:proofErr w:type="spellStart"/>
      <w:r w:rsidRPr="00403CBA">
        <w:rPr>
          <w:spacing w:val="-5"/>
          <w:szCs w:val="24"/>
        </w:rPr>
        <w:t>Comafi</w:t>
      </w:r>
      <w:proofErr w:type="spellEnd"/>
      <w:r w:rsidRPr="00403CBA">
        <w:rPr>
          <w:spacing w:val="-5"/>
          <w:szCs w:val="24"/>
        </w:rPr>
        <w:t xml:space="preserve"> S.A. (Reconquista 823, Piso 2, , C1003ABQ, Buenos Aires , Argentina, </w:t>
      </w:r>
      <w:proofErr w:type="spellStart"/>
      <w:r w:rsidRPr="00403CBA">
        <w:rPr>
          <w:spacing w:val="-5"/>
          <w:szCs w:val="24"/>
        </w:rPr>
        <w:t>Atte</w:t>
      </w:r>
      <w:proofErr w:type="spellEnd"/>
      <w:r w:rsidRPr="00403CBA">
        <w:rPr>
          <w:spacing w:val="-5"/>
          <w:szCs w:val="24"/>
        </w:rPr>
        <w:t xml:space="preserve"> “Departamento de </w:t>
      </w:r>
      <w:proofErr w:type="spellStart"/>
      <w:r w:rsidRPr="00403CBA">
        <w:rPr>
          <w:spacing w:val="-5"/>
          <w:szCs w:val="24"/>
        </w:rPr>
        <w:t>Cedears</w:t>
      </w:r>
      <w:proofErr w:type="spellEnd"/>
      <w:r w:rsidRPr="00403CBA">
        <w:rPr>
          <w:spacing w:val="-5"/>
          <w:szCs w:val="24"/>
        </w:rPr>
        <w:t xml:space="preserve">”), antes de las </w:t>
      </w:r>
      <w:r w:rsidRPr="00403CBA">
        <w:rPr>
          <w:spacing w:val="-5"/>
          <w:szCs w:val="24"/>
          <w:u w:val="single"/>
        </w:rPr>
        <w:t xml:space="preserve">17:00 </w:t>
      </w:r>
      <w:proofErr w:type="spellStart"/>
      <w:r w:rsidRPr="00403CBA">
        <w:rPr>
          <w:spacing w:val="-5"/>
          <w:szCs w:val="24"/>
          <w:u w:val="single"/>
        </w:rPr>
        <w:t>hs</w:t>
      </w:r>
      <w:proofErr w:type="spellEnd"/>
      <w:r w:rsidRPr="00403CBA">
        <w:rPr>
          <w:spacing w:val="-5"/>
          <w:szCs w:val="24"/>
        </w:rPr>
        <w:t xml:space="preserve">, del 02 de Abril de 2019 con los datos de sus cuentas DTC y subcuenta donde se deberán enviar las acciones recibidas de </w:t>
      </w:r>
      <w:r w:rsidRPr="00403CBA">
        <w:rPr>
          <w:rFonts w:ascii="Arial" w:hAnsi="Arial"/>
          <w:b/>
          <w:spacing w:val="-5"/>
          <w:szCs w:val="24"/>
        </w:rPr>
        <w:t>DOW INC (ISIN US2605571031)</w:t>
      </w:r>
      <w:r w:rsidRPr="00403CBA">
        <w:rPr>
          <w:spacing w:val="-5"/>
          <w:szCs w:val="24"/>
        </w:rPr>
        <w:t xml:space="preserve">. Deberán también, proveer el certificado de tenencia emitido por Caja de Valores S.A. por los </w:t>
      </w:r>
      <w:proofErr w:type="spellStart"/>
      <w:r w:rsidRPr="00403CBA">
        <w:rPr>
          <w:spacing w:val="-5"/>
          <w:szCs w:val="24"/>
        </w:rPr>
        <w:t>cedears</w:t>
      </w:r>
      <w:proofErr w:type="spellEnd"/>
      <w:r w:rsidRPr="00403CBA">
        <w:rPr>
          <w:spacing w:val="-5"/>
          <w:szCs w:val="24"/>
        </w:rPr>
        <w:t xml:space="preserve"> </w:t>
      </w:r>
      <w:r w:rsidRPr="00403CBA">
        <w:rPr>
          <w:spacing w:val="-5"/>
          <w:sz w:val="20"/>
        </w:rPr>
        <w:t xml:space="preserve">de </w:t>
      </w:r>
      <w:r w:rsidRPr="00403CBA">
        <w:rPr>
          <w:rFonts w:ascii="Arial" w:hAnsi="Arial"/>
          <w:b/>
          <w:spacing w:val="-5"/>
          <w:szCs w:val="24"/>
        </w:rPr>
        <w:t>CEDEAR DOWDUPONT INC.–ISIN ARDEUT</w:t>
      </w:r>
      <w:proofErr w:type="gramStart"/>
      <w:r w:rsidRPr="00403CBA">
        <w:rPr>
          <w:rFonts w:ascii="Arial" w:hAnsi="Arial"/>
          <w:b/>
          <w:spacing w:val="-5"/>
          <w:szCs w:val="24"/>
        </w:rPr>
        <w:t>110145.–</w:t>
      </w:r>
      <w:proofErr w:type="gramEnd"/>
      <w:r w:rsidRPr="00403CBA">
        <w:rPr>
          <w:rFonts w:ascii="Arial" w:hAnsi="Arial"/>
          <w:b/>
          <w:spacing w:val="-5"/>
          <w:szCs w:val="24"/>
        </w:rPr>
        <w:t xml:space="preserve"> Cód. 8018 </w:t>
      </w:r>
      <w:r w:rsidRPr="00403CBA">
        <w:rPr>
          <w:spacing w:val="-5"/>
          <w:szCs w:val="24"/>
        </w:rPr>
        <w:t xml:space="preserve"> con fecha de registro 01 de Abril de 2019 donde dejarán constancia su tenencia a la fecha </w:t>
      </w:r>
      <w:proofErr w:type="spellStart"/>
      <w:r w:rsidRPr="00403CBA">
        <w:rPr>
          <w:spacing w:val="-5"/>
          <w:szCs w:val="24"/>
        </w:rPr>
        <w:t>Record</w:t>
      </w:r>
      <w:proofErr w:type="spellEnd"/>
      <w:r w:rsidRPr="00403CBA">
        <w:rPr>
          <w:spacing w:val="-5"/>
          <w:szCs w:val="24"/>
        </w:rPr>
        <w:t xml:space="preserve"> de dicho evento. </w:t>
      </w:r>
    </w:p>
    <w:p w:rsidR="00403CBA" w:rsidRPr="00403CBA" w:rsidRDefault="00403CBA" w:rsidP="00403CBA">
      <w:pPr>
        <w:spacing w:line="220" w:lineRule="atLeast"/>
        <w:jc w:val="both"/>
        <w:rPr>
          <w:spacing w:val="-5"/>
          <w:szCs w:val="24"/>
        </w:rPr>
      </w:pPr>
    </w:p>
    <w:p w:rsidR="00403CBA" w:rsidRPr="00403CBA" w:rsidRDefault="00403CBA" w:rsidP="00403CBA">
      <w:pPr>
        <w:spacing w:line="220" w:lineRule="atLeast"/>
        <w:jc w:val="both"/>
        <w:rPr>
          <w:spacing w:val="-5"/>
          <w:szCs w:val="24"/>
        </w:rPr>
      </w:pPr>
      <w:r w:rsidRPr="00403CBA">
        <w:rPr>
          <w:spacing w:val="-5"/>
          <w:szCs w:val="24"/>
        </w:rPr>
        <w:t xml:space="preserve">Pasada la fecha y horario limite dispuesto para la opción 2, automáticamente se avanzará con la opción 1. </w:t>
      </w:r>
    </w:p>
    <w:p w:rsidR="00403CBA" w:rsidRPr="00403CBA" w:rsidRDefault="00403CBA" w:rsidP="00403CBA">
      <w:pPr>
        <w:spacing w:line="220" w:lineRule="atLeast"/>
        <w:jc w:val="both"/>
        <w:rPr>
          <w:szCs w:val="24"/>
        </w:rPr>
      </w:pPr>
    </w:p>
    <w:p w:rsidR="00403CBA" w:rsidRPr="00403CBA" w:rsidRDefault="00403CBA" w:rsidP="00403CBA">
      <w:pPr>
        <w:spacing w:line="220" w:lineRule="atLeast"/>
        <w:jc w:val="both"/>
        <w:rPr>
          <w:szCs w:val="24"/>
        </w:rPr>
      </w:pPr>
      <w:r w:rsidRPr="00403CBA">
        <w:rPr>
          <w:szCs w:val="24"/>
        </w:rPr>
        <w:t xml:space="preserve">Ambas opciones estarán sujetas a la información preliminar publicada por la compañía </w:t>
      </w:r>
      <w:r w:rsidRPr="00403CBA">
        <w:rPr>
          <w:rFonts w:ascii="Arial" w:hAnsi="Arial"/>
          <w:b/>
          <w:spacing w:val="-5"/>
          <w:szCs w:val="24"/>
        </w:rPr>
        <w:t xml:space="preserve">DOWDUPONT INC. (ISIN US26078J1007) </w:t>
      </w:r>
      <w:r w:rsidRPr="00403CBA">
        <w:rPr>
          <w:szCs w:val="24"/>
        </w:rPr>
        <w:t xml:space="preserve">el día 18/03/2019 donde estaría considerando adoptar un plan de recompra de acciones con un bróker dealer bajo la regla normativa 10b5-1 de la SEC. El plan facilitaría la recompra de las acciones de </w:t>
      </w:r>
      <w:r w:rsidRPr="00403CBA">
        <w:rPr>
          <w:rFonts w:ascii="Arial" w:hAnsi="Arial"/>
          <w:b/>
          <w:spacing w:val="-5"/>
          <w:szCs w:val="24"/>
        </w:rPr>
        <w:t xml:space="preserve">DOW INC (ISIN US2605571031) </w:t>
      </w:r>
      <w:r w:rsidRPr="00403CBA">
        <w:rPr>
          <w:szCs w:val="24"/>
        </w:rPr>
        <w:t xml:space="preserve">surgidas por el SPIN OFF a una fecha y precio a determinar. De confirmase la voluntad de la compañía, se pondrá a disposición del mercado la nueva liquidación distribuyendo el resultado de la recompra. Las fechas expuestas anteriormente no se verían afectadas, esto impactaría sobre las tenencias obtenidas de </w:t>
      </w:r>
      <w:r w:rsidRPr="00403CBA">
        <w:rPr>
          <w:rFonts w:ascii="Arial" w:hAnsi="Arial"/>
          <w:b/>
          <w:spacing w:val="-5"/>
          <w:szCs w:val="24"/>
        </w:rPr>
        <w:t>DOW INC (ISIN US2605571031)</w:t>
      </w:r>
      <w:r w:rsidRPr="00403CBA">
        <w:rPr>
          <w:szCs w:val="24"/>
        </w:rPr>
        <w:t xml:space="preserve"> por el SPIN OFF.</w:t>
      </w:r>
    </w:p>
    <w:p w:rsidR="00403CBA" w:rsidRPr="00403CBA" w:rsidRDefault="00403CBA" w:rsidP="00403CBA">
      <w:pPr>
        <w:spacing w:line="220" w:lineRule="atLeast"/>
        <w:jc w:val="both"/>
        <w:rPr>
          <w:szCs w:val="24"/>
          <w:lang w:val="es-ES_tradnl"/>
        </w:rPr>
      </w:pPr>
    </w:p>
    <w:p w:rsidR="00403CBA" w:rsidRPr="00403CBA" w:rsidRDefault="00403CBA" w:rsidP="00403CBA">
      <w:pPr>
        <w:spacing w:line="220" w:lineRule="atLeast"/>
        <w:jc w:val="both"/>
        <w:rPr>
          <w:b/>
          <w:spacing w:val="-5"/>
          <w:sz w:val="22"/>
          <w:szCs w:val="22"/>
        </w:rPr>
      </w:pPr>
      <w:r w:rsidRPr="00403CBA">
        <w:rPr>
          <w:szCs w:val="24"/>
          <w:lang w:val="es-MX"/>
        </w:rPr>
        <w:t>Sin otro particular, saludamos a Uds. muy atentamente.</w:t>
      </w:r>
    </w:p>
    <w:p w:rsidR="004B50EC" w:rsidRDefault="00403CBA" w:rsidP="00403CBA">
      <w:pPr>
        <w:spacing w:line="220" w:lineRule="atLeast"/>
        <w:rPr>
          <w:szCs w:val="24"/>
          <w:lang w:val="es-MX"/>
        </w:rPr>
      </w:pPr>
      <w:r w:rsidRPr="00403CBA">
        <w:rPr>
          <w:rFonts w:ascii="Arial" w:hAnsi="Arial"/>
          <w:spacing w:val="-5"/>
          <w:sz w:val="22"/>
          <w:szCs w:val="22"/>
        </w:rPr>
        <w:tab/>
      </w:r>
      <w:r w:rsidRPr="00403CBA">
        <w:rPr>
          <w:rFonts w:ascii="Arial" w:hAnsi="Arial"/>
          <w:spacing w:val="-5"/>
          <w:sz w:val="22"/>
          <w:szCs w:val="22"/>
        </w:rPr>
        <w:tab/>
      </w:r>
      <w:r w:rsidRPr="00403CBA">
        <w:rPr>
          <w:rFonts w:ascii="Arial" w:hAnsi="Arial"/>
          <w:spacing w:val="-5"/>
          <w:sz w:val="22"/>
          <w:szCs w:val="22"/>
        </w:rPr>
        <w:tab/>
      </w:r>
      <w:r w:rsidRPr="00403CBA">
        <w:rPr>
          <w:rFonts w:ascii="Arial" w:hAnsi="Arial"/>
          <w:spacing w:val="-5"/>
          <w:sz w:val="22"/>
          <w:szCs w:val="22"/>
        </w:rPr>
        <w:tab/>
      </w:r>
      <w:r w:rsidRPr="00403CBA">
        <w:rPr>
          <w:rFonts w:ascii="Arial" w:hAnsi="Arial"/>
          <w:spacing w:val="-5"/>
          <w:sz w:val="22"/>
          <w:szCs w:val="22"/>
        </w:rPr>
        <w:tab/>
      </w:r>
      <w:r w:rsidRPr="00403CBA">
        <w:rPr>
          <w:rFonts w:ascii="Arial" w:hAnsi="Arial"/>
          <w:spacing w:val="-5"/>
          <w:sz w:val="22"/>
          <w:szCs w:val="22"/>
        </w:rPr>
        <w:tab/>
      </w:r>
      <w:r w:rsidRPr="00403CBA">
        <w:rPr>
          <w:rFonts w:ascii="Arial" w:hAnsi="Arial"/>
          <w:spacing w:val="-5"/>
          <w:sz w:val="22"/>
          <w:szCs w:val="22"/>
        </w:rPr>
        <w:tab/>
      </w:r>
      <w:r w:rsidRPr="00403CBA">
        <w:rPr>
          <w:rFonts w:ascii="Arial" w:hAnsi="Arial"/>
          <w:spacing w:val="-5"/>
          <w:sz w:val="22"/>
          <w:szCs w:val="22"/>
        </w:rPr>
        <w:tab/>
      </w:r>
      <w:r w:rsidRPr="00403CBA">
        <w:rPr>
          <w:rFonts w:ascii="Arial" w:hAnsi="Arial"/>
          <w:b/>
          <w:spacing w:val="-5"/>
          <w:sz w:val="22"/>
          <w:szCs w:val="22"/>
        </w:rPr>
        <w:t xml:space="preserve">BANCO </w:t>
      </w:r>
      <w:proofErr w:type="gramStart"/>
      <w:r w:rsidRPr="00403CBA">
        <w:rPr>
          <w:rFonts w:ascii="Arial" w:hAnsi="Arial"/>
          <w:b/>
          <w:spacing w:val="-5"/>
          <w:sz w:val="22"/>
          <w:szCs w:val="22"/>
        </w:rPr>
        <w:t>COMAFI  S.A.</w:t>
      </w:r>
      <w:bookmarkStart w:id="1" w:name="_GoBack"/>
      <w:bookmarkEnd w:id="1"/>
      <w:proofErr w:type="gramEnd"/>
    </w:p>
    <w:sectPr w:rsidR="004B50EC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FAE" w:rsidRDefault="005B2FAE" w:rsidP="00134E2B">
      <w:r>
        <w:separator/>
      </w:r>
    </w:p>
  </w:endnote>
  <w:endnote w:type="continuationSeparator" w:id="0">
    <w:p w:rsidR="005B2FAE" w:rsidRDefault="005B2FAE" w:rsidP="0013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FAE" w:rsidRDefault="005B2FAE" w:rsidP="00134E2B">
      <w:r>
        <w:separator/>
      </w:r>
    </w:p>
  </w:footnote>
  <w:footnote w:type="continuationSeparator" w:id="0">
    <w:p w:rsidR="005B2FAE" w:rsidRDefault="005B2FAE" w:rsidP="00134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E2B" w:rsidRPr="00134E2B" w:rsidRDefault="00134E2B" w:rsidP="00134E2B">
    <w:pPr>
      <w:pStyle w:val="Encabezado"/>
    </w:pPr>
    <w:r>
      <w:rPr>
        <w:noProof/>
        <w:lang w:val="en-US" w:eastAsia="en-US"/>
      </w:rPr>
      <w:drawing>
        <wp:inline distT="0" distB="0" distL="0" distR="0" wp14:anchorId="53BFE393" wp14:editId="038A6462">
          <wp:extent cx="5924550" cy="1333500"/>
          <wp:effectExtent l="0" t="0" r="0" b="0"/>
          <wp:docPr id="1" name="Picture 3" descr="C:\Users\tripolis\AppData\Local\Microsoft\Windows\Temporary Internet Files\Content.Outlook\J8RD44P0\encabezado-BANCO COMAFI RECONQUIST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ripolis\AppData\Local\Microsoft\Windows\Temporary Internet Files\Content.Outlook\J8RD44P0\encabezado-BANCO COMAFI RECONQUISTA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33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2B"/>
    <w:rsid w:val="00006365"/>
    <w:rsid w:val="0011520B"/>
    <w:rsid w:val="00134E2B"/>
    <w:rsid w:val="00236434"/>
    <w:rsid w:val="00301C91"/>
    <w:rsid w:val="003B7609"/>
    <w:rsid w:val="00403CBA"/>
    <w:rsid w:val="0048359F"/>
    <w:rsid w:val="004B50EC"/>
    <w:rsid w:val="005559EA"/>
    <w:rsid w:val="005B2FAE"/>
    <w:rsid w:val="00761BFC"/>
    <w:rsid w:val="008505FA"/>
    <w:rsid w:val="00A36533"/>
    <w:rsid w:val="00B4451A"/>
    <w:rsid w:val="00BE1AF8"/>
    <w:rsid w:val="00C124A6"/>
    <w:rsid w:val="00D577DF"/>
    <w:rsid w:val="00E82CDC"/>
    <w:rsid w:val="00F376F7"/>
    <w:rsid w:val="00FE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613FC0"/>
  <w15:docId w15:val="{398BF413-9E15-4DA4-8398-966928D5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E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nsideAddress">
    <w:name w:val="Inside Address"/>
    <w:basedOn w:val="Textoindependiente"/>
    <w:rsid w:val="00134E2B"/>
    <w:pPr>
      <w:spacing w:after="0" w:line="220" w:lineRule="atLeast"/>
    </w:pPr>
    <w:rPr>
      <w:rFonts w:ascii="Arial" w:hAnsi="Arial"/>
      <w:spacing w:val="-5"/>
      <w:lang w:val="en-US"/>
    </w:rPr>
  </w:style>
  <w:style w:type="paragraph" w:styleId="Textoindependiente">
    <w:name w:val="Body Text"/>
    <w:basedOn w:val="Normal"/>
    <w:link w:val="TextoindependienteCar"/>
    <w:rsid w:val="00134E2B"/>
    <w:pPr>
      <w:spacing w:after="120"/>
    </w:pPr>
    <w:rPr>
      <w:sz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134E2B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unhideWhenUsed/>
    <w:rsid w:val="00134E2B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4E2B"/>
    <w:rPr>
      <w:rFonts w:ascii="Times New Roman" w:eastAsia="Times New Roman" w:hAnsi="Times New Roman" w:cs="Times New Roman"/>
      <w:sz w:val="24"/>
      <w:szCs w:val="20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134E2B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E2B"/>
    <w:rPr>
      <w:rFonts w:ascii="Times New Roman" w:eastAsia="Times New Roman" w:hAnsi="Times New Roman" w:cs="Times New Roman"/>
      <w:sz w:val="24"/>
      <w:szCs w:val="20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4E2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4E2B"/>
    <w:rPr>
      <w:rFonts w:ascii="Tahoma" w:eastAsia="Times New Roman" w:hAnsi="Tahoma" w:cs="Tahoma"/>
      <w:sz w:val="16"/>
      <w:szCs w:val="16"/>
      <w:lang w:val="es-AR" w:eastAsia="es-AR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559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559E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725</Words>
  <Characters>3991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Banco Comafi S.A.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Tripoli, Silvio EXT</dc:creator>
  <cp:lastModifiedBy>Ruiz Esquide, Maximiliano</cp:lastModifiedBy>
  <cp:revision>6</cp:revision>
  <cp:lastPrinted>2019-03-19T17:21:00Z</cp:lastPrinted>
  <dcterms:created xsi:type="dcterms:W3CDTF">2019-02-12T19:17:00Z</dcterms:created>
  <dcterms:modified xsi:type="dcterms:W3CDTF">2019-03-19T17:21:00Z</dcterms:modified>
</cp:coreProperties>
</file>